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9A4CF6" w:rsidRDefault="00F514FB" w:rsidP="00F514FB">
      <w:pPr>
        <w:tabs>
          <w:tab w:val="center" w:pos="4680"/>
        </w:tabs>
        <w:suppressAutoHyphens/>
        <w:jc w:val="center"/>
        <w:rPr>
          <w:b/>
          <w:sz w:val="26"/>
          <w:szCs w:val="26"/>
        </w:rPr>
      </w:pPr>
      <w:r w:rsidRPr="009A4CF6">
        <w:rPr>
          <w:b/>
          <w:sz w:val="26"/>
          <w:szCs w:val="26"/>
        </w:rPr>
        <w:t>PENNSYLVANIA</w:t>
      </w:r>
    </w:p>
    <w:p w:rsidR="00F514FB" w:rsidRPr="009A4CF6" w:rsidRDefault="00F514FB" w:rsidP="00F514FB">
      <w:pPr>
        <w:tabs>
          <w:tab w:val="center" w:pos="4680"/>
        </w:tabs>
        <w:suppressAutoHyphens/>
        <w:jc w:val="center"/>
        <w:rPr>
          <w:sz w:val="26"/>
          <w:szCs w:val="26"/>
        </w:rPr>
      </w:pPr>
      <w:r w:rsidRPr="009A4CF6">
        <w:rPr>
          <w:b/>
          <w:sz w:val="26"/>
          <w:szCs w:val="26"/>
        </w:rPr>
        <w:t>PUBLIC UTILITY COMMISSION</w:t>
      </w:r>
    </w:p>
    <w:p w:rsidR="00F514FB" w:rsidRPr="009A4CF6" w:rsidRDefault="00F514FB" w:rsidP="00F514FB">
      <w:pPr>
        <w:tabs>
          <w:tab w:val="center" w:pos="4680"/>
        </w:tabs>
        <w:suppressAutoHyphens/>
        <w:jc w:val="center"/>
        <w:rPr>
          <w:sz w:val="26"/>
          <w:szCs w:val="26"/>
        </w:rPr>
      </w:pPr>
      <w:r w:rsidRPr="009A4CF6">
        <w:rPr>
          <w:b/>
          <w:sz w:val="26"/>
          <w:szCs w:val="26"/>
        </w:rPr>
        <w:t>Harrisburg, PA 17105-3265</w:t>
      </w:r>
    </w:p>
    <w:p w:rsidR="00F514FB" w:rsidRPr="009A4CF6" w:rsidRDefault="00F514FB" w:rsidP="00F514FB">
      <w:pPr>
        <w:tabs>
          <w:tab w:val="left" w:pos="-720"/>
        </w:tabs>
        <w:suppressAutoHyphens/>
        <w:rPr>
          <w:sz w:val="26"/>
          <w:szCs w:val="26"/>
        </w:rPr>
      </w:pPr>
    </w:p>
    <w:p w:rsidR="00F514FB" w:rsidRPr="009A4CF6" w:rsidRDefault="00F514FB" w:rsidP="00F514FB">
      <w:pPr>
        <w:rPr>
          <w:sz w:val="26"/>
          <w:szCs w:val="26"/>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5040"/>
      </w:tblGrid>
      <w:tr w:rsidR="00F514FB" w:rsidRPr="009A4CF6" w:rsidTr="00CF0916">
        <w:tc>
          <w:tcPr>
            <w:tcW w:w="5328" w:type="dxa"/>
          </w:tcPr>
          <w:p w:rsidR="00F514FB" w:rsidRPr="009A4CF6" w:rsidRDefault="00F514FB" w:rsidP="00D20B5C">
            <w:pPr>
              <w:rPr>
                <w:sz w:val="26"/>
                <w:szCs w:val="26"/>
              </w:rPr>
            </w:pPr>
          </w:p>
        </w:tc>
        <w:tc>
          <w:tcPr>
            <w:tcW w:w="5040" w:type="dxa"/>
          </w:tcPr>
          <w:p w:rsidR="00F514FB" w:rsidRPr="009A4CF6" w:rsidRDefault="00F514FB" w:rsidP="00941CAF">
            <w:pPr>
              <w:ind w:left="252" w:hanging="252"/>
              <w:jc w:val="center"/>
              <w:rPr>
                <w:sz w:val="26"/>
                <w:szCs w:val="26"/>
              </w:rPr>
            </w:pPr>
            <w:r w:rsidRPr="009A4CF6">
              <w:rPr>
                <w:sz w:val="26"/>
                <w:szCs w:val="26"/>
              </w:rPr>
              <w:t xml:space="preserve">Public Meeting held </w:t>
            </w:r>
            <w:r w:rsidR="001837F4" w:rsidRPr="009A4CF6">
              <w:rPr>
                <w:sz w:val="26"/>
                <w:szCs w:val="26"/>
              </w:rPr>
              <w:t>December 18</w:t>
            </w:r>
            <w:r w:rsidR="00CF0916" w:rsidRPr="009A4CF6">
              <w:rPr>
                <w:sz w:val="26"/>
                <w:szCs w:val="26"/>
              </w:rPr>
              <w:t>, 201</w:t>
            </w:r>
            <w:r w:rsidR="00FB2D9A" w:rsidRPr="009A4CF6">
              <w:rPr>
                <w:sz w:val="26"/>
                <w:szCs w:val="26"/>
              </w:rPr>
              <w:t>4</w:t>
            </w:r>
          </w:p>
          <w:p w:rsidR="00F514FB" w:rsidRPr="009A4CF6" w:rsidRDefault="00F514FB" w:rsidP="00D20B5C">
            <w:pPr>
              <w:jc w:val="right"/>
              <w:rPr>
                <w:sz w:val="26"/>
                <w:szCs w:val="26"/>
              </w:rPr>
            </w:pPr>
          </w:p>
          <w:p w:rsidR="00F514FB" w:rsidRPr="009A4CF6" w:rsidRDefault="00F514FB" w:rsidP="00D20B5C">
            <w:pPr>
              <w:jc w:val="right"/>
              <w:rPr>
                <w:sz w:val="26"/>
                <w:szCs w:val="26"/>
              </w:rPr>
            </w:pPr>
          </w:p>
        </w:tc>
      </w:tr>
      <w:tr w:rsidR="00F514FB" w:rsidRPr="009A4CF6" w:rsidTr="00307155">
        <w:trPr>
          <w:trHeight w:val="2646"/>
        </w:trPr>
        <w:tc>
          <w:tcPr>
            <w:tcW w:w="5328" w:type="dxa"/>
          </w:tcPr>
          <w:p w:rsidR="00F514FB" w:rsidRPr="009A4CF6" w:rsidRDefault="00F514FB" w:rsidP="00D20B5C">
            <w:pPr>
              <w:rPr>
                <w:sz w:val="26"/>
                <w:szCs w:val="26"/>
              </w:rPr>
            </w:pPr>
            <w:r w:rsidRPr="009A4CF6">
              <w:rPr>
                <w:sz w:val="26"/>
                <w:szCs w:val="26"/>
              </w:rPr>
              <w:t>Commissioners Present:</w:t>
            </w:r>
          </w:p>
          <w:p w:rsidR="00F514FB" w:rsidRPr="009A4CF6" w:rsidRDefault="00F514FB" w:rsidP="00D20B5C">
            <w:pPr>
              <w:rPr>
                <w:sz w:val="26"/>
                <w:szCs w:val="26"/>
              </w:rPr>
            </w:pPr>
          </w:p>
          <w:p w:rsidR="00F514FB" w:rsidRPr="009A4CF6" w:rsidRDefault="00F514FB" w:rsidP="00D20B5C">
            <w:pPr>
              <w:tabs>
                <w:tab w:val="left" w:pos="705"/>
              </w:tabs>
              <w:ind w:firstLine="720"/>
              <w:rPr>
                <w:sz w:val="26"/>
                <w:szCs w:val="26"/>
              </w:rPr>
            </w:pPr>
            <w:r w:rsidRPr="009A4CF6">
              <w:rPr>
                <w:sz w:val="26"/>
                <w:szCs w:val="26"/>
              </w:rPr>
              <w:t>Robert F. Powelson, Chairman</w:t>
            </w:r>
          </w:p>
          <w:p w:rsidR="00F514FB" w:rsidRPr="009A4CF6" w:rsidRDefault="00F514FB" w:rsidP="00D20B5C">
            <w:pPr>
              <w:tabs>
                <w:tab w:val="left" w:pos="705"/>
              </w:tabs>
              <w:ind w:firstLine="720"/>
              <w:rPr>
                <w:sz w:val="26"/>
                <w:szCs w:val="26"/>
              </w:rPr>
            </w:pPr>
            <w:r w:rsidRPr="009A4CF6">
              <w:rPr>
                <w:sz w:val="26"/>
                <w:szCs w:val="26"/>
              </w:rPr>
              <w:t>John F. Coleman, Jr., Vice Chairman</w:t>
            </w:r>
          </w:p>
          <w:p w:rsidR="00F514FB" w:rsidRPr="009A4CF6" w:rsidRDefault="00F514FB" w:rsidP="00D20B5C">
            <w:pPr>
              <w:tabs>
                <w:tab w:val="left" w:pos="705"/>
              </w:tabs>
              <w:ind w:firstLine="720"/>
              <w:rPr>
                <w:sz w:val="26"/>
                <w:szCs w:val="26"/>
              </w:rPr>
            </w:pPr>
            <w:r w:rsidRPr="009A4CF6">
              <w:rPr>
                <w:sz w:val="26"/>
                <w:szCs w:val="26"/>
              </w:rPr>
              <w:t>James H. Cawley</w:t>
            </w:r>
          </w:p>
          <w:p w:rsidR="00F514FB" w:rsidRPr="009A4CF6" w:rsidRDefault="00F514FB" w:rsidP="00D20B5C">
            <w:pPr>
              <w:tabs>
                <w:tab w:val="left" w:pos="705"/>
              </w:tabs>
              <w:ind w:firstLine="720"/>
              <w:rPr>
                <w:sz w:val="26"/>
                <w:szCs w:val="26"/>
              </w:rPr>
            </w:pPr>
            <w:r w:rsidRPr="009A4CF6">
              <w:rPr>
                <w:sz w:val="26"/>
                <w:szCs w:val="26"/>
              </w:rPr>
              <w:t>Pamela A. Witmer</w:t>
            </w:r>
            <w:r w:rsidR="00217911">
              <w:rPr>
                <w:sz w:val="26"/>
                <w:szCs w:val="26"/>
              </w:rPr>
              <w:t>, Statement</w:t>
            </w:r>
          </w:p>
          <w:p w:rsidR="00787A62" w:rsidRPr="009A4CF6" w:rsidRDefault="00787A62" w:rsidP="00D20B5C">
            <w:pPr>
              <w:tabs>
                <w:tab w:val="left" w:pos="705"/>
              </w:tabs>
              <w:ind w:firstLine="720"/>
              <w:rPr>
                <w:sz w:val="26"/>
                <w:szCs w:val="26"/>
              </w:rPr>
            </w:pPr>
            <w:r w:rsidRPr="009A4CF6">
              <w:rPr>
                <w:sz w:val="26"/>
                <w:szCs w:val="26"/>
              </w:rPr>
              <w:t>Gladys M. Brown</w:t>
            </w:r>
          </w:p>
          <w:p w:rsidR="00F514FB" w:rsidRPr="009A4CF6" w:rsidRDefault="00F514FB" w:rsidP="00D20B5C">
            <w:pPr>
              <w:rPr>
                <w:sz w:val="26"/>
                <w:szCs w:val="26"/>
              </w:rPr>
            </w:pPr>
          </w:p>
          <w:p w:rsidR="00F514FB" w:rsidRPr="009A4CF6" w:rsidRDefault="00F514FB" w:rsidP="00D20B5C">
            <w:pPr>
              <w:rPr>
                <w:sz w:val="26"/>
                <w:szCs w:val="26"/>
              </w:rPr>
            </w:pPr>
          </w:p>
        </w:tc>
        <w:tc>
          <w:tcPr>
            <w:tcW w:w="5040" w:type="dxa"/>
          </w:tcPr>
          <w:p w:rsidR="00F514FB" w:rsidRPr="009A4CF6" w:rsidRDefault="00F514FB" w:rsidP="00D20B5C">
            <w:pPr>
              <w:jc w:val="right"/>
              <w:rPr>
                <w:sz w:val="26"/>
                <w:szCs w:val="26"/>
              </w:rPr>
            </w:pPr>
          </w:p>
          <w:p w:rsidR="00F514FB" w:rsidRPr="009A4CF6" w:rsidRDefault="00F514FB" w:rsidP="00D20B5C">
            <w:pPr>
              <w:jc w:val="right"/>
              <w:rPr>
                <w:sz w:val="26"/>
                <w:szCs w:val="26"/>
              </w:rPr>
            </w:pPr>
          </w:p>
        </w:tc>
      </w:tr>
      <w:tr w:rsidR="00F514FB" w:rsidRPr="009A4CF6" w:rsidTr="00CF0916">
        <w:tc>
          <w:tcPr>
            <w:tcW w:w="5328" w:type="dxa"/>
          </w:tcPr>
          <w:p w:rsidR="00355C63" w:rsidRPr="009A4CF6" w:rsidRDefault="001837F4" w:rsidP="001837F4">
            <w:pPr>
              <w:rPr>
                <w:sz w:val="26"/>
                <w:szCs w:val="26"/>
              </w:rPr>
            </w:pPr>
            <w:r w:rsidRPr="009A4CF6">
              <w:rPr>
                <w:sz w:val="26"/>
                <w:szCs w:val="26"/>
              </w:rPr>
              <w:t>Investigation of Pennsylvania’s Retail Natural Gas Supply Market</w:t>
            </w:r>
          </w:p>
        </w:tc>
        <w:tc>
          <w:tcPr>
            <w:tcW w:w="5040" w:type="dxa"/>
          </w:tcPr>
          <w:p w:rsidR="00F514FB" w:rsidRPr="009A4CF6" w:rsidRDefault="001837F4" w:rsidP="001837F4">
            <w:pPr>
              <w:jc w:val="center"/>
              <w:rPr>
                <w:sz w:val="26"/>
                <w:szCs w:val="26"/>
              </w:rPr>
            </w:pPr>
            <w:r w:rsidRPr="009A4CF6">
              <w:rPr>
                <w:sz w:val="26"/>
                <w:szCs w:val="26"/>
              </w:rPr>
              <w:t>I</w:t>
            </w:r>
            <w:r w:rsidR="0000606F" w:rsidRPr="009A4CF6">
              <w:rPr>
                <w:sz w:val="26"/>
                <w:szCs w:val="26"/>
              </w:rPr>
              <w:t>-2013-</w:t>
            </w:r>
            <w:r w:rsidRPr="009A4CF6">
              <w:rPr>
                <w:sz w:val="26"/>
                <w:szCs w:val="26"/>
              </w:rPr>
              <w:t>2381742</w:t>
            </w:r>
          </w:p>
        </w:tc>
      </w:tr>
      <w:tr w:rsidR="00F514FB" w:rsidRPr="009A4CF6" w:rsidTr="00CF0916">
        <w:tc>
          <w:tcPr>
            <w:tcW w:w="5328" w:type="dxa"/>
          </w:tcPr>
          <w:p w:rsidR="00F514FB" w:rsidRPr="009A4CF6" w:rsidRDefault="00F514FB" w:rsidP="00D20B5C">
            <w:pPr>
              <w:ind w:firstLine="1440"/>
              <w:rPr>
                <w:sz w:val="26"/>
                <w:szCs w:val="26"/>
              </w:rPr>
            </w:pPr>
          </w:p>
        </w:tc>
        <w:tc>
          <w:tcPr>
            <w:tcW w:w="5040" w:type="dxa"/>
          </w:tcPr>
          <w:p w:rsidR="00F514FB" w:rsidRPr="009A4CF6" w:rsidRDefault="00F514FB" w:rsidP="00D20B5C">
            <w:pPr>
              <w:rPr>
                <w:sz w:val="26"/>
                <w:szCs w:val="26"/>
              </w:rPr>
            </w:pPr>
          </w:p>
          <w:p w:rsidR="00044E24" w:rsidRPr="009A4CF6" w:rsidRDefault="00044E24" w:rsidP="00D20B5C">
            <w:pPr>
              <w:rPr>
                <w:sz w:val="26"/>
                <w:szCs w:val="26"/>
              </w:rPr>
            </w:pPr>
          </w:p>
        </w:tc>
      </w:tr>
      <w:tr w:rsidR="00F514FB" w:rsidRPr="009A4CF6" w:rsidTr="00CF0916">
        <w:tc>
          <w:tcPr>
            <w:tcW w:w="5328" w:type="dxa"/>
          </w:tcPr>
          <w:p w:rsidR="00F514FB" w:rsidRPr="009A4CF6" w:rsidRDefault="00F514FB" w:rsidP="00D20B5C">
            <w:pPr>
              <w:rPr>
                <w:sz w:val="26"/>
                <w:szCs w:val="26"/>
              </w:rPr>
            </w:pPr>
          </w:p>
        </w:tc>
        <w:tc>
          <w:tcPr>
            <w:tcW w:w="5040" w:type="dxa"/>
          </w:tcPr>
          <w:p w:rsidR="00F514FB" w:rsidRPr="009A4CF6" w:rsidRDefault="00F514FB" w:rsidP="00D20B5C">
            <w:pPr>
              <w:rPr>
                <w:sz w:val="26"/>
                <w:szCs w:val="26"/>
              </w:rPr>
            </w:pPr>
          </w:p>
        </w:tc>
      </w:tr>
    </w:tbl>
    <w:p w:rsidR="00E36018" w:rsidRPr="009A4CF6" w:rsidRDefault="00E36018" w:rsidP="00F514FB">
      <w:pPr>
        <w:jc w:val="center"/>
        <w:rPr>
          <w:b/>
          <w:sz w:val="26"/>
          <w:szCs w:val="26"/>
        </w:rPr>
      </w:pPr>
    </w:p>
    <w:p w:rsidR="00F514FB" w:rsidRPr="009A4CF6" w:rsidRDefault="00417991" w:rsidP="00F514FB">
      <w:pPr>
        <w:jc w:val="center"/>
        <w:rPr>
          <w:b/>
          <w:sz w:val="26"/>
          <w:szCs w:val="26"/>
        </w:rPr>
      </w:pPr>
      <w:r w:rsidRPr="009A4CF6">
        <w:rPr>
          <w:b/>
          <w:sz w:val="26"/>
          <w:szCs w:val="26"/>
        </w:rPr>
        <w:t>FINAL</w:t>
      </w:r>
      <w:r w:rsidR="00355C63" w:rsidRPr="009A4CF6">
        <w:rPr>
          <w:b/>
          <w:sz w:val="26"/>
          <w:szCs w:val="26"/>
        </w:rPr>
        <w:t xml:space="preserve"> </w:t>
      </w:r>
      <w:r w:rsidR="00F514FB" w:rsidRPr="009A4CF6">
        <w:rPr>
          <w:b/>
          <w:sz w:val="26"/>
          <w:szCs w:val="26"/>
        </w:rPr>
        <w:t>ORDER</w:t>
      </w:r>
    </w:p>
    <w:p w:rsidR="00F514FB" w:rsidRPr="009A4CF6" w:rsidRDefault="00F514FB" w:rsidP="00F514FB">
      <w:pPr>
        <w:jc w:val="center"/>
        <w:rPr>
          <w:b/>
          <w:sz w:val="26"/>
          <w:szCs w:val="26"/>
        </w:rPr>
      </w:pPr>
    </w:p>
    <w:p w:rsidR="00B25038" w:rsidRPr="009A4CF6" w:rsidRDefault="00B25038" w:rsidP="00355C63">
      <w:pPr>
        <w:spacing w:line="360" w:lineRule="auto"/>
        <w:rPr>
          <w:b/>
          <w:sz w:val="26"/>
          <w:szCs w:val="26"/>
        </w:rPr>
      </w:pPr>
    </w:p>
    <w:p w:rsidR="00B25038" w:rsidRPr="009A4CF6" w:rsidRDefault="00B25038" w:rsidP="00355C63">
      <w:pPr>
        <w:spacing w:line="360" w:lineRule="auto"/>
        <w:rPr>
          <w:b/>
          <w:sz w:val="26"/>
          <w:szCs w:val="26"/>
        </w:rPr>
      </w:pPr>
    </w:p>
    <w:p w:rsidR="00B25038" w:rsidRPr="009A4CF6" w:rsidRDefault="00B25038" w:rsidP="00355C63">
      <w:pPr>
        <w:spacing w:line="360" w:lineRule="auto"/>
        <w:rPr>
          <w:b/>
          <w:sz w:val="26"/>
          <w:szCs w:val="26"/>
        </w:rPr>
      </w:pPr>
    </w:p>
    <w:p w:rsidR="00B25038" w:rsidRPr="009A4CF6" w:rsidRDefault="00B25038" w:rsidP="00355C63">
      <w:pPr>
        <w:spacing w:line="360" w:lineRule="auto"/>
        <w:rPr>
          <w:b/>
          <w:sz w:val="26"/>
          <w:szCs w:val="26"/>
        </w:rPr>
      </w:pPr>
    </w:p>
    <w:p w:rsidR="00B25038" w:rsidRPr="009A4CF6" w:rsidRDefault="00B25038" w:rsidP="00355C63">
      <w:pPr>
        <w:spacing w:line="360" w:lineRule="auto"/>
        <w:rPr>
          <w:b/>
          <w:sz w:val="26"/>
          <w:szCs w:val="26"/>
        </w:rPr>
      </w:pPr>
    </w:p>
    <w:p w:rsidR="00B25038" w:rsidRPr="009A4CF6" w:rsidRDefault="00B25038" w:rsidP="00355C63">
      <w:pPr>
        <w:spacing w:line="360" w:lineRule="auto"/>
        <w:rPr>
          <w:b/>
          <w:sz w:val="26"/>
          <w:szCs w:val="26"/>
        </w:rPr>
      </w:pPr>
    </w:p>
    <w:p w:rsidR="00B25038" w:rsidRPr="009A4CF6" w:rsidRDefault="00B25038" w:rsidP="00355C63">
      <w:pPr>
        <w:spacing w:line="360" w:lineRule="auto"/>
        <w:rPr>
          <w:b/>
          <w:sz w:val="26"/>
          <w:szCs w:val="26"/>
        </w:rPr>
      </w:pPr>
    </w:p>
    <w:p w:rsidR="00B25038" w:rsidRPr="009A4CF6" w:rsidRDefault="00B25038" w:rsidP="00355C63">
      <w:pPr>
        <w:spacing w:line="360" w:lineRule="auto"/>
        <w:rPr>
          <w:b/>
          <w:sz w:val="26"/>
          <w:szCs w:val="26"/>
        </w:rPr>
      </w:pPr>
    </w:p>
    <w:p w:rsidR="00B25038" w:rsidRPr="009A4CF6" w:rsidRDefault="00B25038" w:rsidP="00355C63">
      <w:pPr>
        <w:spacing w:line="360" w:lineRule="auto"/>
        <w:rPr>
          <w:b/>
          <w:sz w:val="26"/>
          <w:szCs w:val="26"/>
        </w:rPr>
      </w:pPr>
    </w:p>
    <w:p w:rsidR="00B25038" w:rsidRPr="009A4CF6" w:rsidRDefault="00B25038" w:rsidP="00355C63">
      <w:pPr>
        <w:spacing w:line="360" w:lineRule="auto"/>
        <w:rPr>
          <w:b/>
          <w:sz w:val="26"/>
          <w:szCs w:val="26"/>
        </w:rPr>
      </w:pPr>
    </w:p>
    <w:p w:rsidR="00B25038" w:rsidRPr="009A4CF6" w:rsidRDefault="00B25038" w:rsidP="00355C63">
      <w:pPr>
        <w:spacing w:line="360" w:lineRule="auto"/>
        <w:rPr>
          <w:b/>
          <w:sz w:val="26"/>
          <w:szCs w:val="26"/>
        </w:rPr>
      </w:pPr>
    </w:p>
    <w:p w:rsidR="00B25038" w:rsidRPr="009A4CF6" w:rsidRDefault="00B25038" w:rsidP="00355C63">
      <w:pPr>
        <w:spacing w:line="360" w:lineRule="auto"/>
        <w:rPr>
          <w:b/>
          <w:sz w:val="26"/>
          <w:szCs w:val="26"/>
        </w:rPr>
      </w:pPr>
    </w:p>
    <w:sdt>
      <w:sdtPr>
        <w:rPr>
          <w:rFonts w:ascii="Times New Roman" w:eastAsia="Times New Roman" w:hAnsi="Times New Roman" w:cs="Times New Roman"/>
          <w:b w:val="0"/>
          <w:bCs w:val="0"/>
          <w:color w:val="auto"/>
          <w:sz w:val="20"/>
          <w:szCs w:val="20"/>
          <w:lang w:eastAsia="en-US"/>
        </w:rPr>
        <w:id w:val="-1441217313"/>
        <w:docPartObj>
          <w:docPartGallery w:val="Table of Contents"/>
          <w:docPartUnique/>
        </w:docPartObj>
      </w:sdtPr>
      <w:sdtEndPr>
        <w:rPr>
          <w:noProof/>
        </w:rPr>
      </w:sdtEndPr>
      <w:sdtContent>
        <w:p w:rsidR="00CB1FC9" w:rsidRPr="009A4CF6" w:rsidRDefault="00CB1FC9" w:rsidP="00CB1FC9">
          <w:pPr>
            <w:pStyle w:val="TOCHeading"/>
            <w:spacing w:before="0" w:line="360" w:lineRule="auto"/>
            <w:jc w:val="center"/>
            <w:rPr>
              <w:rFonts w:ascii="Times New Roman" w:hAnsi="Times New Roman" w:cs="Times New Roman"/>
              <w:color w:val="auto"/>
              <w:sz w:val="26"/>
              <w:szCs w:val="26"/>
            </w:rPr>
          </w:pPr>
          <w:r w:rsidRPr="009A4CF6">
            <w:rPr>
              <w:rFonts w:ascii="Times New Roman" w:hAnsi="Times New Roman" w:cs="Times New Roman"/>
              <w:color w:val="auto"/>
              <w:sz w:val="26"/>
              <w:szCs w:val="26"/>
            </w:rPr>
            <w:t>Table of Contents</w:t>
          </w:r>
        </w:p>
        <w:p w:rsidR="00CB1FC9" w:rsidRPr="009A4CF6" w:rsidRDefault="00CB1FC9" w:rsidP="00CB1FC9">
          <w:pPr>
            <w:pStyle w:val="TOC1"/>
            <w:tabs>
              <w:tab w:val="right" w:leader="dot" w:pos="9350"/>
            </w:tabs>
            <w:spacing w:after="0" w:line="360" w:lineRule="auto"/>
            <w:rPr>
              <w:rFonts w:eastAsiaTheme="minorEastAsia"/>
              <w:noProof/>
            </w:rPr>
          </w:pPr>
          <w:r w:rsidRPr="009A4CF6">
            <w:fldChar w:fldCharType="begin"/>
          </w:r>
          <w:r w:rsidRPr="009A4CF6">
            <w:instrText xml:space="preserve"> TOC \o "1-3" \h \z \u </w:instrText>
          </w:r>
          <w:r w:rsidRPr="009A4CF6">
            <w:fldChar w:fldCharType="separate"/>
          </w:r>
          <w:hyperlink w:anchor="_Toc405359491" w:history="1">
            <w:r w:rsidRPr="009A4CF6">
              <w:rPr>
                <w:rStyle w:val="Hyperlink"/>
                <w:noProof/>
              </w:rPr>
              <w:t>BACKGROUND</w:t>
            </w:r>
            <w:r w:rsidRPr="009A4CF6">
              <w:rPr>
                <w:noProof/>
                <w:webHidden/>
              </w:rPr>
              <w:tab/>
            </w:r>
            <w:r w:rsidRPr="009A4CF6">
              <w:rPr>
                <w:noProof/>
                <w:webHidden/>
              </w:rPr>
              <w:fldChar w:fldCharType="begin"/>
            </w:r>
            <w:r w:rsidRPr="009A4CF6">
              <w:rPr>
                <w:noProof/>
                <w:webHidden/>
              </w:rPr>
              <w:instrText xml:space="preserve"> PAGEREF _Toc405359491 \h </w:instrText>
            </w:r>
            <w:r w:rsidRPr="009A4CF6">
              <w:rPr>
                <w:noProof/>
                <w:webHidden/>
              </w:rPr>
            </w:r>
            <w:r w:rsidRPr="009A4CF6">
              <w:rPr>
                <w:noProof/>
                <w:webHidden/>
              </w:rPr>
              <w:fldChar w:fldCharType="separate"/>
            </w:r>
            <w:r w:rsidR="00453028">
              <w:rPr>
                <w:noProof/>
                <w:webHidden/>
              </w:rPr>
              <w:t>3</w:t>
            </w:r>
            <w:r w:rsidRPr="009A4CF6">
              <w:rPr>
                <w:noProof/>
                <w:webHidden/>
              </w:rPr>
              <w:fldChar w:fldCharType="end"/>
            </w:r>
          </w:hyperlink>
        </w:p>
        <w:p w:rsidR="00CB1FC9" w:rsidRPr="009A4CF6" w:rsidRDefault="00EF510D" w:rsidP="00CB1FC9">
          <w:pPr>
            <w:pStyle w:val="TOC1"/>
            <w:tabs>
              <w:tab w:val="right" w:leader="dot" w:pos="9350"/>
            </w:tabs>
            <w:spacing w:after="0" w:line="360" w:lineRule="auto"/>
            <w:rPr>
              <w:rFonts w:eastAsiaTheme="minorEastAsia"/>
              <w:noProof/>
            </w:rPr>
          </w:pPr>
          <w:hyperlink w:anchor="_Toc405359492" w:history="1">
            <w:r w:rsidR="00CB1FC9" w:rsidRPr="009A4CF6">
              <w:rPr>
                <w:rStyle w:val="Hyperlink"/>
                <w:noProof/>
              </w:rPr>
              <w:t>DISCUSSION</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_Toc405359492 \h </w:instrText>
            </w:r>
            <w:r w:rsidR="00CB1FC9" w:rsidRPr="009A4CF6">
              <w:rPr>
                <w:noProof/>
                <w:webHidden/>
              </w:rPr>
            </w:r>
            <w:r w:rsidR="00CB1FC9" w:rsidRPr="009A4CF6">
              <w:rPr>
                <w:noProof/>
                <w:webHidden/>
              </w:rPr>
              <w:fldChar w:fldCharType="separate"/>
            </w:r>
            <w:r w:rsidR="00453028">
              <w:rPr>
                <w:noProof/>
                <w:webHidden/>
              </w:rPr>
              <w:t>4</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493" w:history="1">
            <w:r w:rsidR="00CB1FC9" w:rsidRPr="009A4CF6">
              <w:rPr>
                <w:rStyle w:val="Hyperlink"/>
                <w:noProof/>
              </w:rPr>
              <w:t>A.</w:t>
            </w:r>
            <w:r w:rsidR="00CB1FC9" w:rsidRPr="009A4CF6">
              <w:rPr>
                <w:rFonts w:eastAsiaTheme="minorEastAsia"/>
                <w:noProof/>
              </w:rPr>
              <w:tab/>
            </w:r>
            <w:r w:rsidR="00CB1FC9" w:rsidRPr="009A4CF6">
              <w:rPr>
                <w:rStyle w:val="Hyperlink"/>
                <w:noProof/>
              </w:rPr>
              <w:t>Next Steps for Pennsylvania’s Retail Natural Gas Market</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_Toc405359493 \h </w:instrText>
            </w:r>
            <w:r w:rsidR="00CB1FC9" w:rsidRPr="009A4CF6">
              <w:rPr>
                <w:noProof/>
                <w:webHidden/>
              </w:rPr>
            </w:r>
            <w:r w:rsidR="00CB1FC9" w:rsidRPr="009A4CF6">
              <w:rPr>
                <w:noProof/>
                <w:webHidden/>
              </w:rPr>
              <w:fldChar w:fldCharType="separate"/>
            </w:r>
            <w:r w:rsidR="00453028">
              <w:rPr>
                <w:noProof/>
                <w:webHidden/>
              </w:rPr>
              <w:t>5</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494" w:history="1">
            <w:r w:rsidR="00CB1FC9" w:rsidRPr="009A4CF6">
              <w:rPr>
                <w:rStyle w:val="Hyperlink"/>
                <w:noProof/>
              </w:rPr>
              <w:t>B.</w:t>
            </w:r>
            <w:r w:rsidR="00CB1FC9" w:rsidRPr="009A4CF6">
              <w:rPr>
                <w:rFonts w:eastAsiaTheme="minorEastAsia"/>
                <w:noProof/>
              </w:rPr>
              <w:tab/>
            </w:r>
            <w:r w:rsidR="00CB1FC9" w:rsidRPr="009A4CF6">
              <w:rPr>
                <w:rStyle w:val="Hyperlink"/>
                <w:noProof/>
              </w:rPr>
              <w:t>Provision of Supplier of Last Resort Service</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_Toc405359494 \h </w:instrText>
            </w:r>
            <w:r w:rsidR="00CB1FC9" w:rsidRPr="009A4CF6">
              <w:rPr>
                <w:noProof/>
                <w:webHidden/>
              </w:rPr>
            </w:r>
            <w:r w:rsidR="00CB1FC9" w:rsidRPr="009A4CF6">
              <w:rPr>
                <w:noProof/>
                <w:webHidden/>
              </w:rPr>
              <w:fldChar w:fldCharType="separate"/>
            </w:r>
            <w:r w:rsidR="00453028">
              <w:rPr>
                <w:noProof/>
                <w:webHidden/>
              </w:rPr>
              <w:t>7</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495" w:history="1">
            <w:r w:rsidR="00CB1FC9" w:rsidRPr="009A4CF6">
              <w:rPr>
                <w:rStyle w:val="Hyperlink"/>
                <w:noProof/>
              </w:rPr>
              <w:t>C.</w:t>
            </w:r>
            <w:r w:rsidR="00CB1FC9" w:rsidRPr="009A4CF6">
              <w:rPr>
                <w:rFonts w:eastAsiaTheme="minorEastAsia"/>
                <w:noProof/>
              </w:rPr>
              <w:tab/>
            </w:r>
            <w:r w:rsidR="00CB1FC9" w:rsidRPr="009A4CF6">
              <w:rPr>
                <w:rStyle w:val="Hyperlink"/>
                <w:noProof/>
              </w:rPr>
              <w:t>Rate Unbundling</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_Toc405359495 \h </w:instrText>
            </w:r>
            <w:r w:rsidR="00CB1FC9" w:rsidRPr="009A4CF6">
              <w:rPr>
                <w:noProof/>
                <w:webHidden/>
              </w:rPr>
            </w:r>
            <w:r w:rsidR="00CB1FC9" w:rsidRPr="009A4CF6">
              <w:rPr>
                <w:noProof/>
                <w:webHidden/>
              </w:rPr>
              <w:fldChar w:fldCharType="separate"/>
            </w:r>
            <w:r w:rsidR="00453028">
              <w:rPr>
                <w:noProof/>
                <w:webHidden/>
              </w:rPr>
              <w:t>9</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496" w:history="1">
            <w:r w:rsidR="00CB1FC9" w:rsidRPr="009A4CF6">
              <w:rPr>
                <w:rStyle w:val="Hyperlink"/>
                <w:noProof/>
              </w:rPr>
              <w:t>D.</w:t>
            </w:r>
            <w:r w:rsidR="00CB1FC9" w:rsidRPr="009A4CF6">
              <w:rPr>
                <w:rFonts w:eastAsiaTheme="minorEastAsia"/>
                <w:noProof/>
              </w:rPr>
              <w:tab/>
            </w:r>
            <w:r w:rsidR="00CB1FC9" w:rsidRPr="009A4CF6">
              <w:rPr>
                <w:rStyle w:val="Hyperlink"/>
                <w:noProof/>
              </w:rPr>
              <w:t>Assignment of Capacity and Use of Storage Assets</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_Toc405359496 \h </w:instrText>
            </w:r>
            <w:r w:rsidR="00CB1FC9" w:rsidRPr="009A4CF6">
              <w:rPr>
                <w:noProof/>
                <w:webHidden/>
              </w:rPr>
            </w:r>
            <w:r w:rsidR="00CB1FC9" w:rsidRPr="009A4CF6">
              <w:rPr>
                <w:noProof/>
                <w:webHidden/>
              </w:rPr>
              <w:fldChar w:fldCharType="separate"/>
            </w:r>
            <w:r w:rsidR="00453028">
              <w:rPr>
                <w:noProof/>
                <w:webHidden/>
              </w:rPr>
              <w:t>11</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497" w:history="1">
            <w:r w:rsidR="00CB1FC9" w:rsidRPr="009A4CF6">
              <w:rPr>
                <w:rStyle w:val="Hyperlink"/>
                <w:noProof/>
              </w:rPr>
              <w:t>E.</w:t>
            </w:r>
            <w:r w:rsidR="00CB1FC9" w:rsidRPr="009A4CF6">
              <w:rPr>
                <w:rFonts w:eastAsiaTheme="minorEastAsia"/>
                <w:noProof/>
              </w:rPr>
              <w:tab/>
            </w:r>
            <w:r w:rsidR="00CB1FC9" w:rsidRPr="009A4CF6">
              <w:rPr>
                <w:rStyle w:val="Hyperlink"/>
                <w:noProof/>
              </w:rPr>
              <w:t>Nondiscrimination in Access Points on NGDC Systems</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_Toc405359497 \h </w:instrText>
            </w:r>
            <w:r w:rsidR="00CB1FC9" w:rsidRPr="009A4CF6">
              <w:rPr>
                <w:noProof/>
                <w:webHidden/>
              </w:rPr>
            </w:r>
            <w:r w:rsidR="00CB1FC9" w:rsidRPr="009A4CF6">
              <w:rPr>
                <w:noProof/>
                <w:webHidden/>
              </w:rPr>
              <w:fldChar w:fldCharType="separate"/>
            </w:r>
            <w:r w:rsidR="00453028">
              <w:rPr>
                <w:noProof/>
                <w:webHidden/>
              </w:rPr>
              <w:t>15</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498" w:history="1">
            <w:r w:rsidR="00CB1FC9" w:rsidRPr="009A4CF6">
              <w:rPr>
                <w:rStyle w:val="Hyperlink"/>
                <w:noProof/>
              </w:rPr>
              <w:t>F.</w:t>
            </w:r>
            <w:r w:rsidR="00CB1FC9" w:rsidRPr="009A4CF6">
              <w:rPr>
                <w:rFonts w:eastAsiaTheme="minorEastAsia"/>
                <w:noProof/>
              </w:rPr>
              <w:tab/>
            </w:r>
            <w:r w:rsidR="00CB1FC9" w:rsidRPr="009A4CF6">
              <w:rPr>
                <w:rStyle w:val="Hyperlink"/>
                <w:noProof/>
              </w:rPr>
              <w:t>System Balance, Tolerances, and Penalties</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_Toc405359498 \h </w:instrText>
            </w:r>
            <w:r w:rsidR="00CB1FC9" w:rsidRPr="009A4CF6">
              <w:rPr>
                <w:noProof/>
                <w:webHidden/>
              </w:rPr>
            </w:r>
            <w:r w:rsidR="00CB1FC9" w:rsidRPr="009A4CF6">
              <w:rPr>
                <w:noProof/>
                <w:webHidden/>
              </w:rPr>
              <w:fldChar w:fldCharType="separate"/>
            </w:r>
            <w:r w:rsidR="00453028">
              <w:rPr>
                <w:noProof/>
                <w:webHidden/>
              </w:rPr>
              <w:t>17</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499" w:history="1">
            <w:r w:rsidR="00CB1FC9" w:rsidRPr="009A4CF6">
              <w:rPr>
                <w:rStyle w:val="Hyperlink"/>
                <w:noProof/>
              </w:rPr>
              <w:t>G.</w:t>
            </w:r>
            <w:r w:rsidR="00CB1FC9" w:rsidRPr="009A4CF6">
              <w:rPr>
                <w:rFonts w:eastAsiaTheme="minorEastAsia"/>
                <w:noProof/>
              </w:rPr>
              <w:tab/>
            </w:r>
            <w:r w:rsidR="00CB1FC9" w:rsidRPr="009A4CF6">
              <w:rPr>
                <w:rStyle w:val="Hyperlink"/>
                <w:noProof/>
              </w:rPr>
              <w:t>Creditworthiness Requirements</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_Toc405359499 \h </w:instrText>
            </w:r>
            <w:r w:rsidR="00CB1FC9" w:rsidRPr="009A4CF6">
              <w:rPr>
                <w:noProof/>
                <w:webHidden/>
              </w:rPr>
            </w:r>
            <w:r w:rsidR="00CB1FC9" w:rsidRPr="009A4CF6">
              <w:rPr>
                <w:noProof/>
                <w:webHidden/>
              </w:rPr>
              <w:fldChar w:fldCharType="separate"/>
            </w:r>
            <w:r w:rsidR="00453028">
              <w:rPr>
                <w:noProof/>
                <w:webHidden/>
              </w:rPr>
              <w:t>20</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500" w:history="1">
            <w:r w:rsidR="00CB1FC9" w:rsidRPr="009A4CF6">
              <w:rPr>
                <w:rStyle w:val="Hyperlink"/>
                <w:noProof/>
              </w:rPr>
              <w:t>H.</w:t>
            </w:r>
            <w:r w:rsidR="00CB1FC9" w:rsidRPr="009A4CF6">
              <w:rPr>
                <w:rFonts w:eastAsiaTheme="minorEastAsia"/>
                <w:noProof/>
              </w:rPr>
              <w:tab/>
            </w:r>
            <w:r w:rsidR="00CB1FC9" w:rsidRPr="009A4CF6">
              <w:rPr>
                <w:rStyle w:val="Hyperlink"/>
                <w:noProof/>
              </w:rPr>
              <w:t>Seamless Moves and Instant Connects</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_Toc405359500 \h </w:instrText>
            </w:r>
            <w:r w:rsidR="00CB1FC9" w:rsidRPr="009A4CF6">
              <w:rPr>
                <w:noProof/>
                <w:webHidden/>
              </w:rPr>
            </w:r>
            <w:r w:rsidR="00CB1FC9" w:rsidRPr="009A4CF6">
              <w:rPr>
                <w:noProof/>
                <w:webHidden/>
              </w:rPr>
              <w:fldChar w:fldCharType="separate"/>
            </w:r>
            <w:r w:rsidR="00453028">
              <w:rPr>
                <w:noProof/>
                <w:webHidden/>
              </w:rPr>
              <w:t>22</w:t>
            </w:r>
            <w:r w:rsidR="00CB1FC9" w:rsidRPr="009A4CF6">
              <w:rPr>
                <w:noProof/>
                <w:webHidden/>
              </w:rPr>
              <w:fldChar w:fldCharType="end"/>
            </w:r>
          </w:hyperlink>
        </w:p>
        <w:p w:rsidR="00CB1FC9" w:rsidRPr="009A4CF6" w:rsidRDefault="00EF510D" w:rsidP="00CB1FC9">
          <w:pPr>
            <w:pStyle w:val="TOC2"/>
            <w:tabs>
              <w:tab w:val="left" w:pos="660"/>
              <w:tab w:val="right" w:leader="dot" w:pos="9350"/>
            </w:tabs>
            <w:spacing w:after="0" w:line="360" w:lineRule="auto"/>
            <w:rPr>
              <w:rFonts w:eastAsiaTheme="minorEastAsia"/>
              <w:noProof/>
            </w:rPr>
          </w:pPr>
          <w:hyperlink w:anchor="_Toc405359501" w:history="1">
            <w:r w:rsidR="00CB1FC9" w:rsidRPr="009A4CF6">
              <w:rPr>
                <w:rStyle w:val="Hyperlink"/>
                <w:noProof/>
              </w:rPr>
              <w:t>I.</w:t>
            </w:r>
            <w:r w:rsidR="00CB1FC9" w:rsidRPr="009A4CF6">
              <w:rPr>
                <w:rFonts w:eastAsiaTheme="minorEastAsia"/>
                <w:noProof/>
              </w:rPr>
              <w:tab/>
            </w:r>
            <w:r w:rsidR="008F59AE" w:rsidRPr="009A4CF6">
              <w:rPr>
                <w:rFonts w:eastAsiaTheme="minorEastAsia"/>
                <w:noProof/>
              </w:rPr>
              <w:t xml:space="preserve">   </w:t>
            </w:r>
            <w:r w:rsidR="00CB1FC9" w:rsidRPr="009A4CF6">
              <w:rPr>
                <w:rStyle w:val="Hyperlink"/>
                <w:noProof/>
              </w:rPr>
              <w:t>Accelerated Switching</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_Toc405359501 \h </w:instrText>
            </w:r>
            <w:r w:rsidR="00CB1FC9" w:rsidRPr="009A4CF6">
              <w:rPr>
                <w:noProof/>
                <w:webHidden/>
              </w:rPr>
            </w:r>
            <w:r w:rsidR="00CB1FC9" w:rsidRPr="009A4CF6">
              <w:rPr>
                <w:noProof/>
                <w:webHidden/>
              </w:rPr>
              <w:fldChar w:fldCharType="separate"/>
            </w:r>
            <w:r w:rsidR="00453028">
              <w:rPr>
                <w:noProof/>
                <w:webHidden/>
              </w:rPr>
              <w:t>24</w:t>
            </w:r>
            <w:r w:rsidR="00CB1FC9" w:rsidRPr="009A4CF6">
              <w:rPr>
                <w:noProof/>
                <w:webHidden/>
              </w:rPr>
              <w:fldChar w:fldCharType="end"/>
            </w:r>
          </w:hyperlink>
        </w:p>
        <w:p w:rsidR="00CB1FC9" w:rsidRPr="009A4CF6" w:rsidRDefault="00EF510D" w:rsidP="00CB1FC9">
          <w:pPr>
            <w:pStyle w:val="TOC2"/>
            <w:tabs>
              <w:tab w:val="left" w:pos="660"/>
              <w:tab w:val="right" w:leader="dot" w:pos="9350"/>
            </w:tabs>
            <w:spacing w:after="0" w:line="360" w:lineRule="auto"/>
            <w:rPr>
              <w:rFonts w:eastAsiaTheme="minorEastAsia"/>
              <w:noProof/>
            </w:rPr>
          </w:pPr>
          <w:hyperlink w:anchor="_Toc405359502" w:history="1">
            <w:r w:rsidR="00CB1FC9" w:rsidRPr="009A4CF6">
              <w:rPr>
                <w:rStyle w:val="Hyperlink"/>
                <w:noProof/>
              </w:rPr>
              <w:t>J.</w:t>
            </w:r>
            <w:r w:rsidR="00CB1FC9" w:rsidRPr="009A4CF6">
              <w:rPr>
                <w:rFonts w:eastAsiaTheme="minorEastAsia"/>
                <w:noProof/>
              </w:rPr>
              <w:tab/>
            </w:r>
            <w:r w:rsidR="008F59AE" w:rsidRPr="009A4CF6">
              <w:rPr>
                <w:rFonts w:eastAsiaTheme="minorEastAsia"/>
                <w:noProof/>
              </w:rPr>
              <w:t xml:space="preserve">   </w:t>
            </w:r>
            <w:r w:rsidR="00CB1FC9" w:rsidRPr="009A4CF6">
              <w:rPr>
                <w:rStyle w:val="Hyperlink"/>
                <w:noProof/>
              </w:rPr>
              <w:t>Standard Offer Program</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_Toc405359502 \h </w:instrText>
            </w:r>
            <w:r w:rsidR="00CB1FC9" w:rsidRPr="009A4CF6">
              <w:rPr>
                <w:noProof/>
                <w:webHidden/>
              </w:rPr>
            </w:r>
            <w:r w:rsidR="00CB1FC9" w:rsidRPr="009A4CF6">
              <w:rPr>
                <w:noProof/>
                <w:webHidden/>
              </w:rPr>
              <w:fldChar w:fldCharType="separate"/>
            </w:r>
            <w:r w:rsidR="00453028">
              <w:rPr>
                <w:noProof/>
                <w:webHidden/>
              </w:rPr>
              <w:t>26</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503" w:history="1">
            <w:r w:rsidR="00CB1FC9" w:rsidRPr="009A4CF6">
              <w:rPr>
                <w:rStyle w:val="Hyperlink"/>
                <w:noProof/>
              </w:rPr>
              <w:t>K.</w:t>
            </w:r>
            <w:r w:rsidR="00CB1FC9" w:rsidRPr="009A4CF6">
              <w:rPr>
                <w:rFonts w:eastAsiaTheme="minorEastAsia"/>
                <w:noProof/>
              </w:rPr>
              <w:tab/>
            </w:r>
            <w:r w:rsidR="00CB1FC9" w:rsidRPr="009A4CF6">
              <w:rPr>
                <w:rStyle w:val="Hyperlink"/>
                <w:noProof/>
              </w:rPr>
              <w:t>Low-Income Customer Shopping</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_Toc405359503 \h </w:instrText>
            </w:r>
            <w:r w:rsidR="00CB1FC9" w:rsidRPr="009A4CF6">
              <w:rPr>
                <w:noProof/>
                <w:webHidden/>
              </w:rPr>
            </w:r>
            <w:r w:rsidR="00CB1FC9" w:rsidRPr="009A4CF6">
              <w:rPr>
                <w:noProof/>
                <w:webHidden/>
              </w:rPr>
              <w:fldChar w:fldCharType="separate"/>
            </w:r>
            <w:r w:rsidR="00453028">
              <w:rPr>
                <w:noProof/>
                <w:webHidden/>
              </w:rPr>
              <w:t>29</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504" w:history="1">
            <w:r w:rsidR="00CB1FC9" w:rsidRPr="009A4CF6">
              <w:rPr>
                <w:rStyle w:val="Hyperlink"/>
                <w:noProof/>
              </w:rPr>
              <w:t>L.</w:t>
            </w:r>
            <w:r w:rsidR="00CB1FC9" w:rsidRPr="009A4CF6">
              <w:rPr>
                <w:rFonts w:eastAsiaTheme="minorEastAsia"/>
                <w:noProof/>
              </w:rPr>
              <w:tab/>
            </w:r>
            <w:r w:rsidR="00CB1FC9" w:rsidRPr="009A4CF6">
              <w:rPr>
                <w:rStyle w:val="Hyperlink"/>
                <w:noProof/>
              </w:rPr>
              <w:t>Expanded Consumer Education</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_Toc405359504 \h </w:instrText>
            </w:r>
            <w:r w:rsidR="00CB1FC9" w:rsidRPr="009A4CF6">
              <w:rPr>
                <w:noProof/>
                <w:webHidden/>
              </w:rPr>
            </w:r>
            <w:r w:rsidR="00CB1FC9" w:rsidRPr="009A4CF6">
              <w:rPr>
                <w:noProof/>
                <w:webHidden/>
              </w:rPr>
              <w:fldChar w:fldCharType="separate"/>
            </w:r>
            <w:r w:rsidR="00453028">
              <w:rPr>
                <w:noProof/>
                <w:webHidden/>
              </w:rPr>
              <w:t>31</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505" w:history="1">
            <w:r w:rsidR="00CB1FC9" w:rsidRPr="009A4CF6">
              <w:rPr>
                <w:rStyle w:val="Hyperlink"/>
                <w:noProof/>
              </w:rPr>
              <w:t>M.</w:t>
            </w:r>
            <w:r w:rsidR="00CB1FC9" w:rsidRPr="009A4CF6">
              <w:rPr>
                <w:rFonts w:eastAsiaTheme="minorEastAsia"/>
                <w:noProof/>
              </w:rPr>
              <w:tab/>
            </w:r>
            <w:r w:rsidR="00CB1FC9" w:rsidRPr="009A4CF6">
              <w:rPr>
                <w:rStyle w:val="Hyperlink"/>
                <w:noProof/>
              </w:rPr>
              <w:t>Purchase of Receivables Programs</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_Toc405359505 \h </w:instrText>
            </w:r>
            <w:r w:rsidR="00CB1FC9" w:rsidRPr="009A4CF6">
              <w:rPr>
                <w:noProof/>
                <w:webHidden/>
              </w:rPr>
            </w:r>
            <w:r w:rsidR="00CB1FC9" w:rsidRPr="009A4CF6">
              <w:rPr>
                <w:noProof/>
                <w:webHidden/>
              </w:rPr>
              <w:fldChar w:fldCharType="separate"/>
            </w:r>
            <w:r w:rsidR="00453028">
              <w:rPr>
                <w:noProof/>
                <w:webHidden/>
              </w:rPr>
              <w:t>34</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506" w:history="1">
            <w:r w:rsidR="00CB1FC9" w:rsidRPr="009A4CF6">
              <w:rPr>
                <w:rStyle w:val="Hyperlink"/>
                <w:noProof/>
              </w:rPr>
              <w:t>N.</w:t>
            </w:r>
            <w:r w:rsidR="00CB1FC9" w:rsidRPr="009A4CF6">
              <w:rPr>
                <w:rFonts w:eastAsiaTheme="minorEastAsia"/>
                <w:noProof/>
              </w:rPr>
              <w:tab/>
            </w:r>
            <w:r w:rsidR="00CB1FC9" w:rsidRPr="009A4CF6">
              <w:rPr>
                <w:rStyle w:val="Hyperlink"/>
                <w:noProof/>
              </w:rPr>
              <w:t>Disclosure Requirements</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_Toc405359506 \h </w:instrText>
            </w:r>
            <w:r w:rsidR="00CB1FC9" w:rsidRPr="009A4CF6">
              <w:rPr>
                <w:noProof/>
                <w:webHidden/>
              </w:rPr>
            </w:r>
            <w:r w:rsidR="00CB1FC9" w:rsidRPr="009A4CF6">
              <w:rPr>
                <w:noProof/>
                <w:webHidden/>
              </w:rPr>
              <w:fldChar w:fldCharType="separate"/>
            </w:r>
            <w:r w:rsidR="00453028">
              <w:rPr>
                <w:noProof/>
                <w:webHidden/>
              </w:rPr>
              <w:t>37</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507" w:history="1">
            <w:r w:rsidR="00CB1FC9" w:rsidRPr="009A4CF6">
              <w:rPr>
                <w:rStyle w:val="Hyperlink"/>
                <w:noProof/>
              </w:rPr>
              <w:t>O.</w:t>
            </w:r>
            <w:r w:rsidR="00CB1FC9" w:rsidRPr="009A4CF6">
              <w:rPr>
                <w:rFonts w:eastAsiaTheme="minorEastAsia"/>
                <w:noProof/>
              </w:rPr>
              <w:tab/>
            </w:r>
            <w:r w:rsidR="00CB1FC9" w:rsidRPr="009A4CF6">
              <w:rPr>
                <w:rStyle w:val="Hyperlink"/>
                <w:noProof/>
              </w:rPr>
              <w:t>Joint Natural Gas Distribution Company – Natural Gas Supplier Bill</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_Toc405359507 \h </w:instrText>
            </w:r>
            <w:r w:rsidR="00CB1FC9" w:rsidRPr="009A4CF6">
              <w:rPr>
                <w:noProof/>
                <w:webHidden/>
              </w:rPr>
            </w:r>
            <w:r w:rsidR="00CB1FC9" w:rsidRPr="009A4CF6">
              <w:rPr>
                <w:noProof/>
                <w:webHidden/>
              </w:rPr>
              <w:fldChar w:fldCharType="separate"/>
            </w:r>
            <w:r w:rsidR="00453028">
              <w:rPr>
                <w:noProof/>
                <w:webHidden/>
              </w:rPr>
              <w:t>40</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508" w:history="1">
            <w:r w:rsidR="00CB1FC9" w:rsidRPr="009A4CF6">
              <w:rPr>
                <w:rStyle w:val="Hyperlink"/>
                <w:noProof/>
              </w:rPr>
              <w:t>P.</w:t>
            </w:r>
            <w:r w:rsidR="00CB1FC9" w:rsidRPr="009A4CF6">
              <w:rPr>
                <w:rFonts w:eastAsiaTheme="minorEastAsia"/>
                <w:noProof/>
              </w:rPr>
              <w:tab/>
            </w:r>
            <w:r w:rsidR="00CB1FC9" w:rsidRPr="009A4CF6">
              <w:rPr>
                <w:rStyle w:val="Hyperlink"/>
                <w:noProof/>
              </w:rPr>
              <w:t>Account Number Access Mechanisms</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_Toc405359508 \h </w:instrText>
            </w:r>
            <w:r w:rsidR="00CB1FC9" w:rsidRPr="009A4CF6">
              <w:rPr>
                <w:noProof/>
                <w:webHidden/>
              </w:rPr>
            </w:r>
            <w:r w:rsidR="00CB1FC9" w:rsidRPr="009A4CF6">
              <w:rPr>
                <w:noProof/>
                <w:webHidden/>
              </w:rPr>
              <w:fldChar w:fldCharType="separate"/>
            </w:r>
            <w:r w:rsidR="00453028">
              <w:rPr>
                <w:noProof/>
                <w:webHidden/>
              </w:rPr>
              <w:t>42</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509" w:history="1">
            <w:r w:rsidR="00CB1FC9" w:rsidRPr="009A4CF6">
              <w:rPr>
                <w:rStyle w:val="Hyperlink"/>
                <w:noProof/>
              </w:rPr>
              <w:t>Q.</w:t>
            </w:r>
            <w:r w:rsidR="00CB1FC9" w:rsidRPr="009A4CF6">
              <w:rPr>
                <w:rFonts w:eastAsiaTheme="minorEastAsia"/>
                <w:noProof/>
              </w:rPr>
              <w:tab/>
            </w:r>
            <w:r w:rsidR="00CB1FC9" w:rsidRPr="009A4CF6">
              <w:rPr>
                <w:rStyle w:val="Hyperlink"/>
                <w:noProof/>
              </w:rPr>
              <w:t>Migration Riders and Reconciliation</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_Toc405359509 \h </w:instrText>
            </w:r>
            <w:r w:rsidR="00CB1FC9" w:rsidRPr="009A4CF6">
              <w:rPr>
                <w:noProof/>
                <w:webHidden/>
              </w:rPr>
            </w:r>
            <w:r w:rsidR="00CB1FC9" w:rsidRPr="009A4CF6">
              <w:rPr>
                <w:noProof/>
                <w:webHidden/>
              </w:rPr>
              <w:fldChar w:fldCharType="separate"/>
            </w:r>
            <w:r w:rsidR="00453028">
              <w:rPr>
                <w:noProof/>
                <w:webHidden/>
              </w:rPr>
              <w:t>47</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510" w:history="1">
            <w:r w:rsidR="00CB1FC9" w:rsidRPr="009A4CF6">
              <w:rPr>
                <w:rStyle w:val="Hyperlink"/>
                <w:noProof/>
              </w:rPr>
              <w:t>R.</w:t>
            </w:r>
            <w:r w:rsidR="00CB1FC9" w:rsidRPr="009A4CF6">
              <w:rPr>
                <w:rFonts w:eastAsiaTheme="minorEastAsia"/>
                <w:noProof/>
              </w:rPr>
              <w:tab/>
            </w:r>
            <w:r w:rsidR="00CB1FC9" w:rsidRPr="009A4CF6">
              <w:rPr>
                <w:rStyle w:val="Hyperlink"/>
                <w:noProof/>
              </w:rPr>
              <w:t>Electronic Data Protocols</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_Toc405359510 \h </w:instrText>
            </w:r>
            <w:r w:rsidR="00CB1FC9" w:rsidRPr="009A4CF6">
              <w:rPr>
                <w:noProof/>
                <w:webHidden/>
              </w:rPr>
            </w:r>
            <w:r w:rsidR="00CB1FC9" w:rsidRPr="009A4CF6">
              <w:rPr>
                <w:noProof/>
                <w:webHidden/>
              </w:rPr>
              <w:fldChar w:fldCharType="separate"/>
            </w:r>
            <w:r w:rsidR="00453028">
              <w:rPr>
                <w:noProof/>
                <w:webHidden/>
              </w:rPr>
              <w:t>49</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511" w:history="1">
            <w:r w:rsidR="00CB1FC9" w:rsidRPr="009A4CF6">
              <w:rPr>
                <w:rStyle w:val="Hyperlink"/>
                <w:noProof/>
              </w:rPr>
              <w:t>S.</w:t>
            </w:r>
            <w:r w:rsidR="00CB1FC9" w:rsidRPr="009A4CF6">
              <w:rPr>
                <w:rFonts w:eastAsiaTheme="minorEastAsia"/>
                <w:noProof/>
              </w:rPr>
              <w:tab/>
            </w:r>
            <w:r w:rsidR="00CB1FC9" w:rsidRPr="009A4CF6">
              <w:rPr>
                <w:rStyle w:val="Hyperlink"/>
                <w:noProof/>
              </w:rPr>
              <w:t>Standardization of Supplier Tariffs among NGDCs</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_Toc405359511 \h </w:instrText>
            </w:r>
            <w:r w:rsidR="00CB1FC9" w:rsidRPr="009A4CF6">
              <w:rPr>
                <w:noProof/>
                <w:webHidden/>
              </w:rPr>
            </w:r>
            <w:r w:rsidR="00CB1FC9" w:rsidRPr="009A4CF6">
              <w:rPr>
                <w:noProof/>
                <w:webHidden/>
              </w:rPr>
              <w:fldChar w:fldCharType="separate"/>
            </w:r>
            <w:r w:rsidR="00453028">
              <w:rPr>
                <w:noProof/>
                <w:webHidden/>
              </w:rPr>
              <w:t>50</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512" w:history="1">
            <w:r w:rsidR="00CB1FC9" w:rsidRPr="009A4CF6">
              <w:rPr>
                <w:rStyle w:val="Hyperlink"/>
                <w:noProof/>
              </w:rPr>
              <w:t>T.</w:t>
            </w:r>
            <w:r w:rsidR="00CB1FC9" w:rsidRPr="009A4CF6">
              <w:rPr>
                <w:rFonts w:eastAsiaTheme="minorEastAsia"/>
                <w:noProof/>
              </w:rPr>
              <w:tab/>
            </w:r>
            <w:r w:rsidR="00CB1FC9" w:rsidRPr="009A4CF6">
              <w:rPr>
                <w:rStyle w:val="Hyperlink"/>
                <w:noProof/>
              </w:rPr>
              <w:t>Encouragement of Environmentally-Friendly Natural Gas Supply Products</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_Toc405359512 \h </w:instrText>
            </w:r>
            <w:r w:rsidR="00CB1FC9" w:rsidRPr="009A4CF6">
              <w:rPr>
                <w:noProof/>
                <w:webHidden/>
              </w:rPr>
            </w:r>
            <w:r w:rsidR="00CB1FC9" w:rsidRPr="009A4CF6">
              <w:rPr>
                <w:noProof/>
                <w:webHidden/>
              </w:rPr>
              <w:fldChar w:fldCharType="separate"/>
            </w:r>
            <w:r w:rsidR="00453028">
              <w:rPr>
                <w:noProof/>
                <w:webHidden/>
              </w:rPr>
              <w:t>51</w:t>
            </w:r>
            <w:r w:rsidR="00CB1FC9" w:rsidRPr="009A4CF6">
              <w:rPr>
                <w:noProof/>
                <w:webHidden/>
              </w:rPr>
              <w:fldChar w:fldCharType="end"/>
            </w:r>
          </w:hyperlink>
        </w:p>
        <w:p w:rsidR="00CB1FC9" w:rsidRPr="009A4CF6" w:rsidRDefault="00EF510D" w:rsidP="00CB1FC9">
          <w:pPr>
            <w:pStyle w:val="TOC2"/>
            <w:tabs>
              <w:tab w:val="left" w:pos="880"/>
              <w:tab w:val="right" w:leader="dot" w:pos="9350"/>
            </w:tabs>
            <w:spacing w:after="0" w:line="360" w:lineRule="auto"/>
            <w:rPr>
              <w:rFonts w:eastAsiaTheme="minorEastAsia"/>
              <w:noProof/>
            </w:rPr>
          </w:pPr>
          <w:hyperlink w:anchor="_Toc405359513" w:history="1">
            <w:r w:rsidR="00CB1FC9" w:rsidRPr="009A4CF6">
              <w:rPr>
                <w:rStyle w:val="Hyperlink"/>
                <w:noProof/>
              </w:rPr>
              <w:t>U.</w:t>
            </w:r>
            <w:r w:rsidR="00CB1FC9" w:rsidRPr="009A4CF6">
              <w:rPr>
                <w:rFonts w:eastAsiaTheme="minorEastAsia"/>
                <w:noProof/>
              </w:rPr>
              <w:tab/>
            </w:r>
            <w:r w:rsidR="00CB1FC9" w:rsidRPr="009A4CF6">
              <w:rPr>
                <w:rStyle w:val="Hyperlink"/>
                <w:noProof/>
              </w:rPr>
              <w:t>Incentives for NGDC Infrastructure Expansion</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_Toc405359513 \h </w:instrText>
            </w:r>
            <w:r w:rsidR="00CB1FC9" w:rsidRPr="009A4CF6">
              <w:rPr>
                <w:noProof/>
                <w:webHidden/>
              </w:rPr>
            </w:r>
            <w:r w:rsidR="00CB1FC9" w:rsidRPr="009A4CF6">
              <w:rPr>
                <w:noProof/>
                <w:webHidden/>
              </w:rPr>
              <w:fldChar w:fldCharType="separate"/>
            </w:r>
            <w:r w:rsidR="00453028">
              <w:rPr>
                <w:noProof/>
                <w:webHidden/>
              </w:rPr>
              <w:t>52</w:t>
            </w:r>
            <w:r w:rsidR="00CB1FC9" w:rsidRPr="009A4CF6">
              <w:rPr>
                <w:noProof/>
                <w:webHidden/>
              </w:rPr>
              <w:fldChar w:fldCharType="end"/>
            </w:r>
          </w:hyperlink>
        </w:p>
        <w:p w:rsidR="00CB1FC9" w:rsidRPr="009A4CF6" w:rsidRDefault="00EF510D" w:rsidP="00CB1FC9">
          <w:pPr>
            <w:pStyle w:val="TOC1"/>
            <w:tabs>
              <w:tab w:val="right" w:leader="dot" w:pos="9350"/>
            </w:tabs>
            <w:spacing w:after="0" w:line="360" w:lineRule="auto"/>
            <w:rPr>
              <w:rFonts w:eastAsiaTheme="minorEastAsia"/>
              <w:noProof/>
            </w:rPr>
          </w:pPr>
          <w:hyperlink w:anchor="_Toc405359514" w:history="1">
            <w:r w:rsidR="00CB1FC9" w:rsidRPr="009A4CF6">
              <w:rPr>
                <w:rStyle w:val="Hyperlink"/>
                <w:noProof/>
              </w:rPr>
              <w:t>CONCLUSION</w:t>
            </w:r>
            <w:r w:rsidR="00CB1FC9" w:rsidRPr="009A4CF6">
              <w:rPr>
                <w:noProof/>
                <w:webHidden/>
              </w:rPr>
              <w:tab/>
            </w:r>
            <w:r w:rsidR="00CB1FC9" w:rsidRPr="009A4CF6">
              <w:rPr>
                <w:noProof/>
                <w:webHidden/>
              </w:rPr>
              <w:fldChar w:fldCharType="begin"/>
            </w:r>
            <w:r w:rsidR="00CB1FC9" w:rsidRPr="009A4CF6">
              <w:rPr>
                <w:noProof/>
                <w:webHidden/>
              </w:rPr>
              <w:instrText xml:space="preserve"> PAGEREF _Toc405359514 \h </w:instrText>
            </w:r>
            <w:r w:rsidR="00CB1FC9" w:rsidRPr="009A4CF6">
              <w:rPr>
                <w:noProof/>
                <w:webHidden/>
              </w:rPr>
            </w:r>
            <w:r w:rsidR="00CB1FC9" w:rsidRPr="009A4CF6">
              <w:rPr>
                <w:noProof/>
                <w:webHidden/>
              </w:rPr>
              <w:fldChar w:fldCharType="separate"/>
            </w:r>
            <w:r w:rsidR="00453028">
              <w:rPr>
                <w:noProof/>
                <w:webHidden/>
              </w:rPr>
              <w:t>53</w:t>
            </w:r>
            <w:r w:rsidR="00CB1FC9" w:rsidRPr="009A4CF6">
              <w:rPr>
                <w:noProof/>
                <w:webHidden/>
              </w:rPr>
              <w:fldChar w:fldCharType="end"/>
            </w:r>
          </w:hyperlink>
        </w:p>
        <w:p w:rsidR="00CB1FC9" w:rsidRPr="009A4CF6" w:rsidRDefault="00CB1FC9" w:rsidP="00CB1FC9">
          <w:pPr>
            <w:spacing w:line="360" w:lineRule="auto"/>
          </w:pPr>
          <w:r w:rsidRPr="009A4CF6">
            <w:rPr>
              <w:b/>
              <w:bCs/>
              <w:noProof/>
              <w:sz w:val="26"/>
              <w:szCs w:val="26"/>
            </w:rPr>
            <w:fldChar w:fldCharType="end"/>
          </w:r>
        </w:p>
      </w:sdtContent>
    </w:sdt>
    <w:p w:rsidR="00CB1FC9" w:rsidRPr="009A4CF6" w:rsidRDefault="00CB1FC9">
      <w:pPr>
        <w:widowControl/>
        <w:spacing w:after="200" w:line="276" w:lineRule="auto"/>
        <w:rPr>
          <w:b/>
          <w:sz w:val="26"/>
          <w:szCs w:val="26"/>
        </w:rPr>
      </w:pPr>
      <w:r w:rsidRPr="009A4CF6">
        <w:rPr>
          <w:b/>
          <w:sz w:val="26"/>
          <w:szCs w:val="26"/>
        </w:rPr>
        <w:br w:type="page"/>
      </w:r>
    </w:p>
    <w:p w:rsidR="00F514FB" w:rsidRPr="009A4CF6" w:rsidRDefault="00F514FB" w:rsidP="00355C63">
      <w:pPr>
        <w:spacing w:line="360" w:lineRule="auto"/>
        <w:rPr>
          <w:b/>
          <w:sz w:val="26"/>
          <w:szCs w:val="26"/>
        </w:rPr>
      </w:pPr>
      <w:r w:rsidRPr="009A4CF6">
        <w:rPr>
          <w:b/>
          <w:sz w:val="26"/>
          <w:szCs w:val="26"/>
        </w:rPr>
        <w:lastRenderedPageBreak/>
        <w:t>BY THE COMMISSION:</w:t>
      </w:r>
    </w:p>
    <w:p w:rsidR="00E1501E" w:rsidRPr="009A4CF6" w:rsidRDefault="00E1501E" w:rsidP="00355C63">
      <w:pPr>
        <w:spacing w:line="360" w:lineRule="auto"/>
        <w:rPr>
          <w:sz w:val="26"/>
          <w:szCs w:val="26"/>
        </w:rPr>
      </w:pPr>
    </w:p>
    <w:p w:rsidR="00E91371" w:rsidRPr="009A4CF6" w:rsidRDefault="00355C63" w:rsidP="00CB1FC9">
      <w:pPr>
        <w:spacing w:line="360" w:lineRule="auto"/>
        <w:rPr>
          <w:sz w:val="26"/>
          <w:szCs w:val="26"/>
        </w:rPr>
      </w:pPr>
      <w:r w:rsidRPr="009A4CF6">
        <w:rPr>
          <w:sz w:val="26"/>
          <w:szCs w:val="26"/>
        </w:rPr>
        <w:tab/>
      </w:r>
      <w:r w:rsidR="00417991" w:rsidRPr="009A4CF6">
        <w:rPr>
          <w:sz w:val="26"/>
          <w:szCs w:val="26"/>
        </w:rPr>
        <w:t xml:space="preserve">On </w:t>
      </w:r>
      <w:r w:rsidR="001837F4" w:rsidRPr="009A4CF6">
        <w:rPr>
          <w:sz w:val="26"/>
          <w:szCs w:val="26"/>
        </w:rPr>
        <w:t>August 21</w:t>
      </w:r>
      <w:r w:rsidR="00417991" w:rsidRPr="009A4CF6">
        <w:rPr>
          <w:sz w:val="26"/>
          <w:szCs w:val="26"/>
        </w:rPr>
        <w:t>,</w:t>
      </w:r>
      <w:r w:rsidR="001837F4" w:rsidRPr="009A4CF6">
        <w:rPr>
          <w:sz w:val="26"/>
          <w:szCs w:val="26"/>
        </w:rPr>
        <w:t xml:space="preserve"> 2014,</w:t>
      </w:r>
      <w:r w:rsidR="00417991" w:rsidRPr="009A4CF6">
        <w:rPr>
          <w:sz w:val="26"/>
          <w:szCs w:val="26"/>
        </w:rPr>
        <w:t xml:space="preserve"> the </w:t>
      </w:r>
      <w:r w:rsidR="001837F4" w:rsidRPr="009A4CF6">
        <w:rPr>
          <w:sz w:val="26"/>
          <w:szCs w:val="26"/>
        </w:rPr>
        <w:t xml:space="preserve">Pennsylvania </w:t>
      </w:r>
      <w:r w:rsidR="00417991" w:rsidRPr="009A4CF6">
        <w:rPr>
          <w:sz w:val="26"/>
          <w:szCs w:val="26"/>
        </w:rPr>
        <w:t>Public Utility Commission</w:t>
      </w:r>
      <w:r w:rsidR="00FB2D9A" w:rsidRPr="009A4CF6">
        <w:rPr>
          <w:sz w:val="26"/>
          <w:szCs w:val="26"/>
        </w:rPr>
        <w:t xml:space="preserve"> (Commission)</w:t>
      </w:r>
      <w:r w:rsidR="00417991" w:rsidRPr="009A4CF6">
        <w:rPr>
          <w:sz w:val="26"/>
          <w:szCs w:val="26"/>
        </w:rPr>
        <w:t xml:space="preserve"> issued a </w:t>
      </w:r>
      <w:r w:rsidR="00417991" w:rsidRPr="009A4CF6">
        <w:rPr>
          <w:i/>
          <w:sz w:val="26"/>
          <w:szCs w:val="26"/>
        </w:rPr>
        <w:t>Tentative Order</w:t>
      </w:r>
      <w:r w:rsidR="007717D5" w:rsidRPr="009A4CF6">
        <w:rPr>
          <w:sz w:val="26"/>
          <w:szCs w:val="26"/>
        </w:rPr>
        <w:t xml:space="preserve"> </w:t>
      </w:r>
      <w:r w:rsidR="008B7577" w:rsidRPr="009A4CF6">
        <w:rPr>
          <w:sz w:val="26"/>
          <w:szCs w:val="26"/>
        </w:rPr>
        <w:t>at this Docket</w:t>
      </w:r>
      <w:r w:rsidR="001837F4" w:rsidRPr="009A4CF6">
        <w:rPr>
          <w:sz w:val="26"/>
          <w:szCs w:val="26"/>
        </w:rPr>
        <w:t>,</w:t>
      </w:r>
      <w:r w:rsidR="008B7577" w:rsidRPr="009A4CF6">
        <w:rPr>
          <w:sz w:val="26"/>
          <w:szCs w:val="26"/>
        </w:rPr>
        <w:t xml:space="preserve"> </w:t>
      </w:r>
      <w:r w:rsidR="001837F4" w:rsidRPr="009A4CF6">
        <w:rPr>
          <w:sz w:val="26"/>
          <w:szCs w:val="26"/>
        </w:rPr>
        <w:t>announcing specific topics and issues that the Commis</w:t>
      </w:r>
      <w:r w:rsidR="00D06C4F" w:rsidRPr="009A4CF6">
        <w:rPr>
          <w:sz w:val="26"/>
          <w:szCs w:val="26"/>
        </w:rPr>
        <w:t>sion intends to pursue in this I</w:t>
      </w:r>
      <w:r w:rsidR="001837F4" w:rsidRPr="009A4CF6">
        <w:rPr>
          <w:sz w:val="26"/>
          <w:szCs w:val="26"/>
        </w:rPr>
        <w:t>nvestigation of Pennsylvania’s retail natural gas supply market</w:t>
      </w:r>
      <w:r w:rsidR="00E1501E" w:rsidRPr="009A4CF6">
        <w:rPr>
          <w:sz w:val="26"/>
          <w:szCs w:val="26"/>
        </w:rPr>
        <w:t xml:space="preserve"> (Investigation or Gas RMI)</w:t>
      </w:r>
      <w:r w:rsidR="001837F4" w:rsidRPr="009A4CF6">
        <w:rPr>
          <w:sz w:val="26"/>
          <w:szCs w:val="26"/>
        </w:rPr>
        <w:t>.</w:t>
      </w:r>
      <w:r w:rsidR="00625F1C" w:rsidRPr="009A4CF6">
        <w:rPr>
          <w:rStyle w:val="FootnoteReference"/>
          <w:sz w:val="26"/>
          <w:szCs w:val="26"/>
        </w:rPr>
        <w:footnoteReference w:id="1"/>
      </w:r>
      <w:r w:rsidR="001837F4" w:rsidRPr="009A4CF6">
        <w:rPr>
          <w:sz w:val="26"/>
          <w:szCs w:val="26"/>
        </w:rPr>
        <w:t xml:space="preserve">  We issued that </w:t>
      </w:r>
      <w:r w:rsidR="005E217C" w:rsidRPr="009A4CF6">
        <w:rPr>
          <w:i/>
          <w:sz w:val="26"/>
          <w:szCs w:val="26"/>
        </w:rPr>
        <w:t>Tentative Order</w:t>
      </w:r>
      <w:r w:rsidR="001837F4" w:rsidRPr="009A4CF6">
        <w:rPr>
          <w:sz w:val="26"/>
          <w:szCs w:val="26"/>
        </w:rPr>
        <w:t xml:space="preserve"> pursuant to the Natural Gas Choice and Competition Act, effective July 1, 1999, 66 Pa. C.S. §§ 2201-2212, which requires us to convene stakeholders and explore avenues to encourage increased competition in the natural gas supply market.  </w:t>
      </w:r>
      <w:r w:rsidR="001837F4" w:rsidRPr="009A4CF6">
        <w:rPr>
          <w:i/>
          <w:sz w:val="26"/>
          <w:szCs w:val="26"/>
        </w:rPr>
        <w:t>See</w:t>
      </w:r>
      <w:r w:rsidR="001837F4" w:rsidRPr="009A4CF6">
        <w:rPr>
          <w:sz w:val="26"/>
          <w:szCs w:val="26"/>
        </w:rPr>
        <w:t xml:space="preserve"> 66 Pa. C.S. § 2204(g).  </w:t>
      </w:r>
      <w:r w:rsidR="009C3D26" w:rsidRPr="009A4CF6">
        <w:rPr>
          <w:sz w:val="26"/>
          <w:szCs w:val="26"/>
        </w:rPr>
        <w:t>In t</w:t>
      </w:r>
      <w:r w:rsidR="00B7346D" w:rsidRPr="009A4CF6">
        <w:rPr>
          <w:sz w:val="26"/>
          <w:szCs w:val="26"/>
        </w:rPr>
        <w:t xml:space="preserve">he </w:t>
      </w:r>
      <w:r w:rsidR="009C3D26" w:rsidRPr="009A4CF6">
        <w:rPr>
          <w:i/>
          <w:sz w:val="26"/>
          <w:szCs w:val="26"/>
        </w:rPr>
        <w:t>Tentative Order</w:t>
      </w:r>
      <w:r w:rsidR="009C3D26" w:rsidRPr="009A4CF6">
        <w:rPr>
          <w:sz w:val="26"/>
          <w:szCs w:val="26"/>
        </w:rPr>
        <w:t>,</w:t>
      </w:r>
      <w:r w:rsidR="001837F4" w:rsidRPr="009A4CF6">
        <w:rPr>
          <w:sz w:val="26"/>
          <w:szCs w:val="26"/>
        </w:rPr>
        <w:t xml:space="preserve"> we invited parties to comment on any additional important matters that were not already sufficiently discussed and developed in </w:t>
      </w:r>
      <w:r w:rsidR="00D06C4F" w:rsidRPr="009A4CF6">
        <w:rPr>
          <w:sz w:val="26"/>
          <w:szCs w:val="26"/>
        </w:rPr>
        <w:t>this I</w:t>
      </w:r>
      <w:r w:rsidR="001837F4" w:rsidRPr="009A4CF6">
        <w:rPr>
          <w:sz w:val="26"/>
          <w:szCs w:val="26"/>
        </w:rPr>
        <w:t xml:space="preserve">nvestigation.  </w:t>
      </w:r>
      <w:r w:rsidR="001837F4" w:rsidRPr="009A4CF6">
        <w:rPr>
          <w:i/>
          <w:sz w:val="26"/>
          <w:szCs w:val="26"/>
        </w:rPr>
        <w:t>See</w:t>
      </w:r>
      <w:r w:rsidR="001837F4" w:rsidRPr="009A4CF6">
        <w:rPr>
          <w:sz w:val="26"/>
          <w:szCs w:val="26"/>
        </w:rPr>
        <w:t xml:space="preserve"> </w:t>
      </w:r>
      <w:r w:rsidR="001837F4" w:rsidRPr="009A4CF6">
        <w:rPr>
          <w:i/>
          <w:sz w:val="26"/>
          <w:szCs w:val="26"/>
        </w:rPr>
        <w:t>Investigation of Pennsylvania’s Retail Natural Gas Supply Market</w:t>
      </w:r>
      <w:r w:rsidR="001837F4" w:rsidRPr="009A4CF6">
        <w:rPr>
          <w:sz w:val="26"/>
          <w:szCs w:val="26"/>
        </w:rPr>
        <w:t>, I-2013-2381742 (Order entered Sep. 12, 2013</w:t>
      </w:r>
      <w:r w:rsidR="00E1501E" w:rsidRPr="009A4CF6">
        <w:rPr>
          <w:sz w:val="26"/>
          <w:szCs w:val="26"/>
        </w:rPr>
        <w:t>,</w:t>
      </w:r>
      <w:r w:rsidR="001837F4" w:rsidRPr="009A4CF6">
        <w:rPr>
          <w:sz w:val="26"/>
          <w:szCs w:val="26"/>
        </w:rPr>
        <w:t xml:space="preserve"> initiat</w:t>
      </w:r>
      <w:r w:rsidR="00D06C4F" w:rsidRPr="009A4CF6">
        <w:rPr>
          <w:sz w:val="26"/>
          <w:szCs w:val="26"/>
        </w:rPr>
        <w:t>ing this I</w:t>
      </w:r>
      <w:r w:rsidR="001837F4" w:rsidRPr="009A4CF6">
        <w:rPr>
          <w:sz w:val="26"/>
          <w:szCs w:val="26"/>
        </w:rPr>
        <w:t>nvestigation).</w:t>
      </w:r>
      <w:r w:rsidR="00A513DC" w:rsidRPr="009A4CF6">
        <w:rPr>
          <w:sz w:val="26"/>
          <w:szCs w:val="26"/>
        </w:rPr>
        <w:t xml:space="preserve">  Through this Final Order, we outline our priorities and </w:t>
      </w:r>
      <w:r w:rsidR="00FF3E77" w:rsidRPr="009A4CF6">
        <w:rPr>
          <w:sz w:val="26"/>
          <w:szCs w:val="26"/>
        </w:rPr>
        <w:t>finalize</w:t>
      </w:r>
      <w:r w:rsidR="00A513DC" w:rsidRPr="009A4CF6">
        <w:rPr>
          <w:sz w:val="26"/>
          <w:szCs w:val="26"/>
        </w:rPr>
        <w:t xml:space="preserve"> specific action plans, including the establishment of working groups and</w:t>
      </w:r>
      <w:r w:rsidR="0014299E">
        <w:rPr>
          <w:sz w:val="26"/>
          <w:szCs w:val="26"/>
        </w:rPr>
        <w:t xml:space="preserve"> our intent to</w:t>
      </w:r>
      <w:r w:rsidR="00A513DC" w:rsidRPr="009A4CF6">
        <w:rPr>
          <w:sz w:val="26"/>
          <w:szCs w:val="26"/>
        </w:rPr>
        <w:t xml:space="preserve"> propose regulations </w:t>
      </w:r>
      <w:r w:rsidR="007315A9" w:rsidRPr="009A4CF6">
        <w:rPr>
          <w:sz w:val="26"/>
          <w:szCs w:val="26"/>
        </w:rPr>
        <w:t>on</w:t>
      </w:r>
      <w:r w:rsidR="00A513DC" w:rsidRPr="009A4CF6">
        <w:rPr>
          <w:sz w:val="26"/>
          <w:szCs w:val="26"/>
        </w:rPr>
        <w:t xml:space="preserve"> specific </w:t>
      </w:r>
      <w:r w:rsidR="007315A9" w:rsidRPr="009A4CF6">
        <w:rPr>
          <w:sz w:val="26"/>
          <w:szCs w:val="26"/>
        </w:rPr>
        <w:t>is</w:t>
      </w:r>
      <w:r w:rsidR="00A513DC" w:rsidRPr="009A4CF6">
        <w:rPr>
          <w:sz w:val="26"/>
          <w:szCs w:val="26"/>
        </w:rPr>
        <w:t>s</w:t>
      </w:r>
      <w:r w:rsidR="007315A9" w:rsidRPr="009A4CF6">
        <w:rPr>
          <w:sz w:val="26"/>
          <w:szCs w:val="26"/>
        </w:rPr>
        <w:t>ues</w:t>
      </w:r>
      <w:r w:rsidR="00A513DC" w:rsidRPr="009A4CF6">
        <w:rPr>
          <w:sz w:val="26"/>
          <w:szCs w:val="26"/>
        </w:rPr>
        <w:t xml:space="preserve">.  </w:t>
      </w:r>
      <w:r w:rsidR="001837F4" w:rsidRPr="009A4CF6">
        <w:t xml:space="preserve">  </w:t>
      </w:r>
      <w:r w:rsidR="009C3D26" w:rsidRPr="009A4CF6">
        <w:rPr>
          <w:sz w:val="26"/>
          <w:szCs w:val="26"/>
        </w:rPr>
        <w:t xml:space="preserve"> </w:t>
      </w:r>
    </w:p>
    <w:p w:rsidR="007315A9" w:rsidRPr="009A4CF6" w:rsidRDefault="007315A9" w:rsidP="00CB1FC9">
      <w:pPr>
        <w:spacing w:line="360" w:lineRule="auto"/>
        <w:rPr>
          <w:sz w:val="26"/>
          <w:szCs w:val="26"/>
        </w:rPr>
      </w:pPr>
    </w:p>
    <w:p w:rsidR="001837F4" w:rsidRPr="009A4CF6" w:rsidRDefault="001837F4" w:rsidP="00CB1FC9">
      <w:pPr>
        <w:pStyle w:val="Heading1"/>
        <w:spacing w:before="0" w:line="360" w:lineRule="auto"/>
        <w:jc w:val="center"/>
        <w:rPr>
          <w:rFonts w:ascii="Times New Roman" w:hAnsi="Times New Roman" w:cs="Times New Roman"/>
          <w:b w:val="0"/>
          <w:sz w:val="26"/>
          <w:szCs w:val="26"/>
        </w:rPr>
      </w:pPr>
      <w:bookmarkStart w:id="0" w:name="_Toc405359491"/>
      <w:r w:rsidRPr="009A4CF6">
        <w:rPr>
          <w:rFonts w:ascii="Times New Roman" w:hAnsi="Times New Roman" w:cs="Times New Roman"/>
          <w:color w:val="auto"/>
          <w:sz w:val="26"/>
          <w:szCs w:val="26"/>
        </w:rPr>
        <w:t>BACKGROUND</w:t>
      </w:r>
      <w:bookmarkEnd w:id="0"/>
    </w:p>
    <w:p w:rsidR="00E1501E" w:rsidRPr="009A4CF6" w:rsidRDefault="00E1501E" w:rsidP="00CB1FC9">
      <w:pPr>
        <w:spacing w:line="360" w:lineRule="auto"/>
        <w:rPr>
          <w:b/>
          <w:sz w:val="26"/>
          <w:szCs w:val="26"/>
        </w:rPr>
      </w:pPr>
    </w:p>
    <w:p w:rsidR="007A63EB" w:rsidRPr="009A4CF6" w:rsidRDefault="007A63EB" w:rsidP="00CB1FC9">
      <w:pPr>
        <w:spacing w:line="360" w:lineRule="auto"/>
        <w:ind w:firstLine="720"/>
        <w:rPr>
          <w:sz w:val="26"/>
          <w:szCs w:val="26"/>
        </w:rPr>
      </w:pPr>
      <w:r w:rsidRPr="009A4CF6">
        <w:rPr>
          <w:sz w:val="26"/>
          <w:szCs w:val="26"/>
        </w:rPr>
        <w:t xml:space="preserve">Upon reviewing recommendations from the Commission’s Office of Competitive Market Oversight (OCMO), we issued </w:t>
      </w:r>
      <w:r w:rsidR="00412A50" w:rsidRPr="009A4CF6">
        <w:rPr>
          <w:sz w:val="26"/>
          <w:szCs w:val="26"/>
        </w:rPr>
        <w:t>the</w:t>
      </w:r>
      <w:r w:rsidRPr="009A4CF6">
        <w:rPr>
          <w:sz w:val="26"/>
          <w:szCs w:val="26"/>
        </w:rPr>
        <w:t xml:space="preserve"> </w:t>
      </w:r>
      <w:r w:rsidRPr="009A4CF6">
        <w:rPr>
          <w:i/>
          <w:sz w:val="26"/>
          <w:szCs w:val="26"/>
        </w:rPr>
        <w:t>Tentative Order</w:t>
      </w:r>
      <w:r w:rsidRPr="009A4CF6">
        <w:rPr>
          <w:sz w:val="26"/>
          <w:szCs w:val="26"/>
        </w:rPr>
        <w:t xml:space="preserve"> analyzing </w:t>
      </w:r>
      <w:r w:rsidR="00D90E06" w:rsidRPr="009A4CF6">
        <w:rPr>
          <w:sz w:val="26"/>
          <w:szCs w:val="26"/>
        </w:rPr>
        <w:t>informal comments submitted to OCMO in response</w:t>
      </w:r>
      <w:r w:rsidRPr="009A4CF6">
        <w:rPr>
          <w:sz w:val="26"/>
          <w:szCs w:val="26"/>
        </w:rPr>
        <w:t xml:space="preserve"> to our September 12, 2013 Order, wherein we requested comment</w:t>
      </w:r>
      <w:r w:rsidR="00D90E06" w:rsidRPr="009A4CF6">
        <w:rPr>
          <w:sz w:val="26"/>
          <w:szCs w:val="26"/>
        </w:rPr>
        <w:t>s</w:t>
      </w:r>
      <w:r w:rsidRPr="009A4CF6">
        <w:rPr>
          <w:sz w:val="26"/>
          <w:szCs w:val="26"/>
        </w:rPr>
        <w:t xml:space="preserve"> from interested parties on specific </w:t>
      </w:r>
      <w:r w:rsidR="00E36018" w:rsidRPr="009A4CF6">
        <w:rPr>
          <w:sz w:val="26"/>
          <w:szCs w:val="26"/>
        </w:rPr>
        <w:t>topics and issues.</w:t>
      </w:r>
      <w:r w:rsidRPr="009A4CF6">
        <w:rPr>
          <w:sz w:val="26"/>
          <w:szCs w:val="26"/>
        </w:rPr>
        <w:t xml:space="preserve">  </w:t>
      </w:r>
      <w:r w:rsidR="00260D27" w:rsidRPr="009A4CF6">
        <w:rPr>
          <w:i/>
          <w:sz w:val="26"/>
          <w:szCs w:val="26"/>
        </w:rPr>
        <w:t>See</w:t>
      </w:r>
      <w:r w:rsidR="00260D27" w:rsidRPr="009A4CF6">
        <w:rPr>
          <w:sz w:val="26"/>
          <w:szCs w:val="26"/>
        </w:rPr>
        <w:t xml:space="preserve"> September 12, 2013 Order, D</w:t>
      </w:r>
      <w:r w:rsidR="006027C7" w:rsidRPr="009A4CF6">
        <w:rPr>
          <w:sz w:val="26"/>
          <w:szCs w:val="26"/>
        </w:rPr>
        <w:t>ocket N</w:t>
      </w:r>
      <w:r w:rsidR="00E36018" w:rsidRPr="009A4CF6">
        <w:rPr>
          <w:sz w:val="26"/>
          <w:szCs w:val="26"/>
        </w:rPr>
        <w:t>o</w:t>
      </w:r>
      <w:r w:rsidR="006027C7" w:rsidRPr="009A4CF6">
        <w:rPr>
          <w:sz w:val="26"/>
          <w:szCs w:val="26"/>
        </w:rPr>
        <w:t>. I-2013-238174, at p. 3-4</w:t>
      </w:r>
      <w:r w:rsidR="00260D27" w:rsidRPr="009A4CF6">
        <w:rPr>
          <w:sz w:val="26"/>
          <w:szCs w:val="26"/>
        </w:rPr>
        <w:t xml:space="preserve">.   </w:t>
      </w:r>
    </w:p>
    <w:p w:rsidR="00260D27" w:rsidRPr="009A4CF6" w:rsidRDefault="00260D27" w:rsidP="007A63EB">
      <w:pPr>
        <w:spacing w:line="360" w:lineRule="auto"/>
        <w:rPr>
          <w:sz w:val="26"/>
          <w:szCs w:val="26"/>
        </w:rPr>
      </w:pPr>
      <w:r w:rsidRPr="009A4CF6">
        <w:rPr>
          <w:sz w:val="26"/>
          <w:szCs w:val="26"/>
        </w:rPr>
        <w:tab/>
      </w:r>
    </w:p>
    <w:p w:rsidR="00FD56D0" w:rsidRPr="009A4CF6" w:rsidRDefault="007A63EB" w:rsidP="00260D27">
      <w:pPr>
        <w:spacing w:line="360" w:lineRule="auto"/>
        <w:ind w:firstLine="720"/>
        <w:rPr>
          <w:sz w:val="26"/>
          <w:szCs w:val="26"/>
        </w:rPr>
      </w:pPr>
      <w:r w:rsidRPr="009A4CF6">
        <w:rPr>
          <w:sz w:val="26"/>
          <w:szCs w:val="26"/>
        </w:rPr>
        <w:t xml:space="preserve">Through the </w:t>
      </w:r>
      <w:r w:rsidRPr="009A4CF6">
        <w:rPr>
          <w:i/>
          <w:sz w:val="26"/>
          <w:szCs w:val="26"/>
        </w:rPr>
        <w:t>Tentative Order</w:t>
      </w:r>
      <w:r w:rsidRPr="009A4CF6">
        <w:rPr>
          <w:sz w:val="26"/>
          <w:szCs w:val="26"/>
        </w:rPr>
        <w:t xml:space="preserve">, we </w:t>
      </w:r>
      <w:r w:rsidR="00085D80" w:rsidRPr="009A4CF6">
        <w:rPr>
          <w:sz w:val="26"/>
          <w:szCs w:val="26"/>
        </w:rPr>
        <w:t>indicated our</w:t>
      </w:r>
      <w:r w:rsidR="00FF3E77" w:rsidRPr="009A4CF6">
        <w:rPr>
          <w:sz w:val="26"/>
          <w:szCs w:val="26"/>
        </w:rPr>
        <w:t xml:space="preserve"> tentative</w:t>
      </w:r>
      <w:r w:rsidR="00085D80" w:rsidRPr="009A4CF6">
        <w:rPr>
          <w:sz w:val="26"/>
          <w:szCs w:val="26"/>
        </w:rPr>
        <w:t xml:space="preserve"> priorities on certain issues</w:t>
      </w:r>
      <w:r w:rsidRPr="009A4CF6">
        <w:rPr>
          <w:sz w:val="26"/>
          <w:szCs w:val="26"/>
        </w:rPr>
        <w:t xml:space="preserve"> </w:t>
      </w:r>
      <w:r w:rsidR="00B64589" w:rsidRPr="009A4CF6">
        <w:rPr>
          <w:sz w:val="26"/>
          <w:szCs w:val="26"/>
        </w:rPr>
        <w:t>a</w:t>
      </w:r>
      <w:r w:rsidRPr="009A4CF6">
        <w:rPr>
          <w:sz w:val="26"/>
          <w:szCs w:val="26"/>
        </w:rPr>
        <w:t xml:space="preserve">nd </w:t>
      </w:r>
      <w:r w:rsidR="00B64589" w:rsidRPr="009A4CF6">
        <w:rPr>
          <w:sz w:val="26"/>
          <w:szCs w:val="26"/>
        </w:rPr>
        <w:t>highligh</w:t>
      </w:r>
      <w:r w:rsidR="00085D80" w:rsidRPr="009A4CF6">
        <w:rPr>
          <w:sz w:val="26"/>
          <w:szCs w:val="26"/>
        </w:rPr>
        <w:t>ted</w:t>
      </w:r>
      <w:r w:rsidR="00B64589" w:rsidRPr="009A4CF6">
        <w:rPr>
          <w:sz w:val="26"/>
          <w:szCs w:val="26"/>
        </w:rPr>
        <w:t xml:space="preserve"> </w:t>
      </w:r>
      <w:r w:rsidR="00260D27" w:rsidRPr="009A4CF6">
        <w:rPr>
          <w:sz w:val="26"/>
          <w:szCs w:val="26"/>
        </w:rPr>
        <w:t xml:space="preserve">additional </w:t>
      </w:r>
      <w:r w:rsidR="00B64589" w:rsidRPr="009A4CF6">
        <w:rPr>
          <w:sz w:val="26"/>
          <w:szCs w:val="26"/>
        </w:rPr>
        <w:t xml:space="preserve">issues </w:t>
      </w:r>
      <w:r w:rsidR="00412A50" w:rsidRPr="009A4CF6">
        <w:rPr>
          <w:sz w:val="26"/>
          <w:szCs w:val="26"/>
        </w:rPr>
        <w:t>to be addressed</w:t>
      </w:r>
      <w:r w:rsidR="00260D27" w:rsidRPr="009A4CF6">
        <w:rPr>
          <w:sz w:val="26"/>
          <w:szCs w:val="26"/>
        </w:rPr>
        <w:t xml:space="preserve"> </w:t>
      </w:r>
      <w:r w:rsidRPr="009A4CF6">
        <w:rPr>
          <w:sz w:val="26"/>
          <w:szCs w:val="26"/>
        </w:rPr>
        <w:t xml:space="preserve">in the near future.  </w:t>
      </w:r>
      <w:r w:rsidR="00260D27" w:rsidRPr="009A4CF6">
        <w:rPr>
          <w:sz w:val="26"/>
          <w:szCs w:val="26"/>
        </w:rPr>
        <w:t xml:space="preserve">We </w:t>
      </w:r>
      <w:r w:rsidR="00D90E06" w:rsidRPr="009A4CF6">
        <w:rPr>
          <w:sz w:val="26"/>
          <w:szCs w:val="26"/>
        </w:rPr>
        <w:t>outlined</w:t>
      </w:r>
      <w:r w:rsidR="00FD56D0" w:rsidRPr="009A4CF6">
        <w:rPr>
          <w:sz w:val="26"/>
          <w:szCs w:val="26"/>
        </w:rPr>
        <w:t xml:space="preserve"> </w:t>
      </w:r>
      <w:r w:rsidR="00D90E06" w:rsidRPr="009A4CF6">
        <w:rPr>
          <w:sz w:val="26"/>
          <w:szCs w:val="26"/>
        </w:rPr>
        <w:t>18</w:t>
      </w:r>
      <w:r w:rsidR="00FD56D0" w:rsidRPr="009A4CF6">
        <w:rPr>
          <w:sz w:val="26"/>
          <w:szCs w:val="26"/>
        </w:rPr>
        <w:t xml:space="preserve"> subject matter area</w:t>
      </w:r>
      <w:r w:rsidR="00260D27" w:rsidRPr="009A4CF6">
        <w:rPr>
          <w:sz w:val="26"/>
          <w:szCs w:val="26"/>
        </w:rPr>
        <w:t>s</w:t>
      </w:r>
      <w:r w:rsidR="00FD56D0" w:rsidRPr="009A4CF6">
        <w:rPr>
          <w:sz w:val="26"/>
          <w:szCs w:val="26"/>
        </w:rPr>
        <w:t>: 1) Next Steps for Pennsylvania’s Retail Natural Gas Market</w:t>
      </w:r>
      <w:r w:rsidR="00260D27" w:rsidRPr="009A4CF6">
        <w:rPr>
          <w:sz w:val="26"/>
          <w:szCs w:val="26"/>
        </w:rPr>
        <w:t xml:space="preserve">; 2) </w:t>
      </w:r>
      <w:r w:rsidR="00260D27" w:rsidRPr="009A4CF6">
        <w:rPr>
          <w:sz w:val="26"/>
          <w:szCs w:val="26"/>
        </w:rPr>
        <w:lastRenderedPageBreak/>
        <w:t xml:space="preserve">Provision of Supplier of Last Resort </w:t>
      </w:r>
      <w:r w:rsidR="00D90E06" w:rsidRPr="009A4CF6">
        <w:rPr>
          <w:sz w:val="26"/>
          <w:szCs w:val="26"/>
        </w:rPr>
        <w:t xml:space="preserve">(SOLR) </w:t>
      </w:r>
      <w:r w:rsidR="00260D27" w:rsidRPr="009A4CF6">
        <w:rPr>
          <w:sz w:val="26"/>
          <w:szCs w:val="26"/>
        </w:rPr>
        <w:t>Service; 3) Rate Unbundling; 4) Assignment of Capacity and Use of Storage Assets; 5) Non-discrimination in Access Points on NGDC Systems; 6) System Balance, Tolerances and Penalties; 7) Creditworthiness Requirements; 8) Seamless Moves and Instant Connects; 9) Accelerated Switching Timeframes; 10) Standard Offer Program; 11) Low-Income Customer Shopping; 12) Expanded Consumer Education about Shopping; 13) Purchase of Receivables</w:t>
      </w:r>
      <w:r w:rsidR="00D90E06" w:rsidRPr="009A4CF6">
        <w:rPr>
          <w:sz w:val="26"/>
          <w:szCs w:val="26"/>
        </w:rPr>
        <w:t xml:space="preserve"> (POR)</w:t>
      </w:r>
      <w:r w:rsidR="00260D27" w:rsidRPr="009A4CF6">
        <w:rPr>
          <w:sz w:val="26"/>
          <w:szCs w:val="26"/>
        </w:rPr>
        <w:t xml:space="preserve"> Programs; 14) Disclosure Requirements; 15) Joint Natural Gas Distribution Company</w:t>
      </w:r>
      <w:r w:rsidR="00D90E06" w:rsidRPr="009A4CF6">
        <w:rPr>
          <w:sz w:val="26"/>
          <w:szCs w:val="26"/>
        </w:rPr>
        <w:t xml:space="preserve"> (NGDC)</w:t>
      </w:r>
      <w:r w:rsidR="00260D27" w:rsidRPr="009A4CF6">
        <w:rPr>
          <w:sz w:val="26"/>
          <w:szCs w:val="26"/>
        </w:rPr>
        <w:t xml:space="preserve"> – Natural Gas Supplier </w:t>
      </w:r>
      <w:r w:rsidR="00D90E06" w:rsidRPr="009A4CF6">
        <w:rPr>
          <w:sz w:val="26"/>
          <w:szCs w:val="26"/>
        </w:rPr>
        <w:t xml:space="preserve">(NGS) </w:t>
      </w:r>
      <w:r w:rsidR="00260D27" w:rsidRPr="009A4CF6">
        <w:rPr>
          <w:sz w:val="26"/>
          <w:szCs w:val="26"/>
        </w:rPr>
        <w:t xml:space="preserve">Bill; 16) Account Number Access Mechanisms; 17) Migration Riders; and 18) Electronic Data Protocols.  </w:t>
      </w:r>
      <w:r w:rsidR="00260D27" w:rsidRPr="009A4CF6">
        <w:rPr>
          <w:i/>
          <w:sz w:val="26"/>
          <w:szCs w:val="26"/>
        </w:rPr>
        <w:t>See</w:t>
      </w:r>
      <w:r w:rsidR="00260D27" w:rsidRPr="009A4CF6">
        <w:rPr>
          <w:sz w:val="26"/>
          <w:szCs w:val="26"/>
        </w:rPr>
        <w:t xml:space="preserve"> </w:t>
      </w:r>
      <w:r w:rsidR="00260D27" w:rsidRPr="009A4CF6">
        <w:rPr>
          <w:i/>
          <w:sz w:val="26"/>
          <w:szCs w:val="26"/>
        </w:rPr>
        <w:t>Tentative Order</w:t>
      </w:r>
      <w:r w:rsidR="00260D27" w:rsidRPr="009A4CF6">
        <w:rPr>
          <w:sz w:val="26"/>
          <w:szCs w:val="26"/>
        </w:rPr>
        <w:t xml:space="preserve">, at p. 2.   </w:t>
      </w:r>
    </w:p>
    <w:p w:rsidR="00FD56D0" w:rsidRPr="009A4CF6" w:rsidRDefault="00FD56D0" w:rsidP="007A63EB">
      <w:pPr>
        <w:spacing w:line="360" w:lineRule="auto"/>
        <w:rPr>
          <w:sz w:val="26"/>
          <w:szCs w:val="26"/>
        </w:rPr>
      </w:pPr>
    </w:p>
    <w:p w:rsidR="006027C7" w:rsidRPr="009A4CF6" w:rsidRDefault="00B64589" w:rsidP="00FD56D0">
      <w:pPr>
        <w:spacing w:line="360" w:lineRule="auto"/>
        <w:ind w:firstLine="720"/>
        <w:rPr>
          <w:sz w:val="26"/>
          <w:szCs w:val="26"/>
        </w:rPr>
      </w:pPr>
      <w:r w:rsidRPr="009A4CF6">
        <w:rPr>
          <w:sz w:val="26"/>
          <w:szCs w:val="26"/>
        </w:rPr>
        <w:t xml:space="preserve">In the </w:t>
      </w:r>
      <w:r w:rsidRPr="009A4CF6">
        <w:rPr>
          <w:i/>
          <w:sz w:val="26"/>
          <w:szCs w:val="26"/>
        </w:rPr>
        <w:t>Tentative Order</w:t>
      </w:r>
      <w:r w:rsidRPr="009A4CF6">
        <w:rPr>
          <w:sz w:val="26"/>
          <w:szCs w:val="26"/>
        </w:rPr>
        <w:t>, we sought</w:t>
      </w:r>
      <w:r w:rsidR="00B642D5" w:rsidRPr="009A4CF6">
        <w:rPr>
          <w:sz w:val="26"/>
          <w:szCs w:val="26"/>
        </w:rPr>
        <w:t>, within 30 days,</w:t>
      </w:r>
      <w:r w:rsidRPr="009A4CF6">
        <w:rPr>
          <w:sz w:val="26"/>
          <w:szCs w:val="26"/>
        </w:rPr>
        <w:t xml:space="preserve"> comments on additional issues not addressed by the comments to the September 12, 2013 Order.</w:t>
      </w:r>
      <w:r w:rsidR="00FF3E77" w:rsidRPr="009A4CF6">
        <w:rPr>
          <w:sz w:val="26"/>
          <w:szCs w:val="26"/>
        </w:rPr>
        <w:t xml:space="preserve">  </w:t>
      </w:r>
      <w:r w:rsidR="00386C3F" w:rsidRPr="009A4CF6">
        <w:rPr>
          <w:i/>
          <w:sz w:val="26"/>
          <w:szCs w:val="26"/>
        </w:rPr>
        <w:t>See I</w:t>
      </w:r>
      <w:r w:rsidR="00FF3E77" w:rsidRPr="009A4CF6">
        <w:rPr>
          <w:i/>
          <w:sz w:val="26"/>
          <w:szCs w:val="26"/>
        </w:rPr>
        <w:t>d.</w:t>
      </w:r>
      <w:r w:rsidR="00FF3E77" w:rsidRPr="009A4CF6">
        <w:rPr>
          <w:sz w:val="26"/>
          <w:szCs w:val="26"/>
        </w:rPr>
        <w:t xml:space="preserve"> at 51.</w:t>
      </w:r>
      <w:r w:rsidR="006027C7" w:rsidRPr="009A4CF6">
        <w:rPr>
          <w:sz w:val="26"/>
          <w:szCs w:val="26"/>
        </w:rPr>
        <w:t xml:space="preserve">  We invited </w:t>
      </w:r>
      <w:r w:rsidR="00085D80" w:rsidRPr="009A4CF6">
        <w:rPr>
          <w:sz w:val="26"/>
          <w:szCs w:val="26"/>
        </w:rPr>
        <w:t>op</w:t>
      </w:r>
      <w:r w:rsidR="00494A05" w:rsidRPr="009A4CF6">
        <w:rPr>
          <w:sz w:val="26"/>
          <w:szCs w:val="26"/>
        </w:rPr>
        <w:t>i</w:t>
      </w:r>
      <w:r w:rsidR="00085D80" w:rsidRPr="009A4CF6">
        <w:rPr>
          <w:sz w:val="26"/>
          <w:szCs w:val="26"/>
        </w:rPr>
        <w:t>nions and perspectives</w:t>
      </w:r>
      <w:r w:rsidR="006027C7" w:rsidRPr="009A4CF6">
        <w:rPr>
          <w:sz w:val="26"/>
          <w:szCs w:val="26"/>
        </w:rPr>
        <w:t xml:space="preserve"> from interested parties, but advised that OCMO would not be required to achieve consensus on every recommendation submitted.</w:t>
      </w:r>
      <w:r w:rsidR="00FD56D0" w:rsidRPr="009A4CF6">
        <w:rPr>
          <w:sz w:val="26"/>
          <w:szCs w:val="26"/>
        </w:rPr>
        <w:t xml:space="preserve">  </w:t>
      </w:r>
      <w:r w:rsidR="006027C7" w:rsidRPr="009A4CF6">
        <w:rPr>
          <w:i/>
          <w:sz w:val="26"/>
          <w:szCs w:val="26"/>
        </w:rPr>
        <w:t>See</w:t>
      </w:r>
      <w:r w:rsidR="006027C7" w:rsidRPr="009A4CF6">
        <w:rPr>
          <w:sz w:val="26"/>
          <w:szCs w:val="26"/>
        </w:rPr>
        <w:t xml:space="preserve"> </w:t>
      </w:r>
      <w:r w:rsidR="006027C7" w:rsidRPr="009A4CF6">
        <w:rPr>
          <w:i/>
          <w:sz w:val="26"/>
          <w:szCs w:val="26"/>
        </w:rPr>
        <w:t>id.</w:t>
      </w:r>
      <w:r w:rsidR="006027C7" w:rsidRPr="009A4CF6">
        <w:rPr>
          <w:sz w:val="26"/>
          <w:szCs w:val="26"/>
        </w:rPr>
        <w:t xml:space="preserve">   </w:t>
      </w:r>
    </w:p>
    <w:p w:rsidR="006027C7" w:rsidRPr="009A4CF6" w:rsidRDefault="006027C7" w:rsidP="00FD56D0">
      <w:pPr>
        <w:spacing w:line="360" w:lineRule="auto"/>
        <w:ind w:firstLine="720"/>
        <w:rPr>
          <w:sz w:val="26"/>
          <w:szCs w:val="26"/>
        </w:rPr>
      </w:pPr>
    </w:p>
    <w:p w:rsidR="00E91371" w:rsidRPr="009A4CF6" w:rsidRDefault="00E91371" w:rsidP="00CB1FC9">
      <w:pPr>
        <w:spacing w:line="360" w:lineRule="auto"/>
        <w:ind w:firstLine="720"/>
        <w:rPr>
          <w:sz w:val="26"/>
          <w:szCs w:val="26"/>
        </w:rPr>
      </w:pPr>
      <w:r w:rsidRPr="009A4CF6">
        <w:rPr>
          <w:sz w:val="26"/>
          <w:szCs w:val="26"/>
        </w:rPr>
        <w:t>Comments</w:t>
      </w:r>
      <w:r w:rsidR="001837F4" w:rsidRPr="009A4CF6">
        <w:rPr>
          <w:sz w:val="26"/>
          <w:szCs w:val="26"/>
        </w:rPr>
        <w:t xml:space="preserve"> to the </w:t>
      </w:r>
      <w:r w:rsidR="001837F4" w:rsidRPr="009A4CF6">
        <w:rPr>
          <w:i/>
          <w:sz w:val="26"/>
          <w:szCs w:val="26"/>
        </w:rPr>
        <w:t>Tentative Order</w:t>
      </w:r>
      <w:r w:rsidRPr="009A4CF6">
        <w:rPr>
          <w:sz w:val="26"/>
          <w:szCs w:val="26"/>
        </w:rPr>
        <w:t xml:space="preserve"> were filed by</w:t>
      </w:r>
      <w:r w:rsidR="00B642D5" w:rsidRPr="009A4CF6">
        <w:rPr>
          <w:sz w:val="26"/>
          <w:szCs w:val="26"/>
        </w:rPr>
        <w:t xml:space="preserve"> Dominion Retail, Inc. d/b/a Dominion Energy Solutions, Shipley Energy Co., Rhoads Energy Corp., and AMERIgreen Energy (NGS Parties); the Energy Association of Pennsylvania (EAP); </w:t>
      </w:r>
      <w:r w:rsidR="00494A05" w:rsidRPr="009A4CF6">
        <w:rPr>
          <w:sz w:val="26"/>
          <w:szCs w:val="26"/>
        </w:rPr>
        <w:t>the National E</w:t>
      </w:r>
      <w:r w:rsidR="00C0036C" w:rsidRPr="009A4CF6">
        <w:rPr>
          <w:sz w:val="26"/>
          <w:szCs w:val="26"/>
        </w:rPr>
        <w:t>nergy Marketers Association (</w:t>
      </w:r>
      <w:r w:rsidR="000C3E32" w:rsidRPr="009A4CF6">
        <w:rPr>
          <w:sz w:val="26"/>
          <w:szCs w:val="26"/>
        </w:rPr>
        <w:t xml:space="preserve">National </w:t>
      </w:r>
      <w:r w:rsidR="00C0036C" w:rsidRPr="009A4CF6">
        <w:rPr>
          <w:sz w:val="26"/>
          <w:szCs w:val="26"/>
        </w:rPr>
        <w:t>Marketers</w:t>
      </w:r>
      <w:r w:rsidR="00494A05" w:rsidRPr="009A4CF6">
        <w:rPr>
          <w:sz w:val="26"/>
          <w:szCs w:val="26"/>
        </w:rPr>
        <w:t xml:space="preserve">); </w:t>
      </w:r>
      <w:r w:rsidR="003B4A14" w:rsidRPr="009A4CF6">
        <w:rPr>
          <w:sz w:val="26"/>
          <w:szCs w:val="26"/>
        </w:rPr>
        <w:t>PECO Energy Co</w:t>
      </w:r>
      <w:r w:rsidR="00B642D5" w:rsidRPr="009A4CF6">
        <w:rPr>
          <w:sz w:val="26"/>
          <w:szCs w:val="26"/>
        </w:rPr>
        <w:t>mpany</w:t>
      </w:r>
      <w:r w:rsidR="003B4A14" w:rsidRPr="009A4CF6">
        <w:rPr>
          <w:sz w:val="26"/>
          <w:szCs w:val="26"/>
        </w:rPr>
        <w:t xml:space="preserve"> (PECO);</w:t>
      </w:r>
      <w:r w:rsidR="000C3E32" w:rsidRPr="009A4CF6">
        <w:rPr>
          <w:sz w:val="26"/>
          <w:szCs w:val="26"/>
        </w:rPr>
        <w:t xml:space="preserve"> the Pennsylvania Energy Marketers Coalition (PA Marketers)</w:t>
      </w:r>
      <w:r w:rsidR="001C0A33" w:rsidRPr="009A4CF6">
        <w:rPr>
          <w:sz w:val="26"/>
          <w:szCs w:val="26"/>
        </w:rPr>
        <w:t xml:space="preserve">; </w:t>
      </w:r>
      <w:r w:rsidR="00B642D5" w:rsidRPr="009A4CF6">
        <w:rPr>
          <w:sz w:val="26"/>
          <w:szCs w:val="26"/>
        </w:rPr>
        <w:t xml:space="preserve">the Penn State Facilities Engineering Institute (PSU Engineers); the Retail Energy Supply Association (RESA); </w:t>
      </w:r>
      <w:r w:rsidR="001C0A33" w:rsidRPr="009A4CF6">
        <w:rPr>
          <w:sz w:val="26"/>
          <w:szCs w:val="26"/>
        </w:rPr>
        <w:t>UGI En</w:t>
      </w:r>
      <w:r w:rsidR="0019230E" w:rsidRPr="009A4CF6">
        <w:rPr>
          <w:sz w:val="26"/>
          <w:szCs w:val="26"/>
        </w:rPr>
        <w:t>ergy Services, LLC (UGI</w:t>
      </w:r>
      <w:r w:rsidR="004708B8" w:rsidRPr="009A4CF6">
        <w:rPr>
          <w:sz w:val="26"/>
          <w:szCs w:val="26"/>
        </w:rPr>
        <w:t>ES</w:t>
      </w:r>
      <w:r w:rsidR="0019230E" w:rsidRPr="009A4CF6">
        <w:rPr>
          <w:sz w:val="26"/>
          <w:szCs w:val="26"/>
        </w:rPr>
        <w:t>)</w:t>
      </w:r>
      <w:r w:rsidR="00B642D5" w:rsidRPr="009A4CF6">
        <w:rPr>
          <w:sz w:val="26"/>
          <w:szCs w:val="26"/>
        </w:rPr>
        <w:t xml:space="preserve">; and Washington Gas Energy </w:t>
      </w:r>
      <w:r w:rsidR="00694EDF">
        <w:rPr>
          <w:sz w:val="26"/>
          <w:szCs w:val="26"/>
        </w:rPr>
        <w:t>Services, Inc. (Washington Gas).</w:t>
      </w:r>
    </w:p>
    <w:p w:rsidR="0075257B" w:rsidRPr="009A4CF6" w:rsidRDefault="007A63EB" w:rsidP="00CB1FC9">
      <w:pPr>
        <w:spacing w:line="360" w:lineRule="auto"/>
        <w:rPr>
          <w:sz w:val="26"/>
          <w:szCs w:val="26"/>
        </w:rPr>
      </w:pPr>
      <w:r w:rsidRPr="009A4CF6">
        <w:rPr>
          <w:sz w:val="26"/>
          <w:szCs w:val="26"/>
        </w:rPr>
        <w:tab/>
      </w:r>
      <w:r w:rsidR="00F06580" w:rsidRPr="009A4CF6">
        <w:rPr>
          <w:sz w:val="26"/>
          <w:szCs w:val="26"/>
        </w:rPr>
        <w:t xml:space="preserve">  </w:t>
      </w:r>
    </w:p>
    <w:p w:rsidR="009C3D26" w:rsidRPr="009A4CF6" w:rsidRDefault="007A63EB" w:rsidP="00CB1FC9">
      <w:pPr>
        <w:pStyle w:val="Heading1"/>
        <w:spacing w:before="0" w:line="360" w:lineRule="auto"/>
        <w:jc w:val="center"/>
        <w:rPr>
          <w:rFonts w:ascii="Times New Roman" w:hAnsi="Times New Roman" w:cs="Times New Roman"/>
          <w:b w:val="0"/>
          <w:color w:val="auto"/>
          <w:sz w:val="26"/>
          <w:szCs w:val="26"/>
        </w:rPr>
      </w:pPr>
      <w:bookmarkStart w:id="1" w:name="_Toc405359492"/>
      <w:r w:rsidRPr="009A4CF6">
        <w:rPr>
          <w:rFonts w:ascii="Times New Roman" w:hAnsi="Times New Roman" w:cs="Times New Roman"/>
          <w:color w:val="auto"/>
          <w:sz w:val="26"/>
          <w:szCs w:val="26"/>
        </w:rPr>
        <w:t>DISCUSSION</w:t>
      </w:r>
      <w:bookmarkEnd w:id="1"/>
    </w:p>
    <w:p w:rsidR="00B642D5" w:rsidRPr="009A4CF6" w:rsidRDefault="00B642D5" w:rsidP="00CB1FC9">
      <w:pPr>
        <w:spacing w:line="360" w:lineRule="auto"/>
        <w:rPr>
          <w:b/>
          <w:sz w:val="26"/>
        </w:rPr>
      </w:pPr>
    </w:p>
    <w:p w:rsidR="00454A06" w:rsidRPr="009A4CF6" w:rsidRDefault="007A63EB" w:rsidP="00CB1FC9">
      <w:pPr>
        <w:spacing w:line="360" w:lineRule="auto"/>
        <w:rPr>
          <w:sz w:val="26"/>
          <w:szCs w:val="26"/>
        </w:rPr>
      </w:pPr>
      <w:r w:rsidRPr="009A4CF6">
        <w:rPr>
          <w:sz w:val="26"/>
          <w:szCs w:val="26"/>
        </w:rPr>
        <w:tab/>
        <w:t xml:space="preserve">We have reviewed the comments to the </w:t>
      </w:r>
      <w:r w:rsidRPr="009A4CF6">
        <w:rPr>
          <w:i/>
          <w:sz w:val="26"/>
          <w:szCs w:val="26"/>
        </w:rPr>
        <w:t>Tentative Order</w:t>
      </w:r>
      <w:r w:rsidRPr="009A4CF6">
        <w:rPr>
          <w:sz w:val="26"/>
          <w:szCs w:val="26"/>
        </w:rPr>
        <w:t xml:space="preserve">.  Upon review of those comments and based on OCMO’s recommendations, we will narrow the focus </w:t>
      </w:r>
      <w:r w:rsidR="0019230E" w:rsidRPr="009A4CF6">
        <w:rPr>
          <w:sz w:val="26"/>
          <w:szCs w:val="26"/>
        </w:rPr>
        <w:t>of this</w:t>
      </w:r>
      <w:r w:rsidRPr="009A4CF6">
        <w:rPr>
          <w:sz w:val="26"/>
          <w:szCs w:val="26"/>
        </w:rPr>
        <w:t xml:space="preserve"> </w:t>
      </w:r>
      <w:r w:rsidR="00D06C4F" w:rsidRPr="009A4CF6">
        <w:rPr>
          <w:sz w:val="26"/>
          <w:szCs w:val="26"/>
        </w:rPr>
        <w:lastRenderedPageBreak/>
        <w:t>I</w:t>
      </w:r>
      <w:r w:rsidRPr="009A4CF6">
        <w:rPr>
          <w:sz w:val="26"/>
          <w:szCs w:val="26"/>
        </w:rPr>
        <w:t>nvestigation, as provided through this Final Order</w:t>
      </w:r>
      <w:r w:rsidR="00085D80" w:rsidRPr="009A4CF6">
        <w:rPr>
          <w:sz w:val="26"/>
          <w:szCs w:val="26"/>
        </w:rPr>
        <w:t>, pursuant to our duty under the Natural Gas Choice and Competition Act, 66 Pa. C.S. §§ 2201-2212, and our authority under the Public Utility Code, 66 Pa.</w:t>
      </w:r>
      <w:r w:rsidR="005C3312">
        <w:rPr>
          <w:sz w:val="26"/>
          <w:szCs w:val="26"/>
        </w:rPr>
        <w:t xml:space="preserve"> </w:t>
      </w:r>
      <w:r w:rsidR="00085D80" w:rsidRPr="009A4CF6">
        <w:rPr>
          <w:sz w:val="26"/>
          <w:szCs w:val="26"/>
        </w:rPr>
        <w:t>C.S. § 501.</w:t>
      </w:r>
      <w:r w:rsidR="00494A05" w:rsidRPr="009A4CF6">
        <w:rPr>
          <w:sz w:val="26"/>
          <w:szCs w:val="26"/>
        </w:rPr>
        <w:t xml:space="preserve">  Below, we summarize the comments by subject area and render dispositions accordingly.</w:t>
      </w:r>
      <w:r w:rsidR="0019230E" w:rsidRPr="009A4CF6">
        <w:rPr>
          <w:sz w:val="26"/>
          <w:szCs w:val="26"/>
        </w:rPr>
        <w:t xml:space="preserve"> </w:t>
      </w:r>
      <w:r w:rsidR="00494A05" w:rsidRPr="009A4CF6">
        <w:rPr>
          <w:sz w:val="26"/>
          <w:szCs w:val="26"/>
        </w:rPr>
        <w:t xml:space="preserve">  </w:t>
      </w:r>
    </w:p>
    <w:p w:rsidR="00F3444E" w:rsidRPr="009A4CF6" w:rsidRDefault="00F3444E" w:rsidP="00355C63">
      <w:pPr>
        <w:spacing w:line="360" w:lineRule="auto"/>
        <w:rPr>
          <w:sz w:val="26"/>
          <w:szCs w:val="26"/>
        </w:rPr>
      </w:pPr>
    </w:p>
    <w:p w:rsidR="00F3444E" w:rsidRPr="009A4CF6" w:rsidRDefault="00F3444E" w:rsidP="00CB1FC9">
      <w:pPr>
        <w:spacing w:line="360" w:lineRule="auto"/>
        <w:rPr>
          <w:sz w:val="26"/>
          <w:szCs w:val="26"/>
        </w:rPr>
      </w:pPr>
      <w:r w:rsidRPr="009A4CF6">
        <w:rPr>
          <w:sz w:val="26"/>
          <w:szCs w:val="26"/>
        </w:rPr>
        <w:tab/>
        <w:t xml:space="preserve">We reiterate that, while OCMO </w:t>
      </w:r>
      <w:r w:rsidR="007B52F9">
        <w:rPr>
          <w:sz w:val="26"/>
          <w:szCs w:val="26"/>
        </w:rPr>
        <w:t>will</w:t>
      </w:r>
      <w:r w:rsidRPr="009A4CF6">
        <w:rPr>
          <w:sz w:val="26"/>
          <w:szCs w:val="26"/>
        </w:rPr>
        <w:t xml:space="preserve"> consider all positions of interested parties in developing recommendations for this Commission’s consideration, it will not be required to achieve consensus on th</w:t>
      </w:r>
      <w:r w:rsidR="00412A50" w:rsidRPr="009A4CF6">
        <w:rPr>
          <w:sz w:val="26"/>
          <w:szCs w:val="26"/>
        </w:rPr>
        <w:t>ose</w:t>
      </w:r>
      <w:r w:rsidRPr="009A4CF6">
        <w:rPr>
          <w:sz w:val="26"/>
          <w:szCs w:val="26"/>
        </w:rPr>
        <w:t xml:space="preserve"> recommendations</w:t>
      </w:r>
      <w:r w:rsidR="007B52F9">
        <w:rPr>
          <w:sz w:val="26"/>
          <w:szCs w:val="26"/>
        </w:rPr>
        <w:t xml:space="preserve"> before forwarding recommendations to the Commission</w:t>
      </w:r>
      <w:r w:rsidR="00412A50" w:rsidRPr="009A4CF6">
        <w:rPr>
          <w:sz w:val="26"/>
          <w:szCs w:val="26"/>
        </w:rPr>
        <w:t xml:space="preserve">.  In addition, OCMO is directed to hold conference calls and/or conduct meetings with various stakeholders to ensure that Commission Staff has current knowledge of </w:t>
      </w:r>
      <w:r w:rsidR="008F59AE" w:rsidRPr="009A4CF6">
        <w:rPr>
          <w:sz w:val="26"/>
          <w:szCs w:val="26"/>
        </w:rPr>
        <w:t xml:space="preserve">Pennsylvania’s retail natural gas market, including, but not limited to, </w:t>
      </w:r>
      <w:r w:rsidR="00412A50" w:rsidRPr="009A4CF6">
        <w:rPr>
          <w:sz w:val="26"/>
          <w:szCs w:val="26"/>
        </w:rPr>
        <w:t xml:space="preserve">gas distribution system operations and NGS/NGDC interactions.  These meetings/conference calls should be the initial OCMO tasks in the Investigation. </w:t>
      </w:r>
    </w:p>
    <w:p w:rsidR="00D1139B" w:rsidRPr="009A4CF6" w:rsidRDefault="00D1139B" w:rsidP="00CB1FC9">
      <w:pPr>
        <w:spacing w:line="360" w:lineRule="auto"/>
        <w:rPr>
          <w:sz w:val="26"/>
          <w:szCs w:val="26"/>
        </w:rPr>
      </w:pPr>
    </w:p>
    <w:p w:rsidR="00494A05" w:rsidRPr="009A4CF6" w:rsidRDefault="00B3240B" w:rsidP="00CB1FC9">
      <w:pPr>
        <w:pStyle w:val="Heading2"/>
        <w:spacing w:before="0" w:line="360" w:lineRule="auto"/>
        <w:rPr>
          <w:rFonts w:ascii="Times New Roman" w:hAnsi="Times New Roman" w:cs="Times New Roman"/>
          <w:color w:val="auto"/>
        </w:rPr>
      </w:pPr>
      <w:bookmarkStart w:id="2" w:name="_Toc405359493"/>
      <w:r w:rsidRPr="009A4CF6">
        <w:rPr>
          <w:rFonts w:ascii="Times New Roman" w:hAnsi="Times New Roman" w:cs="Times New Roman"/>
          <w:color w:val="auto"/>
        </w:rPr>
        <w:t>A.</w:t>
      </w:r>
      <w:r w:rsidRPr="009A4CF6">
        <w:rPr>
          <w:rFonts w:ascii="Times New Roman" w:hAnsi="Times New Roman" w:cs="Times New Roman"/>
          <w:color w:val="auto"/>
        </w:rPr>
        <w:tab/>
      </w:r>
      <w:r w:rsidR="00494A05" w:rsidRPr="009A4CF6">
        <w:rPr>
          <w:rFonts w:ascii="Times New Roman" w:hAnsi="Times New Roman" w:cs="Times New Roman"/>
          <w:color w:val="auto"/>
        </w:rPr>
        <w:t>Next Steps for Pennsylvania’s Retail Natural Gas Market</w:t>
      </w:r>
      <w:bookmarkEnd w:id="2"/>
    </w:p>
    <w:p w:rsidR="00B3240B" w:rsidRPr="009A4CF6" w:rsidRDefault="00B3240B" w:rsidP="00CB1FC9">
      <w:pPr>
        <w:spacing w:line="360" w:lineRule="auto"/>
        <w:rPr>
          <w:sz w:val="26"/>
          <w:szCs w:val="26"/>
        </w:rPr>
      </w:pPr>
    </w:p>
    <w:p w:rsidR="00AB5327" w:rsidRPr="009A4CF6" w:rsidRDefault="00AB5327" w:rsidP="00CB1FC9">
      <w:pPr>
        <w:spacing w:line="360" w:lineRule="auto"/>
        <w:rPr>
          <w:sz w:val="26"/>
          <w:szCs w:val="26"/>
        </w:rPr>
      </w:pPr>
      <w:r w:rsidRPr="009A4CF6">
        <w:rPr>
          <w:sz w:val="26"/>
          <w:szCs w:val="26"/>
        </w:rPr>
        <w:tab/>
        <w:t xml:space="preserve">In our </w:t>
      </w:r>
      <w:r w:rsidRPr="009A4CF6">
        <w:rPr>
          <w:i/>
          <w:sz w:val="26"/>
          <w:szCs w:val="26"/>
        </w:rPr>
        <w:t>Tentative Order</w:t>
      </w:r>
      <w:r w:rsidRPr="009A4CF6">
        <w:rPr>
          <w:sz w:val="26"/>
          <w:szCs w:val="26"/>
        </w:rPr>
        <w:t xml:space="preserve">, we noted our agreement with the views expressed by RESA in its informal comments that improvements to the current retail natural gas market in the Commonwealth are necessary to provide for a more robust shopping experience for Pennsylvania consumers.  Therefore, we determined that we would forego an initial examination of the state of the market and tentatively directed OCMO to examine various issues </w:t>
      </w:r>
      <w:r w:rsidR="007B52F9">
        <w:rPr>
          <w:sz w:val="26"/>
          <w:szCs w:val="26"/>
        </w:rPr>
        <w:t>that are designed</w:t>
      </w:r>
      <w:r w:rsidRPr="009A4CF6">
        <w:rPr>
          <w:sz w:val="26"/>
          <w:szCs w:val="26"/>
        </w:rPr>
        <w:t xml:space="preserve"> to improve the retail natural gas market and stimulate consumer participation.</w:t>
      </w:r>
    </w:p>
    <w:p w:rsidR="00AB5327" w:rsidRPr="009A4CF6" w:rsidRDefault="00AB5327" w:rsidP="00085D80">
      <w:pPr>
        <w:spacing w:line="360" w:lineRule="auto"/>
        <w:rPr>
          <w:sz w:val="26"/>
          <w:szCs w:val="26"/>
        </w:rPr>
      </w:pPr>
    </w:p>
    <w:p w:rsidR="00494A05" w:rsidRPr="009A4CF6" w:rsidRDefault="00B3240B" w:rsidP="00085D80">
      <w:pPr>
        <w:spacing w:line="360" w:lineRule="auto"/>
        <w:rPr>
          <w:b/>
          <w:sz w:val="26"/>
          <w:szCs w:val="26"/>
        </w:rPr>
      </w:pPr>
      <w:r w:rsidRPr="009A4CF6">
        <w:rPr>
          <w:sz w:val="26"/>
          <w:szCs w:val="26"/>
        </w:rPr>
        <w:tab/>
      </w:r>
      <w:r w:rsidRPr="009A4CF6">
        <w:rPr>
          <w:b/>
          <w:sz w:val="26"/>
          <w:szCs w:val="26"/>
        </w:rPr>
        <w:t>1.</w:t>
      </w:r>
      <w:r w:rsidRPr="009A4CF6">
        <w:rPr>
          <w:b/>
          <w:sz w:val="26"/>
          <w:szCs w:val="26"/>
        </w:rPr>
        <w:tab/>
      </w:r>
      <w:r w:rsidR="00494A05" w:rsidRPr="009A4CF6">
        <w:rPr>
          <w:b/>
          <w:sz w:val="26"/>
          <w:szCs w:val="26"/>
        </w:rPr>
        <w:t>Comments</w:t>
      </w:r>
    </w:p>
    <w:p w:rsidR="00B3240B" w:rsidRPr="009A4CF6" w:rsidRDefault="00B3240B" w:rsidP="00085D80">
      <w:pPr>
        <w:spacing w:line="360" w:lineRule="auto"/>
        <w:rPr>
          <w:sz w:val="26"/>
          <w:szCs w:val="26"/>
        </w:rPr>
      </w:pPr>
    </w:p>
    <w:p w:rsidR="00494A05" w:rsidRPr="009A4CF6" w:rsidRDefault="003A0394" w:rsidP="00085D80">
      <w:pPr>
        <w:spacing w:line="360" w:lineRule="auto"/>
        <w:rPr>
          <w:sz w:val="26"/>
          <w:szCs w:val="26"/>
        </w:rPr>
      </w:pPr>
      <w:r w:rsidRPr="009A4CF6">
        <w:rPr>
          <w:sz w:val="26"/>
          <w:szCs w:val="26"/>
        </w:rPr>
        <w:tab/>
        <w:t>In moving forward, EAP emphasize</w:t>
      </w:r>
      <w:r w:rsidR="00661814" w:rsidRPr="009A4CF6">
        <w:rPr>
          <w:sz w:val="26"/>
          <w:szCs w:val="26"/>
        </w:rPr>
        <w:t>s</w:t>
      </w:r>
      <w:r w:rsidRPr="009A4CF6">
        <w:rPr>
          <w:sz w:val="26"/>
          <w:szCs w:val="26"/>
        </w:rPr>
        <w:t xml:space="preserve"> the importance of collaboration among the various stakeholders through discussions</w:t>
      </w:r>
      <w:r w:rsidR="007B52F9">
        <w:rPr>
          <w:sz w:val="26"/>
          <w:szCs w:val="26"/>
        </w:rPr>
        <w:t xml:space="preserve"> and</w:t>
      </w:r>
      <w:r w:rsidRPr="009A4CF6">
        <w:rPr>
          <w:sz w:val="26"/>
          <w:szCs w:val="26"/>
        </w:rPr>
        <w:t xml:space="preserve"> reviews of the issues in a variety of forums, such as in-person meetings, conference calls, working groups and subgroups, a</w:t>
      </w:r>
      <w:r w:rsidR="007B52F9">
        <w:rPr>
          <w:sz w:val="26"/>
          <w:szCs w:val="26"/>
        </w:rPr>
        <w:t>s well as</w:t>
      </w:r>
      <w:r w:rsidRPr="009A4CF6">
        <w:rPr>
          <w:sz w:val="26"/>
          <w:szCs w:val="26"/>
        </w:rPr>
        <w:t xml:space="preserve"> </w:t>
      </w:r>
      <w:r w:rsidRPr="009A4CF6">
        <w:rPr>
          <w:sz w:val="26"/>
          <w:szCs w:val="26"/>
        </w:rPr>
        <w:lastRenderedPageBreak/>
        <w:t xml:space="preserve">submission of comments and/or white papers on specific issues.  </w:t>
      </w:r>
      <w:r w:rsidR="008E70F8" w:rsidRPr="009A4CF6">
        <w:rPr>
          <w:sz w:val="26"/>
          <w:szCs w:val="26"/>
        </w:rPr>
        <w:t xml:space="preserve">EAP </w:t>
      </w:r>
      <w:r w:rsidRPr="009A4CF6">
        <w:rPr>
          <w:sz w:val="26"/>
          <w:szCs w:val="26"/>
        </w:rPr>
        <w:t>Comments at 3</w:t>
      </w:r>
      <w:r w:rsidR="00D25F0D" w:rsidRPr="009A4CF6">
        <w:rPr>
          <w:sz w:val="26"/>
          <w:szCs w:val="26"/>
        </w:rPr>
        <w:t xml:space="preserve">; </w:t>
      </w:r>
      <w:r w:rsidR="00D25F0D" w:rsidRPr="009A4CF6">
        <w:rPr>
          <w:i/>
          <w:sz w:val="26"/>
          <w:szCs w:val="26"/>
        </w:rPr>
        <w:t xml:space="preserve">see also </w:t>
      </w:r>
      <w:r w:rsidR="00D25F0D" w:rsidRPr="009A4CF6">
        <w:rPr>
          <w:sz w:val="26"/>
          <w:szCs w:val="26"/>
        </w:rPr>
        <w:t>NGS Parties’ Comments at 7 (asking Commission to identify investigative tools and processes)</w:t>
      </w:r>
      <w:r w:rsidR="00661814" w:rsidRPr="009A4CF6">
        <w:rPr>
          <w:sz w:val="26"/>
          <w:szCs w:val="26"/>
        </w:rPr>
        <w:t>.  Accordingly, EAP asks</w:t>
      </w:r>
      <w:r w:rsidRPr="009A4CF6">
        <w:rPr>
          <w:sz w:val="26"/>
          <w:szCs w:val="26"/>
        </w:rPr>
        <w:t xml:space="preserve"> that the Commission establish an outline or framework for resolution, but caution</w:t>
      </w:r>
      <w:r w:rsidR="00661814" w:rsidRPr="009A4CF6">
        <w:rPr>
          <w:sz w:val="26"/>
          <w:szCs w:val="26"/>
        </w:rPr>
        <w:t>s</w:t>
      </w:r>
      <w:r w:rsidRPr="009A4CF6">
        <w:rPr>
          <w:sz w:val="26"/>
          <w:szCs w:val="26"/>
        </w:rPr>
        <w:t xml:space="preserve"> against targeted completi</w:t>
      </w:r>
      <w:r w:rsidR="00D06C4F" w:rsidRPr="009A4CF6">
        <w:rPr>
          <w:sz w:val="26"/>
          <w:szCs w:val="26"/>
        </w:rPr>
        <w:t>on dates for any aspect of the I</w:t>
      </w:r>
      <w:r w:rsidRPr="009A4CF6">
        <w:rPr>
          <w:sz w:val="26"/>
          <w:szCs w:val="26"/>
        </w:rPr>
        <w:t xml:space="preserve">nvestigation.  </w:t>
      </w:r>
      <w:r w:rsidR="008E70F8" w:rsidRPr="009A4CF6">
        <w:rPr>
          <w:sz w:val="26"/>
          <w:szCs w:val="26"/>
        </w:rPr>
        <w:t>EAP Comments</w:t>
      </w:r>
      <w:r w:rsidRPr="009A4CF6">
        <w:rPr>
          <w:sz w:val="26"/>
          <w:szCs w:val="26"/>
        </w:rPr>
        <w:t xml:space="preserve"> at 3-4.   </w:t>
      </w:r>
    </w:p>
    <w:p w:rsidR="003A0394" w:rsidRPr="009A4CF6" w:rsidRDefault="008D7E3F" w:rsidP="00085D80">
      <w:pPr>
        <w:spacing w:line="360" w:lineRule="auto"/>
        <w:rPr>
          <w:sz w:val="26"/>
          <w:szCs w:val="26"/>
        </w:rPr>
      </w:pPr>
      <w:r w:rsidRPr="009A4CF6">
        <w:rPr>
          <w:sz w:val="26"/>
          <w:szCs w:val="26"/>
        </w:rPr>
        <w:tab/>
      </w:r>
    </w:p>
    <w:p w:rsidR="008D7E3F" w:rsidRPr="009A4CF6" w:rsidRDefault="008D7E3F" w:rsidP="00085D80">
      <w:pPr>
        <w:spacing w:line="360" w:lineRule="auto"/>
        <w:rPr>
          <w:sz w:val="26"/>
          <w:szCs w:val="26"/>
        </w:rPr>
      </w:pPr>
      <w:r w:rsidRPr="009A4CF6">
        <w:rPr>
          <w:sz w:val="26"/>
          <w:szCs w:val="26"/>
        </w:rPr>
        <w:tab/>
      </w:r>
      <w:r w:rsidR="00751640" w:rsidRPr="009A4CF6">
        <w:rPr>
          <w:sz w:val="26"/>
          <w:szCs w:val="26"/>
        </w:rPr>
        <w:t>RESA recommend</w:t>
      </w:r>
      <w:r w:rsidR="00661814" w:rsidRPr="009A4CF6">
        <w:rPr>
          <w:sz w:val="26"/>
          <w:szCs w:val="26"/>
        </w:rPr>
        <w:t>s</w:t>
      </w:r>
      <w:r w:rsidR="00751640" w:rsidRPr="009A4CF6">
        <w:rPr>
          <w:sz w:val="26"/>
          <w:szCs w:val="26"/>
        </w:rPr>
        <w:t xml:space="preserve"> a thr</w:t>
      </w:r>
      <w:r w:rsidR="00C00DD8" w:rsidRPr="009A4CF6">
        <w:rPr>
          <w:sz w:val="26"/>
          <w:szCs w:val="26"/>
        </w:rPr>
        <w:t>ee</w:t>
      </w:r>
      <w:r w:rsidR="00661814" w:rsidRPr="009A4CF6">
        <w:rPr>
          <w:sz w:val="26"/>
          <w:szCs w:val="26"/>
        </w:rPr>
        <w:t>-</w:t>
      </w:r>
      <w:r w:rsidR="00C00DD8" w:rsidRPr="009A4CF6">
        <w:rPr>
          <w:sz w:val="26"/>
          <w:szCs w:val="26"/>
        </w:rPr>
        <w:t xml:space="preserve">phrase approach, entailing </w:t>
      </w:r>
      <w:r w:rsidR="00661814" w:rsidRPr="009A4CF6">
        <w:rPr>
          <w:sz w:val="26"/>
          <w:szCs w:val="26"/>
        </w:rPr>
        <w:t>short-term, midterm</w:t>
      </w:r>
      <w:r w:rsidR="00751640" w:rsidRPr="009A4CF6">
        <w:rPr>
          <w:sz w:val="26"/>
          <w:szCs w:val="26"/>
        </w:rPr>
        <w:t xml:space="preserve"> and long-term action plans.  In the short-term</w:t>
      </w:r>
      <w:r w:rsidR="00661814" w:rsidRPr="009A4CF6">
        <w:rPr>
          <w:sz w:val="26"/>
          <w:szCs w:val="26"/>
        </w:rPr>
        <w:t>, RESA recommends</w:t>
      </w:r>
      <w:r w:rsidR="00751640" w:rsidRPr="009A4CF6">
        <w:rPr>
          <w:sz w:val="26"/>
          <w:szCs w:val="26"/>
        </w:rPr>
        <w:t xml:space="preserve"> examination of a join</w:t>
      </w:r>
      <w:r w:rsidR="00661814" w:rsidRPr="009A4CF6">
        <w:rPr>
          <w:sz w:val="26"/>
          <w:szCs w:val="26"/>
        </w:rPr>
        <w:t>t NGDC-NGS bill;</w:t>
      </w:r>
      <w:r w:rsidR="00751640" w:rsidRPr="009A4CF6">
        <w:rPr>
          <w:sz w:val="26"/>
          <w:szCs w:val="26"/>
        </w:rPr>
        <w:t xml:space="preserve"> customer account look-up</w:t>
      </w:r>
      <w:r w:rsidRPr="009A4CF6">
        <w:rPr>
          <w:sz w:val="26"/>
          <w:szCs w:val="26"/>
        </w:rPr>
        <w:t xml:space="preserve"> </w:t>
      </w:r>
      <w:r w:rsidR="00751640" w:rsidRPr="009A4CF6">
        <w:rPr>
          <w:sz w:val="26"/>
          <w:szCs w:val="26"/>
        </w:rPr>
        <w:t>mechanisms</w:t>
      </w:r>
      <w:r w:rsidR="00661814" w:rsidRPr="009A4CF6">
        <w:rPr>
          <w:sz w:val="26"/>
          <w:szCs w:val="26"/>
        </w:rPr>
        <w:t>;</w:t>
      </w:r>
      <w:r w:rsidR="00751640" w:rsidRPr="009A4CF6">
        <w:rPr>
          <w:sz w:val="26"/>
          <w:szCs w:val="26"/>
        </w:rPr>
        <w:t xml:space="preserve"> seamless moves</w:t>
      </w:r>
      <w:r w:rsidR="00D66B30" w:rsidRPr="009A4CF6">
        <w:rPr>
          <w:sz w:val="26"/>
          <w:szCs w:val="26"/>
        </w:rPr>
        <w:t xml:space="preserve"> and instant connects</w:t>
      </w:r>
      <w:r w:rsidR="00661814" w:rsidRPr="009A4CF6">
        <w:rPr>
          <w:sz w:val="26"/>
          <w:szCs w:val="26"/>
        </w:rPr>
        <w:t>;</w:t>
      </w:r>
      <w:r w:rsidR="00751640" w:rsidRPr="009A4CF6">
        <w:rPr>
          <w:sz w:val="26"/>
          <w:szCs w:val="26"/>
        </w:rPr>
        <w:t xml:space="preserve"> improvements to </w:t>
      </w:r>
      <w:r w:rsidR="00661814" w:rsidRPr="009A4CF6">
        <w:rPr>
          <w:sz w:val="26"/>
          <w:szCs w:val="26"/>
        </w:rPr>
        <w:t>www.PaGasSwitch.com;</w:t>
      </w:r>
      <w:r w:rsidR="00661814" w:rsidRPr="009A4CF6">
        <w:rPr>
          <w:rStyle w:val="FootnoteReference"/>
          <w:sz w:val="26"/>
          <w:szCs w:val="26"/>
        </w:rPr>
        <w:footnoteReference w:id="2"/>
      </w:r>
      <w:r w:rsidR="00751640" w:rsidRPr="009A4CF6">
        <w:rPr>
          <w:sz w:val="26"/>
          <w:szCs w:val="26"/>
        </w:rPr>
        <w:t xml:space="preserve"> the quarterly NGDC reconciliation process</w:t>
      </w:r>
      <w:r w:rsidR="00661814" w:rsidRPr="009A4CF6">
        <w:rPr>
          <w:sz w:val="26"/>
          <w:szCs w:val="26"/>
        </w:rPr>
        <w:t>;</w:t>
      </w:r>
      <w:r w:rsidR="00751640" w:rsidRPr="009A4CF6">
        <w:rPr>
          <w:sz w:val="26"/>
          <w:szCs w:val="26"/>
        </w:rPr>
        <w:t xml:space="preserve"> tariff rules and standard offer program</w:t>
      </w:r>
      <w:r w:rsidR="00D66B30" w:rsidRPr="009A4CF6">
        <w:rPr>
          <w:sz w:val="26"/>
          <w:szCs w:val="26"/>
        </w:rPr>
        <w:t>s</w:t>
      </w:r>
      <w:r w:rsidR="00751640" w:rsidRPr="009A4CF6">
        <w:rPr>
          <w:sz w:val="26"/>
          <w:szCs w:val="26"/>
        </w:rPr>
        <w:t xml:space="preserve">. </w:t>
      </w:r>
      <w:r w:rsidR="00661814" w:rsidRPr="009A4CF6">
        <w:rPr>
          <w:sz w:val="26"/>
          <w:szCs w:val="26"/>
        </w:rPr>
        <w:t xml:space="preserve"> In the midterm, RESA recommends examination of: the</w:t>
      </w:r>
      <w:r w:rsidR="00751640" w:rsidRPr="009A4CF6">
        <w:rPr>
          <w:sz w:val="26"/>
          <w:szCs w:val="26"/>
        </w:rPr>
        <w:t xml:space="preserve"> </w:t>
      </w:r>
      <w:r w:rsidR="00661814" w:rsidRPr="009A4CF6">
        <w:rPr>
          <w:sz w:val="26"/>
          <w:szCs w:val="26"/>
        </w:rPr>
        <w:t>removal of</w:t>
      </w:r>
      <w:r w:rsidR="00A43245" w:rsidRPr="009A4CF6">
        <w:rPr>
          <w:sz w:val="26"/>
          <w:szCs w:val="26"/>
        </w:rPr>
        <w:t xml:space="preserve"> the NGDCs from the </w:t>
      </w:r>
      <w:r w:rsidR="00661814" w:rsidRPr="009A4CF6">
        <w:rPr>
          <w:sz w:val="26"/>
          <w:szCs w:val="26"/>
        </w:rPr>
        <w:t>SOLR role; NGS consolidated billing; cost of service studies;</w:t>
      </w:r>
      <w:r w:rsidR="00A43245" w:rsidRPr="009A4CF6">
        <w:rPr>
          <w:sz w:val="26"/>
          <w:szCs w:val="26"/>
        </w:rPr>
        <w:t xml:space="preserve"> capacity assignment and storage</w:t>
      </w:r>
      <w:r w:rsidR="00661814" w:rsidRPr="009A4CF6">
        <w:rPr>
          <w:sz w:val="26"/>
          <w:szCs w:val="26"/>
        </w:rPr>
        <w:t>;</w:t>
      </w:r>
      <w:r w:rsidR="00A43245" w:rsidRPr="009A4CF6">
        <w:rPr>
          <w:sz w:val="26"/>
          <w:szCs w:val="26"/>
        </w:rPr>
        <w:t xml:space="preserve"> NGDC access points by NGSs</w:t>
      </w:r>
      <w:r w:rsidR="00661814" w:rsidRPr="009A4CF6">
        <w:rPr>
          <w:sz w:val="26"/>
          <w:szCs w:val="26"/>
        </w:rPr>
        <w:t>;</w:t>
      </w:r>
      <w:r w:rsidR="00A43245" w:rsidRPr="009A4CF6">
        <w:rPr>
          <w:sz w:val="26"/>
          <w:szCs w:val="26"/>
        </w:rPr>
        <w:t xml:space="preserve"> standardization</w:t>
      </w:r>
      <w:r w:rsidR="00661814" w:rsidRPr="009A4CF6">
        <w:rPr>
          <w:sz w:val="26"/>
          <w:szCs w:val="26"/>
        </w:rPr>
        <w:t xml:space="preserve"> of tariffs;</w:t>
      </w:r>
      <w:r w:rsidR="00A43245" w:rsidRPr="009A4CF6">
        <w:rPr>
          <w:sz w:val="26"/>
          <w:szCs w:val="26"/>
        </w:rPr>
        <w:t xml:space="preserve"> creditworthiness requirements</w:t>
      </w:r>
      <w:r w:rsidR="00661814" w:rsidRPr="009A4CF6">
        <w:rPr>
          <w:sz w:val="26"/>
          <w:szCs w:val="26"/>
        </w:rPr>
        <w:t>; accelerated switching;</w:t>
      </w:r>
      <w:r w:rsidR="00A43245" w:rsidRPr="009A4CF6">
        <w:rPr>
          <w:sz w:val="26"/>
          <w:szCs w:val="26"/>
        </w:rPr>
        <w:t xml:space="preserve"> low-income shopping</w:t>
      </w:r>
      <w:r w:rsidR="00661814" w:rsidRPr="009A4CF6">
        <w:rPr>
          <w:sz w:val="26"/>
          <w:szCs w:val="26"/>
        </w:rPr>
        <w:t>;</w:t>
      </w:r>
      <w:r w:rsidR="00A43245" w:rsidRPr="009A4CF6">
        <w:rPr>
          <w:sz w:val="26"/>
          <w:szCs w:val="26"/>
        </w:rPr>
        <w:t xml:space="preserve"> disclosures</w:t>
      </w:r>
      <w:r w:rsidR="00661814" w:rsidRPr="009A4CF6">
        <w:rPr>
          <w:sz w:val="26"/>
          <w:szCs w:val="26"/>
        </w:rPr>
        <w:t>; migration riders</w:t>
      </w:r>
      <w:r w:rsidR="00A43245" w:rsidRPr="009A4CF6">
        <w:rPr>
          <w:sz w:val="26"/>
          <w:szCs w:val="26"/>
        </w:rPr>
        <w:t xml:space="preserve"> and electronic data protocols.  For the final phase</w:t>
      </w:r>
      <w:r w:rsidR="00661814" w:rsidRPr="009A4CF6">
        <w:rPr>
          <w:sz w:val="26"/>
          <w:szCs w:val="26"/>
        </w:rPr>
        <w:t xml:space="preserve"> of the Gas RMI, RESA recommends</w:t>
      </w:r>
      <w:r w:rsidR="00A43245" w:rsidRPr="009A4CF6">
        <w:rPr>
          <w:sz w:val="26"/>
          <w:szCs w:val="26"/>
        </w:rPr>
        <w:t xml:space="preserve"> examination of any issues that are not effec</w:t>
      </w:r>
      <w:r w:rsidR="008E70F8" w:rsidRPr="009A4CF6">
        <w:rPr>
          <w:sz w:val="26"/>
          <w:szCs w:val="26"/>
        </w:rPr>
        <w:t>tively resolved at that point.  RESA Comments at 3-5.</w:t>
      </w:r>
    </w:p>
    <w:p w:rsidR="008D7E3F" w:rsidRPr="009A4CF6" w:rsidRDefault="008D7E3F" w:rsidP="00085D80">
      <w:pPr>
        <w:spacing w:line="360" w:lineRule="auto"/>
        <w:rPr>
          <w:sz w:val="26"/>
          <w:szCs w:val="26"/>
        </w:rPr>
      </w:pPr>
    </w:p>
    <w:p w:rsidR="00494A05" w:rsidRPr="009A4CF6" w:rsidRDefault="00661814" w:rsidP="00085D80">
      <w:pPr>
        <w:spacing w:line="360" w:lineRule="auto"/>
        <w:rPr>
          <w:sz w:val="26"/>
          <w:szCs w:val="26"/>
        </w:rPr>
      </w:pPr>
      <w:r w:rsidRPr="009A4CF6">
        <w:rPr>
          <w:sz w:val="26"/>
          <w:szCs w:val="26"/>
        </w:rPr>
        <w:tab/>
      </w:r>
      <w:r w:rsidRPr="009A4CF6">
        <w:rPr>
          <w:b/>
          <w:sz w:val="26"/>
          <w:szCs w:val="26"/>
        </w:rPr>
        <w:t>2.</w:t>
      </w:r>
      <w:r w:rsidRPr="009A4CF6">
        <w:rPr>
          <w:b/>
          <w:sz w:val="26"/>
          <w:szCs w:val="26"/>
        </w:rPr>
        <w:tab/>
      </w:r>
      <w:r w:rsidR="00494A05" w:rsidRPr="009A4CF6">
        <w:rPr>
          <w:b/>
          <w:sz w:val="26"/>
          <w:szCs w:val="26"/>
        </w:rPr>
        <w:t>Disposition</w:t>
      </w:r>
    </w:p>
    <w:p w:rsidR="00661814" w:rsidRPr="009A4CF6" w:rsidRDefault="00661814" w:rsidP="00085D80">
      <w:pPr>
        <w:spacing w:line="360" w:lineRule="auto"/>
        <w:rPr>
          <w:sz w:val="26"/>
          <w:szCs w:val="26"/>
        </w:rPr>
      </w:pPr>
    </w:p>
    <w:p w:rsidR="00C00DD8" w:rsidRPr="009A4CF6" w:rsidRDefault="00BE11FA" w:rsidP="00085D80">
      <w:pPr>
        <w:spacing w:line="360" w:lineRule="auto"/>
        <w:rPr>
          <w:sz w:val="26"/>
          <w:szCs w:val="26"/>
        </w:rPr>
      </w:pPr>
      <w:r w:rsidRPr="009A4CF6">
        <w:rPr>
          <w:sz w:val="26"/>
          <w:szCs w:val="26"/>
        </w:rPr>
        <w:tab/>
        <w:t>As discussed herein</w:t>
      </w:r>
      <w:r w:rsidR="00C00DD8" w:rsidRPr="009A4CF6">
        <w:rPr>
          <w:sz w:val="26"/>
          <w:szCs w:val="26"/>
        </w:rPr>
        <w:t>, we will rigorously review the issues in a variety of forums, including working groups, notice-and-comme</w:t>
      </w:r>
      <w:r w:rsidRPr="009A4CF6">
        <w:rPr>
          <w:sz w:val="26"/>
          <w:szCs w:val="26"/>
        </w:rPr>
        <w:t>nt rulemaking, conference calls</w:t>
      </w:r>
      <w:r w:rsidR="00C00DD8" w:rsidRPr="009A4CF6">
        <w:rPr>
          <w:sz w:val="26"/>
          <w:szCs w:val="26"/>
        </w:rPr>
        <w:t xml:space="preserve"> and meetings.</w:t>
      </w:r>
      <w:r w:rsidR="008F59AE" w:rsidRPr="009A4CF6">
        <w:rPr>
          <w:sz w:val="26"/>
          <w:szCs w:val="26"/>
        </w:rPr>
        <w:t xml:space="preserve">  The following discussion will provide the scope of this Investigation, the general </w:t>
      </w:r>
      <w:r w:rsidR="0014299E">
        <w:rPr>
          <w:sz w:val="26"/>
          <w:szCs w:val="26"/>
        </w:rPr>
        <w:t>approaches</w:t>
      </w:r>
      <w:r w:rsidR="008F59AE" w:rsidRPr="009A4CF6">
        <w:rPr>
          <w:sz w:val="26"/>
          <w:szCs w:val="26"/>
        </w:rPr>
        <w:t xml:space="preserve"> to review each issue and the broad timelines for OCMO’s development of recommendations for the Commission’s consideration.</w:t>
      </w:r>
    </w:p>
    <w:p w:rsidR="00C00DD8" w:rsidRPr="009A4CF6" w:rsidRDefault="00C00DD8" w:rsidP="00CB1FC9">
      <w:pPr>
        <w:spacing w:line="360" w:lineRule="auto"/>
        <w:rPr>
          <w:sz w:val="26"/>
          <w:szCs w:val="26"/>
        </w:rPr>
      </w:pPr>
    </w:p>
    <w:p w:rsidR="00C0036C" w:rsidRPr="009A4CF6" w:rsidRDefault="00BE11FA" w:rsidP="00CB1FC9">
      <w:pPr>
        <w:pStyle w:val="Heading2"/>
        <w:spacing w:before="0" w:line="360" w:lineRule="auto"/>
        <w:rPr>
          <w:rFonts w:ascii="Times New Roman" w:hAnsi="Times New Roman" w:cs="Times New Roman"/>
          <w:color w:val="auto"/>
        </w:rPr>
      </w:pPr>
      <w:bookmarkStart w:id="3" w:name="_Toc405359494"/>
      <w:r w:rsidRPr="009A4CF6">
        <w:rPr>
          <w:rFonts w:ascii="Times New Roman" w:hAnsi="Times New Roman" w:cs="Times New Roman"/>
          <w:color w:val="auto"/>
        </w:rPr>
        <w:lastRenderedPageBreak/>
        <w:t>B.</w:t>
      </w:r>
      <w:r w:rsidRPr="009A4CF6">
        <w:rPr>
          <w:rFonts w:ascii="Times New Roman" w:hAnsi="Times New Roman" w:cs="Times New Roman"/>
          <w:color w:val="auto"/>
        </w:rPr>
        <w:tab/>
      </w:r>
      <w:r w:rsidR="00970C45" w:rsidRPr="009A4CF6">
        <w:rPr>
          <w:rFonts w:ascii="Times New Roman" w:hAnsi="Times New Roman" w:cs="Times New Roman"/>
          <w:color w:val="auto"/>
        </w:rPr>
        <w:t xml:space="preserve">Provision of </w:t>
      </w:r>
      <w:r w:rsidR="00C0036C" w:rsidRPr="009A4CF6">
        <w:rPr>
          <w:rFonts w:ascii="Times New Roman" w:hAnsi="Times New Roman" w:cs="Times New Roman"/>
          <w:color w:val="auto"/>
        </w:rPr>
        <w:t>Supplier of Last Resort Service</w:t>
      </w:r>
      <w:bookmarkEnd w:id="3"/>
    </w:p>
    <w:p w:rsidR="00BE11FA" w:rsidRPr="009A4CF6" w:rsidRDefault="00BE11FA" w:rsidP="00CB1FC9">
      <w:pPr>
        <w:spacing w:line="360" w:lineRule="auto"/>
        <w:rPr>
          <w:sz w:val="26"/>
          <w:szCs w:val="26"/>
        </w:rPr>
      </w:pPr>
    </w:p>
    <w:p w:rsidR="00BE11FA" w:rsidRPr="009A4CF6" w:rsidRDefault="00BE11FA" w:rsidP="00CB1FC9">
      <w:pPr>
        <w:spacing w:line="360" w:lineRule="auto"/>
        <w:rPr>
          <w:sz w:val="26"/>
          <w:szCs w:val="26"/>
        </w:rPr>
      </w:pPr>
      <w:r w:rsidRPr="009A4CF6">
        <w:rPr>
          <w:sz w:val="26"/>
          <w:szCs w:val="26"/>
        </w:rPr>
        <w:tab/>
      </w:r>
      <w:r w:rsidR="00E909C0" w:rsidRPr="009A4CF6">
        <w:rPr>
          <w:sz w:val="26"/>
          <w:szCs w:val="26"/>
        </w:rPr>
        <w:t xml:space="preserve">In our </w:t>
      </w:r>
      <w:r w:rsidR="00E909C0" w:rsidRPr="009A4CF6">
        <w:rPr>
          <w:i/>
          <w:sz w:val="26"/>
          <w:szCs w:val="26"/>
        </w:rPr>
        <w:t>Tentative Order</w:t>
      </w:r>
      <w:r w:rsidR="00E909C0" w:rsidRPr="009A4CF6">
        <w:rPr>
          <w:sz w:val="26"/>
          <w:szCs w:val="26"/>
        </w:rPr>
        <w:t>, we recognized many parties’ concerns with the current SOLR model implemented in Pennsylvania; however, we noted that, in our Electric RMI</w:t>
      </w:r>
      <w:r w:rsidR="00AA5933" w:rsidRPr="009A4CF6">
        <w:rPr>
          <w:rStyle w:val="FootnoteReference"/>
          <w:sz w:val="26"/>
          <w:szCs w:val="26"/>
        </w:rPr>
        <w:footnoteReference w:id="3"/>
      </w:r>
      <w:r w:rsidR="00E909C0" w:rsidRPr="009A4CF6">
        <w:rPr>
          <w:sz w:val="26"/>
          <w:szCs w:val="26"/>
        </w:rPr>
        <w:t xml:space="preserve"> Final Order,</w:t>
      </w:r>
      <w:r w:rsidR="00B93F2A" w:rsidRPr="009A4CF6">
        <w:rPr>
          <w:rStyle w:val="FootnoteReference"/>
          <w:sz w:val="26"/>
          <w:szCs w:val="26"/>
        </w:rPr>
        <w:footnoteReference w:id="4"/>
      </w:r>
      <w:r w:rsidR="00E909C0" w:rsidRPr="009A4CF6">
        <w:rPr>
          <w:sz w:val="26"/>
          <w:szCs w:val="26"/>
        </w:rPr>
        <w:t xml:space="preserve"> we determined that the various revisions to the electric default service product, as well as the multiple initiatives for increasing customer participation in the market directed in that proceeding, were reasonable steps in the evolution of the competitive retail electric market.  In the </w:t>
      </w:r>
      <w:r w:rsidR="00E909C0" w:rsidRPr="009A4CF6">
        <w:rPr>
          <w:i/>
          <w:sz w:val="26"/>
          <w:szCs w:val="26"/>
        </w:rPr>
        <w:t>Tentative Order</w:t>
      </w:r>
      <w:r w:rsidR="00E909C0" w:rsidRPr="009A4CF6">
        <w:rPr>
          <w:sz w:val="26"/>
          <w:szCs w:val="26"/>
        </w:rPr>
        <w:t>, we expressed th</w:t>
      </w:r>
      <w:r w:rsidR="0083037D">
        <w:rPr>
          <w:sz w:val="26"/>
          <w:szCs w:val="26"/>
        </w:rPr>
        <w:t>e</w:t>
      </w:r>
      <w:r w:rsidR="00E909C0" w:rsidRPr="009A4CF6">
        <w:rPr>
          <w:sz w:val="26"/>
          <w:szCs w:val="26"/>
        </w:rPr>
        <w:t xml:space="preserve"> same opinion and proposed that this Investigation</w:t>
      </w:r>
      <w:r w:rsidR="0083037D">
        <w:rPr>
          <w:sz w:val="26"/>
          <w:szCs w:val="26"/>
        </w:rPr>
        <w:t xml:space="preserve"> into the </w:t>
      </w:r>
      <w:r w:rsidR="006139AF">
        <w:rPr>
          <w:sz w:val="26"/>
          <w:szCs w:val="26"/>
        </w:rPr>
        <w:t xml:space="preserve">natural </w:t>
      </w:r>
      <w:r w:rsidR="0083037D">
        <w:rPr>
          <w:sz w:val="26"/>
          <w:szCs w:val="26"/>
        </w:rPr>
        <w:t>gas retail market</w:t>
      </w:r>
      <w:r w:rsidR="00E909C0" w:rsidRPr="009A4CF6">
        <w:rPr>
          <w:sz w:val="26"/>
          <w:szCs w:val="26"/>
        </w:rPr>
        <w:t xml:space="preserve"> focus on initiatives that can be implemented within the current SOLR structure to allow for a more competitive and beneficial retail natural gas marketplace for Pennsylvania ratepayers.  We did note, however, that we may, at any point in time, revisit this decision.  Additionally, we proposed that OCMO examine the current reconciliation process for SOLR service to determine whether improvements in the timing of the reconciliation process would improve the retail market.</w:t>
      </w:r>
    </w:p>
    <w:p w:rsidR="00BE11FA" w:rsidRPr="009A4CF6" w:rsidRDefault="00BE11FA" w:rsidP="00085D80">
      <w:pPr>
        <w:spacing w:line="360" w:lineRule="auto"/>
        <w:rPr>
          <w:sz w:val="26"/>
          <w:szCs w:val="26"/>
        </w:rPr>
      </w:pPr>
    </w:p>
    <w:p w:rsidR="00C0036C" w:rsidRPr="009A4CF6" w:rsidRDefault="00BE11FA" w:rsidP="00085D80">
      <w:pPr>
        <w:spacing w:line="360" w:lineRule="auto"/>
        <w:rPr>
          <w:sz w:val="26"/>
          <w:szCs w:val="26"/>
          <w:u w:val="single"/>
        </w:rPr>
      </w:pPr>
      <w:r w:rsidRPr="009A4CF6">
        <w:rPr>
          <w:b/>
          <w:sz w:val="26"/>
          <w:szCs w:val="26"/>
        </w:rPr>
        <w:tab/>
        <w:t>1.</w:t>
      </w:r>
      <w:r w:rsidRPr="009A4CF6">
        <w:rPr>
          <w:b/>
          <w:sz w:val="26"/>
          <w:szCs w:val="26"/>
        </w:rPr>
        <w:tab/>
      </w:r>
      <w:r w:rsidR="00C0036C" w:rsidRPr="009A4CF6">
        <w:rPr>
          <w:b/>
          <w:sz w:val="26"/>
          <w:szCs w:val="26"/>
        </w:rPr>
        <w:t>Comments</w:t>
      </w:r>
    </w:p>
    <w:p w:rsidR="00BE11FA" w:rsidRPr="009A4CF6" w:rsidRDefault="00BE11FA" w:rsidP="00085D80">
      <w:pPr>
        <w:spacing w:line="360" w:lineRule="auto"/>
        <w:rPr>
          <w:sz w:val="26"/>
          <w:szCs w:val="26"/>
          <w:u w:val="single"/>
        </w:rPr>
      </w:pPr>
    </w:p>
    <w:p w:rsidR="003B4A14" w:rsidRPr="009A4CF6" w:rsidRDefault="00C0036C" w:rsidP="003B4A14">
      <w:pPr>
        <w:spacing w:line="360" w:lineRule="auto"/>
        <w:rPr>
          <w:sz w:val="26"/>
          <w:szCs w:val="26"/>
        </w:rPr>
      </w:pPr>
      <w:r w:rsidRPr="009A4CF6">
        <w:rPr>
          <w:sz w:val="26"/>
          <w:szCs w:val="26"/>
        </w:rPr>
        <w:tab/>
        <w:t xml:space="preserve">Although we expressly stated in </w:t>
      </w:r>
      <w:r w:rsidR="008E70F8" w:rsidRPr="009A4CF6">
        <w:rPr>
          <w:sz w:val="26"/>
          <w:szCs w:val="26"/>
        </w:rPr>
        <w:t>our</w:t>
      </w:r>
      <w:r w:rsidRPr="009A4CF6">
        <w:rPr>
          <w:sz w:val="26"/>
          <w:szCs w:val="26"/>
        </w:rPr>
        <w:t xml:space="preserve"> </w:t>
      </w:r>
      <w:r w:rsidRPr="009A4CF6">
        <w:rPr>
          <w:i/>
          <w:sz w:val="26"/>
          <w:szCs w:val="26"/>
        </w:rPr>
        <w:t>Tentative Order</w:t>
      </w:r>
      <w:r w:rsidRPr="009A4CF6">
        <w:rPr>
          <w:sz w:val="26"/>
          <w:szCs w:val="26"/>
        </w:rPr>
        <w:t xml:space="preserve"> that we would not consider elimination of the NGDC from SOLR service at this time, many parties</w:t>
      </w:r>
      <w:r w:rsidR="008E70F8" w:rsidRPr="009A4CF6">
        <w:rPr>
          <w:sz w:val="26"/>
          <w:szCs w:val="26"/>
        </w:rPr>
        <w:t xml:space="preserve"> comment</w:t>
      </w:r>
      <w:r w:rsidR="0083037D">
        <w:rPr>
          <w:sz w:val="26"/>
          <w:szCs w:val="26"/>
        </w:rPr>
        <w:t>ed</w:t>
      </w:r>
      <w:r w:rsidR="008E70F8" w:rsidRPr="009A4CF6">
        <w:rPr>
          <w:sz w:val="26"/>
          <w:szCs w:val="26"/>
        </w:rPr>
        <w:t xml:space="preserve"> on the subject and ask</w:t>
      </w:r>
      <w:r w:rsidRPr="009A4CF6">
        <w:rPr>
          <w:sz w:val="26"/>
          <w:szCs w:val="26"/>
        </w:rPr>
        <w:t xml:space="preserve"> the Commission to reconsider examination of the subject.  </w:t>
      </w:r>
      <w:r w:rsidRPr="009A4CF6">
        <w:rPr>
          <w:i/>
          <w:sz w:val="26"/>
          <w:szCs w:val="26"/>
        </w:rPr>
        <w:t>See, e.g.,</w:t>
      </w:r>
      <w:r w:rsidR="00310CF7" w:rsidRPr="009A4CF6">
        <w:rPr>
          <w:sz w:val="26"/>
          <w:szCs w:val="26"/>
        </w:rPr>
        <w:t xml:space="preserve"> National</w:t>
      </w:r>
      <w:r w:rsidRPr="009A4CF6">
        <w:rPr>
          <w:sz w:val="26"/>
          <w:szCs w:val="26"/>
        </w:rPr>
        <w:t xml:space="preserve"> Marketers Comments at 2</w:t>
      </w:r>
      <w:r w:rsidR="008E70F8" w:rsidRPr="009A4CF6">
        <w:rPr>
          <w:sz w:val="26"/>
          <w:szCs w:val="26"/>
        </w:rPr>
        <w:t>;</w:t>
      </w:r>
      <w:r w:rsidRPr="009A4CF6">
        <w:rPr>
          <w:sz w:val="26"/>
          <w:szCs w:val="26"/>
        </w:rPr>
        <w:t xml:space="preserve"> RESA Comments at </w:t>
      </w:r>
      <w:r w:rsidR="00D40563" w:rsidRPr="009A4CF6">
        <w:rPr>
          <w:sz w:val="26"/>
          <w:szCs w:val="26"/>
        </w:rPr>
        <w:t>6</w:t>
      </w:r>
      <w:r w:rsidR="008E70F8" w:rsidRPr="009A4CF6">
        <w:rPr>
          <w:sz w:val="26"/>
          <w:szCs w:val="26"/>
        </w:rPr>
        <w:t>;</w:t>
      </w:r>
      <w:r w:rsidR="00D40563" w:rsidRPr="009A4CF6">
        <w:rPr>
          <w:sz w:val="26"/>
          <w:szCs w:val="26"/>
        </w:rPr>
        <w:t xml:space="preserve"> NGS Parties Comments at 3-5.</w:t>
      </w:r>
      <w:r w:rsidRPr="009A4CF6">
        <w:rPr>
          <w:sz w:val="26"/>
          <w:szCs w:val="26"/>
        </w:rPr>
        <w:t xml:space="preserve">  </w:t>
      </w:r>
      <w:r w:rsidR="0019230E" w:rsidRPr="009A4CF6">
        <w:rPr>
          <w:sz w:val="26"/>
          <w:szCs w:val="26"/>
        </w:rPr>
        <w:t xml:space="preserve">The </w:t>
      </w:r>
      <w:r w:rsidR="00310CF7" w:rsidRPr="009A4CF6">
        <w:rPr>
          <w:sz w:val="26"/>
          <w:szCs w:val="26"/>
        </w:rPr>
        <w:t>National</w:t>
      </w:r>
      <w:r w:rsidRPr="009A4CF6">
        <w:rPr>
          <w:sz w:val="26"/>
          <w:szCs w:val="26"/>
        </w:rPr>
        <w:t xml:space="preserve"> </w:t>
      </w:r>
      <w:r w:rsidR="00AC46B3" w:rsidRPr="009A4CF6">
        <w:rPr>
          <w:sz w:val="26"/>
          <w:szCs w:val="26"/>
        </w:rPr>
        <w:t>M</w:t>
      </w:r>
      <w:r w:rsidRPr="009A4CF6">
        <w:rPr>
          <w:sz w:val="26"/>
          <w:szCs w:val="26"/>
        </w:rPr>
        <w:t>arketers explain that many of the issues the Com</w:t>
      </w:r>
      <w:r w:rsidR="008E70F8" w:rsidRPr="009A4CF6">
        <w:rPr>
          <w:sz w:val="26"/>
          <w:szCs w:val="26"/>
        </w:rPr>
        <w:t>mission has identified in this I</w:t>
      </w:r>
      <w:r w:rsidRPr="009A4CF6">
        <w:rPr>
          <w:sz w:val="26"/>
          <w:szCs w:val="26"/>
        </w:rPr>
        <w:t xml:space="preserve">nvestigation would be ameliorated or eliminated if utilities were no longer performing SOLR service.  </w:t>
      </w:r>
      <w:r w:rsidR="00BD6C3A" w:rsidRPr="009A4CF6">
        <w:rPr>
          <w:sz w:val="26"/>
          <w:szCs w:val="26"/>
        </w:rPr>
        <w:t xml:space="preserve">National Marketers </w:t>
      </w:r>
      <w:r w:rsidRPr="009A4CF6">
        <w:rPr>
          <w:sz w:val="26"/>
          <w:szCs w:val="26"/>
        </w:rPr>
        <w:t>Comments at 2</w:t>
      </w:r>
      <w:r w:rsidR="00D40563" w:rsidRPr="009A4CF6">
        <w:rPr>
          <w:sz w:val="26"/>
          <w:szCs w:val="26"/>
        </w:rPr>
        <w:t xml:space="preserve">; </w:t>
      </w:r>
      <w:r w:rsidR="00D40563" w:rsidRPr="009A4CF6">
        <w:rPr>
          <w:i/>
          <w:sz w:val="26"/>
          <w:szCs w:val="26"/>
        </w:rPr>
        <w:t xml:space="preserve">see also </w:t>
      </w:r>
      <w:r w:rsidR="00D40563" w:rsidRPr="009A4CF6">
        <w:rPr>
          <w:sz w:val="26"/>
          <w:szCs w:val="26"/>
        </w:rPr>
        <w:t xml:space="preserve">RESA </w:t>
      </w:r>
      <w:r w:rsidR="00D40563" w:rsidRPr="009A4CF6">
        <w:rPr>
          <w:sz w:val="26"/>
          <w:szCs w:val="26"/>
        </w:rPr>
        <w:lastRenderedPageBreak/>
        <w:t>Comments at 2</w:t>
      </w:r>
      <w:r w:rsidR="00911FEF" w:rsidRPr="009A4CF6">
        <w:rPr>
          <w:sz w:val="26"/>
          <w:szCs w:val="26"/>
        </w:rPr>
        <w:t xml:space="preserve">; </w:t>
      </w:r>
      <w:r w:rsidR="00911FEF" w:rsidRPr="009A4CF6">
        <w:rPr>
          <w:i/>
          <w:sz w:val="26"/>
          <w:szCs w:val="26"/>
        </w:rPr>
        <w:t>see also</w:t>
      </w:r>
      <w:r w:rsidR="00911FEF" w:rsidRPr="009A4CF6">
        <w:rPr>
          <w:sz w:val="26"/>
          <w:szCs w:val="26"/>
        </w:rPr>
        <w:t xml:space="preserve"> NGS Parties Comments at 3-5</w:t>
      </w:r>
      <w:r w:rsidRPr="009A4CF6">
        <w:rPr>
          <w:sz w:val="26"/>
          <w:szCs w:val="26"/>
        </w:rPr>
        <w:t>.</w:t>
      </w:r>
      <w:r w:rsidR="00911FEF" w:rsidRPr="009A4CF6">
        <w:rPr>
          <w:sz w:val="26"/>
          <w:szCs w:val="26"/>
        </w:rPr>
        <w:t xml:space="preserve">  W</w:t>
      </w:r>
      <w:r w:rsidR="00310CF7" w:rsidRPr="009A4CF6">
        <w:rPr>
          <w:sz w:val="26"/>
          <w:szCs w:val="26"/>
        </w:rPr>
        <w:t xml:space="preserve">ashington </w:t>
      </w:r>
      <w:r w:rsidR="00911FEF" w:rsidRPr="009A4CF6">
        <w:rPr>
          <w:sz w:val="26"/>
          <w:szCs w:val="26"/>
        </w:rPr>
        <w:t>G</w:t>
      </w:r>
      <w:r w:rsidR="00310CF7" w:rsidRPr="009A4CF6">
        <w:rPr>
          <w:sz w:val="26"/>
          <w:szCs w:val="26"/>
        </w:rPr>
        <w:t>as</w:t>
      </w:r>
      <w:r w:rsidR="008E70F8" w:rsidRPr="009A4CF6">
        <w:rPr>
          <w:sz w:val="26"/>
          <w:szCs w:val="26"/>
        </w:rPr>
        <w:t xml:space="preserve"> asks</w:t>
      </w:r>
      <w:r w:rsidR="00911FEF" w:rsidRPr="009A4CF6">
        <w:rPr>
          <w:sz w:val="26"/>
          <w:szCs w:val="26"/>
        </w:rPr>
        <w:t xml:space="preserve"> the Commission to consider rules that would phase out NGDCs as SOLR providers.  </w:t>
      </w:r>
      <w:r w:rsidR="00BD6C3A" w:rsidRPr="009A4CF6">
        <w:rPr>
          <w:sz w:val="26"/>
          <w:szCs w:val="26"/>
        </w:rPr>
        <w:t xml:space="preserve">Washington Gas </w:t>
      </w:r>
      <w:r w:rsidR="00911FEF" w:rsidRPr="009A4CF6">
        <w:rPr>
          <w:sz w:val="26"/>
          <w:szCs w:val="26"/>
        </w:rPr>
        <w:t>Comments at 4.</w:t>
      </w:r>
      <w:r w:rsidR="00D40563" w:rsidRPr="009A4CF6">
        <w:rPr>
          <w:sz w:val="26"/>
          <w:szCs w:val="26"/>
        </w:rPr>
        <w:t xml:space="preserve">  </w:t>
      </w:r>
    </w:p>
    <w:p w:rsidR="003B4A14" w:rsidRPr="009A4CF6" w:rsidRDefault="003B4A14" w:rsidP="003B4A14">
      <w:pPr>
        <w:spacing w:line="360" w:lineRule="auto"/>
        <w:rPr>
          <w:sz w:val="26"/>
          <w:szCs w:val="26"/>
        </w:rPr>
      </w:pPr>
    </w:p>
    <w:p w:rsidR="00C0036C" w:rsidRPr="009A4CF6" w:rsidRDefault="00D40563" w:rsidP="00C0036C">
      <w:pPr>
        <w:spacing w:line="360" w:lineRule="auto"/>
        <w:ind w:firstLine="720"/>
        <w:rPr>
          <w:sz w:val="26"/>
          <w:szCs w:val="26"/>
        </w:rPr>
      </w:pPr>
      <w:r w:rsidRPr="009A4CF6">
        <w:rPr>
          <w:sz w:val="26"/>
          <w:szCs w:val="26"/>
        </w:rPr>
        <w:t xml:space="preserve">RESA contends that the most effective way to engage customers </w:t>
      </w:r>
      <w:r w:rsidR="008E70F8" w:rsidRPr="009A4CF6">
        <w:rPr>
          <w:sz w:val="26"/>
          <w:szCs w:val="26"/>
        </w:rPr>
        <w:t xml:space="preserve">in </w:t>
      </w:r>
      <w:r w:rsidRPr="009A4CF6">
        <w:rPr>
          <w:sz w:val="26"/>
          <w:szCs w:val="26"/>
        </w:rPr>
        <w:t xml:space="preserve">and ensure the success of a robust, competitive retail natural gas market requires removal of the NGDC from the SOLR function and allowing NGSs to assume procurement responsibilities for all customers on the distribution system.  </w:t>
      </w:r>
      <w:r w:rsidR="00BD6C3A" w:rsidRPr="009A4CF6">
        <w:rPr>
          <w:sz w:val="26"/>
          <w:szCs w:val="26"/>
        </w:rPr>
        <w:t xml:space="preserve">RESA </w:t>
      </w:r>
      <w:r w:rsidRPr="009A4CF6">
        <w:rPr>
          <w:sz w:val="26"/>
          <w:szCs w:val="26"/>
        </w:rPr>
        <w:t>Comments at 1-2.  Contending that the ultimate end state for this Gas RMI should be removal of the NGDCs from the SOLR role, RESA discusse</w:t>
      </w:r>
      <w:r w:rsidR="008E70F8" w:rsidRPr="009A4CF6">
        <w:rPr>
          <w:sz w:val="26"/>
          <w:szCs w:val="26"/>
        </w:rPr>
        <w:t>s</w:t>
      </w:r>
      <w:r w:rsidRPr="009A4CF6">
        <w:rPr>
          <w:sz w:val="26"/>
          <w:szCs w:val="26"/>
        </w:rPr>
        <w:t xml:space="preserve"> the current barriers to entry and </w:t>
      </w:r>
      <w:r w:rsidR="0019230E" w:rsidRPr="009A4CF6">
        <w:rPr>
          <w:sz w:val="26"/>
          <w:szCs w:val="26"/>
        </w:rPr>
        <w:t xml:space="preserve">the </w:t>
      </w:r>
      <w:r w:rsidRPr="009A4CF6">
        <w:rPr>
          <w:sz w:val="26"/>
          <w:szCs w:val="26"/>
        </w:rPr>
        <w:t xml:space="preserve">uneven playing field between the NGDCs and NGSs.  </w:t>
      </w:r>
      <w:r w:rsidR="00BD6C3A" w:rsidRPr="009A4CF6">
        <w:rPr>
          <w:sz w:val="26"/>
          <w:szCs w:val="26"/>
        </w:rPr>
        <w:t xml:space="preserve">RESA </w:t>
      </w:r>
      <w:r w:rsidRPr="009A4CF6">
        <w:rPr>
          <w:sz w:val="26"/>
          <w:szCs w:val="26"/>
        </w:rPr>
        <w:t>Comments at 6</w:t>
      </w:r>
      <w:r w:rsidR="00911FEF" w:rsidRPr="009A4CF6">
        <w:rPr>
          <w:sz w:val="26"/>
          <w:szCs w:val="26"/>
        </w:rPr>
        <w:t xml:space="preserve">; </w:t>
      </w:r>
      <w:r w:rsidR="00911FEF" w:rsidRPr="009A4CF6">
        <w:rPr>
          <w:i/>
          <w:sz w:val="26"/>
          <w:szCs w:val="26"/>
        </w:rPr>
        <w:t>see also</w:t>
      </w:r>
      <w:r w:rsidR="00911FEF" w:rsidRPr="009A4CF6">
        <w:rPr>
          <w:sz w:val="26"/>
          <w:szCs w:val="26"/>
        </w:rPr>
        <w:t xml:space="preserve"> NGS Parties Comments at 4-5</w:t>
      </w:r>
      <w:r w:rsidR="008E70F8" w:rsidRPr="009A4CF6">
        <w:rPr>
          <w:sz w:val="26"/>
          <w:szCs w:val="26"/>
        </w:rPr>
        <w:t>.  RESA explains</w:t>
      </w:r>
      <w:r w:rsidRPr="009A4CF6">
        <w:rPr>
          <w:sz w:val="26"/>
          <w:szCs w:val="26"/>
        </w:rPr>
        <w:t xml:space="preserve"> that a system that places NGSs in the SOLR role will naturally encourage shopping</w:t>
      </w:r>
      <w:r w:rsidR="0019230E" w:rsidRPr="009A4CF6">
        <w:rPr>
          <w:sz w:val="26"/>
          <w:szCs w:val="26"/>
        </w:rPr>
        <w:t xml:space="preserve"> and</w:t>
      </w:r>
      <w:r w:rsidRPr="009A4CF6">
        <w:rPr>
          <w:sz w:val="26"/>
          <w:szCs w:val="26"/>
        </w:rPr>
        <w:t xml:space="preserve"> </w:t>
      </w:r>
      <w:r w:rsidR="0019230E" w:rsidRPr="009A4CF6">
        <w:rPr>
          <w:sz w:val="26"/>
          <w:szCs w:val="26"/>
        </w:rPr>
        <w:t>the</w:t>
      </w:r>
      <w:r w:rsidRPr="009A4CF6">
        <w:rPr>
          <w:sz w:val="26"/>
          <w:szCs w:val="26"/>
        </w:rPr>
        <w:t xml:space="preserve"> development of an arra</w:t>
      </w:r>
      <w:r w:rsidR="001B7BD1" w:rsidRPr="009A4CF6">
        <w:rPr>
          <w:sz w:val="26"/>
          <w:szCs w:val="26"/>
        </w:rPr>
        <w:t>y</w:t>
      </w:r>
      <w:r w:rsidRPr="009A4CF6">
        <w:rPr>
          <w:sz w:val="26"/>
          <w:szCs w:val="26"/>
        </w:rPr>
        <w:t xml:space="preserve"> of innovat</w:t>
      </w:r>
      <w:r w:rsidR="006D1DE7" w:rsidRPr="009A4CF6">
        <w:rPr>
          <w:sz w:val="26"/>
          <w:szCs w:val="26"/>
        </w:rPr>
        <w:t>ive</w:t>
      </w:r>
      <w:r w:rsidRPr="009A4CF6">
        <w:rPr>
          <w:sz w:val="26"/>
          <w:szCs w:val="26"/>
        </w:rPr>
        <w:t xml:space="preserve"> products and services</w:t>
      </w:r>
      <w:r w:rsidR="001B7BD1" w:rsidRPr="009A4CF6">
        <w:rPr>
          <w:sz w:val="26"/>
          <w:szCs w:val="26"/>
        </w:rPr>
        <w:t>, leading to beneficial investments in Pennsylvania.</w:t>
      </w:r>
      <w:r w:rsidR="00911FEF" w:rsidRPr="009A4CF6">
        <w:rPr>
          <w:sz w:val="26"/>
          <w:szCs w:val="26"/>
        </w:rPr>
        <w:t xml:space="preserve">  </w:t>
      </w:r>
      <w:r w:rsidR="008E70F8" w:rsidRPr="009A4CF6">
        <w:rPr>
          <w:sz w:val="26"/>
          <w:szCs w:val="26"/>
        </w:rPr>
        <w:t>RESA asks</w:t>
      </w:r>
      <w:r w:rsidR="001B7BD1" w:rsidRPr="009A4CF6">
        <w:rPr>
          <w:sz w:val="26"/>
          <w:szCs w:val="26"/>
        </w:rPr>
        <w:t xml:space="preserve"> the Commission to establish a subgroup t</w:t>
      </w:r>
      <w:r w:rsidR="008E70F8" w:rsidRPr="009A4CF6">
        <w:rPr>
          <w:sz w:val="26"/>
          <w:szCs w:val="26"/>
        </w:rPr>
        <w:t>o explore this issue and offers</w:t>
      </w:r>
      <w:r w:rsidR="001B7BD1" w:rsidRPr="009A4CF6">
        <w:rPr>
          <w:sz w:val="26"/>
          <w:szCs w:val="26"/>
        </w:rPr>
        <w:t xml:space="preserve"> to discuss the experiences of RESA’s members in other jurisdiction</w:t>
      </w:r>
      <w:r w:rsidR="0019230E" w:rsidRPr="009A4CF6">
        <w:rPr>
          <w:sz w:val="26"/>
          <w:szCs w:val="26"/>
        </w:rPr>
        <w:t>s</w:t>
      </w:r>
      <w:r w:rsidR="001B7BD1" w:rsidRPr="009A4CF6">
        <w:rPr>
          <w:sz w:val="26"/>
          <w:szCs w:val="26"/>
        </w:rPr>
        <w:t xml:space="preserve">.  If the Commission does not desire to seriously examine this issue </w:t>
      </w:r>
      <w:r w:rsidR="00A77A60">
        <w:rPr>
          <w:sz w:val="26"/>
          <w:szCs w:val="26"/>
        </w:rPr>
        <w:t>at this time</w:t>
      </w:r>
      <w:r w:rsidR="001B7BD1" w:rsidRPr="009A4CF6">
        <w:rPr>
          <w:sz w:val="26"/>
          <w:szCs w:val="26"/>
        </w:rPr>
        <w:t>, RESA recommend</w:t>
      </w:r>
      <w:r w:rsidR="008E70F8" w:rsidRPr="009A4CF6">
        <w:rPr>
          <w:sz w:val="26"/>
          <w:szCs w:val="26"/>
        </w:rPr>
        <w:t>s</w:t>
      </w:r>
      <w:r w:rsidR="001B7BD1" w:rsidRPr="009A4CF6">
        <w:rPr>
          <w:sz w:val="26"/>
          <w:szCs w:val="26"/>
        </w:rPr>
        <w:t xml:space="preserve"> that the Commission establish a date certain in the future to revisit this issue, examine the reconciliation process now, and implement programs that encourage customer migration away from default service.  </w:t>
      </w:r>
      <w:r w:rsidR="00BD6C3A" w:rsidRPr="009A4CF6">
        <w:rPr>
          <w:sz w:val="26"/>
          <w:szCs w:val="26"/>
        </w:rPr>
        <w:t>RESA Comments at 6-7</w:t>
      </w:r>
      <w:r w:rsidR="001B7BD1" w:rsidRPr="009A4CF6">
        <w:rPr>
          <w:sz w:val="26"/>
          <w:szCs w:val="26"/>
        </w:rPr>
        <w:t xml:space="preserve">.   </w:t>
      </w:r>
    </w:p>
    <w:p w:rsidR="00C0036C" w:rsidRPr="009A4CF6" w:rsidRDefault="00C0036C" w:rsidP="00085D80">
      <w:pPr>
        <w:spacing w:line="360" w:lineRule="auto"/>
        <w:rPr>
          <w:sz w:val="26"/>
          <w:szCs w:val="26"/>
        </w:rPr>
      </w:pPr>
    </w:p>
    <w:p w:rsidR="00911FEF" w:rsidRPr="009A4CF6" w:rsidRDefault="00911FEF" w:rsidP="00085D80">
      <w:pPr>
        <w:spacing w:line="360" w:lineRule="auto"/>
        <w:rPr>
          <w:sz w:val="26"/>
          <w:szCs w:val="26"/>
        </w:rPr>
      </w:pPr>
      <w:r w:rsidRPr="009A4CF6">
        <w:rPr>
          <w:sz w:val="26"/>
          <w:szCs w:val="26"/>
        </w:rPr>
        <w:tab/>
      </w:r>
      <w:r w:rsidR="00A77A60">
        <w:rPr>
          <w:sz w:val="26"/>
          <w:szCs w:val="26"/>
        </w:rPr>
        <w:t>Similar to</w:t>
      </w:r>
      <w:r w:rsidRPr="009A4CF6">
        <w:rPr>
          <w:sz w:val="26"/>
          <w:szCs w:val="26"/>
        </w:rPr>
        <w:t xml:space="preserve"> RESA, the NGS Parties argue that robust competition is unlikely without address</w:t>
      </w:r>
      <w:r w:rsidR="00100D24" w:rsidRPr="009A4CF6">
        <w:rPr>
          <w:sz w:val="26"/>
          <w:szCs w:val="26"/>
        </w:rPr>
        <w:t>ing</w:t>
      </w:r>
      <w:r w:rsidRPr="009A4CF6">
        <w:rPr>
          <w:sz w:val="26"/>
          <w:szCs w:val="26"/>
        </w:rPr>
        <w:t xml:space="preserve"> elimination of SOLR service by NGDCs, a “fundamental market design problem that has handicapped NGSs from the very beginning.”</w:t>
      </w:r>
      <w:r w:rsidR="00057D1E" w:rsidRPr="009A4CF6">
        <w:rPr>
          <w:sz w:val="26"/>
          <w:szCs w:val="26"/>
        </w:rPr>
        <w:t xml:space="preserve">  NGS Parties Comments at 3.</w:t>
      </w:r>
      <w:r w:rsidRPr="009A4CF6">
        <w:rPr>
          <w:sz w:val="26"/>
          <w:szCs w:val="26"/>
        </w:rPr>
        <w:t xml:space="preserve">  The NGS Parties contend </w:t>
      </w:r>
      <w:r w:rsidR="008E70F8" w:rsidRPr="009A4CF6">
        <w:rPr>
          <w:sz w:val="26"/>
          <w:szCs w:val="26"/>
        </w:rPr>
        <w:t xml:space="preserve">that </w:t>
      </w:r>
      <w:r w:rsidRPr="009A4CF6">
        <w:rPr>
          <w:sz w:val="26"/>
          <w:szCs w:val="26"/>
        </w:rPr>
        <w:t>NGDC</w:t>
      </w:r>
      <w:r w:rsidR="00A77A60">
        <w:rPr>
          <w:sz w:val="26"/>
          <w:szCs w:val="26"/>
        </w:rPr>
        <w:t>s</w:t>
      </w:r>
      <w:r w:rsidRPr="009A4CF6">
        <w:rPr>
          <w:sz w:val="26"/>
          <w:szCs w:val="26"/>
        </w:rPr>
        <w:t xml:space="preserve"> should be relabeled as the supplier of the </w:t>
      </w:r>
      <w:r w:rsidRPr="009A4CF6">
        <w:rPr>
          <w:i/>
          <w:sz w:val="26"/>
          <w:szCs w:val="26"/>
        </w:rPr>
        <w:t xml:space="preserve">first </w:t>
      </w:r>
      <w:r w:rsidRPr="009A4CF6">
        <w:rPr>
          <w:sz w:val="26"/>
          <w:szCs w:val="26"/>
        </w:rPr>
        <w:t xml:space="preserve">resort because the NGDC default </w:t>
      </w:r>
      <w:r w:rsidR="00100D24" w:rsidRPr="009A4CF6">
        <w:rPr>
          <w:sz w:val="26"/>
          <w:szCs w:val="26"/>
        </w:rPr>
        <w:t>service</w:t>
      </w:r>
      <w:r w:rsidRPr="009A4CF6">
        <w:rPr>
          <w:sz w:val="26"/>
          <w:szCs w:val="26"/>
        </w:rPr>
        <w:t xml:space="preserve"> automatically receives all new customers upon signing up or during a move.  </w:t>
      </w:r>
      <w:r w:rsidR="008E70F8" w:rsidRPr="009A4CF6">
        <w:rPr>
          <w:sz w:val="26"/>
          <w:szCs w:val="26"/>
        </w:rPr>
        <w:t>The NGS parties observe</w:t>
      </w:r>
      <w:r w:rsidRPr="009A4CF6">
        <w:rPr>
          <w:sz w:val="26"/>
          <w:szCs w:val="26"/>
        </w:rPr>
        <w:t xml:space="preserve"> that requiring new and transient customers to first take service from the NGDC SOLR “serves to entrench the misperception” that SOLR service is better or more advantageous than competitive service, thereby creating an initial burden for the NGS to </w:t>
      </w:r>
      <w:r w:rsidR="00D52595" w:rsidRPr="009A4CF6">
        <w:rPr>
          <w:sz w:val="26"/>
          <w:szCs w:val="26"/>
        </w:rPr>
        <w:t>“</w:t>
      </w:r>
      <w:r w:rsidRPr="009A4CF6">
        <w:rPr>
          <w:sz w:val="26"/>
          <w:szCs w:val="26"/>
        </w:rPr>
        <w:t>dislodge</w:t>
      </w:r>
      <w:r w:rsidR="00D52595" w:rsidRPr="009A4CF6">
        <w:rPr>
          <w:sz w:val="26"/>
          <w:szCs w:val="26"/>
        </w:rPr>
        <w:t xml:space="preserve"> </w:t>
      </w:r>
      <w:r w:rsidR="00D52595" w:rsidRPr="009A4CF6">
        <w:rPr>
          <w:sz w:val="26"/>
          <w:szCs w:val="26"/>
        </w:rPr>
        <w:lastRenderedPageBreak/>
        <w:t xml:space="preserve">customers from default service.”  </w:t>
      </w:r>
      <w:r w:rsidR="006D1DE7" w:rsidRPr="009A4CF6">
        <w:rPr>
          <w:sz w:val="26"/>
          <w:szCs w:val="26"/>
        </w:rPr>
        <w:t xml:space="preserve">As a first step to encouraging NGDCs to voluntarily exit from the merchant function, the NGS Parties recommend that the Commission consider promulgating regulations pursuant to 66 Pa. C.S. § 2207(f) (availability of the service of natural gas suppliers).  </w:t>
      </w:r>
      <w:r w:rsidR="00480BB4" w:rsidRPr="009A4CF6">
        <w:rPr>
          <w:sz w:val="26"/>
          <w:szCs w:val="26"/>
        </w:rPr>
        <w:t xml:space="preserve">NGS Parties </w:t>
      </w:r>
      <w:r w:rsidR="006D1DE7" w:rsidRPr="009A4CF6">
        <w:rPr>
          <w:sz w:val="26"/>
          <w:szCs w:val="26"/>
        </w:rPr>
        <w:t xml:space="preserve">Comments at </w:t>
      </w:r>
      <w:r w:rsidR="00480BB4" w:rsidRPr="009A4CF6">
        <w:rPr>
          <w:sz w:val="26"/>
          <w:szCs w:val="26"/>
        </w:rPr>
        <w:t>3-</w:t>
      </w:r>
      <w:r w:rsidR="006D1DE7" w:rsidRPr="009A4CF6">
        <w:rPr>
          <w:sz w:val="26"/>
          <w:szCs w:val="26"/>
        </w:rPr>
        <w:t xml:space="preserve">5.  </w:t>
      </w:r>
      <w:r w:rsidRPr="009A4CF6">
        <w:rPr>
          <w:sz w:val="26"/>
          <w:szCs w:val="26"/>
        </w:rPr>
        <w:t xml:space="preserve"> </w:t>
      </w:r>
      <w:r w:rsidRPr="009A4CF6">
        <w:rPr>
          <w:sz w:val="26"/>
          <w:szCs w:val="26"/>
        </w:rPr>
        <w:tab/>
      </w:r>
    </w:p>
    <w:p w:rsidR="00911FEF" w:rsidRPr="009A4CF6" w:rsidRDefault="00911FEF" w:rsidP="00085D80">
      <w:pPr>
        <w:spacing w:line="360" w:lineRule="auto"/>
        <w:rPr>
          <w:sz w:val="26"/>
          <w:szCs w:val="26"/>
        </w:rPr>
      </w:pPr>
    </w:p>
    <w:p w:rsidR="003B4A14" w:rsidRPr="009A4CF6" w:rsidRDefault="003B4A14" w:rsidP="00085D80">
      <w:pPr>
        <w:spacing w:line="360" w:lineRule="auto"/>
        <w:rPr>
          <w:sz w:val="26"/>
          <w:szCs w:val="26"/>
        </w:rPr>
      </w:pPr>
      <w:r w:rsidRPr="009A4CF6">
        <w:rPr>
          <w:sz w:val="26"/>
          <w:szCs w:val="26"/>
        </w:rPr>
        <w:tab/>
        <w:t xml:space="preserve">PECO and OCA agree with the Commission’s decision to keep the NGDC as the SOLR at this time.  PECO Comments at 2 (emphasizing that the Commission should </w:t>
      </w:r>
      <w:r w:rsidR="00141E40" w:rsidRPr="009A4CF6">
        <w:rPr>
          <w:sz w:val="26"/>
          <w:szCs w:val="26"/>
        </w:rPr>
        <w:t>remain</w:t>
      </w:r>
      <w:r w:rsidRPr="009A4CF6">
        <w:rPr>
          <w:sz w:val="26"/>
          <w:szCs w:val="26"/>
        </w:rPr>
        <w:t xml:space="preserve"> </w:t>
      </w:r>
      <w:r w:rsidR="00141E40" w:rsidRPr="009A4CF6">
        <w:rPr>
          <w:sz w:val="26"/>
          <w:szCs w:val="26"/>
        </w:rPr>
        <w:t>consistent with the</w:t>
      </w:r>
      <w:r w:rsidRPr="009A4CF6">
        <w:rPr>
          <w:sz w:val="26"/>
          <w:szCs w:val="26"/>
        </w:rPr>
        <w:t xml:space="preserve"> Electric RMI); OCA Comments at 2</w:t>
      </w:r>
      <w:r w:rsidR="00FA0661" w:rsidRPr="009A4CF6">
        <w:rPr>
          <w:sz w:val="26"/>
          <w:szCs w:val="26"/>
        </w:rPr>
        <w:t>-3.</w:t>
      </w:r>
    </w:p>
    <w:p w:rsidR="003B4A14" w:rsidRPr="009A4CF6" w:rsidRDefault="003B4A14" w:rsidP="00085D80">
      <w:pPr>
        <w:spacing w:line="360" w:lineRule="auto"/>
        <w:rPr>
          <w:sz w:val="26"/>
          <w:szCs w:val="26"/>
        </w:rPr>
      </w:pPr>
    </w:p>
    <w:p w:rsidR="00C0036C" w:rsidRPr="009A4CF6" w:rsidRDefault="00141E40" w:rsidP="00085D80">
      <w:pPr>
        <w:spacing w:line="360" w:lineRule="auto"/>
        <w:rPr>
          <w:b/>
          <w:sz w:val="26"/>
          <w:szCs w:val="26"/>
        </w:rPr>
      </w:pPr>
      <w:r w:rsidRPr="009A4CF6">
        <w:rPr>
          <w:b/>
          <w:sz w:val="26"/>
          <w:szCs w:val="26"/>
        </w:rPr>
        <w:tab/>
        <w:t>2.</w:t>
      </w:r>
      <w:r w:rsidRPr="009A4CF6">
        <w:rPr>
          <w:b/>
          <w:sz w:val="26"/>
          <w:szCs w:val="26"/>
        </w:rPr>
        <w:tab/>
      </w:r>
      <w:r w:rsidR="00C0036C" w:rsidRPr="009A4CF6">
        <w:rPr>
          <w:b/>
          <w:sz w:val="26"/>
          <w:szCs w:val="26"/>
        </w:rPr>
        <w:t>Disposition</w:t>
      </w:r>
    </w:p>
    <w:p w:rsidR="00141E40" w:rsidRPr="009A4CF6" w:rsidRDefault="00141E40" w:rsidP="00085D80">
      <w:pPr>
        <w:spacing w:line="360" w:lineRule="auto"/>
        <w:rPr>
          <w:sz w:val="26"/>
          <w:szCs w:val="26"/>
          <w:u w:val="single"/>
        </w:rPr>
      </w:pPr>
    </w:p>
    <w:p w:rsidR="00264E8D" w:rsidRPr="009A4CF6" w:rsidRDefault="00C25A62" w:rsidP="00085D80">
      <w:pPr>
        <w:spacing w:line="360" w:lineRule="auto"/>
        <w:rPr>
          <w:sz w:val="26"/>
          <w:szCs w:val="26"/>
        </w:rPr>
      </w:pPr>
      <w:r w:rsidRPr="009A4CF6">
        <w:rPr>
          <w:sz w:val="26"/>
          <w:szCs w:val="26"/>
        </w:rPr>
        <w:tab/>
        <w:t xml:space="preserve">As we expressly stated in the </w:t>
      </w:r>
      <w:r w:rsidRPr="009A4CF6">
        <w:rPr>
          <w:i/>
          <w:sz w:val="26"/>
          <w:szCs w:val="26"/>
        </w:rPr>
        <w:t>Tentative Order</w:t>
      </w:r>
      <w:r w:rsidRPr="009A4CF6">
        <w:rPr>
          <w:sz w:val="26"/>
          <w:szCs w:val="26"/>
        </w:rPr>
        <w:t>, we will not consider elimination of the NGDC from SOLR service at this time.</w:t>
      </w:r>
      <w:r w:rsidR="00602487" w:rsidRPr="009A4CF6">
        <w:rPr>
          <w:sz w:val="26"/>
          <w:szCs w:val="26"/>
        </w:rPr>
        <w:t xml:space="preserve">  </w:t>
      </w:r>
      <w:r w:rsidR="00A77A60">
        <w:rPr>
          <w:sz w:val="26"/>
          <w:szCs w:val="26"/>
        </w:rPr>
        <w:t xml:space="preserve">While we acknowledge </w:t>
      </w:r>
      <w:r w:rsidRPr="009A4CF6">
        <w:rPr>
          <w:sz w:val="26"/>
          <w:szCs w:val="26"/>
        </w:rPr>
        <w:t>that many of the sub-issues t</w:t>
      </w:r>
      <w:r w:rsidR="00D06C4F" w:rsidRPr="009A4CF6">
        <w:rPr>
          <w:sz w:val="26"/>
          <w:szCs w:val="26"/>
        </w:rPr>
        <w:t>hat we have identified in this I</w:t>
      </w:r>
      <w:r w:rsidRPr="009A4CF6">
        <w:rPr>
          <w:sz w:val="26"/>
          <w:szCs w:val="26"/>
        </w:rPr>
        <w:t xml:space="preserve">nvestigation may be ameliorated or </w:t>
      </w:r>
      <w:r w:rsidR="00264E8D" w:rsidRPr="009A4CF6">
        <w:rPr>
          <w:sz w:val="26"/>
          <w:szCs w:val="26"/>
        </w:rPr>
        <w:t xml:space="preserve">may be </w:t>
      </w:r>
      <w:r w:rsidRPr="009A4CF6">
        <w:rPr>
          <w:sz w:val="26"/>
          <w:szCs w:val="26"/>
        </w:rPr>
        <w:t>unnecessary</w:t>
      </w:r>
      <w:r w:rsidR="006F59A7" w:rsidRPr="009A4CF6">
        <w:rPr>
          <w:sz w:val="26"/>
          <w:szCs w:val="26"/>
        </w:rPr>
        <w:t xml:space="preserve"> to address if</w:t>
      </w:r>
      <w:r w:rsidRPr="009A4CF6">
        <w:rPr>
          <w:sz w:val="26"/>
          <w:szCs w:val="26"/>
        </w:rPr>
        <w:t xml:space="preserve"> </w:t>
      </w:r>
      <w:r w:rsidR="006F59A7" w:rsidRPr="009A4CF6">
        <w:rPr>
          <w:sz w:val="26"/>
          <w:szCs w:val="26"/>
        </w:rPr>
        <w:t xml:space="preserve">we </w:t>
      </w:r>
      <w:r w:rsidRPr="009A4CF6">
        <w:rPr>
          <w:sz w:val="26"/>
          <w:szCs w:val="26"/>
        </w:rPr>
        <w:t>remove</w:t>
      </w:r>
      <w:r w:rsidR="006F59A7" w:rsidRPr="009A4CF6">
        <w:rPr>
          <w:sz w:val="26"/>
          <w:szCs w:val="26"/>
        </w:rPr>
        <w:t xml:space="preserve"> the NGDC</w:t>
      </w:r>
      <w:r w:rsidRPr="009A4CF6">
        <w:rPr>
          <w:sz w:val="26"/>
          <w:szCs w:val="26"/>
        </w:rPr>
        <w:t xml:space="preserve"> from SOLR service</w:t>
      </w:r>
      <w:r w:rsidR="00A77A60">
        <w:rPr>
          <w:sz w:val="26"/>
          <w:szCs w:val="26"/>
        </w:rPr>
        <w:t xml:space="preserve">, </w:t>
      </w:r>
      <w:r w:rsidR="00264E8D" w:rsidRPr="009A4CF6">
        <w:rPr>
          <w:sz w:val="26"/>
          <w:szCs w:val="26"/>
        </w:rPr>
        <w:t xml:space="preserve">we </w:t>
      </w:r>
      <w:r w:rsidR="00A77A60">
        <w:rPr>
          <w:sz w:val="26"/>
          <w:szCs w:val="26"/>
        </w:rPr>
        <w:t>continue to</w:t>
      </w:r>
      <w:r w:rsidR="009F6FFE">
        <w:rPr>
          <w:sz w:val="26"/>
          <w:szCs w:val="26"/>
        </w:rPr>
        <w:t xml:space="preserve"> </w:t>
      </w:r>
      <w:r w:rsidR="00264E8D" w:rsidRPr="009A4CF6">
        <w:rPr>
          <w:sz w:val="26"/>
          <w:szCs w:val="26"/>
        </w:rPr>
        <w:t>believe that this I</w:t>
      </w:r>
      <w:r w:rsidR="006F59A7" w:rsidRPr="009A4CF6">
        <w:rPr>
          <w:sz w:val="26"/>
          <w:szCs w:val="26"/>
        </w:rPr>
        <w:t>nvestigation should first focus on implementing reasonable steps and initiatives within the current SOLR structure to increase</w:t>
      </w:r>
      <w:r w:rsidR="00602487" w:rsidRPr="009A4CF6">
        <w:rPr>
          <w:sz w:val="26"/>
          <w:szCs w:val="26"/>
        </w:rPr>
        <w:t xml:space="preserve"> NGS and</w:t>
      </w:r>
      <w:r w:rsidR="006F59A7" w:rsidRPr="009A4CF6">
        <w:rPr>
          <w:sz w:val="26"/>
          <w:szCs w:val="26"/>
        </w:rPr>
        <w:t xml:space="preserve"> customer participation </w:t>
      </w:r>
      <w:r w:rsidR="00A77A60">
        <w:rPr>
          <w:sz w:val="26"/>
          <w:szCs w:val="26"/>
        </w:rPr>
        <w:t>in order to</w:t>
      </w:r>
      <w:r w:rsidR="006F59A7" w:rsidRPr="009A4CF6">
        <w:rPr>
          <w:sz w:val="26"/>
          <w:szCs w:val="26"/>
        </w:rPr>
        <w:t xml:space="preserve"> allow for a more competitive and beneficial marketplace.</w:t>
      </w:r>
      <w:r w:rsidR="00A513DC" w:rsidRPr="009A4CF6">
        <w:rPr>
          <w:sz w:val="26"/>
          <w:szCs w:val="26"/>
        </w:rPr>
        <w:t xml:space="preserve">  </w:t>
      </w:r>
    </w:p>
    <w:p w:rsidR="00264E8D" w:rsidRPr="009A4CF6" w:rsidRDefault="00264E8D" w:rsidP="00085D80">
      <w:pPr>
        <w:spacing w:line="360" w:lineRule="auto"/>
        <w:rPr>
          <w:sz w:val="26"/>
          <w:szCs w:val="26"/>
        </w:rPr>
      </w:pPr>
    </w:p>
    <w:p w:rsidR="00494A05" w:rsidRPr="009A4CF6" w:rsidRDefault="00264E8D" w:rsidP="00CB1FC9">
      <w:pPr>
        <w:spacing w:line="360" w:lineRule="auto"/>
        <w:rPr>
          <w:sz w:val="26"/>
          <w:szCs w:val="26"/>
        </w:rPr>
      </w:pPr>
      <w:r w:rsidRPr="009A4CF6">
        <w:rPr>
          <w:sz w:val="26"/>
          <w:szCs w:val="26"/>
        </w:rPr>
        <w:tab/>
      </w:r>
      <w:r w:rsidR="00A513DC" w:rsidRPr="009A4CF6">
        <w:rPr>
          <w:sz w:val="26"/>
          <w:szCs w:val="26"/>
        </w:rPr>
        <w:t xml:space="preserve">As </w:t>
      </w:r>
      <w:r w:rsidR="0075257B">
        <w:rPr>
          <w:sz w:val="26"/>
          <w:szCs w:val="26"/>
        </w:rPr>
        <w:t xml:space="preserve">implementation of </w:t>
      </w:r>
      <w:r w:rsidR="0075257B" w:rsidRPr="009A4CF6">
        <w:rPr>
          <w:sz w:val="26"/>
          <w:szCs w:val="26"/>
        </w:rPr>
        <w:t>these initiatives</w:t>
      </w:r>
      <w:r w:rsidR="0075257B">
        <w:rPr>
          <w:sz w:val="26"/>
          <w:szCs w:val="26"/>
        </w:rPr>
        <w:t xml:space="preserve"> begins</w:t>
      </w:r>
      <w:r w:rsidR="00A77A60">
        <w:rPr>
          <w:sz w:val="26"/>
          <w:szCs w:val="26"/>
        </w:rPr>
        <w:t xml:space="preserve"> to</w:t>
      </w:r>
      <w:r w:rsidR="00A513DC" w:rsidRPr="009A4CF6">
        <w:rPr>
          <w:sz w:val="26"/>
          <w:szCs w:val="26"/>
        </w:rPr>
        <w:t xml:space="preserve"> remove barriers to competition and as the market matures, we </w:t>
      </w:r>
      <w:r w:rsidRPr="009A4CF6">
        <w:rPr>
          <w:sz w:val="26"/>
          <w:szCs w:val="26"/>
        </w:rPr>
        <w:t>may</w:t>
      </w:r>
      <w:r w:rsidR="00A513DC" w:rsidRPr="009A4CF6">
        <w:rPr>
          <w:sz w:val="26"/>
          <w:szCs w:val="26"/>
        </w:rPr>
        <w:t xml:space="preserve"> more fully examine removing the NGDC from SOLR service.</w:t>
      </w:r>
      <w:r w:rsidR="006F59A7" w:rsidRPr="009A4CF6">
        <w:rPr>
          <w:sz w:val="26"/>
          <w:szCs w:val="26"/>
        </w:rPr>
        <w:t xml:space="preserve">  </w:t>
      </w:r>
      <w:r w:rsidR="00AC46B3" w:rsidRPr="009A4CF6">
        <w:rPr>
          <w:sz w:val="26"/>
          <w:szCs w:val="26"/>
        </w:rPr>
        <w:t xml:space="preserve">As suggested by RESA, we will consider establishing a working group to explore this issue and </w:t>
      </w:r>
      <w:r w:rsidR="00602487" w:rsidRPr="009A4CF6">
        <w:rPr>
          <w:sz w:val="26"/>
          <w:szCs w:val="26"/>
        </w:rPr>
        <w:t xml:space="preserve">discuss with </w:t>
      </w:r>
      <w:r w:rsidR="00AC46B3" w:rsidRPr="009A4CF6">
        <w:rPr>
          <w:sz w:val="26"/>
          <w:szCs w:val="26"/>
        </w:rPr>
        <w:t xml:space="preserve">RESA the experiences of </w:t>
      </w:r>
      <w:r w:rsidRPr="009A4CF6">
        <w:rPr>
          <w:sz w:val="26"/>
          <w:szCs w:val="26"/>
        </w:rPr>
        <w:t>its</w:t>
      </w:r>
      <w:r w:rsidR="00AC46B3" w:rsidRPr="009A4CF6">
        <w:rPr>
          <w:sz w:val="26"/>
          <w:szCs w:val="26"/>
        </w:rPr>
        <w:t xml:space="preserve"> members in other jurisdictions.  </w:t>
      </w:r>
    </w:p>
    <w:p w:rsidR="00C25A62" w:rsidRPr="009A4CF6" w:rsidRDefault="00C25A62" w:rsidP="00CB1FC9">
      <w:pPr>
        <w:spacing w:line="360" w:lineRule="auto"/>
        <w:rPr>
          <w:sz w:val="26"/>
          <w:szCs w:val="26"/>
        </w:rPr>
      </w:pPr>
    </w:p>
    <w:p w:rsidR="00FA0661" w:rsidRPr="009A4CF6" w:rsidRDefault="00053E79" w:rsidP="00CB1FC9">
      <w:pPr>
        <w:pStyle w:val="Heading2"/>
        <w:spacing w:before="0" w:line="360" w:lineRule="auto"/>
        <w:rPr>
          <w:rFonts w:ascii="Times New Roman" w:hAnsi="Times New Roman" w:cs="Times New Roman"/>
          <w:color w:val="auto"/>
        </w:rPr>
      </w:pPr>
      <w:bookmarkStart w:id="4" w:name="_Toc405359495"/>
      <w:r w:rsidRPr="009A4CF6">
        <w:rPr>
          <w:rFonts w:ascii="Times New Roman" w:hAnsi="Times New Roman" w:cs="Times New Roman"/>
          <w:color w:val="auto"/>
        </w:rPr>
        <w:t>C.</w:t>
      </w:r>
      <w:r w:rsidRPr="009A4CF6">
        <w:rPr>
          <w:rFonts w:ascii="Times New Roman" w:hAnsi="Times New Roman" w:cs="Times New Roman"/>
          <w:color w:val="auto"/>
        </w:rPr>
        <w:tab/>
      </w:r>
      <w:r w:rsidR="00FA0661" w:rsidRPr="009A4CF6">
        <w:rPr>
          <w:rFonts w:ascii="Times New Roman" w:hAnsi="Times New Roman" w:cs="Times New Roman"/>
          <w:color w:val="auto"/>
        </w:rPr>
        <w:t>Rate Unbundling</w:t>
      </w:r>
      <w:bookmarkEnd w:id="4"/>
    </w:p>
    <w:p w:rsidR="00053E79" w:rsidRPr="009A4CF6" w:rsidRDefault="00053E79" w:rsidP="00CB1FC9">
      <w:pPr>
        <w:spacing w:line="360" w:lineRule="auto"/>
        <w:rPr>
          <w:sz w:val="26"/>
          <w:szCs w:val="26"/>
        </w:rPr>
      </w:pPr>
    </w:p>
    <w:p w:rsidR="00370253" w:rsidRPr="009A4CF6" w:rsidRDefault="00370253" w:rsidP="00CB1FC9">
      <w:pPr>
        <w:spacing w:line="360" w:lineRule="auto"/>
        <w:rPr>
          <w:sz w:val="26"/>
          <w:szCs w:val="26"/>
        </w:rPr>
      </w:pPr>
      <w:r w:rsidRPr="009A4CF6">
        <w:rPr>
          <w:sz w:val="26"/>
          <w:szCs w:val="26"/>
        </w:rPr>
        <w:tab/>
      </w:r>
      <w:r w:rsidR="000577CC" w:rsidRPr="009A4CF6">
        <w:rPr>
          <w:sz w:val="26"/>
          <w:szCs w:val="26"/>
        </w:rPr>
        <w:t xml:space="preserve">In our </w:t>
      </w:r>
      <w:r w:rsidR="000577CC" w:rsidRPr="009A4CF6">
        <w:rPr>
          <w:i/>
          <w:sz w:val="26"/>
          <w:szCs w:val="26"/>
        </w:rPr>
        <w:t>Tentative Order</w:t>
      </w:r>
      <w:r w:rsidR="000577CC" w:rsidRPr="009A4CF6">
        <w:rPr>
          <w:sz w:val="26"/>
          <w:szCs w:val="26"/>
        </w:rPr>
        <w:t xml:space="preserve">, we agreed with OCA that the review of rate unbundling would be better examined at a later time, after recommendations which arise from this </w:t>
      </w:r>
      <w:r w:rsidR="000577CC" w:rsidRPr="009A4CF6">
        <w:rPr>
          <w:sz w:val="26"/>
          <w:szCs w:val="26"/>
        </w:rPr>
        <w:lastRenderedPageBreak/>
        <w:t xml:space="preserve">Investigation are implemented and have an opportunity to impact the retail natural gas market.  Additionally, we noted OCA’s argument that, in our </w:t>
      </w:r>
      <w:r w:rsidR="000577CC" w:rsidRPr="009A4CF6">
        <w:rPr>
          <w:i/>
          <w:sz w:val="26"/>
          <w:szCs w:val="26"/>
        </w:rPr>
        <w:t>Revised Final Rulemaking Order</w:t>
      </w:r>
      <w:r w:rsidR="000577CC" w:rsidRPr="009A4CF6">
        <w:rPr>
          <w:sz w:val="26"/>
          <w:szCs w:val="26"/>
        </w:rPr>
        <w:t xml:space="preserve"> at Docket No. L-2008-2069114 (Order entered June 23, 2011), we directed NGDCs to unbundle certain gas procurement charges from their distribution base rates, as well as to modify their </w:t>
      </w:r>
      <w:r w:rsidR="0014299E">
        <w:rPr>
          <w:sz w:val="26"/>
          <w:szCs w:val="26"/>
        </w:rPr>
        <w:t>prices to compare (</w:t>
      </w:r>
      <w:r w:rsidR="000577CC" w:rsidRPr="009A4CF6">
        <w:rPr>
          <w:sz w:val="26"/>
          <w:szCs w:val="26"/>
        </w:rPr>
        <w:t>PTCs</w:t>
      </w:r>
      <w:r w:rsidR="0014299E">
        <w:rPr>
          <w:sz w:val="26"/>
          <w:szCs w:val="26"/>
        </w:rPr>
        <w:t>)</w:t>
      </w:r>
      <w:r w:rsidR="000577CC" w:rsidRPr="009A4CF6">
        <w:rPr>
          <w:sz w:val="26"/>
          <w:szCs w:val="26"/>
        </w:rPr>
        <w:t xml:space="preserve"> to ensure that they accurately reflect commodity procurement costs in order to provide a better comparison model for customers.  We agreed with OCA that these modifications should be given a chance to operate before we embark on additional rate unbundling efforts and, therefore, we proposed that OCMO not examine rate unbundling at this time.  However, we proposed that we continue to monitor this issue and revisit it in the event that we determine further unbundling is warranted.</w:t>
      </w:r>
    </w:p>
    <w:p w:rsidR="000577CC" w:rsidRPr="009A4CF6" w:rsidRDefault="000577CC" w:rsidP="00085D80">
      <w:pPr>
        <w:spacing w:line="360" w:lineRule="auto"/>
        <w:rPr>
          <w:sz w:val="26"/>
          <w:szCs w:val="26"/>
        </w:rPr>
      </w:pPr>
    </w:p>
    <w:p w:rsidR="00FA0661" w:rsidRPr="009A4CF6" w:rsidRDefault="00053E79" w:rsidP="00085D80">
      <w:pPr>
        <w:spacing w:line="360" w:lineRule="auto"/>
        <w:rPr>
          <w:sz w:val="26"/>
          <w:szCs w:val="26"/>
        </w:rPr>
      </w:pPr>
      <w:r w:rsidRPr="009A4CF6">
        <w:rPr>
          <w:b/>
          <w:sz w:val="26"/>
          <w:szCs w:val="26"/>
        </w:rPr>
        <w:tab/>
        <w:t>1.</w:t>
      </w:r>
      <w:r w:rsidRPr="009A4CF6">
        <w:rPr>
          <w:b/>
          <w:sz w:val="26"/>
          <w:szCs w:val="26"/>
        </w:rPr>
        <w:tab/>
      </w:r>
      <w:r w:rsidR="00FA0661" w:rsidRPr="009A4CF6">
        <w:rPr>
          <w:b/>
          <w:sz w:val="26"/>
          <w:szCs w:val="26"/>
        </w:rPr>
        <w:t>Comments</w:t>
      </w:r>
    </w:p>
    <w:p w:rsidR="00053E79" w:rsidRPr="009A4CF6" w:rsidRDefault="00053E79" w:rsidP="00085D80">
      <w:pPr>
        <w:spacing w:line="360" w:lineRule="auto"/>
        <w:rPr>
          <w:sz w:val="26"/>
          <w:szCs w:val="26"/>
        </w:rPr>
      </w:pPr>
    </w:p>
    <w:p w:rsidR="00FA0661" w:rsidRPr="009A4CF6" w:rsidRDefault="00FA0661" w:rsidP="00085D80">
      <w:pPr>
        <w:spacing w:line="360" w:lineRule="auto"/>
        <w:rPr>
          <w:sz w:val="26"/>
          <w:szCs w:val="26"/>
        </w:rPr>
      </w:pPr>
      <w:r w:rsidRPr="009A4CF6">
        <w:rPr>
          <w:sz w:val="26"/>
          <w:szCs w:val="26"/>
        </w:rPr>
        <w:tab/>
        <w:t xml:space="preserve">PECO and OCA agree with the Commission that rate unbundling </w:t>
      </w:r>
      <w:r w:rsidR="00053E79" w:rsidRPr="009A4CF6">
        <w:rPr>
          <w:sz w:val="26"/>
          <w:szCs w:val="26"/>
        </w:rPr>
        <w:t>should not be examined in this I</w:t>
      </w:r>
      <w:r w:rsidRPr="009A4CF6">
        <w:rPr>
          <w:sz w:val="26"/>
          <w:szCs w:val="26"/>
        </w:rPr>
        <w:t>nvestigation.  PECO Comments at 3</w:t>
      </w:r>
      <w:r w:rsidR="00767380" w:rsidRPr="009A4CF6">
        <w:rPr>
          <w:sz w:val="26"/>
          <w:szCs w:val="26"/>
        </w:rPr>
        <w:t xml:space="preserve"> (noting that NGDCs were recently directed to unbundle natural gas procurement costs from base rates and to</w:t>
      </w:r>
      <w:r w:rsidR="0014299E">
        <w:rPr>
          <w:sz w:val="26"/>
          <w:szCs w:val="26"/>
        </w:rPr>
        <w:t xml:space="preserve"> revise their PTC</w:t>
      </w:r>
      <w:r w:rsidR="00767380" w:rsidRPr="009A4CF6">
        <w:rPr>
          <w:sz w:val="26"/>
          <w:szCs w:val="26"/>
        </w:rPr>
        <w:t xml:space="preserve"> to accurately reflect unbundled costs)</w:t>
      </w:r>
      <w:r w:rsidRPr="009A4CF6">
        <w:rPr>
          <w:sz w:val="26"/>
          <w:szCs w:val="26"/>
        </w:rPr>
        <w:t>; OCA Comments at 2-3 (“no further unbundling is needed at this time”).</w:t>
      </w:r>
    </w:p>
    <w:p w:rsidR="006D1DE7" w:rsidRPr="009A4CF6" w:rsidRDefault="006D1DE7" w:rsidP="00085D80">
      <w:pPr>
        <w:spacing w:line="360" w:lineRule="auto"/>
        <w:rPr>
          <w:b/>
          <w:sz w:val="26"/>
          <w:szCs w:val="26"/>
        </w:rPr>
      </w:pPr>
    </w:p>
    <w:p w:rsidR="00767380" w:rsidRPr="009A4CF6" w:rsidRDefault="00767380" w:rsidP="00085D80">
      <w:pPr>
        <w:spacing w:line="360" w:lineRule="auto"/>
        <w:rPr>
          <w:sz w:val="26"/>
          <w:szCs w:val="26"/>
        </w:rPr>
      </w:pPr>
      <w:r w:rsidRPr="009A4CF6">
        <w:rPr>
          <w:b/>
          <w:sz w:val="26"/>
          <w:szCs w:val="26"/>
        </w:rPr>
        <w:tab/>
      </w:r>
      <w:r w:rsidRPr="009A4CF6">
        <w:rPr>
          <w:sz w:val="26"/>
          <w:szCs w:val="26"/>
        </w:rPr>
        <w:t xml:space="preserve">Concerned that NGSs have an unfair burden to ensure that all NGDC procurement costs are included in the PTC by presenting alternative cost of service studies and expert witnesses in each NGDC’s </w:t>
      </w:r>
      <w:r w:rsidR="00053E79" w:rsidRPr="009A4CF6">
        <w:rPr>
          <w:sz w:val="26"/>
          <w:szCs w:val="26"/>
        </w:rPr>
        <w:t>rate proceeding, RESA recommends</w:t>
      </w:r>
      <w:r w:rsidRPr="009A4CF6">
        <w:rPr>
          <w:sz w:val="26"/>
          <w:szCs w:val="26"/>
        </w:rPr>
        <w:t xml:space="preserve"> that the Commission direct OCMO to gather input from NGSs regarding the general cost categories they currently pay to provide service.  Per OCMO’s recommendation, the Commission could then issue a policy statement indicating the types of costs that NGDC PTCs should include so that all procurement costs (beyond demand and commodity costs) will be reflected in PTCs</w:t>
      </w:r>
      <w:r w:rsidR="00431EE2" w:rsidRPr="009A4CF6">
        <w:rPr>
          <w:sz w:val="26"/>
          <w:szCs w:val="26"/>
        </w:rPr>
        <w:t>, thereby enabling “a true apples-apples comparison to NGS prices</w:t>
      </w:r>
      <w:r w:rsidRPr="009A4CF6">
        <w:rPr>
          <w:sz w:val="26"/>
          <w:szCs w:val="26"/>
        </w:rPr>
        <w:t>.</w:t>
      </w:r>
      <w:r w:rsidR="00431EE2" w:rsidRPr="009A4CF6">
        <w:rPr>
          <w:sz w:val="26"/>
          <w:szCs w:val="26"/>
        </w:rPr>
        <w:t>”</w:t>
      </w:r>
      <w:r w:rsidRPr="009A4CF6">
        <w:rPr>
          <w:sz w:val="26"/>
          <w:szCs w:val="26"/>
        </w:rPr>
        <w:t xml:space="preserve"> </w:t>
      </w:r>
      <w:r w:rsidR="00431EE2" w:rsidRPr="009A4CF6">
        <w:rPr>
          <w:sz w:val="26"/>
          <w:szCs w:val="26"/>
        </w:rPr>
        <w:t xml:space="preserve"> </w:t>
      </w:r>
      <w:r w:rsidR="00C51AE3" w:rsidRPr="009A4CF6">
        <w:rPr>
          <w:sz w:val="26"/>
          <w:szCs w:val="26"/>
        </w:rPr>
        <w:t xml:space="preserve">RESA </w:t>
      </w:r>
      <w:r w:rsidR="00053E79" w:rsidRPr="009A4CF6">
        <w:rPr>
          <w:sz w:val="26"/>
          <w:szCs w:val="26"/>
        </w:rPr>
        <w:t>Comments at 16-17.</w:t>
      </w:r>
    </w:p>
    <w:p w:rsidR="00FA0661" w:rsidRPr="009A4CF6" w:rsidRDefault="00FA0661" w:rsidP="00085D80">
      <w:pPr>
        <w:spacing w:line="360" w:lineRule="auto"/>
        <w:rPr>
          <w:b/>
          <w:sz w:val="26"/>
          <w:szCs w:val="26"/>
        </w:rPr>
      </w:pPr>
      <w:r w:rsidRPr="009A4CF6">
        <w:rPr>
          <w:b/>
          <w:sz w:val="26"/>
          <w:szCs w:val="26"/>
        </w:rPr>
        <w:lastRenderedPageBreak/>
        <w:tab/>
      </w:r>
    </w:p>
    <w:p w:rsidR="001837F4" w:rsidRPr="009A4CF6" w:rsidRDefault="00053E79" w:rsidP="00431EE2">
      <w:pPr>
        <w:spacing w:line="360" w:lineRule="auto"/>
        <w:rPr>
          <w:sz w:val="26"/>
          <w:szCs w:val="26"/>
        </w:rPr>
      </w:pPr>
      <w:r w:rsidRPr="009A4CF6">
        <w:rPr>
          <w:b/>
          <w:sz w:val="26"/>
          <w:szCs w:val="26"/>
        </w:rPr>
        <w:tab/>
        <w:t>2.</w:t>
      </w:r>
      <w:r w:rsidRPr="009A4CF6">
        <w:rPr>
          <w:b/>
          <w:sz w:val="26"/>
          <w:szCs w:val="26"/>
        </w:rPr>
        <w:tab/>
      </w:r>
      <w:r w:rsidR="00431EE2" w:rsidRPr="009A4CF6">
        <w:rPr>
          <w:b/>
          <w:sz w:val="26"/>
          <w:szCs w:val="26"/>
        </w:rPr>
        <w:t>Disposition</w:t>
      </w:r>
    </w:p>
    <w:p w:rsidR="00053E79" w:rsidRPr="009A4CF6" w:rsidRDefault="00053E79" w:rsidP="00431EE2">
      <w:pPr>
        <w:spacing w:line="360" w:lineRule="auto"/>
        <w:rPr>
          <w:sz w:val="26"/>
          <w:szCs w:val="26"/>
        </w:rPr>
      </w:pPr>
    </w:p>
    <w:p w:rsidR="00431EE2" w:rsidRPr="009A4CF6" w:rsidRDefault="00C25A62" w:rsidP="00CB1FC9">
      <w:pPr>
        <w:spacing w:line="360" w:lineRule="auto"/>
        <w:rPr>
          <w:sz w:val="26"/>
          <w:szCs w:val="26"/>
        </w:rPr>
      </w:pPr>
      <w:r w:rsidRPr="009A4CF6">
        <w:rPr>
          <w:sz w:val="26"/>
          <w:szCs w:val="26"/>
        </w:rPr>
        <w:tab/>
        <w:t xml:space="preserve">As we expressly stated in the </w:t>
      </w:r>
      <w:r w:rsidRPr="009A4CF6">
        <w:rPr>
          <w:i/>
          <w:sz w:val="26"/>
          <w:szCs w:val="26"/>
        </w:rPr>
        <w:t>Tentative Order</w:t>
      </w:r>
      <w:r w:rsidRPr="009A4CF6">
        <w:rPr>
          <w:sz w:val="26"/>
          <w:szCs w:val="26"/>
        </w:rPr>
        <w:t xml:space="preserve">, the Commission </w:t>
      </w:r>
      <w:r w:rsidR="0079614B" w:rsidRPr="009A4CF6">
        <w:rPr>
          <w:sz w:val="26"/>
          <w:szCs w:val="26"/>
        </w:rPr>
        <w:t xml:space="preserve">still </w:t>
      </w:r>
      <w:r w:rsidRPr="009A4CF6">
        <w:rPr>
          <w:sz w:val="26"/>
          <w:szCs w:val="26"/>
        </w:rPr>
        <w:t xml:space="preserve">believes </w:t>
      </w:r>
      <w:r w:rsidR="0079614B" w:rsidRPr="009A4CF6">
        <w:rPr>
          <w:sz w:val="26"/>
          <w:szCs w:val="26"/>
        </w:rPr>
        <w:t xml:space="preserve">and agrees with PECO and OCA that </w:t>
      </w:r>
      <w:r w:rsidRPr="009A4CF6">
        <w:rPr>
          <w:sz w:val="26"/>
          <w:szCs w:val="26"/>
        </w:rPr>
        <w:t>rate unbundling should not be examined at this time.</w:t>
      </w:r>
      <w:r w:rsidR="0079614B" w:rsidRPr="009A4CF6">
        <w:rPr>
          <w:sz w:val="26"/>
          <w:szCs w:val="26"/>
        </w:rPr>
        <w:t xml:space="preserve">  We understand RESA’s concerns regarding the burden on NGSs to present cost of service studies</w:t>
      </w:r>
      <w:r w:rsidR="00602487" w:rsidRPr="009A4CF6">
        <w:rPr>
          <w:sz w:val="26"/>
          <w:szCs w:val="26"/>
        </w:rPr>
        <w:t xml:space="preserve"> and expert witnesses</w:t>
      </w:r>
      <w:r w:rsidR="0079614B" w:rsidRPr="009A4CF6">
        <w:rPr>
          <w:sz w:val="26"/>
          <w:szCs w:val="26"/>
        </w:rPr>
        <w:t xml:space="preserve">.  </w:t>
      </w:r>
      <w:r w:rsidR="004A3C6C">
        <w:rPr>
          <w:sz w:val="26"/>
          <w:szCs w:val="26"/>
        </w:rPr>
        <w:t>To that end</w:t>
      </w:r>
      <w:r w:rsidR="00903E61" w:rsidRPr="009A4CF6">
        <w:rPr>
          <w:sz w:val="26"/>
          <w:szCs w:val="26"/>
        </w:rPr>
        <w:t>, w</w:t>
      </w:r>
      <w:r w:rsidR="0079614B" w:rsidRPr="009A4CF6">
        <w:rPr>
          <w:sz w:val="26"/>
          <w:szCs w:val="26"/>
        </w:rPr>
        <w:t xml:space="preserve">e will take under advisement RESA’s request </w:t>
      </w:r>
      <w:r w:rsidR="00903E61" w:rsidRPr="009A4CF6">
        <w:rPr>
          <w:sz w:val="26"/>
          <w:szCs w:val="26"/>
        </w:rPr>
        <w:t xml:space="preserve">for </w:t>
      </w:r>
      <w:r w:rsidR="0079614B" w:rsidRPr="009A4CF6">
        <w:rPr>
          <w:sz w:val="26"/>
          <w:szCs w:val="26"/>
        </w:rPr>
        <w:t xml:space="preserve">a Commission policy statement that indicates the types of appropriate costs that should </w:t>
      </w:r>
      <w:r w:rsidR="00053E79" w:rsidRPr="009A4CF6">
        <w:rPr>
          <w:sz w:val="26"/>
          <w:szCs w:val="26"/>
        </w:rPr>
        <w:t>be reflected in an NGDC’s PTC.</w:t>
      </w:r>
    </w:p>
    <w:p w:rsidR="00431EE2" w:rsidRPr="009A4CF6" w:rsidRDefault="00431EE2" w:rsidP="00CB1FC9">
      <w:pPr>
        <w:spacing w:line="360" w:lineRule="auto"/>
        <w:rPr>
          <w:sz w:val="26"/>
          <w:szCs w:val="26"/>
        </w:rPr>
      </w:pPr>
    </w:p>
    <w:p w:rsidR="00431EE2" w:rsidRPr="009A4CF6" w:rsidRDefault="00370253" w:rsidP="00CB1FC9">
      <w:pPr>
        <w:pStyle w:val="Heading2"/>
        <w:spacing w:before="0" w:line="360" w:lineRule="auto"/>
        <w:rPr>
          <w:rFonts w:ascii="Times New Roman" w:hAnsi="Times New Roman" w:cs="Times New Roman"/>
          <w:b w:val="0"/>
          <w:color w:val="auto"/>
          <w:u w:val="single"/>
        </w:rPr>
      </w:pPr>
      <w:bookmarkStart w:id="5" w:name="_Toc405359496"/>
      <w:r w:rsidRPr="009A4CF6">
        <w:rPr>
          <w:rFonts w:ascii="Times New Roman" w:hAnsi="Times New Roman" w:cs="Times New Roman"/>
          <w:color w:val="auto"/>
        </w:rPr>
        <w:t>D.</w:t>
      </w:r>
      <w:r w:rsidRPr="009A4CF6">
        <w:rPr>
          <w:rFonts w:ascii="Times New Roman" w:hAnsi="Times New Roman" w:cs="Times New Roman"/>
          <w:color w:val="auto"/>
        </w:rPr>
        <w:tab/>
      </w:r>
      <w:r w:rsidR="00431EE2" w:rsidRPr="009A4CF6">
        <w:rPr>
          <w:rFonts w:ascii="Times New Roman" w:hAnsi="Times New Roman" w:cs="Times New Roman"/>
          <w:color w:val="auto"/>
        </w:rPr>
        <w:t>Assignment of Capacity and Use of Storage Assets</w:t>
      </w:r>
      <w:bookmarkEnd w:id="5"/>
    </w:p>
    <w:p w:rsidR="00370253" w:rsidRPr="009A4CF6" w:rsidRDefault="00370253" w:rsidP="00CB1FC9">
      <w:pPr>
        <w:spacing w:line="360" w:lineRule="auto"/>
        <w:rPr>
          <w:sz w:val="26"/>
          <w:szCs w:val="26"/>
        </w:rPr>
      </w:pPr>
    </w:p>
    <w:p w:rsidR="002B40B2" w:rsidRPr="009A4CF6" w:rsidRDefault="002B40B2" w:rsidP="00CB1FC9">
      <w:pPr>
        <w:spacing w:line="360" w:lineRule="auto"/>
        <w:rPr>
          <w:sz w:val="26"/>
          <w:szCs w:val="26"/>
        </w:rPr>
      </w:pPr>
      <w:r w:rsidRPr="009A4CF6">
        <w:rPr>
          <w:sz w:val="26"/>
          <w:szCs w:val="26"/>
        </w:rPr>
        <w:tab/>
        <w:t>Section 2204(d)(1) of the Natural Gas Choice and Competition Act provides the NGDC with the option to release, assign or otherwise transfer capacity or Pennsylvania supply in whole or in part on a nondiscriminatory basis to suppliers or industrial customers on its system.  66 Pa. C.S. § 2204(d)(1).  Section 2204(d)(4) of the Natural Gas Choice and Competition Act requires a licensed NGS to accept such release, assignment or transfer of capacity.  66 Pa. C.S. § 2204(d)(4).  However, Section 2204(5) provides NGSs with a mechanism to petition the Commission to avoid such mandatory capacity assignments.  66 Pa. C.S. § 2204(5)(ii).  Also, Section 2204(e) provides NGSs and others the opportunity, under certain circumstances, to renew expiring NGDC contracts or to provide alternative contracts to meet system requirements.  66 Pa. C.S. § 2204(e).</w:t>
      </w:r>
    </w:p>
    <w:p w:rsidR="002B40B2" w:rsidRPr="009A4CF6" w:rsidRDefault="002B40B2" w:rsidP="00A2212A">
      <w:pPr>
        <w:spacing w:line="360" w:lineRule="auto"/>
        <w:rPr>
          <w:sz w:val="26"/>
          <w:szCs w:val="26"/>
        </w:rPr>
      </w:pPr>
    </w:p>
    <w:p w:rsidR="002B40B2" w:rsidRPr="009A4CF6" w:rsidRDefault="002B40B2" w:rsidP="00A2212A">
      <w:pPr>
        <w:spacing w:line="360" w:lineRule="auto"/>
        <w:rPr>
          <w:sz w:val="26"/>
          <w:szCs w:val="26"/>
        </w:rPr>
      </w:pPr>
      <w:r w:rsidRPr="009A4CF6">
        <w:rPr>
          <w:sz w:val="26"/>
          <w:szCs w:val="26"/>
        </w:rPr>
        <w:tab/>
        <w:t>The Commission received many varying viewpoints on the assignment of capacity and use</w:t>
      </w:r>
      <w:r w:rsidR="00F05C4E" w:rsidRPr="009A4CF6">
        <w:rPr>
          <w:sz w:val="26"/>
          <w:szCs w:val="26"/>
        </w:rPr>
        <w:t xml:space="preserve"> of storage assets and, in our </w:t>
      </w:r>
      <w:r w:rsidRPr="009A4CF6">
        <w:rPr>
          <w:i/>
          <w:sz w:val="26"/>
          <w:szCs w:val="26"/>
        </w:rPr>
        <w:t>Tentative Order</w:t>
      </w:r>
      <w:r w:rsidRPr="009A4CF6">
        <w:rPr>
          <w:sz w:val="26"/>
          <w:szCs w:val="26"/>
        </w:rPr>
        <w:t xml:space="preserve">, acknowledged the role and importance of NGDCs in ensuring system reliability.  However, we noted that this does not preclude us from exploring this issue.  We noted our belief that possible reforms are available for consideration that would not endanger reliability.  Therefore, we proposed </w:t>
      </w:r>
      <w:r w:rsidRPr="009A4CF6">
        <w:rPr>
          <w:sz w:val="26"/>
          <w:szCs w:val="26"/>
        </w:rPr>
        <w:lastRenderedPageBreak/>
        <w:t xml:space="preserve">that OCMO conduct an examination of capacity assignment and storage assets, with specific emphasis on how capacity assignment and the use of storage assets impact system reliability.  </w:t>
      </w:r>
    </w:p>
    <w:p w:rsidR="002B40B2" w:rsidRPr="009A4CF6" w:rsidRDefault="002B40B2" w:rsidP="00A2212A">
      <w:pPr>
        <w:spacing w:line="360" w:lineRule="auto"/>
        <w:rPr>
          <w:sz w:val="26"/>
          <w:szCs w:val="26"/>
        </w:rPr>
      </w:pPr>
    </w:p>
    <w:p w:rsidR="00A2212A" w:rsidRPr="009A4CF6" w:rsidRDefault="00370253" w:rsidP="00A2212A">
      <w:pPr>
        <w:spacing w:line="360" w:lineRule="auto"/>
        <w:rPr>
          <w:sz w:val="26"/>
          <w:szCs w:val="26"/>
        </w:rPr>
      </w:pPr>
      <w:r w:rsidRPr="009A4CF6">
        <w:rPr>
          <w:b/>
          <w:sz w:val="26"/>
          <w:szCs w:val="26"/>
        </w:rPr>
        <w:tab/>
        <w:t>1.</w:t>
      </w:r>
      <w:r w:rsidRPr="009A4CF6">
        <w:rPr>
          <w:b/>
          <w:sz w:val="26"/>
          <w:szCs w:val="26"/>
        </w:rPr>
        <w:tab/>
      </w:r>
      <w:r w:rsidR="00A2212A" w:rsidRPr="009A4CF6">
        <w:rPr>
          <w:b/>
          <w:sz w:val="26"/>
          <w:szCs w:val="26"/>
        </w:rPr>
        <w:t>Comments</w:t>
      </w:r>
    </w:p>
    <w:p w:rsidR="00370253" w:rsidRPr="009A4CF6" w:rsidRDefault="00370253" w:rsidP="00A2212A">
      <w:pPr>
        <w:spacing w:line="360" w:lineRule="auto"/>
        <w:rPr>
          <w:sz w:val="26"/>
          <w:szCs w:val="26"/>
        </w:rPr>
      </w:pPr>
    </w:p>
    <w:p w:rsidR="00A2212A" w:rsidRPr="009A4CF6" w:rsidRDefault="00A2212A" w:rsidP="00A2212A">
      <w:pPr>
        <w:spacing w:line="360" w:lineRule="auto"/>
        <w:rPr>
          <w:sz w:val="26"/>
          <w:szCs w:val="26"/>
        </w:rPr>
      </w:pPr>
      <w:r w:rsidRPr="009A4CF6">
        <w:rPr>
          <w:sz w:val="26"/>
          <w:szCs w:val="26"/>
        </w:rPr>
        <w:t>            PECO emphasize</w:t>
      </w:r>
      <w:r w:rsidR="007E36F2" w:rsidRPr="009A4CF6">
        <w:rPr>
          <w:sz w:val="26"/>
          <w:szCs w:val="26"/>
        </w:rPr>
        <w:t>s</w:t>
      </w:r>
      <w:r w:rsidRPr="009A4CF6">
        <w:rPr>
          <w:sz w:val="26"/>
          <w:szCs w:val="26"/>
        </w:rPr>
        <w:t xml:space="preserve"> that system reliability is an essential and statutorily</w:t>
      </w:r>
      <w:r w:rsidR="007E36F2" w:rsidRPr="009A4CF6">
        <w:rPr>
          <w:sz w:val="26"/>
          <w:szCs w:val="26"/>
        </w:rPr>
        <w:t>-</w:t>
      </w:r>
      <w:r w:rsidRPr="009A4CF6">
        <w:rPr>
          <w:sz w:val="26"/>
          <w:szCs w:val="26"/>
        </w:rPr>
        <w:t xml:space="preserve">mandated distribution system function.  </w:t>
      </w:r>
      <w:r w:rsidR="00C51AE3" w:rsidRPr="009A4CF6">
        <w:rPr>
          <w:sz w:val="26"/>
          <w:szCs w:val="26"/>
        </w:rPr>
        <w:t xml:space="preserve">PECO </w:t>
      </w:r>
      <w:r w:rsidRPr="009A4CF6">
        <w:rPr>
          <w:sz w:val="26"/>
          <w:szCs w:val="26"/>
        </w:rPr>
        <w:t>Comments at 3-4 (citing 66 Pa. C.S. § 2205(a)(1)</w:t>
      </w:r>
      <w:r w:rsidR="007E36F2" w:rsidRPr="009A4CF6">
        <w:rPr>
          <w:sz w:val="26"/>
          <w:szCs w:val="26"/>
        </w:rPr>
        <w:t>)</w:t>
      </w:r>
      <w:r w:rsidRPr="009A4CF6">
        <w:rPr>
          <w:sz w:val="26"/>
          <w:szCs w:val="26"/>
        </w:rPr>
        <w:t xml:space="preserve">.  PECO explains that it can effectively manage swings in demand and provide reliable service during winter heating periods due to </w:t>
      </w:r>
      <w:r w:rsidR="007E36F2" w:rsidRPr="009A4CF6">
        <w:rPr>
          <w:sz w:val="26"/>
          <w:szCs w:val="26"/>
        </w:rPr>
        <w:t>its</w:t>
      </w:r>
      <w:r w:rsidRPr="009A4CF6">
        <w:rPr>
          <w:sz w:val="26"/>
          <w:szCs w:val="26"/>
        </w:rPr>
        <w:t xml:space="preserve"> capacity and storage assets.  </w:t>
      </w:r>
      <w:r w:rsidR="007E36F2" w:rsidRPr="009A4CF6">
        <w:rPr>
          <w:sz w:val="26"/>
          <w:szCs w:val="26"/>
        </w:rPr>
        <w:t>PECO aver</w:t>
      </w:r>
      <w:r w:rsidRPr="009A4CF6">
        <w:rPr>
          <w:sz w:val="26"/>
          <w:szCs w:val="26"/>
        </w:rPr>
        <w:t>s</w:t>
      </w:r>
      <w:r w:rsidR="007E36F2" w:rsidRPr="009A4CF6">
        <w:rPr>
          <w:sz w:val="26"/>
          <w:szCs w:val="26"/>
        </w:rPr>
        <w:t xml:space="preserve"> that its</w:t>
      </w:r>
      <w:r w:rsidRPr="009A4CF6">
        <w:rPr>
          <w:sz w:val="26"/>
          <w:szCs w:val="26"/>
        </w:rPr>
        <w:t xml:space="preserve"> firm storage and transportation contracts, procured through a competitive bidding process, allow </w:t>
      </w:r>
      <w:r w:rsidR="007E36F2" w:rsidRPr="009A4CF6">
        <w:rPr>
          <w:sz w:val="26"/>
          <w:szCs w:val="26"/>
        </w:rPr>
        <w:t>it</w:t>
      </w:r>
      <w:r w:rsidRPr="009A4CF6">
        <w:rPr>
          <w:sz w:val="26"/>
          <w:szCs w:val="26"/>
        </w:rPr>
        <w:t xml:space="preserve"> to address seasonal swings in demand.  Since PECO’s </w:t>
      </w:r>
      <w:r w:rsidR="007E36F2" w:rsidRPr="009A4CF6">
        <w:rPr>
          <w:sz w:val="26"/>
          <w:szCs w:val="26"/>
        </w:rPr>
        <w:t>liquefied natural gas (</w:t>
      </w:r>
      <w:r w:rsidRPr="009A4CF6">
        <w:rPr>
          <w:sz w:val="26"/>
          <w:szCs w:val="26"/>
        </w:rPr>
        <w:t>LNG</w:t>
      </w:r>
      <w:r w:rsidR="007E36F2" w:rsidRPr="009A4CF6">
        <w:rPr>
          <w:sz w:val="26"/>
          <w:szCs w:val="26"/>
        </w:rPr>
        <w:t>)</w:t>
      </w:r>
      <w:r w:rsidRPr="009A4CF6">
        <w:rPr>
          <w:sz w:val="26"/>
          <w:szCs w:val="26"/>
        </w:rPr>
        <w:t xml:space="preserve"> and propane facilities must be managed in a very specialized manner </w:t>
      </w:r>
      <w:r w:rsidR="007E36F2" w:rsidRPr="009A4CF6">
        <w:rPr>
          <w:sz w:val="26"/>
          <w:szCs w:val="26"/>
        </w:rPr>
        <w:t xml:space="preserve">in order </w:t>
      </w:r>
      <w:r w:rsidRPr="009A4CF6">
        <w:rPr>
          <w:sz w:val="26"/>
          <w:szCs w:val="26"/>
        </w:rPr>
        <w:t xml:space="preserve">to meet the peak day needs of firm customers, PECO contends that the NGDC is best situated to maintain system reliability.  </w:t>
      </w:r>
      <w:r w:rsidRPr="009A4CF6">
        <w:rPr>
          <w:i/>
          <w:iCs/>
          <w:sz w:val="26"/>
          <w:szCs w:val="26"/>
        </w:rPr>
        <w:t>Id.</w:t>
      </w:r>
      <w:r w:rsidRPr="009A4CF6">
        <w:rPr>
          <w:sz w:val="26"/>
          <w:szCs w:val="26"/>
        </w:rPr>
        <w:t xml:space="preserve"> at 4-5 (contracts and facilities need not be shifted to NGSs).  PECO recommend</w:t>
      </w:r>
      <w:r w:rsidR="007E36F2" w:rsidRPr="009A4CF6">
        <w:rPr>
          <w:sz w:val="26"/>
          <w:szCs w:val="26"/>
        </w:rPr>
        <w:t>s</w:t>
      </w:r>
      <w:r w:rsidRPr="009A4CF6">
        <w:rPr>
          <w:sz w:val="26"/>
          <w:szCs w:val="26"/>
        </w:rPr>
        <w:t xml:space="preserve"> that OCMO examine PECO’s Character of Service Tariff, Rule 18.2, and investigate whether a tariff of this nature could work in other service territories.  </w:t>
      </w:r>
      <w:r w:rsidR="007E36F2" w:rsidRPr="009A4CF6">
        <w:rPr>
          <w:iCs/>
          <w:sz w:val="26"/>
          <w:szCs w:val="26"/>
        </w:rPr>
        <w:t>PECO Comments at 3-5.</w:t>
      </w:r>
      <w:r w:rsidRPr="009A4CF6">
        <w:rPr>
          <w:sz w:val="26"/>
          <w:szCs w:val="26"/>
        </w:rPr>
        <w:t xml:space="preserve">   </w:t>
      </w:r>
    </w:p>
    <w:p w:rsidR="007E36F2" w:rsidRPr="009A4CF6" w:rsidRDefault="007E36F2" w:rsidP="00A2212A">
      <w:pPr>
        <w:spacing w:line="360" w:lineRule="auto"/>
        <w:rPr>
          <w:sz w:val="26"/>
          <w:szCs w:val="26"/>
        </w:rPr>
      </w:pPr>
    </w:p>
    <w:p w:rsidR="00A2212A" w:rsidRPr="009A4CF6" w:rsidRDefault="00A2212A" w:rsidP="00A2212A">
      <w:pPr>
        <w:spacing w:line="360" w:lineRule="auto"/>
        <w:rPr>
          <w:sz w:val="26"/>
          <w:szCs w:val="26"/>
        </w:rPr>
      </w:pPr>
      <w:r w:rsidRPr="009A4CF6">
        <w:rPr>
          <w:sz w:val="26"/>
          <w:szCs w:val="26"/>
        </w:rPr>
        <w:t xml:space="preserve">            </w:t>
      </w:r>
      <w:r w:rsidR="003B714A" w:rsidRPr="009A4CF6">
        <w:rPr>
          <w:sz w:val="26"/>
          <w:szCs w:val="26"/>
        </w:rPr>
        <w:t>The National Marketers ask</w:t>
      </w:r>
      <w:r w:rsidRPr="009A4CF6">
        <w:rPr>
          <w:sz w:val="26"/>
          <w:szCs w:val="26"/>
        </w:rPr>
        <w:t xml:space="preserve"> the Commission to determine the “equitable division of capacity between utilities and competitive suppliers,” including the assets released to the competitive suppliers and the capacity retained by the utilities.  </w:t>
      </w:r>
      <w:r w:rsidR="003B714A" w:rsidRPr="009A4CF6">
        <w:rPr>
          <w:sz w:val="26"/>
          <w:szCs w:val="26"/>
        </w:rPr>
        <w:t xml:space="preserve">National Marketers </w:t>
      </w:r>
      <w:r w:rsidRPr="009A4CF6">
        <w:rPr>
          <w:sz w:val="26"/>
          <w:szCs w:val="26"/>
        </w:rPr>
        <w:t xml:space="preserve">Comments at 3.  The National Marketers, in referencing Columbia Gas’s most recent 1307(f) proceeding at Docket No. R-2014-2408268, suggest that the Commission consider similarly directing the other NGDCs to submit information related to the appropriate allocation of revenues between choice customers and PTC customers.  </w:t>
      </w:r>
      <w:r w:rsidR="003B714A" w:rsidRPr="009A4CF6">
        <w:rPr>
          <w:iCs/>
          <w:sz w:val="26"/>
          <w:szCs w:val="26"/>
        </w:rPr>
        <w:t xml:space="preserve">National Marketers Comments </w:t>
      </w:r>
      <w:r w:rsidR="003B714A" w:rsidRPr="009A4CF6">
        <w:rPr>
          <w:sz w:val="26"/>
          <w:szCs w:val="26"/>
        </w:rPr>
        <w:t>at 3-4.</w:t>
      </w:r>
    </w:p>
    <w:p w:rsidR="003B714A" w:rsidRPr="009A4CF6" w:rsidRDefault="003B714A" w:rsidP="00A2212A">
      <w:pPr>
        <w:spacing w:line="360" w:lineRule="auto"/>
        <w:rPr>
          <w:sz w:val="26"/>
          <w:szCs w:val="26"/>
        </w:rPr>
      </w:pPr>
    </w:p>
    <w:p w:rsidR="00A2212A" w:rsidRPr="009A4CF6" w:rsidRDefault="00A2212A" w:rsidP="00A2212A">
      <w:pPr>
        <w:spacing w:line="360" w:lineRule="auto"/>
        <w:rPr>
          <w:sz w:val="26"/>
          <w:szCs w:val="26"/>
        </w:rPr>
      </w:pPr>
      <w:r w:rsidRPr="009A4CF6">
        <w:rPr>
          <w:sz w:val="26"/>
          <w:szCs w:val="26"/>
        </w:rPr>
        <w:t>            The PA Marketers emphasize that any capacity or storage asset held by a utility</w:t>
      </w:r>
      <w:r w:rsidR="003B6020" w:rsidRPr="009A4CF6">
        <w:rPr>
          <w:sz w:val="26"/>
          <w:szCs w:val="26"/>
        </w:rPr>
        <w:t>,</w:t>
      </w:r>
      <w:r w:rsidRPr="009A4CF6">
        <w:rPr>
          <w:sz w:val="26"/>
          <w:szCs w:val="26"/>
        </w:rPr>
        <w:t xml:space="preserve"> </w:t>
      </w:r>
      <w:r w:rsidRPr="009A4CF6">
        <w:rPr>
          <w:sz w:val="26"/>
          <w:szCs w:val="26"/>
        </w:rPr>
        <w:lastRenderedPageBreak/>
        <w:t>regardless of migration level</w:t>
      </w:r>
      <w:r w:rsidR="003B6020" w:rsidRPr="009A4CF6">
        <w:rPr>
          <w:sz w:val="26"/>
          <w:szCs w:val="26"/>
        </w:rPr>
        <w:t>,</w:t>
      </w:r>
      <w:r w:rsidRPr="009A4CF6">
        <w:rPr>
          <w:sz w:val="26"/>
          <w:szCs w:val="26"/>
        </w:rPr>
        <w:t xml:space="preserve"> must be made available on an equal and competitively</w:t>
      </w:r>
      <w:r w:rsidR="003B6020" w:rsidRPr="009A4CF6">
        <w:rPr>
          <w:sz w:val="26"/>
          <w:szCs w:val="26"/>
        </w:rPr>
        <w:t>-</w:t>
      </w:r>
      <w:r w:rsidRPr="009A4CF6">
        <w:rPr>
          <w:sz w:val="26"/>
          <w:szCs w:val="26"/>
        </w:rPr>
        <w:t xml:space="preserve">neutral basis to the applicable supplier.  </w:t>
      </w:r>
      <w:r w:rsidR="003B6020" w:rsidRPr="009A4CF6">
        <w:rPr>
          <w:sz w:val="26"/>
          <w:szCs w:val="26"/>
        </w:rPr>
        <w:t xml:space="preserve">PA Marketers </w:t>
      </w:r>
      <w:r w:rsidRPr="009A4CF6">
        <w:rPr>
          <w:sz w:val="26"/>
          <w:szCs w:val="26"/>
        </w:rPr>
        <w:t xml:space="preserve">Comments at 5.  </w:t>
      </w:r>
    </w:p>
    <w:p w:rsidR="00A2212A" w:rsidRPr="009A4CF6" w:rsidRDefault="00A2212A" w:rsidP="00A2212A">
      <w:pPr>
        <w:spacing w:line="360" w:lineRule="auto"/>
        <w:rPr>
          <w:sz w:val="26"/>
          <w:szCs w:val="26"/>
        </w:rPr>
      </w:pPr>
    </w:p>
    <w:p w:rsidR="00A2212A" w:rsidRPr="009A4CF6" w:rsidRDefault="00A2212A" w:rsidP="00A2212A">
      <w:pPr>
        <w:spacing w:line="360" w:lineRule="auto"/>
        <w:ind w:firstLine="720"/>
        <w:rPr>
          <w:sz w:val="26"/>
          <w:szCs w:val="26"/>
        </w:rPr>
      </w:pPr>
      <w:r w:rsidRPr="009A4CF6">
        <w:rPr>
          <w:sz w:val="26"/>
          <w:szCs w:val="26"/>
        </w:rPr>
        <w:t>The PSU Engineers believe mandatory acceptance of NGDC-owned capacity is anti-competitive and restricts the ability of small non-residential customers from enjoying the potential benefits of competitive third-party retail gas supply.  Acco</w:t>
      </w:r>
      <w:r w:rsidR="001D1A52" w:rsidRPr="009A4CF6">
        <w:rPr>
          <w:sz w:val="26"/>
          <w:szCs w:val="26"/>
        </w:rPr>
        <w:t>rdingly, the PSU Engineers ask</w:t>
      </w:r>
      <w:r w:rsidRPr="009A4CF6">
        <w:rPr>
          <w:sz w:val="26"/>
          <w:szCs w:val="26"/>
        </w:rPr>
        <w:t xml:space="preserve"> the Commission to end this practice by the NGDCs.  </w:t>
      </w:r>
      <w:r w:rsidR="001D1A52" w:rsidRPr="009A4CF6">
        <w:rPr>
          <w:sz w:val="26"/>
          <w:szCs w:val="26"/>
        </w:rPr>
        <w:t xml:space="preserve">PSU Engineers </w:t>
      </w:r>
      <w:r w:rsidRPr="009A4CF6">
        <w:rPr>
          <w:sz w:val="26"/>
          <w:szCs w:val="26"/>
        </w:rPr>
        <w:t xml:space="preserve">Comments at 1.  </w:t>
      </w:r>
    </w:p>
    <w:p w:rsidR="001D1A52" w:rsidRPr="009A4CF6" w:rsidRDefault="00A2212A" w:rsidP="00A2212A">
      <w:pPr>
        <w:spacing w:line="360" w:lineRule="auto"/>
        <w:rPr>
          <w:sz w:val="26"/>
          <w:szCs w:val="26"/>
        </w:rPr>
      </w:pPr>
      <w:r w:rsidRPr="009A4CF6">
        <w:rPr>
          <w:sz w:val="26"/>
          <w:szCs w:val="26"/>
        </w:rPr>
        <w:t xml:space="preserve">            </w:t>
      </w:r>
    </w:p>
    <w:p w:rsidR="00A2212A" w:rsidRPr="009A4CF6" w:rsidRDefault="00777431" w:rsidP="00A2212A">
      <w:pPr>
        <w:spacing w:line="360" w:lineRule="auto"/>
        <w:rPr>
          <w:sz w:val="26"/>
          <w:szCs w:val="26"/>
        </w:rPr>
      </w:pPr>
      <w:r w:rsidRPr="009A4CF6">
        <w:rPr>
          <w:sz w:val="26"/>
          <w:szCs w:val="26"/>
        </w:rPr>
        <w:tab/>
      </w:r>
      <w:r w:rsidR="00A2212A" w:rsidRPr="009A4CF6">
        <w:rPr>
          <w:sz w:val="26"/>
          <w:szCs w:val="26"/>
        </w:rPr>
        <w:t xml:space="preserve">Washington Gas </w:t>
      </w:r>
      <w:r w:rsidRPr="009A4CF6">
        <w:rPr>
          <w:sz w:val="26"/>
          <w:szCs w:val="26"/>
        </w:rPr>
        <w:t>request</w:t>
      </w:r>
      <w:r w:rsidR="00E06F7C" w:rsidRPr="009A4CF6">
        <w:rPr>
          <w:sz w:val="26"/>
          <w:szCs w:val="26"/>
        </w:rPr>
        <w:t>s</w:t>
      </w:r>
      <w:r w:rsidRPr="009A4CF6">
        <w:rPr>
          <w:sz w:val="26"/>
          <w:szCs w:val="26"/>
        </w:rPr>
        <w:t xml:space="preserve"> that</w:t>
      </w:r>
      <w:r w:rsidR="00A2212A" w:rsidRPr="009A4CF6">
        <w:rPr>
          <w:sz w:val="26"/>
          <w:szCs w:val="26"/>
        </w:rPr>
        <w:t xml:space="preserve"> the Commission examine current NGDC procedures to ensure firm interstate pipeline </w:t>
      </w:r>
      <w:r w:rsidRPr="009A4CF6">
        <w:rPr>
          <w:sz w:val="26"/>
          <w:szCs w:val="26"/>
        </w:rPr>
        <w:t>capacity, firm pipeline storage</w:t>
      </w:r>
      <w:r w:rsidR="00A2212A" w:rsidRPr="009A4CF6">
        <w:rPr>
          <w:sz w:val="26"/>
          <w:szCs w:val="26"/>
        </w:rPr>
        <w:t xml:space="preserve"> and NGDC storage assets are sufficient to serve loads during pe</w:t>
      </w:r>
      <w:r w:rsidRPr="009A4CF6">
        <w:rPr>
          <w:sz w:val="26"/>
          <w:szCs w:val="26"/>
        </w:rPr>
        <w:t>ak demand in the winter heating s</w:t>
      </w:r>
      <w:r w:rsidR="00A2212A" w:rsidRPr="009A4CF6">
        <w:rPr>
          <w:sz w:val="26"/>
          <w:szCs w:val="26"/>
        </w:rPr>
        <w:t xml:space="preserve">eason.  Washington Gas </w:t>
      </w:r>
      <w:r w:rsidRPr="009A4CF6">
        <w:rPr>
          <w:sz w:val="26"/>
          <w:szCs w:val="26"/>
        </w:rPr>
        <w:t>suggest</w:t>
      </w:r>
      <w:r w:rsidR="00E06F7C" w:rsidRPr="009A4CF6">
        <w:rPr>
          <w:sz w:val="26"/>
          <w:szCs w:val="26"/>
        </w:rPr>
        <w:t>s</w:t>
      </w:r>
      <w:r w:rsidRPr="009A4CF6">
        <w:rPr>
          <w:sz w:val="26"/>
          <w:szCs w:val="26"/>
        </w:rPr>
        <w:t xml:space="preserve"> that</w:t>
      </w:r>
      <w:r w:rsidR="00A2212A" w:rsidRPr="009A4CF6">
        <w:rPr>
          <w:sz w:val="26"/>
          <w:szCs w:val="26"/>
        </w:rPr>
        <w:t xml:space="preserve"> the Commission consider rules that do not mandate that NGSs take assignment of pipeline capacit</w:t>
      </w:r>
      <w:r w:rsidRPr="009A4CF6">
        <w:rPr>
          <w:sz w:val="26"/>
          <w:szCs w:val="26"/>
        </w:rPr>
        <w:t xml:space="preserve">y if an NGS can demonstrate that it </w:t>
      </w:r>
      <w:r w:rsidR="00A2212A" w:rsidRPr="009A4CF6">
        <w:rPr>
          <w:sz w:val="26"/>
          <w:szCs w:val="26"/>
        </w:rPr>
        <w:t xml:space="preserve">has sufficient capacity under contract.  </w:t>
      </w:r>
      <w:r w:rsidRPr="009A4CF6">
        <w:rPr>
          <w:iCs/>
          <w:sz w:val="26"/>
          <w:szCs w:val="26"/>
        </w:rPr>
        <w:t>Washington Gas Comments at 4.</w:t>
      </w:r>
    </w:p>
    <w:p w:rsidR="00777431" w:rsidRPr="009A4CF6" w:rsidRDefault="00777431" w:rsidP="00A2212A">
      <w:pPr>
        <w:spacing w:line="360" w:lineRule="auto"/>
        <w:rPr>
          <w:sz w:val="26"/>
          <w:szCs w:val="26"/>
        </w:rPr>
      </w:pPr>
    </w:p>
    <w:p w:rsidR="00A2212A" w:rsidRPr="009A4CF6" w:rsidRDefault="00A2212A" w:rsidP="00A2212A">
      <w:pPr>
        <w:spacing w:line="360" w:lineRule="auto"/>
        <w:rPr>
          <w:sz w:val="26"/>
          <w:szCs w:val="26"/>
        </w:rPr>
      </w:pPr>
      <w:r w:rsidRPr="009A4CF6">
        <w:rPr>
          <w:sz w:val="26"/>
          <w:szCs w:val="26"/>
        </w:rPr>
        <w:t>            In light of available local gas resources i</w:t>
      </w:r>
      <w:r w:rsidR="00777431" w:rsidRPr="009A4CF6">
        <w:rPr>
          <w:sz w:val="26"/>
          <w:szCs w:val="26"/>
        </w:rPr>
        <w:t>n the Marcellus Shale, RESA proposes</w:t>
      </w:r>
      <w:r w:rsidRPr="009A4CF6">
        <w:rPr>
          <w:sz w:val="26"/>
          <w:szCs w:val="26"/>
        </w:rPr>
        <w:t xml:space="preserve"> </w:t>
      </w:r>
      <w:r w:rsidR="00777431" w:rsidRPr="009A4CF6">
        <w:rPr>
          <w:sz w:val="26"/>
          <w:szCs w:val="26"/>
        </w:rPr>
        <w:t xml:space="preserve">that </w:t>
      </w:r>
      <w:r w:rsidRPr="009A4CF6">
        <w:rPr>
          <w:sz w:val="26"/>
          <w:szCs w:val="26"/>
        </w:rPr>
        <w:t xml:space="preserve">the Commission conduct a fresh, in-depth examination of NGDC capacity/storage issues.  </w:t>
      </w:r>
      <w:r w:rsidR="00777431" w:rsidRPr="009A4CF6">
        <w:rPr>
          <w:sz w:val="26"/>
          <w:szCs w:val="26"/>
        </w:rPr>
        <w:t xml:space="preserve">RESA </w:t>
      </w:r>
      <w:r w:rsidRPr="009A4CF6">
        <w:rPr>
          <w:sz w:val="26"/>
          <w:szCs w:val="26"/>
        </w:rPr>
        <w:t>Comments at 18 (asking OCMO to examine New York State’s collaborative efforts).</w:t>
      </w:r>
    </w:p>
    <w:p w:rsidR="00777431" w:rsidRPr="009A4CF6" w:rsidRDefault="00777431" w:rsidP="00A2212A">
      <w:pPr>
        <w:spacing w:line="360" w:lineRule="auto"/>
        <w:rPr>
          <w:sz w:val="26"/>
          <w:szCs w:val="26"/>
        </w:rPr>
      </w:pPr>
    </w:p>
    <w:p w:rsidR="00A2212A" w:rsidRPr="009A4CF6" w:rsidRDefault="00BE72B2" w:rsidP="00A2212A">
      <w:pPr>
        <w:spacing w:line="360" w:lineRule="auto"/>
        <w:rPr>
          <w:b/>
          <w:sz w:val="26"/>
          <w:szCs w:val="26"/>
        </w:rPr>
      </w:pPr>
      <w:r w:rsidRPr="009A4CF6">
        <w:rPr>
          <w:b/>
          <w:sz w:val="26"/>
          <w:szCs w:val="26"/>
        </w:rPr>
        <w:tab/>
        <w:t>2.</w:t>
      </w:r>
      <w:r w:rsidRPr="009A4CF6">
        <w:rPr>
          <w:b/>
          <w:sz w:val="26"/>
          <w:szCs w:val="26"/>
        </w:rPr>
        <w:tab/>
      </w:r>
      <w:r w:rsidR="00A2212A" w:rsidRPr="009A4CF6">
        <w:rPr>
          <w:b/>
          <w:sz w:val="26"/>
          <w:szCs w:val="26"/>
        </w:rPr>
        <w:t>Disposition</w:t>
      </w:r>
    </w:p>
    <w:p w:rsidR="00C51AE3" w:rsidRPr="009A4CF6" w:rsidRDefault="00C51AE3" w:rsidP="00A2212A">
      <w:pPr>
        <w:spacing w:line="360" w:lineRule="auto"/>
        <w:rPr>
          <w:b/>
          <w:sz w:val="26"/>
          <w:szCs w:val="26"/>
          <w:u w:val="single"/>
        </w:rPr>
      </w:pPr>
    </w:p>
    <w:p w:rsidR="00A2212A" w:rsidRPr="009A4CF6" w:rsidRDefault="00101D14" w:rsidP="00A2212A">
      <w:pPr>
        <w:spacing w:line="360" w:lineRule="auto"/>
        <w:rPr>
          <w:sz w:val="26"/>
          <w:szCs w:val="26"/>
        </w:rPr>
      </w:pPr>
      <w:r w:rsidRPr="009A4CF6">
        <w:rPr>
          <w:sz w:val="26"/>
          <w:szCs w:val="26"/>
        </w:rPr>
        <w:tab/>
        <w:t xml:space="preserve">Our review of the comments summarized above indicates that this Investigation should include an examination of the current practices involving capacity assignment and management of storage assets.  We believe that all stakeholders in the market, including NGDCs, NGSs, interstate and intrastate pipelines, as well as local producers, have a role in system reliability.  Accordingly, a review of current practices is warranted.  </w:t>
      </w:r>
      <w:r w:rsidR="00A2212A" w:rsidRPr="009A4CF6">
        <w:rPr>
          <w:sz w:val="26"/>
          <w:szCs w:val="26"/>
        </w:rPr>
        <w:t>However, as emphasized in the</w:t>
      </w:r>
      <w:r w:rsidR="00BE70A8" w:rsidRPr="009A4CF6">
        <w:rPr>
          <w:sz w:val="26"/>
          <w:szCs w:val="26"/>
        </w:rPr>
        <w:t xml:space="preserve"> </w:t>
      </w:r>
      <w:r w:rsidR="00BE70A8" w:rsidRPr="009A4CF6">
        <w:rPr>
          <w:i/>
          <w:sz w:val="26"/>
          <w:szCs w:val="26"/>
        </w:rPr>
        <w:t>T</w:t>
      </w:r>
      <w:r w:rsidR="00A2212A" w:rsidRPr="009A4CF6">
        <w:rPr>
          <w:i/>
          <w:sz w:val="26"/>
          <w:szCs w:val="26"/>
        </w:rPr>
        <w:t xml:space="preserve">entative </w:t>
      </w:r>
      <w:r w:rsidR="00BE70A8" w:rsidRPr="009A4CF6">
        <w:rPr>
          <w:i/>
          <w:sz w:val="26"/>
          <w:szCs w:val="26"/>
        </w:rPr>
        <w:t>O</w:t>
      </w:r>
      <w:r w:rsidR="00A2212A" w:rsidRPr="009A4CF6">
        <w:rPr>
          <w:i/>
          <w:sz w:val="26"/>
          <w:szCs w:val="26"/>
        </w:rPr>
        <w:t>rder</w:t>
      </w:r>
      <w:r w:rsidR="00A2212A" w:rsidRPr="009A4CF6">
        <w:rPr>
          <w:sz w:val="26"/>
          <w:szCs w:val="26"/>
        </w:rPr>
        <w:t xml:space="preserve">, </w:t>
      </w:r>
      <w:r w:rsidRPr="009A4CF6">
        <w:rPr>
          <w:sz w:val="26"/>
          <w:szCs w:val="26"/>
        </w:rPr>
        <w:t>the examination of</w:t>
      </w:r>
      <w:r w:rsidR="00BE70A8" w:rsidRPr="009A4CF6">
        <w:rPr>
          <w:sz w:val="26"/>
          <w:szCs w:val="26"/>
        </w:rPr>
        <w:t xml:space="preserve"> the</w:t>
      </w:r>
      <w:r w:rsidR="00A2212A" w:rsidRPr="009A4CF6">
        <w:rPr>
          <w:sz w:val="26"/>
          <w:szCs w:val="26"/>
        </w:rPr>
        <w:t xml:space="preserve"> use of capacity and storage </w:t>
      </w:r>
      <w:r w:rsidR="00A2212A" w:rsidRPr="009A4CF6">
        <w:rPr>
          <w:sz w:val="26"/>
          <w:szCs w:val="26"/>
        </w:rPr>
        <w:lastRenderedPageBreak/>
        <w:t xml:space="preserve">assets </w:t>
      </w:r>
      <w:r w:rsidRPr="009A4CF6">
        <w:rPr>
          <w:sz w:val="26"/>
          <w:szCs w:val="26"/>
        </w:rPr>
        <w:t>must include the issues of reliability, costs and the relevance of NGSs’ expertise and asset management opportunities.</w:t>
      </w:r>
      <w:r w:rsidR="00A2212A" w:rsidRPr="009A4CF6">
        <w:rPr>
          <w:sz w:val="26"/>
          <w:szCs w:val="26"/>
        </w:rPr>
        <w:t xml:space="preserve">  </w:t>
      </w:r>
    </w:p>
    <w:p w:rsidR="00BE72B2" w:rsidRPr="009A4CF6" w:rsidRDefault="00BE72B2" w:rsidP="00A2212A">
      <w:pPr>
        <w:spacing w:line="360" w:lineRule="auto"/>
        <w:rPr>
          <w:sz w:val="26"/>
          <w:szCs w:val="26"/>
        </w:rPr>
      </w:pPr>
    </w:p>
    <w:p w:rsidR="00A2212A" w:rsidRPr="009A4CF6" w:rsidRDefault="00A2212A" w:rsidP="00A2212A">
      <w:pPr>
        <w:spacing w:line="360" w:lineRule="auto"/>
        <w:rPr>
          <w:sz w:val="26"/>
          <w:szCs w:val="26"/>
        </w:rPr>
      </w:pPr>
      <w:r w:rsidRPr="009A4CF6">
        <w:rPr>
          <w:sz w:val="26"/>
          <w:szCs w:val="26"/>
        </w:rPr>
        <w:tab/>
        <w:t>Therefore, w</w:t>
      </w:r>
      <w:r w:rsidR="006F505F" w:rsidRPr="009A4CF6">
        <w:rPr>
          <w:sz w:val="26"/>
          <w:szCs w:val="26"/>
        </w:rPr>
        <w:t>e agree with RESA</w:t>
      </w:r>
      <w:r w:rsidRPr="009A4CF6">
        <w:rPr>
          <w:sz w:val="26"/>
          <w:szCs w:val="26"/>
        </w:rPr>
        <w:t xml:space="preserve"> that the Commission should conduct a fresh, in</w:t>
      </w:r>
      <w:r w:rsidRPr="009A4CF6">
        <w:rPr>
          <w:sz w:val="26"/>
          <w:szCs w:val="26"/>
        </w:rPr>
        <w:softHyphen/>
        <w:t xml:space="preserve">-depth examination of capacity/storage use and/or mandatory assignment of such assets.  To accomplish this task, we will establish a working group of industry stakeholders to study potential changes or standardization of </w:t>
      </w:r>
      <w:r w:rsidR="00E06F7C" w:rsidRPr="009A4CF6">
        <w:rPr>
          <w:sz w:val="26"/>
          <w:szCs w:val="26"/>
        </w:rPr>
        <w:t xml:space="preserve">the use of </w:t>
      </w:r>
      <w:r w:rsidRPr="009A4CF6">
        <w:rPr>
          <w:sz w:val="26"/>
          <w:szCs w:val="26"/>
        </w:rPr>
        <w:t>capacity</w:t>
      </w:r>
      <w:r w:rsidR="00E06F7C" w:rsidRPr="009A4CF6">
        <w:rPr>
          <w:sz w:val="26"/>
          <w:szCs w:val="26"/>
        </w:rPr>
        <w:t xml:space="preserve"> and </w:t>
      </w:r>
      <w:r w:rsidRPr="009A4CF6">
        <w:rPr>
          <w:sz w:val="26"/>
          <w:szCs w:val="26"/>
        </w:rPr>
        <w:t>storage assets that could improve competition.  At a minimum, the working group should explore ending mandatory “acceptance” of NGDC-owned capacity</w:t>
      </w:r>
      <w:r w:rsidR="00065B44" w:rsidRPr="009A4CF6">
        <w:rPr>
          <w:sz w:val="26"/>
          <w:szCs w:val="26"/>
        </w:rPr>
        <w:t>,</w:t>
      </w:r>
      <w:r w:rsidRPr="009A4CF6">
        <w:rPr>
          <w:sz w:val="26"/>
          <w:szCs w:val="26"/>
        </w:rPr>
        <w:t xml:space="preserve"> as mentioned by PSU Engineers and Washington Gas; fair or “equitable division of capacity between utilities and competitive suppliers</w:t>
      </w:r>
      <w:r w:rsidR="00065B44" w:rsidRPr="009A4CF6">
        <w:rPr>
          <w:sz w:val="26"/>
          <w:szCs w:val="26"/>
        </w:rPr>
        <w:t>,</w:t>
      </w:r>
      <w:r w:rsidRPr="009A4CF6">
        <w:rPr>
          <w:sz w:val="26"/>
          <w:szCs w:val="26"/>
        </w:rPr>
        <w:t xml:space="preserve">” as highlighted by </w:t>
      </w:r>
      <w:r w:rsidR="00065B44" w:rsidRPr="009A4CF6">
        <w:rPr>
          <w:sz w:val="26"/>
          <w:szCs w:val="26"/>
        </w:rPr>
        <w:t xml:space="preserve">the </w:t>
      </w:r>
      <w:r w:rsidRPr="009A4CF6">
        <w:rPr>
          <w:sz w:val="26"/>
          <w:szCs w:val="26"/>
        </w:rPr>
        <w:t>National Marketers and PA Marketers; and revenue sharing between default and shopping customers when capacity is released by NGDCs.  This list is not intended to be exhaustive</w:t>
      </w:r>
      <w:r w:rsidR="00065B44" w:rsidRPr="009A4CF6">
        <w:rPr>
          <w:sz w:val="26"/>
          <w:szCs w:val="26"/>
        </w:rPr>
        <w:t>,</w:t>
      </w:r>
      <w:r w:rsidRPr="009A4CF6">
        <w:rPr>
          <w:sz w:val="26"/>
          <w:szCs w:val="26"/>
        </w:rPr>
        <w:t xml:space="preserve"> but we concur with these </w:t>
      </w:r>
      <w:r w:rsidR="00065B44" w:rsidRPr="009A4CF6">
        <w:rPr>
          <w:sz w:val="26"/>
          <w:szCs w:val="26"/>
        </w:rPr>
        <w:t>parties</w:t>
      </w:r>
      <w:r w:rsidRPr="009A4CF6">
        <w:rPr>
          <w:sz w:val="26"/>
          <w:szCs w:val="26"/>
        </w:rPr>
        <w:t xml:space="preserve"> that these are areas for further investigation in Pennsylvania</w:t>
      </w:r>
      <w:r w:rsidR="00065B44" w:rsidRPr="009A4CF6">
        <w:rPr>
          <w:sz w:val="26"/>
          <w:szCs w:val="26"/>
        </w:rPr>
        <w:t>,</w:t>
      </w:r>
      <w:r w:rsidRPr="009A4CF6">
        <w:rPr>
          <w:sz w:val="26"/>
          <w:szCs w:val="26"/>
        </w:rPr>
        <w:t xml:space="preserve"> noting that 66 P</w:t>
      </w:r>
      <w:r w:rsidR="005D783B">
        <w:rPr>
          <w:sz w:val="26"/>
          <w:szCs w:val="26"/>
        </w:rPr>
        <w:t>a</w:t>
      </w:r>
      <w:r w:rsidRPr="009A4CF6">
        <w:rPr>
          <w:sz w:val="26"/>
          <w:szCs w:val="26"/>
        </w:rPr>
        <w:t xml:space="preserve">. C.S. § 2204(d) specifically sets rules on capacity release, assignment of transfer, etc.  Once potential issues and/or remedies are identified, the working group should also establish a cost/benefit analysis that weighs the potential change/standardization against its impact on reliability, cost, competition, etc.  In this fashion, we heed calls for </w:t>
      </w:r>
      <w:r w:rsidR="00065B44" w:rsidRPr="009A4CF6">
        <w:rPr>
          <w:sz w:val="26"/>
          <w:szCs w:val="26"/>
        </w:rPr>
        <w:t>the exploration of</w:t>
      </w:r>
      <w:r w:rsidRPr="009A4CF6">
        <w:rPr>
          <w:sz w:val="26"/>
          <w:szCs w:val="26"/>
        </w:rPr>
        <w:t xml:space="preserve"> cost recovery within this working group (cost recovery is later discussed as an individual issue within this order).</w:t>
      </w:r>
    </w:p>
    <w:p w:rsidR="00BE72B2" w:rsidRPr="009A4CF6" w:rsidRDefault="00BE72B2" w:rsidP="00A2212A">
      <w:pPr>
        <w:spacing w:line="360" w:lineRule="auto"/>
        <w:rPr>
          <w:sz w:val="26"/>
          <w:szCs w:val="26"/>
        </w:rPr>
      </w:pPr>
    </w:p>
    <w:p w:rsidR="00760AB6" w:rsidRPr="009A4CF6" w:rsidRDefault="00A2212A" w:rsidP="00760AB6">
      <w:pPr>
        <w:spacing w:line="360" w:lineRule="auto"/>
        <w:rPr>
          <w:sz w:val="26"/>
          <w:szCs w:val="26"/>
        </w:rPr>
      </w:pPr>
      <w:r w:rsidRPr="009A4CF6">
        <w:rPr>
          <w:sz w:val="26"/>
          <w:szCs w:val="26"/>
        </w:rPr>
        <w:tab/>
        <w:t>We recognize that</w:t>
      </w:r>
      <w:r w:rsidR="00065B44" w:rsidRPr="009A4CF6">
        <w:rPr>
          <w:sz w:val="26"/>
          <w:szCs w:val="26"/>
        </w:rPr>
        <w:t>,</w:t>
      </w:r>
      <w:r w:rsidRPr="009A4CF6">
        <w:rPr>
          <w:sz w:val="26"/>
          <w:szCs w:val="26"/>
        </w:rPr>
        <w:t xml:space="preserve"> by investigating the use of capacity/storage assets</w:t>
      </w:r>
      <w:r w:rsidR="00065B44" w:rsidRPr="009A4CF6">
        <w:rPr>
          <w:sz w:val="26"/>
          <w:szCs w:val="26"/>
        </w:rPr>
        <w:t>,</w:t>
      </w:r>
      <w:r w:rsidRPr="009A4CF6">
        <w:rPr>
          <w:sz w:val="26"/>
          <w:szCs w:val="26"/>
        </w:rPr>
        <w:t xml:space="preserve"> other related i</w:t>
      </w:r>
      <w:r w:rsidR="00065B44" w:rsidRPr="009A4CF6">
        <w:rPr>
          <w:sz w:val="26"/>
          <w:szCs w:val="26"/>
        </w:rPr>
        <w:t xml:space="preserve">ssues </w:t>
      </w:r>
      <w:r w:rsidR="000C287D" w:rsidRPr="009A4CF6">
        <w:rPr>
          <w:sz w:val="26"/>
          <w:szCs w:val="26"/>
        </w:rPr>
        <w:t>will</w:t>
      </w:r>
      <w:r w:rsidR="00065B44" w:rsidRPr="009A4CF6">
        <w:rPr>
          <w:sz w:val="26"/>
          <w:szCs w:val="26"/>
        </w:rPr>
        <w:t xml:space="preserve"> need to be explored.  </w:t>
      </w:r>
      <w:r w:rsidRPr="009A4CF6">
        <w:rPr>
          <w:sz w:val="26"/>
          <w:szCs w:val="26"/>
        </w:rPr>
        <w:t>Therefore, the working group established to address capacity will als</w:t>
      </w:r>
      <w:r w:rsidR="00065B44" w:rsidRPr="009A4CF6">
        <w:rPr>
          <w:sz w:val="26"/>
          <w:szCs w:val="26"/>
        </w:rPr>
        <w:t>o be tasked with investigating s</w:t>
      </w:r>
      <w:r w:rsidRPr="009A4CF6">
        <w:rPr>
          <w:sz w:val="26"/>
          <w:szCs w:val="26"/>
        </w:rPr>
        <w:t xml:space="preserve">ystem </w:t>
      </w:r>
      <w:r w:rsidR="00065B44" w:rsidRPr="009A4CF6">
        <w:rPr>
          <w:sz w:val="26"/>
          <w:szCs w:val="26"/>
        </w:rPr>
        <w:t>b</w:t>
      </w:r>
      <w:r w:rsidRPr="009A4CF6">
        <w:rPr>
          <w:sz w:val="26"/>
          <w:szCs w:val="26"/>
        </w:rPr>
        <w:t xml:space="preserve">alance, </w:t>
      </w:r>
      <w:r w:rsidR="00065B44" w:rsidRPr="009A4CF6">
        <w:rPr>
          <w:sz w:val="26"/>
          <w:szCs w:val="26"/>
        </w:rPr>
        <w:t>tolerances and p</w:t>
      </w:r>
      <w:r w:rsidRPr="009A4CF6">
        <w:rPr>
          <w:sz w:val="26"/>
          <w:szCs w:val="26"/>
        </w:rPr>
        <w:t xml:space="preserve">enalties and </w:t>
      </w:r>
      <w:r w:rsidR="00065B44" w:rsidRPr="009A4CF6">
        <w:rPr>
          <w:sz w:val="26"/>
          <w:szCs w:val="26"/>
        </w:rPr>
        <w:t>creditworthiness r</w:t>
      </w:r>
      <w:r w:rsidRPr="009A4CF6">
        <w:rPr>
          <w:sz w:val="26"/>
          <w:szCs w:val="26"/>
        </w:rPr>
        <w:t xml:space="preserve">equirements.  </w:t>
      </w:r>
      <w:r w:rsidR="000C287D" w:rsidRPr="009A4CF6">
        <w:rPr>
          <w:sz w:val="26"/>
          <w:szCs w:val="26"/>
        </w:rPr>
        <w:t xml:space="preserve">Among the tasks for this working group will be </w:t>
      </w:r>
      <w:r w:rsidRPr="009A4CF6">
        <w:rPr>
          <w:sz w:val="26"/>
          <w:szCs w:val="26"/>
        </w:rPr>
        <w:t>the possibility of</w:t>
      </w:r>
      <w:r w:rsidR="000C287D" w:rsidRPr="009A4CF6">
        <w:rPr>
          <w:sz w:val="26"/>
          <w:szCs w:val="26"/>
        </w:rPr>
        <w:t xml:space="preserve"> standardizing supplier tariffs.  </w:t>
      </w:r>
      <w:r w:rsidRPr="009A4CF6">
        <w:rPr>
          <w:sz w:val="26"/>
          <w:szCs w:val="26"/>
        </w:rPr>
        <w:t>These</w:t>
      </w:r>
      <w:r w:rsidR="000C287D" w:rsidRPr="009A4CF6">
        <w:rPr>
          <w:sz w:val="26"/>
          <w:szCs w:val="26"/>
        </w:rPr>
        <w:t xml:space="preserve"> additional</w:t>
      </w:r>
      <w:r w:rsidRPr="009A4CF6">
        <w:rPr>
          <w:sz w:val="26"/>
          <w:szCs w:val="26"/>
        </w:rPr>
        <w:t xml:space="preserve"> issues (i.e., system balancing, tolerances and penalties; creditworthiness requirements; and standardization of supplier tariffs) will be discussed in greater detail later within this order.</w:t>
      </w:r>
      <w:r w:rsidR="00760AB6" w:rsidRPr="009A4CF6">
        <w:rPr>
          <w:sz w:val="26"/>
          <w:szCs w:val="26"/>
        </w:rPr>
        <w:t xml:space="preserve">  Noting that the working group will be examining several interrelated issues, we expect OCMO to submit </w:t>
      </w:r>
      <w:r w:rsidR="00760AB6" w:rsidRPr="009A4CF6">
        <w:rPr>
          <w:sz w:val="26"/>
          <w:szCs w:val="26"/>
        </w:rPr>
        <w:lastRenderedPageBreak/>
        <w:t xml:space="preserve">a report outlining its recommendations </w:t>
      </w:r>
      <w:r w:rsidR="005D783B">
        <w:rPr>
          <w:sz w:val="26"/>
          <w:szCs w:val="26"/>
        </w:rPr>
        <w:t xml:space="preserve">at the latest </w:t>
      </w:r>
      <w:r w:rsidR="00760AB6" w:rsidRPr="009A4CF6">
        <w:rPr>
          <w:sz w:val="26"/>
          <w:szCs w:val="26"/>
        </w:rPr>
        <w:t xml:space="preserve">by the fourth quarter of 2015.  </w:t>
      </w:r>
    </w:p>
    <w:p w:rsidR="00D15353" w:rsidRPr="009A4CF6" w:rsidRDefault="00D15353" w:rsidP="00CB1FC9">
      <w:pPr>
        <w:spacing w:line="360" w:lineRule="auto"/>
        <w:rPr>
          <w:sz w:val="26"/>
          <w:szCs w:val="26"/>
        </w:rPr>
      </w:pPr>
    </w:p>
    <w:p w:rsidR="00D15353" w:rsidRPr="009A4CF6" w:rsidRDefault="00013D1F" w:rsidP="00CB1FC9">
      <w:pPr>
        <w:pStyle w:val="Heading2"/>
        <w:spacing w:before="0" w:line="360" w:lineRule="auto"/>
        <w:rPr>
          <w:rFonts w:ascii="Times New Roman" w:hAnsi="Times New Roman" w:cs="Times New Roman"/>
          <w:color w:val="auto"/>
        </w:rPr>
      </w:pPr>
      <w:bookmarkStart w:id="6" w:name="_Toc405359497"/>
      <w:r w:rsidRPr="009A4CF6">
        <w:rPr>
          <w:rFonts w:ascii="Times New Roman" w:hAnsi="Times New Roman" w:cs="Times New Roman"/>
          <w:color w:val="auto"/>
        </w:rPr>
        <w:t>E.</w:t>
      </w:r>
      <w:r w:rsidRPr="009A4CF6">
        <w:rPr>
          <w:rFonts w:ascii="Times New Roman" w:hAnsi="Times New Roman" w:cs="Times New Roman"/>
          <w:color w:val="auto"/>
        </w:rPr>
        <w:tab/>
      </w:r>
      <w:r w:rsidR="00D15353" w:rsidRPr="009A4CF6">
        <w:rPr>
          <w:rFonts w:ascii="Times New Roman" w:hAnsi="Times New Roman" w:cs="Times New Roman"/>
          <w:color w:val="auto"/>
        </w:rPr>
        <w:t>Non</w:t>
      </w:r>
      <w:r w:rsidR="008B7D77" w:rsidRPr="009A4CF6">
        <w:rPr>
          <w:rFonts w:ascii="Times New Roman" w:hAnsi="Times New Roman" w:cs="Times New Roman"/>
          <w:color w:val="auto"/>
        </w:rPr>
        <w:t>d</w:t>
      </w:r>
      <w:r w:rsidR="00D15353" w:rsidRPr="009A4CF6">
        <w:rPr>
          <w:rFonts w:ascii="Times New Roman" w:hAnsi="Times New Roman" w:cs="Times New Roman"/>
          <w:color w:val="auto"/>
        </w:rPr>
        <w:t>iscrimination in Access Points on NGDC Systems</w:t>
      </w:r>
      <w:bookmarkEnd w:id="6"/>
    </w:p>
    <w:p w:rsidR="00013D1F" w:rsidRPr="009A4CF6" w:rsidRDefault="00013D1F" w:rsidP="00CB1FC9">
      <w:pPr>
        <w:spacing w:line="360" w:lineRule="auto"/>
        <w:rPr>
          <w:sz w:val="26"/>
          <w:szCs w:val="26"/>
        </w:rPr>
      </w:pPr>
    </w:p>
    <w:p w:rsidR="00013D1F" w:rsidRPr="009A4CF6" w:rsidRDefault="000A2459" w:rsidP="00CB1FC9">
      <w:pPr>
        <w:spacing w:line="360" w:lineRule="auto"/>
        <w:rPr>
          <w:b/>
          <w:sz w:val="26"/>
          <w:szCs w:val="26"/>
        </w:rPr>
      </w:pPr>
      <w:r w:rsidRPr="009A4CF6">
        <w:rPr>
          <w:sz w:val="26"/>
          <w:szCs w:val="26"/>
        </w:rPr>
        <w:tab/>
        <w:t xml:space="preserve">In our </w:t>
      </w:r>
      <w:r w:rsidRPr="009A4CF6">
        <w:rPr>
          <w:i/>
          <w:sz w:val="26"/>
          <w:szCs w:val="26"/>
        </w:rPr>
        <w:t>Tentative Order</w:t>
      </w:r>
      <w:r w:rsidRPr="009A4CF6">
        <w:rPr>
          <w:sz w:val="26"/>
          <w:szCs w:val="26"/>
        </w:rPr>
        <w:t xml:space="preserve">, we recognized the potential issue of discriminatory access to interconnections – the possibility of NGDCs providing favorable access to local production for the purposes of obtaining default supply while preventing such access to NGSs.  We noted that this is a relevant concern as local Marcellus Shale production becomes more available and plays an ever-increasing role in the Commonwealth’s natural gas supply.  Additionally, we recognized that, if such discrimination allegations are true, it could indicate practices contrary to statutory prohibitions against discrimination found in the standards of conduct in the Natural Gas Choice and Competition Act, 66 Pa. C.S. § 2209(c), and Commission regulations at 52 Pa. Code § 62.142.  Therefore, we proposed that OCMO examine the issue of allocating system access points and recommend whether changes are needed to permit non-discriminatory access to locally-produced natural gas. </w:t>
      </w:r>
    </w:p>
    <w:p w:rsidR="00013D1F" w:rsidRPr="009A4CF6" w:rsidRDefault="00013D1F" w:rsidP="00431EE2">
      <w:pPr>
        <w:spacing w:line="360" w:lineRule="auto"/>
        <w:rPr>
          <w:sz w:val="26"/>
          <w:szCs w:val="26"/>
        </w:rPr>
      </w:pPr>
    </w:p>
    <w:p w:rsidR="00A2212A" w:rsidRPr="009A4CF6" w:rsidRDefault="00013D1F" w:rsidP="00A2212A">
      <w:pPr>
        <w:spacing w:line="360" w:lineRule="auto"/>
        <w:rPr>
          <w:b/>
          <w:sz w:val="26"/>
          <w:szCs w:val="26"/>
        </w:rPr>
      </w:pPr>
      <w:r w:rsidRPr="009A4CF6">
        <w:rPr>
          <w:sz w:val="26"/>
          <w:szCs w:val="26"/>
        </w:rPr>
        <w:tab/>
      </w:r>
      <w:r w:rsidRPr="009A4CF6">
        <w:rPr>
          <w:b/>
          <w:sz w:val="26"/>
          <w:szCs w:val="26"/>
        </w:rPr>
        <w:t>1.</w:t>
      </w:r>
      <w:r w:rsidRPr="009A4CF6">
        <w:rPr>
          <w:b/>
          <w:sz w:val="26"/>
          <w:szCs w:val="26"/>
        </w:rPr>
        <w:tab/>
      </w:r>
      <w:r w:rsidR="00A2212A" w:rsidRPr="009A4CF6">
        <w:rPr>
          <w:b/>
          <w:sz w:val="26"/>
          <w:szCs w:val="26"/>
        </w:rPr>
        <w:t>Comments</w:t>
      </w:r>
    </w:p>
    <w:p w:rsidR="00013D1F" w:rsidRPr="009A4CF6" w:rsidRDefault="00013D1F" w:rsidP="00A2212A">
      <w:pPr>
        <w:spacing w:line="360" w:lineRule="auto"/>
        <w:rPr>
          <w:sz w:val="26"/>
          <w:szCs w:val="26"/>
        </w:rPr>
      </w:pPr>
    </w:p>
    <w:p w:rsidR="00046A11" w:rsidRPr="009A4CF6" w:rsidRDefault="00A2212A" w:rsidP="00A2212A">
      <w:pPr>
        <w:spacing w:line="360" w:lineRule="auto"/>
        <w:rPr>
          <w:sz w:val="26"/>
          <w:szCs w:val="26"/>
        </w:rPr>
      </w:pPr>
      <w:r w:rsidRPr="009A4CF6">
        <w:rPr>
          <w:sz w:val="26"/>
          <w:szCs w:val="26"/>
        </w:rPr>
        <w:tab/>
        <w:t xml:space="preserve">Although PECO does not own any natural gas production or have any available in its service territory, </w:t>
      </w:r>
      <w:r w:rsidR="00046A11" w:rsidRPr="009A4CF6">
        <w:rPr>
          <w:sz w:val="26"/>
          <w:szCs w:val="26"/>
        </w:rPr>
        <w:t>it</w:t>
      </w:r>
      <w:r w:rsidRPr="009A4CF6">
        <w:rPr>
          <w:sz w:val="26"/>
          <w:szCs w:val="26"/>
        </w:rPr>
        <w:t xml:space="preserve"> supports an investigation into whether NGDCs obtain local default supply to the disadvantage of NGSs.  </w:t>
      </w:r>
      <w:r w:rsidR="00046A11" w:rsidRPr="009A4CF6">
        <w:rPr>
          <w:sz w:val="26"/>
          <w:szCs w:val="26"/>
        </w:rPr>
        <w:t xml:space="preserve">PECO </w:t>
      </w:r>
      <w:r w:rsidRPr="009A4CF6">
        <w:rPr>
          <w:sz w:val="26"/>
          <w:szCs w:val="26"/>
        </w:rPr>
        <w:t xml:space="preserve">Comments at 6.  </w:t>
      </w:r>
    </w:p>
    <w:p w:rsidR="00046A11" w:rsidRPr="009A4CF6" w:rsidRDefault="00046A11" w:rsidP="00A2212A">
      <w:pPr>
        <w:spacing w:line="360" w:lineRule="auto"/>
        <w:rPr>
          <w:sz w:val="26"/>
          <w:szCs w:val="26"/>
        </w:rPr>
      </w:pPr>
    </w:p>
    <w:p w:rsidR="00A2212A" w:rsidRPr="009A4CF6" w:rsidRDefault="00046A11" w:rsidP="00A2212A">
      <w:pPr>
        <w:spacing w:line="360" w:lineRule="auto"/>
        <w:rPr>
          <w:sz w:val="26"/>
          <w:szCs w:val="26"/>
        </w:rPr>
      </w:pPr>
      <w:r w:rsidRPr="009A4CF6">
        <w:rPr>
          <w:sz w:val="26"/>
          <w:szCs w:val="26"/>
        </w:rPr>
        <w:tab/>
      </w:r>
      <w:r w:rsidR="00A2212A" w:rsidRPr="009A4CF6">
        <w:rPr>
          <w:sz w:val="26"/>
          <w:szCs w:val="26"/>
        </w:rPr>
        <w:t>RESA, in citing statutory prohibitions on discrimination at 66 Pa. C.S. § 2209(c) and the Commission’s regulations at 52 Pa. Code § 62.142, also supports an investigation into this issue.  RESA asks OCMO to consider requiring NGDCs to submit information regarding historical and current use</w:t>
      </w:r>
      <w:r w:rsidRPr="009A4CF6">
        <w:rPr>
          <w:sz w:val="26"/>
          <w:szCs w:val="26"/>
        </w:rPr>
        <w:t>, as well as the</w:t>
      </w:r>
      <w:r w:rsidR="00A2212A" w:rsidRPr="009A4CF6">
        <w:rPr>
          <w:sz w:val="26"/>
          <w:szCs w:val="26"/>
        </w:rPr>
        <w:t xml:space="preserve"> availability</w:t>
      </w:r>
      <w:r w:rsidRPr="009A4CF6">
        <w:rPr>
          <w:sz w:val="26"/>
          <w:szCs w:val="26"/>
        </w:rPr>
        <w:t>,</w:t>
      </w:r>
      <w:r w:rsidR="00A2212A" w:rsidRPr="009A4CF6">
        <w:rPr>
          <w:sz w:val="26"/>
          <w:szCs w:val="26"/>
        </w:rPr>
        <w:t xml:space="preserve"> of NGS access points on NGDC systems.  </w:t>
      </w:r>
      <w:r w:rsidRPr="009A4CF6">
        <w:rPr>
          <w:sz w:val="26"/>
          <w:szCs w:val="26"/>
        </w:rPr>
        <w:t xml:space="preserve">RESA Comments at 18.  </w:t>
      </w:r>
      <w:r w:rsidR="00A2212A" w:rsidRPr="009A4CF6">
        <w:rPr>
          <w:sz w:val="26"/>
          <w:szCs w:val="26"/>
        </w:rPr>
        <w:t xml:space="preserve">RESA recommends that OCMO focus its examination on access issues by NGSs to new gathering and midstream systems affiliated </w:t>
      </w:r>
      <w:r w:rsidR="00A2212A" w:rsidRPr="009A4CF6">
        <w:rPr>
          <w:sz w:val="26"/>
          <w:szCs w:val="26"/>
        </w:rPr>
        <w:lastRenderedPageBreak/>
        <w:t xml:space="preserve">with the NGDC that interconnect with the NGDC’s distribution system.  </w:t>
      </w:r>
      <w:r w:rsidR="00A2212A" w:rsidRPr="009A4CF6">
        <w:rPr>
          <w:i/>
          <w:sz w:val="26"/>
          <w:szCs w:val="26"/>
        </w:rPr>
        <w:t>Id.</w:t>
      </w:r>
      <w:r w:rsidR="00A2212A" w:rsidRPr="009A4CF6">
        <w:rPr>
          <w:sz w:val="26"/>
          <w:szCs w:val="26"/>
        </w:rPr>
        <w:t xml:space="preserve"> at 19 (noting that these new, developing systems</w:t>
      </w:r>
      <w:r w:rsidRPr="009A4CF6">
        <w:rPr>
          <w:sz w:val="26"/>
          <w:szCs w:val="26"/>
        </w:rPr>
        <w:t>,</w:t>
      </w:r>
      <w:r w:rsidR="00A2212A" w:rsidRPr="009A4CF6">
        <w:rPr>
          <w:sz w:val="26"/>
          <w:szCs w:val="26"/>
        </w:rPr>
        <w:t xml:space="preserve"> that are neither </w:t>
      </w:r>
      <w:r w:rsidR="006B6AE4" w:rsidRPr="009A4CF6">
        <w:rPr>
          <w:sz w:val="26"/>
          <w:szCs w:val="26"/>
        </w:rPr>
        <w:t xml:space="preserve">Federal Energy Regulatory Commission </w:t>
      </w:r>
      <w:r w:rsidR="00A2212A" w:rsidRPr="009A4CF6">
        <w:rPr>
          <w:sz w:val="26"/>
          <w:szCs w:val="26"/>
        </w:rPr>
        <w:t>nor Commission-regulated</w:t>
      </w:r>
      <w:r w:rsidRPr="009A4CF6">
        <w:rPr>
          <w:sz w:val="26"/>
          <w:szCs w:val="26"/>
        </w:rPr>
        <w:t>,</w:t>
      </w:r>
      <w:r w:rsidR="00A2212A" w:rsidRPr="009A4CF6">
        <w:rPr>
          <w:sz w:val="26"/>
          <w:szCs w:val="26"/>
        </w:rPr>
        <w:t xml:space="preserve"> do not have nondiscrimination access obligations).</w:t>
      </w:r>
    </w:p>
    <w:p w:rsidR="00A2212A" w:rsidRPr="009A4CF6" w:rsidRDefault="00A2212A" w:rsidP="00A2212A">
      <w:pPr>
        <w:spacing w:line="360" w:lineRule="auto"/>
        <w:rPr>
          <w:sz w:val="26"/>
          <w:szCs w:val="26"/>
        </w:rPr>
      </w:pPr>
    </w:p>
    <w:p w:rsidR="00A2212A" w:rsidRPr="009A4CF6" w:rsidRDefault="00046A11" w:rsidP="00A2212A">
      <w:pPr>
        <w:spacing w:line="360" w:lineRule="auto"/>
        <w:rPr>
          <w:sz w:val="26"/>
          <w:szCs w:val="26"/>
        </w:rPr>
      </w:pPr>
      <w:r w:rsidRPr="009A4CF6">
        <w:rPr>
          <w:sz w:val="26"/>
          <w:szCs w:val="26"/>
        </w:rPr>
        <w:tab/>
      </w:r>
      <w:r w:rsidRPr="009A4CF6">
        <w:rPr>
          <w:b/>
          <w:sz w:val="26"/>
          <w:szCs w:val="26"/>
        </w:rPr>
        <w:t>2.</w:t>
      </w:r>
      <w:r w:rsidRPr="009A4CF6">
        <w:rPr>
          <w:b/>
          <w:sz w:val="26"/>
          <w:szCs w:val="26"/>
        </w:rPr>
        <w:tab/>
      </w:r>
      <w:r w:rsidR="00A2212A" w:rsidRPr="009A4CF6">
        <w:rPr>
          <w:b/>
          <w:sz w:val="26"/>
          <w:szCs w:val="26"/>
        </w:rPr>
        <w:t>Disposition</w:t>
      </w:r>
    </w:p>
    <w:p w:rsidR="00046A11" w:rsidRPr="009A4CF6" w:rsidRDefault="00046A11" w:rsidP="00A2212A">
      <w:pPr>
        <w:spacing w:line="360" w:lineRule="auto"/>
        <w:rPr>
          <w:sz w:val="26"/>
          <w:szCs w:val="26"/>
        </w:rPr>
      </w:pPr>
    </w:p>
    <w:p w:rsidR="00A2212A" w:rsidRPr="009A4CF6" w:rsidRDefault="00A2212A" w:rsidP="00A2212A">
      <w:pPr>
        <w:spacing w:line="360" w:lineRule="auto"/>
        <w:rPr>
          <w:sz w:val="26"/>
          <w:szCs w:val="26"/>
        </w:rPr>
      </w:pPr>
      <w:r w:rsidRPr="009A4CF6">
        <w:rPr>
          <w:sz w:val="26"/>
          <w:szCs w:val="26"/>
        </w:rPr>
        <w:tab/>
        <w:t xml:space="preserve">As stated in </w:t>
      </w:r>
      <w:r w:rsidR="00987B97" w:rsidRPr="009A4CF6">
        <w:rPr>
          <w:sz w:val="26"/>
          <w:szCs w:val="26"/>
        </w:rPr>
        <w:t xml:space="preserve">our </w:t>
      </w:r>
      <w:r w:rsidRPr="009A4CF6">
        <w:rPr>
          <w:i/>
          <w:sz w:val="26"/>
          <w:szCs w:val="26"/>
        </w:rPr>
        <w:t xml:space="preserve">Tentative </w:t>
      </w:r>
      <w:r w:rsidR="00C51AE3" w:rsidRPr="009A4CF6">
        <w:rPr>
          <w:i/>
          <w:sz w:val="26"/>
          <w:szCs w:val="26"/>
        </w:rPr>
        <w:t>Order</w:t>
      </w:r>
      <w:r w:rsidR="006B6AE4" w:rsidRPr="009A4CF6">
        <w:rPr>
          <w:sz w:val="26"/>
          <w:szCs w:val="26"/>
        </w:rPr>
        <w:t xml:space="preserve"> </w:t>
      </w:r>
      <w:r w:rsidR="00C51AE3" w:rsidRPr="009A4CF6">
        <w:rPr>
          <w:sz w:val="26"/>
          <w:szCs w:val="26"/>
        </w:rPr>
        <w:t xml:space="preserve">and as supported by the </w:t>
      </w:r>
      <w:r w:rsidRPr="009A4CF6">
        <w:rPr>
          <w:sz w:val="26"/>
          <w:szCs w:val="26"/>
        </w:rPr>
        <w:t>comments filed by PECO and RESA, we will direct OCMO to examine the issue of allocating system access points and provide a recommendation as to whether changes are needed to permit non-discriminatory access to locally-produced natural gas.  As RESA commented, there are statutory prohibitions relating to discrimination so the Commission does have the authority to review and remedy such situations.  However, to fully investigate this area, we must review two separate but interrelated areas: pre-existing access points and potential future access points.  First, there are historical access points that are already established.  In these cases, we note that local production companies or affiliates may have historical access points to an NGDC tha</w:t>
      </w:r>
      <w:r w:rsidR="00C8223A" w:rsidRPr="009A4CF6">
        <w:rPr>
          <w:sz w:val="26"/>
          <w:szCs w:val="26"/>
        </w:rPr>
        <w:t>t only serve to provide locally-</w:t>
      </w:r>
      <w:r w:rsidRPr="009A4CF6">
        <w:rPr>
          <w:sz w:val="26"/>
          <w:szCs w:val="26"/>
        </w:rPr>
        <w:t>produced natural gas to the distribution system.  In this fashion, the local producer is not connected to any other systems/pipe</w:t>
      </w:r>
      <w:r w:rsidR="002F2665" w:rsidRPr="009A4CF6">
        <w:rPr>
          <w:sz w:val="26"/>
          <w:szCs w:val="26"/>
        </w:rPr>
        <w:t>line</w:t>
      </w:r>
      <w:r w:rsidRPr="009A4CF6">
        <w:rPr>
          <w:sz w:val="26"/>
          <w:szCs w:val="26"/>
        </w:rPr>
        <w:t>s that an NGS could utilize to bring supply into NGDC’s system.  However, the fact that a local producer has an access point that an NGS cannot use is not, in and of itself, a case of discrimination.  As OCMO moves forward in this area, issues such as feasibility of use, alternative access points (present and future) enabling NGS access</w:t>
      </w:r>
      <w:r w:rsidR="00C8223A" w:rsidRPr="009A4CF6">
        <w:rPr>
          <w:sz w:val="26"/>
          <w:szCs w:val="26"/>
        </w:rPr>
        <w:t xml:space="preserve"> to local gas and the like should </w:t>
      </w:r>
      <w:r w:rsidRPr="009A4CF6">
        <w:rPr>
          <w:sz w:val="26"/>
          <w:szCs w:val="26"/>
        </w:rPr>
        <w:t>be examined.</w:t>
      </w:r>
    </w:p>
    <w:p w:rsidR="00A2212A" w:rsidRPr="009A4CF6" w:rsidRDefault="00A2212A" w:rsidP="00A2212A">
      <w:pPr>
        <w:spacing w:line="360" w:lineRule="auto"/>
        <w:rPr>
          <w:sz w:val="26"/>
          <w:szCs w:val="26"/>
        </w:rPr>
      </w:pPr>
    </w:p>
    <w:p w:rsidR="00A2212A" w:rsidRPr="009A4CF6" w:rsidRDefault="00A2212A" w:rsidP="00A2212A">
      <w:pPr>
        <w:spacing w:line="360" w:lineRule="auto"/>
        <w:rPr>
          <w:sz w:val="26"/>
          <w:szCs w:val="26"/>
        </w:rPr>
      </w:pPr>
      <w:r w:rsidRPr="009A4CF6">
        <w:rPr>
          <w:sz w:val="26"/>
          <w:szCs w:val="26"/>
        </w:rPr>
        <w:tab/>
        <w:t>The second area of inquiry will involve an examination of procedures for future n</w:t>
      </w:r>
      <w:r w:rsidR="000139B1" w:rsidRPr="009A4CF6">
        <w:rPr>
          <w:sz w:val="26"/>
          <w:szCs w:val="26"/>
        </w:rPr>
        <w:t>ew or innovative access points.</w:t>
      </w:r>
      <w:r w:rsidRPr="009A4CF6">
        <w:rPr>
          <w:sz w:val="26"/>
          <w:szCs w:val="26"/>
        </w:rPr>
        <w:t xml:space="preserve">  Such access points are not yet established or used for supplying competitive natural gas.  In particular, as Marcellus Shale production increases, the Commonwealth’s natural gas resources must be transported to the market resulting in additional entry points into interstate pipelines, distribution systems, etc.  </w:t>
      </w:r>
      <w:r w:rsidR="000D549A" w:rsidRPr="009A4CF6">
        <w:rPr>
          <w:sz w:val="26"/>
          <w:szCs w:val="26"/>
        </w:rPr>
        <w:t xml:space="preserve">Therefore, the </w:t>
      </w:r>
      <w:r w:rsidR="000D549A" w:rsidRPr="009A4CF6">
        <w:rPr>
          <w:sz w:val="26"/>
          <w:szCs w:val="26"/>
        </w:rPr>
        <w:lastRenderedPageBreak/>
        <w:t>Commission</w:t>
      </w:r>
      <w:r w:rsidRPr="009A4CF6">
        <w:rPr>
          <w:sz w:val="26"/>
          <w:szCs w:val="26"/>
        </w:rPr>
        <w:t xml:space="preserve"> want</w:t>
      </w:r>
      <w:r w:rsidR="000D549A" w:rsidRPr="009A4CF6">
        <w:rPr>
          <w:sz w:val="26"/>
          <w:szCs w:val="26"/>
        </w:rPr>
        <w:t>s</w:t>
      </w:r>
      <w:r w:rsidRPr="009A4CF6">
        <w:rPr>
          <w:sz w:val="26"/>
          <w:szCs w:val="26"/>
        </w:rPr>
        <w:t xml:space="preserve"> to ensure that discrimination </w:t>
      </w:r>
      <w:r w:rsidR="000D549A" w:rsidRPr="009A4CF6">
        <w:rPr>
          <w:sz w:val="26"/>
          <w:szCs w:val="26"/>
        </w:rPr>
        <w:t xml:space="preserve">does </w:t>
      </w:r>
      <w:r w:rsidRPr="009A4CF6">
        <w:rPr>
          <w:sz w:val="26"/>
          <w:szCs w:val="26"/>
        </w:rPr>
        <w:t xml:space="preserve">not occur while establishing access points </w:t>
      </w:r>
      <w:r w:rsidR="000D549A" w:rsidRPr="009A4CF6">
        <w:rPr>
          <w:sz w:val="26"/>
          <w:szCs w:val="26"/>
        </w:rPr>
        <w:t xml:space="preserve">on </w:t>
      </w:r>
      <w:r w:rsidRPr="009A4CF6">
        <w:rPr>
          <w:sz w:val="26"/>
          <w:szCs w:val="26"/>
        </w:rPr>
        <w:t xml:space="preserve">NGDCs’ jurisdictional systems.  </w:t>
      </w:r>
    </w:p>
    <w:p w:rsidR="000139B1" w:rsidRPr="009A4CF6" w:rsidRDefault="000139B1" w:rsidP="00A2212A">
      <w:pPr>
        <w:spacing w:line="360" w:lineRule="auto"/>
        <w:rPr>
          <w:sz w:val="26"/>
          <w:szCs w:val="26"/>
        </w:rPr>
      </w:pPr>
    </w:p>
    <w:p w:rsidR="00A2212A" w:rsidRPr="009A4CF6" w:rsidRDefault="00A2212A" w:rsidP="00A2212A">
      <w:pPr>
        <w:spacing w:line="360" w:lineRule="auto"/>
        <w:rPr>
          <w:sz w:val="26"/>
          <w:szCs w:val="26"/>
        </w:rPr>
      </w:pPr>
      <w:r w:rsidRPr="009A4CF6">
        <w:rPr>
          <w:sz w:val="26"/>
          <w:szCs w:val="26"/>
        </w:rPr>
        <w:tab/>
        <w:t>Based on the foregoing, we will direct OCMO to initiate an inquiry into the allocation of existing access points</w:t>
      </w:r>
      <w:r w:rsidR="006B6AE4" w:rsidRPr="009A4CF6">
        <w:rPr>
          <w:sz w:val="26"/>
          <w:szCs w:val="26"/>
        </w:rPr>
        <w:t>,</w:t>
      </w:r>
      <w:r w:rsidRPr="009A4CF6">
        <w:rPr>
          <w:sz w:val="26"/>
          <w:szCs w:val="26"/>
        </w:rPr>
        <w:t xml:space="preserve"> as well as procedures to be used to provide access to future access points.  Initially, OCMO’s task will require</w:t>
      </w:r>
      <w:r w:rsidR="004714BC">
        <w:rPr>
          <w:sz w:val="26"/>
          <w:szCs w:val="26"/>
        </w:rPr>
        <w:t xml:space="preserve"> gathering</w:t>
      </w:r>
      <w:r w:rsidRPr="009A4CF6">
        <w:rPr>
          <w:sz w:val="26"/>
          <w:szCs w:val="26"/>
        </w:rPr>
        <w:t xml:space="preserve"> information from the NGDCs.  Subsequent to that effort, OCMO will </w:t>
      </w:r>
      <w:r w:rsidR="000D549A" w:rsidRPr="009A4CF6">
        <w:rPr>
          <w:sz w:val="26"/>
          <w:szCs w:val="26"/>
        </w:rPr>
        <w:t xml:space="preserve">investigate potential discrimination regarding access points through the working group tasked with </w:t>
      </w:r>
      <w:r w:rsidR="00D40DD4" w:rsidRPr="009A4CF6">
        <w:rPr>
          <w:sz w:val="26"/>
          <w:szCs w:val="26"/>
        </w:rPr>
        <w:t>exploring capacity and system balance issues.</w:t>
      </w:r>
      <w:r w:rsidR="00101076">
        <w:rPr>
          <w:rStyle w:val="FootnoteReference"/>
          <w:sz w:val="26"/>
          <w:szCs w:val="26"/>
        </w:rPr>
        <w:footnoteReference w:id="5"/>
      </w:r>
      <w:r w:rsidR="00D40DD4" w:rsidRPr="009A4CF6">
        <w:rPr>
          <w:sz w:val="26"/>
          <w:szCs w:val="26"/>
        </w:rPr>
        <w:t xml:space="preserve">  As previously discussed, this working group will provide recommendations to the Commission</w:t>
      </w:r>
      <w:r w:rsidR="004714BC">
        <w:rPr>
          <w:sz w:val="26"/>
          <w:szCs w:val="26"/>
        </w:rPr>
        <w:t xml:space="preserve"> no later than</w:t>
      </w:r>
      <w:r w:rsidR="00D40DD4" w:rsidRPr="009A4CF6">
        <w:rPr>
          <w:sz w:val="26"/>
          <w:szCs w:val="26"/>
        </w:rPr>
        <w:t xml:space="preserve"> the fourth quarter of 2015.</w:t>
      </w:r>
    </w:p>
    <w:p w:rsidR="00CA4762" w:rsidRPr="009A4CF6" w:rsidRDefault="00CA4762" w:rsidP="00CB1FC9">
      <w:pPr>
        <w:spacing w:line="360" w:lineRule="auto"/>
        <w:rPr>
          <w:sz w:val="26"/>
          <w:szCs w:val="26"/>
        </w:rPr>
      </w:pPr>
    </w:p>
    <w:p w:rsidR="00CA4762" w:rsidRPr="009A4CF6" w:rsidRDefault="000139B1" w:rsidP="00CB1FC9">
      <w:pPr>
        <w:pStyle w:val="Heading2"/>
        <w:spacing w:before="0" w:line="360" w:lineRule="auto"/>
        <w:rPr>
          <w:rFonts w:ascii="Times New Roman" w:hAnsi="Times New Roman" w:cs="Times New Roman"/>
          <w:color w:val="auto"/>
        </w:rPr>
      </w:pPr>
      <w:bookmarkStart w:id="7" w:name="_Toc405359498"/>
      <w:r w:rsidRPr="009A4CF6">
        <w:rPr>
          <w:rFonts w:ascii="Times New Roman" w:hAnsi="Times New Roman" w:cs="Times New Roman"/>
          <w:color w:val="auto"/>
        </w:rPr>
        <w:t>F.</w:t>
      </w:r>
      <w:r w:rsidRPr="009A4CF6">
        <w:rPr>
          <w:rFonts w:ascii="Times New Roman" w:hAnsi="Times New Roman" w:cs="Times New Roman"/>
          <w:color w:val="auto"/>
        </w:rPr>
        <w:tab/>
      </w:r>
      <w:r w:rsidR="00CA4762" w:rsidRPr="009A4CF6">
        <w:rPr>
          <w:rFonts w:ascii="Times New Roman" w:hAnsi="Times New Roman" w:cs="Times New Roman"/>
          <w:color w:val="auto"/>
        </w:rPr>
        <w:t>System Balance, Tolerances and Penalties</w:t>
      </w:r>
      <w:bookmarkEnd w:id="7"/>
    </w:p>
    <w:p w:rsidR="000139B1" w:rsidRPr="009A4CF6" w:rsidRDefault="000139B1" w:rsidP="00CB1FC9">
      <w:pPr>
        <w:spacing w:line="360" w:lineRule="auto"/>
        <w:rPr>
          <w:sz w:val="26"/>
          <w:szCs w:val="26"/>
        </w:rPr>
      </w:pPr>
    </w:p>
    <w:p w:rsidR="001A5C38" w:rsidRPr="009A4CF6" w:rsidRDefault="000139B1" w:rsidP="00CB1FC9">
      <w:pPr>
        <w:spacing w:line="360" w:lineRule="auto"/>
        <w:rPr>
          <w:sz w:val="26"/>
          <w:szCs w:val="26"/>
        </w:rPr>
      </w:pPr>
      <w:r w:rsidRPr="009A4CF6">
        <w:rPr>
          <w:sz w:val="26"/>
          <w:szCs w:val="26"/>
        </w:rPr>
        <w:tab/>
      </w:r>
      <w:r w:rsidR="001A5C38" w:rsidRPr="009A4CF6">
        <w:rPr>
          <w:sz w:val="26"/>
          <w:szCs w:val="26"/>
        </w:rPr>
        <w:t xml:space="preserve">The type of relationship established between the NGDC and the NGS dictates the frequency of daily information exchanges regarding nominations and deliveries.  In a partnership type of relationship, where an NGS is expected to manage supply, capacity and storage assets, information exchange is expected on a more routine and regular basis.  In situations where the NGDC acts as the controlling party and is expected to manage the array of assets, there is less interaction.  Under the latter arrangement, the NGS is expected to deliver daily requirements for its customers each day and the NGDC manages the movement of gas among the assets on its system to make the delivery to the customer while maintaining system reliability.  Under a partner relationship, the NGDC provides the NGS with outlooks for its customer pool, based upon weather forecasts and consumption activity.  The NGS then uses this information to prepare its daily nominations.  </w:t>
      </w:r>
    </w:p>
    <w:p w:rsidR="001A5C38" w:rsidRPr="009A4CF6" w:rsidRDefault="001A5C38" w:rsidP="001A5C38">
      <w:pPr>
        <w:spacing w:line="360" w:lineRule="auto"/>
        <w:rPr>
          <w:sz w:val="26"/>
          <w:szCs w:val="26"/>
        </w:rPr>
      </w:pPr>
    </w:p>
    <w:p w:rsidR="001A5C38" w:rsidRPr="009A4CF6" w:rsidRDefault="001A5C38" w:rsidP="001A5C38">
      <w:pPr>
        <w:spacing w:line="360" w:lineRule="auto"/>
        <w:rPr>
          <w:sz w:val="26"/>
          <w:szCs w:val="26"/>
        </w:rPr>
      </w:pPr>
      <w:r w:rsidRPr="009A4CF6">
        <w:rPr>
          <w:sz w:val="26"/>
          <w:szCs w:val="26"/>
        </w:rPr>
        <w:tab/>
        <w:t>Generally, the NGS is expected to deliver an amount of supply</w:t>
      </w:r>
      <w:r w:rsidR="00101076">
        <w:rPr>
          <w:sz w:val="26"/>
          <w:szCs w:val="26"/>
        </w:rPr>
        <w:t xml:space="preserve"> to the NGDC </w:t>
      </w:r>
      <w:r w:rsidR="00101076">
        <w:rPr>
          <w:sz w:val="26"/>
          <w:szCs w:val="26"/>
        </w:rPr>
        <w:lastRenderedPageBreak/>
        <w:t>citygate</w:t>
      </w:r>
      <w:r w:rsidRPr="009A4CF6">
        <w:rPr>
          <w:sz w:val="26"/>
          <w:szCs w:val="26"/>
        </w:rPr>
        <w:t xml:space="preserve"> within tolerance bands as specified in the supplier tariff or operations manual.  Tolerance bands establish the permissible variations between nominations and actual deliveries over a period of time.  To accommodate these variations, NGDCs must retain </w:t>
      </w:r>
      <w:r w:rsidR="00101076">
        <w:rPr>
          <w:sz w:val="26"/>
          <w:szCs w:val="26"/>
        </w:rPr>
        <w:t xml:space="preserve">some </w:t>
      </w:r>
      <w:r w:rsidRPr="009A4CF6">
        <w:rPr>
          <w:sz w:val="26"/>
          <w:szCs w:val="26"/>
        </w:rPr>
        <w:t>gas supply assets, such as storage, without using the gas supply assets of other users of the system.  Penalties are assessed by NGDCs to discourage the failure to meet tolerance bands.  In many cases sizable penalties are assessed for under-delivery while excess gas delivered is subject to a cash-out transaction, where the cash-out payment to the NGS is usually below the market price of the excess gas delivered.</w:t>
      </w:r>
    </w:p>
    <w:p w:rsidR="001A5C38" w:rsidRPr="009A4CF6" w:rsidRDefault="001A5C38" w:rsidP="001A5C38">
      <w:pPr>
        <w:spacing w:line="360" w:lineRule="auto"/>
        <w:rPr>
          <w:sz w:val="26"/>
          <w:szCs w:val="26"/>
        </w:rPr>
      </w:pPr>
    </w:p>
    <w:p w:rsidR="001A5C38" w:rsidRPr="009A4CF6" w:rsidRDefault="001A5C38" w:rsidP="001A5C38">
      <w:pPr>
        <w:spacing w:line="360" w:lineRule="auto"/>
        <w:rPr>
          <w:sz w:val="26"/>
          <w:szCs w:val="26"/>
        </w:rPr>
      </w:pPr>
      <w:r w:rsidRPr="009A4CF6">
        <w:rPr>
          <w:sz w:val="26"/>
          <w:szCs w:val="26"/>
        </w:rPr>
        <w:tab/>
        <w:t>NGSs have traditionally expressed a preference for wider tolerance bands and the opportunity to roll balances over time rather than cash out or incur penalties over short periods of time.</w:t>
      </w:r>
      <w:r w:rsidR="00101076">
        <w:rPr>
          <w:sz w:val="26"/>
          <w:szCs w:val="26"/>
        </w:rPr>
        <w:t xml:space="preserve">  Alternatively, some NGSs have requested that a more equitable share of storage be assigned to NGSs in order to enable them to more effectively manage daily load swings.</w:t>
      </w:r>
      <w:r w:rsidRPr="009A4CF6">
        <w:rPr>
          <w:sz w:val="26"/>
          <w:szCs w:val="26"/>
        </w:rPr>
        <w:t xml:space="preserve">  It is also a source of frustration for NGSs when system balancing requirements can vary considerably between the NGDCs.  </w:t>
      </w:r>
    </w:p>
    <w:p w:rsidR="001A5C38" w:rsidRPr="009A4CF6" w:rsidRDefault="001A5C38" w:rsidP="001A5C38">
      <w:pPr>
        <w:spacing w:line="360" w:lineRule="auto"/>
        <w:rPr>
          <w:sz w:val="26"/>
          <w:szCs w:val="26"/>
        </w:rPr>
      </w:pPr>
    </w:p>
    <w:p w:rsidR="000139B1" w:rsidRPr="009A4CF6" w:rsidRDefault="001A5C38" w:rsidP="001A5C38">
      <w:pPr>
        <w:spacing w:line="360" w:lineRule="auto"/>
        <w:rPr>
          <w:sz w:val="26"/>
          <w:szCs w:val="26"/>
        </w:rPr>
      </w:pPr>
      <w:r w:rsidRPr="009A4CF6">
        <w:rPr>
          <w:sz w:val="26"/>
          <w:szCs w:val="26"/>
        </w:rPr>
        <w:tab/>
        <w:t xml:space="preserve">In our </w:t>
      </w:r>
      <w:r w:rsidRPr="009A4CF6">
        <w:rPr>
          <w:i/>
          <w:sz w:val="26"/>
          <w:szCs w:val="26"/>
        </w:rPr>
        <w:t>Tentative Order</w:t>
      </w:r>
      <w:r w:rsidRPr="009A4CF6">
        <w:rPr>
          <w:sz w:val="26"/>
          <w:szCs w:val="26"/>
        </w:rPr>
        <w:t xml:space="preserve">, we acknowledged that system balancing is a complex and contentious issue.  The Commission unsuccessfully attempted to address some of these issues via a rulemaking that it withdrew in December 2011.     Upon withdrawing the rulemaking, the Commission declared that the “use by NGDCs of a common set of business practices and standards should increase efficiency in industry operations and may increase the participation of NGSs in the retail natural gas supply market” and that the Commission would explore these issues again.  Consistent with that statement, we proposed that OCMO include, in this Investigation, an examination of system balancing issues, including scheduling, nominations, tolerances, penalties and cash-outs.  We proposed that OCMO’s examination include the issue of whether these provisions may be imposing an unreasonable barrier to entry into the retail market.  OCMO’s recommendation on this issue would also include an analysis of best practices which properly balance the reliability needs of NGS and NGDC customers and the true costs of </w:t>
      </w:r>
      <w:r w:rsidRPr="009A4CF6">
        <w:rPr>
          <w:sz w:val="26"/>
          <w:szCs w:val="26"/>
        </w:rPr>
        <w:lastRenderedPageBreak/>
        <w:t xml:space="preserve">imbalances, as well as an analysis of the extent that standardization of these requirements across all NGDCs is appropriate.  </w:t>
      </w:r>
    </w:p>
    <w:p w:rsidR="000139B1" w:rsidRPr="009A4CF6" w:rsidRDefault="000139B1" w:rsidP="00431EE2">
      <w:pPr>
        <w:spacing w:line="360" w:lineRule="auto"/>
        <w:rPr>
          <w:sz w:val="26"/>
          <w:szCs w:val="26"/>
        </w:rPr>
      </w:pPr>
    </w:p>
    <w:p w:rsidR="00A2212A" w:rsidRPr="009A4CF6" w:rsidRDefault="000139B1" w:rsidP="00A2212A">
      <w:pPr>
        <w:spacing w:line="360" w:lineRule="auto"/>
        <w:rPr>
          <w:b/>
          <w:sz w:val="26"/>
          <w:szCs w:val="26"/>
        </w:rPr>
      </w:pPr>
      <w:r w:rsidRPr="009A4CF6">
        <w:rPr>
          <w:sz w:val="26"/>
          <w:szCs w:val="26"/>
        </w:rPr>
        <w:tab/>
      </w:r>
      <w:r w:rsidRPr="009A4CF6">
        <w:rPr>
          <w:b/>
          <w:sz w:val="26"/>
          <w:szCs w:val="26"/>
        </w:rPr>
        <w:t>1.</w:t>
      </w:r>
      <w:r w:rsidRPr="009A4CF6">
        <w:rPr>
          <w:b/>
          <w:sz w:val="26"/>
          <w:szCs w:val="26"/>
        </w:rPr>
        <w:tab/>
      </w:r>
      <w:r w:rsidR="00A2212A" w:rsidRPr="009A4CF6">
        <w:rPr>
          <w:b/>
          <w:sz w:val="26"/>
          <w:szCs w:val="26"/>
        </w:rPr>
        <w:t>Comments</w:t>
      </w:r>
    </w:p>
    <w:p w:rsidR="000139B1" w:rsidRPr="009A4CF6" w:rsidRDefault="000139B1" w:rsidP="00A2212A">
      <w:pPr>
        <w:spacing w:line="360" w:lineRule="auto"/>
        <w:rPr>
          <w:sz w:val="26"/>
          <w:szCs w:val="26"/>
        </w:rPr>
      </w:pPr>
    </w:p>
    <w:p w:rsidR="00A2212A" w:rsidRPr="009A4CF6" w:rsidRDefault="00A2212A" w:rsidP="00A2212A">
      <w:pPr>
        <w:spacing w:line="360" w:lineRule="auto"/>
        <w:rPr>
          <w:sz w:val="26"/>
          <w:szCs w:val="26"/>
        </w:rPr>
      </w:pPr>
      <w:r w:rsidRPr="009A4CF6">
        <w:rPr>
          <w:sz w:val="26"/>
          <w:szCs w:val="26"/>
        </w:rPr>
        <w:t xml:space="preserve">           </w:t>
      </w:r>
      <w:r w:rsidR="001A5C38" w:rsidRPr="009A4CF6">
        <w:rPr>
          <w:sz w:val="26"/>
          <w:szCs w:val="26"/>
        </w:rPr>
        <w:t>PECO believes</w:t>
      </w:r>
      <w:r w:rsidRPr="009A4CF6">
        <w:rPr>
          <w:sz w:val="26"/>
          <w:szCs w:val="26"/>
        </w:rPr>
        <w:t xml:space="preserve"> that OCMO’s examination of tolerance bands and penalties should focus on maintaining system reliability and integrity.  </w:t>
      </w:r>
      <w:r w:rsidR="001A5C38" w:rsidRPr="009A4CF6">
        <w:rPr>
          <w:sz w:val="26"/>
          <w:szCs w:val="26"/>
        </w:rPr>
        <w:t>PECO suggests</w:t>
      </w:r>
      <w:r w:rsidRPr="009A4CF6">
        <w:rPr>
          <w:sz w:val="26"/>
          <w:szCs w:val="26"/>
        </w:rPr>
        <w:t xml:space="preserve"> that </w:t>
      </w:r>
      <w:r w:rsidR="001A5C38" w:rsidRPr="009A4CF6">
        <w:rPr>
          <w:sz w:val="26"/>
          <w:szCs w:val="26"/>
        </w:rPr>
        <w:t>its</w:t>
      </w:r>
      <w:r w:rsidRPr="009A4CF6">
        <w:rPr>
          <w:sz w:val="26"/>
          <w:szCs w:val="26"/>
        </w:rPr>
        <w:t xml:space="preserve"> Supplier Coordination Tariff, Rule 10.7, could potentially be applied more broadly throughout the Commonwealth.  </w:t>
      </w:r>
      <w:r w:rsidR="001A5C38" w:rsidRPr="009A4CF6">
        <w:rPr>
          <w:iCs/>
          <w:sz w:val="26"/>
          <w:szCs w:val="26"/>
        </w:rPr>
        <w:t>PECO Comments</w:t>
      </w:r>
      <w:r w:rsidRPr="009A4CF6">
        <w:rPr>
          <w:sz w:val="26"/>
          <w:szCs w:val="26"/>
        </w:rPr>
        <w:t xml:space="preserve"> at 6-7.</w:t>
      </w:r>
    </w:p>
    <w:p w:rsidR="001A5C38" w:rsidRPr="009A4CF6" w:rsidRDefault="001A5C38" w:rsidP="00A2212A">
      <w:pPr>
        <w:spacing w:line="360" w:lineRule="auto"/>
        <w:rPr>
          <w:sz w:val="26"/>
          <w:szCs w:val="26"/>
        </w:rPr>
      </w:pPr>
    </w:p>
    <w:p w:rsidR="00A2212A" w:rsidRPr="009A4CF6" w:rsidRDefault="00A2212A" w:rsidP="00A2212A">
      <w:pPr>
        <w:spacing w:line="360" w:lineRule="auto"/>
        <w:rPr>
          <w:sz w:val="26"/>
          <w:szCs w:val="26"/>
        </w:rPr>
      </w:pPr>
      <w:r w:rsidRPr="009A4CF6">
        <w:rPr>
          <w:sz w:val="26"/>
          <w:szCs w:val="26"/>
        </w:rPr>
        <w:t>            In strongly urging the Commission to examine standardization of these balancing issues, RESA recommend</w:t>
      </w:r>
      <w:r w:rsidR="001A5C38" w:rsidRPr="009A4CF6">
        <w:rPr>
          <w:sz w:val="26"/>
          <w:szCs w:val="26"/>
        </w:rPr>
        <w:t xml:space="preserve">s </w:t>
      </w:r>
      <w:r w:rsidRPr="009A4CF6">
        <w:rPr>
          <w:sz w:val="26"/>
          <w:szCs w:val="26"/>
        </w:rPr>
        <w:t>the adoption of best practices and general standards, but acknowledge</w:t>
      </w:r>
      <w:r w:rsidR="001A5C38" w:rsidRPr="009A4CF6">
        <w:rPr>
          <w:sz w:val="26"/>
          <w:szCs w:val="26"/>
        </w:rPr>
        <w:t>s</w:t>
      </w:r>
      <w:r w:rsidRPr="009A4CF6">
        <w:rPr>
          <w:sz w:val="26"/>
          <w:szCs w:val="26"/>
        </w:rPr>
        <w:t xml:space="preserve"> the need for flexibility for narrowly drawn exceptions in more atypical situations.  </w:t>
      </w:r>
      <w:r w:rsidR="001A5C38" w:rsidRPr="009A4CF6">
        <w:rPr>
          <w:sz w:val="26"/>
          <w:szCs w:val="26"/>
        </w:rPr>
        <w:t xml:space="preserve">RESA </w:t>
      </w:r>
      <w:r w:rsidRPr="009A4CF6">
        <w:rPr>
          <w:sz w:val="26"/>
          <w:szCs w:val="26"/>
        </w:rPr>
        <w:t xml:space="preserve">Comments at 19-20.  </w:t>
      </w:r>
    </w:p>
    <w:p w:rsidR="001A5C38" w:rsidRPr="009A4CF6" w:rsidRDefault="001A5C38" w:rsidP="00A2212A">
      <w:pPr>
        <w:spacing w:line="360" w:lineRule="auto"/>
        <w:rPr>
          <w:sz w:val="26"/>
          <w:szCs w:val="26"/>
        </w:rPr>
      </w:pPr>
    </w:p>
    <w:p w:rsidR="00A2212A" w:rsidRPr="009A4CF6" w:rsidRDefault="001A5C38" w:rsidP="00A2212A">
      <w:pPr>
        <w:spacing w:line="360" w:lineRule="auto"/>
        <w:rPr>
          <w:sz w:val="26"/>
          <w:szCs w:val="26"/>
        </w:rPr>
      </w:pPr>
      <w:r w:rsidRPr="009A4CF6">
        <w:rPr>
          <w:b/>
          <w:sz w:val="26"/>
          <w:szCs w:val="26"/>
        </w:rPr>
        <w:tab/>
        <w:t>2.</w:t>
      </w:r>
      <w:r w:rsidRPr="009A4CF6">
        <w:rPr>
          <w:b/>
          <w:sz w:val="26"/>
          <w:szCs w:val="26"/>
        </w:rPr>
        <w:tab/>
      </w:r>
      <w:r w:rsidR="00A2212A" w:rsidRPr="009A4CF6">
        <w:rPr>
          <w:b/>
          <w:sz w:val="26"/>
          <w:szCs w:val="26"/>
        </w:rPr>
        <w:t>Disposition</w:t>
      </w:r>
    </w:p>
    <w:p w:rsidR="001A5C38" w:rsidRPr="009A4CF6" w:rsidRDefault="001A5C38" w:rsidP="00A2212A">
      <w:pPr>
        <w:spacing w:line="360" w:lineRule="auto"/>
        <w:rPr>
          <w:sz w:val="26"/>
          <w:szCs w:val="26"/>
          <w:u w:val="single"/>
        </w:rPr>
      </w:pPr>
    </w:p>
    <w:p w:rsidR="00A2212A" w:rsidRPr="009A4CF6" w:rsidRDefault="00A2212A" w:rsidP="00A2212A">
      <w:pPr>
        <w:spacing w:line="360" w:lineRule="auto"/>
        <w:rPr>
          <w:sz w:val="26"/>
          <w:szCs w:val="26"/>
        </w:rPr>
      </w:pPr>
      <w:r w:rsidRPr="009A4CF6">
        <w:rPr>
          <w:sz w:val="26"/>
          <w:szCs w:val="26"/>
        </w:rPr>
        <w:tab/>
      </w:r>
      <w:r w:rsidR="0088100D" w:rsidRPr="009A4CF6">
        <w:rPr>
          <w:sz w:val="26"/>
          <w:szCs w:val="26"/>
        </w:rPr>
        <w:t>In our discussion of capacity and system storage above, we stated that we will establish a working group to explore various factors related to system balancing, tolerances and penalties.</w:t>
      </w:r>
      <w:r w:rsidRPr="009A4CF6">
        <w:rPr>
          <w:sz w:val="26"/>
          <w:szCs w:val="26"/>
        </w:rPr>
        <w:t xml:space="preserve">  </w:t>
      </w:r>
      <w:r w:rsidR="00101076">
        <w:rPr>
          <w:sz w:val="26"/>
          <w:szCs w:val="26"/>
        </w:rPr>
        <w:t xml:space="preserve">These discussions should also include any applicable recommendations regarding scheduling and nomination provisions, pooling fees and related provisions, as well as imbalance trading provisions and cash-out provisions.  </w:t>
      </w:r>
      <w:r w:rsidRPr="009A4CF6">
        <w:rPr>
          <w:sz w:val="26"/>
          <w:szCs w:val="26"/>
        </w:rPr>
        <w:t xml:space="preserve">This working group will be tasked with examining the interplay </w:t>
      </w:r>
      <w:r w:rsidR="0088100D" w:rsidRPr="009A4CF6">
        <w:rPr>
          <w:sz w:val="26"/>
          <w:szCs w:val="26"/>
        </w:rPr>
        <w:t>among these issues to see if changes can be made to improve the competitive landscape while ensuring system reliability</w:t>
      </w:r>
      <w:r w:rsidRPr="009A4CF6">
        <w:rPr>
          <w:sz w:val="26"/>
          <w:szCs w:val="26"/>
        </w:rPr>
        <w:t xml:space="preserve">.  For instance, would a more tolerant/lower penalty environment necessitate a higher creditworthiness </w:t>
      </w:r>
      <w:r w:rsidR="0088100D" w:rsidRPr="009A4CF6">
        <w:rPr>
          <w:sz w:val="26"/>
          <w:szCs w:val="26"/>
        </w:rPr>
        <w:t xml:space="preserve">requirement </w:t>
      </w:r>
      <w:r w:rsidRPr="009A4CF6">
        <w:rPr>
          <w:sz w:val="26"/>
          <w:szCs w:val="26"/>
        </w:rPr>
        <w:t xml:space="preserve">or does acceptance of mandatory capacity assignment diminish the need for stringent system balancing requirements?  In addition, we agree with RESA and PECO that there </w:t>
      </w:r>
      <w:r w:rsidR="0088100D" w:rsidRPr="009A4CF6">
        <w:rPr>
          <w:sz w:val="26"/>
          <w:szCs w:val="26"/>
        </w:rPr>
        <w:t>is the potential for greater standardization of</w:t>
      </w:r>
      <w:r w:rsidRPr="009A4CF6">
        <w:rPr>
          <w:sz w:val="26"/>
          <w:szCs w:val="26"/>
        </w:rPr>
        <w:t xml:space="preserve"> specific tariff requirements.  Ultimately, the working group should strive to identify best </w:t>
      </w:r>
      <w:r w:rsidRPr="009A4CF6">
        <w:rPr>
          <w:sz w:val="26"/>
          <w:szCs w:val="26"/>
        </w:rPr>
        <w:lastRenderedPageBreak/>
        <w:t xml:space="preserve">practices </w:t>
      </w:r>
      <w:r w:rsidR="0088100D" w:rsidRPr="009A4CF6">
        <w:rPr>
          <w:sz w:val="26"/>
          <w:szCs w:val="26"/>
        </w:rPr>
        <w:t>that could be applied statewide.  In this context, we note RESA’s comment that, to the extent that system differences may impact standardization, exceptions should be narrowly drawn and tailored to the specific difference</w:t>
      </w:r>
      <w:r w:rsidR="004714BC">
        <w:rPr>
          <w:sz w:val="26"/>
          <w:szCs w:val="26"/>
        </w:rPr>
        <w:t>(s)</w:t>
      </w:r>
      <w:r w:rsidR="0088100D" w:rsidRPr="009A4CF6">
        <w:rPr>
          <w:sz w:val="26"/>
          <w:szCs w:val="26"/>
        </w:rPr>
        <w:t xml:space="preserve"> at issue.</w:t>
      </w:r>
      <w:r w:rsidR="00E22A05" w:rsidRPr="009A4CF6">
        <w:rPr>
          <w:sz w:val="26"/>
          <w:szCs w:val="26"/>
        </w:rPr>
        <w:t xml:space="preserve">  As previously discussed, the working group will provide its recommendations to the Commission </w:t>
      </w:r>
      <w:r w:rsidR="004714BC">
        <w:rPr>
          <w:sz w:val="26"/>
          <w:szCs w:val="26"/>
        </w:rPr>
        <w:t>no later than</w:t>
      </w:r>
      <w:r w:rsidR="00E22A05" w:rsidRPr="009A4CF6">
        <w:rPr>
          <w:sz w:val="26"/>
          <w:szCs w:val="26"/>
        </w:rPr>
        <w:t xml:space="preserve"> the fourth quarter of 2015.</w:t>
      </w:r>
    </w:p>
    <w:p w:rsidR="00CD059D" w:rsidRPr="009A4CF6" w:rsidRDefault="00CD059D" w:rsidP="00CB1FC9">
      <w:pPr>
        <w:spacing w:line="360" w:lineRule="auto"/>
        <w:rPr>
          <w:sz w:val="26"/>
          <w:szCs w:val="26"/>
        </w:rPr>
      </w:pPr>
    </w:p>
    <w:p w:rsidR="00CD059D" w:rsidRPr="009A4CF6" w:rsidRDefault="00237335" w:rsidP="00CB1FC9">
      <w:pPr>
        <w:pStyle w:val="Heading2"/>
        <w:spacing w:before="0" w:line="360" w:lineRule="auto"/>
        <w:rPr>
          <w:rFonts w:ascii="Times New Roman" w:hAnsi="Times New Roman" w:cs="Times New Roman"/>
          <w:color w:val="auto"/>
        </w:rPr>
      </w:pPr>
      <w:bookmarkStart w:id="8" w:name="_Toc405359499"/>
      <w:r w:rsidRPr="009A4CF6">
        <w:rPr>
          <w:rFonts w:ascii="Times New Roman" w:hAnsi="Times New Roman" w:cs="Times New Roman"/>
          <w:color w:val="auto"/>
        </w:rPr>
        <w:t>G.</w:t>
      </w:r>
      <w:r w:rsidRPr="009A4CF6">
        <w:rPr>
          <w:rFonts w:ascii="Times New Roman" w:hAnsi="Times New Roman" w:cs="Times New Roman"/>
          <w:color w:val="auto"/>
        </w:rPr>
        <w:tab/>
      </w:r>
      <w:r w:rsidR="00CD059D" w:rsidRPr="009A4CF6">
        <w:rPr>
          <w:rFonts w:ascii="Times New Roman" w:hAnsi="Times New Roman" w:cs="Times New Roman"/>
          <w:color w:val="auto"/>
        </w:rPr>
        <w:t>Creditworthiness Requirements</w:t>
      </w:r>
      <w:bookmarkEnd w:id="8"/>
    </w:p>
    <w:p w:rsidR="00237335" w:rsidRPr="009A4CF6" w:rsidRDefault="00237335" w:rsidP="00CB1FC9">
      <w:pPr>
        <w:spacing w:line="360" w:lineRule="auto"/>
        <w:rPr>
          <w:sz w:val="26"/>
          <w:szCs w:val="26"/>
        </w:rPr>
      </w:pPr>
    </w:p>
    <w:p w:rsidR="00237335" w:rsidRPr="009A4CF6" w:rsidRDefault="00237335" w:rsidP="00CB1FC9">
      <w:pPr>
        <w:spacing w:line="360" w:lineRule="auto"/>
        <w:rPr>
          <w:sz w:val="26"/>
          <w:szCs w:val="26"/>
        </w:rPr>
      </w:pPr>
      <w:r w:rsidRPr="009A4CF6">
        <w:rPr>
          <w:sz w:val="26"/>
          <w:szCs w:val="26"/>
        </w:rPr>
        <w:tab/>
        <w:t xml:space="preserve">In our </w:t>
      </w:r>
      <w:r w:rsidRPr="009A4CF6">
        <w:rPr>
          <w:i/>
          <w:sz w:val="26"/>
          <w:szCs w:val="26"/>
        </w:rPr>
        <w:t>Tentative Order</w:t>
      </w:r>
      <w:r w:rsidRPr="009A4CF6">
        <w:rPr>
          <w:sz w:val="26"/>
          <w:szCs w:val="26"/>
        </w:rPr>
        <w:t xml:space="preserve">, we proposed that OCMO examine the issue of creditworthiness requirements for NGSs operating on NGDCs’ systems.  Our proposal was developed, in part, by the Commonwealth Court’s decision in </w:t>
      </w:r>
      <w:r w:rsidRPr="009A4CF6">
        <w:rPr>
          <w:i/>
          <w:sz w:val="26"/>
          <w:szCs w:val="26"/>
        </w:rPr>
        <w:t>UGI Utilities, Inc. – Gas Division v. Pa. Public Util. Comm’n</w:t>
      </w:r>
      <w:r w:rsidRPr="009A4CF6">
        <w:rPr>
          <w:sz w:val="26"/>
          <w:szCs w:val="26"/>
        </w:rPr>
        <w:t xml:space="preserve">, 878 A.2d 186 (Pa. Cmwlth. 2005), </w:t>
      </w:r>
      <w:r w:rsidR="00DD7913">
        <w:rPr>
          <w:sz w:val="26"/>
          <w:szCs w:val="26"/>
        </w:rPr>
        <w:t xml:space="preserve">which </w:t>
      </w:r>
      <w:r w:rsidRPr="009A4CF6">
        <w:rPr>
          <w:sz w:val="26"/>
          <w:szCs w:val="26"/>
        </w:rPr>
        <w:t>uph</w:t>
      </w:r>
      <w:r w:rsidR="00DD7913">
        <w:rPr>
          <w:sz w:val="26"/>
          <w:szCs w:val="26"/>
        </w:rPr>
        <w:t>e</w:t>
      </w:r>
      <w:r w:rsidRPr="009A4CF6">
        <w:rPr>
          <w:sz w:val="26"/>
          <w:szCs w:val="26"/>
        </w:rPr>
        <w:t>ld the Commission’s decision finding that an NGDC’s creditworthiness requirements were unrelated to the risk involved and acted as a barrier to NGS market entr</w:t>
      </w:r>
      <w:r w:rsidR="00DD7913">
        <w:rPr>
          <w:sz w:val="26"/>
          <w:szCs w:val="26"/>
        </w:rPr>
        <w:t>y</w:t>
      </w:r>
      <w:r w:rsidRPr="009A4CF6">
        <w:rPr>
          <w:sz w:val="26"/>
          <w:szCs w:val="26"/>
        </w:rPr>
        <w:t xml:space="preserve">.  878 A.2d at 192-93.  We also noted our determination in </w:t>
      </w:r>
      <w:r w:rsidRPr="009A4CF6">
        <w:rPr>
          <w:i/>
          <w:sz w:val="26"/>
          <w:szCs w:val="26"/>
        </w:rPr>
        <w:t>Public Utility Commission Bonding/Security Requirements for Electric Generation Suppliers; Acceptable Security Instruments</w:t>
      </w:r>
      <w:r w:rsidRPr="009A4CF6">
        <w:rPr>
          <w:sz w:val="26"/>
          <w:szCs w:val="26"/>
        </w:rPr>
        <w:t xml:space="preserve">, Docket No. M-2013-2393141 (Order entered July 24, 2014), that creditworthiness requirements for electric generation suppliers (EGSs) </w:t>
      </w:r>
      <w:r w:rsidR="005252E6" w:rsidRPr="009A4CF6">
        <w:rPr>
          <w:sz w:val="26"/>
          <w:szCs w:val="26"/>
        </w:rPr>
        <w:t xml:space="preserve">overstated the risks being secured and our </w:t>
      </w:r>
      <w:r w:rsidR="00DD7913">
        <w:rPr>
          <w:sz w:val="26"/>
          <w:szCs w:val="26"/>
        </w:rPr>
        <w:t xml:space="preserve">recent </w:t>
      </w:r>
      <w:r w:rsidR="005252E6" w:rsidRPr="009A4CF6">
        <w:rPr>
          <w:sz w:val="26"/>
          <w:szCs w:val="26"/>
        </w:rPr>
        <w:t>reduction in the requirements.</w:t>
      </w:r>
    </w:p>
    <w:p w:rsidR="00237335" w:rsidRPr="009A4CF6" w:rsidRDefault="00237335" w:rsidP="00431EE2">
      <w:pPr>
        <w:spacing w:line="360" w:lineRule="auto"/>
        <w:rPr>
          <w:sz w:val="26"/>
          <w:szCs w:val="26"/>
        </w:rPr>
      </w:pPr>
    </w:p>
    <w:p w:rsidR="00A2212A" w:rsidRPr="009A4CF6" w:rsidRDefault="00237335" w:rsidP="00A2212A">
      <w:pPr>
        <w:spacing w:line="360" w:lineRule="auto"/>
        <w:rPr>
          <w:sz w:val="26"/>
          <w:szCs w:val="26"/>
        </w:rPr>
      </w:pPr>
      <w:r w:rsidRPr="009A4CF6">
        <w:rPr>
          <w:sz w:val="26"/>
          <w:szCs w:val="26"/>
        </w:rPr>
        <w:tab/>
      </w:r>
      <w:r w:rsidRPr="009A4CF6">
        <w:rPr>
          <w:b/>
          <w:sz w:val="26"/>
          <w:szCs w:val="26"/>
        </w:rPr>
        <w:t>1.</w:t>
      </w:r>
      <w:r w:rsidRPr="009A4CF6">
        <w:rPr>
          <w:b/>
          <w:sz w:val="26"/>
          <w:szCs w:val="26"/>
        </w:rPr>
        <w:tab/>
      </w:r>
      <w:r w:rsidR="00A2212A" w:rsidRPr="009A4CF6">
        <w:rPr>
          <w:b/>
          <w:sz w:val="26"/>
          <w:szCs w:val="26"/>
        </w:rPr>
        <w:t>Comments</w:t>
      </w:r>
    </w:p>
    <w:p w:rsidR="00237335" w:rsidRPr="009A4CF6" w:rsidRDefault="00237335" w:rsidP="00A2212A">
      <w:pPr>
        <w:spacing w:line="360" w:lineRule="auto"/>
        <w:rPr>
          <w:sz w:val="26"/>
          <w:szCs w:val="26"/>
        </w:rPr>
      </w:pPr>
    </w:p>
    <w:p w:rsidR="00A2212A" w:rsidRPr="009A4CF6" w:rsidRDefault="00A2212A" w:rsidP="00A2212A">
      <w:pPr>
        <w:spacing w:line="360" w:lineRule="auto"/>
        <w:rPr>
          <w:sz w:val="26"/>
          <w:szCs w:val="26"/>
        </w:rPr>
      </w:pPr>
      <w:r w:rsidRPr="009A4CF6">
        <w:rPr>
          <w:sz w:val="26"/>
          <w:szCs w:val="26"/>
        </w:rPr>
        <w:t xml:space="preserve">            </w:t>
      </w:r>
      <w:r w:rsidR="00F35BE6" w:rsidRPr="009A4CF6">
        <w:rPr>
          <w:sz w:val="26"/>
          <w:szCs w:val="26"/>
        </w:rPr>
        <w:t>PECO stresses</w:t>
      </w:r>
      <w:r w:rsidRPr="009A4CF6">
        <w:rPr>
          <w:sz w:val="26"/>
          <w:szCs w:val="26"/>
        </w:rPr>
        <w:t xml:space="preserve"> that security amounts must be sufficient in form and amount to address situations of non-delivery, but should not be unreasonably overstated and create a barrier to market participation.  PECO, as an NGDC, believes its own creditworthiness requirements for NGSs are reasonable and do not create barriers to market participation.  </w:t>
      </w:r>
      <w:r w:rsidR="00F35BE6" w:rsidRPr="009A4CF6">
        <w:rPr>
          <w:sz w:val="26"/>
          <w:szCs w:val="26"/>
        </w:rPr>
        <w:t>PECO Comments at 7.</w:t>
      </w:r>
    </w:p>
    <w:p w:rsidR="00F35BE6" w:rsidRPr="009A4CF6" w:rsidRDefault="00F35BE6" w:rsidP="00A2212A">
      <w:pPr>
        <w:spacing w:line="360" w:lineRule="auto"/>
        <w:rPr>
          <w:sz w:val="26"/>
          <w:szCs w:val="26"/>
        </w:rPr>
      </w:pPr>
    </w:p>
    <w:p w:rsidR="00A2212A" w:rsidRPr="009A4CF6" w:rsidRDefault="00A2212A" w:rsidP="00A2212A">
      <w:pPr>
        <w:spacing w:line="360" w:lineRule="auto"/>
        <w:rPr>
          <w:sz w:val="26"/>
          <w:szCs w:val="26"/>
        </w:rPr>
      </w:pPr>
      <w:r w:rsidRPr="009A4CF6">
        <w:rPr>
          <w:sz w:val="26"/>
          <w:szCs w:val="26"/>
        </w:rPr>
        <w:t xml:space="preserve">            In the same vein as the Commission’s efforts regarding security and bonding </w:t>
      </w:r>
      <w:r w:rsidRPr="009A4CF6">
        <w:rPr>
          <w:sz w:val="26"/>
          <w:szCs w:val="26"/>
        </w:rPr>
        <w:lastRenderedPageBreak/>
        <w:t>requirements in the electric industry, RESA recommend</w:t>
      </w:r>
      <w:r w:rsidR="00F35BE6" w:rsidRPr="009A4CF6">
        <w:rPr>
          <w:sz w:val="26"/>
          <w:szCs w:val="26"/>
        </w:rPr>
        <w:t>s</w:t>
      </w:r>
      <w:r w:rsidRPr="009A4CF6">
        <w:rPr>
          <w:sz w:val="26"/>
          <w:szCs w:val="26"/>
        </w:rPr>
        <w:t xml:space="preserve"> that the Commission examine the reasonableness of the security amount and consider allowance of more flexible security instruments, such as parental guarantees.  </w:t>
      </w:r>
      <w:r w:rsidR="00F35BE6" w:rsidRPr="009A4CF6">
        <w:rPr>
          <w:sz w:val="26"/>
          <w:szCs w:val="26"/>
        </w:rPr>
        <w:t xml:space="preserve">RESA </w:t>
      </w:r>
      <w:r w:rsidRPr="009A4CF6">
        <w:rPr>
          <w:sz w:val="26"/>
          <w:szCs w:val="26"/>
        </w:rPr>
        <w:t xml:space="preserve">Comments at 20.  </w:t>
      </w:r>
    </w:p>
    <w:p w:rsidR="00F35BE6" w:rsidRPr="009A4CF6" w:rsidRDefault="00F35BE6" w:rsidP="00A2212A">
      <w:pPr>
        <w:spacing w:line="360" w:lineRule="auto"/>
        <w:rPr>
          <w:sz w:val="26"/>
          <w:szCs w:val="26"/>
        </w:rPr>
      </w:pPr>
    </w:p>
    <w:p w:rsidR="00A2212A" w:rsidRPr="009A4CF6" w:rsidRDefault="00120FB0" w:rsidP="00A2212A">
      <w:pPr>
        <w:spacing w:line="360" w:lineRule="auto"/>
        <w:rPr>
          <w:sz w:val="26"/>
          <w:szCs w:val="26"/>
        </w:rPr>
      </w:pPr>
      <w:r w:rsidRPr="009A4CF6">
        <w:rPr>
          <w:b/>
          <w:sz w:val="26"/>
          <w:szCs w:val="26"/>
        </w:rPr>
        <w:tab/>
        <w:t>2.</w:t>
      </w:r>
      <w:r w:rsidRPr="009A4CF6">
        <w:rPr>
          <w:b/>
          <w:sz w:val="26"/>
          <w:szCs w:val="26"/>
        </w:rPr>
        <w:tab/>
      </w:r>
      <w:r w:rsidR="00A2212A" w:rsidRPr="009A4CF6">
        <w:rPr>
          <w:b/>
          <w:sz w:val="26"/>
          <w:szCs w:val="26"/>
        </w:rPr>
        <w:t>Disposition</w:t>
      </w:r>
    </w:p>
    <w:p w:rsidR="00120FB0" w:rsidRPr="009A4CF6" w:rsidRDefault="00120FB0" w:rsidP="00A2212A">
      <w:pPr>
        <w:spacing w:line="360" w:lineRule="auto"/>
        <w:rPr>
          <w:sz w:val="26"/>
          <w:szCs w:val="26"/>
          <w:u w:val="single"/>
        </w:rPr>
      </w:pPr>
    </w:p>
    <w:p w:rsidR="00A2212A" w:rsidRPr="009A4CF6" w:rsidRDefault="00A2212A" w:rsidP="00A2212A">
      <w:pPr>
        <w:spacing w:line="360" w:lineRule="auto"/>
        <w:ind w:firstLine="720"/>
        <w:rPr>
          <w:sz w:val="26"/>
          <w:szCs w:val="26"/>
        </w:rPr>
      </w:pPr>
      <w:r w:rsidRPr="009A4CF6">
        <w:rPr>
          <w:sz w:val="26"/>
          <w:szCs w:val="26"/>
        </w:rPr>
        <w:t>We rec</w:t>
      </w:r>
      <w:r w:rsidR="003B5F5E" w:rsidRPr="009A4CF6">
        <w:rPr>
          <w:sz w:val="26"/>
          <w:szCs w:val="26"/>
        </w:rPr>
        <w:t>ognize that structural, system</w:t>
      </w:r>
      <w:r w:rsidRPr="009A4CF6">
        <w:rPr>
          <w:sz w:val="26"/>
          <w:szCs w:val="26"/>
        </w:rPr>
        <w:t xml:space="preserve"> and operational differences between the electric and gas industries</w:t>
      </w:r>
      <w:r w:rsidR="003B5F5E" w:rsidRPr="009A4CF6">
        <w:rPr>
          <w:sz w:val="26"/>
          <w:szCs w:val="26"/>
        </w:rPr>
        <w:t xml:space="preserve"> might</w:t>
      </w:r>
      <w:r w:rsidRPr="009A4CF6">
        <w:rPr>
          <w:sz w:val="26"/>
          <w:szCs w:val="26"/>
        </w:rPr>
        <w:t xml:space="preserve"> necessitate different approaches to creditworthiness requirements for competitive suppliers.  For EGSs, the Commission is statutorily directed to establish standards for security instruments, which EGSs file and are approved by the Commission.  See 66 Pa. C.S. § 2809(c); 52 Pa. Code § 5.40.  In contrast, NGSs furnish bonds or securities with an NGDC in a form and amount determined by </w:t>
      </w:r>
      <w:r w:rsidR="00DD7913">
        <w:rPr>
          <w:sz w:val="26"/>
          <w:szCs w:val="26"/>
        </w:rPr>
        <w:t>each</w:t>
      </w:r>
      <w:r w:rsidRPr="009A4CF6">
        <w:rPr>
          <w:sz w:val="26"/>
          <w:szCs w:val="26"/>
        </w:rPr>
        <w:t xml:space="preserve"> NGDC, as set forth in </w:t>
      </w:r>
      <w:r w:rsidR="00DD7913">
        <w:rPr>
          <w:sz w:val="26"/>
          <w:szCs w:val="26"/>
        </w:rPr>
        <w:t xml:space="preserve">each </w:t>
      </w:r>
      <w:r w:rsidRPr="009A4CF6">
        <w:rPr>
          <w:sz w:val="26"/>
          <w:szCs w:val="26"/>
        </w:rPr>
        <w:t xml:space="preserve">NGDC’s restructuring filing.  See 66 Pa. C.S. § 2208(c).  The form and amount of the bond/security may be mutually agreed upon by the NGS and NGDC, or upon failure of mutual agreement, “shall be determined by criteria approved by the Commission.”  </w:t>
      </w:r>
      <w:r w:rsidRPr="009A4CF6">
        <w:rPr>
          <w:i/>
          <w:sz w:val="26"/>
          <w:szCs w:val="26"/>
        </w:rPr>
        <w:t>Id</w:t>
      </w:r>
      <w:r w:rsidRPr="009A4CF6">
        <w:rPr>
          <w:sz w:val="26"/>
          <w:szCs w:val="26"/>
        </w:rPr>
        <w:t xml:space="preserve">.  In this form, the </w:t>
      </w:r>
      <w:r w:rsidR="00120FB0" w:rsidRPr="009A4CF6">
        <w:rPr>
          <w:sz w:val="26"/>
          <w:szCs w:val="26"/>
        </w:rPr>
        <w:t xml:space="preserve">Natural </w:t>
      </w:r>
      <w:r w:rsidRPr="009A4CF6">
        <w:rPr>
          <w:sz w:val="26"/>
          <w:szCs w:val="26"/>
        </w:rPr>
        <w:t>Gas</w:t>
      </w:r>
      <w:r w:rsidR="00120FB0" w:rsidRPr="009A4CF6">
        <w:rPr>
          <w:sz w:val="26"/>
          <w:szCs w:val="26"/>
        </w:rPr>
        <w:t xml:space="preserve"> Choice and</w:t>
      </w:r>
      <w:r w:rsidRPr="009A4CF6">
        <w:rPr>
          <w:sz w:val="26"/>
          <w:szCs w:val="26"/>
        </w:rPr>
        <w:t xml:space="preserve"> Competition Act provides avenues for recourse in the event a party believes a creditworthiness standard is onerous.  </w:t>
      </w:r>
      <w:r w:rsidR="00DD7913">
        <w:rPr>
          <w:sz w:val="26"/>
          <w:szCs w:val="26"/>
        </w:rPr>
        <w:t>Regarding these standards</w:t>
      </w:r>
      <w:r w:rsidR="00C51AE3" w:rsidRPr="009A4CF6">
        <w:rPr>
          <w:sz w:val="26"/>
          <w:szCs w:val="26"/>
        </w:rPr>
        <w:t>, we agree with PECO</w:t>
      </w:r>
      <w:r w:rsidRPr="009A4CF6">
        <w:rPr>
          <w:sz w:val="26"/>
          <w:szCs w:val="26"/>
        </w:rPr>
        <w:t xml:space="preserve"> that security amounts must be sufficient to address non-delivery but should not create a barrier to market participation.  </w:t>
      </w:r>
    </w:p>
    <w:p w:rsidR="00120FB0" w:rsidRPr="009A4CF6" w:rsidRDefault="00120FB0" w:rsidP="00A2212A">
      <w:pPr>
        <w:spacing w:line="360" w:lineRule="auto"/>
        <w:ind w:firstLine="720"/>
        <w:rPr>
          <w:sz w:val="26"/>
          <w:szCs w:val="26"/>
        </w:rPr>
      </w:pPr>
    </w:p>
    <w:p w:rsidR="00D07075" w:rsidRDefault="00A2212A" w:rsidP="0075257B">
      <w:pPr>
        <w:spacing w:line="360" w:lineRule="auto"/>
        <w:ind w:firstLine="720"/>
        <w:rPr>
          <w:sz w:val="26"/>
          <w:szCs w:val="26"/>
        </w:rPr>
      </w:pPr>
      <w:r w:rsidRPr="009A4CF6">
        <w:rPr>
          <w:sz w:val="26"/>
          <w:szCs w:val="26"/>
        </w:rPr>
        <w:t xml:space="preserve">As discussed in the </w:t>
      </w:r>
      <w:r w:rsidRPr="009A4CF6">
        <w:rPr>
          <w:i/>
          <w:sz w:val="26"/>
          <w:szCs w:val="26"/>
        </w:rPr>
        <w:t>Tentative Order</w:t>
      </w:r>
      <w:r w:rsidRPr="009A4CF6">
        <w:rPr>
          <w:sz w:val="26"/>
          <w:szCs w:val="26"/>
        </w:rPr>
        <w:t xml:space="preserve">, we believe this issue is ready for re-examination; however, we contend that </w:t>
      </w:r>
      <w:r w:rsidR="00120FB0" w:rsidRPr="009A4CF6">
        <w:rPr>
          <w:sz w:val="26"/>
          <w:szCs w:val="26"/>
        </w:rPr>
        <w:t xml:space="preserve">66 Pa. C.S. </w:t>
      </w:r>
      <w:r w:rsidRPr="009A4CF6">
        <w:rPr>
          <w:sz w:val="26"/>
          <w:szCs w:val="26"/>
        </w:rPr>
        <w:t xml:space="preserve">§ 2208(c) provides some protection </w:t>
      </w:r>
      <w:r w:rsidR="00DD7913">
        <w:rPr>
          <w:sz w:val="26"/>
          <w:szCs w:val="26"/>
        </w:rPr>
        <w:t xml:space="preserve">for NGSs </w:t>
      </w:r>
      <w:r w:rsidRPr="009A4CF6">
        <w:rPr>
          <w:sz w:val="26"/>
          <w:szCs w:val="26"/>
        </w:rPr>
        <w:t>from creditworthy standards that may hinder competition.  There</w:t>
      </w:r>
      <w:r w:rsidR="00120FB0" w:rsidRPr="009A4CF6">
        <w:rPr>
          <w:sz w:val="26"/>
          <w:szCs w:val="26"/>
        </w:rPr>
        <w:t>fore, we agree with RESA</w:t>
      </w:r>
      <w:r w:rsidRPr="009A4CF6">
        <w:rPr>
          <w:sz w:val="26"/>
          <w:szCs w:val="26"/>
        </w:rPr>
        <w:t xml:space="preserve"> that </w:t>
      </w:r>
      <w:r w:rsidR="00120FB0" w:rsidRPr="009A4CF6">
        <w:rPr>
          <w:sz w:val="26"/>
          <w:szCs w:val="26"/>
        </w:rPr>
        <w:t xml:space="preserve">the </w:t>
      </w:r>
      <w:r w:rsidRPr="009A4CF6">
        <w:rPr>
          <w:sz w:val="26"/>
          <w:szCs w:val="26"/>
        </w:rPr>
        <w:t xml:space="preserve">reasonableness of creditworthy amounts and flexible security instruments </w:t>
      </w:r>
      <w:r w:rsidR="00120FB0" w:rsidRPr="009A4CF6">
        <w:rPr>
          <w:sz w:val="26"/>
          <w:szCs w:val="26"/>
        </w:rPr>
        <w:t xml:space="preserve">should </w:t>
      </w:r>
      <w:r w:rsidRPr="009A4CF6">
        <w:rPr>
          <w:sz w:val="26"/>
          <w:szCs w:val="26"/>
        </w:rPr>
        <w:t>be explored.  However, as stated earlier, we believe creditworthiness requirements are intertwined with other issues like</w:t>
      </w:r>
      <w:r w:rsidR="003B5F5E" w:rsidRPr="009A4CF6">
        <w:rPr>
          <w:sz w:val="26"/>
          <w:szCs w:val="26"/>
        </w:rPr>
        <w:t xml:space="preserve"> system balancing,</w:t>
      </w:r>
      <w:r w:rsidRPr="009A4CF6">
        <w:rPr>
          <w:sz w:val="26"/>
          <w:szCs w:val="26"/>
        </w:rPr>
        <w:t xml:space="preserve"> penalties, tolerances, manda</w:t>
      </w:r>
      <w:r w:rsidR="00120FB0" w:rsidRPr="009A4CF6">
        <w:rPr>
          <w:sz w:val="26"/>
          <w:szCs w:val="26"/>
        </w:rPr>
        <w:t>tory capacity assignments, etc.</w:t>
      </w:r>
      <w:r w:rsidRPr="009A4CF6">
        <w:rPr>
          <w:sz w:val="26"/>
          <w:szCs w:val="26"/>
        </w:rPr>
        <w:t xml:space="preserve">  Therefore, the working group should explore whether </w:t>
      </w:r>
      <w:r w:rsidR="003B5F5E" w:rsidRPr="009A4CF6">
        <w:rPr>
          <w:sz w:val="26"/>
          <w:szCs w:val="26"/>
        </w:rPr>
        <w:t xml:space="preserve">more standardization of </w:t>
      </w:r>
      <w:r w:rsidRPr="009A4CF6">
        <w:rPr>
          <w:sz w:val="26"/>
          <w:szCs w:val="26"/>
        </w:rPr>
        <w:t xml:space="preserve">creditworthiness requirements </w:t>
      </w:r>
      <w:r w:rsidR="003B5F5E" w:rsidRPr="009A4CF6">
        <w:rPr>
          <w:sz w:val="26"/>
          <w:szCs w:val="26"/>
        </w:rPr>
        <w:t>is advisable as the companion issues are explored</w:t>
      </w:r>
      <w:r w:rsidR="00E22A05" w:rsidRPr="009A4CF6">
        <w:rPr>
          <w:sz w:val="26"/>
          <w:szCs w:val="26"/>
        </w:rPr>
        <w:t xml:space="preserve"> and provide recommendations to the Commission </w:t>
      </w:r>
      <w:r w:rsidR="00DD7913">
        <w:rPr>
          <w:sz w:val="26"/>
          <w:szCs w:val="26"/>
        </w:rPr>
        <w:t xml:space="preserve">no </w:t>
      </w:r>
      <w:r w:rsidR="00DD7913">
        <w:rPr>
          <w:sz w:val="26"/>
          <w:szCs w:val="26"/>
        </w:rPr>
        <w:lastRenderedPageBreak/>
        <w:t>later than</w:t>
      </w:r>
      <w:r w:rsidR="00E22A05" w:rsidRPr="009A4CF6">
        <w:rPr>
          <w:sz w:val="26"/>
          <w:szCs w:val="26"/>
        </w:rPr>
        <w:t xml:space="preserve"> the fourth quarter of 2015</w:t>
      </w:r>
      <w:r w:rsidR="003B5F5E" w:rsidRPr="009A4CF6">
        <w:rPr>
          <w:sz w:val="26"/>
          <w:szCs w:val="26"/>
        </w:rPr>
        <w:t>.</w:t>
      </w:r>
      <w:r w:rsidRPr="009A4CF6">
        <w:rPr>
          <w:sz w:val="26"/>
          <w:szCs w:val="26"/>
        </w:rPr>
        <w:t xml:space="preserve">  </w:t>
      </w:r>
    </w:p>
    <w:p w:rsidR="0075257B" w:rsidRDefault="0075257B" w:rsidP="0075257B">
      <w:pPr>
        <w:spacing w:line="360" w:lineRule="auto"/>
        <w:ind w:firstLine="720"/>
        <w:rPr>
          <w:sz w:val="26"/>
          <w:szCs w:val="26"/>
        </w:rPr>
      </w:pPr>
    </w:p>
    <w:p w:rsidR="00D07075" w:rsidRPr="009A4CF6" w:rsidRDefault="00120FB0" w:rsidP="00CB1FC9">
      <w:pPr>
        <w:pStyle w:val="Heading2"/>
        <w:spacing w:before="0" w:line="360" w:lineRule="auto"/>
        <w:rPr>
          <w:rFonts w:ascii="Times New Roman" w:hAnsi="Times New Roman" w:cs="Times New Roman"/>
        </w:rPr>
      </w:pPr>
      <w:bookmarkStart w:id="9" w:name="_Toc405359500"/>
      <w:r w:rsidRPr="009A4CF6">
        <w:rPr>
          <w:rFonts w:ascii="Times New Roman" w:hAnsi="Times New Roman" w:cs="Times New Roman"/>
          <w:color w:val="auto"/>
        </w:rPr>
        <w:t>H.</w:t>
      </w:r>
      <w:r w:rsidRPr="009A4CF6">
        <w:rPr>
          <w:rFonts w:ascii="Times New Roman" w:hAnsi="Times New Roman" w:cs="Times New Roman"/>
          <w:color w:val="auto"/>
        </w:rPr>
        <w:tab/>
      </w:r>
      <w:r w:rsidR="00D07075" w:rsidRPr="009A4CF6">
        <w:rPr>
          <w:rFonts w:ascii="Times New Roman" w:hAnsi="Times New Roman" w:cs="Times New Roman"/>
          <w:color w:val="auto"/>
        </w:rPr>
        <w:t>Seamless Moves and Instant Connects</w:t>
      </w:r>
      <w:bookmarkEnd w:id="9"/>
      <w:r w:rsidR="00F841FA" w:rsidRPr="009A4CF6">
        <w:rPr>
          <w:rFonts w:ascii="Times New Roman" w:hAnsi="Times New Roman" w:cs="Times New Roman"/>
        </w:rPr>
        <w:br/>
      </w:r>
    </w:p>
    <w:p w:rsidR="00F841FA" w:rsidRPr="009A4CF6" w:rsidRDefault="00F841FA" w:rsidP="00CB1FC9">
      <w:pPr>
        <w:keepNext/>
        <w:keepLines/>
        <w:spacing w:line="360" w:lineRule="auto"/>
        <w:ind w:firstLine="720"/>
        <w:rPr>
          <w:sz w:val="26"/>
          <w:szCs w:val="26"/>
        </w:rPr>
      </w:pPr>
      <w:r w:rsidRPr="009A4CF6">
        <w:rPr>
          <w:sz w:val="26"/>
          <w:szCs w:val="26"/>
        </w:rPr>
        <w:t>In the Electric RMI Final Order,</w:t>
      </w:r>
      <w:r w:rsidRPr="009A4CF6">
        <w:rPr>
          <w:sz w:val="26"/>
          <w:szCs w:val="26"/>
          <w:vertAlign w:val="superscript"/>
        </w:rPr>
        <w:footnoteReference w:id="6"/>
      </w:r>
      <w:r w:rsidRPr="009A4CF6">
        <w:rPr>
          <w:sz w:val="26"/>
          <w:szCs w:val="26"/>
        </w:rPr>
        <w:t xml:space="preserve"> the Commission directed the electric distribution companies (EDCs) to file, by the end of 2013, plans for implementing</w:t>
      </w:r>
      <w:r w:rsidR="00B82C76" w:rsidRPr="009A4CF6">
        <w:rPr>
          <w:sz w:val="26"/>
          <w:szCs w:val="26"/>
        </w:rPr>
        <w:t xml:space="preserve"> in their service territories, by June 2015,</w:t>
      </w:r>
      <w:r w:rsidRPr="009A4CF6">
        <w:rPr>
          <w:sz w:val="26"/>
          <w:szCs w:val="26"/>
        </w:rPr>
        <w:t xml:space="preserve"> </w:t>
      </w:r>
      <w:r w:rsidRPr="009A4CF6">
        <w:rPr>
          <w:i/>
          <w:sz w:val="26"/>
          <w:szCs w:val="26"/>
        </w:rPr>
        <w:t>seamless moves</w:t>
      </w:r>
      <w:r w:rsidRPr="009A4CF6">
        <w:rPr>
          <w:sz w:val="26"/>
          <w:szCs w:val="26"/>
        </w:rPr>
        <w:t xml:space="preserve"> and </w:t>
      </w:r>
      <w:r w:rsidRPr="009A4CF6">
        <w:rPr>
          <w:i/>
          <w:sz w:val="26"/>
          <w:szCs w:val="26"/>
        </w:rPr>
        <w:t>instant connects</w:t>
      </w:r>
      <w:r w:rsidRPr="009A4CF6">
        <w:rPr>
          <w:sz w:val="26"/>
          <w:szCs w:val="26"/>
        </w:rPr>
        <w:t xml:space="preserve">.  A </w:t>
      </w:r>
      <w:r w:rsidRPr="009A4CF6">
        <w:rPr>
          <w:i/>
          <w:sz w:val="26"/>
          <w:szCs w:val="26"/>
        </w:rPr>
        <w:t>seamless move</w:t>
      </w:r>
      <w:r w:rsidRPr="009A4CF6">
        <w:rPr>
          <w:sz w:val="26"/>
          <w:szCs w:val="26"/>
        </w:rPr>
        <w:t xml:space="preserve"> is the ability to move a customer’s choice of supplier with the customer to a new address without interruption of service from that supplier.  An </w:t>
      </w:r>
      <w:r w:rsidRPr="009A4CF6">
        <w:rPr>
          <w:i/>
          <w:sz w:val="26"/>
          <w:szCs w:val="26"/>
        </w:rPr>
        <w:t>instant connect</w:t>
      </w:r>
      <w:r w:rsidRPr="009A4CF6">
        <w:rPr>
          <w:sz w:val="26"/>
          <w:szCs w:val="26"/>
        </w:rPr>
        <w:t xml:space="preserve"> is the ability of </w:t>
      </w:r>
      <w:r w:rsidR="004A28D1" w:rsidRPr="009A4CF6">
        <w:rPr>
          <w:sz w:val="26"/>
          <w:szCs w:val="26"/>
        </w:rPr>
        <w:t xml:space="preserve">competitive </w:t>
      </w:r>
      <w:r w:rsidRPr="009A4CF6">
        <w:rPr>
          <w:sz w:val="26"/>
          <w:szCs w:val="26"/>
        </w:rPr>
        <w:t xml:space="preserve">supply service to start on “day one” of new utility service, without the customer first being entered into default service.  </w:t>
      </w:r>
      <w:r w:rsidRPr="009A4CF6">
        <w:rPr>
          <w:sz w:val="26"/>
          <w:szCs w:val="26"/>
        </w:rPr>
        <w:br/>
      </w:r>
    </w:p>
    <w:p w:rsidR="00F841FA" w:rsidRPr="009A4CF6" w:rsidRDefault="00F841FA" w:rsidP="00F841FA">
      <w:pPr>
        <w:spacing w:line="360" w:lineRule="auto"/>
        <w:ind w:firstLine="720"/>
        <w:rPr>
          <w:sz w:val="26"/>
          <w:szCs w:val="26"/>
        </w:rPr>
      </w:pPr>
      <w:r w:rsidRPr="009A4CF6">
        <w:rPr>
          <w:sz w:val="26"/>
          <w:szCs w:val="26"/>
        </w:rPr>
        <w:t>We acknowledge that there are several procedural, programming and</w:t>
      </w:r>
      <w:r w:rsidR="004A28D1" w:rsidRPr="009A4CF6">
        <w:rPr>
          <w:sz w:val="26"/>
          <w:szCs w:val="26"/>
        </w:rPr>
        <w:t>, possibly,</w:t>
      </w:r>
      <w:r w:rsidRPr="009A4CF6">
        <w:rPr>
          <w:sz w:val="26"/>
          <w:szCs w:val="26"/>
        </w:rPr>
        <w:t xml:space="preserve"> regulatory changes that may be required to implement seamless moves.  It has been pointed out that the concept may be contrary to the regulation at 52 Pa. Code § 62.75(c)(7), relating to disclosure statements.</w:t>
      </w:r>
      <w:r w:rsidRPr="009A4CF6">
        <w:rPr>
          <w:sz w:val="26"/>
          <w:szCs w:val="26"/>
          <w:vertAlign w:val="superscript"/>
        </w:rPr>
        <w:footnoteReference w:id="7"/>
      </w:r>
      <w:r w:rsidRPr="009A4CF6">
        <w:rPr>
          <w:sz w:val="26"/>
          <w:szCs w:val="26"/>
        </w:rPr>
        <w:t xml:space="preserve">     </w:t>
      </w:r>
    </w:p>
    <w:p w:rsidR="00F841FA" w:rsidRPr="009A4CF6" w:rsidRDefault="00F841FA" w:rsidP="00F841FA">
      <w:pPr>
        <w:spacing w:line="360" w:lineRule="auto"/>
        <w:ind w:firstLine="720"/>
        <w:rPr>
          <w:sz w:val="26"/>
          <w:szCs w:val="26"/>
        </w:rPr>
      </w:pPr>
      <w:r w:rsidRPr="009A4CF6">
        <w:rPr>
          <w:sz w:val="26"/>
          <w:szCs w:val="26"/>
        </w:rPr>
        <w:t xml:space="preserve"> </w:t>
      </w:r>
    </w:p>
    <w:p w:rsidR="00F841FA" w:rsidRPr="009A4CF6" w:rsidRDefault="00F841FA" w:rsidP="00F841FA">
      <w:pPr>
        <w:spacing w:line="360" w:lineRule="auto"/>
        <w:ind w:firstLine="720"/>
        <w:rPr>
          <w:sz w:val="26"/>
          <w:szCs w:val="26"/>
        </w:rPr>
      </w:pPr>
      <w:r w:rsidRPr="009A4CF6">
        <w:rPr>
          <w:sz w:val="26"/>
          <w:szCs w:val="26"/>
        </w:rPr>
        <w:t xml:space="preserve">  </w:t>
      </w:r>
      <w:r w:rsidR="00B82C76" w:rsidRPr="009A4CF6">
        <w:rPr>
          <w:sz w:val="26"/>
          <w:szCs w:val="26"/>
        </w:rPr>
        <w:t xml:space="preserve">In the </w:t>
      </w:r>
      <w:r w:rsidR="00B82C76" w:rsidRPr="009A4CF6">
        <w:rPr>
          <w:i/>
          <w:sz w:val="26"/>
          <w:szCs w:val="26"/>
        </w:rPr>
        <w:t>Tentative Order</w:t>
      </w:r>
      <w:r w:rsidR="00B82C76" w:rsidRPr="009A4CF6">
        <w:rPr>
          <w:sz w:val="26"/>
          <w:szCs w:val="26"/>
        </w:rPr>
        <w:t>, t</w:t>
      </w:r>
      <w:r w:rsidRPr="009A4CF6">
        <w:rPr>
          <w:sz w:val="26"/>
          <w:szCs w:val="26"/>
        </w:rPr>
        <w:t xml:space="preserve">he Commission </w:t>
      </w:r>
      <w:r w:rsidR="00B82C76" w:rsidRPr="009A4CF6">
        <w:rPr>
          <w:sz w:val="26"/>
          <w:szCs w:val="26"/>
        </w:rPr>
        <w:t xml:space="preserve">expressed its </w:t>
      </w:r>
      <w:r w:rsidR="00DD7913">
        <w:rPr>
          <w:sz w:val="26"/>
          <w:szCs w:val="26"/>
        </w:rPr>
        <w:t>desire</w:t>
      </w:r>
      <w:r w:rsidR="00B82C76" w:rsidRPr="009A4CF6">
        <w:rPr>
          <w:sz w:val="26"/>
          <w:szCs w:val="26"/>
        </w:rPr>
        <w:t xml:space="preserve"> that</w:t>
      </w:r>
      <w:r w:rsidRPr="009A4CF6">
        <w:rPr>
          <w:sz w:val="26"/>
          <w:szCs w:val="26"/>
        </w:rPr>
        <w:t xml:space="preserve"> seamless moves and instant connects should be </w:t>
      </w:r>
      <w:r w:rsidR="000F540E" w:rsidRPr="009A4CF6">
        <w:rPr>
          <w:sz w:val="26"/>
          <w:szCs w:val="26"/>
        </w:rPr>
        <w:t>implemented</w:t>
      </w:r>
      <w:r w:rsidRPr="009A4CF6">
        <w:rPr>
          <w:sz w:val="26"/>
          <w:szCs w:val="26"/>
        </w:rPr>
        <w:t xml:space="preserve"> – something that has only been prevented </w:t>
      </w:r>
      <w:r w:rsidR="00DD7913">
        <w:rPr>
          <w:sz w:val="26"/>
          <w:szCs w:val="26"/>
        </w:rPr>
        <w:t xml:space="preserve">to date </w:t>
      </w:r>
      <w:r w:rsidRPr="009A4CF6">
        <w:rPr>
          <w:sz w:val="26"/>
          <w:szCs w:val="26"/>
        </w:rPr>
        <w:t xml:space="preserve">by the current limitations of NGDC account information systems.  Requiring all customers to be first enrolled in SOLR service before obtaining service from a competitive supplier inappropriately makes the SOLR service the “primary” service.  Under the current model, the SOLR automatically obtains customers who may </w:t>
      </w:r>
      <w:r w:rsidR="00DD7913">
        <w:rPr>
          <w:sz w:val="26"/>
          <w:szCs w:val="26"/>
        </w:rPr>
        <w:t>remain</w:t>
      </w:r>
      <w:r w:rsidRPr="009A4CF6">
        <w:rPr>
          <w:sz w:val="26"/>
          <w:szCs w:val="26"/>
        </w:rPr>
        <w:t xml:space="preserve"> with </w:t>
      </w:r>
      <w:r w:rsidR="000F540E" w:rsidRPr="009A4CF6">
        <w:rPr>
          <w:sz w:val="26"/>
          <w:szCs w:val="26"/>
        </w:rPr>
        <w:t>default service</w:t>
      </w:r>
      <w:r w:rsidRPr="009A4CF6">
        <w:rPr>
          <w:sz w:val="26"/>
          <w:szCs w:val="26"/>
        </w:rPr>
        <w:t xml:space="preserve"> simply out of inertia.  Furthermore, the current practice may frustrate customers who wish to enjoy the benefits of </w:t>
      </w:r>
      <w:r w:rsidR="000F540E" w:rsidRPr="009A4CF6">
        <w:rPr>
          <w:sz w:val="26"/>
          <w:szCs w:val="26"/>
        </w:rPr>
        <w:t xml:space="preserve">competitive </w:t>
      </w:r>
      <w:r w:rsidRPr="009A4CF6">
        <w:rPr>
          <w:sz w:val="26"/>
          <w:szCs w:val="26"/>
        </w:rPr>
        <w:t xml:space="preserve">supply service immediately, rather than waiting one or more billing periods to enjoy such benefits.  This is especially relevant in the heating season – when a delay of a month or two may mean missing the </w:t>
      </w:r>
      <w:r w:rsidRPr="009A4CF6">
        <w:rPr>
          <w:sz w:val="26"/>
          <w:szCs w:val="26"/>
        </w:rPr>
        <w:lastRenderedPageBreak/>
        <w:t>peak months of the heating season.</w:t>
      </w:r>
      <w:r w:rsidR="00B82C76" w:rsidRPr="009A4CF6">
        <w:rPr>
          <w:sz w:val="26"/>
          <w:szCs w:val="26"/>
        </w:rPr>
        <w:t xml:space="preserve">  Therefore, we proposed that OCMO investigate the feasibility of seamless move</w:t>
      </w:r>
      <w:r w:rsidR="000F540E" w:rsidRPr="009A4CF6">
        <w:rPr>
          <w:sz w:val="26"/>
          <w:szCs w:val="26"/>
        </w:rPr>
        <w:t>s</w:t>
      </w:r>
      <w:r w:rsidR="00B82C76" w:rsidRPr="009A4CF6">
        <w:rPr>
          <w:sz w:val="26"/>
          <w:szCs w:val="26"/>
        </w:rPr>
        <w:t xml:space="preserve"> and instant connects within the retail natural gas market.</w:t>
      </w:r>
    </w:p>
    <w:p w:rsidR="00F841FA" w:rsidRPr="009A4CF6" w:rsidRDefault="00F841FA" w:rsidP="00431EE2">
      <w:pPr>
        <w:spacing w:line="360" w:lineRule="auto"/>
        <w:rPr>
          <w:sz w:val="26"/>
          <w:szCs w:val="26"/>
          <w:u w:val="single"/>
        </w:rPr>
      </w:pPr>
    </w:p>
    <w:p w:rsidR="00D07075" w:rsidRPr="009A4CF6" w:rsidRDefault="00B82C76" w:rsidP="00431EE2">
      <w:pPr>
        <w:spacing w:line="360" w:lineRule="auto"/>
        <w:rPr>
          <w:b/>
          <w:sz w:val="26"/>
          <w:szCs w:val="26"/>
        </w:rPr>
      </w:pPr>
      <w:r w:rsidRPr="009A4CF6">
        <w:rPr>
          <w:sz w:val="26"/>
          <w:szCs w:val="26"/>
        </w:rPr>
        <w:tab/>
      </w:r>
      <w:r w:rsidRPr="009A4CF6">
        <w:rPr>
          <w:b/>
          <w:sz w:val="26"/>
          <w:szCs w:val="26"/>
        </w:rPr>
        <w:t>1.</w:t>
      </w:r>
      <w:r w:rsidRPr="009A4CF6">
        <w:rPr>
          <w:b/>
          <w:sz w:val="26"/>
          <w:szCs w:val="26"/>
        </w:rPr>
        <w:tab/>
      </w:r>
      <w:r w:rsidR="00D07075" w:rsidRPr="009A4CF6">
        <w:rPr>
          <w:b/>
          <w:sz w:val="26"/>
          <w:szCs w:val="26"/>
        </w:rPr>
        <w:t>Comments</w:t>
      </w:r>
      <w:r w:rsidR="00F841FA" w:rsidRPr="009A4CF6">
        <w:rPr>
          <w:b/>
          <w:sz w:val="26"/>
          <w:szCs w:val="26"/>
        </w:rPr>
        <w:br/>
      </w:r>
    </w:p>
    <w:p w:rsidR="003D2DA9" w:rsidRPr="009A4CF6" w:rsidRDefault="00D07075" w:rsidP="00431EE2">
      <w:pPr>
        <w:spacing w:line="360" w:lineRule="auto"/>
        <w:rPr>
          <w:sz w:val="26"/>
          <w:szCs w:val="26"/>
        </w:rPr>
      </w:pPr>
      <w:r w:rsidRPr="009A4CF6">
        <w:rPr>
          <w:sz w:val="26"/>
          <w:szCs w:val="26"/>
        </w:rPr>
        <w:tab/>
      </w:r>
      <w:r w:rsidR="003D2DA9" w:rsidRPr="009A4CF6">
        <w:rPr>
          <w:sz w:val="26"/>
          <w:szCs w:val="26"/>
        </w:rPr>
        <w:t>RESA</w:t>
      </w:r>
      <w:r w:rsidR="005B3C0F">
        <w:rPr>
          <w:sz w:val="26"/>
          <w:szCs w:val="26"/>
        </w:rPr>
        <w:t>, PSU Engineers</w:t>
      </w:r>
      <w:r w:rsidR="003D2DA9" w:rsidRPr="009A4CF6">
        <w:rPr>
          <w:sz w:val="26"/>
          <w:szCs w:val="26"/>
        </w:rPr>
        <w:t xml:space="preserve"> and OCA support</w:t>
      </w:r>
      <w:r w:rsidR="0010590E" w:rsidRPr="009A4CF6">
        <w:rPr>
          <w:sz w:val="26"/>
          <w:szCs w:val="26"/>
        </w:rPr>
        <w:t>, as a short-term initiative of this Investigation, the</w:t>
      </w:r>
      <w:r w:rsidR="003D2DA9" w:rsidRPr="009A4CF6">
        <w:rPr>
          <w:sz w:val="26"/>
          <w:szCs w:val="26"/>
        </w:rPr>
        <w:t xml:space="preserve"> implementation</w:t>
      </w:r>
      <w:r w:rsidR="0010590E" w:rsidRPr="009A4CF6">
        <w:rPr>
          <w:sz w:val="26"/>
          <w:szCs w:val="26"/>
        </w:rPr>
        <w:t xml:space="preserve"> </w:t>
      </w:r>
      <w:r w:rsidR="003D2DA9" w:rsidRPr="009A4CF6">
        <w:rPr>
          <w:sz w:val="26"/>
          <w:szCs w:val="26"/>
        </w:rPr>
        <w:t>of seamless moves and instant connects</w:t>
      </w:r>
      <w:r w:rsidR="0010590E" w:rsidRPr="009A4CF6">
        <w:rPr>
          <w:sz w:val="26"/>
          <w:szCs w:val="26"/>
        </w:rPr>
        <w:t xml:space="preserve"> in order to enhance</w:t>
      </w:r>
      <w:r w:rsidR="003D2DA9" w:rsidRPr="009A4CF6">
        <w:rPr>
          <w:sz w:val="26"/>
          <w:szCs w:val="26"/>
        </w:rPr>
        <w:t xml:space="preserve"> competition and shopping.  RESA Comments at 13; OCA Comments at 3; </w:t>
      </w:r>
      <w:r w:rsidR="003D2DA9" w:rsidRPr="009A4CF6">
        <w:rPr>
          <w:i/>
          <w:sz w:val="26"/>
          <w:szCs w:val="26"/>
        </w:rPr>
        <w:t>see also</w:t>
      </w:r>
      <w:r w:rsidR="003D2DA9" w:rsidRPr="009A4CF6">
        <w:rPr>
          <w:sz w:val="26"/>
          <w:szCs w:val="26"/>
        </w:rPr>
        <w:t xml:space="preserve"> PSU Engineers Comments at 2.</w:t>
      </w:r>
    </w:p>
    <w:p w:rsidR="003D2DA9" w:rsidRPr="009A4CF6" w:rsidRDefault="003D2DA9" w:rsidP="00431EE2">
      <w:pPr>
        <w:spacing w:line="360" w:lineRule="auto"/>
        <w:rPr>
          <w:sz w:val="26"/>
          <w:szCs w:val="26"/>
        </w:rPr>
      </w:pPr>
    </w:p>
    <w:p w:rsidR="00D07075" w:rsidRPr="009A4CF6" w:rsidRDefault="00D07075" w:rsidP="003D2DA9">
      <w:pPr>
        <w:spacing w:line="360" w:lineRule="auto"/>
        <w:ind w:firstLine="720"/>
        <w:rPr>
          <w:sz w:val="26"/>
          <w:szCs w:val="26"/>
        </w:rPr>
      </w:pPr>
      <w:r w:rsidRPr="009A4CF6">
        <w:rPr>
          <w:sz w:val="26"/>
          <w:szCs w:val="26"/>
        </w:rPr>
        <w:t xml:space="preserve">PECO </w:t>
      </w:r>
      <w:r w:rsidR="00480699" w:rsidRPr="009A4CF6">
        <w:rPr>
          <w:sz w:val="26"/>
          <w:szCs w:val="26"/>
        </w:rPr>
        <w:t xml:space="preserve">states that it </w:t>
      </w:r>
      <w:r w:rsidRPr="009A4CF6">
        <w:rPr>
          <w:sz w:val="26"/>
          <w:szCs w:val="26"/>
        </w:rPr>
        <w:t>will evaluate necessary changes to its billing system to allow for seamless moves and instant connects for its gas customers.</w:t>
      </w:r>
      <w:r w:rsidR="003D2DA9" w:rsidRPr="009A4CF6">
        <w:rPr>
          <w:sz w:val="26"/>
          <w:szCs w:val="26"/>
        </w:rPr>
        <w:t xml:space="preserve">  </w:t>
      </w:r>
      <w:r w:rsidR="00480699" w:rsidRPr="009A4CF6">
        <w:rPr>
          <w:sz w:val="26"/>
          <w:szCs w:val="26"/>
        </w:rPr>
        <w:t xml:space="preserve">PECO </w:t>
      </w:r>
      <w:r w:rsidR="003D2DA9" w:rsidRPr="009A4CF6">
        <w:rPr>
          <w:sz w:val="26"/>
          <w:szCs w:val="26"/>
        </w:rPr>
        <w:t>Comments at 7.</w:t>
      </w:r>
      <w:r w:rsidRPr="009A4CF6">
        <w:rPr>
          <w:sz w:val="26"/>
          <w:szCs w:val="26"/>
        </w:rPr>
        <w:t xml:space="preserve">  </w:t>
      </w:r>
    </w:p>
    <w:p w:rsidR="007C6073" w:rsidRPr="009A4CF6" w:rsidRDefault="007C6073" w:rsidP="003D2DA9">
      <w:pPr>
        <w:spacing w:line="360" w:lineRule="auto"/>
        <w:ind w:firstLine="720"/>
        <w:rPr>
          <w:sz w:val="26"/>
          <w:szCs w:val="26"/>
        </w:rPr>
      </w:pPr>
    </w:p>
    <w:p w:rsidR="007C6073" w:rsidRPr="009A4CF6" w:rsidRDefault="007C6073" w:rsidP="007C6073">
      <w:pPr>
        <w:spacing w:line="360" w:lineRule="auto"/>
        <w:ind w:firstLine="720"/>
        <w:rPr>
          <w:sz w:val="26"/>
          <w:szCs w:val="26"/>
        </w:rPr>
      </w:pPr>
      <w:r w:rsidRPr="009A4CF6">
        <w:rPr>
          <w:sz w:val="26"/>
          <w:szCs w:val="26"/>
        </w:rPr>
        <w:t xml:space="preserve">RESA and the NGS Parties offer similar measures for transitioning the NGDC out of the SOLR function.  </w:t>
      </w:r>
      <w:r w:rsidR="00911DEA" w:rsidRPr="009A4CF6">
        <w:rPr>
          <w:sz w:val="26"/>
          <w:szCs w:val="26"/>
        </w:rPr>
        <w:t xml:space="preserve">RESA Comments at 11; NGS Parties Comments at 5-6.  </w:t>
      </w:r>
      <w:r w:rsidRPr="009A4CF6">
        <w:rPr>
          <w:sz w:val="26"/>
          <w:szCs w:val="26"/>
        </w:rPr>
        <w:t xml:space="preserve">The NGS Parties suggest a “First Choice” program wherein a customer would be asked to </w:t>
      </w:r>
      <w:r w:rsidR="00911DEA" w:rsidRPr="009A4CF6">
        <w:rPr>
          <w:sz w:val="26"/>
          <w:szCs w:val="26"/>
        </w:rPr>
        <w:t>choose</w:t>
      </w:r>
      <w:r w:rsidRPr="009A4CF6">
        <w:rPr>
          <w:sz w:val="26"/>
          <w:szCs w:val="26"/>
        </w:rPr>
        <w:t xml:space="preserve"> their gas supplier whenever </w:t>
      </w:r>
      <w:r w:rsidR="005B3C0F">
        <w:rPr>
          <w:sz w:val="26"/>
          <w:szCs w:val="26"/>
        </w:rPr>
        <w:t>a</w:t>
      </w:r>
      <w:r w:rsidRPr="009A4CF6">
        <w:rPr>
          <w:sz w:val="26"/>
          <w:szCs w:val="26"/>
        </w:rPr>
        <w:t xml:space="preserve"> customer moves or initiates service for the first time.  Customers would be given a list of eligible suppliers, including default service, and would be asked to affirmatively choose their supplier.  The NGS Parties stated that similar programs </w:t>
      </w:r>
      <w:r w:rsidR="00911DEA" w:rsidRPr="009A4CF6">
        <w:rPr>
          <w:sz w:val="26"/>
          <w:szCs w:val="26"/>
        </w:rPr>
        <w:t>can</w:t>
      </w:r>
      <w:r w:rsidRPr="009A4CF6">
        <w:rPr>
          <w:sz w:val="26"/>
          <w:szCs w:val="26"/>
        </w:rPr>
        <w:t xml:space="preserve"> be found in other jurisdictions.  </w:t>
      </w:r>
      <w:r w:rsidR="00911DEA" w:rsidRPr="009A4CF6">
        <w:rPr>
          <w:sz w:val="26"/>
          <w:szCs w:val="26"/>
        </w:rPr>
        <w:t xml:space="preserve">NGS Parties Comments at 5-6.  </w:t>
      </w:r>
      <w:r w:rsidRPr="009A4CF6">
        <w:rPr>
          <w:sz w:val="26"/>
          <w:szCs w:val="26"/>
        </w:rPr>
        <w:t>Asserting that the NGDC currently serves as the supplier-of-first-resort as all new NGDC customers are automatically enrolled in default service, RESA recommend</w:t>
      </w:r>
      <w:r w:rsidR="00911DEA" w:rsidRPr="009A4CF6">
        <w:rPr>
          <w:sz w:val="26"/>
          <w:szCs w:val="26"/>
        </w:rPr>
        <w:t>s</w:t>
      </w:r>
      <w:r w:rsidRPr="009A4CF6">
        <w:rPr>
          <w:sz w:val="26"/>
          <w:szCs w:val="26"/>
        </w:rPr>
        <w:t xml:space="preserve"> a paradigm shift wherein the customer must affirmatively select from a list of competitive suppliers.  However, that eligible list would not include default service from the NGDC; the customer would only be enrolled in NGDC gas supply service if the customer specifically asks for it.  </w:t>
      </w:r>
      <w:r w:rsidR="00911DEA" w:rsidRPr="009A4CF6">
        <w:rPr>
          <w:sz w:val="26"/>
          <w:szCs w:val="26"/>
        </w:rPr>
        <w:t>RESA Comments at 11.</w:t>
      </w:r>
      <w:r w:rsidRPr="009A4CF6">
        <w:rPr>
          <w:sz w:val="26"/>
          <w:szCs w:val="26"/>
        </w:rPr>
        <w:t xml:space="preserve">  </w:t>
      </w:r>
    </w:p>
    <w:p w:rsidR="00D07075" w:rsidRDefault="00D07075" w:rsidP="00431EE2">
      <w:pPr>
        <w:spacing w:line="360" w:lineRule="auto"/>
        <w:rPr>
          <w:sz w:val="26"/>
          <w:szCs w:val="26"/>
        </w:rPr>
      </w:pPr>
    </w:p>
    <w:p w:rsidR="0075257B" w:rsidRDefault="0075257B" w:rsidP="00431EE2">
      <w:pPr>
        <w:spacing w:line="360" w:lineRule="auto"/>
        <w:rPr>
          <w:sz w:val="26"/>
          <w:szCs w:val="26"/>
        </w:rPr>
      </w:pPr>
    </w:p>
    <w:p w:rsidR="0075257B" w:rsidRPr="009A4CF6" w:rsidRDefault="0075257B" w:rsidP="00431EE2">
      <w:pPr>
        <w:spacing w:line="360" w:lineRule="auto"/>
        <w:rPr>
          <w:sz w:val="26"/>
          <w:szCs w:val="26"/>
        </w:rPr>
      </w:pPr>
    </w:p>
    <w:p w:rsidR="00D07075" w:rsidRPr="009A4CF6" w:rsidRDefault="00911DEA" w:rsidP="00431EE2">
      <w:pPr>
        <w:spacing w:line="360" w:lineRule="auto"/>
        <w:rPr>
          <w:b/>
          <w:sz w:val="26"/>
          <w:szCs w:val="26"/>
        </w:rPr>
      </w:pPr>
      <w:r w:rsidRPr="009A4CF6">
        <w:rPr>
          <w:sz w:val="26"/>
          <w:szCs w:val="26"/>
        </w:rPr>
        <w:lastRenderedPageBreak/>
        <w:tab/>
      </w:r>
      <w:r w:rsidRPr="009A4CF6">
        <w:rPr>
          <w:b/>
          <w:sz w:val="26"/>
          <w:szCs w:val="26"/>
        </w:rPr>
        <w:t>2.</w:t>
      </w:r>
      <w:r w:rsidRPr="009A4CF6">
        <w:rPr>
          <w:b/>
          <w:sz w:val="26"/>
          <w:szCs w:val="26"/>
        </w:rPr>
        <w:tab/>
      </w:r>
      <w:r w:rsidR="003D2DA9" w:rsidRPr="009A4CF6">
        <w:rPr>
          <w:b/>
          <w:sz w:val="26"/>
          <w:szCs w:val="26"/>
        </w:rPr>
        <w:t>Disposition</w:t>
      </w:r>
    </w:p>
    <w:p w:rsidR="003D2DA9" w:rsidRPr="009A4CF6" w:rsidRDefault="003D2DA9" w:rsidP="00431EE2">
      <w:pPr>
        <w:spacing w:line="360" w:lineRule="auto"/>
        <w:rPr>
          <w:sz w:val="26"/>
          <w:szCs w:val="26"/>
        </w:rPr>
      </w:pPr>
    </w:p>
    <w:p w:rsidR="003A3F20" w:rsidRPr="009A4CF6" w:rsidRDefault="00A62039" w:rsidP="00A62039">
      <w:pPr>
        <w:spacing w:line="360" w:lineRule="auto"/>
        <w:ind w:firstLine="720"/>
        <w:rPr>
          <w:sz w:val="26"/>
          <w:szCs w:val="26"/>
        </w:rPr>
      </w:pPr>
      <w:r w:rsidRPr="009A4CF6">
        <w:rPr>
          <w:sz w:val="26"/>
          <w:szCs w:val="26"/>
        </w:rPr>
        <w:t>We continue to believe that seamless moves and instant connect</w:t>
      </w:r>
      <w:r w:rsidR="000E2E00" w:rsidRPr="009A4CF6">
        <w:rPr>
          <w:sz w:val="26"/>
          <w:szCs w:val="26"/>
        </w:rPr>
        <w:t>s</w:t>
      </w:r>
      <w:r w:rsidRPr="009A4CF6">
        <w:rPr>
          <w:sz w:val="26"/>
          <w:szCs w:val="26"/>
        </w:rPr>
        <w:t xml:space="preserve"> are a desired feature of the </w:t>
      </w:r>
      <w:r w:rsidR="000E2E00" w:rsidRPr="009A4CF6">
        <w:rPr>
          <w:sz w:val="26"/>
          <w:szCs w:val="26"/>
        </w:rPr>
        <w:t>competitive natural gas market</w:t>
      </w:r>
      <w:r w:rsidRPr="009A4CF6">
        <w:rPr>
          <w:sz w:val="26"/>
          <w:szCs w:val="26"/>
        </w:rPr>
        <w:t xml:space="preserve"> and</w:t>
      </w:r>
      <w:r w:rsidR="000E2E00" w:rsidRPr="009A4CF6">
        <w:rPr>
          <w:sz w:val="26"/>
          <w:szCs w:val="26"/>
        </w:rPr>
        <w:t>, therefore, we</w:t>
      </w:r>
      <w:r w:rsidRPr="009A4CF6">
        <w:rPr>
          <w:sz w:val="26"/>
          <w:szCs w:val="26"/>
        </w:rPr>
        <w:t xml:space="preserve"> direct OCMO to explore their implementation.  </w:t>
      </w:r>
      <w:r w:rsidR="00E22A05" w:rsidRPr="009A4CF6">
        <w:rPr>
          <w:sz w:val="26"/>
          <w:szCs w:val="26"/>
        </w:rPr>
        <w:t xml:space="preserve">OCMO should </w:t>
      </w:r>
      <w:r w:rsidR="006139AF">
        <w:rPr>
          <w:sz w:val="26"/>
          <w:szCs w:val="26"/>
        </w:rPr>
        <w:t>examine</w:t>
      </w:r>
      <w:r w:rsidR="006139AF" w:rsidRPr="009A4CF6">
        <w:rPr>
          <w:sz w:val="26"/>
          <w:szCs w:val="26"/>
        </w:rPr>
        <w:t xml:space="preserve"> </w:t>
      </w:r>
      <w:r w:rsidR="00E22A05" w:rsidRPr="009A4CF6">
        <w:rPr>
          <w:sz w:val="26"/>
          <w:szCs w:val="26"/>
        </w:rPr>
        <w:t xml:space="preserve">this issue </w:t>
      </w:r>
      <w:r w:rsidR="005B3C0F">
        <w:rPr>
          <w:sz w:val="26"/>
          <w:szCs w:val="26"/>
        </w:rPr>
        <w:t>no later than</w:t>
      </w:r>
      <w:r w:rsidR="006139AF">
        <w:rPr>
          <w:sz w:val="26"/>
          <w:szCs w:val="26"/>
        </w:rPr>
        <w:t xml:space="preserve"> </w:t>
      </w:r>
      <w:r w:rsidR="00E22A05" w:rsidRPr="009A4CF6">
        <w:rPr>
          <w:sz w:val="26"/>
          <w:szCs w:val="26"/>
        </w:rPr>
        <w:t xml:space="preserve">the </w:t>
      </w:r>
      <w:r w:rsidR="006139AF">
        <w:rPr>
          <w:sz w:val="26"/>
          <w:szCs w:val="26"/>
        </w:rPr>
        <w:t>second</w:t>
      </w:r>
      <w:r w:rsidR="006139AF" w:rsidRPr="009A4CF6">
        <w:rPr>
          <w:sz w:val="26"/>
          <w:szCs w:val="26"/>
        </w:rPr>
        <w:t xml:space="preserve"> </w:t>
      </w:r>
      <w:r w:rsidR="00E22A05" w:rsidRPr="009A4CF6">
        <w:rPr>
          <w:sz w:val="26"/>
          <w:szCs w:val="26"/>
        </w:rPr>
        <w:t>quarter of 2015</w:t>
      </w:r>
      <w:r w:rsidRPr="009A4CF6">
        <w:rPr>
          <w:sz w:val="26"/>
          <w:szCs w:val="26"/>
        </w:rPr>
        <w:t>.</w:t>
      </w:r>
      <w:r w:rsidR="00101076">
        <w:rPr>
          <w:rStyle w:val="FootnoteReference"/>
          <w:sz w:val="26"/>
          <w:szCs w:val="26"/>
        </w:rPr>
        <w:footnoteReference w:id="8"/>
      </w:r>
      <w:r w:rsidRPr="009A4CF6">
        <w:rPr>
          <w:sz w:val="26"/>
          <w:szCs w:val="26"/>
        </w:rPr>
        <w:t xml:space="preserve">  </w:t>
      </w:r>
    </w:p>
    <w:p w:rsidR="003A3F20" w:rsidRPr="009A4CF6" w:rsidRDefault="003A3F20" w:rsidP="00A62039">
      <w:pPr>
        <w:spacing w:line="360" w:lineRule="auto"/>
        <w:ind w:firstLine="720"/>
        <w:rPr>
          <w:sz w:val="26"/>
          <w:szCs w:val="26"/>
        </w:rPr>
      </w:pPr>
    </w:p>
    <w:p w:rsidR="0072300C" w:rsidRPr="009A4CF6" w:rsidRDefault="00E51B56" w:rsidP="00CB1FC9">
      <w:pPr>
        <w:spacing w:line="360" w:lineRule="auto"/>
        <w:ind w:firstLine="720"/>
        <w:rPr>
          <w:sz w:val="26"/>
          <w:szCs w:val="26"/>
        </w:rPr>
      </w:pPr>
      <w:r w:rsidRPr="009A4CF6">
        <w:rPr>
          <w:sz w:val="26"/>
          <w:szCs w:val="26"/>
        </w:rPr>
        <w:t>Regarding the</w:t>
      </w:r>
      <w:r w:rsidR="0072300C" w:rsidRPr="009A4CF6">
        <w:rPr>
          <w:sz w:val="26"/>
          <w:szCs w:val="26"/>
        </w:rPr>
        <w:t xml:space="preserve"> NGS Parties</w:t>
      </w:r>
      <w:r w:rsidRPr="009A4CF6">
        <w:rPr>
          <w:sz w:val="26"/>
          <w:szCs w:val="26"/>
        </w:rPr>
        <w:t>’</w:t>
      </w:r>
      <w:r w:rsidR="0072300C" w:rsidRPr="009A4CF6">
        <w:rPr>
          <w:sz w:val="26"/>
          <w:szCs w:val="26"/>
        </w:rPr>
        <w:t xml:space="preserve"> suggestions about what they </w:t>
      </w:r>
      <w:r w:rsidR="00EC7053" w:rsidRPr="009A4CF6">
        <w:rPr>
          <w:sz w:val="26"/>
          <w:szCs w:val="26"/>
        </w:rPr>
        <w:t>call a “First Choice” program,</w:t>
      </w:r>
      <w:r w:rsidR="0072300C" w:rsidRPr="009A4CF6">
        <w:rPr>
          <w:sz w:val="26"/>
          <w:szCs w:val="26"/>
        </w:rPr>
        <w:t xml:space="preserve"> wherein a customer would be asked to make a choice as to their gas supplier whenever the customer moves or initiat</w:t>
      </w:r>
      <w:r w:rsidR="00EC7053" w:rsidRPr="009A4CF6">
        <w:rPr>
          <w:sz w:val="26"/>
          <w:szCs w:val="26"/>
        </w:rPr>
        <w:t xml:space="preserve">es service for the first time, </w:t>
      </w:r>
      <w:r w:rsidR="0072300C" w:rsidRPr="009A4CF6">
        <w:rPr>
          <w:sz w:val="26"/>
          <w:szCs w:val="26"/>
        </w:rPr>
        <w:t>we can discuss this kind of mechanism as we explore both seamless moves/instant connect</w:t>
      </w:r>
      <w:r w:rsidR="00EC7053" w:rsidRPr="009A4CF6">
        <w:rPr>
          <w:sz w:val="26"/>
          <w:szCs w:val="26"/>
        </w:rPr>
        <w:t>s and Standard O</w:t>
      </w:r>
      <w:r w:rsidR="0072300C" w:rsidRPr="009A4CF6">
        <w:rPr>
          <w:sz w:val="26"/>
          <w:szCs w:val="26"/>
        </w:rPr>
        <w:t xml:space="preserve">ffer </w:t>
      </w:r>
      <w:r w:rsidR="00EC7053" w:rsidRPr="009A4CF6">
        <w:rPr>
          <w:sz w:val="26"/>
          <w:szCs w:val="26"/>
        </w:rPr>
        <w:t>P</w:t>
      </w:r>
      <w:r w:rsidR="0072300C" w:rsidRPr="009A4CF6">
        <w:rPr>
          <w:sz w:val="26"/>
          <w:szCs w:val="26"/>
        </w:rPr>
        <w:t xml:space="preserve">rograms.   </w:t>
      </w:r>
    </w:p>
    <w:p w:rsidR="00DB229D" w:rsidRPr="009A4CF6" w:rsidRDefault="004A4C1C" w:rsidP="00CB1FC9">
      <w:pPr>
        <w:spacing w:line="360" w:lineRule="auto"/>
        <w:ind w:firstLine="720"/>
        <w:rPr>
          <w:sz w:val="26"/>
          <w:szCs w:val="26"/>
        </w:rPr>
      </w:pPr>
      <w:r w:rsidRPr="009A4CF6">
        <w:rPr>
          <w:sz w:val="26"/>
          <w:szCs w:val="26"/>
        </w:rPr>
        <w:t xml:space="preserve"> </w:t>
      </w:r>
    </w:p>
    <w:p w:rsidR="00EC7053" w:rsidRPr="009A4CF6" w:rsidRDefault="00EC7053" w:rsidP="00CB1FC9">
      <w:pPr>
        <w:pStyle w:val="Heading2"/>
        <w:spacing w:before="0" w:line="360" w:lineRule="auto"/>
        <w:rPr>
          <w:rFonts w:ascii="Times New Roman" w:hAnsi="Times New Roman" w:cs="Times New Roman"/>
          <w:b w:val="0"/>
          <w:color w:val="auto"/>
        </w:rPr>
      </w:pPr>
      <w:bookmarkStart w:id="10" w:name="_Toc405359501"/>
      <w:r w:rsidRPr="009A4CF6">
        <w:rPr>
          <w:rFonts w:ascii="Times New Roman" w:hAnsi="Times New Roman" w:cs="Times New Roman"/>
          <w:color w:val="auto"/>
        </w:rPr>
        <w:t>I.</w:t>
      </w:r>
      <w:r w:rsidRPr="009A4CF6">
        <w:rPr>
          <w:rFonts w:ascii="Times New Roman" w:hAnsi="Times New Roman" w:cs="Times New Roman"/>
          <w:color w:val="auto"/>
        </w:rPr>
        <w:tab/>
      </w:r>
      <w:r w:rsidR="003D2DA9" w:rsidRPr="009A4CF6">
        <w:rPr>
          <w:rFonts w:ascii="Times New Roman" w:hAnsi="Times New Roman" w:cs="Times New Roman"/>
          <w:color w:val="auto"/>
        </w:rPr>
        <w:t>Accelerated Switching</w:t>
      </w:r>
      <w:bookmarkEnd w:id="10"/>
    </w:p>
    <w:p w:rsidR="00A2212A" w:rsidRPr="009A4CF6" w:rsidRDefault="003A3F20" w:rsidP="00CB1FC9">
      <w:pPr>
        <w:spacing w:line="360" w:lineRule="auto"/>
        <w:rPr>
          <w:sz w:val="26"/>
          <w:szCs w:val="26"/>
        </w:rPr>
      </w:pPr>
      <w:r w:rsidRPr="009A4CF6">
        <w:rPr>
          <w:b/>
          <w:sz w:val="26"/>
          <w:szCs w:val="26"/>
        </w:rPr>
        <w:br/>
      </w:r>
      <w:r w:rsidR="00EC7053" w:rsidRPr="009A4CF6">
        <w:rPr>
          <w:sz w:val="26"/>
          <w:szCs w:val="26"/>
        </w:rPr>
        <w:tab/>
      </w:r>
      <w:r w:rsidR="00A2212A" w:rsidRPr="009A4CF6">
        <w:rPr>
          <w:sz w:val="26"/>
          <w:szCs w:val="26"/>
        </w:rPr>
        <w:t xml:space="preserve">In our </w:t>
      </w:r>
      <w:r w:rsidR="00A2212A" w:rsidRPr="009A4CF6">
        <w:rPr>
          <w:i/>
          <w:sz w:val="26"/>
          <w:szCs w:val="26"/>
        </w:rPr>
        <w:t>Tentative Order</w:t>
      </w:r>
      <w:r w:rsidR="00A2212A" w:rsidRPr="009A4CF6">
        <w:rPr>
          <w:sz w:val="26"/>
          <w:szCs w:val="26"/>
        </w:rPr>
        <w:t xml:space="preserve">, we </w:t>
      </w:r>
      <w:r w:rsidR="00882A46">
        <w:rPr>
          <w:sz w:val="26"/>
          <w:szCs w:val="26"/>
        </w:rPr>
        <w:t>explained</w:t>
      </w:r>
      <w:r w:rsidR="00A2212A" w:rsidRPr="009A4CF6">
        <w:rPr>
          <w:sz w:val="26"/>
          <w:szCs w:val="26"/>
        </w:rPr>
        <w:t xml:space="preserve"> that a review of the natural gas switching timeframes was needed in light of the significant difference in timeframes between switching in the retail electric industry under the new regulations and the current practices and guidance in the retail natural gas industry.  We noted our belief, and agreement with OCA, that there is value in keeping the regulations as consistent as possible across both industries – especially considering that there are </w:t>
      </w:r>
      <w:r w:rsidR="00882A46">
        <w:rPr>
          <w:sz w:val="26"/>
          <w:szCs w:val="26"/>
        </w:rPr>
        <w:t xml:space="preserve">a number of </w:t>
      </w:r>
      <w:r w:rsidR="00A2212A" w:rsidRPr="009A4CF6">
        <w:rPr>
          <w:sz w:val="26"/>
          <w:szCs w:val="26"/>
        </w:rPr>
        <w:t xml:space="preserve">consumers who obtain both competitive retail electric and natural gas supply service from the same supplier.  </w:t>
      </w:r>
      <w:r w:rsidR="00882A46">
        <w:rPr>
          <w:sz w:val="26"/>
          <w:szCs w:val="26"/>
        </w:rPr>
        <w:t>I</w:t>
      </w:r>
      <w:r w:rsidR="00A2212A" w:rsidRPr="009A4CF6">
        <w:rPr>
          <w:sz w:val="26"/>
          <w:szCs w:val="26"/>
        </w:rPr>
        <w:t>nconsistencies in rules, procedures and timeframes can cause confusion and complicate compliance for suppliers.  While acknowledging the differences in metering technology that make identical rules and timeframes difficult, we noted our belief that there was plenty of room for improvement in the natural gas industry and directed OCMO to</w:t>
      </w:r>
      <w:r w:rsidR="00D06C4F" w:rsidRPr="009A4CF6">
        <w:rPr>
          <w:sz w:val="26"/>
          <w:szCs w:val="26"/>
        </w:rPr>
        <w:t xml:space="preserve"> explore this issue during the I</w:t>
      </w:r>
      <w:r w:rsidR="00A2212A" w:rsidRPr="009A4CF6">
        <w:rPr>
          <w:sz w:val="26"/>
          <w:szCs w:val="26"/>
        </w:rPr>
        <w:t>nvestigation.</w:t>
      </w:r>
    </w:p>
    <w:p w:rsidR="00A2212A" w:rsidRPr="009A4CF6" w:rsidRDefault="00A2212A" w:rsidP="00A2212A">
      <w:pPr>
        <w:spacing w:line="360" w:lineRule="auto"/>
        <w:rPr>
          <w:sz w:val="26"/>
          <w:szCs w:val="26"/>
        </w:rPr>
      </w:pPr>
    </w:p>
    <w:p w:rsidR="00A2212A" w:rsidRPr="009A4CF6" w:rsidRDefault="002175F7" w:rsidP="00A2212A">
      <w:pPr>
        <w:spacing w:line="360" w:lineRule="auto"/>
        <w:rPr>
          <w:sz w:val="26"/>
          <w:szCs w:val="26"/>
        </w:rPr>
      </w:pPr>
      <w:r w:rsidRPr="009A4CF6">
        <w:rPr>
          <w:sz w:val="26"/>
          <w:szCs w:val="26"/>
        </w:rPr>
        <w:tab/>
      </w:r>
      <w:r w:rsidRPr="009A4CF6">
        <w:rPr>
          <w:b/>
          <w:sz w:val="26"/>
          <w:szCs w:val="26"/>
        </w:rPr>
        <w:t>1.</w:t>
      </w:r>
      <w:r w:rsidRPr="009A4CF6">
        <w:rPr>
          <w:b/>
          <w:sz w:val="26"/>
          <w:szCs w:val="26"/>
        </w:rPr>
        <w:tab/>
      </w:r>
      <w:r w:rsidR="00A2212A" w:rsidRPr="009A4CF6">
        <w:rPr>
          <w:b/>
          <w:sz w:val="26"/>
          <w:szCs w:val="26"/>
        </w:rPr>
        <w:t>Comments</w:t>
      </w:r>
    </w:p>
    <w:p w:rsidR="002175F7" w:rsidRPr="009A4CF6" w:rsidRDefault="002175F7" w:rsidP="00A2212A">
      <w:pPr>
        <w:spacing w:line="360" w:lineRule="auto"/>
        <w:rPr>
          <w:sz w:val="26"/>
          <w:szCs w:val="26"/>
          <w:u w:val="single"/>
        </w:rPr>
      </w:pPr>
    </w:p>
    <w:p w:rsidR="00A2212A" w:rsidRPr="009A4CF6" w:rsidRDefault="002175F7" w:rsidP="00A2212A">
      <w:pPr>
        <w:spacing w:line="360" w:lineRule="auto"/>
        <w:rPr>
          <w:sz w:val="26"/>
          <w:szCs w:val="26"/>
        </w:rPr>
      </w:pPr>
      <w:r w:rsidRPr="009A4CF6">
        <w:rPr>
          <w:sz w:val="26"/>
          <w:szCs w:val="26"/>
        </w:rPr>
        <w:tab/>
      </w:r>
      <w:r w:rsidR="00A2212A" w:rsidRPr="009A4CF6">
        <w:rPr>
          <w:sz w:val="26"/>
          <w:szCs w:val="26"/>
        </w:rPr>
        <w:t>Generally, RESA</w:t>
      </w:r>
      <w:r w:rsidRPr="009A4CF6">
        <w:rPr>
          <w:sz w:val="26"/>
          <w:szCs w:val="26"/>
        </w:rPr>
        <w:t xml:space="preserve"> supports accelerated switching</w:t>
      </w:r>
      <w:r w:rsidR="00A2212A" w:rsidRPr="009A4CF6">
        <w:rPr>
          <w:sz w:val="26"/>
          <w:szCs w:val="26"/>
        </w:rPr>
        <w:t xml:space="preserve">, but notes that back office issues for NGDCs and NGSs will need to be addressed.  </w:t>
      </w:r>
      <w:r w:rsidRPr="009A4CF6">
        <w:rPr>
          <w:sz w:val="26"/>
          <w:szCs w:val="26"/>
        </w:rPr>
        <w:t xml:space="preserve">RESA </w:t>
      </w:r>
      <w:r w:rsidR="00A2212A" w:rsidRPr="009A4CF6">
        <w:rPr>
          <w:sz w:val="26"/>
          <w:szCs w:val="26"/>
        </w:rPr>
        <w:t xml:space="preserve">Comments at 22.  OCA also supports accelerated switching, but asks the Commission to carefully balance the costs and benefits throughout its investigation.  </w:t>
      </w:r>
      <w:r w:rsidRPr="009A4CF6">
        <w:rPr>
          <w:sz w:val="26"/>
          <w:szCs w:val="26"/>
        </w:rPr>
        <w:t xml:space="preserve">OCA </w:t>
      </w:r>
      <w:r w:rsidR="00A2212A" w:rsidRPr="009A4CF6">
        <w:rPr>
          <w:sz w:val="26"/>
          <w:szCs w:val="26"/>
        </w:rPr>
        <w:t xml:space="preserve">Comments at 3.  </w:t>
      </w:r>
    </w:p>
    <w:p w:rsidR="00A2212A" w:rsidRPr="009A4CF6" w:rsidRDefault="00A2212A" w:rsidP="00A2212A">
      <w:pPr>
        <w:spacing w:line="360" w:lineRule="auto"/>
        <w:rPr>
          <w:sz w:val="26"/>
          <w:szCs w:val="26"/>
        </w:rPr>
      </w:pPr>
    </w:p>
    <w:p w:rsidR="00A2212A" w:rsidRPr="009A4CF6" w:rsidRDefault="002175F7" w:rsidP="00A2212A">
      <w:pPr>
        <w:spacing w:line="360" w:lineRule="auto"/>
        <w:rPr>
          <w:sz w:val="26"/>
          <w:szCs w:val="26"/>
        </w:rPr>
      </w:pPr>
      <w:r w:rsidRPr="009A4CF6">
        <w:rPr>
          <w:sz w:val="26"/>
          <w:szCs w:val="26"/>
        </w:rPr>
        <w:tab/>
      </w:r>
      <w:r w:rsidR="004708B8" w:rsidRPr="009A4CF6">
        <w:rPr>
          <w:sz w:val="26"/>
          <w:szCs w:val="26"/>
        </w:rPr>
        <w:t>UGIES</w:t>
      </w:r>
      <w:r w:rsidR="00A2212A" w:rsidRPr="009A4CF6">
        <w:rPr>
          <w:sz w:val="26"/>
          <w:szCs w:val="26"/>
        </w:rPr>
        <w:t xml:space="preserve"> recommends that the Commission wait to implement accelerated switching in the </w:t>
      </w:r>
      <w:r w:rsidRPr="009A4CF6">
        <w:rPr>
          <w:sz w:val="26"/>
          <w:szCs w:val="26"/>
        </w:rPr>
        <w:t xml:space="preserve">retail natural </w:t>
      </w:r>
      <w:r w:rsidR="00A2212A" w:rsidRPr="009A4CF6">
        <w:rPr>
          <w:sz w:val="26"/>
          <w:szCs w:val="26"/>
        </w:rPr>
        <w:t xml:space="preserve">gas industry until after this winter and the Commission’s evaluation of accelerated switching in the electric industry.  In its comments, </w:t>
      </w:r>
      <w:r w:rsidR="004708B8" w:rsidRPr="009A4CF6">
        <w:rPr>
          <w:sz w:val="26"/>
          <w:szCs w:val="26"/>
        </w:rPr>
        <w:t>UGIES</w:t>
      </w:r>
      <w:r w:rsidR="00A2212A" w:rsidRPr="009A4CF6">
        <w:rPr>
          <w:sz w:val="26"/>
          <w:szCs w:val="26"/>
        </w:rPr>
        <w:t xml:space="preserve"> specifically dis</w:t>
      </w:r>
      <w:r w:rsidRPr="009A4CF6">
        <w:rPr>
          <w:sz w:val="26"/>
          <w:szCs w:val="26"/>
        </w:rPr>
        <w:t>cusses</w:t>
      </w:r>
      <w:r w:rsidR="00A2212A" w:rsidRPr="009A4CF6">
        <w:rPr>
          <w:sz w:val="26"/>
          <w:szCs w:val="26"/>
        </w:rPr>
        <w:t xml:space="preserve"> complications of implementing accelerated switching for </w:t>
      </w:r>
      <w:r w:rsidRPr="009A4CF6">
        <w:rPr>
          <w:sz w:val="26"/>
          <w:szCs w:val="26"/>
        </w:rPr>
        <w:t xml:space="preserve">“daily balanced customers.”  </w:t>
      </w:r>
      <w:r w:rsidR="004708B8" w:rsidRPr="009A4CF6">
        <w:rPr>
          <w:sz w:val="26"/>
          <w:szCs w:val="26"/>
        </w:rPr>
        <w:t>UGIES</w:t>
      </w:r>
      <w:r w:rsidRPr="009A4CF6">
        <w:rPr>
          <w:sz w:val="26"/>
          <w:szCs w:val="26"/>
        </w:rPr>
        <w:t xml:space="preserve"> Comments at 2.</w:t>
      </w:r>
      <w:r w:rsidR="00A2212A" w:rsidRPr="009A4CF6">
        <w:rPr>
          <w:sz w:val="26"/>
          <w:szCs w:val="26"/>
        </w:rPr>
        <w:t xml:space="preserve"> </w:t>
      </w:r>
    </w:p>
    <w:p w:rsidR="00A2212A" w:rsidRPr="009A4CF6" w:rsidRDefault="00A2212A" w:rsidP="00A2212A">
      <w:pPr>
        <w:spacing w:line="360" w:lineRule="auto"/>
        <w:rPr>
          <w:sz w:val="26"/>
          <w:szCs w:val="26"/>
        </w:rPr>
      </w:pPr>
    </w:p>
    <w:p w:rsidR="00A2212A" w:rsidRPr="009A4CF6" w:rsidRDefault="006B009F" w:rsidP="00A2212A">
      <w:pPr>
        <w:spacing w:line="360" w:lineRule="auto"/>
        <w:rPr>
          <w:sz w:val="26"/>
          <w:szCs w:val="26"/>
        </w:rPr>
      </w:pPr>
      <w:r w:rsidRPr="009A4CF6">
        <w:rPr>
          <w:sz w:val="26"/>
          <w:szCs w:val="26"/>
        </w:rPr>
        <w:tab/>
      </w:r>
      <w:r w:rsidR="00A2212A" w:rsidRPr="009A4CF6">
        <w:rPr>
          <w:sz w:val="26"/>
          <w:szCs w:val="26"/>
        </w:rPr>
        <w:t>PECO, which will implement accelerated switching for its electric customers per Commission regulations by December 15, 2014,</w:t>
      </w:r>
      <w:r w:rsidRPr="009A4CF6">
        <w:rPr>
          <w:sz w:val="26"/>
          <w:szCs w:val="26"/>
        </w:rPr>
        <w:t xml:space="preserve"> states that it</w:t>
      </w:r>
      <w:r w:rsidR="00A2212A" w:rsidRPr="009A4CF6">
        <w:rPr>
          <w:sz w:val="26"/>
          <w:szCs w:val="26"/>
        </w:rPr>
        <w:t xml:space="preserve"> will evaluate whether accelerated switching may be applied to its natural gas customers.  </w:t>
      </w:r>
      <w:r w:rsidRPr="009A4CF6">
        <w:rPr>
          <w:sz w:val="26"/>
          <w:szCs w:val="26"/>
        </w:rPr>
        <w:t xml:space="preserve">PECO </w:t>
      </w:r>
      <w:r w:rsidR="00A2212A" w:rsidRPr="009A4CF6">
        <w:rPr>
          <w:sz w:val="26"/>
          <w:szCs w:val="26"/>
        </w:rPr>
        <w:t xml:space="preserve">Comments at 7.  </w:t>
      </w:r>
    </w:p>
    <w:p w:rsidR="00A2212A" w:rsidRPr="009A4CF6" w:rsidRDefault="00A2212A" w:rsidP="00A2212A">
      <w:pPr>
        <w:spacing w:line="360" w:lineRule="auto"/>
        <w:rPr>
          <w:sz w:val="26"/>
          <w:szCs w:val="26"/>
        </w:rPr>
      </w:pPr>
    </w:p>
    <w:p w:rsidR="00A2212A" w:rsidRPr="009A4CF6" w:rsidRDefault="004708B8" w:rsidP="00A2212A">
      <w:pPr>
        <w:spacing w:line="360" w:lineRule="auto"/>
        <w:rPr>
          <w:sz w:val="26"/>
          <w:szCs w:val="26"/>
          <w:u w:val="single"/>
        </w:rPr>
      </w:pPr>
      <w:r w:rsidRPr="009A4CF6">
        <w:rPr>
          <w:sz w:val="26"/>
          <w:szCs w:val="26"/>
        </w:rPr>
        <w:tab/>
      </w:r>
      <w:r w:rsidRPr="009A4CF6">
        <w:rPr>
          <w:b/>
          <w:sz w:val="26"/>
          <w:szCs w:val="26"/>
        </w:rPr>
        <w:t>2.</w:t>
      </w:r>
      <w:r w:rsidRPr="009A4CF6">
        <w:rPr>
          <w:b/>
          <w:sz w:val="26"/>
          <w:szCs w:val="26"/>
        </w:rPr>
        <w:tab/>
      </w:r>
      <w:r w:rsidR="00A2212A" w:rsidRPr="009A4CF6">
        <w:rPr>
          <w:b/>
          <w:sz w:val="26"/>
          <w:szCs w:val="26"/>
        </w:rPr>
        <w:t>Disposition</w:t>
      </w:r>
    </w:p>
    <w:p w:rsidR="00A2212A" w:rsidRPr="009A4CF6" w:rsidRDefault="00A2212A" w:rsidP="00A2212A">
      <w:pPr>
        <w:spacing w:line="360" w:lineRule="auto"/>
        <w:rPr>
          <w:sz w:val="26"/>
          <w:szCs w:val="26"/>
        </w:rPr>
      </w:pPr>
    </w:p>
    <w:p w:rsidR="00A2212A" w:rsidRPr="009A4CF6" w:rsidRDefault="004708B8" w:rsidP="00A2212A">
      <w:pPr>
        <w:spacing w:line="360" w:lineRule="auto"/>
        <w:rPr>
          <w:sz w:val="26"/>
          <w:szCs w:val="26"/>
        </w:rPr>
      </w:pPr>
      <w:r w:rsidRPr="009A4CF6">
        <w:rPr>
          <w:sz w:val="26"/>
          <w:szCs w:val="26"/>
        </w:rPr>
        <w:tab/>
      </w:r>
      <w:r w:rsidR="005820D8">
        <w:rPr>
          <w:sz w:val="26"/>
          <w:szCs w:val="26"/>
        </w:rPr>
        <w:t>Upon review of the parties’ comments, we remain convinced that</w:t>
      </w:r>
      <w:r w:rsidR="00A2212A" w:rsidRPr="009A4CF6">
        <w:rPr>
          <w:sz w:val="26"/>
          <w:szCs w:val="26"/>
        </w:rPr>
        <w:t xml:space="preserve"> there is value in keeping the regulations as consistent as possible across both the electric and natural gas industries.  </w:t>
      </w:r>
      <w:r w:rsidR="005820D8">
        <w:rPr>
          <w:sz w:val="26"/>
          <w:szCs w:val="26"/>
        </w:rPr>
        <w:t>Although we acknowledge that</w:t>
      </w:r>
      <w:r w:rsidR="00A2212A" w:rsidRPr="009A4CF6">
        <w:rPr>
          <w:sz w:val="26"/>
          <w:szCs w:val="26"/>
        </w:rPr>
        <w:t xml:space="preserve"> inconsistencies in rules, procedures and timeframes can cause confusion and complicate compliance for suppliers</w:t>
      </w:r>
      <w:r w:rsidR="005820D8">
        <w:rPr>
          <w:sz w:val="26"/>
          <w:szCs w:val="26"/>
        </w:rPr>
        <w:t>,</w:t>
      </w:r>
      <w:r w:rsidR="00A2212A" w:rsidRPr="009A4CF6">
        <w:rPr>
          <w:sz w:val="26"/>
          <w:szCs w:val="26"/>
        </w:rPr>
        <w:t xml:space="preserve"> we still believe that there is plenty of room for improvement in the natural gas industry.  </w:t>
      </w:r>
    </w:p>
    <w:p w:rsidR="00A2212A" w:rsidRPr="009A4CF6" w:rsidRDefault="00A2212A" w:rsidP="00A2212A">
      <w:pPr>
        <w:spacing w:line="360" w:lineRule="auto"/>
        <w:rPr>
          <w:sz w:val="26"/>
          <w:szCs w:val="26"/>
        </w:rPr>
      </w:pPr>
    </w:p>
    <w:p w:rsidR="008969FC" w:rsidRPr="009A4CF6" w:rsidRDefault="004708B8" w:rsidP="00A2212A">
      <w:pPr>
        <w:spacing w:line="360" w:lineRule="auto"/>
        <w:rPr>
          <w:sz w:val="26"/>
          <w:szCs w:val="26"/>
        </w:rPr>
      </w:pPr>
      <w:r w:rsidRPr="009A4CF6">
        <w:rPr>
          <w:sz w:val="26"/>
          <w:szCs w:val="26"/>
        </w:rPr>
        <w:tab/>
      </w:r>
      <w:r w:rsidR="00A2212A" w:rsidRPr="009A4CF6">
        <w:rPr>
          <w:sz w:val="26"/>
          <w:szCs w:val="26"/>
        </w:rPr>
        <w:t xml:space="preserve">We also recognize </w:t>
      </w:r>
      <w:r w:rsidRPr="009A4CF6">
        <w:rPr>
          <w:sz w:val="26"/>
          <w:szCs w:val="26"/>
        </w:rPr>
        <w:t xml:space="preserve">the concerns expressed by RESA and UGIES regarding the </w:t>
      </w:r>
      <w:r w:rsidR="00A2212A" w:rsidRPr="009A4CF6">
        <w:rPr>
          <w:sz w:val="26"/>
          <w:szCs w:val="26"/>
        </w:rPr>
        <w:t>impacts on back office systems an</w:t>
      </w:r>
      <w:r w:rsidR="008969FC" w:rsidRPr="009A4CF6">
        <w:rPr>
          <w:sz w:val="26"/>
          <w:szCs w:val="26"/>
        </w:rPr>
        <w:t>d gas nomination processes.  Ho</w:t>
      </w:r>
      <w:r w:rsidR="00A2212A" w:rsidRPr="009A4CF6">
        <w:rPr>
          <w:sz w:val="26"/>
          <w:szCs w:val="26"/>
        </w:rPr>
        <w:t>wever,</w:t>
      </w:r>
      <w:r w:rsidR="008969FC" w:rsidRPr="009A4CF6">
        <w:rPr>
          <w:sz w:val="26"/>
          <w:szCs w:val="26"/>
        </w:rPr>
        <w:t xml:space="preserve"> we</w:t>
      </w:r>
      <w:r w:rsidR="00A2212A" w:rsidRPr="009A4CF6">
        <w:rPr>
          <w:sz w:val="26"/>
          <w:szCs w:val="26"/>
        </w:rPr>
        <w:t xml:space="preserve"> believe there are areas, such as the verifications process and ten-day waiting period found in 52 </w:t>
      </w:r>
      <w:r w:rsidR="00A2212A" w:rsidRPr="009A4CF6">
        <w:rPr>
          <w:sz w:val="26"/>
          <w:szCs w:val="26"/>
        </w:rPr>
        <w:lastRenderedPageBreak/>
        <w:t>Pa. Code § 59.93 (relating to customer contacts with NGSs), that may warrant c</w:t>
      </w:r>
      <w:r w:rsidR="008969FC" w:rsidRPr="009A4CF6">
        <w:rPr>
          <w:sz w:val="26"/>
          <w:szCs w:val="26"/>
        </w:rPr>
        <w:t>hanges to align them</w:t>
      </w:r>
      <w:r w:rsidR="00A2212A" w:rsidRPr="009A4CF6">
        <w:rPr>
          <w:sz w:val="26"/>
          <w:szCs w:val="26"/>
        </w:rPr>
        <w:t xml:space="preserve"> with the associated electric service regulations.  In addition, some changes, adjustments or advances in the NGS and NGDC back office processes may also be available to shorten the time it takes an NGDC to make a switch at an earlier billing period, while at the same time recognizing and minimizing the associated costs of such changes.  </w:t>
      </w:r>
    </w:p>
    <w:p w:rsidR="008969FC" w:rsidRPr="009A4CF6" w:rsidRDefault="008969FC" w:rsidP="00A2212A">
      <w:pPr>
        <w:spacing w:line="360" w:lineRule="auto"/>
        <w:rPr>
          <w:sz w:val="26"/>
          <w:szCs w:val="26"/>
        </w:rPr>
      </w:pPr>
    </w:p>
    <w:p w:rsidR="001C0A33" w:rsidRPr="009A4CF6" w:rsidRDefault="008969FC" w:rsidP="00CB1FC9">
      <w:pPr>
        <w:spacing w:line="360" w:lineRule="auto"/>
        <w:rPr>
          <w:sz w:val="26"/>
          <w:szCs w:val="26"/>
        </w:rPr>
      </w:pPr>
      <w:r w:rsidRPr="009A4CF6">
        <w:rPr>
          <w:sz w:val="26"/>
          <w:szCs w:val="26"/>
        </w:rPr>
        <w:tab/>
      </w:r>
      <w:r w:rsidR="00A2212A" w:rsidRPr="009A4CF6">
        <w:rPr>
          <w:sz w:val="26"/>
          <w:szCs w:val="26"/>
        </w:rPr>
        <w:t xml:space="preserve">Accordingly, we direct OCMO to explore this issue during the </w:t>
      </w:r>
      <w:r w:rsidR="00D06C4F" w:rsidRPr="009A4CF6">
        <w:rPr>
          <w:sz w:val="26"/>
          <w:szCs w:val="26"/>
        </w:rPr>
        <w:t>I</w:t>
      </w:r>
      <w:r w:rsidR="00A2212A" w:rsidRPr="009A4CF6">
        <w:rPr>
          <w:sz w:val="26"/>
          <w:szCs w:val="26"/>
        </w:rPr>
        <w:t xml:space="preserve">nvestigation and </w:t>
      </w:r>
      <w:r w:rsidR="00E22A05" w:rsidRPr="009A4CF6">
        <w:rPr>
          <w:sz w:val="26"/>
          <w:szCs w:val="26"/>
        </w:rPr>
        <w:t>provide recommendations to the Commission</w:t>
      </w:r>
      <w:r w:rsidR="005820D8">
        <w:rPr>
          <w:sz w:val="26"/>
          <w:szCs w:val="26"/>
        </w:rPr>
        <w:t xml:space="preserve"> no later than</w:t>
      </w:r>
      <w:r w:rsidR="00E22A05" w:rsidRPr="009A4CF6">
        <w:rPr>
          <w:sz w:val="26"/>
          <w:szCs w:val="26"/>
        </w:rPr>
        <w:t xml:space="preserve"> the second quarter of 2015.</w:t>
      </w:r>
    </w:p>
    <w:p w:rsidR="00A2212A" w:rsidRPr="009A4CF6" w:rsidRDefault="00A2212A" w:rsidP="00CB1FC9">
      <w:pPr>
        <w:spacing w:line="360" w:lineRule="auto"/>
        <w:rPr>
          <w:sz w:val="26"/>
          <w:szCs w:val="26"/>
        </w:rPr>
      </w:pPr>
    </w:p>
    <w:p w:rsidR="001C0A33" w:rsidRPr="009A4CF6" w:rsidRDefault="008969FC" w:rsidP="00CB1FC9">
      <w:pPr>
        <w:pStyle w:val="Heading2"/>
        <w:spacing w:before="0" w:line="360" w:lineRule="auto"/>
        <w:rPr>
          <w:rFonts w:ascii="Times New Roman" w:hAnsi="Times New Roman" w:cs="Times New Roman"/>
          <w:b w:val="0"/>
          <w:color w:val="auto"/>
        </w:rPr>
      </w:pPr>
      <w:bookmarkStart w:id="11" w:name="_Toc405359502"/>
      <w:r w:rsidRPr="009A4CF6">
        <w:rPr>
          <w:rFonts w:ascii="Times New Roman" w:hAnsi="Times New Roman" w:cs="Times New Roman"/>
          <w:color w:val="auto"/>
        </w:rPr>
        <w:t>J.</w:t>
      </w:r>
      <w:r w:rsidRPr="009A4CF6">
        <w:rPr>
          <w:rFonts w:ascii="Times New Roman" w:hAnsi="Times New Roman" w:cs="Times New Roman"/>
          <w:color w:val="auto"/>
        </w:rPr>
        <w:tab/>
      </w:r>
      <w:r w:rsidR="001C0A33" w:rsidRPr="009A4CF6">
        <w:rPr>
          <w:rFonts w:ascii="Times New Roman" w:hAnsi="Times New Roman" w:cs="Times New Roman"/>
          <w:color w:val="auto"/>
        </w:rPr>
        <w:t>Standard Offer Program</w:t>
      </w:r>
      <w:bookmarkEnd w:id="11"/>
    </w:p>
    <w:p w:rsidR="00BB1095" w:rsidRPr="009A4CF6" w:rsidRDefault="00BB1095" w:rsidP="00CB1FC9">
      <w:pPr>
        <w:spacing w:line="360" w:lineRule="auto"/>
        <w:rPr>
          <w:b/>
          <w:sz w:val="26"/>
          <w:szCs w:val="26"/>
        </w:rPr>
      </w:pPr>
    </w:p>
    <w:p w:rsidR="00677711" w:rsidRPr="009A4CF6" w:rsidRDefault="00BB1095" w:rsidP="00CB1FC9">
      <w:pPr>
        <w:spacing w:line="360" w:lineRule="auto"/>
        <w:rPr>
          <w:sz w:val="26"/>
          <w:szCs w:val="26"/>
        </w:rPr>
      </w:pPr>
      <w:r w:rsidRPr="009A4CF6">
        <w:rPr>
          <w:sz w:val="26"/>
          <w:szCs w:val="26"/>
        </w:rPr>
        <w:tab/>
        <w:t>In the Electric RMI Final Intermediate Work Plan Order, the Commission directed EDCs to file, as part of their default service plans</w:t>
      </w:r>
      <w:r w:rsidR="005820D8">
        <w:rPr>
          <w:sz w:val="26"/>
          <w:szCs w:val="26"/>
        </w:rPr>
        <w:t xml:space="preserve"> that would be effective June 1, 2013</w:t>
      </w:r>
      <w:r w:rsidRPr="009A4CF6">
        <w:rPr>
          <w:sz w:val="26"/>
          <w:szCs w:val="26"/>
        </w:rPr>
        <w:t>, a proposed Standard Offer Customer Referral Program (Standard Offer Program) to be provided to residential customers.</w:t>
      </w:r>
      <w:r w:rsidRPr="009A4CF6">
        <w:rPr>
          <w:rStyle w:val="FootnoteReference"/>
          <w:sz w:val="26"/>
          <w:szCs w:val="26"/>
        </w:rPr>
        <w:footnoteReference w:id="9"/>
      </w:r>
      <w:r w:rsidRPr="009A4CF6">
        <w:rPr>
          <w:sz w:val="26"/>
          <w:szCs w:val="26"/>
        </w:rPr>
        <w:t xml:space="preserve">  The Standard Offer Program would be a voluntary program in which a residential customer would be enrolled with a participating EGS who </w:t>
      </w:r>
      <w:r w:rsidR="00677711" w:rsidRPr="009A4CF6">
        <w:rPr>
          <w:sz w:val="26"/>
          <w:szCs w:val="26"/>
        </w:rPr>
        <w:t>would</w:t>
      </w:r>
      <w:r w:rsidRPr="009A4CF6">
        <w:rPr>
          <w:sz w:val="26"/>
          <w:szCs w:val="26"/>
        </w:rPr>
        <w:t xml:space="preserve"> provide </w:t>
      </w:r>
      <w:r w:rsidR="00677711" w:rsidRPr="009A4CF6">
        <w:rPr>
          <w:sz w:val="26"/>
          <w:szCs w:val="26"/>
        </w:rPr>
        <w:t>that customer with a</w:t>
      </w:r>
      <w:r w:rsidRPr="009A4CF6">
        <w:rPr>
          <w:sz w:val="26"/>
          <w:szCs w:val="26"/>
        </w:rPr>
        <w:t xml:space="preserve"> </w:t>
      </w:r>
      <w:r w:rsidR="00677711" w:rsidRPr="009A4CF6">
        <w:rPr>
          <w:sz w:val="26"/>
          <w:szCs w:val="26"/>
        </w:rPr>
        <w:t xml:space="preserve">fixed-price </w:t>
      </w:r>
      <w:r w:rsidRPr="009A4CF6">
        <w:rPr>
          <w:sz w:val="26"/>
          <w:szCs w:val="26"/>
        </w:rPr>
        <w:t>product, last</w:t>
      </w:r>
      <w:r w:rsidR="00677711" w:rsidRPr="009A4CF6">
        <w:rPr>
          <w:sz w:val="26"/>
          <w:szCs w:val="26"/>
        </w:rPr>
        <w:t>ing</w:t>
      </w:r>
      <w:r w:rsidRPr="009A4CF6">
        <w:rPr>
          <w:sz w:val="26"/>
          <w:szCs w:val="26"/>
        </w:rPr>
        <w:t xml:space="preserve"> between four months and one year, </w:t>
      </w:r>
      <w:r w:rsidR="00677711" w:rsidRPr="009A4CF6">
        <w:rPr>
          <w:sz w:val="26"/>
          <w:szCs w:val="26"/>
        </w:rPr>
        <w:t>at a seven percent (7%) discount from the PTC effective at the time of enrollment.  Participating customers would not be subject to the imposition of a termination penalty or fee at any time during the effective period of the standard offer.  At the conclusion of the standard offer period, absent affirmative customer action to enter into a new contract with the EGS, the customer’s enrollment with a different EGS or the customer’s return to default service, the customer would remain with the EGS on a month-to-month basis and would not be subject to any termination penalty or fee.</w:t>
      </w:r>
      <w:r w:rsidR="00AF6B82" w:rsidRPr="009A4CF6">
        <w:rPr>
          <w:sz w:val="26"/>
          <w:szCs w:val="26"/>
        </w:rPr>
        <w:br/>
      </w:r>
      <w:r w:rsidR="00AF6B82" w:rsidRPr="009A4CF6">
        <w:rPr>
          <w:sz w:val="26"/>
          <w:szCs w:val="26"/>
        </w:rPr>
        <w:br/>
      </w:r>
      <w:r w:rsidR="00AF6B82" w:rsidRPr="009A4CF6">
        <w:rPr>
          <w:sz w:val="26"/>
          <w:szCs w:val="26"/>
        </w:rPr>
        <w:lastRenderedPageBreak/>
        <w:tab/>
        <w:t>During the proceedings regarding the EDCs</w:t>
      </w:r>
      <w:r w:rsidR="00415B63" w:rsidRPr="009A4CF6">
        <w:rPr>
          <w:sz w:val="26"/>
          <w:szCs w:val="26"/>
        </w:rPr>
        <w:t>’</w:t>
      </w:r>
      <w:r w:rsidR="00AF6B82" w:rsidRPr="009A4CF6">
        <w:rPr>
          <w:sz w:val="26"/>
          <w:szCs w:val="26"/>
        </w:rPr>
        <w:t xml:space="preserve"> default service plans</w:t>
      </w:r>
      <w:r w:rsidR="00AF6B82" w:rsidRPr="009A4CF6">
        <w:rPr>
          <w:rStyle w:val="FootnoteReference"/>
          <w:sz w:val="26"/>
          <w:szCs w:val="26"/>
        </w:rPr>
        <w:footnoteReference w:id="10"/>
      </w:r>
      <w:r w:rsidR="00AF6B82" w:rsidRPr="009A4CF6">
        <w:rPr>
          <w:sz w:val="26"/>
          <w:szCs w:val="26"/>
        </w:rPr>
        <w:t xml:space="preserve"> to become effective June 1, 2013, the Commission determined that the Standard Offer Program</w:t>
      </w:r>
      <w:r w:rsidR="00415B63" w:rsidRPr="009A4CF6">
        <w:rPr>
          <w:sz w:val="26"/>
          <w:szCs w:val="26"/>
        </w:rPr>
        <w:t>s</w:t>
      </w:r>
      <w:r w:rsidR="00AF6B82" w:rsidRPr="009A4CF6">
        <w:rPr>
          <w:sz w:val="26"/>
          <w:szCs w:val="26"/>
        </w:rPr>
        <w:t xml:space="preserve"> should also be available for small commercial customers.</w:t>
      </w:r>
      <w:r w:rsidR="00E376AB" w:rsidRPr="009A4CF6">
        <w:rPr>
          <w:sz w:val="26"/>
          <w:szCs w:val="26"/>
        </w:rPr>
        <w:t xml:space="preserve">  Additionally, the Commission determined that the appropriate term length of the standard offe</w:t>
      </w:r>
      <w:r w:rsidR="00415B63" w:rsidRPr="009A4CF6">
        <w:rPr>
          <w:sz w:val="26"/>
          <w:szCs w:val="26"/>
        </w:rPr>
        <w:t>r product should be 12 months.  The Standard Offer Programs began in August of 2013 and</w:t>
      </w:r>
      <w:r w:rsidR="00ED5996" w:rsidRPr="009A4CF6">
        <w:rPr>
          <w:sz w:val="26"/>
          <w:szCs w:val="26"/>
        </w:rPr>
        <w:t>, as of October 31, 2014,</w:t>
      </w:r>
      <w:r w:rsidR="00415B63" w:rsidRPr="009A4CF6">
        <w:rPr>
          <w:sz w:val="26"/>
          <w:szCs w:val="26"/>
        </w:rPr>
        <w:t xml:space="preserve"> have enrolled over 280,000 residential and over 9,700 small commercial electric customers with a competitive supplier.</w:t>
      </w:r>
      <w:r w:rsidR="00ED5996" w:rsidRPr="009A4CF6">
        <w:rPr>
          <w:rStyle w:val="FootnoteReference"/>
          <w:sz w:val="26"/>
          <w:szCs w:val="26"/>
        </w:rPr>
        <w:footnoteReference w:id="11"/>
      </w:r>
    </w:p>
    <w:p w:rsidR="00415B63" w:rsidRPr="009A4CF6" w:rsidRDefault="00415B63" w:rsidP="00431EE2">
      <w:pPr>
        <w:spacing w:line="360" w:lineRule="auto"/>
        <w:rPr>
          <w:sz w:val="26"/>
          <w:szCs w:val="26"/>
        </w:rPr>
      </w:pPr>
    </w:p>
    <w:p w:rsidR="00415B63" w:rsidRPr="009A4CF6" w:rsidRDefault="00415B63" w:rsidP="00431EE2">
      <w:pPr>
        <w:spacing w:line="360" w:lineRule="auto"/>
        <w:rPr>
          <w:sz w:val="26"/>
          <w:szCs w:val="26"/>
        </w:rPr>
      </w:pPr>
      <w:r w:rsidRPr="009A4CF6">
        <w:rPr>
          <w:sz w:val="26"/>
          <w:szCs w:val="26"/>
        </w:rPr>
        <w:tab/>
        <w:t xml:space="preserve">In our </w:t>
      </w:r>
      <w:r w:rsidRPr="009A4CF6">
        <w:rPr>
          <w:i/>
          <w:sz w:val="26"/>
          <w:szCs w:val="26"/>
        </w:rPr>
        <w:t>Tentative Order</w:t>
      </w:r>
      <w:r w:rsidRPr="009A4CF6">
        <w:rPr>
          <w:sz w:val="26"/>
          <w:szCs w:val="26"/>
        </w:rPr>
        <w:t xml:space="preserve">, we recognized the benefits of the electric Standard Offer Programs, but expressed concern that the current retail natural gas market may not provide the environment needed to attract suppliers and/or consumers to a Standard Offer Program.  Therefore, we proposed that OCMO move consideration of the Standard Offer Programs for the natural gas industry to the later phases of the Investigation. </w:t>
      </w:r>
    </w:p>
    <w:p w:rsidR="00BB1095" w:rsidRPr="009A4CF6" w:rsidRDefault="00146843" w:rsidP="00431EE2">
      <w:pPr>
        <w:spacing w:line="360" w:lineRule="auto"/>
        <w:rPr>
          <w:b/>
          <w:sz w:val="26"/>
          <w:szCs w:val="26"/>
        </w:rPr>
      </w:pPr>
      <w:r w:rsidRPr="009A4CF6">
        <w:rPr>
          <w:sz w:val="26"/>
          <w:szCs w:val="26"/>
        </w:rPr>
        <w:tab/>
      </w:r>
    </w:p>
    <w:p w:rsidR="001C0A33" w:rsidRPr="009A4CF6" w:rsidRDefault="00ED5996" w:rsidP="00431EE2">
      <w:pPr>
        <w:spacing w:line="360" w:lineRule="auto"/>
        <w:rPr>
          <w:sz w:val="26"/>
          <w:szCs w:val="26"/>
        </w:rPr>
      </w:pPr>
      <w:r w:rsidRPr="009A4CF6">
        <w:rPr>
          <w:b/>
          <w:sz w:val="26"/>
          <w:szCs w:val="26"/>
        </w:rPr>
        <w:tab/>
        <w:t>1.</w:t>
      </w:r>
      <w:r w:rsidRPr="009A4CF6">
        <w:rPr>
          <w:b/>
          <w:sz w:val="26"/>
          <w:szCs w:val="26"/>
        </w:rPr>
        <w:tab/>
      </w:r>
      <w:r w:rsidR="001C0A33" w:rsidRPr="009A4CF6">
        <w:rPr>
          <w:b/>
          <w:sz w:val="26"/>
          <w:szCs w:val="26"/>
        </w:rPr>
        <w:t>Comments</w:t>
      </w:r>
    </w:p>
    <w:p w:rsidR="00ED5996" w:rsidRPr="009A4CF6" w:rsidRDefault="00ED5996" w:rsidP="00431EE2">
      <w:pPr>
        <w:spacing w:line="360" w:lineRule="auto"/>
        <w:rPr>
          <w:sz w:val="26"/>
          <w:szCs w:val="26"/>
        </w:rPr>
      </w:pPr>
    </w:p>
    <w:p w:rsidR="00ED5996" w:rsidRPr="009A4CF6" w:rsidRDefault="00DB229D" w:rsidP="00431EE2">
      <w:pPr>
        <w:spacing w:line="360" w:lineRule="auto"/>
        <w:rPr>
          <w:sz w:val="26"/>
          <w:szCs w:val="26"/>
        </w:rPr>
      </w:pPr>
      <w:r w:rsidRPr="009A4CF6">
        <w:rPr>
          <w:sz w:val="26"/>
          <w:szCs w:val="26"/>
        </w:rPr>
        <w:tab/>
        <w:t>OCA agrees</w:t>
      </w:r>
      <w:r w:rsidR="00B956E9" w:rsidRPr="009A4CF6">
        <w:rPr>
          <w:sz w:val="26"/>
          <w:szCs w:val="26"/>
        </w:rPr>
        <w:t xml:space="preserve"> with the Commission’s </w:t>
      </w:r>
      <w:r w:rsidR="004A6A27" w:rsidRPr="009A4CF6">
        <w:rPr>
          <w:sz w:val="26"/>
          <w:szCs w:val="26"/>
        </w:rPr>
        <w:t>observation</w:t>
      </w:r>
      <w:r w:rsidR="00B956E9" w:rsidRPr="009A4CF6">
        <w:rPr>
          <w:sz w:val="26"/>
          <w:szCs w:val="26"/>
        </w:rPr>
        <w:t xml:space="preserve"> in the </w:t>
      </w:r>
      <w:r w:rsidR="00B956E9" w:rsidRPr="009A4CF6">
        <w:rPr>
          <w:i/>
          <w:sz w:val="26"/>
          <w:szCs w:val="26"/>
        </w:rPr>
        <w:t>Ten</w:t>
      </w:r>
      <w:r w:rsidR="00415B63" w:rsidRPr="009A4CF6">
        <w:rPr>
          <w:i/>
          <w:sz w:val="26"/>
          <w:szCs w:val="26"/>
        </w:rPr>
        <w:t>tative Order</w:t>
      </w:r>
      <w:r w:rsidR="00415B63" w:rsidRPr="009A4CF6">
        <w:rPr>
          <w:sz w:val="26"/>
          <w:szCs w:val="26"/>
        </w:rPr>
        <w:t xml:space="preserve"> that exploring S</w:t>
      </w:r>
      <w:r w:rsidR="00B956E9" w:rsidRPr="009A4CF6">
        <w:rPr>
          <w:sz w:val="26"/>
          <w:szCs w:val="26"/>
        </w:rPr>
        <w:t xml:space="preserve">tandard </w:t>
      </w:r>
      <w:r w:rsidR="00415B63" w:rsidRPr="009A4CF6">
        <w:rPr>
          <w:sz w:val="26"/>
          <w:szCs w:val="26"/>
        </w:rPr>
        <w:t>O</w:t>
      </w:r>
      <w:r w:rsidR="00B956E9" w:rsidRPr="009A4CF6">
        <w:rPr>
          <w:sz w:val="26"/>
          <w:szCs w:val="26"/>
        </w:rPr>
        <w:t xml:space="preserve">ffer </w:t>
      </w:r>
      <w:r w:rsidR="00415B63" w:rsidRPr="009A4CF6">
        <w:rPr>
          <w:sz w:val="26"/>
          <w:szCs w:val="26"/>
        </w:rPr>
        <w:t>P</w:t>
      </w:r>
      <w:r w:rsidR="00B956E9" w:rsidRPr="009A4CF6">
        <w:rPr>
          <w:sz w:val="26"/>
          <w:szCs w:val="26"/>
        </w:rPr>
        <w:t xml:space="preserve">rograms in the retail natural gas market should be a lower priority at this time.  </w:t>
      </w:r>
      <w:r w:rsidR="00ED5996" w:rsidRPr="009A4CF6">
        <w:rPr>
          <w:sz w:val="26"/>
          <w:szCs w:val="26"/>
        </w:rPr>
        <w:t xml:space="preserve">OCA </w:t>
      </w:r>
      <w:r w:rsidR="00B956E9" w:rsidRPr="009A4CF6">
        <w:rPr>
          <w:sz w:val="26"/>
          <w:szCs w:val="26"/>
        </w:rPr>
        <w:t xml:space="preserve">Comments at 4.  </w:t>
      </w:r>
    </w:p>
    <w:p w:rsidR="00ED5996" w:rsidRPr="009A4CF6" w:rsidRDefault="00ED5996" w:rsidP="00431EE2">
      <w:pPr>
        <w:spacing w:line="360" w:lineRule="auto"/>
        <w:rPr>
          <w:sz w:val="26"/>
          <w:szCs w:val="26"/>
        </w:rPr>
      </w:pPr>
    </w:p>
    <w:p w:rsidR="00B956E9" w:rsidRPr="009A4CF6" w:rsidRDefault="00ED5996" w:rsidP="00431EE2">
      <w:pPr>
        <w:spacing w:line="360" w:lineRule="auto"/>
        <w:rPr>
          <w:sz w:val="26"/>
          <w:szCs w:val="26"/>
        </w:rPr>
      </w:pPr>
      <w:r w:rsidRPr="009A4CF6">
        <w:rPr>
          <w:sz w:val="26"/>
          <w:szCs w:val="26"/>
        </w:rPr>
        <w:tab/>
      </w:r>
      <w:r w:rsidR="00B956E9" w:rsidRPr="009A4CF6">
        <w:rPr>
          <w:sz w:val="26"/>
          <w:szCs w:val="26"/>
        </w:rPr>
        <w:t xml:space="preserve">In contrast, RESA believes the Commission should examine the development of </w:t>
      </w:r>
      <w:r w:rsidR="00415B63" w:rsidRPr="009A4CF6">
        <w:rPr>
          <w:sz w:val="26"/>
          <w:szCs w:val="26"/>
        </w:rPr>
        <w:t xml:space="preserve">Standard Offer Programs </w:t>
      </w:r>
      <w:r w:rsidR="00B956E9" w:rsidRPr="009A4CF6">
        <w:rPr>
          <w:sz w:val="26"/>
          <w:szCs w:val="26"/>
        </w:rPr>
        <w:t xml:space="preserve">in the </w:t>
      </w:r>
      <w:r w:rsidRPr="009A4CF6">
        <w:rPr>
          <w:sz w:val="26"/>
          <w:szCs w:val="26"/>
        </w:rPr>
        <w:t xml:space="preserve">retail natural </w:t>
      </w:r>
      <w:r w:rsidR="00B956E9" w:rsidRPr="009A4CF6">
        <w:rPr>
          <w:sz w:val="26"/>
          <w:szCs w:val="26"/>
        </w:rPr>
        <w:t xml:space="preserve">gas industry, in light of the Commission’s </w:t>
      </w:r>
      <w:r w:rsidR="00DC4C1B" w:rsidRPr="009A4CF6">
        <w:rPr>
          <w:sz w:val="26"/>
          <w:szCs w:val="26"/>
        </w:rPr>
        <w:lastRenderedPageBreak/>
        <w:t>success</w:t>
      </w:r>
      <w:r w:rsidR="00DB229D" w:rsidRPr="009A4CF6">
        <w:rPr>
          <w:sz w:val="26"/>
          <w:szCs w:val="26"/>
        </w:rPr>
        <w:t>ful,</w:t>
      </w:r>
      <w:r w:rsidR="00DC4C1B" w:rsidRPr="009A4CF6">
        <w:rPr>
          <w:sz w:val="26"/>
          <w:szCs w:val="26"/>
        </w:rPr>
        <w:t xml:space="preserve"> award-winning </w:t>
      </w:r>
      <w:r w:rsidR="00415B63" w:rsidRPr="009A4CF6">
        <w:rPr>
          <w:sz w:val="26"/>
          <w:szCs w:val="26"/>
        </w:rPr>
        <w:t xml:space="preserve">Standard Offer Program </w:t>
      </w:r>
      <w:r w:rsidR="00DC4C1B" w:rsidRPr="009A4CF6">
        <w:rPr>
          <w:sz w:val="26"/>
          <w:szCs w:val="26"/>
        </w:rPr>
        <w:t>in the electric industry</w:t>
      </w:r>
      <w:r w:rsidR="00B956E9" w:rsidRPr="009A4CF6">
        <w:rPr>
          <w:sz w:val="26"/>
          <w:szCs w:val="26"/>
        </w:rPr>
        <w:t xml:space="preserve">.  </w:t>
      </w:r>
      <w:r w:rsidRPr="009A4CF6">
        <w:rPr>
          <w:sz w:val="26"/>
          <w:szCs w:val="26"/>
        </w:rPr>
        <w:t xml:space="preserve">RESA </w:t>
      </w:r>
      <w:r w:rsidR="00B956E9" w:rsidRPr="009A4CF6">
        <w:rPr>
          <w:sz w:val="26"/>
          <w:szCs w:val="26"/>
        </w:rPr>
        <w:t>Comments at 8-9.</w:t>
      </w:r>
      <w:r w:rsidR="00415B63" w:rsidRPr="009A4CF6">
        <w:rPr>
          <w:sz w:val="26"/>
          <w:szCs w:val="26"/>
        </w:rPr>
        <w:t xml:space="preserve">  RESA believes a S</w:t>
      </w:r>
      <w:r w:rsidR="00DC4C1B" w:rsidRPr="009A4CF6">
        <w:rPr>
          <w:sz w:val="26"/>
          <w:szCs w:val="26"/>
        </w:rPr>
        <w:t xml:space="preserve">tandard </w:t>
      </w:r>
      <w:r w:rsidR="00415B63" w:rsidRPr="009A4CF6">
        <w:rPr>
          <w:sz w:val="26"/>
          <w:szCs w:val="26"/>
        </w:rPr>
        <w:t>O</w:t>
      </w:r>
      <w:r w:rsidR="00DC4C1B" w:rsidRPr="009A4CF6">
        <w:rPr>
          <w:sz w:val="26"/>
          <w:szCs w:val="26"/>
        </w:rPr>
        <w:t xml:space="preserve">ffer </w:t>
      </w:r>
      <w:r w:rsidR="00415B63" w:rsidRPr="009A4CF6">
        <w:rPr>
          <w:sz w:val="26"/>
          <w:szCs w:val="26"/>
        </w:rPr>
        <w:t>P</w:t>
      </w:r>
      <w:r w:rsidR="00DC4C1B" w:rsidRPr="009A4CF6">
        <w:rPr>
          <w:sz w:val="26"/>
          <w:szCs w:val="26"/>
        </w:rPr>
        <w:t xml:space="preserve">rogram would realize even greater success “if the NGDC could simply enroll a customer who wishes to participate rather than transferring the customer to a participating NGS.”  </w:t>
      </w:r>
      <w:r w:rsidR="00DC4C1B" w:rsidRPr="009A4CF6">
        <w:rPr>
          <w:i/>
          <w:sz w:val="26"/>
          <w:szCs w:val="26"/>
        </w:rPr>
        <w:t xml:space="preserve">Id. </w:t>
      </w:r>
      <w:r w:rsidR="00DC4C1B" w:rsidRPr="009A4CF6">
        <w:rPr>
          <w:sz w:val="26"/>
          <w:szCs w:val="26"/>
        </w:rPr>
        <w:t xml:space="preserve">at 9. </w:t>
      </w:r>
      <w:r w:rsidR="00B956E9" w:rsidRPr="009A4CF6">
        <w:rPr>
          <w:sz w:val="26"/>
          <w:szCs w:val="26"/>
        </w:rPr>
        <w:t xml:space="preserve"> </w:t>
      </w:r>
      <w:r w:rsidR="00DC4C1B" w:rsidRPr="009A4CF6">
        <w:rPr>
          <w:sz w:val="26"/>
          <w:szCs w:val="26"/>
        </w:rPr>
        <w:t xml:space="preserve">RESA contends that programs like the standard offer will educate consumers and attract more suppliers, yielding the development of a more diverse range of innovative product offerings to Pennsylvania customers.  </w:t>
      </w:r>
      <w:r w:rsidR="00DC4C1B" w:rsidRPr="009A4CF6">
        <w:rPr>
          <w:i/>
          <w:sz w:val="26"/>
          <w:szCs w:val="26"/>
        </w:rPr>
        <w:t>Id.</w:t>
      </w:r>
      <w:r w:rsidR="00DC4C1B" w:rsidRPr="009A4CF6">
        <w:rPr>
          <w:sz w:val="26"/>
          <w:szCs w:val="26"/>
        </w:rPr>
        <w:t xml:space="preserve"> at 10.  </w:t>
      </w:r>
    </w:p>
    <w:p w:rsidR="00B956E9" w:rsidRPr="009A4CF6" w:rsidRDefault="00B956E9" w:rsidP="00431EE2">
      <w:pPr>
        <w:spacing w:line="360" w:lineRule="auto"/>
        <w:rPr>
          <w:sz w:val="26"/>
          <w:szCs w:val="26"/>
        </w:rPr>
      </w:pPr>
    </w:p>
    <w:p w:rsidR="001C0A33" w:rsidRPr="009A4CF6" w:rsidRDefault="00E86DCE" w:rsidP="00431EE2">
      <w:pPr>
        <w:spacing w:line="360" w:lineRule="auto"/>
        <w:rPr>
          <w:sz w:val="26"/>
          <w:szCs w:val="26"/>
        </w:rPr>
      </w:pPr>
      <w:r w:rsidRPr="009A4CF6">
        <w:rPr>
          <w:b/>
          <w:sz w:val="26"/>
          <w:szCs w:val="26"/>
        </w:rPr>
        <w:tab/>
        <w:t>2.</w:t>
      </w:r>
      <w:r w:rsidRPr="009A4CF6">
        <w:rPr>
          <w:b/>
          <w:sz w:val="26"/>
          <w:szCs w:val="26"/>
        </w:rPr>
        <w:tab/>
      </w:r>
      <w:r w:rsidR="001C0A33" w:rsidRPr="009A4CF6">
        <w:rPr>
          <w:b/>
          <w:sz w:val="26"/>
          <w:szCs w:val="26"/>
        </w:rPr>
        <w:t>Disposition</w:t>
      </w:r>
    </w:p>
    <w:p w:rsidR="00E86DCE" w:rsidRPr="009A4CF6" w:rsidRDefault="00E86DCE" w:rsidP="00431EE2">
      <w:pPr>
        <w:spacing w:line="360" w:lineRule="auto"/>
        <w:rPr>
          <w:sz w:val="26"/>
          <w:szCs w:val="26"/>
        </w:rPr>
      </w:pPr>
    </w:p>
    <w:p w:rsidR="001C0A33" w:rsidRPr="009A4CF6" w:rsidRDefault="006B5BA0" w:rsidP="00431EE2">
      <w:pPr>
        <w:spacing w:line="360" w:lineRule="auto"/>
        <w:rPr>
          <w:sz w:val="26"/>
          <w:szCs w:val="26"/>
        </w:rPr>
      </w:pPr>
      <w:r w:rsidRPr="009A4CF6">
        <w:rPr>
          <w:sz w:val="26"/>
          <w:szCs w:val="26"/>
        </w:rPr>
        <w:tab/>
        <w:t xml:space="preserve">We are persuaded by RESA regarding the benefits of reviewing the potential provision of Standard Offer Programs in the retail natural gas market </w:t>
      </w:r>
      <w:r w:rsidR="004A6A27" w:rsidRPr="009A4CF6">
        <w:rPr>
          <w:sz w:val="26"/>
          <w:szCs w:val="26"/>
        </w:rPr>
        <w:t>earlier</w:t>
      </w:r>
      <w:r w:rsidRPr="009A4CF6">
        <w:rPr>
          <w:sz w:val="26"/>
          <w:szCs w:val="26"/>
        </w:rPr>
        <w:t xml:space="preserve"> in this Investigation than proposed in our </w:t>
      </w:r>
      <w:r w:rsidRPr="009A4CF6">
        <w:rPr>
          <w:i/>
          <w:sz w:val="26"/>
          <w:szCs w:val="26"/>
        </w:rPr>
        <w:t>Tentative Order</w:t>
      </w:r>
      <w:r w:rsidRPr="009A4CF6">
        <w:rPr>
          <w:sz w:val="26"/>
          <w:szCs w:val="26"/>
        </w:rPr>
        <w:t>.  While we remain concerned that the current natu</w:t>
      </w:r>
      <w:r w:rsidR="004A6A27" w:rsidRPr="009A4CF6">
        <w:rPr>
          <w:sz w:val="26"/>
          <w:szCs w:val="26"/>
        </w:rPr>
        <w:t>ral gas market may not provide sufficient incentive</w:t>
      </w:r>
      <w:r w:rsidRPr="009A4CF6">
        <w:rPr>
          <w:sz w:val="26"/>
          <w:szCs w:val="26"/>
        </w:rPr>
        <w:t xml:space="preserve"> for </w:t>
      </w:r>
      <w:r w:rsidR="004A6A27" w:rsidRPr="009A4CF6">
        <w:rPr>
          <w:sz w:val="26"/>
          <w:szCs w:val="26"/>
        </w:rPr>
        <w:t>NGS</w:t>
      </w:r>
      <w:r w:rsidRPr="009A4CF6">
        <w:rPr>
          <w:sz w:val="26"/>
          <w:szCs w:val="26"/>
        </w:rPr>
        <w:t xml:space="preserve"> participation in Standard Offer Programs, we agree with RESA that this concern, in and of itself, is not a reason to delay reviewing the </w:t>
      </w:r>
      <w:r w:rsidR="004A6A27" w:rsidRPr="009A4CF6">
        <w:rPr>
          <w:sz w:val="26"/>
          <w:szCs w:val="26"/>
        </w:rPr>
        <w:t>establishment</w:t>
      </w:r>
      <w:r w:rsidRPr="009A4CF6">
        <w:rPr>
          <w:sz w:val="26"/>
          <w:szCs w:val="26"/>
        </w:rPr>
        <w:t xml:space="preserve"> of the</w:t>
      </w:r>
      <w:r w:rsidR="004A6A27" w:rsidRPr="009A4CF6">
        <w:rPr>
          <w:sz w:val="26"/>
          <w:szCs w:val="26"/>
        </w:rPr>
        <w:t>se</w:t>
      </w:r>
      <w:r w:rsidRPr="009A4CF6">
        <w:rPr>
          <w:sz w:val="26"/>
          <w:szCs w:val="26"/>
        </w:rPr>
        <w:t xml:space="preserve"> Programs in the natural gas market.  Th</w:t>
      </w:r>
      <w:r w:rsidR="006D3E33" w:rsidRPr="009A4CF6">
        <w:rPr>
          <w:sz w:val="26"/>
          <w:szCs w:val="26"/>
        </w:rPr>
        <w:t xml:space="preserve">erefore, we direct OCMO to explore the </w:t>
      </w:r>
      <w:r w:rsidR="004A6A27" w:rsidRPr="009A4CF6">
        <w:rPr>
          <w:sz w:val="26"/>
          <w:szCs w:val="26"/>
        </w:rPr>
        <w:t xml:space="preserve">potential for the establishment </w:t>
      </w:r>
      <w:r w:rsidR="006D3E33" w:rsidRPr="009A4CF6">
        <w:rPr>
          <w:sz w:val="26"/>
          <w:szCs w:val="26"/>
        </w:rPr>
        <w:t>of Standard Offer Programs in the retail natural gas market</w:t>
      </w:r>
      <w:r w:rsidR="00101076">
        <w:rPr>
          <w:sz w:val="26"/>
          <w:szCs w:val="26"/>
        </w:rPr>
        <w:t xml:space="preserve"> earlier in this Investigation and provide a report to the Commission</w:t>
      </w:r>
      <w:r w:rsidR="006F61C6" w:rsidRPr="009A4CF6">
        <w:rPr>
          <w:sz w:val="26"/>
          <w:szCs w:val="26"/>
        </w:rPr>
        <w:t xml:space="preserve"> </w:t>
      </w:r>
      <w:r w:rsidR="005820D8">
        <w:rPr>
          <w:sz w:val="26"/>
          <w:szCs w:val="26"/>
        </w:rPr>
        <w:t>no later than</w:t>
      </w:r>
      <w:r w:rsidR="006F61C6" w:rsidRPr="009A4CF6">
        <w:rPr>
          <w:sz w:val="26"/>
          <w:szCs w:val="26"/>
        </w:rPr>
        <w:t xml:space="preserve"> the </w:t>
      </w:r>
      <w:r w:rsidR="00E22A05" w:rsidRPr="009A4CF6">
        <w:rPr>
          <w:sz w:val="26"/>
          <w:szCs w:val="26"/>
        </w:rPr>
        <w:t>second quarter</w:t>
      </w:r>
      <w:r w:rsidR="006F61C6" w:rsidRPr="009A4CF6">
        <w:rPr>
          <w:sz w:val="26"/>
          <w:szCs w:val="26"/>
        </w:rPr>
        <w:t xml:space="preserve"> of 2015.  Due to the operational differences between the retail electricity and retail natural gas ma</w:t>
      </w:r>
      <w:r w:rsidR="000947FD" w:rsidRPr="009A4CF6">
        <w:rPr>
          <w:sz w:val="26"/>
          <w:szCs w:val="26"/>
        </w:rPr>
        <w:t>rkets, OCMO</w:t>
      </w:r>
      <w:r w:rsidR="000E3077" w:rsidRPr="009A4CF6">
        <w:rPr>
          <w:sz w:val="26"/>
          <w:szCs w:val="26"/>
        </w:rPr>
        <w:t xml:space="preserve"> should schedule at least one</w:t>
      </w:r>
      <w:r w:rsidR="000947FD" w:rsidRPr="009A4CF6">
        <w:rPr>
          <w:sz w:val="26"/>
          <w:szCs w:val="26"/>
        </w:rPr>
        <w:t xml:space="preserve"> conference call </w:t>
      </w:r>
      <w:r w:rsidR="006F61C6" w:rsidRPr="009A4CF6">
        <w:rPr>
          <w:sz w:val="26"/>
          <w:szCs w:val="26"/>
        </w:rPr>
        <w:t>involving any interested stakeholder</w:t>
      </w:r>
      <w:r w:rsidR="000947FD" w:rsidRPr="009A4CF6">
        <w:rPr>
          <w:sz w:val="26"/>
          <w:szCs w:val="26"/>
        </w:rPr>
        <w:t>s</w:t>
      </w:r>
      <w:r w:rsidR="006F61C6" w:rsidRPr="009A4CF6">
        <w:rPr>
          <w:sz w:val="26"/>
          <w:szCs w:val="26"/>
        </w:rPr>
        <w:t>, the sole</w:t>
      </w:r>
      <w:r w:rsidR="000E3077" w:rsidRPr="009A4CF6">
        <w:rPr>
          <w:sz w:val="26"/>
          <w:szCs w:val="26"/>
        </w:rPr>
        <w:t xml:space="preserve"> purpose of which is to provide</w:t>
      </w:r>
      <w:r w:rsidR="006F61C6" w:rsidRPr="009A4CF6">
        <w:rPr>
          <w:sz w:val="26"/>
          <w:szCs w:val="26"/>
        </w:rPr>
        <w:t xml:space="preserve"> recommendations regarding the possible implementation of retail natural gas Standard Offer Programs.</w:t>
      </w:r>
      <w:r w:rsidR="000947FD" w:rsidRPr="009A4CF6">
        <w:rPr>
          <w:sz w:val="26"/>
          <w:szCs w:val="26"/>
        </w:rPr>
        <w:t xml:space="preserve">  OCMO may determine, following that first discussion, whether additional calls and/or the development of a working group may be appropriate in aiding in its development of Standard Offer Program recommendations.</w:t>
      </w:r>
    </w:p>
    <w:p w:rsidR="001C0A33" w:rsidRDefault="00415B63" w:rsidP="00CB1FC9">
      <w:pPr>
        <w:spacing w:line="360" w:lineRule="auto"/>
        <w:rPr>
          <w:sz w:val="26"/>
          <w:szCs w:val="26"/>
        </w:rPr>
      </w:pPr>
      <w:r w:rsidRPr="009A4CF6">
        <w:rPr>
          <w:sz w:val="26"/>
          <w:szCs w:val="26"/>
        </w:rPr>
        <w:tab/>
      </w:r>
    </w:p>
    <w:p w:rsidR="0075257B" w:rsidRPr="009A4CF6" w:rsidRDefault="0075257B" w:rsidP="00CB1FC9">
      <w:pPr>
        <w:spacing w:line="360" w:lineRule="auto"/>
        <w:rPr>
          <w:sz w:val="26"/>
          <w:szCs w:val="26"/>
        </w:rPr>
      </w:pPr>
    </w:p>
    <w:p w:rsidR="001C0A33" w:rsidRPr="009A4CF6" w:rsidRDefault="000E3077" w:rsidP="00CB1FC9">
      <w:pPr>
        <w:pStyle w:val="Heading2"/>
        <w:spacing w:before="0" w:line="360" w:lineRule="auto"/>
        <w:rPr>
          <w:rFonts w:ascii="Times New Roman" w:hAnsi="Times New Roman" w:cs="Times New Roman"/>
          <w:color w:val="auto"/>
        </w:rPr>
      </w:pPr>
      <w:bookmarkStart w:id="12" w:name="_Toc405359503"/>
      <w:r w:rsidRPr="009A4CF6">
        <w:rPr>
          <w:rFonts w:ascii="Times New Roman" w:hAnsi="Times New Roman" w:cs="Times New Roman"/>
          <w:color w:val="auto"/>
        </w:rPr>
        <w:lastRenderedPageBreak/>
        <w:t>K.</w:t>
      </w:r>
      <w:r w:rsidRPr="009A4CF6">
        <w:rPr>
          <w:rFonts w:ascii="Times New Roman" w:hAnsi="Times New Roman" w:cs="Times New Roman"/>
          <w:color w:val="auto"/>
        </w:rPr>
        <w:tab/>
      </w:r>
      <w:r w:rsidR="001C0A33" w:rsidRPr="009A4CF6">
        <w:rPr>
          <w:rFonts w:ascii="Times New Roman" w:hAnsi="Times New Roman" w:cs="Times New Roman"/>
          <w:color w:val="auto"/>
        </w:rPr>
        <w:t>Low-Income Customer Shopping</w:t>
      </w:r>
      <w:bookmarkEnd w:id="12"/>
    </w:p>
    <w:p w:rsidR="000E3077" w:rsidRPr="009A4CF6" w:rsidRDefault="000E3077" w:rsidP="00CB1FC9">
      <w:pPr>
        <w:spacing w:line="360" w:lineRule="auto"/>
        <w:rPr>
          <w:sz w:val="26"/>
          <w:szCs w:val="26"/>
        </w:rPr>
      </w:pPr>
    </w:p>
    <w:p w:rsidR="000E3077" w:rsidRPr="009A4CF6" w:rsidRDefault="000E3077" w:rsidP="00CB1FC9">
      <w:pPr>
        <w:spacing w:line="360" w:lineRule="auto"/>
        <w:rPr>
          <w:sz w:val="26"/>
          <w:szCs w:val="26"/>
        </w:rPr>
      </w:pPr>
      <w:r w:rsidRPr="009A4CF6">
        <w:rPr>
          <w:sz w:val="26"/>
          <w:szCs w:val="26"/>
        </w:rPr>
        <w:tab/>
      </w:r>
      <w:r w:rsidR="00400147" w:rsidRPr="009A4CF6">
        <w:rPr>
          <w:sz w:val="26"/>
          <w:szCs w:val="26"/>
        </w:rPr>
        <w:t xml:space="preserve">In our </w:t>
      </w:r>
      <w:r w:rsidR="00400147" w:rsidRPr="009A4CF6">
        <w:rPr>
          <w:i/>
          <w:sz w:val="26"/>
          <w:szCs w:val="26"/>
        </w:rPr>
        <w:t>Tentative Order</w:t>
      </w:r>
      <w:r w:rsidR="00400147" w:rsidRPr="009A4CF6">
        <w:rPr>
          <w:sz w:val="26"/>
          <w:szCs w:val="26"/>
        </w:rPr>
        <w:t>, we expressed our belief that the participation of low-income customers in the competitive market, including those participating in their EDC’s Customer Assistance Program (CAP), should be addressed within this Investigation, as we believe this group is most in need of ensuring that its statutorily-created right to shop is protected.</w:t>
      </w:r>
      <w:r w:rsidR="00400147" w:rsidRPr="009A4CF6">
        <w:rPr>
          <w:rStyle w:val="FootnoteReference"/>
          <w:sz w:val="26"/>
          <w:szCs w:val="26"/>
        </w:rPr>
        <w:footnoteReference w:id="12"/>
      </w:r>
      <w:r w:rsidR="00400147" w:rsidRPr="009A4CF6">
        <w:rPr>
          <w:sz w:val="26"/>
          <w:szCs w:val="26"/>
        </w:rPr>
        <w:t xml:space="preserve">  Therefore, we proposed that OCMO conduct a survey of the NGDCs on their CAP customer participation in the retail natural gas market and to then recommend any enhancements, as needed, in order to improve these programs.</w:t>
      </w:r>
    </w:p>
    <w:p w:rsidR="000E3077" w:rsidRPr="009A4CF6" w:rsidRDefault="000E3077" w:rsidP="00431EE2">
      <w:pPr>
        <w:spacing w:line="360" w:lineRule="auto"/>
        <w:rPr>
          <w:sz w:val="26"/>
          <w:szCs w:val="26"/>
        </w:rPr>
      </w:pPr>
    </w:p>
    <w:p w:rsidR="001C0A33" w:rsidRPr="009A4CF6" w:rsidRDefault="000E3077" w:rsidP="00431EE2">
      <w:pPr>
        <w:spacing w:line="360" w:lineRule="auto"/>
        <w:rPr>
          <w:b/>
          <w:sz w:val="26"/>
          <w:szCs w:val="26"/>
        </w:rPr>
      </w:pPr>
      <w:r w:rsidRPr="009A4CF6">
        <w:rPr>
          <w:sz w:val="26"/>
          <w:szCs w:val="26"/>
        </w:rPr>
        <w:tab/>
      </w:r>
      <w:r w:rsidRPr="009A4CF6">
        <w:rPr>
          <w:b/>
          <w:sz w:val="26"/>
          <w:szCs w:val="26"/>
        </w:rPr>
        <w:t>1.</w:t>
      </w:r>
      <w:r w:rsidRPr="009A4CF6">
        <w:rPr>
          <w:b/>
          <w:sz w:val="26"/>
          <w:szCs w:val="26"/>
        </w:rPr>
        <w:tab/>
      </w:r>
      <w:r w:rsidR="001C0A33" w:rsidRPr="009A4CF6">
        <w:rPr>
          <w:b/>
          <w:sz w:val="26"/>
          <w:szCs w:val="26"/>
        </w:rPr>
        <w:t>Comments</w:t>
      </w:r>
    </w:p>
    <w:p w:rsidR="000E3077" w:rsidRPr="009A4CF6" w:rsidRDefault="000E3077" w:rsidP="00431EE2">
      <w:pPr>
        <w:spacing w:line="360" w:lineRule="auto"/>
        <w:rPr>
          <w:sz w:val="26"/>
          <w:szCs w:val="26"/>
        </w:rPr>
      </w:pPr>
    </w:p>
    <w:p w:rsidR="00EA0739" w:rsidRPr="009A4CF6" w:rsidRDefault="00582FD9" w:rsidP="0097075D">
      <w:pPr>
        <w:spacing w:line="360" w:lineRule="auto"/>
        <w:rPr>
          <w:sz w:val="26"/>
          <w:szCs w:val="26"/>
        </w:rPr>
      </w:pPr>
      <w:r w:rsidRPr="009A4CF6">
        <w:rPr>
          <w:sz w:val="26"/>
          <w:szCs w:val="26"/>
        </w:rPr>
        <w:tab/>
        <w:t xml:space="preserve">OCA </w:t>
      </w:r>
      <w:r w:rsidR="0097075D" w:rsidRPr="009A4CF6">
        <w:rPr>
          <w:sz w:val="26"/>
          <w:szCs w:val="26"/>
        </w:rPr>
        <w:t xml:space="preserve">agrees with the Commission’s proposal to </w:t>
      </w:r>
      <w:r w:rsidR="00EA0739" w:rsidRPr="009A4CF6">
        <w:rPr>
          <w:sz w:val="26"/>
          <w:szCs w:val="26"/>
        </w:rPr>
        <w:t>direct</w:t>
      </w:r>
      <w:r w:rsidR="0097075D" w:rsidRPr="009A4CF6">
        <w:rPr>
          <w:sz w:val="26"/>
          <w:szCs w:val="26"/>
        </w:rPr>
        <w:t xml:space="preserve"> OCMO to conduct a survey of NGDC</w:t>
      </w:r>
      <w:r w:rsidR="00F14809" w:rsidRPr="009A4CF6">
        <w:rPr>
          <w:sz w:val="26"/>
          <w:szCs w:val="26"/>
        </w:rPr>
        <w:t xml:space="preserve">s regarding the </w:t>
      </w:r>
      <w:r w:rsidR="0097075D" w:rsidRPr="009A4CF6">
        <w:rPr>
          <w:sz w:val="26"/>
          <w:szCs w:val="26"/>
        </w:rPr>
        <w:t xml:space="preserve">participation in the retail gas market </w:t>
      </w:r>
      <w:r w:rsidR="00EA0739" w:rsidRPr="009A4CF6">
        <w:rPr>
          <w:sz w:val="26"/>
          <w:szCs w:val="26"/>
        </w:rPr>
        <w:t xml:space="preserve">by </w:t>
      </w:r>
      <w:r w:rsidR="0097075D" w:rsidRPr="009A4CF6">
        <w:rPr>
          <w:sz w:val="26"/>
          <w:szCs w:val="26"/>
        </w:rPr>
        <w:t xml:space="preserve">CAP </w:t>
      </w:r>
      <w:r w:rsidR="00F14809" w:rsidRPr="009A4CF6">
        <w:rPr>
          <w:sz w:val="26"/>
          <w:szCs w:val="26"/>
        </w:rPr>
        <w:t>customer</w:t>
      </w:r>
      <w:r w:rsidR="0097075D" w:rsidRPr="009A4CF6">
        <w:rPr>
          <w:sz w:val="26"/>
          <w:szCs w:val="26"/>
        </w:rPr>
        <w:t xml:space="preserve">s.  </w:t>
      </w:r>
      <w:r w:rsidR="00EA0739" w:rsidRPr="009A4CF6">
        <w:rPr>
          <w:sz w:val="26"/>
          <w:szCs w:val="26"/>
        </w:rPr>
        <w:t xml:space="preserve">OCA </w:t>
      </w:r>
      <w:r w:rsidR="0097075D" w:rsidRPr="009A4CF6">
        <w:rPr>
          <w:sz w:val="26"/>
          <w:szCs w:val="26"/>
        </w:rPr>
        <w:t xml:space="preserve">Comments at 4.  </w:t>
      </w:r>
    </w:p>
    <w:p w:rsidR="00EA0739" w:rsidRPr="009A4CF6" w:rsidRDefault="00EA0739" w:rsidP="0097075D">
      <w:pPr>
        <w:spacing w:line="360" w:lineRule="auto"/>
        <w:rPr>
          <w:sz w:val="26"/>
          <w:szCs w:val="26"/>
        </w:rPr>
      </w:pPr>
    </w:p>
    <w:p w:rsidR="001C0A33" w:rsidRPr="009A4CF6" w:rsidRDefault="00EA0739" w:rsidP="0097075D">
      <w:pPr>
        <w:spacing w:line="360" w:lineRule="auto"/>
        <w:rPr>
          <w:sz w:val="26"/>
          <w:szCs w:val="26"/>
        </w:rPr>
      </w:pPr>
      <w:r w:rsidRPr="009A4CF6">
        <w:rPr>
          <w:sz w:val="26"/>
          <w:szCs w:val="26"/>
        </w:rPr>
        <w:tab/>
      </w:r>
      <w:r w:rsidR="00582FD9" w:rsidRPr="009A4CF6">
        <w:rPr>
          <w:sz w:val="26"/>
          <w:szCs w:val="26"/>
        </w:rPr>
        <w:t>PULP</w:t>
      </w:r>
      <w:r w:rsidR="0097075D" w:rsidRPr="009A4CF6">
        <w:rPr>
          <w:sz w:val="26"/>
          <w:szCs w:val="26"/>
        </w:rPr>
        <w:t xml:space="preserve"> </w:t>
      </w:r>
      <w:r w:rsidRPr="009A4CF6">
        <w:rPr>
          <w:sz w:val="26"/>
          <w:szCs w:val="26"/>
        </w:rPr>
        <w:t>requests that</w:t>
      </w:r>
      <w:r w:rsidR="0097075D" w:rsidRPr="009A4CF6">
        <w:rPr>
          <w:sz w:val="26"/>
          <w:szCs w:val="26"/>
        </w:rPr>
        <w:t xml:space="preserve"> the Commission require OCMO to “engage in a comprehensive, balanced investigation to assess all aspects of low-income customer shopping” and that merely surveying NGDCs regarding CAP customer participation is inadequate to yield </w:t>
      </w:r>
      <w:r w:rsidR="007214CF" w:rsidRPr="009A4CF6">
        <w:rPr>
          <w:sz w:val="26"/>
          <w:szCs w:val="26"/>
        </w:rPr>
        <w:t xml:space="preserve">sufficient results.  </w:t>
      </w:r>
      <w:r w:rsidRPr="009A4CF6">
        <w:rPr>
          <w:sz w:val="26"/>
          <w:szCs w:val="26"/>
        </w:rPr>
        <w:t xml:space="preserve">PULP </w:t>
      </w:r>
      <w:r w:rsidR="0097075D" w:rsidRPr="009A4CF6">
        <w:rPr>
          <w:sz w:val="26"/>
          <w:szCs w:val="26"/>
        </w:rPr>
        <w:t xml:space="preserve">Comments at 4.  </w:t>
      </w:r>
      <w:r w:rsidR="007214CF" w:rsidRPr="009A4CF6">
        <w:rPr>
          <w:sz w:val="26"/>
          <w:szCs w:val="26"/>
        </w:rPr>
        <w:t>PULP stresse</w:t>
      </w:r>
      <w:r w:rsidRPr="009A4CF6">
        <w:rPr>
          <w:sz w:val="26"/>
          <w:szCs w:val="26"/>
        </w:rPr>
        <w:t>s</w:t>
      </w:r>
      <w:r w:rsidR="007214CF" w:rsidRPr="009A4CF6">
        <w:rPr>
          <w:sz w:val="26"/>
          <w:szCs w:val="26"/>
        </w:rPr>
        <w:t xml:space="preserve"> that rates for low-income shoppers, a vulnerable population, must remain consistent with the Commission’s Universal Service requirements.  PULP recommend</w:t>
      </w:r>
      <w:r w:rsidRPr="009A4CF6">
        <w:rPr>
          <w:sz w:val="26"/>
          <w:szCs w:val="26"/>
        </w:rPr>
        <w:t>s</w:t>
      </w:r>
      <w:r w:rsidR="007214CF" w:rsidRPr="009A4CF6">
        <w:rPr>
          <w:sz w:val="26"/>
          <w:szCs w:val="26"/>
        </w:rPr>
        <w:t xml:space="preserve"> that OCMO, when seeking data regarding low-income shopping, obtain specific information, such as the number of shopping CAP customers and low-income customers who have paid rates above the NGDC </w:t>
      </w:r>
      <w:r w:rsidRPr="009A4CF6">
        <w:rPr>
          <w:sz w:val="26"/>
          <w:szCs w:val="26"/>
        </w:rPr>
        <w:t>PTC</w:t>
      </w:r>
      <w:r w:rsidR="007214CF" w:rsidRPr="009A4CF6">
        <w:rPr>
          <w:sz w:val="26"/>
          <w:szCs w:val="26"/>
        </w:rPr>
        <w:t xml:space="preserve"> and the number of those shopping customer</w:t>
      </w:r>
      <w:r w:rsidRPr="009A4CF6">
        <w:rPr>
          <w:sz w:val="26"/>
          <w:szCs w:val="26"/>
        </w:rPr>
        <w:t>s</w:t>
      </w:r>
      <w:r w:rsidR="007214CF" w:rsidRPr="009A4CF6">
        <w:rPr>
          <w:sz w:val="26"/>
          <w:szCs w:val="26"/>
        </w:rPr>
        <w:t xml:space="preserve"> whose service was terminated at one point in the past three years.  </w:t>
      </w:r>
      <w:r w:rsidRPr="009A4CF6">
        <w:rPr>
          <w:sz w:val="26"/>
          <w:szCs w:val="26"/>
        </w:rPr>
        <w:t>PULP Comments at 4 and 7</w:t>
      </w:r>
      <w:r w:rsidR="007214CF" w:rsidRPr="009A4CF6">
        <w:rPr>
          <w:sz w:val="26"/>
          <w:szCs w:val="26"/>
        </w:rPr>
        <w:t xml:space="preserve">.  </w:t>
      </w:r>
    </w:p>
    <w:p w:rsidR="0097075D" w:rsidRPr="009A4CF6" w:rsidRDefault="0097075D" w:rsidP="00431EE2">
      <w:pPr>
        <w:spacing w:line="360" w:lineRule="auto"/>
        <w:rPr>
          <w:sz w:val="26"/>
          <w:szCs w:val="26"/>
        </w:rPr>
      </w:pPr>
    </w:p>
    <w:p w:rsidR="003D2DA9" w:rsidRPr="009A4CF6" w:rsidRDefault="003D2DA9" w:rsidP="00431EE2">
      <w:pPr>
        <w:spacing w:line="360" w:lineRule="auto"/>
        <w:rPr>
          <w:sz w:val="26"/>
          <w:szCs w:val="26"/>
        </w:rPr>
      </w:pPr>
      <w:r w:rsidRPr="009A4CF6">
        <w:rPr>
          <w:sz w:val="26"/>
          <w:szCs w:val="26"/>
        </w:rPr>
        <w:tab/>
      </w:r>
      <w:r w:rsidR="00582FD9" w:rsidRPr="009A4CF6">
        <w:rPr>
          <w:sz w:val="26"/>
          <w:szCs w:val="26"/>
        </w:rPr>
        <w:t xml:space="preserve">RESA believes the Commission should not bar low-income customers from </w:t>
      </w:r>
      <w:r w:rsidR="00582FD9" w:rsidRPr="009A4CF6">
        <w:rPr>
          <w:sz w:val="26"/>
          <w:szCs w:val="26"/>
        </w:rPr>
        <w:lastRenderedPageBreak/>
        <w:t xml:space="preserve">shopping for </w:t>
      </w:r>
      <w:r w:rsidR="000B2665" w:rsidRPr="009A4CF6">
        <w:rPr>
          <w:sz w:val="26"/>
          <w:szCs w:val="26"/>
        </w:rPr>
        <w:t xml:space="preserve">retain natural </w:t>
      </w:r>
      <w:r w:rsidR="00582FD9" w:rsidRPr="009A4CF6">
        <w:rPr>
          <w:sz w:val="26"/>
          <w:szCs w:val="26"/>
        </w:rPr>
        <w:t xml:space="preserve">gas supply and should not regulate the price of NGS offerings to low-income customers.  </w:t>
      </w:r>
      <w:r w:rsidR="000B2665" w:rsidRPr="009A4CF6">
        <w:rPr>
          <w:sz w:val="26"/>
          <w:szCs w:val="26"/>
        </w:rPr>
        <w:t xml:space="preserve">RESA </w:t>
      </w:r>
      <w:r w:rsidR="00582FD9" w:rsidRPr="009A4CF6">
        <w:rPr>
          <w:sz w:val="26"/>
          <w:szCs w:val="26"/>
        </w:rPr>
        <w:t xml:space="preserve">Comments at 23.  </w:t>
      </w:r>
    </w:p>
    <w:p w:rsidR="00582FD9" w:rsidRPr="009A4CF6" w:rsidRDefault="00582FD9" w:rsidP="00431EE2">
      <w:pPr>
        <w:spacing w:line="360" w:lineRule="auto"/>
        <w:rPr>
          <w:sz w:val="26"/>
          <w:szCs w:val="26"/>
        </w:rPr>
      </w:pPr>
    </w:p>
    <w:p w:rsidR="00582FD9" w:rsidRPr="009A4CF6" w:rsidRDefault="00582FD9" w:rsidP="00431EE2">
      <w:pPr>
        <w:spacing w:line="360" w:lineRule="auto"/>
        <w:rPr>
          <w:sz w:val="26"/>
          <w:szCs w:val="26"/>
        </w:rPr>
      </w:pPr>
      <w:r w:rsidRPr="009A4CF6">
        <w:rPr>
          <w:sz w:val="26"/>
          <w:szCs w:val="26"/>
        </w:rPr>
        <w:tab/>
        <w:t xml:space="preserve">PECO observes that the Commonwealth Court’s review of an appealed </w:t>
      </w:r>
      <w:r w:rsidR="000B2665" w:rsidRPr="009A4CF6">
        <w:rPr>
          <w:sz w:val="26"/>
          <w:szCs w:val="26"/>
        </w:rPr>
        <w:t>Commission</w:t>
      </w:r>
      <w:r w:rsidRPr="009A4CF6">
        <w:rPr>
          <w:sz w:val="26"/>
          <w:szCs w:val="26"/>
        </w:rPr>
        <w:t xml:space="preserve"> </w:t>
      </w:r>
      <w:r w:rsidR="000B2665" w:rsidRPr="009A4CF6">
        <w:rPr>
          <w:sz w:val="26"/>
          <w:szCs w:val="26"/>
        </w:rPr>
        <w:t>O</w:t>
      </w:r>
      <w:r w:rsidRPr="009A4CF6">
        <w:rPr>
          <w:sz w:val="26"/>
          <w:szCs w:val="26"/>
        </w:rPr>
        <w:t>rder</w:t>
      </w:r>
      <w:r w:rsidRPr="009A4CF6">
        <w:rPr>
          <w:rStyle w:val="FootnoteReference"/>
          <w:sz w:val="26"/>
          <w:szCs w:val="26"/>
        </w:rPr>
        <w:footnoteReference w:id="13"/>
      </w:r>
      <w:r w:rsidRPr="009A4CF6">
        <w:rPr>
          <w:sz w:val="26"/>
          <w:szCs w:val="26"/>
        </w:rPr>
        <w:t xml:space="preserve"> regarding PECO’s CAP shopping for low-income electric customers may have an impact on PECO’s CAP design.  Accordingly, PECO expects the Commonwealth Court’s decision will have a broader impact and application to any natural gas CAP design.  </w:t>
      </w:r>
      <w:r w:rsidR="000B2665" w:rsidRPr="009A4CF6">
        <w:rPr>
          <w:sz w:val="26"/>
          <w:szCs w:val="26"/>
        </w:rPr>
        <w:t xml:space="preserve">PECO </w:t>
      </w:r>
      <w:r w:rsidRPr="009A4CF6">
        <w:rPr>
          <w:sz w:val="26"/>
          <w:szCs w:val="26"/>
        </w:rPr>
        <w:t>Comments at 8</w:t>
      </w:r>
      <w:r w:rsidR="00CE546F" w:rsidRPr="009A4CF6">
        <w:rPr>
          <w:sz w:val="26"/>
          <w:szCs w:val="26"/>
        </w:rPr>
        <w:t xml:space="preserve">; </w:t>
      </w:r>
      <w:r w:rsidR="00CE546F" w:rsidRPr="009A4CF6">
        <w:rPr>
          <w:i/>
          <w:sz w:val="26"/>
          <w:szCs w:val="26"/>
        </w:rPr>
        <w:t>see</w:t>
      </w:r>
      <w:r w:rsidR="00CE546F" w:rsidRPr="009A4CF6">
        <w:rPr>
          <w:sz w:val="26"/>
          <w:szCs w:val="26"/>
        </w:rPr>
        <w:t xml:space="preserve"> </w:t>
      </w:r>
      <w:r w:rsidR="00CE546F" w:rsidRPr="009A4CF6">
        <w:rPr>
          <w:i/>
          <w:iCs/>
          <w:sz w:val="26"/>
          <w:szCs w:val="26"/>
        </w:rPr>
        <w:t>McCloskey v. Pa. PUC</w:t>
      </w:r>
      <w:r w:rsidR="00CE546F" w:rsidRPr="009A4CF6">
        <w:rPr>
          <w:sz w:val="26"/>
          <w:szCs w:val="26"/>
        </w:rPr>
        <w:t>, 596 CD 2014 (Pa. Cmwlth. Ct. 2014).</w:t>
      </w:r>
      <w:r w:rsidRPr="009A4CF6">
        <w:rPr>
          <w:sz w:val="26"/>
          <w:szCs w:val="26"/>
        </w:rPr>
        <w:t xml:space="preserve">    </w:t>
      </w:r>
    </w:p>
    <w:p w:rsidR="003D2DA9" w:rsidRPr="009A4CF6" w:rsidRDefault="003D2DA9" w:rsidP="00431EE2">
      <w:pPr>
        <w:spacing w:line="360" w:lineRule="auto"/>
        <w:rPr>
          <w:sz w:val="26"/>
          <w:szCs w:val="26"/>
        </w:rPr>
      </w:pPr>
    </w:p>
    <w:p w:rsidR="007214CF" w:rsidRPr="009A4CF6" w:rsidRDefault="00840CF8" w:rsidP="00431EE2">
      <w:pPr>
        <w:spacing w:line="360" w:lineRule="auto"/>
        <w:rPr>
          <w:sz w:val="26"/>
          <w:szCs w:val="26"/>
        </w:rPr>
      </w:pPr>
      <w:r w:rsidRPr="009A4CF6">
        <w:rPr>
          <w:b/>
          <w:sz w:val="26"/>
          <w:szCs w:val="26"/>
        </w:rPr>
        <w:tab/>
        <w:t>2.</w:t>
      </w:r>
      <w:r w:rsidRPr="009A4CF6">
        <w:rPr>
          <w:b/>
          <w:sz w:val="26"/>
          <w:szCs w:val="26"/>
        </w:rPr>
        <w:tab/>
      </w:r>
      <w:r w:rsidR="007214CF" w:rsidRPr="009A4CF6">
        <w:rPr>
          <w:b/>
          <w:sz w:val="26"/>
          <w:szCs w:val="26"/>
        </w:rPr>
        <w:t>Disposition</w:t>
      </w:r>
    </w:p>
    <w:p w:rsidR="00840CF8" w:rsidRPr="009A4CF6" w:rsidRDefault="00840CF8" w:rsidP="00431EE2">
      <w:pPr>
        <w:spacing w:line="360" w:lineRule="auto"/>
        <w:rPr>
          <w:sz w:val="26"/>
          <w:szCs w:val="26"/>
        </w:rPr>
      </w:pPr>
    </w:p>
    <w:p w:rsidR="007214CF" w:rsidRPr="009A4CF6" w:rsidRDefault="00CE546F" w:rsidP="009A4CF6">
      <w:pPr>
        <w:spacing w:line="360" w:lineRule="auto"/>
        <w:rPr>
          <w:sz w:val="26"/>
          <w:szCs w:val="26"/>
        </w:rPr>
      </w:pPr>
      <w:r w:rsidRPr="009A4CF6">
        <w:rPr>
          <w:sz w:val="26"/>
          <w:szCs w:val="26"/>
        </w:rPr>
        <w:tab/>
        <w:t xml:space="preserve">We will continue to monitor the Commonwealth Court’s review </w:t>
      </w:r>
      <w:r w:rsidR="00C20895" w:rsidRPr="009A4CF6">
        <w:rPr>
          <w:sz w:val="26"/>
          <w:szCs w:val="26"/>
        </w:rPr>
        <w:t xml:space="preserve">of the Commission Order </w:t>
      </w:r>
      <w:r w:rsidRPr="009A4CF6">
        <w:rPr>
          <w:sz w:val="26"/>
          <w:szCs w:val="26"/>
        </w:rPr>
        <w:t xml:space="preserve">in </w:t>
      </w:r>
      <w:r w:rsidRPr="009A4CF6">
        <w:rPr>
          <w:i/>
          <w:sz w:val="26"/>
          <w:szCs w:val="26"/>
        </w:rPr>
        <w:t>McCloskey v. Pa. PUC</w:t>
      </w:r>
      <w:r w:rsidRPr="009A4CF6">
        <w:rPr>
          <w:sz w:val="26"/>
          <w:szCs w:val="26"/>
        </w:rPr>
        <w:t xml:space="preserve">, 596 CD 2014.  The </w:t>
      </w:r>
      <w:r w:rsidR="00B565B5" w:rsidRPr="009A4CF6">
        <w:rPr>
          <w:sz w:val="26"/>
          <w:szCs w:val="26"/>
        </w:rPr>
        <w:t>Commission Order</w:t>
      </w:r>
      <w:r w:rsidR="00C20895" w:rsidRPr="009A4CF6">
        <w:rPr>
          <w:sz w:val="26"/>
          <w:szCs w:val="26"/>
        </w:rPr>
        <w:t xml:space="preserve"> had</w:t>
      </w:r>
      <w:r w:rsidR="00B565B5" w:rsidRPr="009A4CF6">
        <w:rPr>
          <w:sz w:val="26"/>
          <w:szCs w:val="26"/>
        </w:rPr>
        <w:t xml:space="preserve"> rejected PECO’s proposal to impose a limit on the shopping price for electric supply for CAP customers</w:t>
      </w:r>
      <w:r w:rsidR="00840CF8" w:rsidRPr="009A4CF6">
        <w:rPr>
          <w:sz w:val="26"/>
          <w:szCs w:val="26"/>
        </w:rPr>
        <w:t xml:space="preserve"> at or below PECO’s prevailing PTC</w:t>
      </w:r>
      <w:r w:rsidR="00B565B5" w:rsidRPr="009A4CF6">
        <w:rPr>
          <w:sz w:val="26"/>
          <w:szCs w:val="26"/>
        </w:rPr>
        <w:t>.</w:t>
      </w:r>
      <w:r w:rsidR="00B565B5" w:rsidRPr="009A4CF6">
        <w:rPr>
          <w:rStyle w:val="FootnoteReference"/>
          <w:sz w:val="26"/>
          <w:szCs w:val="26"/>
        </w:rPr>
        <w:footnoteReference w:id="14"/>
      </w:r>
      <w:r w:rsidR="00B565B5" w:rsidRPr="009A4CF6">
        <w:rPr>
          <w:sz w:val="26"/>
          <w:szCs w:val="26"/>
        </w:rPr>
        <w:t xml:space="preserve">  The </w:t>
      </w:r>
      <w:r w:rsidRPr="009A4CF6">
        <w:rPr>
          <w:sz w:val="26"/>
          <w:szCs w:val="26"/>
        </w:rPr>
        <w:t xml:space="preserve">Commission Order </w:t>
      </w:r>
      <w:r w:rsidR="00B565B5" w:rsidRPr="009A4CF6">
        <w:rPr>
          <w:sz w:val="26"/>
          <w:szCs w:val="26"/>
        </w:rPr>
        <w:t xml:space="preserve">also </w:t>
      </w:r>
      <w:r w:rsidRPr="009A4CF6">
        <w:rPr>
          <w:sz w:val="26"/>
          <w:szCs w:val="26"/>
        </w:rPr>
        <w:t>rejected OCA’s proposal to add a prohibition of termination or cancellation fees to PECO’s CAP Shopping Plan.</w:t>
      </w:r>
      <w:r w:rsidR="00B565B5" w:rsidRPr="009A4CF6">
        <w:rPr>
          <w:rStyle w:val="FootnoteReference"/>
          <w:sz w:val="26"/>
          <w:szCs w:val="26"/>
        </w:rPr>
        <w:footnoteReference w:id="15"/>
      </w:r>
      <w:r w:rsidR="0066749B" w:rsidRPr="009A4CF6">
        <w:rPr>
          <w:sz w:val="26"/>
          <w:szCs w:val="26"/>
        </w:rPr>
        <w:t xml:space="preserve">  The Commission had found that it lacked the statutory authority under </w:t>
      </w:r>
      <w:r w:rsidR="00DA009C" w:rsidRPr="009A4CF6">
        <w:rPr>
          <w:sz w:val="26"/>
          <w:szCs w:val="26"/>
        </w:rPr>
        <w:t xml:space="preserve">the </w:t>
      </w:r>
      <w:r w:rsidR="0066749B" w:rsidRPr="009A4CF6">
        <w:rPr>
          <w:sz w:val="26"/>
          <w:szCs w:val="26"/>
        </w:rPr>
        <w:t xml:space="preserve">Electric Generation Customer Choice and Competition Act to regulate EGS rates.  </w:t>
      </w:r>
      <w:r w:rsidR="0066749B" w:rsidRPr="009A4CF6">
        <w:rPr>
          <w:i/>
          <w:sz w:val="26"/>
          <w:szCs w:val="26"/>
        </w:rPr>
        <w:t>See</w:t>
      </w:r>
      <w:r w:rsidR="0066749B" w:rsidRPr="009A4CF6">
        <w:rPr>
          <w:sz w:val="26"/>
          <w:szCs w:val="26"/>
        </w:rPr>
        <w:t xml:space="preserve"> 66 Pa. C.S. §§ 2806, 2809. </w:t>
      </w:r>
      <w:r w:rsidR="00C20895" w:rsidRPr="009A4CF6">
        <w:rPr>
          <w:sz w:val="26"/>
          <w:szCs w:val="26"/>
        </w:rPr>
        <w:t xml:space="preserve"> In light of th</w:t>
      </w:r>
      <w:r w:rsidR="0066749B" w:rsidRPr="009A4CF6">
        <w:rPr>
          <w:sz w:val="26"/>
          <w:szCs w:val="26"/>
        </w:rPr>
        <w:t>e</w:t>
      </w:r>
      <w:r w:rsidR="00C20895" w:rsidRPr="009A4CF6">
        <w:rPr>
          <w:sz w:val="26"/>
          <w:szCs w:val="26"/>
        </w:rPr>
        <w:t xml:space="preserve"> pending judicial determination</w:t>
      </w:r>
      <w:r w:rsidR="0066749B" w:rsidRPr="009A4CF6">
        <w:rPr>
          <w:sz w:val="26"/>
          <w:szCs w:val="26"/>
        </w:rPr>
        <w:t xml:space="preserve"> at Commonwealth Court</w:t>
      </w:r>
      <w:r w:rsidR="00DA009C" w:rsidRPr="009A4CF6">
        <w:rPr>
          <w:sz w:val="26"/>
          <w:szCs w:val="26"/>
        </w:rPr>
        <w:t>,</w:t>
      </w:r>
      <w:r w:rsidR="00C20895" w:rsidRPr="009A4CF6">
        <w:rPr>
          <w:sz w:val="26"/>
          <w:szCs w:val="26"/>
        </w:rPr>
        <w:t xml:space="preserve"> we will not move forward on any initiatives that could affect an NGDC’s CAP design.  </w:t>
      </w:r>
      <w:r w:rsidR="004133B8" w:rsidRPr="009A4CF6">
        <w:rPr>
          <w:sz w:val="26"/>
          <w:szCs w:val="26"/>
        </w:rPr>
        <w:t xml:space="preserve">While we appreciate PULP’s requests to perform surveys to determine the level of low-income and CAP customer shopping, we believe it appropriate to await the outcome of the pending Commonwealth Court proceeding before moving forward. </w:t>
      </w:r>
    </w:p>
    <w:p w:rsidR="00CE546F" w:rsidRPr="009A4CF6" w:rsidRDefault="00CE546F" w:rsidP="00CB1FC9">
      <w:pPr>
        <w:spacing w:line="360" w:lineRule="auto"/>
        <w:rPr>
          <w:sz w:val="26"/>
          <w:szCs w:val="26"/>
        </w:rPr>
      </w:pPr>
    </w:p>
    <w:p w:rsidR="007214CF" w:rsidRPr="009A4CF6" w:rsidRDefault="00E24083" w:rsidP="00CB1FC9">
      <w:pPr>
        <w:pStyle w:val="Heading2"/>
        <w:spacing w:before="0" w:line="360" w:lineRule="auto"/>
        <w:rPr>
          <w:rFonts w:ascii="Times New Roman" w:hAnsi="Times New Roman" w:cs="Times New Roman"/>
          <w:b w:val="0"/>
          <w:color w:val="auto"/>
        </w:rPr>
      </w:pPr>
      <w:bookmarkStart w:id="13" w:name="_Toc405359504"/>
      <w:r w:rsidRPr="009A4CF6">
        <w:rPr>
          <w:rFonts w:ascii="Times New Roman" w:hAnsi="Times New Roman" w:cs="Times New Roman"/>
          <w:color w:val="auto"/>
        </w:rPr>
        <w:t>L.</w:t>
      </w:r>
      <w:r w:rsidRPr="009A4CF6">
        <w:rPr>
          <w:rFonts w:ascii="Times New Roman" w:hAnsi="Times New Roman" w:cs="Times New Roman"/>
          <w:color w:val="auto"/>
        </w:rPr>
        <w:tab/>
      </w:r>
      <w:r w:rsidR="007214CF" w:rsidRPr="009A4CF6">
        <w:rPr>
          <w:rFonts w:ascii="Times New Roman" w:hAnsi="Times New Roman" w:cs="Times New Roman"/>
          <w:color w:val="auto"/>
        </w:rPr>
        <w:t xml:space="preserve">Expanded </w:t>
      </w:r>
      <w:r w:rsidRPr="009A4CF6">
        <w:rPr>
          <w:rFonts w:ascii="Times New Roman" w:hAnsi="Times New Roman" w:cs="Times New Roman"/>
          <w:color w:val="auto"/>
        </w:rPr>
        <w:t>Consumer</w:t>
      </w:r>
      <w:r w:rsidR="007214CF" w:rsidRPr="009A4CF6">
        <w:rPr>
          <w:rFonts w:ascii="Times New Roman" w:hAnsi="Times New Roman" w:cs="Times New Roman"/>
          <w:color w:val="auto"/>
        </w:rPr>
        <w:t xml:space="preserve"> Education</w:t>
      </w:r>
      <w:bookmarkEnd w:id="13"/>
    </w:p>
    <w:p w:rsidR="00E24083" w:rsidRPr="009A4CF6" w:rsidRDefault="00E24083" w:rsidP="00CB1FC9">
      <w:pPr>
        <w:spacing w:line="360" w:lineRule="auto"/>
        <w:rPr>
          <w:sz w:val="26"/>
          <w:szCs w:val="26"/>
        </w:rPr>
      </w:pPr>
    </w:p>
    <w:p w:rsidR="0072300C" w:rsidRPr="009A4CF6" w:rsidRDefault="0072300C" w:rsidP="00CB1FC9">
      <w:pPr>
        <w:widowControl/>
        <w:tabs>
          <w:tab w:val="left" w:pos="-1170"/>
          <w:tab w:val="center" w:pos="0"/>
        </w:tabs>
        <w:spacing w:line="360" w:lineRule="auto"/>
        <w:ind w:firstLine="720"/>
        <w:rPr>
          <w:sz w:val="26"/>
          <w:szCs w:val="26"/>
        </w:rPr>
      </w:pPr>
      <w:r w:rsidRPr="009A4CF6">
        <w:rPr>
          <w:sz w:val="26"/>
          <w:szCs w:val="26"/>
        </w:rPr>
        <w:t xml:space="preserve">In its </w:t>
      </w:r>
      <w:r w:rsidRPr="009A4CF6">
        <w:rPr>
          <w:i/>
          <w:sz w:val="26"/>
          <w:szCs w:val="26"/>
        </w:rPr>
        <w:t>Tentative Order</w:t>
      </w:r>
      <w:r w:rsidRPr="009A4CF6">
        <w:rPr>
          <w:sz w:val="26"/>
          <w:szCs w:val="26"/>
        </w:rPr>
        <w:t xml:space="preserve">, the Commission proposed enhanced consumer education to increase awareness of </w:t>
      </w:r>
      <w:r w:rsidR="00B545EE" w:rsidRPr="009A4CF6">
        <w:rPr>
          <w:sz w:val="26"/>
          <w:szCs w:val="26"/>
        </w:rPr>
        <w:t xml:space="preserve">retail </w:t>
      </w:r>
      <w:r w:rsidRPr="009A4CF6">
        <w:rPr>
          <w:sz w:val="26"/>
          <w:szCs w:val="26"/>
        </w:rPr>
        <w:t xml:space="preserve">natural gas competition in Pennsylvania and to educate gas customers on the products and services in the competitive marketplace.  The Commission </w:t>
      </w:r>
      <w:r w:rsidR="00B545EE" w:rsidRPr="009A4CF6">
        <w:rPr>
          <w:sz w:val="26"/>
          <w:szCs w:val="26"/>
        </w:rPr>
        <w:t>proposed that</w:t>
      </w:r>
      <w:r w:rsidRPr="009A4CF6">
        <w:rPr>
          <w:sz w:val="26"/>
          <w:szCs w:val="26"/>
        </w:rPr>
        <w:t xml:space="preserve"> its Office of Communications, in coordination with OCMO, undertake a comprehensive review and analysis of PAGasSwitch.com</w:t>
      </w:r>
      <w:r w:rsidR="00B545EE" w:rsidRPr="009A4CF6">
        <w:rPr>
          <w:sz w:val="26"/>
          <w:szCs w:val="26"/>
        </w:rPr>
        <w:t xml:space="preserve"> </w:t>
      </w:r>
      <w:r w:rsidRPr="009A4CF6">
        <w:rPr>
          <w:sz w:val="26"/>
          <w:szCs w:val="26"/>
        </w:rPr>
        <w:t xml:space="preserve">and to explore potential improvements that would make PAGasSwitch.com comparable to </w:t>
      </w:r>
      <w:hyperlink r:id="rId9" w:history="1">
        <w:r w:rsidR="00B545EE" w:rsidRPr="009A4CF6">
          <w:rPr>
            <w:rStyle w:val="Hyperlink"/>
            <w:sz w:val="26"/>
            <w:szCs w:val="26"/>
          </w:rPr>
          <w:t>www.PAPowerSwitch.com</w:t>
        </w:r>
      </w:hyperlink>
      <w:r w:rsidR="00B545EE" w:rsidRPr="009A4CF6">
        <w:rPr>
          <w:sz w:val="26"/>
          <w:szCs w:val="26"/>
        </w:rPr>
        <w:t>.</w:t>
      </w:r>
      <w:r w:rsidR="00B545EE" w:rsidRPr="009A4CF6">
        <w:rPr>
          <w:rStyle w:val="FootnoteReference"/>
          <w:sz w:val="26"/>
          <w:szCs w:val="26"/>
        </w:rPr>
        <w:footnoteReference w:id="16"/>
      </w:r>
      <w:r w:rsidR="00B545EE" w:rsidRPr="009A4CF6">
        <w:rPr>
          <w:sz w:val="26"/>
          <w:szCs w:val="26"/>
        </w:rPr>
        <w:t xml:space="preserve"> </w:t>
      </w:r>
    </w:p>
    <w:p w:rsidR="0072300C" w:rsidRPr="009A4CF6" w:rsidRDefault="0072300C" w:rsidP="0072300C">
      <w:pPr>
        <w:widowControl/>
        <w:tabs>
          <w:tab w:val="left" w:pos="-1170"/>
          <w:tab w:val="center" w:pos="0"/>
        </w:tabs>
        <w:ind w:firstLine="720"/>
        <w:rPr>
          <w:sz w:val="26"/>
          <w:szCs w:val="26"/>
        </w:rPr>
      </w:pPr>
    </w:p>
    <w:p w:rsidR="0072300C" w:rsidRPr="009A4CF6" w:rsidRDefault="0072300C" w:rsidP="0072300C">
      <w:pPr>
        <w:widowControl/>
        <w:tabs>
          <w:tab w:val="left" w:pos="-1170"/>
          <w:tab w:val="center" w:pos="0"/>
        </w:tabs>
        <w:spacing w:line="360" w:lineRule="auto"/>
        <w:ind w:firstLine="720"/>
        <w:rPr>
          <w:sz w:val="26"/>
          <w:szCs w:val="26"/>
        </w:rPr>
      </w:pPr>
      <w:r w:rsidRPr="009A4CF6">
        <w:rPr>
          <w:sz w:val="26"/>
          <w:szCs w:val="26"/>
        </w:rPr>
        <w:t>The Commission continuously improves PAPowerSwitch.com to enhance the shopping experience for consumers in the retail electric market.  Recent efforts include:  giving small business customers the ability to shop in the same manner as residential customers; the ability to sign up for consumer alerts directly on the homepage; more in-depth information on fixed versus variable rates; new headers and links to simplify navigation within the website; new ways for consumers to sort and filter offers; new educational videos and fact sheets; and the launch of a mobile device site.</w:t>
      </w:r>
    </w:p>
    <w:p w:rsidR="0072300C" w:rsidRPr="009A4CF6" w:rsidRDefault="0072300C" w:rsidP="0072300C">
      <w:pPr>
        <w:widowControl/>
        <w:tabs>
          <w:tab w:val="left" w:pos="-1170"/>
          <w:tab w:val="center" w:pos="0"/>
        </w:tabs>
        <w:ind w:firstLine="720"/>
        <w:rPr>
          <w:sz w:val="26"/>
          <w:szCs w:val="26"/>
        </w:rPr>
      </w:pPr>
    </w:p>
    <w:p w:rsidR="0072300C" w:rsidRPr="009A4CF6" w:rsidRDefault="0072300C" w:rsidP="0072300C">
      <w:pPr>
        <w:widowControl/>
        <w:tabs>
          <w:tab w:val="left" w:pos="-1170"/>
          <w:tab w:val="center" w:pos="0"/>
        </w:tabs>
        <w:spacing w:line="360" w:lineRule="auto"/>
        <w:ind w:firstLine="720"/>
        <w:rPr>
          <w:sz w:val="26"/>
          <w:szCs w:val="26"/>
        </w:rPr>
      </w:pPr>
      <w:r w:rsidRPr="009A4CF6">
        <w:rPr>
          <w:sz w:val="26"/>
          <w:szCs w:val="26"/>
        </w:rPr>
        <w:t xml:space="preserve">Additionally, in its </w:t>
      </w:r>
      <w:r w:rsidRPr="009A4CF6">
        <w:rPr>
          <w:i/>
          <w:sz w:val="26"/>
          <w:szCs w:val="26"/>
        </w:rPr>
        <w:t>Tentative Order</w:t>
      </w:r>
      <w:r w:rsidR="002D4002" w:rsidRPr="009A4CF6">
        <w:rPr>
          <w:sz w:val="26"/>
          <w:szCs w:val="26"/>
        </w:rPr>
        <w:t>,</w:t>
      </w:r>
      <w:r w:rsidRPr="009A4CF6">
        <w:rPr>
          <w:sz w:val="26"/>
          <w:szCs w:val="26"/>
        </w:rPr>
        <w:t xml:space="preserve"> the Commission proposed a comprehensive statewide consumer education plan on </w:t>
      </w:r>
      <w:r w:rsidR="002D4002" w:rsidRPr="009A4CF6">
        <w:rPr>
          <w:sz w:val="26"/>
          <w:szCs w:val="26"/>
        </w:rPr>
        <w:t xml:space="preserve">retail </w:t>
      </w:r>
      <w:r w:rsidRPr="009A4CF6">
        <w:rPr>
          <w:sz w:val="26"/>
          <w:szCs w:val="26"/>
        </w:rPr>
        <w:t xml:space="preserve">natural gas competition, similar to the process established in the </w:t>
      </w:r>
      <w:r w:rsidR="002D4002" w:rsidRPr="009A4CF6">
        <w:rPr>
          <w:sz w:val="26"/>
          <w:szCs w:val="26"/>
        </w:rPr>
        <w:t>E</w:t>
      </w:r>
      <w:r w:rsidRPr="009A4CF6">
        <w:rPr>
          <w:sz w:val="26"/>
          <w:szCs w:val="26"/>
        </w:rPr>
        <w:t xml:space="preserve">lectric RMI, wherein the Commission will seek input from </w:t>
      </w:r>
      <w:r w:rsidR="002D4002" w:rsidRPr="009A4CF6">
        <w:rPr>
          <w:sz w:val="26"/>
          <w:szCs w:val="26"/>
        </w:rPr>
        <w:t>stakeholders</w:t>
      </w:r>
      <w:r w:rsidRPr="009A4CF6">
        <w:rPr>
          <w:sz w:val="26"/>
          <w:szCs w:val="26"/>
        </w:rPr>
        <w:t>, in an effort to better inform Pennsylvania’s residential and small business</w:t>
      </w:r>
      <w:r w:rsidR="002D4002" w:rsidRPr="009A4CF6">
        <w:rPr>
          <w:sz w:val="26"/>
          <w:szCs w:val="26"/>
        </w:rPr>
        <w:t xml:space="preserve"> retail natural</w:t>
      </w:r>
      <w:r w:rsidRPr="009A4CF6">
        <w:rPr>
          <w:sz w:val="26"/>
          <w:szCs w:val="26"/>
        </w:rPr>
        <w:t xml:space="preserve"> gas customers.</w:t>
      </w:r>
    </w:p>
    <w:p w:rsidR="0072300C" w:rsidRPr="009A4CF6" w:rsidRDefault="0072300C" w:rsidP="0072300C">
      <w:pPr>
        <w:widowControl/>
        <w:tabs>
          <w:tab w:val="left" w:pos="-1170"/>
          <w:tab w:val="center" w:pos="0"/>
        </w:tabs>
        <w:ind w:firstLine="720"/>
        <w:rPr>
          <w:sz w:val="26"/>
          <w:szCs w:val="26"/>
        </w:rPr>
      </w:pPr>
    </w:p>
    <w:p w:rsidR="0072300C" w:rsidRPr="009A4CF6" w:rsidRDefault="0072300C" w:rsidP="0072300C">
      <w:pPr>
        <w:widowControl/>
        <w:tabs>
          <w:tab w:val="left" w:pos="-1170"/>
          <w:tab w:val="center" w:pos="0"/>
        </w:tabs>
        <w:spacing w:line="360" w:lineRule="auto"/>
        <w:ind w:firstLine="720"/>
        <w:rPr>
          <w:sz w:val="26"/>
          <w:szCs w:val="26"/>
        </w:rPr>
      </w:pPr>
      <w:r w:rsidRPr="009A4CF6">
        <w:rPr>
          <w:sz w:val="26"/>
          <w:szCs w:val="26"/>
        </w:rPr>
        <w:t>In evaluating consumer education initiatives, the Commission will carefully consider the allocation of c</w:t>
      </w:r>
      <w:r w:rsidR="002D4002" w:rsidRPr="009A4CF6">
        <w:rPr>
          <w:sz w:val="26"/>
          <w:szCs w:val="26"/>
        </w:rPr>
        <w:t>osts to NGSs, NGDCs, ratepayers</w:t>
      </w:r>
      <w:r w:rsidRPr="009A4CF6">
        <w:rPr>
          <w:sz w:val="26"/>
          <w:szCs w:val="26"/>
        </w:rPr>
        <w:t xml:space="preserve"> and the Commission.</w:t>
      </w:r>
    </w:p>
    <w:p w:rsidR="0072300C" w:rsidRPr="009A4CF6" w:rsidRDefault="0072300C" w:rsidP="0072300C">
      <w:pPr>
        <w:rPr>
          <w:b/>
          <w:sz w:val="26"/>
          <w:szCs w:val="26"/>
        </w:rPr>
      </w:pPr>
    </w:p>
    <w:p w:rsidR="0072300C" w:rsidRPr="009A4CF6" w:rsidRDefault="002D4002" w:rsidP="0072300C">
      <w:pPr>
        <w:rPr>
          <w:b/>
          <w:sz w:val="26"/>
          <w:szCs w:val="26"/>
        </w:rPr>
      </w:pPr>
      <w:r w:rsidRPr="009A4CF6">
        <w:rPr>
          <w:b/>
          <w:sz w:val="26"/>
          <w:szCs w:val="26"/>
        </w:rPr>
        <w:tab/>
        <w:t>1.</w:t>
      </w:r>
      <w:r w:rsidRPr="009A4CF6">
        <w:rPr>
          <w:b/>
          <w:sz w:val="26"/>
          <w:szCs w:val="26"/>
        </w:rPr>
        <w:tab/>
      </w:r>
      <w:r w:rsidR="0072300C" w:rsidRPr="009A4CF6">
        <w:rPr>
          <w:b/>
          <w:sz w:val="26"/>
          <w:szCs w:val="26"/>
        </w:rPr>
        <w:t>Comments</w:t>
      </w:r>
    </w:p>
    <w:p w:rsidR="002D4002" w:rsidRPr="009A4CF6" w:rsidRDefault="002D4002" w:rsidP="0072300C">
      <w:pPr>
        <w:rPr>
          <w:b/>
          <w:sz w:val="26"/>
          <w:szCs w:val="26"/>
        </w:rPr>
      </w:pPr>
    </w:p>
    <w:p w:rsidR="0072300C" w:rsidRPr="009A4CF6" w:rsidRDefault="0072300C" w:rsidP="0072300C">
      <w:pPr>
        <w:rPr>
          <w:b/>
          <w:sz w:val="26"/>
          <w:szCs w:val="26"/>
        </w:rPr>
      </w:pPr>
    </w:p>
    <w:p w:rsidR="0072300C" w:rsidRPr="009A4CF6" w:rsidRDefault="0072300C" w:rsidP="0072300C">
      <w:pPr>
        <w:spacing w:line="360" w:lineRule="auto"/>
        <w:ind w:firstLine="720"/>
        <w:rPr>
          <w:sz w:val="26"/>
          <w:szCs w:val="26"/>
        </w:rPr>
      </w:pPr>
      <w:r w:rsidRPr="009A4CF6">
        <w:rPr>
          <w:sz w:val="26"/>
          <w:szCs w:val="26"/>
        </w:rPr>
        <w:t xml:space="preserve">PECO asserts that increasing </w:t>
      </w:r>
      <w:r w:rsidR="002D4002" w:rsidRPr="009A4CF6">
        <w:rPr>
          <w:sz w:val="26"/>
          <w:szCs w:val="26"/>
        </w:rPr>
        <w:t>consumer</w:t>
      </w:r>
      <w:r w:rsidRPr="009A4CF6">
        <w:rPr>
          <w:sz w:val="26"/>
          <w:szCs w:val="26"/>
        </w:rPr>
        <w:t xml:space="preserve"> education requires improvements to PAGasSwitch.com, including columns for “Contract Length” and “Contract Term” so that customers would more easily understand their contracts.  PECO also recommends discussion of variable priced contracts.  </w:t>
      </w:r>
      <w:r w:rsidR="002D4002" w:rsidRPr="009A4CF6">
        <w:rPr>
          <w:sz w:val="26"/>
          <w:szCs w:val="26"/>
        </w:rPr>
        <w:t xml:space="preserve">PECO </w:t>
      </w:r>
      <w:r w:rsidRPr="009A4CF6">
        <w:rPr>
          <w:sz w:val="26"/>
          <w:szCs w:val="26"/>
        </w:rPr>
        <w:t xml:space="preserve">Comments at 8; </w:t>
      </w:r>
      <w:r w:rsidRPr="009A4CF6">
        <w:rPr>
          <w:i/>
          <w:sz w:val="26"/>
          <w:szCs w:val="26"/>
        </w:rPr>
        <w:t xml:space="preserve">see also </w:t>
      </w:r>
      <w:r w:rsidRPr="009A4CF6">
        <w:rPr>
          <w:sz w:val="26"/>
          <w:szCs w:val="26"/>
        </w:rPr>
        <w:t>Washington Gas Comments at 3</w:t>
      </w:r>
      <w:r w:rsidR="00C51AE3" w:rsidRPr="009A4CF6">
        <w:rPr>
          <w:sz w:val="26"/>
          <w:szCs w:val="26"/>
        </w:rPr>
        <w:t>;</w:t>
      </w:r>
      <w:r w:rsidRPr="009A4CF6">
        <w:rPr>
          <w:sz w:val="26"/>
          <w:szCs w:val="26"/>
        </w:rPr>
        <w:t xml:space="preserve"> </w:t>
      </w:r>
      <w:r w:rsidR="004708B8" w:rsidRPr="009A4CF6">
        <w:rPr>
          <w:sz w:val="26"/>
          <w:szCs w:val="26"/>
        </w:rPr>
        <w:t>UGIES</w:t>
      </w:r>
      <w:r w:rsidRPr="009A4CF6">
        <w:rPr>
          <w:sz w:val="26"/>
          <w:szCs w:val="26"/>
        </w:rPr>
        <w:t xml:space="preserve"> Comments at 3.  PECO believes the costs of a comprehensive consumer education plan to enhance the retail</w:t>
      </w:r>
      <w:r w:rsidR="002D4002" w:rsidRPr="009A4CF6">
        <w:rPr>
          <w:sz w:val="26"/>
          <w:szCs w:val="26"/>
        </w:rPr>
        <w:t xml:space="preserve"> natural</w:t>
      </w:r>
      <w:r w:rsidRPr="009A4CF6">
        <w:rPr>
          <w:sz w:val="26"/>
          <w:szCs w:val="26"/>
        </w:rPr>
        <w:t xml:space="preserve"> gas supply market should be allocated 50-50 between NGDCs and NGSs, recoverable through a non-bypassable surcharge mechanism. </w:t>
      </w:r>
      <w:r w:rsidR="00C51AE3" w:rsidRPr="009A4CF6">
        <w:rPr>
          <w:sz w:val="26"/>
          <w:szCs w:val="26"/>
        </w:rPr>
        <w:t xml:space="preserve"> </w:t>
      </w:r>
      <w:r w:rsidR="002D4002" w:rsidRPr="009A4CF6">
        <w:rPr>
          <w:sz w:val="26"/>
          <w:szCs w:val="26"/>
        </w:rPr>
        <w:t xml:space="preserve">PECO </w:t>
      </w:r>
      <w:r w:rsidRPr="009A4CF6">
        <w:rPr>
          <w:sz w:val="26"/>
          <w:szCs w:val="26"/>
        </w:rPr>
        <w:t>Comments at 9.</w:t>
      </w:r>
    </w:p>
    <w:p w:rsidR="0072300C" w:rsidRPr="009A4CF6" w:rsidRDefault="0072300C" w:rsidP="0072300C">
      <w:pPr>
        <w:rPr>
          <w:sz w:val="26"/>
          <w:szCs w:val="26"/>
          <w:u w:val="single"/>
        </w:rPr>
      </w:pPr>
    </w:p>
    <w:p w:rsidR="0072300C" w:rsidRPr="009A4CF6" w:rsidRDefault="0072300C" w:rsidP="0072300C">
      <w:pPr>
        <w:spacing w:line="360" w:lineRule="auto"/>
        <w:rPr>
          <w:sz w:val="26"/>
          <w:szCs w:val="26"/>
        </w:rPr>
      </w:pPr>
      <w:r w:rsidRPr="009A4CF6">
        <w:rPr>
          <w:sz w:val="26"/>
          <w:szCs w:val="26"/>
        </w:rPr>
        <w:t xml:space="preserve">            </w:t>
      </w:r>
      <w:r w:rsidR="002D4002" w:rsidRPr="009A4CF6">
        <w:rPr>
          <w:sz w:val="26"/>
          <w:szCs w:val="26"/>
        </w:rPr>
        <w:t>OCA asks</w:t>
      </w:r>
      <w:r w:rsidRPr="009A4CF6">
        <w:rPr>
          <w:sz w:val="26"/>
          <w:szCs w:val="26"/>
        </w:rPr>
        <w:t xml:space="preserve"> the Commission to conduct a survey, possibly in coordination with a survey regarding participation by CAP customers in the retail </w:t>
      </w:r>
      <w:r w:rsidR="002D4002" w:rsidRPr="009A4CF6">
        <w:rPr>
          <w:sz w:val="26"/>
          <w:szCs w:val="26"/>
        </w:rPr>
        <w:t xml:space="preserve">natural </w:t>
      </w:r>
      <w:r w:rsidRPr="009A4CF6">
        <w:rPr>
          <w:sz w:val="26"/>
          <w:szCs w:val="26"/>
        </w:rPr>
        <w:t>gas market, as to customer satisfaction with the</w:t>
      </w:r>
      <w:r w:rsidR="002D4002" w:rsidRPr="009A4CF6">
        <w:rPr>
          <w:sz w:val="26"/>
          <w:szCs w:val="26"/>
        </w:rPr>
        <w:t xml:space="preserve"> retail natural</w:t>
      </w:r>
      <w:r w:rsidRPr="009A4CF6">
        <w:rPr>
          <w:sz w:val="26"/>
          <w:szCs w:val="26"/>
        </w:rPr>
        <w:t xml:space="preserve"> gas marketplace.  </w:t>
      </w:r>
      <w:r w:rsidR="002D4002" w:rsidRPr="009A4CF6">
        <w:rPr>
          <w:sz w:val="26"/>
          <w:szCs w:val="26"/>
        </w:rPr>
        <w:t xml:space="preserve">OCA </w:t>
      </w:r>
      <w:r w:rsidRPr="009A4CF6">
        <w:rPr>
          <w:sz w:val="26"/>
          <w:szCs w:val="26"/>
        </w:rPr>
        <w:t xml:space="preserve">Comments at 4.  </w:t>
      </w:r>
    </w:p>
    <w:p w:rsidR="0072300C" w:rsidRPr="009A4CF6" w:rsidRDefault="0072300C" w:rsidP="0072300C">
      <w:pPr>
        <w:rPr>
          <w:sz w:val="26"/>
          <w:szCs w:val="26"/>
        </w:rPr>
      </w:pPr>
    </w:p>
    <w:p w:rsidR="0072300C" w:rsidRPr="009A4CF6" w:rsidRDefault="0072300C" w:rsidP="002D4002">
      <w:pPr>
        <w:spacing w:line="360" w:lineRule="auto"/>
        <w:rPr>
          <w:sz w:val="26"/>
          <w:szCs w:val="26"/>
        </w:rPr>
      </w:pPr>
      <w:r w:rsidRPr="009A4CF6">
        <w:rPr>
          <w:sz w:val="26"/>
          <w:szCs w:val="26"/>
        </w:rPr>
        <w:tab/>
        <w:t xml:space="preserve">The PA Marketers ask the Commission to mandate joint consumer education for both </w:t>
      </w:r>
      <w:r w:rsidR="002D4002" w:rsidRPr="009A4CF6">
        <w:rPr>
          <w:sz w:val="26"/>
          <w:szCs w:val="26"/>
        </w:rPr>
        <w:t xml:space="preserve">retail </w:t>
      </w:r>
      <w:r w:rsidRPr="009A4CF6">
        <w:rPr>
          <w:sz w:val="26"/>
          <w:szCs w:val="26"/>
        </w:rPr>
        <w:t>electric and natural gas customers.  The PA Marketers recommend collaboration with the American Coalition of Competitive Energy Suppliers, which could provide</w:t>
      </w:r>
      <w:r w:rsidR="002D4002" w:rsidRPr="009A4CF6">
        <w:rPr>
          <w:sz w:val="26"/>
          <w:szCs w:val="26"/>
        </w:rPr>
        <w:t xml:space="preserve"> </w:t>
      </w:r>
      <w:r w:rsidRPr="009A4CF6">
        <w:rPr>
          <w:sz w:val="26"/>
          <w:szCs w:val="26"/>
        </w:rPr>
        <w:t>the Commission</w:t>
      </w:r>
      <w:r w:rsidR="002D4002" w:rsidRPr="009A4CF6">
        <w:rPr>
          <w:sz w:val="26"/>
          <w:szCs w:val="26"/>
        </w:rPr>
        <w:t xml:space="preserve">, at no cost, </w:t>
      </w:r>
      <w:r w:rsidRPr="009A4CF6">
        <w:rPr>
          <w:sz w:val="26"/>
          <w:szCs w:val="26"/>
        </w:rPr>
        <w:t>cont</w:t>
      </w:r>
      <w:r w:rsidR="002D4002" w:rsidRPr="009A4CF6">
        <w:rPr>
          <w:sz w:val="26"/>
          <w:szCs w:val="26"/>
        </w:rPr>
        <w:t xml:space="preserve">ent and information at no cost.  PA Marketers Comments at 4.  </w:t>
      </w:r>
    </w:p>
    <w:p w:rsidR="002D4002" w:rsidRPr="009A4CF6" w:rsidRDefault="002D4002" w:rsidP="002D4002">
      <w:pPr>
        <w:spacing w:line="360" w:lineRule="auto"/>
        <w:rPr>
          <w:sz w:val="26"/>
          <w:szCs w:val="26"/>
        </w:rPr>
      </w:pPr>
    </w:p>
    <w:p w:rsidR="0072300C" w:rsidRPr="009A4CF6" w:rsidRDefault="0072300C" w:rsidP="0072300C">
      <w:pPr>
        <w:spacing w:line="360" w:lineRule="auto"/>
        <w:rPr>
          <w:sz w:val="26"/>
          <w:szCs w:val="26"/>
        </w:rPr>
      </w:pPr>
      <w:r w:rsidRPr="009A4CF6">
        <w:rPr>
          <w:sz w:val="26"/>
          <w:szCs w:val="26"/>
        </w:rPr>
        <w:tab/>
        <w:t xml:space="preserve">PULP asks OCMO to develop consumer education programs specifically targeted to low-income customers and households.  </w:t>
      </w:r>
      <w:r w:rsidR="002D4002" w:rsidRPr="009A4CF6">
        <w:rPr>
          <w:sz w:val="26"/>
          <w:szCs w:val="26"/>
        </w:rPr>
        <w:t xml:space="preserve">PULP </w:t>
      </w:r>
      <w:r w:rsidRPr="009A4CF6">
        <w:rPr>
          <w:sz w:val="26"/>
          <w:szCs w:val="26"/>
        </w:rPr>
        <w:t>Comments at 8-9.</w:t>
      </w:r>
    </w:p>
    <w:p w:rsidR="0072300C" w:rsidRPr="009A4CF6" w:rsidRDefault="0072300C" w:rsidP="0072300C">
      <w:pPr>
        <w:rPr>
          <w:sz w:val="26"/>
          <w:szCs w:val="26"/>
        </w:rPr>
      </w:pPr>
    </w:p>
    <w:p w:rsidR="0072300C" w:rsidRPr="009A4CF6" w:rsidRDefault="0072300C" w:rsidP="0072300C">
      <w:pPr>
        <w:spacing w:line="360" w:lineRule="auto"/>
        <w:rPr>
          <w:sz w:val="26"/>
          <w:szCs w:val="26"/>
        </w:rPr>
      </w:pPr>
      <w:r w:rsidRPr="009A4CF6">
        <w:rPr>
          <w:sz w:val="26"/>
          <w:szCs w:val="26"/>
        </w:rPr>
        <w:tab/>
        <w:t xml:space="preserve">Aside from enhancements to PaGasSwitch.com, RESA recommends a statewide consumer education campaign, assigning the costs to the NGDCs </w:t>
      </w:r>
      <w:r w:rsidR="00524FC9" w:rsidRPr="009A4CF6">
        <w:rPr>
          <w:sz w:val="26"/>
          <w:szCs w:val="26"/>
        </w:rPr>
        <w:t>who</w:t>
      </w:r>
      <w:r w:rsidRPr="009A4CF6">
        <w:rPr>
          <w:sz w:val="26"/>
          <w:szCs w:val="26"/>
        </w:rPr>
        <w:t xml:space="preserve"> can</w:t>
      </w:r>
      <w:r w:rsidR="00524FC9" w:rsidRPr="009A4CF6">
        <w:rPr>
          <w:sz w:val="26"/>
          <w:szCs w:val="26"/>
        </w:rPr>
        <w:t xml:space="preserve"> then</w:t>
      </w:r>
      <w:r w:rsidRPr="009A4CF6">
        <w:rPr>
          <w:sz w:val="26"/>
          <w:szCs w:val="26"/>
        </w:rPr>
        <w:t xml:space="preserve"> allocate them amongst all distribution customers (who would benefit from the education campaign).  RESA also recommends call center scripts that advise consumers of their ability to choose an NGS when calling the NGDC to initiate gas service or raising a </w:t>
      </w:r>
      <w:r w:rsidRPr="009A4CF6">
        <w:rPr>
          <w:sz w:val="26"/>
          <w:szCs w:val="26"/>
        </w:rPr>
        <w:lastRenderedPageBreak/>
        <w:t xml:space="preserve">dispute.  </w:t>
      </w:r>
      <w:r w:rsidR="00524FC9" w:rsidRPr="009A4CF6">
        <w:rPr>
          <w:sz w:val="26"/>
          <w:szCs w:val="26"/>
        </w:rPr>
        <w:t xml:space="preserve">RESA Comments at 12.  </w:t>
      </w:r>
    </w:p>
    <w:p w:rsidR="0072300C" w:rsidRPr="009A4CF6" w:rsidRDefault="0072300C" w:rsidP="0072300C">
      <w:pPr>
        <w:rPr>
          <w:sz w:val="26"/>
          <w:szCs w:val="26"/>
        </w:rPr>
      </w:pPr>
    </w:p>
    <w:p w:rsidR="0072300C" w:rsidRPr="009A4CF6" w:rsidRDefault="00524FC9" w:rsidP="0072300C">
      <w:pPr>
        <w:spacing w:line="360" w:lineRule="auto"/>
        <w:rPr>
          <w:b/>
          <w:sz w:val="26"/>
          <w:szCs w:val="26"/>
        </w:rPr>
      </w:pPr>
      <w:r w:rsidRPr="009A4CF6">
        <w:rPr>
          <w:b/>
          <w:sz w:val="26"/>
          <w:szCs w:val="26"/>
        </w:rPr>
        <w:tab/>
        <w:t>2.</w:t>
      </w:r>
      <w:r w:rsidRPr="009A4CF6">
        <w:rPr>
          <w:b/>
          <w:sz w:val="26"/>
          <w:szCs w:val="26"/>
        </w:rPr>
        <w:tab/>
      </w:r>
      <w:r w:rsidR="0072300C" w:rsidRPr="009A4CF6">
        <w:rPr>
          <w:b/>
          <w:sz w:val="26"/>
          <w:szCs w:val="26"/>
        </w:rPr>
        <w:t>Disposition</w:t>
      </w:r>
    </w:p>
    <w:p w:rsidR="0072300C" w:rsidRPr="009A4CF6" w:rsidRDefault="0072300C" w:rsidP="0072300C">
      <w:pPr>
        <w:rPr>
          <w:sz w:val="26"/>
          <w:szCs w:val="26"/>
        </w:rPr>
      </w:pPr>
    </w:p>
    <w:p w:rsidR="0072300C" w:rsidRPr="009A4CF6" w:rsidRDefault="002D4002" w:rsidP="00C07260">
      <w:pPr>
        <w:widowControl/>
        <w:tabs>
          <w:tab w:val="left" w:pos="-1170"/>
          <w:tab w:val="center" w:pos="0"/>
        </w:tabs>
        <w:spacing w:line="360" w:lineRule="auto"/>
        <w:ind w:firstLine="720"/>
        <w:rPr>
          <w:sz w:val="26"/>
          <w:szCs w:val="26"/>
        </w:rPr>
      </w:pPr>
      <w:r w:rsidRPr="009A4CF6">
        <w:rPr>
          <w:sz w:val="26"/>
          <w:szCs w:val="26"/>
        </w:rPr>
        <w:t xml:space="preserve">As noted in the </w:t>
      </w:r>
      <w:r w:rsidRPr="009A4CF6">
        <w:rPr>
          <w:i/>
          <w:sz w:val="26"/>
          <w:szCs w:val="26"/>
        </w:rPr>
        <w:t>Tentative Order</w:t>
      </w:r>
      <w:r w:rsidRPr="009A4CF6">
        <w:rPr>
          <w:sz w:val="26"/>
          <w:szCs w:val="26"/>
        </w:rPr>
        <w:t>, many parties, including representatives from NGDCs, NGSs and consumer groups, consistently have expressed support for enhanced consumer education, including heightened visibility for PAGasSwitch.com</w:t>
      </w:r>
      <w:r w:rsidR="00C07260" w:rsidRPr="009A4CF6">
        <w:rPr>
          <w:sz w:val="26"/>
          <w:szCs w:val="26"/>
        </w:rPr>
        <w:t xml:space="preserve">.  </w:t>
      </w:r>
      <w:r w:rsidR="0072300C" w:rsidRPr="009A4CF6">
        <w:rPr>
          <w:sz w:val="26"/>
          <w:szCs w:val="26"/>
        </w:rPr>
        <w:t xml:space="preserve">In anticipation of market improvements resulting from this </w:t>
      </w:r>
      <w:r w:rsidR="00C07260" w:rsidRPr="009A4CF6">
        <w:rPr>
          <w:sz w:val="26"/>
          <w:szCs w:val="26"/>
        </w:rPr>
        <w:t>Investigation</w:t>
      </w:r>
      <w:r w:rsidR="0072300C" w:rsidRPr="009A4CF6">
        <w:rPr>
          <w:sz w:val="26"/>
          <w:szCs w:val="26"/>
        </w:rPr>
        <w:t xml:space="preserve">, the Commission believes that enhanced consumer education efforts must proceed simultaneously with this </w:t>
      </w:r>
      <w:r w:rsidR="00C07260" w:rsidRPr="009A4CF6">
        <w:rPr>
          <w:sz w:val="26"/>
          <w:szCs w:val="26"/>
        </w:rPr>
        <w:t>I</w:t>
      </w:r>
      <w:r w:rsidR="0072300C" w:rsidRPr="009A4CF6">
        <w:rPr>
          <w:sz w:val="26"/>
          <w:szCs w:val="26"/>
        </w:rPr>
        <w:t xml:space="preserve">nvestigation.  </w:t>
      </w:r>
    </w:p>
    <w:p w:rsidR="0072300C" w:rsidRPr="009A4CF6" w:rsidRDefault="0072300C" w:rsidP="0072300C">
      <w:pPr>
        <w:widowControl/>
        <w:ind w:firstLine="720"/>
        <w:rPr>
          <w:sz w:val="26"/>
          <w:szCs w:val="26"/>
        </w:rPr>
      </w:pPr>
    </w:p>
    <w:p w:rsidR="0072300C" w:rsidRPr="009A4CF6" w:rsidRDefault="0072300C" w:rsidP="0072300C">
      <w:pPr>
        <w:widowControl/>
        <w:spacing w:line="360" w:lineRule="auto"/>
        <w:ind w:firstLine="720"/>
        <w:rPr>
          <w:sz w:val="26"/>
          <w:szCs w:val="26"/>
        </w:rPr>
      </w:pPr>
      <w:r w:rsidRPr="009A4CF6">
        <w:rPr>
          <w:sz w:val="26"/>
          <w:szCs w:val="26"/>
        </w:rPr>
        <w:t xml:space="preserve">Consistent with the </w:t>
      </w:r>
      <w:r w:rsidRPr="009A4CF6">
        <w:rPr>
          <w:i/>
          <w:sz w:val="26"/>
          <w:szCs w:val="26"/>
        </w:rPr>
        <w:t>Tentative Order</w:t>
      </w:r>
      <w:r w:rsidRPr="009A4CF6">
        <w:rPr>
          <w:sz w:val="26"/>
          <w:szCs w:val="26"/>
        </w:rPr>
        <w:t xml:space="preserve">, the Commission directs </w:t>
      </w:r>
      <w:r w:rsidR="00C07260" w:rsidRPr="009A4CF6">
        <w:rPr>
          <w:sz w:val="26"/>
          <w:szCs w:val="26"/>
        </w:rPr>
        <w:t>its</w:t>
      </w:r>
      <w:r w:rsidRPr="009A4CF6">
        <w:rPr>
          <w:sz w:val="26"/>
          <w:szCs w:val="26"/>
        </w:rPr>
        <w:t xml:space="preserve"> Office of Communications, in coordination with OCMO, to explore enhancing consumer education statewide.  The immediate priority will be improving PAGasSwitch.com’s functionality to </w:t>
      </w:r>
      <w:r w:rsidR="00FD0647">
        <w:rPr>
          <w:sz w:val="26"/>
          <w:szCs w:val="26"/>
        </w:rPr>
        <w:t xml:space="preserve">more </w:t>
      </w:r>
      <w:r w:rsidRPr="009A4CF6">
        <w:rPr>
          <w:sz w:val="26"/>
          <w:szCs w:val="26"/>
        </w:rPr>
        <w:t>closely mirror PAPowerSwitch.com</w:t>
      </w:r>
      <w:r w:rsidR="00C07260" w:rsidRPr="009A4CF6">
        <w:rPr>
          <w:sz w:val="26"/>
          <w:szCs w:val="26"/>
        </w:rPr>
        <w:t xml:space="preserve"> in order</w:t>
      </w:r>
      <w:r w:rsidRPr="009A4CF6">
        <w:rPr>
          <w:sz w:val="26"/>
          <w:szCs w:val="26"/>
        </w:rPr>
        <w:t xml:space="preserve"> to provide consumers with greater access to shopping information. </w:t>
      </w:r>
    </w:p>
    <w:p w:rsidR="0072300C" w:rsidRPr="009A4CF6" w:rsidRDefault="0072300C" w:rsidP="0072300C">
      <w:pPr>
        <w:widowControl/>
        <w:ind w:firstLine="720"/>
        <w:rPr>
          <w:sz w:val="26"/>
          <w:szCs w:val="26"/>
        </w:rPr>
      </w:pPr>
    </w:p>
    <w:p w:rsidR="0072300C" w:rsidRPr="009A4CF6" w:rsidRDefault="0072300C" w:rsidP="0072300C">
      <w:pPr>
        <w:widowControl/>
        <w:spacing w:line="360" w:lineRule="auto"/>
        <w:ind w:firstLine="720"/>
        <w:rPr>
          <w:sz w:val="26"/>
          <w:szCs w:val="26"/>
        </w:rPr>
      </w:pPr>
      <w:r w:rsidRPr="009A4CF6">
        <w:rPr>
          <w:sz w:val="26"/>
          <w:szCs w:val="26"/>
        </w:rPr>
        <w:t>Planned improvements will include</w:t>
      </w:r>
      <w:r w:rsidR="00C07260" w:rsidRPr="009A4CF6">
        <w:rPr>
          <w:sz w:val="26"/>
          <w:szCs w:val="26"/>
        </w:rPr>
        <w:t>, but not be limited to,</w:t>
      </w:r>
      <w:r w:rsidRPr="009A4CF6">
        <w:rPr>
          <w:sz w:val="26"/>
          <w:szCs w:val="26"/>
        </w:rPr>
        <w:t xml:space="preserve"> allowing small business customers to shop in the same manner as residential customers and providing more in-depth information on fixed versus variable rate products.  We will </w:t>
      </w:r>
      <w:r w:rsidR="00C07260" w:rsidRPr="009A4CF6">
        <w:rPr>
          <w:sz w:val="26"/>
          <w:szCs w:val="26"/>
        </w:rPr>
        <w:t>also</w:t>
      </w:r>
      <w:r w:rsidRPr="009A4CF6">
        <w:rPr>
          <w:sz w:val="26"/>
          <w:szCs w:val="26"/>
        </w:rPr>
        <w:t xml:space="preserve"> consider PECO’s recommendations to include columns for “Contract Length” and “Contract Term” to assist customers in more easily understanding their contracts.  </w:t>
      </w:r>
    </w:p>
    <w:p w:rsidR="0072300C" w:rsidRPr="009A4CF6" w:rsidRDefault="0072300C" w:rsidP="0072300C">
      <w:pPr>
        <w:widowControl/>
        <w:ind w:firstLine="720"/>
        <w:rPr>
          <w:sz w:val="26"/>
          <w:szCs w:val="26"/>
        </w:rPr>
      </w:pPr>
    </w:p>
    <w:p w:rsidR="0072300C" w:rsidRPr="009A4CF6" w:rsidRDefault="0072300C" w:rsidP="0072300C">
      <w:pPr>
        <w:widowControl/>
        <w:spacing w:line="360" w:lineRule="auto"/>
        <w:ind w:firstLine="720"/>
        <w:rPr>
          <w:sz w:val="26"/>
          <w:szCs w:val="26"/>
        </w:rPr>
      </w:pPr>
      <w:r w:rsidRPr="009A4CF6">
        <w:rPr>
          <w:sz w:val="26"/>
          <w:szCs w:val="26"/>
        </w:rPr>
        <w:t xml:space="preserve">To best achieve these results, the Commission orders </w:t>
      </w:r>
      <w:r w:rsidR="007F2EE6" w:rsidRPr="009A4CF6">
        <w:rPr>
          <w:sz w:val="26"/>
          <w:szCs w:val="26"/>
        </w:rPr>
        <w:t>its</w:t>
      </w:r>
      <w:r w:rsidRPr="009A4CF6">
        <w:rPr>
          <w:sz w:val="26"/>
          <w:szCs w:val="26"/>
        </w:rPr>
        <w:t xml:space="preserve"> Office of Communications to undertake a comprehensive review and analysis of PAGasSwitch.com</w:t>
      </w:r>
      <w:r w:rsidR="007F2EE6" w:rsidRPr="009A4CF6">
        <w:rPr>
          <w:sz w:val="26"/>
          <w:szCs w:val="26"/>
        </w:rPr>
        <w:t xml:space="preserve"> in order</w:t>
      </w:r>
      <w:r w:rsidRPr="009A4CF6">
        <w:rPr>
          <w:sz w:val="26"/>
          <w:szCs w:val="26"/>
        </w:rPr>
        <w:t xml:space="preserve"> to determine</w:t>
      </w:r>
      <w:r w:rsidR="007F2EE6" w:rsidRPr="009A4CF6">
        <w:rPr>
          <w:sz w:val="26"/>
          <w:szCs w:val="26"/>
        </w:rPr>
        <w:t>:</w:t>
      </w:r>
      <w:r w:rsidRPr="009A4CF6">
        <w:rPr>
          <w:sz w:val="26"/>
          <w:szCs w:val="26"/>
        </w:rPr>
        <w:t xml:space="preserve"> the current level of consum</w:t>
      </w:r>
      <w:r w:rsidR="00302C21">
        <w:rPr>
          <w:sz w:val="26"/>
          <w:szCs w:val="26"/>
        </w:rPr>
        <w:t>er, NGDC and NGS engagement with</w:t>
      </w:r>
      <w:r w:rsidR="007F2EE6" w:rsidRPr="009A4CF6">
        <w:rPr>
          <w:sz w:val="26"/>
          <w:szCs w:val="26"/>
        </w:rPr>
        <w:t xml:space="preserve"> PAGasSwitch.com;</w:t>
      </w:r>
      <w:r w:rsidRPr="009A4CF6">
        <w:rPr>
          <w:sz w:val="26"/>
          <w:szCs w:val="26"/>
        </w:rPr>
        <w:t xml:space="preserve"> the strengths and weaknesses of the </w:t>
      </w:r>
      <w:r w:rsidR="007F2EE6" w:rsidRPr="009A4CF6">
        <w:rPr>
          <w:sz w:val="26"/>
          <w:szCs w:val="26"/>
        </w:rPr>
        <w:t>website in its existing format;</w:t>
      </w:r>
      <w:r w:rsidRPr="009A4CF6">
        <w:rPr>
          <w:sz w:val="26"/>
          <w:szCs w:val="26"/>
        </w:rPr>
        <w:t xml:space="preserve"> and ways to improve the website for residential, small business and large commercial and industrial customers.</w:t>
      </w:r>
      <w:r w:rsidR="00C846FE" w:rsidRPr="009A4CF6">
        <w:rPr>
          <w:sz w:val="26"/>
          <w:szCs w:val="26"/>
        </w:rPr>
        <w:t xml:space="preserve">  The Office of Communications’ analysis should begin in early 2015.</w:t>
      </w:r>
    </w:p>
    <w:p w:rsidR="0072300C" w:rsidRPr="009A4CF6" w:rsidRDefault="0072300C" w:rsidP="0072300C">
      <w:pPr>
        <w:widowControl/>
        <w:ind w:firstLine="720"/>
        <w:rPr>
          <w:sz w:val="26"/>
          <w:szCs w:val="26"/>
        </w:rPr>
      </w:pPr>
    </w:p>
    <w:p w:rsidR="0072300C" w:rsidRPr="009A4CF6" w:rsidRDefault="0064671A" w:rsidP="0072300C">
      <w:pPr>
        <w:widowControl/>
        <w:tabs>
          <w:tab w:val="left" w:pos="-1170"/>
          <w:tab w:val="center" w:pos="0"/>
        </w:tabs>
        <w:spacing w:line="360" w:lineRule="auto"/>
        <w:ind w:firstLine="720"/>
        <w:rPr>
          <w:color w:val="FF0000"/>
          <w:sz w:val="26"/>
          <w:szCs w:val="26"/>
        </w:rPr>
      </w:pPr>
      <w:r w:rsidRPr="009A4CF6">
        <w:rPr>
          <w:sz w:val="26"/>
          <w:szCs w:val="26"/>
        </w:rPr>
        <w:t xml:space="preserve">Additionally, we </w:t>
      </w:r>
      <w:r w:rsidR="0072300C" w:rsidRPr="009A4CF6">
        <w:rPr>
          <w:sz w:val="26"/>
          <w:szCs w:val="26"/>
        </w:rPr>
        <w:t>direct the Office of Communications</w:t>
      </w:r>
      <w:r w:rsidR="00302C21">
        <w:rPr>
          <w:sz w:val="26"/>
          <w:szCs w:val="26"/>
        </w:rPr>
        <w:t>, with input from</w:t>
      </w:r>
      <w:r w:rsidR="0072300C" w:rsidRPr="009A4CF6">
        <w:rPr>
          <w:sz w:val="26"/>
          <w:szCs w:val="26"/>
        </w:rPr>
        <w:t xml:space="preserve"> OCMO</w:t>
      </w:r>
      <w:r w:rsidR="00302C21">
        <w:rPr>
          <w:sz w:val="26"/>
          <w:szCs w:val="26"/>
        </w:rPr>
        <w:t>,</w:t>
      </w:r>
      <w:r w:rsidR="0072300C" w:rsidRPr="009A4CF6">
        <w:rPr>
          <w:sz w:val="26"/>
          <w:szCs w:val="26"/>
        </w:rPr>
        <w:t xml:space="preserve"> to develop</w:t>
      </w:r>
      <w:r w:rsidRPr="009A4CF6">
        <w:rPr>
          <w:sz w:val="26"/>
          <w:szCs w:val="26"/>
        </w:rPr>
        <w:t xml:space="preserve"> for</w:t>
      </w:r>
      <w:r w:rsidR="00302C21">
        <w:rPr>
          <w:sz w:val="26"/>
          <w:szCs w:val="26"/>
        </w:rPr>
        <w:t xml:space="preserve"> the Commission’s consideration</w:t>
      </w:r>
      <w:r w:rsidR="0072300C" w:rsidRPr="009A4CF6">
        <w:rPr>
          <w:sz w:val="26"/>
          <w:szCs w:val="26"/>
        </w:rPr>
        <w:t xml:space="preserve"> a detailed implementation plan for a statewide consumer education campaign on natural gas competition</w:t>
      </w:r>
      <w:r w:rsidRPr="009A4CF6">
        <w:rPr>
          <w:sz w:val="26"/>
          <w:szCs w:val="26"/>
        </w:rPr>
        <w:t>.</w:t>
      </w:r>
      <w:r w:rsidR="00C846FE" w:rsidRPr="009A4CF6">
        <w:rPr>
          <w:sz w:val="26"/>
          <w:szCs w:val="26"/>
        </w:rPr>
        <w:t xml:space="preserve">  This plan should be completed </w:t>
      </w:r>
      <w:r w:rsidR="00FD0647">
        <w:rPr>
          <w:sz w:val="26"/>
          <w:szCs w:val="26"/>
        </w:rPr>
        <w:t>no later than</w:t>
      </w:r>
      <w:r w:rsidR="00C846FE" w:rsidRPr="009A4CF6">
        <w:rPr>
          <w:sz w:val="26"/>
          <w:szCs w:val="26"/>
        </w:rPr>
        <w:t xml:space="preserve"> the </w:t>
      </w:r>
      <w:r w:rsidR="005C3312">
        <w:rPr>
          <w:sz w:val="26"/>
          <w:szCs w:val="26"/>
        </w:rPr>
        <w:t>fourth</w:t>
      </w:r>
      <w:r w:rsidR="00C846FE" w:rsidRPr="009A4CF6">
        <w:rPr>
          <w:sz w:val="26"/>
          <w:szCs w:val="26"/>
        </w:rPr>
        <w:t xml:space="preserve"> quarter of 2015.</w:t>
      </w:r>
      <w:r w:rsidRPr="009A4CF6">
        <w:rPr>
          <w:sz w:val="26"/>
          <w:szCs w:val="26"/>
        </w:rPr>
        <w:t xml:space="preserve">  Consistent with the E</w:t>
      </w:r>
      <w:r w:rsidR="0072300C" w:rsidRPr="009A4CF6">
        <w:rPr>
          <w:sz w:val="26"/>
          <w:szCs w:val="26"/>
        </w:rPr>
        <w:t>lectric RMI, the plan will center on outreach to residential and small</w:t>
      </w:r>
      <w:r w:rsidRPr="009A4CF6">
        <w:rPr>
          <w:sz w:val="26"/>
          <w:szCs w:val="26"/>
        </w:rPr>
        <w:t xml:space="preserve"> business natural gas customers</w:t>
      </w:r>
      <w:r w:rsidR="0072300C" w:rsidRPr="009A4CF6">
        <w:rPr>
          <w:sz w:val="26"/>
          <w:szCs w:val="26"/>
        </w:rPr>
        <w:t xml:space="preserve"> and will identify ways to more effectively reach low-income customers and households.  Furthermore, the Commission requests that the plan address whether the campaign should include pre- and post-benchmarking surveys; radio, television, print and online ads and media buys; social media; educational videos; and consumer events.  </w:t>
      </w:r>
      <w:r w:rsidRPr="009A4CF6">
        <w:rPr>
          <w:sz w:val="26"/>
          <w:szCs w:val="26"/>
        </w:rPr>
        <w:t>If staff determines surveying</w:t>
      </w:r>
      <w:r w:rsidR="0072300C" w:rsidRPr="009A4CF6">
        <w:rPr>
          <w:sz w:val="26"/>
          <w:szCs w:val="26"/>
        </w:rPr>
        <w:t xml:space="preserve"> should be included in a statewide campaign, the Commission requests that consideration be given to the OCA’s recommendation of a market survey to determine existing customer satisfaction with the current marketplace. </w:t>
      </w:r>
    </w:p>
    <w:p w:rsidR="0072300C" w:rsidRPr="009A4CF6" w:rsidRDefault="0072300C" w:rsidP="0072300C">
      <w:pPr>
        <w:widowControl/>
        <w:tabs>
          <w:tab w:val="left" w:pos="-1170"/>
          <w:tab w:val="center" w:pos="0"/>
        </w:tabs>
        <w:ind w:firstLine="720"/>
        <w:rPr>
          <w:sz w:val="26"/>
          <w:szCs w:val="26"/>
        </w:rPr>
      </w:pPr>
    </w:p>
    <w:p w:rsidR="0072300C" w:rsidRPr="009A4CF6" w:rsidRDefault="0072300C" w:rsidP="0072300C">
      <w:pPr>
        <w:widowControl/>
        <w:tabs>
          <w:tab w:val="left" w:pos="-1170"/>
          <w:tab w:val="center" w:pos="0"/>
        </w:tabs>
        <w:spacing w:line="360" w:lineRule="auto"/>
        <w:ind w:firstLine="720"/>
        <w:rPr>
          <w:sz w:val="26"/>
          <w:szCs w:val="26"/>
        </w:rPr>
      </w:pPr>
      <w:r w:rsidRPr="009A4CF6">
        <w:rPr>
          <w:sz w:val="26"/>
          <w:szCs w:val="26"/>
        </w:rPr>
        <w:t xml:space="preserve">In developing a comprehensive consumer education plan, </w:t>
      </w:r>
      <w:r w:rsidR="00F852EB">
        <w:rPr>
          <w:sz w:val="26"/>
          <w:szCs w:val="26"/>
        </w:rPr>
        <w:t xml:space="preserve">the </w:t>
      </w:r>
      <w:r w:rsidR="00302C21">
        <w:rPr>
          <w:sz w:val="26"/>
          <w:szCs w:val="26"/>
        </w:rPr>
        <w:t>Office of Communications</w:t>
      </w:r>
      <w:r w:rsidR="0064671A" w:rsidRPr="009A4CF6">
        <w:rPr>
          <w:sz w:val="26"/>
          <w:szCs w:val="26"/>
        </w:rPr>
        <w:t xml:space="preserve"> should</w:t>
      </w:r>
      <w:r w:rsidRPr="009A4CF6">
        <w:rPr>
          <w:sz w:val="26"/>
          <w:szCs w:val="26"/>
        </w:rPr>
        <w:t xml:space="preserve"> seek input from industry leaders, consumer advocates and Pennsylvania’s small </w:t>
      </w:r>
      <w:r w:rsidR="0064671A" w:rsidRPr="009A4CF6">
        <w:rPr>
          <w:sz w:val="26"/>
          <w:szCs w:val="26"/>
        </w:rPr>
        <w:t>business customers.</w:t>
      </w:r>
    </w:p>
    <w:p w:rsidR="0072300C" w:rsidRPr="009A4CF6" w:rsidRDefault="0072300C" w:rsidP="0072300C">
      <w:pPr>
        <w:widowControl/>
        <w:tabs>
          <w:tab w:val="left" w:pos="-1170"/>
          <w:tab w:val="center" w:pos="0"/>
        </w:tabs>
        <w:ind w:firstLine="720"/>
        <w:rPr>
          <w:sz w:val="26"/>
          <w:szCs w:val="26"/>
        </w:rPr>
      </w:pPr>
    </w:p>
    <w:p w:rsidR="0072300C" w:rsidRPr="009A4CF6" w:rsidRDefault="0072300C" w:rsidP="00CB1FC9">
      <w:pPr>
        <w:widowControl/>
        <w:tabs>
          <w:tab w:val="left" w:pos="-1170"/>
          <w:tab w:val="center" w:pos="0"/>
        </w:tabs>
        <w:spacing w:line="360" w:lineRule="auto"/>
        <w:ind w:firstLine="720"/>
        <w:rPr>
          <w:sz w:val="26"/>
          <w:szCs w:val="26"/>
        </w:rPr>
      </w:pPr>
      <w:r w:rsidRPr="009A4CF6">
        <w:rPr>
          <w:sz w:val="26"/>
          <w:szCs w:val="26"/>
        </w:rPr>
        <w:t>In directing these initiatives, the Commission recognizes additional costs will be incurred during both the development and implementation phases of the statewide campaign.  The Commission is also keenly aware of the differing opinions of stakeholders on how best to fund a comprehensive statewide campaign.  In developing its plan, the Office of Communications and OCMO should make a recommendation for the Commission’s consideration on how the costs of any new consumer education initiatives will be allocated, including the allocation of costs to NGSs, NGDCs, ratepayers and the Commission.</w:t>
      </w:r>
    </w:p>
    <w:p w:rsidR="00303FDF" w:rsidRPr="009A4CF6" w:rsidRDefault="00303FDF" w:rsidP="00CB1FC9">
      <w:pPr>
        <w:spacing w:line="360" w:lineRule="auto"/>
        <w:rPr>
          <w:sz w:val="26"/>
          <w:szCs w:val="26"/>
        </w:rPr>
      </w:pPr>
    </w:p>
    <w:p w:rsidR="00303FDF" w:rsidRPr="009A4CF6" w:rsidRDefault="00223F14" w:rsidP="00CB1FC9">
      <w:pPr>
        <w:pStyle w:val="Heading2"/>
        <w:spacing w:before="0" w:line="360" w:lineRule="auto"/>
        <w:rPr>
          <w:rFonts w:ascii="Times New Roman" w:hAnsi="Times New Roman" w:cs="Times New Roman"/>
          <w:b w:val="0"/>
          <w:color w:val="auto"/>
        </w:rPr>
      </w:pPr>
      <w:bookmarkStart w:id="14" w:name="_Toc405359505"/>
      <w:r w:rsidRPr="009A4CF6">
        <w:rPr>
          <w:rFonts w:ascii="Times New Roman" w:hAnsi="Times New Roman" w:cs="Times New Roman"/>
          <w:color w:val="auto"/>
        </w:rPr>
        <w:t>M.</w:t>
      </w:r>
      <w:r w:rsidRPr="009A4CF6">
        <w:rPr>
          <w:rFonts w:ascii="Times New Roman" w:hAnsi="Times New Roman" w:cs="Times New Roman"/>
          <w:color w:val="auto"/>
        </w:rPr>
        <w:tab/>
      </w:r>
      <w:r w:rsidR="00303FDF" w:rsidRPr="009A4CF6">
        <w:rPr>
          <w:rFonts w:ascii="Times New Roman" w:hAnsi="Times New Roman" w:cs="Times New Roman"/>
          <w:color w:val="auto"/>
        </w:rPr>
        <w:t>P</w:t>
      </w:r>
      <w:r w:rsidR="007D656C" w:rsidRPr="009A4CF6">
        <w:rPr>
          <w:rFonts w:ascii="Times New Roman" w:hAnsi="Times New Roman" w:cs="Times New Roman"/>
          <w:color w:val="auto"/>
        </w:rPr>
        <w:t xml:space="preserve">urchase of Receivables </w:t>
      </w:r>
      <w:r w:rsidR="00303FDF" w:rsidRPr="009A4CF6">
        <w:rPr>
          <w:rFonts w:ascii="Times New Roman" w:hAnsi="Times New Roman" w:cs="Times New Roman"/>
          <w:color w:val="auto"/>
        </w:rPr>
        <w:t>Programs</w:t>
      </w:r>
      <w:bookmarkEnd w:id="14"/>
    </w:p>
    <w:p w:rsidR="00223F14" w:rsidRPr="009A4CF6" w:rsidRDefault="00223F14" w:rsidP="00CB1FC9">
      <w:pPr>
        <w:spacing w:line="360" w:lineRule="auto"/>
        <w:rPr>
          <w:b/>
          <w:sz w:val="26"/>
          <w:szCs w:val="26"/>
        </w:rPr>
      </w:pPr>
    </w:p>
    <w:p w:rsidR="00523E26" w:rsidRPr="009A4CF6" w:rsidRDefault="00523E26" w:rsidP="00CB1FC9">
      <w:pPr>
        <w:spacing w:line="360" w:lineRule="auto"/>
        <w:ind w:firstLine="720"/>
        <w:rPr>
          <w:color w:val="000000" w:themeColor="text1"/>
          <w:sz w:val="26"/>
          <w:szCs w:val="26"/>
        </w:rPr>
      </w:pPr>
      <w:r w:rsidRPr="009A4CF6">
        <w:rPr>
          <w:color w:val="000000" w:themeColor="text1"/>
          <w:sz w:val="26"/>
          <w:szCs w:val="26"/>
        </w:rPr>
        <w:t xml:space="preserve">POR programs, through which the NGDC buys the NGSs’ receivables and then </w:t>
      </w:r>
      <w:r w:rsidRPr="009A4CF6">
        <w:rPr>
          <w:color w:val="000000" w:themeColor="text1"/>
          <w:sz w:val="26"/>
          <w:szCs w:val="26"/>
        </w:rPr>
        <w:lastRenderedPageBreak/>
        <w:t xml:space="preserve">collects the monies due from the customers, facilitate customer participation in the competitive natural gas market by making it possible for the customer to continue to receive one combined bill from their utility for all services and to continue to pay the NGDC directly for all services.  This makes the competitive supply service more “seamless” from the customer’s perspective and also allows customers to more easily shop for supply service by avoiding supplier credit screening.  Suppliers likewise benefit because they are relieved of the burdens associated with billing, collecting and credit screening.  </w:t>
      </w:r>
    </w:p>
    <w:p w:rsidR="00523E26" w:rsidRPr="009A4CF6" w:rsidRDefault="00523E26" w:rsidP="00523E26">
      <w:pPr>
        <w:spacing w:line="360" w:lineRule="auto"/>
        <w:ind w:firstLine="720"/>
        <w:rPr>
          <w:color w:val="000000" w:themeColor="text1"/>
          <w:sz w:val="26"/>
          <w:szCs w:val="26"/>
        </w:rPr>
      </w:pPr>
    </w:p>
    <w:p w:rsidR="00523E26" w:rsidRPr="009A4CF6" w:rsidRDefault="00523E26" w:rsidP="00523E26">
      <w:pPr>
        <w:spacing w:line="360" w:lineRule="auto"/>
        <w:ind w:firstLine="720"/>
        <w:rPr>
          <w:color w:val="000000" w:themeColor="text1"/>
          <w:sz w:val="26"/>
          <w:szCs w:val="26"/>
        </w:rPr>
      </w:pPr>
      <w:r w:rsidRPr="009A4CF6">
        <w:rPr>
          <w:color w:val="000000" w:themeColor="text1"/>
          <w:sz w:val="26"/>
          <w:szCs w:val="26"/>
        </w:rPr>
        <w:t xml:space="preserve">In the 2008 SEARCH </w:t>
      </w:r>
      <w:r w:rsidRPr="009A4CF6">
        <w:rPr>
          <w:i/>
          <w:color w:val="000000" w:themeColor="text1"/>
          <w:sz w:val="26"/>
          <w:szCs w:val="26"/>
        </w:rPr>
        <w:t>Final Order</w:t>
      </w:r>
      <w:r w:rsidRPr="009A4CF6">
        <w:rPr>
          <w:color w:val="000000" w:themeColor="text1"/>
          <w:sz w:val="26"/>
          <w:szCs w:val="26"/>
        </w:rPr>
        <w:t>,</w:t>
      </w:r>
      <w:r w:rsidRPr="009A4CF6">
        <w:rPr>
          <w:rStyle w:val="FootnoteReference"/>
          <w:color w:val="000000" w:themeColor="text1"/>
          <w:sz w:val="26"/>
          <w:szCs w:val="26"/>
        </w:rPr>
        <w:footnoteReference w:id="17"/>
      </w:r>
      <w:r w:rsidRPr="009A4CF6">
        <w:rPr>
          <w:color w:val="000000" w:themeColor="text1"/>
          <w:sz w:val="26"/>
          <w:szCs w:val="26"/>
        </w:rPr>
        <w:t xml:space="preserve"> the Commission concluded that “POR programs can promote efficiencies, reduce costs to consumers and reduce barriers to market entry by alternative natural gas suppliers”</w:t>
      </w:r>
      <w:r w:rsidRPr="009A4CF6">
        <w:rPr>
          <w:rStyle w:val="FootnoteReference"/>
          <w:color w:val="000000" w:themeColor="text1"/>
          <w:sz w:val="26"/>
          <w:szCs w:val="26"/>
        </w:rPr>
        <w:footnoteReference w:id="18"/>
      </w:r>
      <w:r w:rsidRPr="009A4CF6">
        <w:rPr>
          <w:color w:val="000000" w:themeColor="text1"/>
          <w:sz w:val="26"/>
          <w:szCs w:val="26"/>
        </w:rPr>
        <w:t xml:space="preserve"> and encouraged NGDCs to file proposals to implement voluntary POR programs.  As a result, many NGDCs currently operate POR programs.  However, because POR programs in the natural gas industry are usually litigated and authorized through the NGDCs’ base-rate filings (in contrast to the electric industry, where POR programs are usually the subject of default service plan filings),</w:t>
      </w:r>
      <w:r w:rsidRPr="009A4CF6">
        <w:rPr>
          <w:rStyle w:val="FootnoteReference"/>
          <w:color w:val="000000" w:themeColor="text1"/>
          <w:sz w:val="26"/>
          <w:szCs w:val="26"/>
        </w:rPr>
        <w:footnoteReference w:id="19"/>
      </w:r>
      <w:r w:rsidRPr="009A4CF6">
        <w:rPr>
          <w:color w:val="000000" w:themeColor="text1"/>
          <w:sz w:val="26"/>
          <w:szCs w:val="26"/>
        </w:rPr>
        <w:t xml:space="preserve"> POR programs in the natural gas industry are somewhat less uniform than those found in the retail electric industry.  This lack of consistency among programs and the operational difficulties this can cause has been id</w:t>
      </w:r>
      <w:r w:rsidR="00D06C4F" w:rsidRPr="009A4CF6">
        <w:rPr>
          <w:color w:val="000000" w:themeColor="text1"/>
          <w:sz w:val="26"/>
          <w:szCs w:val="26"/>
        </w:rPr>
        <w:t>entified as a concern by NGSs.  For these reasons, the Commission proposed that OCMO examine, through the course of this Investigation, the POR programs in the retail natural gas industry and determine which best practices may be applied in a more consistent manner to all NGDCs</w:t>
      </w:r>
      <w:r w:rsidR="006003DA">
        <w:rPr>
          <w:color w:val="000000" w:themeColor="text1"/>
          <w:sz w:val="26"/>
          <w:szCs w:val="26"/>
        </w:rPr>
        <w:t>’</w:t>
      </w:r>
      <w:r w:rsidR="00D06C4F" w:rsidRPr="009A4CF6">
        <w:rPr>
          <w:color w:val="000000" w:themeColor="text1"/>
          <w:sz w:val="26"/>
          <w:szCs w:val="26"/>
        </w:rPr>
        <w:t xml:space="preserve"> POR programs.</w:t>
      </w:r>
    </w:p>
    <w:p w:rsidR="00223F14" w:rsidRDefault="00223F14" w:rsidP="00431EE2">
      <w:pPr>
        <w:spacing w:line="360" w:lineRule="auto"/>
        <w:rPr>
          <w:sz w:val="26"/>
          <w:szCs w:val="26"/>
        </w:rPr>
      </w:pPr>
    </w:p>
    <w:p w:rsidR="0075257B" w:rsidRPr="009A4CF6" w:rsidRDefault="0075257B" w:rsidP="00431EE2">
      <w:pPr>
        <w:spacing w:line="360" w:lineRule="auto"/>
        <w:rPr>
          <w:sz w:val="26"/>
          <w:szCs w:val="26"/>
        </w:rPr>
      </w:pPr>
    </w:p>
    <w:p w:rsidR="00303FDF" w:rsidRPr="009A4CF6" w:rsidRDefault="00223F14" w:rsidP="00431EE2">
      <w:pPr>
        <w:spacing w:line="360" w:lineRule="auto"/>
        <w:rPr>
          <w:sz w:val="26"/>
          <w:szCs w:val="26"/>
        </w:rPr>
      </w:pPr>
      <w:r w:rsidRPr="009A4CF6">
        <w:rPr>
          <w:sz w:val="26"/>
          <w:szCs w:val="26"/>
        </w:rPr>
        <w:lastRenderedPageBreak/>
        <w:tab/>
      </w:r>
      <w:r w:rsidRPr="009A4CF6">
        <w:rPr>
          <w:b/>
          <w:sz w:val="26"/>
          <w:szCs w:val="26"/>
        </w:rPr>
        <w:t>1.</w:t>
      </w:r>
      <w:r w:rsidRPr="009A4CF6">
        <w:rPr>
          <w:b/>
          <w:sz w:val="26"/>
          <w:szCs w:val="26"/>
        </w:rPr>
        <w:tab/>
      </w:r>
      <w:r w:rsidR="00303FDF" w:rsidRPr="009A4CF6">
        <w:rPr>
          <w:b/>
          <w:sz w:val="26"/>
          <w:szCs w:val="26"/>
        </w:rPr>
        <w:t>Comments</w:t>
      </w:r>
    </w:p>
    <w:p w:rsidR="00223F14" w:rsidRPr="009A4CF6" w:rsidRDefault="00223F14" w:rsidP="00431EE2">
      <w:pPr>
        <w:spacing w:line="360" w:lineRule="auto"/>
        <w:rPr>
          <w:sz w:val="26"/>
          <w:szCs w:val="26"/>
        </w:rPr>
      </w:pPr>
    </w:p>
    <w:p w:rsidR="00303FDF" w:rsidRPr="009A4CF6" w:rsidRDefault="007D656C" w:rsidP="00431EE2">
      <w:pPr>
        <w:spacing w:line="360" w:lineRule="auto"/>
        <w:rPr>
          <w:sz w:val="26"/>
          <w:szCs w:val="26"/>
        </w:rPr>
      </w:pPr>
      <w:r w:rsidRPr="009A4CF6">
        <w:rPr>
          <w:sz w:val="26"/>
          <w:szCs w:val="26"/>
        </w:rPr>
        <w:tab/>
        <w:t xml:space="preserve">RESA agrees that the Commission should examine </w:t>
      </w:r>
      <w:r w:rsidR="00223F14" w:rsidRPr="009A4CF6">
        <w:rPr>
          <w:sz w:val="26"/>
          <w:szCs w:val="26"/>
        </w:rPr>
        <w:t>POR</w:t>
      </w:r>
      <w:r w:rsidRPr="009A4CF6">
        <w:rPr>
          <w:sz w:val="26"/>
          <w:szCs w:val="26"/>
        </w:rPr>
        <w:t xml:space="preserve"> programs in the</w:t>
      </w:r>
      <w:r w:rsidR="00223F14" w:rsidRPr="009A4CF6">
        <w:rPr>
          <w:sz w:val="26"/>
          <w:szCs w:val="26"/>
        </w:rPr>
        <w:t xml:space="preserve"> retail</w:t>
      </w:r>
      <w:r w:rsidRPr="009A4CF6">
        <w:rPr>
          <w:sz w:val="26"/>
          <w:szCs w:val="26"/>
        </w:rPr>
        <w:t xml:space="preserve"> natural gas industry to determine “best practices” that should be applied more consistently </w:t>
      </w:r>
      <w:r w:rsidR="006003DA">
        <w:rPr>
          <w:sz w:val="26"/>
          <w:szCs w:val="26"/>
        </w:rPr>
        <w:t>statewide</w:t>
      </w:r>
      <w:r w:rsidRPr="009A4CF6">
        <w:rPr>
          <w:sz w:val="26"/>
          <w:szCs w:val="26"/>
        </w:rPr>
        <w:t xml:space="preserve">.  </w:t>
      </w:r>
      <w:r w:rsidR="00223F14" w:rsidRPr="009A4CF6">
        <w:rPr>
          <w:sz w:val="26"/>
          <w:szCs w:val="26"/>
        </w:rPr>
        <w:t xml:space="preserve">RESA </w:t>
      </w:r>
      <w:r w:rsidRPr="009A4CF6">
        <w:rPr>
          <w:sz w:val="26"/>
          <w:szCs w:val="26"/>
        </w:rPr>
        <w:t>Comments at 23.  PECO also recommend</w:t>
      </w:r>
      <w:r w:rsidR="000B16DB" w:rsidRPr="009A4CF6">
        <w:rPr>
          <w:sz w:val="26"/>
          <w:szCs w:val="26"/>
        </w:rPr>
        <w:t>s</w:t>
      </w:r>
      <w:r w:rsidRPr="009A4CF6">
        <w:rPr>
          <w:sz w:val="26"/>
          <w:szCs w:val="26"/>
        </w:rPr>
        <w:t xml:space="preserve"> that the Commission determine best practices and ask</w:t>
      </w:r>
      <w:r w:rsidR="000B16DB" w:rsidRPr="009A4CF6">
        <w:rPr>
          <w:sz w:val="26"/>
          <w:szCs w:val="26"/>
        </w:rPr>
        <w:t>s</w:t>
      </w:r>
      <w:r w:rsidRPr="009A4CF6">
        <w:rPr>
          <w:sz w:val="26"/>
          <w:szCs w:val="26"/>
        </w:rPr>
        <w:t xml:space="preserve"> the Commission to review PECO’s current POR program for electric and </w:t>
      </w:r>
      <w:r w:rsidR="00223F14" w:rsidRPr="009A4CF6">
        <w:rPr>
          <w:sz w:val="26"/>
          <w:szCs w:val="26"/>
        </w:rPr>
        <w:t xml:space="preserve">natural </w:t>
      </w:r>
      <w:r w:rsidRPr="009A4CF6">
        <w:rPr>
          <w:sz w:val="26"/>
          <w:szCs w:val="26"/>
        </w:rPr>
        <w:t>gas</w:t>
      </w:r>
      <w:r w:rsidR="000B16DB" w:rsidRPr="009A4CF6">
        <w:rPr>
          <w:sz w:val="26"/>
          <w:szCs w:val="26"/>
        </w:rPr>
        <w:t xml:space="preserve"> as a potential model</w:t>
      </w:r>
      <w:r w:rsidRPr="009A4CF6">
        <w:rPr>
          <w:sz w:val="26"/>
          <w:szCs w:val="26"/>
        </w:rPr>
        <w:t xml:space="preserve">.  </w:t>
      </w:r>
      <w:r w:rsidR="00223F14" w:rsidRPr="009A4CF6">
        <w:rPr>
          <w:sz w:val="26"/>
          <w:szCs w:val="26"/>
        </w:rPr>
        <w:t xml:space="preserve">PECO </w:t>
      </w:r>
      <w:r w:rsidRPr="009A4CF6">
        <w:rPr>
          <w:sz w:val="26"/>
          <w:szCs w:val="26"/>
        </w:rPr>
        <w:t xml:space="preserve">Comments at 9.   </w:t>
      </w:r>
    </w:p>
    <w:p w:rsidR="00303FDF" w:rsidRPr="009A4CF6" w:rsidRDefault="00303FDF" w:rsidP="00431EE2">
      <w:pPr>
        <w:spacing w:line="360" w:lineRule="auto"/>
        <w:rPr>
          <w:sz w:val="26"/>
          <w:szCs w:val="26"/>
        </w:rPr>
      </w:pPr>
    </w:p>
    <w:p w:rsidR="00223F14" w:rsidRPr="009A4CF6" w:rsidRDefault="007D656C" w:rsidP="00431EE2">
      <w:pPr>
        <w:spacing w:line="360" w:lineRule="auto"/>
        <w:rPr>
          <w:sz w:val="26"/>
          <w:szCs w:val="26"/>
        </w:rPr>
      </w:pPr>
      <w:r w:rsidRPr="009A4CF6">
        <w:rPr>
          <w:sz w:val="26"/>
          <w:szCs w:val="26"/>
        </w:rPr>
        <w:tab/>
        <w:t>Washington Gas re</w:t>
      </w:r>
      <w:r w:rsidR="000B16DB" w:rsidRPr="009A4CF6">
        <w:rPr>
          <w:sz w:val="26"/>
          <w:szCs w:val="26"/>
        </w:rPr>
        <w:t>commends</w:t>
      </w:r>
      <w:r w:rsidR="00BE6085" w:rsidRPr="009A4CF6">
        <w:rPr>
          <w:sz w:val="26"/>
          <w:szCs w:val="26"/>
        </w:rPr>
        <w:t xml:space="preserve"> examining consolidated billing with POR to create rules that allow suppliers to bill non-commodity products and services.  </w:t>
      </w:r>
      <w:r w:rsidR="00223F14" w:rsidRPr="009A4CF6">
        <w:rPr>
          <w:sz w:val="26"/>
          <w:szCs w:val="26"/>
        </w:rPr>
        <w:t xml:space="preserve">Washington Gas </w:t>
      </w:r>
      <w:r w:rsidR="00BE6085" w:rsidRPr="009A4CF6">
        <w:rPr>
          <w:sz w:val="26"/>
          <w:szCs w:val="26"/>
        </w:rPr>
        <w:t xml:space="preserve">Comments at 2.  </w:t>
      </w:r>
    </w:p>
    <w:p w:rsidR="00223F14" w:rsidRPr="009A4CF6" w:rsidRDefault="00223F14" w:rsidP="00431EE2">
      <w:pPr>
        <w:spacing w:line="360" w:lineRule="auto"/>
        <w:rPr>
          <w:sz w:val="26"/>
          <w:szCs w:val="26"/>
        </w:rPr>
      </w:pPr>
    </w:p>
    <w:p w:rsidR="007D656C" w:rsidRPr="009A4CF6" w:rsidRDefault="00223F14" w:rsidP="00431EE2">
      <w:pPr>
        <w:spacing w:line="360" w:lineRule="auto"/>
        <w:rPr>
          <w:sz w:val="26"/>
          <w:szCs w:val="26"/>
        </w:rPr>
      </w:pPr>
      <w:r w:rsidRPr="009A4CF6">
        <w:rPr>
          <w:sz w:val="26"/>
          <w:szCs w:val="26"/>
        </w:rPr>
        <w:tab/>
      </w:r>
      <w:r w:rsidR="004708B8" w:rsidRPr="009A4CF6">
        <w:rPr>
          <w:sz w:val="26"/>
          <w:szCs w:val="26"/>
        </w:rPr>
        <w:t>UGIES</w:t>
      </w:r>
      <w:r w:rsidR="00BE6085" w:rsidRPr="009A4CF6">
        <w:rPr>
          <w:sz w:val="26"/>
          <w:szCs w:val="26"/>
        </w:rPr>
        <w:t xml:space="preserve"> supports standardization of bill formats, but believes the POR percentage should continue to remain specific to each NGDC based on current tariff calculations that best reflect actual uncollectable accounts.  </w:t>
      </w:r>
      <w:r w:rsidRPr="009A4CF6">
        <w:rPr>
          <w:sz w:val="26"/>
          <w:szCs w:val="26"/>
        </w:rPr>
        <w:t xml:space="preserve">UGIES </w:t>
      </w:r>
      <w:r w:rsidR="00BE6085" w:rsidRPr="009A4CF6">
        <w:rPr>
          <w:sz w:val="26"/>
          <w:szCs w:val="26"/>
        </w:rPr>
        <w:t>Comments at 2.</w:t>
      </w:r>
    </w:p>
    <w:p w:rsidR="003D2DA9" w:rsidRPr="009A4CF6" w:rsidRDefault="003D2DA9" w:rsidP="00431EE2">
      <w:pPr>
        <w:spacing w:line="360" w:lineRule="auto"/>
        <w:rPr>
          <w:sz w:val="26"/>
          <w:szCs w:val="26"/>
        </w:rPr>
      </w:pPr>
    </w:p>
    <w:p w:rsidR="00BE6085" w:rsidRPr="009A4CF6" w:rsidRDefault="00223F14" w:rsidP="00431EE2">
      <w:pPr>
        <w:spacing w:line="360" w:lineRule="auto"/>
        <w:rPr>
          <w:sz w:val="26"/>
          <w:szCs w:val="26"/>
        </w:rPr>
      </w:pPr>
      <w:r w:rsidRPr="009A4CF6">
        <w:rPr>
          <w:sz w:val="26"/>
          <w:szCs w:val="26"/>
        </w:rPr>
        <w:tab/>
      </w:r>
      <w:r w:rsidRPr="009A4CF6">
        <w:rPr>
          <w:b/>
          <w:sz w:val="26"/>
          <w:szCs w:val="26"/>
        </w:rPr>
        <w:t>2.</w:t>
      </w:r>
      <w:r w:rsidRPr="009A4CF6">
        <w:rPr>
          <w:b/>
          <w:sz w:val="26"/>
          <w:szCs w:val="26"/>
        </w:rPr>
        <w:tab/>
        <w:t>Disposition</w:t>
      </w:r>
    </w:p>
    <w:p w:rsidR="00D06C4F" w:rsidRPr="009A4CF6" w:rsidRDefault="00D06C4F" w:rsidP="00D06C4F">
      <w:pPr>
        <w:spacing w:line="360" w:lineRule="auto"/>
        <w:ind w:firstLine="720"/>
        <w:rPr>
          <w:sz w:val="26"/>
          <w:szCs w:val="26"/>
        </w:rPr>
      </w:pPr>
    </w:p>
    <w:p w:rsidR="00D06C4F" w:rsidRPr="009A4CF6" w:rsidRDefault="00D06C4F" w:rsidP="00D06C4F">
      <w:pPr>
        <w:spacing w:line="360" w:lineRule="auto"/>
        <w:ind w:firstLine="720"/>
        <w:rPr>
          <w:sz w:val="26"/>
          <w:szCs w:val="26"/>
        </w:rPr>
      </w:pPr>
      <w:r w:rsidRPr="009A4CF6">
        <w:rPr>
          <w:sz w:val="26"/>
          <w:szCs w:val="26"/>
        </w:rPr>
        <w:t xml:space="preserve">We agree with RESA and PECO that we should examine current POR programs to determine which “best practices” should be more widely adopted and, likewise, which practices should possibly be avoided.  This examination can include expanding POR as WGES suggests, with the understanding that this could be somewhat more controversial and may ultimately have to be addressed via more formal mechanisms.  </w:t>
      </w:r>
    </w:p>
    <w:p w:rsidR="00D06C4F" w:rsidRPr="009A4CF6" w:rsidRDefault="00D06C4F" w:rsidP="00D06C4F">
      <w:pPr>
        <w:spacing w:line="360" w:lineRule="auto"/>
        <w:ind w:firstLine="720"/>
        <w:rPr>
          <w:sz w:val="26"/>
          <w:szCs w:val="26"/>
        </w:rPr>
      </w:pPr>
    </w:p>
    <w:p w:rsidR="00BE6085" w:rsidRPr="009A4CF6" w:rsidRDefault="00D06C4F" w:rsidP="00CB1FC9">
      <w:pPr>
        <w:spacing w:line="360" w:lineRule="auto"/>
        <w:rPr>
          <w:sz w:val="26"/>
          <w:szCs w:val="26"/>
        </w:rPr>
      </w:pPr>
      <w:r w:rsidRPr="009A4CF6">
        <w:rPr>
          <w:sz w:val="26"/>
          <w:szCs w:val="26"/>
        </w:rPr>
        <w:tab/>
        <w:t xml:space="preserve">Given that POR programs, while imperfect, are widely available, we do not see this as an immediate issue for consideration.  We also believe that waiting to explore this issue could be advantageous as it will allow us to consider POR changes in the context of other market enhancements that may flow from the earlier stages of this Investigation.  </w:t>
      </w:r>
      <w:r w:rsidRPr="009A4CF6">
        <w:rPr>
          <w:sz w:val="26"/>
          <w:szCs w:val="26"/>
        </w:rPr>
        <w:lastRenderedPageBreak/>
        <w:t xml:space="preserve">Therefore, we plan to delay discussion of POR until </w:t>
      </w:r>
      <w:r w:rsidR="006139AF">
        <w:rPr>
          <w:sz w:val="26"/>
          <w:szCs w:val="26"/>
        </w:rPr>
        <w:t>no later than the third quarter of 2015</w:t>
      </w:r>
      <w:r w:rsidRPr="009A4CF6">
        <w:rPr>
          <w:sz w:val="26"/>
          <w:szCs w:val="26"/>
        </w:rPr>
        <w:t>.</w:t>
      </w:r>
    </w:p>
    <w:p w:rsidR="00D06C4F" w:rsidRPr="009A4CF6" w:rsidRDefault="00D06C4F" w:rsidP="00CB1FC9">
      <w:pPr>
        <w:spacing w:line="360" w:lineRule="auto"/>
        <w:rPr>
          <w:sz w:val="26"/>
          <w:szCs w:val="26"/>
        </w:rPr>
      </w:pPr>
    </w:p>
    <w:p w:rsidR="00BE6085" w:rsidRPr="009A4CF6" w:rsidRDefault="00BB1D06" w:rsidP="00CB1FC9">
      <w:pPr>
        <w:pStyle w:val="Heading2"/>
        <w:spacing w:before="0" w:line="360" w:lineRule="auto"/>
        <w:rPr>
          <w:rFonts w:ascii="Times New Roman" w:hAnsi="Times New Roman" w:cs="Times New Roman"/>
          <w:color w:val="auto"/>
        </w:rPr>
      </w:pPr>
      <w:bookmarkStart w:id="15" w:name="_Toc405359506"/>
      <w:r w:rsidRPr="009A4CF6">
        <w:rPr>
          <w:rFonts w:ascii="Times New Roman" w:hAnsi="Times New Roman" w:cs="Times New Roman"/>
          <w:color w:val="auto"/>
        </w:rPr>
        <w:t>N.</w:t>
      </w:r>
      <w:r w:rsidRPr="009A4CF6">
        <w:rPr>
          <w:rFonts w:ascii="Times New Roman" w:hAnsi="Times New Roman" w:cs="Times New Roman"/>
          <w:color w:val="auto"/>
        </w:rPr>
        <w:tab/>
      </w:r>
      <w:r w:rsidR="00BE6085" w:rsidRPr="009A4CF6">
        <w:rPr>
          <w:rFonts w:ascii="Times New Roman" w:hAnsi="Times New Roman" w:cs="Times New Roman"/>
          <w:color w:val="auto"/>
        </w:rPr>
        <w:t>Disclosure Requirements</w:t>
      </w:r>
      <w:bookmarkEnd w:id="15"/>
    </w:p>
    <w:p w:rsidR="002E4BAF" w:rsidRPr="009A4CF6" w:rsidRDefault="002E4BAF" w:rsidP="00CB1FC9">
      <w:pPr>
        <w:spacing w:line="360" w:lineRule="auto"/>
        <w:rPr>
          <w:sz w:val="26"/>
          <w:szCs w:val="26"/>
          <w:u w:val="single"/>
        </w:rPr>
      </w:pPr>
    </w:p>
    <w:p w:rsidR="002E4BAF" w:rsidRPr="009A4CF6" w:rsidRDefault="002E4BAF" w:rsidP="00CB1FC9">
      <w:pPr>
        <w:spacing w:line="360" w:lineRule="auto"/>
        <w:ind w:firstLine="720"/>
        <w:rPr>
          <w:sz w:val="26"/>
          <w:szCs w:val="26"/>
        </w:rPr>
      </w:pPr>
      <w:r w:rsidRPr="009A4CF6">
        <w:rPr>
          <w:sz w:val="26"/>
          <w:szCs w:val="26"/>
        </w:rPr>
        <w:t>On April 3, 2014, the Commission adopted a Final</w:t>
      </w:r>
      <w:r w:rsidR="00A66547" w:rsidRPr="009A4CF6">
        <w:rPr>
          <w:sz w:val="26"/>
          <w:szCs w:val="26"/>
        </w:rPr>
        <w:t>-</w:t>
      </w:r>
      <w:r w:rsidRPr="009A4CF6">
        <w:rPr>
          <w:sz w:val="26"/>
          <w:szCs w:val="26"/>
        </w:rPr>
        <w:t>Omitted Rulemaking Order,</w:t>
      </w:r>
      <w:r w:rsidRPr="009A4CF6">
        <w:rPr>
          <w:sz w:val="26"/>
          <w:szCs w:val="26"/>
          <w:vertAlign w:val="superscript"/>
        </w:rPr>
        <w:footnoteReference w:id="20"/>
      </w:r>
      <w:r w:rsidRPr="009A4CF6">
        <w:rPr>
          <w:sz w:val="26"/>
          <w:szCs w:val="26"/>
        </w:rPr>
        <w:t xml:space="preserve"> extensively revising the disclosure regulations in the electric industry</w:t>
      </w:r>
      <w:r w:rsidR="00A66547" w:rsidRPr="009A4CF6">
        <w:rPr>
          <w:sz w:val="26"/>
          <w:szCs w:val="26"/>
        </w:rPr>
        <w:t>,</w:t>
      </w:r>
      <w:r w:rsidRPr="009A4CF6">
        <w:rPr>
          <w:sz w:val="26"/>
          <w:szCs w:val="26"/>
        </w:rPr>
        <w:t xml:space="preserve"> especially in t</w:t>
      </w:r>
      <w:r w:rsidR="00A66547" w:rsidRPr="009A4CF6">
        <w:rPr>
          <w:sz w:val="26"/>
          <w:szCs w:val="26"/>
        </w:rPr>
        <w:t>he context of variable pricing.</w:t>
      </w:r>
      <w:r w:rsidRPr="009A4CF6">
        <w:rPr>
          <w:sz w:val="26"/>
          <w:szCs w:val="26"/>
        </w:rPr>
        <w:t xml:space="preserve">  These new regulations, which became effective July 14, 2014, are now significantly different than the analogous natural gas industry regulations at 52 Pa. Code § 62.75 (Disclosure statement for residential and small business customers).  These natural gas disclosure rules</w:t>
      </w:r>
      <w:r w:rsidR="00A66547" w:rsidRPr="009A4CF6">
        <w:rPr>
          <w:sz w:val="26"/>
          <w:szCs w:val="26"/>
        </w:rPr>
        <w:t xml:space="preserve"> at § 62.75</w:t>
      </w:r>
      <w:r w:rsidRPr="009A4CF6">
        <w:rPr>
          <w:sz w:val="26"/>
          <w:szCs w:val="26"/>
        </w:rPr>
        <w:t xml:space="preserve"> went into effect in April 2001 and have not been formally reviewed since.</w:t>
      </w:r>
      <w:r w:rsidRPr="009A4CF6">
        <w:rPr>
          <w:rStyle w:val="FootnoteReference"/>
          <w:sz w:val="26"/>
          <w:szCs w:val="26"/>
        </w:rPr>
        <w:footnoteReference w:id="21"/>
      </w:r>
      <w:r w:rsidRPr="009A4CF6">
        <w:rPr>
          <w:sz w:val="26"/>
          <w:szCs w:val="26"/>
        </w:rPr>
        <w:t xml:space="preserve">  </w:t>
      </w:r>
      <w:r w:rsidR="00A66547" w:rsidRPr="009A4CF6">
        <w:rPr>
          <w:sz w:val="26"/>
          <w:szCs w:val="26"/>
        </w:rPr>
        <w:t xml:space="preserve">In our </w:t>
      </w:r>
      <w:r w:rsidR="00A66547" w:rsidRPr="009A4CF6">
        <w:rPr>
          <w:i/>
          <w:sz w:val="26"/>
          <w:szCs w:val="26"/>
        </w:rPr>
        <w:t>Tentative Order</w:t>
      </w:r>
      <w:r w:rsidR="00A66547" w:rsidRPr="009A4CF6">
        <w:rPr>
          <w:sz w:val="26"/>
          <w:szCs w:val="26"/>
        </w:rPr>
        <w:t>, we proposed</w:t>
      </w:r>
      <w:r w:rsidRPr="009A4CF6">
        <w:rPr>
          <w:sz w:val="26"/>
          <w:szCs w:val="26"/>
        </w:rPr>
        <w:t xml:space="preserve"> a comprehensive review of these rules, similar to our 2014 review of the electric rules, for a variety of reasons.   </w:t>
      </w:r>
    </w:p>
    <w:p w:rsidR="002E4BAF" w:rsidRPr="009A4CF6" w:rsidRDefault="002E4BAF" w:rsidP="002E4BAF">
      <w:pPr>
        <w:spacing w:line="360" w:lineRule="auto"/>
        <w:ind w:firstLine="720"/>
        <w:rPr>
          <w:sz w:val="26"/>
          <w:szCs w:val="26"/>
        </w:rPr>
      </w:pPr>
    </w:p>
    <w:p w:rsidR="00A66547" w:rsidRPr="009A4CF6" w:rsidRDefault="00214F6C" w:rsidP="002E4BAF">
      <w:pPr>
        <w:spacing w:line="360" w:lineRule="auto"/>
        <w:ind w:firstLine="720"/>
        <w:rPr>
          <w:sz w:val="26"/>
          <w:szCs w:val="26"/>
        </w:rPr>
      </w:pPr>
      <w:r w:rsidRPr="009A4CF6">
        <w:rPr>
          <w:sz w:val="26"/>
          <w:szCs w:val="26"/>
        </w:rPr>
        <w:t>M</w:t>
      </w:r>
      <w:r w:rsidR="002E4BAF" w:rsidRPr="009A4CF6">
        <w:rPr>
          <w:sz w:val="26"/>
          <w:szCs w:val="26"/>
        </w:rPr>
        <w:t xml:space="preserve">any of the concerns with variable rates that led us </w:t>
      </w:r>
      <w:r w:rsidR="006003DA">
        <w:rPr>
          <w:sz w:val="26"/>
          <w:szCs w:val="26"/>
        </w:rPr>
        <w:t xml:space="preserve">to </w:t>
      </w:r>
      <w:r w:rsidR="002E4BAF" w:rsidRPr="009A4CF6">
        <w:rPr>
          <w:sz w:val="26"/>
          <w:szCs w:val="26"/>
        </w:rPr>
        <w:t>change</w:t>
      </w:r>
      <w:r w:rsidRPr="009A4CF6">
        <w:rPr>
          <w:sz w:val="26"/>
          <w:szCs w:val="26"/>
        </w:rPr>
        <w:t xml:space="preserve"> </w:t>
      </w:r>
      <w:r w:rsidR="002E4BAF" w:rsidRPr="009A4CF6">
        <w:rPr>
          <w:sz w:val="26"/>
          <w:szCs w:val="26"/>
        </w:rPr>
        <w:t xml:space="preserve">the electric rules may also be relevant to the natural gas industry.  This includes the availability of historical pricing information, notice of price changes and explicit disclosure of limits or the lack of limits on price variability.  </w:t>
      </w:r>
    </w:p>
    <w:p w:rsidR="00A66547" w:rsidRPr="009A4CF6" w:rsidRDefault="00A66547" w:rsidP="002E4BAF">
      <w:pPr>
        <w:spacing w:line="360" w:lineRule="auto"/>
        <w:ind w:firstLine="720"/>
        <w:rPr>
          <w:sz w:val="26"/>
          <w:szCs w:val="26"/>
        </w:rPr>
      </w:pPr>
    </w:p>
    <w:p w:rsidR="00A66547" w:rsidRPr="009A4CF6" w:rsidRDefault="002E4BAF" w:rsidP="002E4BAF">
      <w:pPr>
        <w:spacing w:line="360" w:lineRule="auto"/>
        <w:ind w:firstLine="720"/>
        <w:rPr>
          <w:sz w:val="26"/>
          <w:szCs w:val="26"/>
        </w:rPr>
      </w:pPr>
      <w:r w:rsidRPr="009A4CF6">
        <w:rPr>
          <w:sz w:val="26"/>
          <w:szCs w:val="26"/>
        </w:rPr>
        <w:t xml:space="preserve">Other changes to the electric rules, in addition to those concerning variable rates, are also worth examining to determine their applicability to the natural gas industry.  These include the use of a supplier contract summary page and supply contract expiration notices.  </w:t>
      </w:r>
    </w:p>
    <w:p w:rsidR="00A66547" w:rsidRPr="009A4CF6" w:rsidRDefault="00A66547" w:rsidP="002E4BAF">
      <w:pPr>
        <w:spacing w:line="360" w:lineRule="auto"/>
        <w:ind w:firstLine="720"/>
        <w:rPr>
          <w:sz w:val="26"/>
          <w:szCs w:val="26"/>
        </w:rPr>
      </w:pPr>
    </w:p>
    <w:p w:rsidR="002E4BAF" w:rsidRPr="009A4CF6" w:rsidRDefault="002E4BAF" w:rsidP="002E4BAF">
      <w:pPr>
        <w:spacing w:line="360" w:lineRule="auto"/>
        <w:ind w:firstLine="720"/>
        <w:rPr>
          <w:sz w:val="26"/>
          <w:szCs w:val="26"/>
          <w:u w:val="single"/>
        </w:rPr>
      </w:pPr>
      <w:r w:rsidRPr="009A4CF6">
        <w:rPr>
          <w:sz w:val="26"/>
          <w:szCs w:val="26"/>
        </w:rPr>
        <w:t>Finally, we think that there are many benefits to both consumers and suppliers in having consistent cross-industry rules.  The current inconsistencies between the two set of rules can lead to customer confusion and inefficiencies for suppliers – especially for those customers who obtain both gas and electric service from the same supplier.</w:t>
      </w:r>
      <w:r w:rsidRPr="009A4CF6">
        <w:rPr>
          <w:sz w:val="26"/>
          <w:szCs w:val="26"/>
          <w:vertAlign w:val="superscript"/>
        </w:rPr>
        <w:footnoteReference w:id="22"/>
      </w:r>
      <w:r w:rsidRPr="009A4CF6">
        <w:rPr>
          <w:sz w:val="26"/>
          <w:szCs w:val="26"/>
        </w:rPr>
        <w:t xml:space="preserve">      </w:t>
      </w:r>
    </w:p>
    <w:p w:rsidR="002E4BAF" w:rsidRPr="009A4CF6" w:rsidRDefault="002E4BAF" w:rsidP="00431EE2">
      <w:pPr>
        <w:spacing w:line="360" w:lineRule="auto"/>
        <w:rPr>
          <w:sz w:val="26"/>
          <w:szCs w:val="26"/>
          <w:u w:val="single"/>
        </w:rPr>
      </w:pPr>
    </w:p>
    <w:p w:rsidR="00BE6085" w:rsidRPr="009A4CF6" w:rsidRDefault="00A66547" w:rsidP="00431EE2">
      <w:pPr>
        <w:spacing w:line="360" w:lineRule="auto"/>
        <w:rPr>
          <w:b/>
          <w:sz w:val="26"/>
          <w:szCs w:val="26"/>
        </w:rPr>
      </w:pPr>
      <w:r w:rsidRPr="009A4CF6">
        <w:rPr>
          <w:b/>
          <w:sz w:val="26"/>
          <w:szCs w:val="26"/>
        </w:rPr>
        <w:tab/>
        <w:t>1.</w:t>
      </w:r>
      <w:r w:rsidRPr="009A4CF6">
        <w:rPr>
          <w:b/>
          <w:sz w:val="26"/>
          <w:szCs w:val="26"/>
        </w:rPr>
        <w:tab/>
      </w:r>
      <w:r w:rsidR="00BE6085" w:rsidRPr="009A4CF6">
        <w:rPr>
          <w:b/>
          <w:sz w:val="26"/>
          <w:szCs w:val="26"/>
        </w:rPr>
        <w:t>Comments</w:t>
      </w:r>
    </w:p>
    <w:p w:rsidR="00A66547" w:rsidRPr="009A4CF6" w:rsidRDefault="00A66547" w:rsidP="00431EE2">
      <w:pPr>
        <w:spacing w:line="360" w:lineRule="auto"/>
        <w:rPr>
          <w:sz w:val="26"/>
          <w:szCs w:val="26"/>
        </w:rPr>
      </w:pPr>
    </w:p>
    <w:p w:rsidR="00A66547" w:rsidRPr="009A4CF6" w:rsidRDefault="00BE6085" w:rsidP="00431EE2">
      <w:pPr>
        <w:spacing w:line="360" w:lineRule="auto"/>
        <w:rPr>
          <w:sz w:val="26"/>
          <w:szCs w:val="26"/>
        </w:rPr>
      </w:pPr>
      <w:r w:rsidRPr="009A4CF6">
        <w:rPr>
          <w:sz w:val="26"/>
          <w:szCs w:val="26"/>
        </w:rPr>
        <w:tab/>
        <w:t xml:space="preserve">OCA contends that regulatory changes to the current disclosure requirements should be a higher priority in this investigation.  </w:t>
      </w:r>
      <w:r w:rsidR="00C51AE3" w:rsidRPr="009A4CF6">
        <w:rPr>
          <w:sz w:val="26"/>
          <w:szCs w:val="26"/>
        </w:rPr>
        <w:t xml:space="preserve">OCA </w:t>
      </w:r>
      <w:r w:rsidRPr="009A4CF6">
        <w:rPr>
          <w:sz w:val="26"/>
          <w:szCs w:val="26"/>
        </w:rPr>
        <w:t xml:space="preserve">Comments at 3.  </w:t>
      </w:r>
    </w:p>
    <w:p w:rsidR="00A66547" w:rsidRPr="009A4CF6" w:rsidRDefault="00A66547" w:rsidP="00431EE2">
      <w:pPr>
        <w:spacing w:line="360" w:lineRule="auto"/>
        <w:rPr>
          <w:sz w:val="26"/>
          <w:szCs w:val="26"/>
        </w:rPr>
      </w:pPr>
    </w:p>
    <w:p w:rsidR="00BE6085" w:rsidRPr="009A4CF6" w:rsidRDefault="00A66547" w:rsidP="00431EE2">
      <w:pPr>
        <w:spacing w:line="360" w:lineRule="auto"/>
        <w:rPr>
          <w:sz w:val="26"/>
          <w:szCs w:val="26"/>
        </w:rPr>
      </w:pPr>
      <w:r w:rsidRPr="009A4CF6">
        <w:rPr>
          <w:sz w:val="26"/>
          <w:szCs w:val="26"/>
        </w:rPr>
        <w:tab/>
      </w:r>
      <w:r w:rsidR="00BE6085" w:rsidRPr="009A4CF6">
        <w:rPr>
          <w:sz w:val="26"/>
          <w:szCs w:val="26"/>
        </w:rPr>
        <w:t>The PA Marketers believe the electric disclosure requirements</w:t>
      </w:r>
      <w:r w:rsidR="009D1221" w:rsidRPr="009A4CF6">
        <w:rPr>
          <w:sz w:val="26"/>
          <w:szCs w:val="26"/>
        </w:rPr>
        <w:t>, with appropriate changes in the EGS Contract Summary to account for market differences,</w:t>
      </w:r>
      <w:r w:rsidR="00BE6085" w:rsidRPr="009A4CF6">
        <w:rPr>
          <w:sz w:val="26"/>
          <w:szCs w:val="26"/>
        </w:rPr>
        <w:t xml:space="preserve"> may be applied to the</w:t>
      </w:r>
      <w:r w:rsidRPr="009A4CF6">
        <w:rPr>
          <w:sz w:val="26"/>
          <w:szCs w:val="26"/>
        </w:rPr>
        <w:t xml:space="preserve"> natural</w:t>
      </w:r>
      <w:r w:rsidR="00BE6085" w:rsidRPr="009A4CF6">
        <w:rPr>
          <w:sz w:val="26"/>
          <w:szCs w:val="26"/>
        </w:rPr>
        <w:t xml:space="preserve"> gas industry.  </w:t>
      </w:r>
      <w:r w:rsidR="00C51AE3" w:rsidRPr="009A4CF6">
        <w:rPr>
          <w:sz w:val="26"/>
          <w:szCs w:val="26"/>
        </w:rPr>
        <w:t xml:space="preserve">PA Marketers </w:t>
      </w:r>
      <w:r w:rsidR="00BE6085" w:rsidRPr="009A4CF6">
        <w:rPr>
          <w:sz w:val="26"/>
          <w:szCs w:val="26"/>
        </w:rPr>
        <w:t>Comments at 3</w:t>
      </w:r>
      <w:r w:rsidR="009D1221" w:rsidRPr="009A4CF6">
        <w:rPr>
          <w:sz w:val="26"/>
          <w:szCs w:val="26"/>
        </w:rPr>
        <w:t xml:space="preserve">; </w:t>
      </w:r>
      <w:r w:rsidR="009D1221" w:rsidRPr="009A4CF6">
        <w:rPr>
          <w:i/>
          <w:sz w:val="26"/>
          <w:szCs w:val="26"/>
        </w:rPr>
        <w:t>see</w:t>
      </w:r>
      <w:r w:rsidR="009D1221" w:rsidRPr="009A4CF6">
        <w:rPr>
          <w:sz w:val="26"/>
          <w:szCs w:val="26"/>
        </w:rPr>
        <w:t xml:space="preserve"> 52 Pa. Code §§ 54.5, 54.10</w:t>
      </w:r>
      <w:r w:rsidR="00BE6085" w:rsidRPr="009A4CF6">
        <w:rPr>
          <w:sz w:val="26"/>
          <w:szCs w:val="26"/>
        </w:rPr>
        <w:t>.</w:t>
      </w:r>
      <w:r w:rsidR="009D1221" w:rsidRPr="009A4CF6">
        <w:rPr>
          <w:sz w:val="26"/>
          <w:szCs w:val="26"/>
        </w:rPr>
        <w:t xml:space="preserve">  </w:t>
      </w:r>
      <w:r w:rsidR="004708B8" w:rsidRPr="009A4CF6">
        <w:rPr>
          <w:sz w:val="26"/>
          <w:szCs w:val="26"/>
        </w:rPr>
        <w:t xml:space="preserve">UGIES </w:t>
      </w:r>
      <w:r w:rsidR="009D1221" w:rsidRPr="009A4CF6">
        <w:rPr>
          <w:sz w:val="26"/>
          <w:szCs w:val="26"/>
        </w:rPr>
        <w:t xml:space="preserve">also supports general applicability of the electric disclosure requirements and asserts that historical variable rate pricing information should be available for residential and small business customers.  </w:t>
      </w:r>
      <w:r w:rsidR="00C51AE3" w:rsidRPr="009A4CF6">
        <w:rPr>
          <w:sz w:val="26"/>
          <w:szCs w:val="26"/>
        </w:rPr>
        <w:t xml:space="preserve">UGIES </w:t>
      </w:r>
      <w:r w:rsidR="009D1221" w:rsidRPr="009A4CF6">
        <w:rPr>
          <w:sz w:val="26"/>
          <w:szCs w:val="26"/>
        </w:rPr>
        <w:t>Comments at 2.  RESA</w:t>
      </w:r>
      <w:r w:rsidR="00513EFE" w:rsidRPr="009A4CF6">
        <w:rPr>
          <w:sz w:val="26"/>
          <w:szCs w:val="26"/>
        </w:rPr>
        <w:t xml:space="preserve"> supports uniformity between gas and electric disclosure requirements, but recommends re-examination of the requirements in the electric industry before simply applying those requirements to the gas industry.  </w:t>
      </w:r>
      <w:r w:rsidR="00C51AE3" w:rsidRPr="009A4CF6">
        <w:rPr>
          <w:sz w:val="26"/>
          <w:szCs w:val="26"/>
        </w:rPr>
        <w:t xml:space="preserve">RESA </w:t>
      </w:r>
      <w:r w:rsidR="00513EFE" w:rsidRPr="009A4CF6">
        <w:rPr>
          <w:sz w:val="26"/>
          <w:szCs w:val="26"/>
        </w:rPr>
        <w:t>Comments at 24.</w:t>
      </w:r>
      <w:r w:rsidR="00BE6085" w:rsidRPr="009A4CF6">
        <w:rPr>
          <w:sz w:val="26"/>
          <w:szCs w:val="26"/>
        </w:rPr>
        <w:t xml:space="preserve">  </w:t>
      </w:r>
    </w:p>
    <w:p w:rsidR="00BE6085" w:rsidRPr="009A4CF6" w:rsidRDefault="00BE6085" w:rsidP="00431EE2">
      <w:pPr>
        <w:spacing w:line="360" w:lineRule="auto"/>
        <w:rPr>
          <w:sz w:val="26"/>
          <w:szCs w:val="26"/>
        </w:rPr>
      </w:pPr>
    </w:p>
    <w:p w:rsidR="00BE6085" w:rsidRPr="009A4CF6" w:rsidRDefault="00A66547" w:rsidP="00431EE2">
      <w:pPr>
        <w:spacing w:line="360" w:lineRule="auto"/>
        <w:rPr>
          <w:b/>
          <w:sz w:val="26"/>
          <w:szCs w:val="26"/>
        </w:rPr>
      </w:pPr>
      <w:r w:rsidRPr="009A4CF6">
        <w:rPr>
          <w:sz w:val="26"/>
          <w:szCs w:val="26"/>
        </w:rPr>
        <w:tab/>
      </w:r>
      <w:r w:rsidRPr="009A4CF6">
        <w:rPr>
          <w:b/>
          <w:sz w:val="26"/>
          <w:szCs w:val="26"/>
        </w:rPr>
        <w:t>2.</w:t>
      </w:r>
      <w:r w:rsidRPr="009A4CF6">
        <w:rPr>
          <w:b/>
          <w:sz w:val="26"/>
          <w:szCs w:val="26"/>
        </w:rPr>
        <w:tab/>
      </w:r>
      <w:r w:rsidR="00513EFE" w:rsidRPr="009A4CF6">
        <w:rPr>
          <w:b/>
          <w:sz w:val="26"/>
          <w:szCs w:val="26"/>
        </w:rPr>
        <w:t>Disposition</w:t>
      </w:r>
    </w:p>
    <w:p w:rsidR="00513EFE" w:rsidRPr="009A4CF6" w:rsidRDefault="00513EFE" w:rsidP="00431EE2">
      <w:pPr>
        <w:spacing w:line="360" w:lineRule="auto"/>
        <w:rPr>
          <w:sz w:val="26"/>
          <w:szCs w:val="26"/>
        </w:rPr>
      </w:pPr>
    </w:p>
    <w:p w:rsidR="004E0D5B" w:rsidRPr="009A4CF6" w:rsidRDefault="00214F6C" w:rsidP="00214F6C">
      <w:pPr>
        <w:spacing w:line="360" w:lineRule="auto"/>
        <w:ind w:firstLine="720"/>
        <w:rPr>
          <w:sz w:val="26"/>
          <w:szCs w:val="26"/>
        </w:rPr>
      </w:pPr>
      <w:r w:rsidRPr="009A4CF6">
        <w:rPr>
          <w:sz w:val="26"/>
          <w:szCs w:val="26"/>
        </w:rPr>
        <w:t>We agree with OCA that this should be a high-priority it</w:t>
      </w:r>
      <w:r w:rsidR="00A66547" w:rsidRPr="009A4CF6">
        <w:rPr>
          <w:sz w:val="26"/>
          <w:szCs w:val="26"/>
        </w:rPr>
        <w:t>em</w:t>
      </w:r>
      <w:r w:rsidRPr="009A4CF6">
        <w:rPr>
          <w:sz w:val="26"/>
          <w:szCs w:val="26"/>
        </w:rPr>
        <w:t xml:space="preserve"> and</w:t>
      </w:r>
      <w:r w:rsidR="00A66547" w:rsidRPr="009A4CF6">
        <w:rPr>
          <w:sz w:val="26"/>
          <w:szCs w:val="26"/>
        </w:rPr>
        <w:t>,</w:t>
      </w:r>
      <w:r w:rsidRPr="009A4CF6">
        <w:rPr>
          <w:sz w:val="26"/>
          <w:szCs w:val="26"/>
        </w:rPr>
        <w:t xml:space="preserve"> with this order</w:t>
      </w:r>
      <w:r w:rsidR="00A66547" w:rsidRPr="009A4CF6">
        <w:rPr>
          <w:sz w:val="26"/>
          <w:szCs w:val="26"/>
        </w:rPr>
        <w:t>,</w:t>
      </w:r>
      <w:r w:rsidRPr="009A4CF6">
        <w:rPr>
          <w:sz w:val="26"/>
          <w:szCs w:val="26"/>
        </w:rPr>
        <w:t xml:space="preserve"> we will initiate an immediate exploration of this topic and </w:t>
      </w:r>
      <w:r w:rsidR="0046215A" w:rsidRPr="009A4CF6">
        <w:rPr>
          <w:sz w:val="26"/>
          <w:szCs w:val="26"/>
        </w:rPr>
        <w:t xml:space="preserve">a </w:t>
      </w:r>
      <w:r w:rsidRPr="009A4CF6">
        <w:rPr>
          <w:sz w:val="26"/>
          <w:szCs w:val="26"/>
        </w:rPr>
        <w:t xml:space="preserve">call for comments.  We </w:t>
      </w:r>
      <w:r w:rsidR="00A66547" w:rsidRPr="009A4CF6">
        <w:rPr>
          <w:sz w:val="26"/>
          <w:szCs w:val="26"/>
        </w:rPr>
        <w:t>believe that</w:t>
      </w:r>
      <w:r w:rsidRPr="009A4CF6">
        <w:rPr>
          <w:sz w:val="26"/>
          <w:szCs w:val="26"/>
        </w:rPr>
        <w:t xml:space="preserve"> an immediate initiation of this action is </w:t>
      </w:r>
      <w:r w:rsidR="00A66547" w:rsidRPr="009A4CF6">
        <w:rPr>
          <w:sz w:val="26"/>
          <w:szCs w:val="26"/>
        </w:rPr>
        <w:t>needed given that, in order</w:t>
      </w:r>
      <w:r w:rsidR="0046215A" w:rsidRPr="009A4CF6">
        <w:rPr>
          <w:sz w:val="26"/>
          <w:szCs w:val="26"/>
        </w:rPr>
        <w:t xml:space="preserve"> to </w:t>
      </w:r>
      <w:r w:rsidR="0046215A" w:rsidRPr="009A4CF6">
        <w:rPr>
          <w:sz w:val="26"/>
          <w:szCs w:val="26"/>
        </w:rPr>
        <w:lastRenderedPageBreak/>
        <w:t>effectuate any substantial changes</w:t>
      </w:r>
      <w:r w:rsidR="00A66547" w:rsidRPr="009A4CF6">
        <w:rPr>
          <w:sz w:val="26"/>
          <w:szCs w:val="26"/>
        </w:rPr>
        <w:t>,</w:t>
      </w:r>
      <w:r w:rsidR="0046215A" w:rsidRPr="009A4CF6">
        <w:rPr>
          <w:sz w:val="26"/>
          <w:szCs w:val="26"/>
        </w:rPr>
        <w:t xml:space="preserve"> a rulemaking will be required.  Such a rule</w:t>
      </w:r>
      <w:r w:rsidR="00A66547" w:rsidRPr="009A4CF6">
        <w:rPr>
          <w:sz w:val="26"/>
          <w:szCs w:val="26"/>
        </w:rPr>
        <w:t>making may take several months,</w:t>
      </w:r>
      <w:r w:rsidR="0046215A" w:rsidRPr="009A4CF6">
        <w:rPr>
          <w:sz w:val="26"/>
          <w:szCs w:val="26"/>
        </w:rPr>
        <w:t xml:space="preserve"> making an early start to this discussion all the more appropriate.  In effect, this order will be similar to an Advanced Notice of Proposed Rulemaking Order (ANOPR), where we will solicit comments from all parties and then use those comments to frame the issues in a Notice of Proposed Rulemaking Order (NOPR) that we </w:t>
      </w:r>
      <w:r w:rsidR="00A66547" w:rsidRPr="009A4CF6">
        <w:rPr>
          <w:sz w:val="26"/>
          <w:szCs w:val="26"/>
        </w:rPr>
        <w:t>will issue</w:t>
      </w:r>
      <w:r w:rsidR="0046215A" w:rsidRPr="009A4CF6">
        <w:rPr>
          <w:sz w:val="26"/>
          <w:szCs w:val="26"/>
        </w:rPr>
        <w:t xml:space="preserve"> in early 2015.  It is also possible that, if upon reviewing the comments, parties raise new </w:t>
      </w:r>
      <w:r w:rsidR="004E0D5B" w:rsidRPr="009A4CF6">
        <w:rPr>
          <w:sz w:val="26"/>
          <w:szCs w:val="26"/>
        </w:rPr>
        <w:t>issues or arguments,</w:t>
      </w:r>
      <w:r w:rsidR="0046215A" w:rsidRPr="009A4CF6">
        <w:rPr>
          <w:sz w:val="26"/>
          <w:szCs w:val="26"/>
        </w:rPr>
        <w:t xml:space="preserve"> OCMO may </w:t>
      </w:r>
      <w:r w:rsidR="004E0D5B" w:rsidRPr="009A4CF6">
        <w:rPr>
          <w:sz w:val="26"/>
          <w:szCs w:val="26"/>
        </w:rPr>
        <w:t xml:space="preserve">first </w:t>
      </w:r>
      <w:r w:rsidR="0046215A" w:rsidRPr="009A4CF6">
        <w:rPr>
          <w:sz w:val="26"/>
          <w:szCs w:val="26"/>
        </w:rPr>
        <w:t xml:space="preserve">convene a stakeholder </w:t>
      </w:r>
      <w:r w:rsidR="004E0D5B" w:rsidRPr="009A4CF6">
        <w:rPr>
          <w:sz w:val="26"/>
          <w:szCs w:val="26"/>
        </w:rPr>
        <w:t xml:space="preserve">group to discuss the matter before proceeding with a NOPR.  However, given the urgency of this issue, </w:t>
      </w:r>
      <w:r w:rsidR="006003DA">
        <w:rPr>
          <w:sz w:val="26"/>
          <w:szCs w:val="26"/>
        </w:rPr>
        <w:t xml:space="preserve">combined with </w:t>
      </w:r>
      <w:r w:rsidR="004E0D5B" w:rsidRPr="009A4CF6">
        <w:rPr>
          <w:sz w:val="26"/>
          <w:szCs w:val="26"/>
        </w:rPr>
        <w:t>the fact that these are generally not “new” issues</w:t>
      </w:r>
      <w:r w:rsidR="00044414" w:rsidRPr="009A4CF6">
        <w:rPr>
          <w:sz w:val="26"/>
          <w:szCs w:val="26"/>
        </w:rPr>
        <w:t xml:space="preserve"> - </w:t>
      </w:r>
      <w:r w:rsidR="004E0D5B" w:rsidRPr="009A4CF6">
        <w:rPr>
          <w:sz w:val="26"/>
          <w:szCs w:val="26"/>
        </w:rPr>
        <w:t xml:space="preserve">they have </w:t>
      </w:r>
      <w:r w:rsidR="00044414" w:rsidRPr="009A4CF6">
        <w:rPr>
          <w:sz w:val="26"/>
          <w:szCs w:val="26"/>
        </w:rPr>
        <w:t>already</w:t>
      </w:r>
      <w:r w:rsidR="004E0D5B" w:rsidRPr="009A4CF6">
        <w:rPr>
          <w:sz w:val="26"/>
          <w:szCs w:val="26"/>
        </w:rPr>
        <w:t xml:space="preserve"> been discussed in the electric industry</w:t>
      </w:r>
      <w:r w:rsidR="00044414" w:rsidRPr="009A4CF6">
        <w:rPr>
          <w:sz w:val="26"/>
          <w:szCs w:val="26"/>
        </w:rPr>
        <w:t xml:space="preserve"> - </w:t>
      </w:r>
      <w:r w:rsidR="004E0D5B" w:rsidRPr="009A4CF6">
        <w:rPr>
          <w:sz w:val="26"/>
          <w:szCs w:val="26"/>
        </w:rPr>
        <w:t>we direct OCMO to proceed with a NOPR</w:t>
      </w:r>
      <w:r w:rsidR="00044414" w:rsidRPr="009A4CF6">
        <w:rPr>
          <w:sz w:val="26"/>
          <w:szCs w:val="26"/>
        </w:rPr>
        <w:t xml:space="preserve"> as soon as possible.</w:t>
      </w:r>
      <w:r w:rsidR="004E0D5B" w:rsidRPr="009A4CF6">
        <w:rPr>
          <w:sz w:val="26"/>
          <w:szCs w:val="26"/>
        </w:rPr>
        <w:t xml:space="preserve">  The NOPR will be a conventional rulemaking order that will provide parties with the opportunity to comment on specific proposed regulatory language. </w:t>
      </w:r>
    </w:p>
    <w:p w:rsidR="004E0D5B" w:rsidRPr="009A4CF6" w:rsidRDefault="004E0D5B" w:rsidP="00214F6C">
      <w:pPr>
        <w:spacing w:line="360" w:lineRule="auto"/>
        <w:ind w:firstLine="720"/>
        <w:rPr>
          <w:sz w:val="26"/>
          <w:szCs w:val="26"/>
        </w:rPr>
      </w:pPr>
    </w:p>
    <w:p w:rsidR="00F753A3" w:rsidRPr="009A4CF6" w:rsidRDefault="004E0D5B" w:rsidP="00214F6C">
      <w:pPr>
        <w:spacing w:line="360" w:lineRule="auto"/>
        <w:ind w:firstLine="720"/>
        <w:rPr>
          <w:sz w:val="26"/>
          <w:szCs w:val="26"/>
        </w:rPr>
      </w:pPr>
      <w:r w:rsidRPr="009A4CF6">
        <w:rPr>
          <w:sz w:val="26"/>
          <w:szCs w:val="26"/>
        </w:rPr>
        <w:t>To assist parties in framing their comments</w:t>
      </w:r>
      <w:r w:rsidR="00F753A3" w:rsidRPr="009A4CF6">
        <w:rPr>
          <w:sz w:val="26"/>
          <w:szCs w:val="26"/>
        </w:rPr>
        <w:t>, we direct them to the regulations at 52 Pa. Code § 62.75 (Disclosure statement for residential and small business customers) and to our recent revisions of the analogous electric rules mentioned above.</w:t>
      </w:r>
      <w:r w:rsidR="00F753A3" w:rsidRPr="009A4CF6">
        <w:rPr>
          <w:rStyle w:val="FootnoteReference"/>
          <w:sz w:val="26"/>
          <w:szCs w:val="26"/>
        </w:rPr>
        <w:footnoteReference w:id="23"/>
      </w:r>
      <w:r w:rsidR="00F753A3" w:rsidRPr="009A4CF6">
        <w:rPr>
          <w:sz w:val="26"/>
          <w:szCs w:val="26"/>
        </w:rPr>
        <w:t xml:space="preserve">  Parties are free to discuss any aspect of these rules and suggest any c</w:t>
      </w:r>
      <w:r w:rsidR="00A66547" w:rsidRPr="009A4CF6">
        <w:rPr>
          <w:sz w:val="26"/>
          <w:szCs w:val="26"/>
        </w:rPr>
        <w:t>hanges they believe are needed</w:t>
      </w:r>
      <w:r w:rsidR="006003DA">
        <w:rPr>
          <w:sz w:val="26"/>
          <w:szCs w:val="26"/>
        </w:rPr>
        <w:t xml:space="preserve"> that are specific to the</w:t>
      </w:r>
      <w:r w:rsidR="00486160">
        <w:rPr>
          <w:sz w:val="26"/>
          <w:szCs w:val="26"/>
        </w:rPr>
        <w:t xml:space="preserve"> natural</w:t>
      </w:r>
      <w:r w:rsidR="006003DA">
        <w:rPr>
          <w:sz w:val="26"/>
          <w:szCs w:val="26"/>
        </w:rPr>
        <w:t xml:space="preserve"> gas industry</w:t>
      </w:r>
      <w:r w:rsidR="00A66547" w:rsidRPr="009A4CF6">
        <w:rPr>
          <w:sz w:val="26"/>
          <w:szCs w:val="26"/>
        </w:rPr>
        <w:t>,</w:t>
      </w:r>
      <w:r w:rsidR="00F753A3" w:rsidRPr="009A4CF6">
        <w:rPr>
          <w:sz w:val="26"/>
          <w:szCs w:val="26"/>
        </w:rPr>
        <w:t xml:space="preserve"> but we are especially interested in the following areas that were addressed</w:t>
      </w:r>
      <w:r w:rsidR="006003DA">
        <w:rPr>
          <w:sz w:val="26"/>
          <w:szCs w:val="26"/>
        </w:rPr>
        <w:t xml:space="preserve"> prior to</w:t>
      </w:r>
      <w:r w:rsidR="00F753A3" w:rsidRPr="009A4CF6">
        <w:rPr>
          <w:sz w:val="26"/>
          <w:szCs w:val="26"/>
        </w:rPr>
        <w:t xml:space="preserve"> the </w:t>
      </w:r>
      <w:r w:rsidR="006003DA">
        <w:rPr>
          <w:sz w:val="26"/>
          <w:szCs w:val="26"/>
        </w:rPr>
        <w:t>formation of these rules</w:t>
      </w:r>
      <w:r w:rsidR="00F753A3" w:rsidRPr="009A4CF6">
        <w:rPr>
          <w:sz w:val="26"/>
          <w:szCs w:val="26"/>
        </w:rPr>
        <w:t>:</w:t>
      </w:r>
    </w:p>
    <w:p w:rsidR="00F753A3" w:rsidRPr="009A4CF6" w:rsidRDefault="00F753A3" w:rsidP="00214F6C">
      <w:pPr>
        <w:spacing w:line="360" w:lineRule="auto"/>
        <w:ind w:firstLine="720"/>
        <w:rPr>
          <w:sz w:val="26"/>
          <w:szCs w:val="26"/>
        </w:rPr>
      </w:pPr>
    </w:p>
    <w:p w:rsidR="002E4BAF" w:rsidRPr="009A4CF6" w:rsidRDefault="006161D5" w:rsidP="00F753A3">
      <w:pPr>
        <w:pStyle w:val="ListParagraph"/>
        <w:numPr>
          <w:ilvl w:val="0"/>
          <w:numId w:val="7"/>
        </w:numPr>
        <w:spacing w:line="360" w:lineRule="auto"/>
        <w:rPr>
          <w:sz w:val="26"/>
          <w:szCs w:val="26"/>
        </w:rPr>
      </w:pPr>
      <w:r w:rsidRPr="009A4CF6">
        <w:rPr>
          <w:sz w:val="26"/>
          <w:szCs w:val="26"/>
        </w:rPr>
        <w:t>Enhanced disclosure concerning variable prices; explanation and disclosure of any limits or caps.</w:t>
      </w:r>
    </w:p>
    <w:p w:rsidR="006161D5" w:rsidRPr="009A4CF6" w:rsidRDefault="006161D5" w:rsidP="00F753A3">
      <w:pPr>
        <w:pStyle w:val="ListParagraph"/>
        <w:numPr>
          <w:ilvl w:val="0"/>
          <w:numId w:val="7"/>
        </w:numPr>
        <w:spacing w:line="360" w:lineRule="auto"/>
        <w:rPr>
          <w:sz w:val="26"/>
          <w:szCs w:val="26"/>
        </w:rPr>
      </w:pPr>
      <w:r w:rsidRPr="009A4CF6">
        <w:rPr>
          <w:sz w:val="26"/>
          <w:szCs w:val="26"/>
        </w:rPr>
        <w:t>Explicit statement of no limits if there are no limits to a variable price.</w:t>
      </w:r>
    </w:p>
    <w:p w:rsidR="006161D5" w:rsidRPr="009A4CF6" w:rsidRDefault="006161D5" w:rsidP="00F753A3">
      <w:pPr>
        <w:pStyle w:val="ListParagraph"/>
        <w:numPr>
          <w:ilvl w:val="0"/>
          <w:numId w:val="7"/>
        </w:numPr>
        <w:spacing w:line="360" w:lineRule="auto"/>
        <w:rPr>
          <w:sz w:val="26"/>
          <w:szCs w:val="26"/>
        </w:rPr>
      </w:pPr>
      <w:r w:rsidRPr="009A4CF6">
        <w:rPr>
          <w:sz w:val="26"/>
          <w:szCs w:val="26"/>
        </w:rPr>
        <w:t xml:space="preserve">The price charged for the first billing period (a “starting price” if the price is </w:t>
      </w:r>
      <w:r w:rsidRPr="009A4CF6">
        <w:rPr>
          <w:sz w:val="26"/>
          <w:szCs w:val="26"/>
        </w:rPr>
        <w:lastRenderedPageBreak/>
        <w:t>variable).</w:t>
      </w:r>
    </w:p>
    <w:p w:rsidR="006161D5" w:rsidRPr="009A4CF6" w:rsidRDefault="006161D5" w:rsidP="00F753A3">
      <w:pPr>
        <w:pStyle w:val="ListParagraph"/>
        <w:numPr>
          <w:ilvl w:val="0"/>
          <w:numId w:val="7"/>
        </w:numPr>
        <w:spacing w:line="360" w:lineRule="auto"/>
        <w:rPr>
          <w:sz w:val="26"/>
          <w:szCs w:val="26"/>
        </w:rPr>
      </w:pPr>
      <w:r w:rsidRPr="009A4CF6">
        <w:rPr>
          <w:sz w:val="26"/>
          <w:szCs w:val="26"/>
        </w:rPr>
        <w:t>Explanation of when the customer becomes aware of their variable price for the billing period (before the billing period, at the time of billing, etc.).</w:t>
      </w:r>
    </w:p>
    <w:p w:rsidR="006161D5" w:rsidRPr="009A4CF6" w:rsidRDefault="006161D5" w:rsidP="00F753A3">
      <w:pPr>
        <w:pStyle w:val="ListParagraph"/>
        <w:numPr>
          <w:ilvl w:val="0"/>
          <w:numId w:val="7"/>
        </w:numPr>
        <w:spacing w:line="360" w:lineRule="auto"/>
        <w:rPr>
          <w:sz w:val="26"/>
          <w:szCs w:val="26"/>
        </w:rPr>
      </w:pPr>
      <w:r w:rsidRPr="009A4CF6">
        <w:rPr>
          <w:sz w:val="26"/>
          <w:szCs w:val="26"/>
        </w:rPr>
        <w:t xml:space="preserve">The provision of historical pricing information for variable products.  If so – how much history and how should it be made available to consumers? </w:t>
      </w:r>
    </w:p>
    <w:p w:rsidR="006161D5" w:rsidRPr="009A4CF6" w:rsidRDefault="006161D5" w:rsidP="00F753A3">
      <w:pPr>
        <w:pStyle w:val="ListParagraph"/>
        <w:numPr>
          <w:ilvl w:val="0"/>
          <w:numId w:val="7"/>
        </w:numPr>
        <w:spacing w:line="360" w:lineRule="auto"/>
        <w:rPr>
          <w:sz w:val="26"/>
          <w:szCs w:val="26"/>
        </w:rPr>
      </w:pPr>
      <w:r w:rsidRPr="009A4CF6">
        <w:rPr>
          <w:sz w:val="26"/>
          <w:szCs w:val="26"/>
        </w:rPr>
        <w:t>The use of a contract summary that includes, in a simple, easy-to-read format the key contract provisions.  If so, what format is needed and what provisions should be included – keeping in mind that a summary, to be effective, has to be brief, i</w:t>
      </w:r>
      <w:r w:rsidR="00A66547" w:rsidRPr="009A4CF6">
        <w:rPr>
          <w:sz w:val="26"/>
          <w:szCs w:val="26"/>
        </w:rPr>
        <w:t>n plain language, and prominent?</w:t>
      </w:r>
    </w:p>
    <w:p w:rsidR="00311672" w:rsidRPr="009A4CF6" w:rsidRDefault="006161D5" w:rsidP="00F753A3">
      <w:pPr>
        <w:pStyle w:val="ListParagraph"/>
        <w:numPr>
          <w:ilvl w:val="0"/>
          <w:numId w:val="7"/>
        </w:numPr>
        <w:spacing w:line="360" w:lineRule="auto"/>
        <w:rPr>
          <w:sz w:val="26"/>
          <w:szCs w:val="26"/>
        </w:rPr>
      </w:pPr>
      <w:r w:rsidRPr="009A4CF6">
        <w:rPr>
          <w:sz w:val="26"/>
          <w:szCs w:val="26"/>
        </w:rPr>
        <w:t>What changes, if any, are needed to contract expiration notices</w:t>
      </w:r>
      <w:r w:rsidR="00311672" w:rsidRPr="009A4CF6">
        <w:rPr>
          <w:sz w:val="26"/>
          <w:szCs w:val="26"/>
        </w:rPr>
        <w:t xml:space="preserve"> and the rules that should apply if a consumer fails to respond to the notices</w:t>
      </w:r>
      <w:r w:rsidR="00A66547" w:rsidRPr="009A4CF6">
        <w:rPr>
          <w:sz w:val="26"/>
          <w:szCs w:val="26"/>
        </w:rPr>
        <w:t>?</w:t>
      </w:r>
      <w:r w:rsidR="00311672" w:rsidRPr="009A4CF6">
        <w:rPr>
          <w:sz w:val="26"/>
          <w:szCs w:val="26"/>
        </w:rPr>
        <w:t xml:space="preserve">  Please refer specifically to 52 Pa. Code § 62.75(g)(1) and (2).  Are additional rules needed for those consumers that are rolled onto variable-priced products upon expiration of their original contract similar to what is now in place for the electric industry, such as prior notice of price changes?</w:t>
      </w:r>
    </w:p>
    <w:p w:rsidR="00311672" w:rsidRPr="009A4CF6" w:rsidRDefault="00311672" w:rsidP="00311672">
      <w:pPr>
        <w:spacing w:line="360" w:lineRule="auto"/>
        <w:rPr>
          <w:sz w:val="26"/>
          <w:szCs w:val="26"/>
        </w:rPr>
      </w:pPr>
    </w:p>
    <w:p w:rsidR="006161D5" w:rsidRPr="009A4CF6" w:rsidRDefault="00311672" w:rsidP="00CB1FC9">
      <w:pPr>
        <w:spacing w:line="360" w:lineRule="auto"/>
        <w:rPr>
          <w:sz w:val="26"/>
          <w:szCs w:val="26"/>
        </w:rPr>
      </w:pPr>
      <w:r w:rsidRPr="009A4CF6">
        <w:rPr>
          <w:sz w:val="26"/>
          <w:szCs w:val="26"/>
        </w:rPr>
        <w:t>We invite interested parties to comment on these and any related issues.  Comments must be formally submitted</w:t>
      </w:r>
      <w:r w:rsidR="00A66547" w:rsidRPr="009A4CF6">
        <w:rPr>
          <w:sz w:val="26"/>
          <w:szCs w:val="26"/>
        </w:rPr>
        <w:t xml:space="preserve">, </w:t>
      </w:r>
      <w:r w:rsidRPr="009A4CF6">
        <w:rPr>
          <w:sz w:val="26"/>
          <w:szCs w:val="26"/>
        </w:rPr>
        <w:t>under this docket number</w:t>
      </w:r>
      <w:r w:rsidR="00A66547" w:rsidRPr="009A4CF6">
        <w:rPr>
          <w:sz w:val="26"/>
          <w:szCs w:val="26"/>
        </w:rPr>
        <w:t>, to the Commission’s Secretary’s Bureau</w:t>
      </w:r>
      <w:r w:rsidRPr="009A4CF6">
        <w:rPr>
          <w:sz w:val="26"/>
          <w:szCs w:val="26"/>
        </w:rPr>
        <w:t xml:space="preserve"> within </w:t>
      </w:r>
      <w:r w:rsidR="00101076">
        <w:rPr>
          <w:sz w:val="26"/>
          <w:szCs w:val="26"/>
        </w:rPr>
        <w:t>30</w:t>
      </w:r>
      <w:r w:rsidR="00101076" w:rsidRPr="009A4CF6">
        <w:rPr>
          <w:sz w:val="26"/>
          <w:szCs w:val="26"/>
        </w:rPr>
        <w:t xml:space="preserve"> </w:t>
      </w:r>
      <w:r w:rsidRPr="009A4CF6">
        <w:rPr>
          <w:sz w:val="26"/>
          <w:szCs w:val="26"/>
        </w:rPr>
        <w:t xml:space="preserve">days of the </w:t>
      </w:r>
      <w:r w:rsidR="00101076">
        <w:rPr>
          <w:sz w:val="26"/>
          <w:szCs w:val="26"/>
        </w:rPr>
        <w:t>date the notice of this</w:t>
      </w:r>
      <w:r w:rsidRPr="009A4CF6">
        <w:rPr>
          <w:sz w:val="26"/>
          <w:szCs w:val="26"/>
        </w:rPr>
        <w:t xml:space="preserve"> order</w:t>
      </w:r>
      <w:r w:rsidR="00101076">
        <w:rPr>
          <w:sz w:val="26"/>
          <w:szCs w:val="26"/>
        </w:rPr>
        <w:t xml:space="preserve"> is published in the </w:t>
      </w:r>
      <w:r w:rsidR="00101076">
        <w:rPr>
          <w:i/>
          <w:sz w:val="26"/>
          <w:szCs w:val="26"/>
        </w:rPr>
        <w:t>Pennsylvania Bulletin</w:t>
      </w:r>
      <w:r w:rsidRPr="009A4CF6">
        <w:rPr>
          <w:sz w:val="26"/>
          <w:szCs w:val="26"/>
        </w:rPr>
        <w:t xml:space="preserve">.  OCMO is then directed to review the comments and prepare a NOPR in the first quarter of 2015 seeking to revise the regulations at 52 Pa. Code § 62.75.         </w:t>
      </w:r>
      <w:r w:rsidR="006161D5" w:rsidRPr="009A4CF6">
        <w:rPr>
          <w:sz w:val="26"/>
          <w:szCs w:val="26"/>
        </w:rPr>
        <w:t xml:space="preserve">  </w:t>
      </w:r>
    </w:p>
    <w:p w:rsidR="002E4BAF" w:rsidRPr="009A4CF6" w:rsidRDefault="002E4BAF" w:rsidP="00CB1FC9">
      <w:pPr>
        <w:spacing w:line="360" w:lineRule="auto"/>
        <w:rPr>
          <w:sz w:val="26"/>
          <w:szCs w:val="26"/>
        </w:rPr>
      </w:pPr>
    </w:p>
    <w:p w:rsidR="00513EFE" w:rsidRPr="009A4CF6" w:rsidRDefault="00A66547" w:rsidP="00CB1FC9">
      <w:pPr>
        <w:pStyle w:val="Heading2"/>
        <w:spacing w:before="0" w:line="360" w:lineRule="auto"/>
        <w:rPr>
          <w:rFonts w:ascii="Times New Roman" w:hAnsi="Times New Roman" w:cs="Times New Roman"/>
          <w:b w:val="0"/>
          <w:color w:val="auto"/>
        </w:rPr>
      </w:pPr>
      <w:bookmarkStart w:id="16" w:name="_Toc405359507"/>
      <w:r w:rsidRPr="009A4CF6">
        <w:rPr>
          <w:rFonts w:ascii="Times New Roman" w:hAnsi="Times New Roman" w:cs="Times New Roman"/>
          <w:color w:val="auto"/>
        </w:rPr>
        <w:t>O.</w:t>
      </w:r>
      <w:r w:rsidRPr="009A4CF6">
        <w:rPr>
          <w:rFonts w:ascii="Times New Roman" w:hAnsi="Times New Roman" w:cs="Times New Roman"/>
          <w:color w:val="auto"/>
        </w:rPr>
        <w:tab/>
      </w:r>
      <w:r w:rsidR="00513EFE" w:rsidRPr="009A4CF6">
        <w:rPr>
          <w:rFonts w:ascii="Times New Roman" w:hAnsi="Times New Roman" w:cs="Times New Roman"/>
          <w:color w:val="auto"/>
        </w:rPr>
        <w:t>Joint Natural Gas Distribution Company – Natural Gas Supplier Bill</w:t>
      </w:r>
      <w:bookmarkEnd w:id="16"/>
    </w:p>
    <w:p w:rsidR="00870C08" w:rsidRPr="009A4CF6" w:rsidRDefault="00870C08" w:rsidP="00CB1FC9">
      <w:pPr>
        <w:spacing w:line="360" w:lineRule="auto"/>
        <w:rPr>
          <w:b/>
          <w:sz w:val="26"/>
          <w:szCs w:val="26"/>
        </w:rPr>
      </w:pPr>
    </w:p>
    <w:p w:rsidR="00944441" w:rsidRPr="009A4CF6" w:rsidRDefault="00870C08" w:rsidP="00CB1FC9">
      <w:pPr>
        <w:spacing w:line="360" w:lineRule="auto"/>
        <w:rPr>
          <w:sz w:val="26"/>
          <w:szCs w:val="26"/>
        </w:rPr>
      </w:pPr>
      <w:r w:rsidRPr="009A4CF6">
        <w:rPr>
          <w:sz w:val="26"/>
          <w:szCs w:val="26"/>
        </w:rPr>
        <w:tab/>
      </w:r>
      <w:r w:rsidR="00944441" w:rsidRPr="009A4CF6">
        <w:rPr>
          <w:sz w:val="26"/>
          <w:szCs w:val="26"/>
        </w:rPr>
        <w:t>In the Electric RMI Final Order, the Commission directed OCMO to</w:t>
      </w:r>
      <w:r w:rsidR="006003DA">
        <w:rPr>
          <w:sz w:val="26"/>
          <w:szCs w:val="26"/>
        </w:rPr>
        <w:t xml:space="preserve"> </w:t>
      </w:r>
      <w:r w:rsidR="00944441" w:rsidRPr="009A4CF6">
        <w:rPr>
          <w:sz w:val="26"/>
          <w:szCs w:val="26"/>
        </w:rPr>
        <w:t>provide recommendations on how the electric utility-consolidated bill could be made more supplier-oriented.</w:t>
      </w:r>
      <w:r w:rsidR="00944441" w:rsidRPr="009A4CF6">
        <w:rPr>
          <w:rStyle w:val="FootnoteReference"/>
          <w:sz w:val="26"/>
          <w:szCs w:val="26"/>
        </w:rPr>
        <w:footnoteReference w:id="24"/>
      </w:r>
      <w:r w:rsidR="00944441" w:rsidRPr="009A4CF6">
        <w:rPr>
          <w:sz w:val="26"/>
          <w:szCs w:val="26"/>
        </w:rPr>
        <w:t xml:space="preserve">  The Commission noted that these recommendations could include, </w:t>
      </w:r>
      <w:r w:rsidR="00944441" w:rsidRPr="009A4CF6">
        <w:rPr>
          <w:sz w:val="26"/>
          <w:szCs w:val="26"/>
        </w:rPr>
        <w:lastRenderedPageBreak/>
        <w:t>but were not limited to, making the EGS’s information more prominent; including the EGS’s logo on the EDC bill; providing increased spacing for supplier messaging and potentially allowing for the inclusion of supplier inserts with the bill.  In its May 21, 2014 Final Order, the Commission directed the EDCs to develop a number of bill formatting changes, including the inclusion of the EGS’s logo on the bill; the expansion of EGS bill messaging space from two to four lines with up to 80 characters each; and the inclusion of a Shopping Information Box.</w:t>
      </w:r>
      <w:r w:rsidR="00944441" w:rsidRPr="009A4CF6">
        <w:rPr>
          <w:rStyle w:val="FootnoteReference"/>
          <w:sz w:val="26"/>
          <w:szCs w:val="26"/>
        </w:rPr>
        <w:footnoteReference w:id="25"/>
      </w:r>
      <w:r w:rsidR="00944441" w:rsidRPr="009A4CF6">
        <w:rPr>
          <w:sz w:val="26"/>
          <w:szCs w:val="26"/>
        </w:rPr>
        <w:t xml:space="preserve">  The Commission believed the inclusion of this information would aid customers in not only developing a stronger recognition of, and relationship with, their supplier, but would</w:t>
      </w:r>
      <w:r w:rsidR="00A66547" w:rsidRPr="009A4CF6">
        <w:rPr>
          <w:sz w:val="26"/>
          <w:szCs w:val="26"/>
        </w:rPr>
        <w:t xml:space="preserve"> also</w:t>
      </w:r>
      <w:r w:rsidR="00944441" w:rsidRPr="009A4CF6">
        <w:rPr>
          <w:sz w:val="26"/>
          <w:szCs w:val="26"/>
        </w:rPr>
        <w:t xml:space="preserve"> increase customer awareness when participating in the competitive retail energy market.</w:t>
      </w:r>
    </w:p>
    <w:p w:rsidR="00944441" w:rsidRPr="009A4CF6" w:rsidRDefault="00944441" w:rsidP="00944441">
      <w:pPr>
        <w:spacing w:line="360" w:lineRule="auto"/>
        <w:rPr>
          <w:sz w:val="26"/>
          <w:szCs w:val="26"/>
        </w:rPr>
      </w:pPr>
    </w:p>
    <w:p w:rsidR="00944441" w:rsidRPr="009A4CF6" w:rsidRDefault="00944441" w:rsidP="00944441">
      <w:pPr>
        <w:spacing w:line="360" w:lineRule="auto"/>
        <w:rPr>
          <w:sz w:val="26"/>
          <w:szCs w:val="26"/>
        </w:rPr>
      </w:pPr>
      <w:r w:rsidRPr="009A4CF6">
        <w:rPr>
          <w:sz w:val="26"/>
          <w:szCs w:val="26"/>
        </w:rPr>
        <w:tab/>
        <w:t xml:space="preserve">In our </w:t>
      </w:r>
      <w:r w:rsidRPr="009A4CF6">
        <w:rPr>
          <w:i/>
          <w:sz w:val="26"/>
          <w:szCs w:val="26"/>
        </w:rPr>
        <w:t>Tentative Order</w:t>
      </w:r>
      <w:r w:rsidRPr="009A4CF6">
        <w:rPr>
          <w:sz w:val="26"/>
          <w:szCs w:val="26"/>
        </w:rPr>
        <w:t>, we expressed a belief that these same rationales may apply to the retail natural gas industry and proposed that OCMO examine the concept of a joint NGDC-NGS bill within this Investigation.</w:t>
      </w:r>
    </w:p>
    <w:p w:rsidR="00944441" w:rsidRPr="009A4CF6" w:rsidRDefault="00944441" w:rsidP="00944441">
      <w:pPr>
        <w:spacing w:line="360" w:lineRule="auto"/>
        <w:rPr>
          <w:sz w:val="26"/>
          <w:szCs w:val="26"/>
        </w:rPr>
      </w:pPr>
    </w:p>
    <w:p w:rsidR="00944441" w:rsidRPr="009A4CF6" w:rsidRDefault="00A66547" w:rsidP="00944441">
      <w:pPr>
        <w:spacing w:line="360" w:lineRule="auto"/>
        <w:rPr>
          <w:b/>
          <w:sz w:val="26"/>
          <w:szCs w:val="26"/>
        </w:rPr>
      </w:pPr>
      <w:r w:rsidRPr="009A4CF6">
        <w:rPr>
          <w:sz w:val="26"/>
          <w:szCs w:val="26"/>
        </w:rPr>
        <w:tab/>
      </w:r>
      <w:r w:rsidRPr="009A4CF6">
        <w:rPr>
          <w:b/>
          <w:sz w:val="26"/>
          <w:szCs w:val="26"/>
        </w:rPr>
        <w:t>1.</w:t>
      </w:r>
      <w:r w:rsidRPr="009A4CF6">
        <w:rPr>
          <w:b/>
          <w:sz w:val="26"/>
          <w:szCs w:val="26"/>
        </w:rPr>
        <w:tab/>
      </w:r>
      <w:r w:rsidR="00944441" w:rsidRPr="009A4CF6">
        <w:rPr>
          <w:b/>
          <w:sz w:val="26"/>
          <w:szCs w:val="26"/>
        </w:rPr>
        <w:t>Comments</w:t>
      </w:r>
    </w:p>
    <w:p w:rsidR="00A66547" w:rsidRPr="009A4CF6" w:rsidRDefault="00A66547" w:rsidP="00944441">
      <w:pPr>
        <w:spacing w:line="360" w:lineRule="auto"/>
        <w:rPr>
          <w:sz w:val="26"/>
          <w:szCs w:val="26"/>
        </w:rPr>
      </w:pPr>
    </w:p>
    <w:p w:rsidR="00944441" w:rsidRPr="009A4CF6" w:rsidRDefault="00944441" w:rsidP="00944441">
      <w:pPr>
        <w:spacing w:line="360" w:lineRule="auto"/>
        <w:rPr>
          <w:sz w:val="26"/>
          <w:szCs w:val="26"/>
        </w:rPr>
      </w:pPr>
      <w:r w:rsidRPr="009A4CF6">
        <w:rPr>
          <w:sz w:val="26"/>
          <w:szCs w:val="26"/>
        </w:rPr>
        <w:tab/>
        <w:t xml:space="preserve">Since a joint NGDC-NGS bill would result in higher customer awareness of the supplier through the inclusion of NGS logos and other pertinent product information, RESA believes this construct should be examined and implemented quickly.  </w:t>
      </w:r>
      <w:r w:rsidR="00C51AE3" w:rsidRPr="009A4CF6">
        <w:rPr>
          <w:sz w:val="26"/>
          <w:szCs w:val="26"/>
        </w:rPr>
        <w:t xml:space="preserve">RESA </w:t>
      </w:r>
      <w:r w:rsidRPr="009A4CF6">
        <w:rPr>
          <w:sz w:val="26"/>
          <w:szCs w:val="26"/>
        </w:rPr>
        <w:t xml:space="preserve">Comments at 15-16.  PECO supports a joint NGDC-NGS bill and plans to implement one for both electric and </w:t>
      </w:r>
      <w:r w:rsidR="00A66547" w:rsidRPr="009A4CF6">
        <w:rPr>
          <w:sz w:val="26"/>
          <w:szCs w:val="26"/>
        </w:rPr>
        <w:t xml:space="preserve">natural </w:t>
      </w:r>
      <w:r w:rsidRPr="009A4CF6">
        <w:rPr>
          <w:sz w:val="26"/>
          <w:szCs w:val="26"/>
        </w:rPr>
        <w:t xml:space="preserve">gas customers in December 2014.  </w:t>
      </w:r>
      <w:r w:rsidR="00C51AE3" w:rsidRPr="009A4CF6">
        <w:rPr>
          <w:sz w:val="26"/>
          <w:szCs w:val="26"/>
        </w:rPr>
        <w:t xml:space="preserve">PECO </w:t>
      </w:r>
      <w:r w:rsidRPr="009A4CF6">
        <w:rPr>
          <w:sz w:val="26"/>
          <w:szCs w:val="26"/>
        </w:rPr>
        <w:t xml:space="preserve">Comments at 9.  Washington Gas recommends inclusion of non-commodity products and services in a consolidated bill.  </w:t>
      </w:r>
      <w:r w:rsidR="00C51AE3" w:rsidRPr="009A4CF6">
        <w:rPr>
          <w:sz w:val="26"/>
          <w:szCs w:val="26"/>
        </w:rPr>
        <w:t xml:space="preserve">Washington Gas </w:t>
      </w:r>
      <w:r w:rsidRPr="009A4CF6">
        <w:rPr>
          <w:sz w:val="26"/>
          <w:szCs w:val="26"/>
        </w:rPr>
        <w:t xml:space="preserve">Comments at 3. </w:t>
      </w:r>
    </w:p>
    <w:p w:rsidR="00944441" w:rsidRPr="009A4CF6" w:rsidRDefault="00944441" w:rsidP="00944441">
      <w:pPr>
        <w:spacing w:line="360" w:lineRule="auto"/>
        <w:rPr>
          <w:sz w:val="26"/>
          <w:szCs w:val="26"/>
        </w:rPr>
      </w:pPr>
    </w:p>
    <w:p w:rsidR="00944441" w:rsidRPr="009A4CF6" w:rsidRDefault="00944441" w:rsidP="00944441">
      <w:pPr>
        <w:spacing w:line="360" w:lineRule="auto"/>
        <w:ind w:firstLine="720"/>
        <w:rPr>
          <w:sz w:val="26"/>
          <w:szCs w:val="26"/>
        </w:rPr>
      </w:pPr>
      <w:r w:rsidRPr="009A4CF6">
        <w:rPr>
          <w:sz w:val="26"/>
          <w:szCs w:val="26"/>
        </w:rPr>
        <w:t xml:space="preserve">RESA also strongly urges the Commission to </w:t>
      </w:r>
      <w:r w:rsidR="00A66547" w:rsidRPr="009A4CF6">
        <w:rPr>
          <w:sz w:val="26"/>
          <w:szCs w:val="26"/>
        </w:rPr>
        <w:t>examine the prospects of an NGS-</w:t>
      </w:r>
      <w:r w:rsidRPr="009A4CF6">
        <w:rPr>
          <w:sz w:val="26"/>
          <w:szCs w:val="26"/>
        </w:rPr>
        <w:t xml:space="preserve">consolidated bill that would allow the NGS to establish a relationship with the customer </w:t>
      </w:r>
      <w:r w:rsidRPr="009A4CF6">
        <w:rPr>
          <w:sz w:val="26"/>
          <w:szCs w:val="26"/>
        </w:rPr>
        <w:lastRenderedPageBreak/>
        <w:t xml:space="preserve">and to offer various value-added products and services.  </w:t>
      </w:r>
      <w:r w:rsidR="00C51AE3" w:rsidRPr="009A4CF6">
        <w:rPr>
          <w:sz w:val="26"/>
          <w:szCs w:val="26"/>
        </w:rPr>
        <w:t xml:space="preserve">RESA </w:t>
      </w:r>
      <w:r w:rsidRPr="009A4CF6">
        <w:rPr>
          <w:sz w:val="26"/>
          <w:szCs w:val="26"/>
        </w:rPr>
        <w:t xml:space="preserve">Comments at 14.  Similarly, Washington Gas requests examination of NGS consolidated billing rules.  </w:t>
      </w:r>
      <w:r w:rsidR="00C51AE3" w:rsidRPr="009A4CF6">
        <w:rPr>
          <w:sz w:val="26"/>
          <w:szCs w:val="26"/>
        </w:rPr>
        <w:t xml:space="preserve">Washington Gas </w:t>
      </w:r>
      <w:r w:rsidRPr="009A4CF6">
        <w:rPr>
          <w:sz w:val="26"/>
          <w:szCs w:val="26"/>
        </w:rPr>
        <w:t>Comments at 4.</w:t>
      </w:r>
    </w:p>
    <w:p w:rsidR="00A66547" w:rsidRPr="009A4CF6" w:rsidRDefault="00A66547" w:rsidP="00944441">
      <w:pPr>
        <w:spacing w:line="360" w:lineRule="auto"/>
        <w:rPr>
          <w:sz w:val="26"/>
          <w:szCs w:val="26"/>
        </w:rPr>
      </w:pPr>
    </w:p>
    <w:p w:rsidR="00944441" w:rsidRPr="009A4CF6" w:rsidRDefault="00A66547" w:rsidP="00944441">
      <w:pPr>
        <w:spacing w:line="360" w:lineRule="auto"/>
        <w:rPr>
          <w:b/>
          <w:sz w:val="26"/>
          <w:szCs w:val="26"/>
          <w:u w:val="single"/>
        </w:rPr>
      </w:pPr>
      <w:r w:rsidRPr="009A4CF6">
        <w:rPr>
          <w:b/>
          <w:sz w:val="26"/>
          <w:szCs w:val="26"/>
        </w:rPr>
        <w:tab/>
        <w:t>2.</w:t>
      </w:r>
      <w:r w:rsidRPr="009A4CF6">
        <w:rPr>
          <w:b/>
          <w:sz w:val="26"/>
          <w:szCs w:val="26"/>
        </w:rPr>
        <w:tab/>
      </w:r>
      <w:r w:rsidR="00944441" w:rsidRPr="009A4CF6">
        <w:rPr>
          <w:b/>
          <w:sz w:val="26"/>
          <w:szCs w:val="26"/>
        </w:rPr>
        <w:t>Disposition</w:t>
      </w:r>
    </w:p>
    <w:p w:rsidR="00944441" w:rsidRPr="009A4CF6" w:rsidRDefault="00944441" w:rsidP="00944441">
      <w:pPr>
        <w:spacing w:line="360" w:lineRule="auto"/>
        <w:rPr>
          <w:sz w:val="26"/>
          <w:szCs w:val="26"/>
        </w:rPr>
      </w:pPr>
    </w:p>
    <w:p w:rsidR="00944441" w:rsidRPr="009A4CF6" w:rsidRDefault="00944441" w:rsidP="00944441">
      <w:pPr>
        <w:spacing w:line="360" w:lineRule="auto"/>
        <w:rPr>
          <w:sz w:val="26"/>
          <w:szCs w:val="26"/>
        </w:rPr>
      </w:pPr>
      <w:r w:rsidRPr="009A4CF6">
        <w:rPr>
          <w:sz w:val="26"/>
          <w:szCs w:val="26"/>
        </w:rPr>
        <w:tab/>
        <w:t xml:space="preserve">The Commission maintains its belief that a joint NGDC-NGS bill may provide customers with an increased recognition of their suppliers, as well as aiding in the development of the relationship between those two parties.  Additionally, we maintain our belief that the inclusion of supplier information on the utility-consolidated bill may increase customer awareness when participating in the competitive retail natural gas market.  Therefore, we direct OCMO to develop recommendations, </w:t>
      </w:r>
      <w:r w:rsidR="00A93AD4">
        <w:rPr>
          <w:sz w:val="26"/>
          <w:szCs w:val="26"/>
        </w:rPr>
        <w:t>no later than</w:t>
      </w:r>
      <w:r w:rsidRPr="009A4CF6">
        <w:rPr>
          <w:sz w:val="26"/>
          <w:szCs w:val="26"/>
        </w:rPr>
        <w:t xml:space="preserve"> the </w:t>
      </w:r>
      <w:r w:rsidR="00E008CE" w:rsidRPr="009A4CF6">
        <w:rPr>
          <w:sz w:val="26"/>
          <w:szCs w:val="26"/>
        </w:rPr>
        <w:t>second quarter</w:t>
      </w:r>
      <w:r w:rsidRPr="009A4CF6">
        <w:rPr>
          <w:sz w:val="26"/>
          <w:szCs w:val="26"/>
        </w:rPr>
        <w:t xml:space="preserve"> of 2015, regarding the applicability of a joint NGDC-NGS bill.  To aid OCMO in developing its recommendations, we direct interested stakeholders to submit to OCMO, via its </w:t>
      </w:r>
      <w:hyperlink r:id="rId10" w:history="1">
        <w:r w:rsidRPr="009A4CF6">
          <w:rPr>
            <w:rStyle w:val="Hyperlink"/>
            <w:sz w:val="26"/>
            <w:szCs w:val="26"/>
          </w:rPr>
          <w:t>ra-ocmo@pa.gov</w:t>
        </w:r>
      </w:hyperlink>
      <w:r w:rsidRPr="009A4CF6">
        <w:rPr>
          <w:sz w:val="26"/>
          <w:szCs w:val="26"/>
        </w:rPr>
        <w:t xml:space="preserve"> electronic mail address, informal comments regarding those supplier-related elements </w:t>
      </w:r>
      <w:r w:rsidR="00101076">
        <w:rPr>
          <w:sz w:val="26"/>
          <w:szCs w:val="26"/>
        </w:rPr>
        <w:t xml:space="preserve">and requirements </w:t>
      </w:r>
      <w:r w:rsidRPr="009A4CF6">
        <w:rPr>
          <w:sz w:val="26"/>
          <w:szCs w:val="26"/>
        </w:rPr>
        <w:t xml:space="preserve">that would be most appropriate for inclusion on the utility-consolidated bill.  These informal comments should be submitted no later than </w:t>
      </w:r>
      <w:r w:rsidR="00A93AD4">
        <w:rPr>
          <w:sz w:val="26"/>
          <w:szCs w:val="26"/>
        </w:rPr>
        <w:t>February 28</w:t>
      </w:r>
      <w:r w:rsidRPr="009A4CF6">
        <w:rPr>
          <w:sz w:val="26"/>
          <w:szCs w:val="26"/>
        </w:rPr>
        <w:t>, 2015.</w:t>
      </w:r>
    </w:p>
    <w:p w:rsidR="00944441" w:rsidRPr="009A4CF6" w:rsidRDefault="00944441" w:rsidP="00944441">
      <w:pPr>
        <w:spacing w:line="360" w:lineRule="auto"/>
        <w:rPr>
          <w:sz w:val="26"/>
          <w:szCs w:val="26"/>
        </w:rPr>
      </w:pPr>
    </w:p>
    <w:p w:rsidR="00944441" w:rsidRPr="009A4CF6" w:rsidRDefault="00944441" w:rsidP="005C3312">
      <w:pPr>
        <w:spacing w:line="360" w:lineRule="auto"/>
        <w:rPr>
          <w:sz w:val="26"/>
          <w:szCs w:val="26"/>
        </w:rPr>
      </w:pPr>
      <w:r w:rsidRPr="009A4CF6">
        <w:rPr>
          <w:sz w:val="26"/>
          <w:szCs w:val="26"/>
        </w:rPr>
        <w:tab/>
        <w:t>Regarding the requests of RESA and Washington Gas to examine the possibility of supplier-consolidated billing in the retail natural gas market, the Commission declines to examine this issue at this time</w:t>
      </w:r>
      <w:r w:rsidR="00E008CE" w:rsidRPr="009A4CF6">
        <w:rPr>
          <w:sz w:val="26"/>
          <w:szCs w:val="26"/>
        </w:rPr>
        <w:t>.</w:t>
      </w:r>
      <w:r w:rsidRPr="009A4CF6">
        <w:rPr>
          <w:sz w:val="26"/>
          <w:szCs w:val="26"/>
        </w:rPr>
        <w:t xml:space="preserve"> </w:t>
      </w:r>
    </w:p>
    <w:p w:rsidR="009933BC" w:rsidRPr="009A4CF6" w:rsidRDefault="009933BC" w:rsidP="00CB1FC9">
      <w:pPr>
        <w:spacing w:line="360" w:lineRule="auto"/>
        <w:rPr>
          <w:sz w:val="26"/>
          <w:szCs w:val="26"/>
        </w:rPr>
      </w:pPr>
    </w:p>
    <w:p w:rsidR="009933BC" w:rsidRPr="009A4CF6" w:rsidRDefault="002D089F" w:rsidP="00CB1FC9">
      <w:pPr>
        <w:pStyle w:val="Heading2"/>
        <w:spacing w:before="0" w:line="360" w:lineRule="auto"/>
        <w:rPr>
          <w:rFonts w:ascii="Times New Roman" w:hAnsi="Times New Roman" w:cs="Times New Roman"/>
          <w:b w:val="0"/>
        </w:rPr>
      </w:pPr>
      <w:bookmarkStart w:id="17" w:name="_Toc405359508"/>
      <w:r w:rsidRPr="009A4CF6">
        <w:rPr>
          <w:rFonts w:ascii="Times New Roman" w:hAnsi="Times New Roman" w:cs="Times New Roman"/>
          <w:color w:val="auto"/>
        </w:rPr>
        <w:t>P.</w:t>
      </w:r>
      <w:r w:rsidRPr="009A4CF6">
        <w:rPr>
          <w:rFonts w:ascii="Times New Roman" w:hAnsi="Times New Roman" w:cs="Times New Roman"/>
          <w:color w:val="auto"/>
        </w:rPr>
        <w:tab/>
      </w:r>
      <w:r w:rsidR="009933BC" w:rsidRPr="009A4CF6">
        <w:rPr>
          <w:rFonts w:ascii="Times New Roman" w:hAnsi="Times New Roman" w:cs="Times New Roman"/>
          <w:color w:val="auto"/>
        </w:rPr>
        <w:t>Account Number Access Mechanisms</w:t>
      </w:r>
      <w:bookmarkEnd w:id="17"/>
      <w:r w:rsidR="00F841FA" w:rsidRPr="009A4CF6">
        <w:rPr>
          <w:rFonts w:ascii="Times New Roman" w:hAnsi="Times New Roman" w:cs="Times New Roman"/>
        </w:rPr>
        <w:br/>
      </w:r>
    </w:p>
    <w:p w:rsidR="00F841FA" w:rsidRPr="009A4CF6" w:rsidRDefault="00F841FA" w:rsidP="00CB1FC9">
      <w:pPr>
        <w:spacing w:line="360" w:lineRule="auto"/>
        <w:ind w:firstLine="720"/>
        <w:rPr>
          <w:sz w:val="26"/>
          <w:szCs w:val="26"/>
        </w:rPr>
      </w:pPr>
      <w:r w:rsidRPr="009A4CF6">
        <w:rPr>
          <w:sz w:val="26"/>
          <w:szCs w:val="26"/>
        </w:rPr>
        <w:t xml:space="preserve">During its Electric RMI, the Commission directed the EDCs to develop mechanisms that allow suppliers to obtain customer account numbers from the utility to </w:t>
      </w:r>
      <w:r w:rsidRPr="009A4CF6">
        <w:rPr>
          <w:sz w:val="26"/>
          <w:szCs w:val="26"/>
        </w:rPr>
        <w:lastRenderedPageBreak/>
        <w:t>facilitate the enrollment of customers.  In a Final Order adopted July 16, 2013,</w:t>
      </w:r>
      <w:r w:rsidRPr="009A4CF6">
        <w:rPr>
          <w:sz w:val="26"/>
          <w:szCs w:val="26"/>
          <w:vertAlign w:val="superscript"/>
        </w:rPr>
        <w:footnoteReference w:id="26"/>
      </w:r>
      <w:r w:rsidRPr="009A4CF6">
        <w:rPr>
          <w:sz w:val="26"/>
          <w:szCs w:val="26"/>
        </w:rPr>
        <w:t xml:space="preserve"> the Commission directed EDCs to develop secure internet portals that suppliers could access to obtain account numbers.  Th</w:t>
      </w:r>
      <w:r w:rsidR="00044414" w:rsidRPr="009A4CF6">
        <w:rPr>
          <w:sz w:val="26"/>
          <w:szCs w:val="26"/>
        </w:rPr>
        <w:t>e</w:t>
      </w:r>
      <w:r w:rsidRPr="009A4CF6">
        <w:rPr>
          <w:sz w:val="26"/>
          <w:szCs w:val="26"/>
        </w:rPr>
        <w:t xml:space="preserve"> </w:t>
      </w:r>
      <w:r w:rsidR="00044414" w:rsidRPr="009A4CF6">
        <w:rPr>
          <w:sz w:val="26"/>
          <w:szCs w:val="26"/>
        </w:rPr>
        <w:t>portals are i</w:t>
      </w:r>
      <w:r w:rsidRPr="009A4CF6">
        <w:rPr>
          <w:sz w:val="26"/>
          <w:szCs w:val="26"/>
        </w:rPr>
        <w:t xml:space="preserve">ntended to facilitate supplier marketing in public places (e.g., malls, community events, fairs, etc.) where consumers are unlikely to have their utility bill or their account number.  EDCs were directed to develop portals with a variety of security </w:t>
      </w:r>
      <w:r w:rsidR="00044414" w:rsidRPr="009A4CF6">
        <w:rPr>
          <w:sz w:val="26"/>
          <w:szCs w:val="26"/>
        </w:rPr>
        <w:t>features.  The portals are p</w:t>
      </w:r>
      <w:r w:rsidRPr="009A4CF6">
        <w:rPr>
          <w:sz w:val="26"/>
          <w:szCs w:val="26"/>
        </w:rPr>
        <w:t xml:space="preserve">assword-protected, secure websites that require a supplier to submit the customer’s full name, service street address and five-digit postal code.  The mechanisms also document the supplier’s attestation that the supplier is enrolling the customer in a public location and has obtained photo identification and a signed letter of authorization from the customer.  The mechanism also tracks the usage of the system and identifies who accessed what data and when.  This information has to be retained for three years and maintained in a fashion which can be easily provided to the Commission upon its request.   </w:t>
      </w:r>
    </w:p>
    <w:p w:rsidR="00F841FA" w:rsidRPr="009A4CF6" w:rsidRDefault="00F841FA" w:rsidP="00F841FA">
      <w:pPr>
        <w:spacing w:line="360" w:lineRule="auto"/>
        <w:ind w:firstLine="720"/>
        <w:rPr>
          <w:sz w:val="26"/>
          <w:szCs w:val="26"/>
        </w:rPr>
      </w:pPr>
    </w:p>
    <w:p w:rsidR="00F841FA" w:rsidRPr="009A4CF6" w:rsidRDefault="002D089F" w:rsidP="00F841FA">
      <w:pPr>
        <w:spacing w:line="360" w:lineRule="auto"/>
        <w:ind w:firstLine="720"/>
        <w:rPr>
          <w:sz w:val="26"/>
          <w:szCs w:val="26"/>
        </w:rPr>
      </w:pPr>
      <w:r w:rsidRPr="009A4CF6">
        <w:rPr>
          <w:sz w:val="26"/>
          <w:szCs w:val="26"/>
        </w:rPr>
        <w:t xml:space="preserve">In our </w:t>
      </w:r>
      <w:r w:rsidRPr="009A4CF6">
        <w:rPr>
          <w:i/>
          <w:sz w:val="26"/>
          <w:szCs w:val="26"/>
        </w:rPr>
        <w:t>Tentative Order</w:t>
      </w:r>
      <w:r w:rsidRPr="009A4CF6">
        <w:rPr>
          <w:sz w:val="26"/>
          <w:szCs w:val="26"/>
        </w:rPr>
        <w:t>, the Commission expressed its belief that t</w:t>
      </w:r>
      <w:r w:rsidR="00F841FA" w:rsidRPr="009A4CF6">
        <w:rPr>
          <w:sz w:val="26"/>
          <w:szCs w:val="26"/>
        </w:rPr>
        <w:t>his type of secure portal mechanism may also be useful in the natural gas industry</w:t>
      </w:r>
      <w:r w:rsidRPr="009A4CF6">
        <w:rPr>
          <w:sz w:val="26"/>
          <w:szCs w:val="26"/>
        </w:rPr>
        <w:t xml:space="preserve">, </w:t>
      </w:r>
      <w:r w:rsidR="00F841FA" w:rsidRPr="009A4CF6">
        <w:rPr>
          <w:sz w:val="26"/>
          <w:szCs w:val="26"/>
        </w:rPr>
        <w:t xml:space="preserve">especially for those suppliers that are selling both electric and gas service to consumers.  </w:t>
      </w:r>
      <w:r w:rsidRPr="009A4CF6">
        <w:rPr>
          <w:sz w:val="26"/>
          <w:szCs w:val="26"/>
        </w:rPr>
        <w:t>We</w:t>
      </w:r>
      <w:r w:rsidR="00F841FA" w:rsidRPr="009A4CF6">
        <w:rPr>
          <w:sz w:val="26"/>
          <w:szCs w:val="26"/>
        </w:rPr>
        <w:t xml:space="preserve"> also</w:t>
      </w:r>
      <w:r w:rsidRPr="009A4CF6">
        <w:rPr>
          <w:sz w:val="26"/>
          <w:szCs w:val="26"/>
        </w:rPr>
        <w:t xml:space="preserve"> expressed an</w:t>
      </w:r>
      <w:r w:rsidR="00F841FA" w:rsidRPr="009A4CF6">
        <w:rPr>
          <w:sz w:val="26"/>
          <w:szCs w:val="26"/>
        </w:rPr>
        <w:t xml:space="preserve"> interest in any initiative that encourages supplier marketing in more public venues with the hope that this will diminish the use of</w:t>
      </w:r>
      <w:r w:rsidR="00A93AD4">
        <w:rPr>
          <w:sz w:val="26"/>
          <w:szCs w:val="26"/>
        </w:rPr>
        <w:t xml:space="preserve"> </w:t>
      </w:r>
      <w:r w:rsidR="00F841FA" w:rsidRPr="009A4CF6">
        <w:rPr>
          <w:sz w:val="26"/>
          <w:szCs w:val="26"/>
        </w:rPr>
        <w:t>marketing</w:t>
      </w:r>
      <w:r w:rsidR="00A93AD4">
        <w:rPr>
          <w:sz w:val="26"/>
          <w:szCs w:val="26"/>
        </w:rPr>
        <w:t xml:space="preserve"> techniques</w:t>
      </w:r>
      <w:r w:rsidR="00F841FA" w:rsidRPr="009A4CF6">
        <w:rPr>
          <w:sz w:val="26"/>
          <w:szCs w:val="26"/>
        </w:rPr>
        <w:t xml:space="preserve"> (door-to-door and telemarketing for example) that risk bothering consumers </w:t>
      </w:r>
      <w:r w:rsidRPr="009A4CF6">
        <w:rPr>
          <w:sz w:val="26"/>
          <w:szCs w:val="26"/>
        </w:rPr>
        <w:t>in the privacy of their homes.  We proposed that OCMO examine the use of account number access mechanisms within the natural gas marketplace, as we believed that initiatives that encourage supplier marketing in public venues may diminish the use of what may be considered more intrusive marketing measures, such as door to door marketing.</w:t>
      </w:r>
    </w:p>
    <w:p w:rsidR="00F841FA" w:rsidRDefault="00F841FA" w:rsidP="00431EE2">
      <w:pPr>
        <w:spacing w:line="360" w:lineRule="auto"/>
        <w:rPr>
          <w:sz w:val="26"/>
          <w:szCs w:val="26"/>
        </w:rPr>
      </w:pPr>
    </w:p>
    <w:p w:rsidR="0075257B" w:rsidRDefault="0075257B" w:rsidP="00431EE2">
      <w:pPr>
        <w:spacing w:line="360" w:lineRule="auto"/>
        <w:rPr>
          <w:sz w:val="26"/>
          <w:szCs w:val="26"/>
        </w:rPr>
      </w:pPr>
    </w:p>
    <w:p w:rsidR="0075257B" w:rsidRPr="009A4CF6" w:rsidRDefault="0075257B" w:rsidP="00431EE2">
      <w:pPr>
        <w:spacing w:line="360" w:lineRule="auto"/>
        <w:rPr>
          <w:sz w:val="26"/>
          <w:szCs w:val="26"/>
        </w:rPr>
      </w:pPr>
    </w:p>
    <w:p w:rsidR="00F841FA" w:rsidRPr="009A4CF6" w:rsidRDefault="002D089F" w:rsidP="00431EE2">
      <w:pPr>
        <w:spacing w:line="360" w:lineRule="auto"/>
        <w:rPr>
          <w:b/>
          <w:sz w:val="26"/>
          <w:szCs w:val="26"/>
          <w:u w:val="single"/>
        </w:rPr>
      </w:pPr>
      <w:r w:rsidRPr="009A4CF6">
        <w:rPr>
          <w:b/>
          <w:sz w:val="26"/>
          <w:szCs w:val="26"/>
        </w:rPr>
        <w:lastRenderedPageBreak/>
        <w:tab/>
        <w:t>1.</w:t>
      </w:r>
      <w:r w:rsidRPr="009A4CF6">
        <w:rPr>
          <w:b/>
          <w:sz w:val="26"/>
          <w:szCs w:val="26"/>
        </w:rPr>
        <w:tab/>
      </w:r>
      <w:r w:rsidR="00F841FA" w:rsidRPr="009A4CF6">
        <w:rPr>
          <w:b/>
          <w:sz w:val="26"/>
          <w:szCs w:val="26"/>
        </w:rPr>
        <w:t>Comments</w:t>
      </w:r>
      <w:r w:rsidR="00DF24A5" w:rsidRPr="009A4CF6">
        <w:rPr>
          <w:b/>
          <w:sz w:val="26"/>
          <w:szCs w:val="26"/>
          <w:u w:val="single"/>
        </w:rPr>
        <w:br/>
      </w:r>
    </w:p>
    <w:p w:rsidR="004A5D88" w:rsidRPr="009A4CF6" w:rsidRDefault="009933BC" w:rsidP="00431EE2">
      <w:pPr>
        <w:spacing w:line="360" w:lineRule="auto"/>
        <w:rPr>
          <w:sz w:val="26"/>
          <w:szCs w:val="26"/>
        </w:rPr>
      </w:pPr>
      <w:r w:rsidRPr="009A4CF6">
        <w:rPr>
          <w:sz w:val="26"/>
          <w:szCs w:val="26"/>
        </w:rPr>
        <w:tab/>
        <w:t xml:space="preserve">Before adopting account number access mechanisms for the </w:t>
      </w:r>
      <w:r w:rsidR="004A5D88" w:rsidRPr="009A4CF6">
        <w:rPr>
          <w:sz w:val="26"/>
          <w:szCs w:val="26"/>
        </w:rPr>
        <w:t xml:space="preserve">natural </w:t>
      </w:r>
      <w:r w:rsidRPr="009A4CF6">
        <w:rPr>
          <w:sz w:val="26"/>
          <w:szCs w:val="26"/>
        </w:rPr>
        <w:t xml:space="preserve">gas industry, PECO recommends that OCMO examine the use and benefit of these portals in the electric industry.  </w:t>
      </w:r>
      <w:r w:rsidR="00C51AE3" w:rsidRPr="009A4CF6">
        <w:rPr>
          <w:sz w:val="26"/>
          <w:szCs w:val="26"/>
        </w:rPr>
        <w:t xml:space="preserve">PECO </w:t>
      </w:r>
      <w:r w:rsidRPr="009A4CF6">
        <w:rPr>
          <w:sz w:val="26"/>
          <w:szCs w:val="26"/>
        </w:rPr>
        <w:t xml:space="preserve">Comments at 9.  </w:t>
      </w:r>
    </w:p>
    <w:p w:rsidR="004A5D88" w:rsidRPr="009A4CF6" w:rsidRDefault="004A5D88" w:rsidP="00431EE2">
      <w:pPr>
        <w:spacing w:line="360" w:lineRule="auto"/>
        <w:rPr>
          <w:sz w:val="26"/>
          <w:szCs w:val="26"/>
        </w:rPr>
      </w:pPr>
    </w:p>
    <w:p w:rsidR="009933BC" w:rsidRPr="009A4CF6" w:rsidRDefault="004A5D88" w:rsidP="00431EE2">
      <w:pPr>
        <w:spacing w:line="360" w:lineRule="auto"/>
        <w:rPr>
          <w:sz w:val="26"/>
          <w:szCs w:val="26"/>
        </w:rPr>
      </w:pPr>
      <w:r w:rsidRPr="009A4CF6">
        <w:rPr>
          <w:sz w:val="26"/>
          <w:szCs w:val="26"/>
        </w:rPr>
        <w:tab/>
      </w:r>
      <w:r w:rsidR="009933BC" w:rsidRPr="009A4CF6">
        <w:rPr>
          <w:sz w:val="26"/>
          <w:szCs w:val="26"/>
        </w:rPr>
        <w:t xml:space="preserve">RESA believes these portals are beneficial in the electric industry and applicable to the </w:t>
      </w:r>
      <w:r w:rsidRPr="009A4CF6">
        <w:rPr>
          <w:sz w:val="26"/>
          <w:szCs w:val="26"/>
        </w:rPr>
        <w:t xml:space="preserve">natural </w:t>
      </w:r>
      <w:r w:rsidR="009933BC" w:rsidRPr="009A4CF6">
        <w:rPr>
          <w:sz w:val="26"/>
          <w:szCs w:val="26"/>
        </w:rPr>
        <w:t xml:space="preserve">gas industry.  </w:t>
      </w:r>
      <w:r w:rsidR="00C51AE3" w:rsidRPr="009A4CF6">
        <w:rPr>
          <w:sz w:val="26"/>
          <w:szCs w:val="26"/>
        </w:rPr>
        <w:t xml:space="preserve">RESA </w:t>
      </w:r>
      <w:r w:rsidR="009933BC" w:rsidRPr="009A4CF6">
        <w:rPr>
          <w:sz w:val="26"/>
          <w:szCs w:val="26"/>
        </w:rPr>
        <w:t xml:space="preserve">Comments at 25.  RESA recommends password-protected portals and suggests that this tool could be utilized for all sales beyond those in public venues, as the enrollment process is often more convenient for customers at home, who likely would not have their bill available at a public venue.  </w:t>
      </w:r>
      <w:r w:rsidR="009933BC" w:rsidRPr="009A4CF6">
        <w:rPr>
          <w:i/>
          <w:sz w:val="26"/>
          <w:szCs w:val="26"/>
        </w:rPr>
        <w:t>Id.</w:t>
      </w:r>
      <w:r w:rsidR="009933BC" w:rsidRPr="009A4CF6">
        <w:rPr>
          <w:sz w:val="26"/>
          <w:szCs w:val="26"/>
        </w:rPr>
        <w:t xml:space="preserve">  </w:t>
      </w:r>
    </w:p>
    <w:p w:rsidR="009933BC" w:rsidRPr="009A4CF6" w:rsidRDefault="009933BC" w:rsidP="00431EE2">
      <w:pPr>
        <w:spacing w:line="360" w:lineRule="auto"/>
        <w:rPr>
          <w:sz w:val="26"/>
          <w:szCs w:val="26"/>
        </w:rPr>
      </w:pPr>
    </w:p>
    <w:p w:rsidR="008F5262" w:rsidRPr="009A4CF6" w:rsidRDefault="009933BC" w:rsidP="009933BC">
      <w:pPr>
        <w:spacing w:line="360" w:lineRule="auto"/>
        <w:ind w:firstLine="720"/>
        <w:rPr>
          <w:sz w:val="26"/>
          <w:szCs w:val="26"/>
        </w:rPr>
      </w:pPr>
      <w:r w:rsidRPr="009A4CF6">
        <w:rPr>
          <w:sz w:val="26"/>
          <w:szCs w:val="26"/>
        </w:rPr>
        <w:t xml:space="preserve">PULP </w:t>
      </w:r>
      <w:r w:rsidR="00DA0A35" w:rsidRPr="009A4CF6">
        <w:rPr>
          <w:sz w:val="26"/>
          <w:szCs w:val="26"/>
        </w:rPr>
        <w:t xml:space="preserve">recommends that the Commission initiate a separate investigatory proceeding before an Administrative Law Judge to explore “the efficacy and legality” of the current supplier portal in the electric market before examining a portal in the gas market.  </w:t>
      </w:r>
      <w:r w:rsidR="00C51AE3" w:rsidRPr="009A4CF6">
        <w:rPr>
          <w:sz w:val="26"/>
          <w:szCs w:val="26"/>
        </w:rPr>
        <w:t xml:space="preserve">PULP </w:t>
      </w:r>
      <w:r w:rsidR="00DA0A35" w:rsidRPr="009A4CF6">
        <w:rPr>
          <w:sz w:val="26"/>
          <w:szCs w:val="26"/>
        </w:rPr>
        <w:t>Comments at 9-1</w:t>
      </w:r>
      <w:r w:rsidR="007731CB" w:rsidRPr="009A4CF6">
        <w:rPr>
          <w:sz w:val="26"/>
          <w:szCs w:val="26"/>
        </w:rPr>
        <w:t>3</w:t>
      </w:r>
      <w:r w:rsidR="00DA0A35" w:rsidRPr="009A4CF6">
        <w:rPr>
          <w:sz w:val="26"/>
          <w:szCs w:val="26"/>
        </w:rPr>
        <w:t xml:space="preserve">.  </w:t>
      </w:r>
      <w:r w:rsidR="007731CB" w:rsidRPr="009A4CF6">
        <w:rPr>
          <w:sz w:val="26"/>
          <w:szCs w:val="26"/>
        </w:rPr>
        <w:t>PULP’s concerns revolve around data security, privacy invasion and identity theft.  PULP believes current policies do not sufficiently protect customers, as a supplier or contractor can easily access an individual’s social security number, inter</w:t>
      </w:r>
      <w:r w:rsidR="004A5D88" w:rsidRPr="009A4CF6">
        <w:rPr>
          <w:sz w:val="26"/>
          <w:szCs w:val="26"/>
        </w:rPr>
        <w:t>val usage data, service address</w:t>
      </w:r>
      <w:r w:rsidR="007731CB" w:rsidRPr="009A4CF6">
        <w:rPr>
          <w:sz w:val="26"/>
          <w:szCs w:val="26"/>
        </w:rPr>
        <w:t xml:space="preserve"> and payment history.  </w:t>
      </w:r>
      <w:r w:rsidR="007731CB" w:rsidRPr="009A4CF6">
        <w:rPr>
          <w:i/>
          <w:sz w:val="26"/>
          <w:szCs w:val="26"/>
        </w:rPr>
        <w:t>Id.</w:t>
      </w:r>
      <w:r w:rsidR="007731CB" w:rsidRPr="009A4CF6">
        <w:rPr>
          <w:sz w:val="26"/>
          <w:szCs w:val="26"/>
        </w:rPr>
        <w:t xml:space="preserve"> at 9.  In light of a flurry of federal and state policymaking and proposed legislation regarding consumer privacy and protection resulting from data breaches and consumer concerns, PULP asserts that failure to effectively address consumer privacy concerns will </w:t>
      </w:r>
      <w:r w:rsidR="008F5262" w:rsidRPr="009A4CF6">
        <w:rPr>
          <w:sz w:val="26"/>
          <w:szCs w:val="26"/>
        </w:rPr>
        <w:t>“</w:t>
      </w:r>
      <w:r w:rsidR="007731CB" w:rsidRPr="009A4CF6">
        <w:rPr>
          <w:sz w:val="26"/>
          <w:szCs w:val="26"/>
        </w:rPr>
        <w:t>undermine consumer confidence in and the ultimate success of the competitive market.”</w:t>
      </w:r>
      <w:r w:rsidR="008F5262" w:rsidRPr="009A4CF6">
        <w:rPr>
          <w:sz w:val="26"/>
          <w:szCs w:val="26"/>
        </w:rPr>
        <w:t xml:space="preserve">  </w:t>
      </w:r>
      <w:r w:rsidR="00C51AE3" w:rsidRPr="009A4CF6">
        <w:rPr>
          <w:i/>
          <w:sz w:val="26"/>
          <w:szCs w:val="26"/>
        </w:rPr>
        <w:t>Id.</w:t>
      </w:r>
      <w:r w:rsidR="008F5262" w:rsidRPr="009A4CF6">
        <w:rPr>
          <w:sz w:val="26"/>
          <w:szCs w:val="26"/>
        </w:rPr>
        <w:t xml:space="preserve"> at 13.  </w:t>
      </w:r>
    </w:p>
    <w:p w:rsidR="008F5262" w:rsidRPr="009A4CF6" w:rsidRDefault="008F5262" w:rsidP="008F5262">
      <w:pPr>
        <w:spacing w:line="360" w:lineRule="auto"/>
        <w:rPr>
          <w:b/>
          <w:sz w:val="26"/>
          <w:szCs w:val="26"/>
        </w:rPr>
      </w:pPr>
    </w:p>
    <w:p w:rsidR="008F5262" w:rsidRPr="009A4CF6" w:rsidRDefault="004A5D88" w:rsidP="008F5262">
      <w:pPr>
        <w:spacing w:line="360" w:lineRule="auto"/>
        <w:rPr>
          <w:b/>
          <w:sz w:val="26"/>
          <w:szCs w:val="26"/>
        </w:rPr>
      </w:pPr>
      <w:r w:rsidRPr="009A4CF6">
        <w:rPr>
          <w:b/>
          <w:sz w:val="26"/>
          <w:szCs w:val="26"/>
        </w:rPr>
        <w:tab/>
        <w:t>2.</w:t>
      </w:r>
      <w:r w:rsidRPr="009A4CF6">
        <w:rPr>
          <w:b/>
          <w:sz w:val="26"/>
          <w:szCs w:val="26"/>
        </w:rPr>
        <w:tab/>
      </w:r>
      <w:r w:rsidR="008F5262" w:rsidRPr="009A4CF6">
        <w:rPr>
          <w:b/>
          <w:sz w:val="26"/>
          <w:szCs w:val="26"/>
        </w:rPr>
        <w:t>Disposition</w:t>
      </w:r>
    </w:p>
    <w:p w:rsidR="008F5262" w:rsidRPr="009A4CF6" w:rsidRDefault="008F5262" w:rsidP="008F5262">
      <w:pPr>
        <w:spacing w:line="360" w:lineRule="auto"/>
        <w:rPr>
          <w:sz w:val="26"/>
          <w:szCs w:val="26"/>
        </w:rPr>
      </w:pPr>
    </w:p>
    <w:p w:rsidR="00C96D1A" w:rsidRPr="009A4CF6" w:rsidRDefault="00F97DFE" w:rsidP="008F5262">
      <w:pPr>
        <w:spacing w:line="360" w:lineRule="auto"/>
        <w:rPr>
          <w:sz w:val="26"/>
          <w:szCs w:val="26"/>
        </w:rPr>
      </w:pPr>
      <w:r w:rsidRPr="009A4CF6">
        <w:rPr>
          <w:sz w:val="26"/>
          <w:szCs w:val="26"/>
        </w:rPr>
        <w:tab/>
        <w:t xml:space="preserve">Upon review of the comments, we are convinced that this is not only a worthy topic of investigation, but that it should be an immediate, priority item.  As such, we will </w:t>
      </w:r>
      <w:r w:rsidRPr="009A4CF6">
        <w:rPr>
          <w:sz w:val="26"/>
          <w:szCs w:val="26"/>
        </w:rPr>
        <w:lastRenderedPageBreak/>
        <w:t>use this order to immediately initiate OCMO’s exploration of this issue and call for formal comments.  We think this is an important, immediate concern because we want consumers to be able to shop for natural gas service at public locations like malls and community events the same as they may shop for many other goods and services.  We want energy shopping to be as common, easy and ubiquitous as shopping for wireless phone service.  But to make this happen, suppliers need access to consumer account numbers.  The simple fact is</w:t>
      </w:r>
      <w:r w:rsidR="00044414" w:rsidRPr="009A4CF6">
        <w:rPr>
          <w:sz w:val="26"/>
          <w:szCs w:val="26"/>
        </w:rPr>
        <w:t>, as RESA points out,</w:t>
      </w:r>
      <w:r w:rsidRPr="009A4CF6">
        <w:rPr>
          <w:sz w:val="26"/>
          <w:szCs w:val="26"/>
        </w:rPr>
        <w:t xml:space="preserve"> that consumers do not walk around in public wit</w:t>
      </w:r>
      <w:r w:rsidR="006D4DE1" w:rsidRPr="009A4CF6">
        <w:rPr>
          <w:sz w:val="26"/>
          <w:szCs w:val="26"/>
        </w:rPr>
        <w:t>h their utility account number,</w:t>
      </w:r>
      <w:r w:rsidRPr="009A4CF6">
        <w:rPr>
          <w:sz w:val="26"/>
          <w:szCs w:val="26"/>
        </w:rPr>
        <w:t xml:space="preserve"> nor do they memorize their account number like they memorize their wireless phone number.  </w:t>
      </w:r>
      <w:r w:rsidR="00911B5A" w:rsidRPr="009A4CF6">
        <w:rPr>
          <w:sz w:val="26"/>
          <w:szCs w:val="26"/>
        </w:rPr>
        <w:t xml:space="preserve">Again, our hope is that by facilitating more marketing in public areas – where it is the consumer that decides when and how to </w:t>
      </w:r>
      <w:r w:rsidR="000B5D10">
        <w:rPr>
          <w:sz w:val="26"/>
          <w:szCs w:val="26"/>
        </w:rPr>
        <w:t>engage with</w:t>
      </w:r>
      <w:r w:rsidR="00911B5A" w:rsidRPr="009A4CF6">
        <w:rPr>
          <w:sz w:val="26"/>
          <w:szCs w:val="26"/>
        </w:rPr>
        <w:t xml:space="preserve"> a supplier - suppliers will rely less on marketing methods that consumer</w:t>
      </w:r>
      <w:r w:rsidR="008F0BF3" w:rsidRPr="009A4CF6">
        <w:rPr>
          <w:sz w:val="26"/>
          <w:szCs w:val="26"/>
        </w:rPr>
        <w:t>s</w:t>
      </w:r>
      <w:r w:rsidR="00911B5A" w:rsidRPr="009A4CF6">
        <w:rPr>
          <w:sz w:val="26"/>
          <w:szCs w:val="26"/>
        </w:rPr>
        <w:t xml:space="preserve"> may find more intrusive.  To make this vision a reality, there must be some sort of mechanism suppliers can use to access consumer account numbers when necessary.   </w:t>
      </w:r>
    </w:p>
    <w:p w:rsidR="00911B5A" w:rsidRPr="009A4CF6" w:rsidRDefault="00911B5A" w:rsidP="008F5262">
      <w:pPr>
        <w:spacing w:line="360" w:lineRule="auto"/>
        <w:rPr>
          <w:sz w:val="26"/>
          <w:szCs w:val="26"/>
        </w:rPr>
      </w:pPr>
    </w:p>
    <w:p w:rsidR="00911B5A" w:rsidRPr="009A4CF6" w:rsidRDefault="00911B5A" w:rsidP="00911B5A">
      <w:pPr>
        <w:spacing w:line="360" w:lineRule="auto"/>
        <w:ind w:firstLine="720"/>
        <w:rPr>
          <w:sz w:val="26"/>
          <w:szCs w:val="26"/>
        </w:rPr>
      </w:pPr>
      <w:r w:rsidRPr="009A4CF6">
        <w:rPr>
          <w:sz w:val="26"/>
          <w:szCs w:val="26"/>
        </w:rPr>
        <w:t xml:space="preserve">Another reason we believe this matter </w:t>
      </w:r>
      <w:r w:rsidR="007112E3" w:rsidRPr="009A4CF6">
        <w:rPr>
          <w:sz w:val="26"/>
          <w:szCs w:val="26"/>
        </w:rPr>
        <w:t>can</w:t>
      </w:r>
      <w:r w:rsidRPr="009A4CF6">
        <w:rPr>
          <w:sz w:val="26"/>
          <w:szCs w:val="26"/>
        </w:rPr>
        <w:t xml:space="preserve"> be addressed at this time is that it is not a “new” matter.  As noted above, EDCs are already in the process of developing account number access mechanisms.  Some of them have already made this available to suppliers.  As such, </w:t>
      </w:r>
      <w:r w:rsidR="007112E3" w:rsidRPr="009A4CF6">
        <w:rPr>
          <w:sz w:val="26"/>
          <w:szCs w:val="26"/>
        </w:rPr>
        <w:t>parties can look at what has been</w:t>
      </w:r>
      <w:r w:rsidR="006D4DE1" w:rsidRPr="009A4CF6">
        <w:rPr>
          <w:sz w:val="26"/>
          <w:szCs w:val="26"/>
        </w:rPr>
        <w:t xml:space="preserve"> done in the electric industry</w:t>
      </w:r>
      <w:r w:rsidR="007112E3" w:rsidRPr="009A4CF6">
        <w:rPr>
          <w:sz w:val="26"/>
          <w:szCs w:val="26"/>
        </w:rPr>
        <w:t xml:space="preserve"> and use that experience to address the same matter in the natural gas industry.  Additionally, it may take the NGDCs significant time to develop a mechanism – all the more reason to start the exploration of this issue now.   </w:t>
      </w:r>
      <w:r w:rsidRPr="009A4CF6">
        <w:rPr>
          <w:sz w:val="26"/>
          <w:szCs w:val="26"/>
        </w:rPr>
        <w:t xml:space="preserve">    </w:t>
      </w:r>
    </w:p>
    <w:p w:rsidR="00911B5A" w:rsidRPr="009A4CF6" w:rsidRDefault="00911B5A" w:rsidP="008F5262">
      <w:pPr>
        <w:spacing w:line="360" w:lineRule="auto"/>
        <w:rPr>
          <w:sz w:val="26"/>
          <w:szCs w:val="26"/>
        </w:rPr>
      </w:pPr>
    </w:p>
    <w:p w:rsidR="00C96D1A" w:rsidRPr="009A4CF6" w:rsidRDefault="0082770E" w:rsidP="0082770E">
      <w:pPr>
        <w:spacing w:line="360" w:lineRule="auto"/>
        <w:ind w:firstLine="720"/>
        <w:rPr>
          <w:sz w:val="26"/>
          <w:szCs w:val="26"/>
        </w:rPr>
      </w:pPr>
      <w:r w:rsidRPr="009A4CF6">
        <w:rPr>
          <w:sz w:val="26"/>
          <w:szCs w:val="26"/>
        </w:rPr>
        <w:t xml:space="preserve">We acknowledge the concerns expressed by PULP </w:t>
      </w:r>
      <w:r w:rsidR="000B5D10">
        <w:rPr>
          <w:sz w:val="26"/>
          <w:szCs w:val="26"/>
        </w:rPr>
        <w:t>concerning</w:t>
      </w:r>
      <w:r w:rsidRPr="009A4CF6">
        <w:rPr>
          <w:sz w:val="26"/>
          <w:szCs w:val="26"/>
        </w:rPr>
        <w:t xml:space="preserve"> customer privacy and data security.  We take these issues seriously.  When ordering </w:t>
      </w:r>
      <w:r w:rsidR="00A7346D" w:rsidRPr="009A4CF6">
        <w:rPr>
          <w:sz w:val="26"/>
          <w:szCs w:val="26"/>
        </w:rPr>
        <w:t>account number access</w:t>
      </w:r>
      <w:r w:rsidRPr="009A4CF6">
        <w:rPr>
          <w:sz w:val="26"/>
          <w:szCs w:val="26"/>
        </w:rPr>
        <w:t xml:space="preserve"> mechanisms in the electric industry, the Commission</w:t>
      </w:r>
      <w:r w:rsidR="00A7346D" w:rsidRPr="009A4CF6">
        <w:rPr>
          <w:sz w:val="26"/>
          <w:szCs w:val="26"/>
        </w:rPr>
        <w:t>, as discussed above,</w:t>
      </w:r>
      <w:r w:rsidRPr="009A4CF6">
        <w:rPr>
          <w:sz w:val="26"/>
          <w:szCs w:val="26"/>
        </w:rPr>
        <w:t xml:space="preserve"> required</w:t>
      </w:r>
      <w:r w:rsidR="00A7346D" w:rsidRPr="009A4CF6">
        <w:rPr>
          <w:sz w:val="26"/>
          <w:szCs w:val="26"/>
        </w:rPr>
        <w:t xml:space="preserve"> numerous safeguards intended to protect the security and privacy of customer information.  However, we think PULP’s concerns are somewhat overstated in that the mechanisms we are </w:t>
      </w:r>
      <w:r w:rsidR="006D4DE1" w:rsidRPr="009A4CF6">
        <w:rPr>
          <w:sz w:val="26"/>
          <w:szCs w:val="26"/>
        </w:rPr>
        <w:t xml:space="preserve">discussing </w:t>
      </w:r>
      <w:r w:rsidR="00A7346D" w:rsidRPr="009A4CF6">
        <w:rPr>
          <w:sz w:val="26"/>
          <w:szCs w:val="26"/>
        </w:rPr>
        <w:t>are intended to provide a supplier wi</w:t>
      </w:r>
      <w:r w:rsidR="006D4DE1" w:rsidRPr="009A4CF6">
        <w:rPr>
          <w:sz w:val="26"/>
          <w:szCs w:val="26"/>
        </w:rPr>
        <w:t>th a customer’s account number</w:t>
      </w:r>
      <w:r w:rsidR="00A7346D" w:rsidRPr="009A4CF6">
        <w:rPr>
          <w:sz w:val="26"/>
          <w:szCs w:val="26"/>
        </w:rPr>
        <w:t xml:space="preserve"> and nothing more.  </w:t>
      </w:r>
      <w:r w:rsidR="006D4DE1" w:rsidRPr="009A4CF6">
        <w:rPr>
          <w:sz w:val="26"/>
          <w:szCs w:val="26"/>
        </w:rPr>
        <w:t>E</w:t>
      </w:r>
      <w:r w:rsidR="00A7346D" w:rsidRPr="009A4CF6">
        <w:rPr>
          <w:sz w:val="26"/>
          <w:szCs w:val="26"/>
        </w:rPr>
        <w:t xml:space="preserve">ven if we read PULP’s comments in the wider </w:t>
      </w:r>
      <w:r w:rsidR="00A7346D" w:rsidRPr="009A4CF6">
        <w:rPr>
          <w:sz w:val="26"/>
          <w:szCs w:val="26"/>
        </w:rPr>
        <w:lastRenderedPageBreak/>
        <w:t>context of the eligible customer list (ECL), which cannot be accessed via the mechanisms we are talking about, we st</w:t>
      </w:r>
      <w:r w:rsidR="006D4DE1" w:rsidRPr="009A4CF6">
        <w:rPr>
          <w:sz w:val="26"/>
          <w:szCs w:val="26"/>
        </w:rPr>
        <w:t>ill think the concerns are over</w:t>
      </w:r>
      <w:r w:rsidR="00A7346D" w:rsidRPr="009A4CF6">
        <w:rPr>
          <w:sz w:val="26"/>
          <w:szCs w:val="26"/>
        </w:rPr>
        <w:t>stated.  The ECL does not include a customer’s phone number, or their social security number, or their payment history.</w:t>
      </w:r>
      <w:r w:rsidR="00C96D1A" w:rsidRPr="009A4CF6">
        <w:rPr>
          <w:rStyle w:val="FootnoteReference"/>
          <w:sz w:val="26"/>
          <w:szCs w:val="26"/>
        </w:rPr>
        <w:footnoteReference w:id="27"/>
      </w:r>
      <w:r w:rsidR="00A7346D" w:rsidRPr="009A4CF6">
        <w:rPr>
          <w:sz w:val="26"/>
          <w:szCs w:val="26"/>
        </w:rPr>
        <w:t xml:space="preserve">  Further, we note that c</w:t>
      </w:r>
      <w:r w:rsidR="006D4DE1" w:rsidRPr="009A4CF6">
        <w:rPr>
          <w:sz w:val="26"/>
          <w:szCs w:val="26"/>
        </w:rPr>
        <w:t>onsumers have the right to with</w:t>
      </w:r>
      <w:r w:rsidR="00A7346D" w:rsidRPr="009A4CF6">
        <w:rPr>
          <w:sz w:val="26"/>
          <w:szCs w:val="26"/>
        </w:rPr>
        <w:t xml:space="preserve">hold all of their information from the ECL, with the Commission </w:t>
      </w:r>
      <w:r w:rsidR="00BF4AE0">
        <w:rPr>
          <w:sz w:val="26"/>
          <w:szCs w:val="26"/>
        </w:rPr>
        <w:t xml:space="preserve">requiring </w:t>
      </w:r>
      <w:r w:rsidR="00A7346D" w:rsidRPr="009A4CF6">
        <w:rPr>
          <w:sz w:val="26"/>
          <w:szCs w:val="26"/>
        </w:rPr>
        <w:t xml:space="preserve">all </w:t>
      </w:r>
      <w:r w:rsidR="00EA25C0">
        <w:rPr>
          <w:sz w:val="26"/>
          <w:szCs w:val="26"/>
        </w:rPr>
        <w:t>NGDCs</w:t>
      </w:r>
      <w:r w:rsidR="00EA25C0" w:rsidRPr="009A4CF6">
        <w:rPr>
          <w:sz w:val="26"/>
          <w:szCs w:val="26"/>
        </w:rPr>
        <w:t xml:space="preserve"> </w:t>
      </w:r>
      <w:r w:rsidR="00A7346D" w:rsidRPr="009A4CF6">
        <w:rPr>
          <w:sz w:val="26"/>
          <w:szCs w:val="26"/>
        </w:rPr>
        <w:t xml:space="preserve">to remind their customers of this right at least once every three years. </w:t>
      </w:r>
      <w:r w:rsidR="00C96D1A" w:rsidRPr="009A4CF6">
        <w:rPr>
          <w:sz w:val="26"/>
          <w:szCs w:val="26"/>
        </w:rPr>
        <w:t xml:space="preserve"> </w:t>
      </w:r>
      <w:r w:rsidR="00255A9B" w:rsidRPr="009A4CF6">
        <w:rPr>
          <w:sz w:val="26"/>
          <w:szCs w:val="26"/>
        </w:rPr>
        <w:t xml:space="preserve">Having said this, if parties think more is needed to address consumer privacy and security when considering account number access </w:t>
      </w:r>
      <w:r w:rsidR="006D4DE1" w:rsidRPr="009A4CF6">
        <w:rPr>
          <w:sz w:val="26"/>
          <w:szCs w:val="26"/>
        </w:rPr>
        <w:t>mechanisms, we request that they address those concerns in their comments.</w:t>
      </w:r>
      <w:r w:rsidR="00255A9B" w:rsidRPr="009A4CF6">
        <w:rPr>
          <w:sz w:val="26"/>
          <w:szCs w:val="26"/>
        </w:rPr>
        <w:t xml:space="preserve">    </w:t>
      </w:r>
    </w:p>
    <w:p w:rsidR="00255A9B" w:rsidRPr="009A4CF6" w:rsidRDefault="00255A9B" w:rsidP="0082770E">
      <w:pPr>
        <w:spacing w:line="360" w:lineRule="auto"/>
        <w:ind w:firstLine="720"/>
        <w:rPr>
          <w:sz w:val="26"/>
          <w:szCs w:val="26"/>
        </w:rPr>
      </w:pPr>
    </w:p>
    <w:p w:rsidR="00E14771" w:rsidRPr="009A4CF6" w:rsidRDefault="00E14771" w:rsidP="00E14771">
      <w:pPr>
        <w:spacing w:line="360" w:lineRule="auto"/>
        <w:ind w:firstLine="720"/>
        <w:rPr>
          <w:sz w:val="26"/>
          <w:szCs w:val="26"/>
        </w:rPr>
      </w:pPr>
      <w:r w:rsidRPr="009A4CF6">
        <w:rPr>
          <w:sz w:val="26"/>
          <w:szCs w:val="26"/>
        </w:rPr>
        <w:t xml:space="preserve">To assist parties in framing their comments, we direct them to the Commission’s </w:t>
      </w:r>
      <w:r w:rsidR="00EA25C0">
        <w:rPr>
          <w:sz w:val="26"/>
          <w:szCs w:val="26"/>
        </w:rPr>
        <w:t>September 23, 2013 O</w:t>
      </w:r>
      <w:r w:rsidRPr="009A4CF6">
        <w:rPr>
          <w:sz w:val="26"/>
          <w:szCs w:val="26"/>
        </w:rPr>
        <w:t>rder mentioned above.  Parties are</w:t>
      </w:r>
      <w:r w:rsidR="006D4DE1" w:rsidRPr="009A4CF6">
        <w:rPr>
          <w:sz w:val="26"/>
          <w:szCs w:val="26"/>
        </w:rPr>
        <w:t xml:space="preserve"> free to raise any related issue,</w:t>
      </w:r>
      <w:r w:rsidRPr="009A4CF6">
        <w:rPr>
          <w:sz w:val="26"/>
          <w:szCs w:val="26"/>
        </w:rPr>
        <w:t xml:space="preserve"> but we are especially interested in the following areas:</w:t>
      </w:r>
    </w:p>
    <w:p w:rsidR="00E14771" w:rsidRPr="009A4CF6" w:rsidRDefault="00E14771" w:rsidP="00E14771">
      <w:pPr>
        <w:spacing w:line="360" w:lineRule="auto"/>
        <w:ind w:firstLine="720"/>
        <w:rPr>
          <w:sz w:val="26"/>
          <w:szCs w:val="26"/>
        </w:rPr>
      </w:pPr>
    </w:p>
    <w:p w:rsidR="00E14771" w:rsidRPr="009A4CF6" w:rsidRDefault="00E14771" w:rsidP="00E14771">
      <w:pPr>
        <w:pStyle w:val="ListParagraph"/>
        <w:numPr>
          <w:ilvl w:val="0"/>
          <w:numId w:val="8"/>
        </w:numPr>
        <w:spacing w:line="360" w:lineRule="auto"/>
        <w:rPr>
          <w:sz w:val="26"/>
          <w:szCs w:val="26"/>
        </w:rPr>
      </w:pPr>
      <w:r w:rsidRPr="009A4CF6">
        <w:rPr>
          <w:sz w:val="26"/>
          <w:szCs w:val="26"/>
        </w:rPr>
        <w:t>The technological platform to be used.  EDCs were directed to develop web-based portals.  Is the same appropriate for the natural gas industry or are their alternatives we should consider?</w:t>
      </w:r>
    </w:p>
    <w:p w:rsidR="00E14771" w:rsidRPr="009A4CF6" w:rsidRDefault="00E14771" w:rsidP="00E14771">
      <w:pPr>
        <w:pStyle w:val="ListParagraph"/>
        <w:numPr>
          <w:ilvl w:val="0"/>
          <w:numId w:val="8"/>
        </w:numPr>
        <w:spacing w:line="360" w:lineRule="auto"/>
        <w:rPr>
          <w:sz w:val="26"/>
          <w:szCs w:val="26"/>
        </w:rPr>
      </w:pPr>
      <w:r w:rsidRPr="009A4CF6">
        <w:rPr>
          <w:sz w:val="26"/>
          <w:szCs w:val="26"/>
        </w:rPr>
        <w:t>What security mechanisms should be utilized to protect consumer privacy? This includes the possible use of password-protections, and minimum customer information requirements for using the mechanism (customer’s full name, service street address and five-digit postal code, etc.).  The use of customer photo identification and a letters of authorization should</w:t>
      </w:r>
      <w:r w:rsidR="006D4DE1" w:rsidRPr="009A4CF6">
        <w:rPr>
          <w:sz w:val="26"/>
          <w:szCs w:val="26"/>
        </w:rPr>
        <w:t xml:space="preserve"> also</w:t>
      </w:r>
      <w:r w:rsidRPr="009A4CF6">
        <w:rPr>
          <w:sz w:val="26"/>
          <w:szCs w:val="26"/>
        </w:rPr>
        <w:t xml:space="preserve"> be addressed.  </w:t>
      </w:r>
    </w:p>
    <w:p w:rsidR="00E14771" w:rsidRPr="009A4CF6" w:rsidRDefault="00E14771" w:rsidP="00E14771">
      <w:pPr>
        <w:pStyle w:val="ListParagraph"/>
        <w:numPr>
          <w:ilvl w:val="0"/>
          <w:numId w:val="8"/>
        </w:numPr>
        <w:spacing w:line="360" w:lineRule="auto"/>
        <w:rPr>
          <w:sz w:val="26"/>
          <w:szCs w:val="26"/>
        </w:rPr>
      </w:pPr>
      <w:r w:rsidRPr="009A4CF6">
        <w:rPr>
          <w:sz w:val="26"/>
          <w:szCs w:val="26"/>
        </w:rPr>
        <w:t>Should the mechanisms only be available at public locations</w:t>
      </w:r>
      <w:r w:rsidR="006D4DE1" w:rsidRPr="009A4CF6">
        <w:rPr>
          <w:sz w:val="26"/>
          <w:szCs w:val="26"/>
        </w:rPr>
        <w:t>,</w:t>
      </w:r>
      <w:r w:rsidRPr="009A4CF6">
        <w:rPr>
          <w:sz w:val="26"/>
          <w:szCs w:val="26"/>
        </w:rPr>
        <w:t xml:space="preserve"> not consumer homes or businesses?  And if so, how should this be documented?</w:t>
      </w:r>
    </w:p>
    <w:p w:rsidR="00E14771" w:rsidRPr="009A4CF6" w:rsidRDefault="00E14771" w:rsidP="00E14771">
      <w:pPr>
        <w:pStyle w:val="ListParagraph"/>
        <w:numPr>
          <w:ilvl w:val="0"/>
          <w:numId w:val="8"/>
        </w:numPr>
        <w:spacing w:line="360" w:lineRule="auto"/>
        <w:rPr>
          <w:sz w:val="26"/>
          <w:szCs w:val="26"/>
        </w:rPr>
      </w:pPr>
      <w:r w:rsidRPr="009A4CF6">
        <w:rPr>
          <w:sz w:val="26"/>
          <w:szCs w:val="26"/>
        </w:rPr>
        <w:t xml:space="preserve">What capabilities should be required of the mechanism to track the usage of the system and identification of users?  What should be the record retention </w:t>
      </w:r>
      <w:r w:rsidRPr="009A4CF6">
        <w:rPr>
          <w:sz w:val="26"/>
          <w:szCs w:val="26"/>
        </w:rPr>
        <w:lastRenderedPageBreak/>
        <w:t xml:space="preserve">requirement for this information - three years as in the electric industry?   </w:t>
      </w:r>
    </w:p>
    <w:p w:rsidR="00E14771" w:rsidRPr="009A4CF6" w:rsidRDefault="00E14771" w:rsidP="00E14771">
      <w:pPr>
        <w:spacing w:line="360" w:lineRule="auto"/>
        <w:ind w:firstLine="720"/>
        <w:rPr>
          <w:sz w:val="26"/>
          <w:szCs w:val="26"/>
        </w:rPr>
      </w:pPr>
    </w:p>
    <w:p w:rsidR="00255A9B" w:rsidRPr="009A4CF6" w:rsidRDefault="00255A9B" w:rsidP="00CB1FC9">
      <w:pPr>
        <w:spacing w:line="360" w:lineRule="auto"/>
        <w:ind w:firstLine="720"/>
        <w:rPr>
          <w:sz w:val="26"/>
          <w:szCs w:val="26"/>
        </w:rPr>
      </w:pPr>
      <w:r w:rsidRPr="009A4CF6">
        <w:rPr>
          <w:sz w:val="26"/>
          <w:szCs w:val="26"/>
        </w:rPr>
        <w:t xml:space="preserve">We invite interested parties to comment on these and any related issues.  Comments must be formally submitted under this docket number within </w:t>
      </w:r>
      <w:r w:rsidR="00101076">
        <w:rPr>
          <w:sz w:val="26"/>
          <w:szCs w:val="26"/>
        </w:rPr>
        <w:t>30</w:t>
      </w:r>
      <w:r w:rsidR="00101076" w:rsidRPr="009A4CF6">
        <w:rPr>
          <w:sz w:val="26"/>
          <w:szCs w:val="26"/>
        </w:rPr>
        <w:t xml:space="preserve"> </w:t>
      </w:r>
      <w:r w:rsidRPr="009A4CF6">
        <w:rPr>
          <w:sz w:val="26"/>
          <w:szCs w:val="26"/>
        </w:rPr>
        <w:t xml:space="preserve">days of the </w:t>
      </w:r>
      <w:r w:rsidR="00101076">
        <w:rPr>
          <w:sz w:val="26"/>
          <w:szCs w:val="26"/>
        </w:rPr>
        <w:t xml:space="preserve">date the notice of this Order is published in the </w:t>
      </w:r>
      <w:r w:rsidR="00101076">
        <w:rPr>
          <w:i/>
          <w:sz w:val="26"/>
          <w:szCs w:val="26"/>
        </w:rPr>
        <w:t>Pennsylvania Bulletin</w:t>
      </w:r>
      <w:r w:rsidRPr="009A4CF6">
        <w:rPr>
          <w:sz w:val="26"/>
          <w:szCs w:val="26"/>
        </w:rPr>
        <w:t xml:space="preserve">.  </w:t>
      </w:r>
      <w:r w:rsidR="00410E43" w:rsidRPr="009A4CF6">
        <w:rPr>
          <w:sz w:val="26"/>
          <w:szCs w:val="26"/>
        </w:rPr>
        <w:t>If</w:t>
      </w:r>
      <w:r w:rsidR="006D4DE1" w:rsidRPr="009A4CF6">
        <w:rPr>
          <w:sz w:val="26"/>
          <w:szCs w:val="26"/>
        </w:rPr>
        <w:t>,</w:t>
      </w:r>
      <w:r w:rsidR="00410E43" w:rsidRPr="009A4CF6">
        <w:rPr>
          <w:sz w:val="26"/>
          <w:szCs w:val="26"/>
        </w:rPr>
        <w:t xml:space="preserve"> upon reviewing the comments</w:t>
      </w:r>
      <w:r w:rsidR="006D4DE1" w:rsidRPr="009A4CF6">
        <w:rPr>
          <w:sz w:val="26"/>
          <w:szCs w:val="26"/>
        </w:rPr>
        <w:t>,</w:t>
      </w:r>
      <w:r w:rsidR="00410E43" w:rsidRPr="009A4CF6">
        <w:rPr>
          <w:sz w:val="26"/>
          <w:szCs w:val="26"/>
        </w:rPr>
        <w:t xml:space="preserve"> OCMO believes there are further issues that </w:t>
      </w:r>
      <w:r w:rsidR="006D4DE1" w:rsidRPr="009A4CF6">
        <w:rPr>
          <w:sz w:val="26"/>
          <w:szCs w:val="26"/>
        </w:rPr>
        <w:t>require discussion</w:t>
      </w:r>
      <w:r w:rsidR="00410E43" w:rsidRPr="009A4CF6">
        <w:rPr>
          <w:sz w:val="26"/>
          <w:szCs w:val="26"/>
        </w:rPr>
        <w:t>, it is free to convene stakeholders for such</w:t>
      </w:r>
      <w:r w:rsidR="00044414" w:rsidRPr="009A4CF6">
        <w:rPr>
          <w:sz w:val="26"/>
          <w:szCs w:val="26"/>
        </w:rPr>
        <w:t xml:space="preserve">.  Regardless, we expect </w:t>
      </w:r>
      <w:r w:rsidR="00410E43" w:rsidRPr="009A4CF6">
        <w:rPr>
          <w:sz w:val="26"/>
          <w:szCs w:val="26"/>
        </w:rPr>
        <w:t>OCMO to prepare</w:t>
      </w:r>
      <w:r w:rsidR="00E008CE" w:rsidRPr="009A4CF6">
        <w:rPr>
          <w:sz w:val="26"/>
          <w:szCs w:val="26"/>
        </w:rPr>
        <w:t>,</w:t>
      </w:r>
      <w:r w:rsidR="00410E43" w:rsidRPr="009A4CF6">
        <w:rPr>
          <w:sz w:val="26"/>
          <w:szCs w:val="26"/>
        </w:rPr>
        <w:t xml:space="preserve"> in the first quarter of 2015</w:t>
      </w:r>
      <w:r w:rsidR="00E008CE" w:rsidRPr="009A4CF6">
        <w:rPr>
          <w:sz w:val="26"/>
          <w:szCs w:val="26"/>
        </w:rPr>
        <w:t>, recommendations for the Commission’s consideration</w:t>
      </w:r>
      <w:r w:rsidR="00410E43" w:rsidRPr="009A4CF6">
        <w:rPr>
          <w:sz w:val="26"/>
          <w:szCs w:val="26"/>
        </w:rPr>
        <w:t xml:space="preserve">.  </w:t>
      </w:r>
      <w:r w:rsidRPr="009A4CF6">
        <w:rPr>
          <w:sz w:val="26"/>
          <w:szCs w:val="26"/>
        </w:rPr>
        <w:t xml:space="preserve">           </w:t>
      </w:r>
    </w:p>
    <w:p w:rsidR="00255A9B" w:rsidRPr="009A4CF6" w:rsidRDefault="00255A9B" w:rsidP="00CB1FC9">
      <w:pPr>
        <w:spacing w:line="360" w:lineRule="auto"/>
        <w:ind w:firstLine="720"/>
        <w:rPr>
          <w:sz w:val="26"/>
          <w:szCs w:val="26"/>
        </w:rPr>
      </w:pPr>
    </w:p>
    <w:p w:rsidR="008F5262" w:rsidRPr="009A4CF6" w:rsidRDefault="006D4DE1" w:rsidP="00CB1FC9">
      <w:pPr>
        <w:pStyle w:val="Heading2"/>
        <w:spacing w:before="0" w:line="360" w:lineRule="auto"/>
        <w:rPr>
          <w:rFonts w:ascii="Times New Roman" w:hAnsi="Times New Roman" w:cs="Times New Roman"/>
          <w:b w:val="0"/>
          <w:color w:val="auto"/>
        </w:rPr>
      </w:pPr>
      <w:bookmarkStart w:id="18" w:name="_Toc405359509"/>
      <w:r w:rsidRPr="009A4CF6">
        <w:rPr>
          <w:rFonts w:ascii="Times New Roman" w:hAnsi="Times New Roman" w:cs="Times New Roman"/>
          <w:color w:val="auto"/>
        </w:rPr>
        <w:t>Q.</w:t>
      </w:r>
      <w:r w:rsidRPr="009A4CF6">
        <w:rPr>
          <w:rFonts w:ascii="Times New Roman" w:hAnsi="Times New Roman" w:cs="Times New Roman"/>
          <w:color w:val="auto"/>
        </w:rPr>
        <w:tab/>
      </w:r>
      <w:r w:rsidR="008F5262" w:rsidRPr="009A4CF6">
        <w:rPr>
          <w:rFonts w:ascii="Times New Roman" w:hAnsi="Times New Roman" w:cs="Times New Roman"/>
          <w:color w:val="auto"/>
        </w:rPr>
        <w:t>Migration Riders</w:t>
      </w:r>
      <w:r w:rsidR="00F85385" w:rsidRPr="009A4CF6">
        <w:rPr>
          <w:rFonts w:ascii="Times New Roman" w:hAnsi="Times New Roman" w:cs="Times New Roman"/>
          <w:color w:val="auto"/>
        </w:rPr>
        <w:t xml:space="preserve"> and Reconciliation</w:t>
      </w:r>
      <w:bookmarkEnd w:id="18"/>
    </w:p>
    <w:p w:rsidR="00ED3E81" w:rsidRPr="009A4CF6" w:rsidRDefault="00ED3E81" w:rsidP="00CB1FC9">
      <w:pPr>
        <w:spacing w:line="360" w:lineRule="auto"/>
        <w:rPr>
          <w:sz w:val="26"/>
          <w:szCs w:val="26"/>
        </w:rPr>
      </w:pPr>
    </w:p>
    <w:p w:rsidR="00A2212A" w:rsidRPr="009A4CF6" w:rsidRDefault="006D4DE1" w:rsidP="00CB1FC9">
      <w:pPr>
        <w:tabs>
          <w:tab w:val="left" w:pos="720"/>
        </w:tabs>
        <w:spacing w:line="360" w:lineRule="auto"/>
        <w:rPr>
          <w:sz w:val="26"/>
          <w:szCs w:val="26"/>
        </w:rPr>
      </w:pPr>
      <w:r w:rsidRPr="009A4CF6">
        <w:rPr>
          <w:sz w:val="26"/>
          <w:szCs w:val="26"/>
        </w:rPr>
        <w:tab/>
      </w:r>
      <w:r w:rsidR="00A2212A" w:rsidRPr="009A4CF6">
        <w:rPr>
          <w:sz w:val="26"/>
          <w:szCs w:val="26"/>
        </w:rPr>
        <w:t xml:space="preserve">In our </w:t>
      </w:r>
      <w:r w:rsidR="00A2212A" w:rsidRPr="009A4CF6">
        <w:rPr>
          <w:i/>
          <w:sz w:val="26"/>
          <w:szCs w:val="26"/>
        </w:rPr>
        <w:t>Tentative Order</w:t>
      </w:r>
      <w:r w:rsidR="00A2212A" w:rsidRPr="009A4CF6">
        <w:rPr>
          <w:sz w:val="26"/>
          <w:szCs w:val="26"/>
        </w:rPr>
        <w:t xml:space="preserve">, the Commission noted that NGDCs use a migration rider to help reconcile differences in the actual versus projected costs of providing SOLR service.  We also noted that the migration rider is a rate mechanism that applies to each customer account, even after the customer is enrolled with an NGS.  </w:t>
      </w:r>
      <w:r w:rsidR="00653C9E">
        <w:rPr>
          <w:sz w:val="26"/>
          <w:szCs w:val="26"/>
        </w:rPr>
        <w:t>Regarding the observation by</w:t>
      </w:r>
      <w:r w:rsidR="00A2212A" w:rsidRPr="009A4CF6">
        <w:rPr>
          <w:sz w:val="26"/>
          <w:szCs w:val="26"/>
        </w:rPr>
        <w:t xml:space="preserve"> both OCA and OSBA that the current use of migration riders by NGDCs makes the shopping experience more confusing, we proposed that these concerns warrant an examination of the migration rider during the course of this investigation.  We noted that an examination of the migration rider in the context of this Investigation would be helpful and would take into account any legislative activity.</w:t>
      </w:r>
    </w:p>
    <w:p w:rsidR="00A2212A" w:rsidRPr="009A4CF6" w:rsidRDefault="00A2212A" w:rsidP="00A2212A">
      <w:pPr>
        <w:tabs>
          <w:tab w:val="left" w:pos="720"/>
        </w:tabs>
        <w:spacing w:line="360" w:lineRule="auto"/>
        <w:rPr>
          <w:sz w:val="26"/>
          <w:szCs w:val="26"/>
        </w:rPr>
      </w:pPr>
    </w:p>
    <w:p w:rsidR="00A2212A" w:rsidRPr="009A4CF6" w:rsidRDefault="006D4DE1" w:rsidP="00A2212A">
      <w:pPr>
        <w:tabs>
          <w:tab w:val="left" w:pos="720"/>
        </w:tabs>
        <w:spacing w:line="360" w:lineRule="auto"/>
        <w:rPr>
          <w:b/>
          <w:sz w:val="26"/>
          <w:szCs w:val="26"/>
        </w:rPr>
      </w:pPr>
      <w:r w:rsidRPr="009A4CF6">
        <w:rPr>
          <w:sz w:val="26"/>
          <w:szCs w:val="26"/>
        </w:rPr>
        <w:tab/>
      </w:r>
      <w:r w:rsidRPr="009A4CF6">
        <w:rPr>
          <w:b/>
          <w:sz w:val="26"/>
          <w:szCs w:val="26"/>
        </w:rPr>
        <w:t>1.</w:t>
      </w:r>
      <w:r w:rsidRPr="009A4CF6">
        <w:rPr>
          <w:b/>
          <w:sz w:val="26"/>
          <w:szCs w:val="26"/>
        </w:rPr>
        <w:tab/>
      </w:r>
      <w:r w:rsidR="00A2212A" w:rsidRPr="009A4CF6">
        <w:rPr>
          <w:b/>
          <w:sz w:val="26"/>
          <w:szCs w:val="26"/>
        </w:rPr>
        <w:t>Comments</w:t>
      </w:r>
    </w:p>
    <w:p w:rsidR="006D4DE1" w:rsidRPr="009A4CF6" w:rsidRDefault="006D4DE1" w:rsidP="00A2212A">
      <w:pPr>
        <w:tabs>
          <w:tab w:val="left" w:pos="720"/>
        </w:tabs>
        <w:spacing w:line="360" w:lineRule="auto"/>
        <w:rPr>
          <w:sz w:val="26"/>
          <w:szCs w:val="26"/>
        </w:rPr>
      </w:pPr>
    </w:p>
    <w:p w:rsidR="00A2212A" w:rsidRPr="009A4CF6" w:rsidRDefault="00A2212A" w:rsidP="00A2212A">
      <w:pPr>
        <w:tabs>
          <w:tab w:val="left" w:pos="720"/>
        </w:tabs>
        <w:spacing w:line="360" w:lineRule="auto"/>
        <w:rPr>
          <w:sz w:val="26"/>
          <w:szCs w:val="26"/>
        </w:rPr>
      </w:pPr>
      <w:r w:rsidRPr="009A4CF6">
        <w:rPr>
          <w:sz w:val="26"/>
          <w:szCs w:val="26"/>
        </w:rPr>
        <w:tab/>
        <w:t xml:space="preserve">PECO asserts that any revisions to migration riders, which are critical for the proper recovery and allocation of Purchased Gas Costs (PGC) attributable to SOLR customers, must comply with the Public Utility Code, 66 Pa. C.S. § 1307(f)(ii), the Commission’s regulations, and any legislation that is enacted.  </w:t>
      </w:r>
      <w:r w:rsidR="00C51AE3" w:rsidRPr="009A4CF6">
        <w:rPr>
          <w:sz w:val="26"/>
          <w:szCs w:val="26"/>
        </w:rPr>
        <w:t xml:space="preserve">PECO </w:t>
      </w:r>
      <w:r w:rsidRPr="009A4CF6">
        <w:rPr>
          <w:sz w:val="26"/>
          <w:szCs w:val="26"/>
        </w:rPr>
        <w:t>Comments at 10.</w:t>
      </w:r>
    </w:p>
    <w:p w:rsidR="00A2212A" w:rsidRPr="009A4CF6" w:rsidRDefault="00A2212A" w:rsidP="00A2212A">
      <w:pPr>
        <w:tabs>
          <w:tab w:val="left" w:pos="720"/>
        </w:tabs>
        <w:spacing w:line="360" w:lineRule="auto"/>
        <w:rPr>
          <w:sz w:val="26"/>
          <w:szCs w:val="26"/>
        </w:rPr>
      </w:pPr>
    </w:p>
    <w:p w:rsidR="00A2212A" w:rsidRPr="009A4CF6" w:rsidRDefault="006D4DE1" w:rsidP="00A2212A">
      <w:pPr>
        <w:tabs>
          <w:tab w:val="left" w:pos="720"/>
        </w:tabs>
        <w:spacing w:line="360" w:lineRule="auto"/>
        <w:rPr>
          <w:sz w:val="26"/>
          <w:szCs w:val="26"/>
        </w:rPr>
      </w:pPr>
      <w:r w:rsidRPr="009A4CF6">
        <w:rPr>
          <w:sz w:val="26"/>
          <w:szCs w:val="26"/>
        </w:rPr>
        <w:tab/>
      </w:r>
      <w:r w:rsidR="00A2212A" w:rsidRPr="009A4CF6">
        <w:rPr>
          <w:sz w:val="26"/>
          <w:szCs w:val="26"/>
        </w:rPr>
        <w:t xml:space="preserve">In contrast, RESA believes migration riders are anti-competitive and confusing for </w:t>
      </w:r>
      <w:r w:rsidR="00A2212A" w:rsidRPr="009A4CF6">
        <w:rPr>
          <w:sz w:val="26"/>
          <w:szCs w:val="26"/>
        </w:rPr>
        <w:lastRenderedPageBreak/>
        <w:t xml:space="preserve">customers.  Therefore, RESA recommends the Commission examine this issue </w:t>
      </w:r>
      <w:r w:rsidR="00486160">
        <w:rPr>
          <w:sz w:val="26"/>
          <w:szCs w:val="26"/>
        </w:rPr>
        <w:t>unless</w:t>
      </w:r>
      <w:r w:rsidR="00A2212A" w:rsidRPr="009A4CF6">
        <w:rPr>
          <w:sz w:val="26"/>
          <w:szCs w:val="26"/>
        </w:rPr>
        <w:t xml:space="preserve"> the matter is resolved legislatively.  </w:t>
      </w:r>
      <w:r w:rsidR="00C51AE3" w:rsidRPr="009A4CF6">
        <w:rPr>
          <w:sz w:val="26"/>
          <w:szCs w:val="26"/>
        </w:rPr>
        <w:t xml:space="preserve">RESA Comments at 26.  </w:t>
      </w:r>
      <w:r w:rsidR="00A2212A" w:rsidRPr="009A4CF6">
        <w:rPr>
          <w:sz w:val="26"/>
          <w:szCs w:val="26"/>
        </w:rPr>
        <w:t>The PSU Engineers also believe the migration rider is anti-competitive and confusing for customers.  The PSU Engineers observe that a migration fee is sometimes high enough to dissuade an informed customer from purchasing gas supply from a competitive supplier.  Therefore, the PSU Engineers suggest that NGDCs provide current natural gas cost adjustments to their monthly utility bills instead of a historical purcha</w:t>
      </w:r>
      <w:r w:rsidR="00C51AE3" w:rsidRPr="009A4CF6">
        <w:rPr>
          <w:sz w:val="26"/>
          <w:szCs w:val="26"/>
        </w:rPr>
        <w:t xml:space="preserve">sed gas cost reconciliation.  PSU Engineers Comments at 2.  </w:t>
      </w:r>
    </w:p>
    <w:p w:rsidR="00A2212A" w:rsidRPr="009A4CF6" w:rsidRDefault="00A2212A" w:rsidP="00A2212A">
      <w:pPr>
        <w:tabs>
          <w:tab w:val="left" w:pos="720"/>
        </w:tabs>
        <w:spacing w:line="360" w:lineRule="auto"/>
        <w:rPr>
          <w:sz w:val="26"/>
          <w:szCs w:val="26"/>
        </w:rPr>
      </w:pPr>
    </w:p>
    <w:p w:rsidR="00A2212A" w:rsidRPr="009A4CF6" w:rsidRDefault="006D4DE1" w:rsidP="00A2212A">
      <w:pPr>
        <w:tabs>
          <w:tab w:val="left" w:pos="720"/>
        </w:tabs>
        <w:spacing w:line="360" w:lineRule="auto"/>
        <w:rPr>
          <w:sz w:val="26"/>
          <w:szCs w:val="26"/>
        </w:rPr>
      </w:pPr>
      <w:r w:rsidRPr="009A4CF6">
        <w:rPr>
          <w:sz w:val="26"/>
          <w:szCs w:val="26"/>
        </w:rPr>
        <w:tab/>
      </w:r>
      <w:r w:rsidRPr="009A4CF6">
        <w:rPr>
          <w:b/>
          <w:sz w:val="26"/>
          <w:szCs w:val="26"/>
        </w:rPr>
        <w:t>2.</w:t>
      </w:r>
      <w:r w:rsidRPr="009A4CF6">
        <w:rPr>
          <w:b/>
          <w:sz w:val="26"/>
          <w:szCs w:val="26"/>
        </w:rPr>
        <w:tab/>
      </w:r>
      <w:r w:rsidR="00A2212A" w:rsidRPr="009A4CF6">
        <w:rPr>
          <w:b/>
          <w:sz w:val="26"/>
          <w:szCs w:val="26"/>
        </w:rPr>
        <w:t>Disposition</w:t>
      </w:r>
    </w:p>
    <w:p w:rsidR="006D4DE1" w:rsidRPr="009A4CF6" w:rsidRDefault="006D4DE1" w:rsidP="00A2212A">
      <w:pPr>
        <w:tabs>
          <w:tab w:val="left" w:pos="720"/>
        </w:tabs>
        <w:spacing w:line="360" w:lineRule="auto"/>
        <w:rPr>
          <w:sz w:val="26"/>
          <w:szCs w:val="26"/>
        </w:rPr>
      </w:pPr>
    </w:p>
    <w:p w:rsidR="006132FA" w:rsidRPr="009A4CF6" w:rsidRDefault="00A2212A" w:rsidP="00A2212A">
      <w:pPr>
        <w:tabs>
          <w:tab w:val="left" w:pos="720"/>
        </w:tabs>
        <w:spacing w:line="360" w:lineRule="auto"/>
        <w:rPr>
          <w:sz w:val="26"/>
          <w:szCs w:val="26"/>
        </w:rPr>
      </w:pPr>
      <w:r w:rsidRPr="009A4CF6">
        <w:rPr>
          <w:sz w:val="26"/>
          <w:szCs w:val="26"/>
        </w:rPr>
        <w:tab/>
        <w:t xml:space="preserve">Moving forward, the Commission will continue to monitor the legislative activity on migration riders and act in accordance with any enactment of such legislation. </w:t>
      </w:r>
      <w:r w:rsidR="006D4DE1" w:rsidRPr="009A4CF6">
        <w:rPr>
          <w:sz w:val="26"/>
          <w:szCs w:val="26"/>
        </w:rPr>
        <w:t xml:space="preserve"> </w:t>
      </w:r>
      <w:r w:rsidRPr="009A4CF6">
        <w:rPr>
          <w:sz w:val="26"/>
          <w:szCs w:val="26"/>
        </w:rPr>
        <w:t>We also recognize the requirements of Sections 1307(f)(1)(ii) and 1307(f)(6) of the Public Utility Code, 66 Pa. C.S. §§ 1307(f)(1)(ii) and (6), as well as our regulations at 52 Pa Code §§ 53.61 – 53.69 (relating to recovery of f</w:t>
      </w:r>
      <w:r w:rsidR="006D4DE1" w:rsidRPr="009A4CF6">
        <w:rPr>
          <w:sz w:val="26"/>
          <w:szCs w:val="26"/>
        </w:rPr>
        <w:t>uel costs by gas utilities).  H</w:t>
      </w:r>
      <w:r w:rsidRPr="009A4CF6">
        <w:rPr>
          <w:sz w:val="26"/>
          <w:szCs w:val="26"/>
        </w:rPr>
        <w:t xml:space="preserve">owever, </w:t>
      </w:r>
      <w:r w:rsidR="006D4DE1" w:rsidRPr="009A4CF6">
        <w:rPr>
          <w:sz w:val="26"/>
          <w:szCs w:val="26"/>
        </w:rPr>
        <w:t xml:space="preserve">we </w:t>
      </w:r>
      <w:r w:rsidRPr="009A4CF6">
        <w:rPr>
          <w:sz w:val="26"/>
          <w:szCs w:val="26"/>
        </w:rPr>
        <w:t xml:space="preserve">believe there may be issues relating to the calculation, timing and imposition of migration riders within the current statutory requirement that may reduce the impact of migration riders on the retail market.  For example, in our </w:t>
      </w:r>
      <w:r w:rsidRPr="009A4CF6">
        <w:rPr>
          <w:i/>
          <w:sz w:val="26"/>
          <w:szCs w:val="26"/>
        </w:rPr>
        <w:t>Tentative Order</w:t>
      </w:r>
      <w:r w:rsidRPr="009A4CF6">
        <w:rPr>
          <w:sz w:val="26"/>
          <w:szCs w:val="26"/>
        </w:rPr>
        <w:t xml:space="preserve">, we </w:t>
      </w:r>
      <w:r w:rsidR="006D4DE1" w:rsidRPr="009A4CF6">
        <w:rPr>
          <w:sz w:val="26"/>
          <w:szCs w:val="26"/>
        </w:rPr>
        <w:t>proposed that</w:t>
      </w:r>
      <w:r w:rsidRPr="009A4CF6">
        <w:rPr>
          <w:sz w:val="26"/>
          <w:szCs w:val="26"/>
        </w:rPr>
        <w:t xml:space="preserve"> OCMO examine the current reconciliation process for SOLR service to determine whether improvements in the timing of the reconciliation process would improve the retail market.  Accordingly, we direct OCMO to review current practices for determining migration rider amounts, the timing of adjustments to the riders and the application of the riders by the NGD</w:t>
      </w:r>
      <w:r w:rsidR="009D1E1F" w:rsidRPr="009A4CF6">
        <w:rPr>
          <w:sz w:val="26"/>
          <w:szCs w:val="26"/>
        </w:rPr>
        <w:t>Cs</w:t>
      </w:r>
      <w:r w:rsidRPr="009A4CF6">
        <w:rPr>
          <w:sz w:val="26"/>
          <w:szCs w:val="26"/>
        </w:rPr>
        <w:t xml:space="preserve"> to determine if there are potential changes that may reduce the impacts of the riders on</w:t>
      </w:r>
      <w:r w:rsidR="00101076">
        <w:rPr>
          <w:sz w:val="26"/>
          <w:szCs w:val="26"/>
        </w:rPr>
        <w:t xml:space="preserve"> all customers</w:t>
      </w:r>
      <w:r w:rsidRPr="009A4CF6">
        <w:rPr>
          <w:sz w:val="26"/>
          <w:szCs w:val="26"/>
        </w:rPr>
        <w:t xml:space="preserve"> and identify avenues to accomplish such changes.</w:t>
      </w:r>
      <w:r w:rsidR="009D1E1F" w:rsidRPr="009A4CF6">
        <w:rPr>
          <w:sz w:val="26"/>
          <w:szCs w:val="26"/>
        </w:rPr>
        <w:t xml:space="preserve">  OCMO should submit, </w:t>
      </w:r>
      <w:r w:rsidR="00653C9E">
        <w:rPr>
          <w:sz w:val="26"/>
          <w:szCs w:val="26"/>
        </w:rPr>
        <w:t>no later than</w:t>
      </w:r>
      <w:r w:rsidR="009D1E1F" w:rsidRPr="009A4CF6">
        <w:rPr>
          <w:sz w:val="26"/>
          <w:szCs w:val="26"/>
        </w:rPr>
        <w:t xml:space="preserve"> the third quarter of 2015, recommendations for the Commission’s consideration.</w:t>
      </w:r>
    </w:p>
    <w:p w:rsidR="007C6073" w:rsidRPr="009A4CF6" w:rsidRDefault="007C6073" w:rsidP="00CB1FC9">
      <w:pPr>
        <w:tabs>
          <w:tab w:val="left" w:pos="720"/>
        </w:tabs>
        <w:spacing w:line="360" w:lineRule="auto"/>
        <w:rPr>
          <w:sz w:val="26"/>
          <w:szCs w:val="26"/>
        </w:rPr>
      </w:pPr>
    </w:p>
    <w:p w:rsidR="006132FA" w:rsidRPr="009A4CF6" w:rsidRDefault="006D4DE1" w:rsidP="00CB1FC9">
      <w:pPr>
        <w:pStyle w:val="Heading2"/>
        <w:spacing w:before="0" w:line="360" w:lineRule="auto"/>
        <w:rPr>
          <w:rFonts w:ascii="Times New Roman" w:hAnsi="Times New Roman" w:cs="Times New Roman"/>
          <w:b w:val="0"/>
          <w:color w:val="auto"/>
        </w:rPr>
      </w:pPr>
      <w:bookmarkStart w:id="19" w:name="_Toc405359510"/>
      <w:r w:rsidRPr="009A4CF6">
        <w:rPr>
          <w:rFonts w:ascii="Times New Roman" w:hAnsi="Times New Roman" w:cs="Times New Roman"/>
          <w:color w:val="auto"/>
        </w:rPr>
        <w:lastRenderedPageBreak/>
        <w:t>R.</w:t>
      </w:r>
      <w:r w:rsidRPr="009A4CF6">
        <w:rPr>
          <w:rFonts w:ascii="Times New Roman" w:hAnsi="Times New Roman" w:cs="Times New Roman"/>
          <w:color w:val="auto"/>
        </w:rPr>
        <w:tab/>
      </w:r>
      <w:r w:rsidR="006132FA" w:rsidRPr="009A4CF6">
        <w:rPr>
          <w:rFonts w:ascii="Times New Roman" w:hAnsi="Times New Roman" w:cs="Times New Roman"/>
          <w:color w:val="auto"/>
        </w:rPr>
        <w:t>Electronic Data Protocols</w:t>
      </w:r>
      <w:bookmarkEnd w:id="19"/>
    </w:p>
    <w:p w:rsidR="006D4DE1" w:rsidRPr="009A4CF6" w:rsidRDefault="006D4DE1" w:rsidP="00CB1FC9">
      <w:pPr>
        <w:tabs>
          <w:tab w:val="left" w:pos="720"/>
        </w:tabs>
        <w:spacing w:line="360" w:lineRule="auto"/>
        <w:rPr>
          <w:sz w:val="26"/>
          <w:szCs w:val="26"/>
        </w:rPr>
      </w:pPr>
    </w:p>
    <w:p w:rsidR="00137688" w:rsidRPr="009A4CF6" w:rsidRDefault="00137688" w:rsidP="00CB1FC9">
      <w:pPr>
        <w:spacing w:line="360" w:lineRule="auto"/>
        <w:ind w:firstLine="720"/>
        <w:rPr>
          <w:sz w:val="26"/>
          <w:szCs w:val="26"/>
        </w:rPr>
      </w:pPr>
      <w:r w:rsidRPr="009A4CF6">
        <w:rPr>
          <w:sz w:val="26"/>
          <w:szCs w:val="26"/>
        </w:rPr>
        <w:t xml:space="preserve">Currently, NGDCs use a variety of different communication protocols to transmit customer billing and enrollment data back and forth with the NGSs.  This is in contrast with the electric industry, where this data is transmitted via an electronic data interchange (EDI) system that is uniform across all EDCs.  The Commission believes that these uniform data transaction protocols have helped facilitate success in the retail electric market.  In our </w:t>
      </w:r>
      <w:r w:rsidRPr="009A4CF6">
        <w:rPr>
          <w:i/>
          <w:sz w:val="26"/>
          <w:szCs w:val="26"/>
        </w:rPr>
        <w:t xml:space="preserve">Tentative Order, </w:t>
      </w:r>
      <w:r w:rsidRPr="009A4CF6">
        <w:rPr>
          <w:sz w:val="26"/>
          <w:szCs w:val="26"/>
        </w:rPr>
        <w:t>we asked if this issue should be examined to determine if changes toward more uniformity in the natural gas industry are needed.</w:t>
      </w:r>
      <w:r w:rsidRPr="009A4CF6">
        <w:rPr>
          <w:rStyle w:val="FootnoteReference"/>
          <w:sz w:val="26"/>
          <w:szCs w:val="26"/>
        </w:rPr>
        <w:footnoteReference w:id="28"/>
      </w:r>
      <w:r w:rsidRPr="009A4CF6">
        <w:rPr>
          <w:sz w:val="26"/>
          <w:szCs w:val="26"/>
        </w:rPr>
        <w:t xml:space="preserve">  </w:t>
      </w:r>
    </w:p>
    <w:p w:rsidR="00137688" w:rsidRPr="009A4CF6" w:rsidRDefault="00137688" w:rsidP="006132FA">
      <w:pPr>
        <w:tabs>
          <w:tab w:val="left" w:pos="720"/>
        </w:tabs>
        <w:spacing w:line="360" w:lineRule="auto"/>
        <w:rPr>
          <w:sz w:val="26"/>
          <w:szCs w:val="26"/>
        </w:rPr>
      </w:pPr>
    </w:p>
    <w:p w:rsidR="006132FA" w:rsidRPr="009A4CF6" w:rsidRDefault="006D4DE1" w:rsidP="006132FA">
      <w:pPr>
        <w:tabs>
          <w:tab w:val="left" w:pos="720"/>
        </w:tabs>
        <w:spacing w:line="360" w:lineRule="auto"/>
        <w:rPr>
          <w:b/>
          <w:sz w:val="26"/>
          <w:szCs w:val="26"/>
        </w:rPr>
      </w:pPr>
      <w:r w:rsidRPr="009A4CF6">
        <w:rPr>
          <w:sz w:val="26"/>
          <w:szCs w:val="26"/>
        </w:rPr>
        <w:tab/>
      </w:r>
      <w:r w:rsidRPr="009A4CF6">
        <w:rPr>
          <w:b/>
          <w:sz w:val="26"/>
          <w:szCs w:val="26"/>
        </w:rPr>
        <w:t>1.</w:t>
      </w:r>
      <w:r w:rsidRPr="009A4CF6">
        <w:rPr>
          <w:b/>
          <w:sz w:val="26"/>
          <w:szCs w:val="26"/>
        </w:rPr>
        <w:tab/>
      </w:r>
      <w:r w:rsidR="006132FA" w:rsidRPr="009A4CF6">
        <w:rPr>
          <w:b/>
          <w:sz w:val="26"/>
          <w:szCs w:val="26"/>
        </w:rPr>
        <w:t>Comments</w:t>
      </w:r>
    </w:p>
    <w:p w:rsidR="006D4DE1" w:rsidRPr="009A4CF6" w:rsidRDefault="006D4DE1" w:rsidP="006132FA">
      <w:pPr>
        <w:tabs>
          <w:tab w:val="left" w:pos="720"/>
        </w:tabs>
        <w:spacing w:line="360" w:lineRule="auto"/>
        <w:rPr>
          <w:sz w:val="26"/>
          <w:szCs w:val="26"/>
        </w:rPr>
      </w:pPr>
    </w:p>
    <w:p w:rsidR="006132FA" w:rsidRPr="009A4CF6" w:rsidRDefault="00D35D23" w:rsidP="006132FA">
      <w:pPr>
        <w:tabs>
          <w:tab w:val="left" w:pos="720"/>
        </w:tabs>
        <w:spacing w:line="360" w:lineRule="auto"/>
        <w:rPr>
          <w:sz w:val="26"/>
          <w:szCs w:val="26"/>
        </w:rPr>
      </w:pPr>
      <w:r w:rsidRPr="009A4CF6">
        <w:rPr>
          <w:sz w:val="26"/>
          <w:szCs w:val="26"/>
        </w:rPr>
        <w:tab/>
        <w:t xml:space="preserve">PECO requests approval of its </w:t>
      </w:r>
      <w:r w:rsidR="00CB7BD6" w:rsidRPr="009A4CF6">
        <w:rPr>
          <w:sz w:val="26"/>
          <w:szCs w:val="26"/>
        </w:rPr>
        <w:t>EDI</w:t>
      </w:r>
      <w:r w:rsidRPr="009A4CF6">
        <w:rPr>
          <w:sz w:val="26"/>
          <w:szCs w:val="26"/>
        </w:rPr>
        <w:t xml:space="preserve"> system as an allowable standard in Pennsylvania, as PECO has successfully used its EDI system to exchange data with both </w:t>
      </w:r>
      <w:r w:rsidR="006D4DE1" w:rsidRPr="009A4CF6">
        <w:rPr>
          <w:sz w:val="26"/>
          <w:szCs w:val="26"/>
        </w:rPr>
        <w:t xml:space="preserve">natural </w:t>
      </w:r>
      <w:r w:rsidRPr="009A4CF6">
        <w:rPr>
          <w:sz w:val="26"/>
          <w:szCs w:val="26"/>
        </w:rPr>
        <w:t xml:space="preserve">gas and electric suppliers.  </w:t>
      </w:r>
      <w:r w:rsidR="00C51AE3" w:rsidRPr="009A4CF6">
        <w:rPr>
          <w:sz w:val="26"/>
          <w:szCs w:val="26"/>
        </w:rPr>
        <w:t xml:space="preserve">PECO </w:t>
      </w:r>
      <w:r w:rsidRPr="009A4CF6">
        <w:rPr>
          <w:sz w:val="26"/>
          <w:szCs w:val="26"/>
        </w:rPr>
        <w:t xml:space="preserve">Comments at 10.  </w:t>
      </w:r>
    </w:p>
    <w:p w:rsidR="006132FA" w:rsidRPr="009A4CF6" w:rsidRDefault="006132FA" w:rsidP="006132FA">
      <w:pPr>
        <w:tabs>
          <w:tab w:val="left" w:pos="720"/>
        </w:tabs>
        <w:spacing w:line="360" w:lineRule="auto"/>
        <w:rPr>
          <w:sz w:val="26"/>
          <w:szCs w:val="26"/>
        </w:rPr>
      </w:pPr>
    </w:p>
    <w:p w:rsidR="00D35D23" w:rsidRPr="009A4CF6" w:rsidRDefault="00D35D23" w:rsidP="006132FA">
      <w:pPr>
        <w:tabs>
          <w:tab w:val="left" w:pos="720"/>
        </w:tabs>
        <w:spacing w:line="360" w:lineRule="auto"/>
        <w:rPr>
          <w:sz w:val="26"/>
          <w:szCs w:val="26"/>
        </w:rPr>
      </w:pPr>
      <w:r w:rsidRPr="009A4CF6">
        <w:rPr>
          <w:sz w:val="26"/>
          <w:szCs w:val="26"/>
        </w:rPr>
        <w:tab/>
        <w:t xml:space="preserve">RESA recommends examining this issue, but believes the current system of customer data exchange between the NGDCs and NGSs is working effectively.  </w:t>
      </w:r>
      <w:r w:rsidR="00C51AE3" w:rsidRPr="009A4CF6">
        <w:rPr>
          <w:sz w:val="26"/>
          <w:szCs w:val="26"/>
        </w:rPr>
        <w:t xml:space="preserve">RESA </w:t>
      </w:r>
      <w:r w:rsidRPr="009A4CF6">
        <w:rPr>
          <w:sz w:val="26"/>
          <w:szCs w:val="26"/>
        </w:rPr>
        <w:t>Comments at 26.</w:t>
      </w:r>
    </w:p>
    <w:p w:rsidR="00D35D23" w:rsidRPr="009A4CF6" w:rsidRDefault="00D35D23" w:rsidP="006132FA">
      <w:pPr>
        <w:tabs>
          <w:tab w:val="left" w:pos="720"/>
        </w:tabs>
        <w:spacing w:line="360" w:lineRule="auto"/>
        <w:rPr>
          <w:sz w:val="26"/>
          <w:szCs w:val="26"/>
        </w:rPr>
      </w:pPr>
    </w:p>
    <w:p w:rsidR="006132FA" w:rsidRPr="009A4CF6" w:rsidRDefault="006D4DE1" w:rsidP="006132FA">
      <w:pPr>
        <w:tabs>
          <w:tab w:val="left" w:pos="720"/>
        </w:tabs>
        <w:spacing w:line="360" w:lineRule="auto"/>
        <w:rPr>
          <w:b/>
          <w:sz w:val="26"/>
          <w:szCs w:val="26"/>
        </w:rPr>
      </w:pPr>
      <w:r w:rsidRPr="009A4CF6">
        <w:rPr>
          <w:sz w:val="26"/>
          <w:szCs w:val="26"/>
        </w:rPr>
        <w:tab/>
      </w:r>
      <w:r w:rsidRPr="009A4CF6">
        <w:rPr>
          <w:b/>
          <w:sz w:val="26"/>
          <w:szCs w:val="26"/>
        </w:rPr>
        <w:t>2.</w:t>
      </w:r>
      <w:r w:rsidRPr="009A4CF6">
        <w:rPr>
          <w:b/>
          <w:sz w:val="26"/>
          <w:szCs w:val="26"/>
        </w:rPr>
        <w:tab/>
      </w:r>
      <w:r w:rsidR="006132FA" w:rsidRPr="009A4CF6">
        <w:rPr>
          <w:b/>
          <w:sz w:val="26"/>
          <w:szCs w:val="26"/>
        </w:rPr>
        <w:t>Disposition</w:t>
      </w:r>
    </w:p>
    <w:p w:rsidR="00137688" w:rsidRPr="009A4CF6" w:rsidRDefault="00137688" w:rsidP="006132FA">
      <w:pPr>
        <w:tabs>
          <w:tab w:val="left" w:pos="720"/>
        </w:tabs>
        <w:spacing w:line="360" w:lineRule="auto"/>
        <w:rPr>
          <w:sz w:val="26"/>
          <w:szCs w:val="26"/>
        </w:rPr>
      </w:pPr>
    </w:p>
    <w:p w:rsidR="006132FA" w:rsidRPr="009A4CF6" w:rsidRDefault="00137688" w:rsidP="006132FA">
      <w:pPr>
        <w:tabs>
          <w:tab w:val="left" w:pos="720"/>
        </w:tabs>
        <w:spacing w:line="360" w:lineRule="auto"/>
        <w:rPr>
          <w:sz w:val="26"/>
          <w:szCs w:val="26"/>
        </w:rPr>
      </w:pPr>
      <w:r w:rsidRPr="009A4CF6">
        <w:rPr>
          <w:sz w:val="26"/>
          <w:szCs w:val="26"/>
        </w:rPr>
        <w:tab/>
        <w:t>The lack of uniformity in data transmission mechanisms across the state may impose costs upon NGSs.  Current market participants have engineered their systems to accommodate the variety of data exchange mechanisms and have already paid the costs in so doing.  Based on the minimal comments received from the NGS community regarding uniformity in data exchange mechanisms, it appears that this may not, at this time, be negatively impacting the current participants in Pennsylvania</w:t>
      </w:r>
      <w:r w:rsidR="00653C9E">
        <w:rPr>
          <w:sz w:val="26"/>
          <w:szCs w:val="26"/>
        </w:rPr>
        <w:t>’s</w:t>
      </w:r>
      <w:r w:rsidRPr="009A4CF6">
        <w:rPr>
          <w:sz w:val="26"/>
          <w:szCs w:val="26"/>
        </w:rPr>
        <w:t xml:space="preserve"> retail natural gas </w:t>
      </w:r>
      <w:r w:rsidRPr="009A4CF6">
        <w:rPr>
          <w:sz w:val="26"/>
          <w:szCs w:val="26"/>
        </w:rPr>
        <w:lastRenderedPageBreak/>
        <w:t>market.  However, we recognize that this is an issue that may impact entities that have yet to enter the market and that are not represented by any of the current parties in this proceeding.  The costs of accommodating the variety of different data exchange mechanisms may be a barrier to entry for these entities.  So</w:t>
      </w:r>
      <w:r w:rsidR="009A52EF" w:rsidRPr="009A4CF6">
        <w:rPr>
          <w:sz w:val="26"/>
          <w:szCs w:val="26"/>
        </w:rPr>
        <w:t>,</w:t>
      </w:r>
      <w:r w:rsidRPr="009A4CF6">
        <w:rPr>
          <w:sz w:val="26"/>
          <w:szCs w:val="26"/>
        </w:rPr>
        <w:t xml:space="preserve"> while we do not think thi</w:t>
      </w:r>
      <w:r w:rsidR="009A52EF" w:rsidRPr="009A4CF6">
        <w:rPr>
          <w:sz w:val="26"/>
          <w:szCs w:val="26"/>
        </w:rPr>
        <w:t>s is a priority issue for this I</w:t>
      </w:r>
      <w:r w:rsidRPr="009A4CF6">
        <w:rPr>
          <w:sz w:val="26"/>
          <w:szCs w:val="26"/>
        </w:rPr>
        <w:t xml:space="preserve">nvestigation, we </w:t>
      </w:r>
      <w:r w:rsidR="009A52EF" w:rsidRPr="009A4CF6">
        <w:rPr>
          <w:sz w:val="26"/>
          <w:szCs w:val="26"/>
        </w:rPr>
        <w:t xml:space="preserve">still believe it may warrant </w:t>
      </w:r>
      <w:r w:rsidR="00653C9E">
        <w:rPr>
          <w:sz w:val="26"/>
          <w:szCs w:val="26"/>
        </w:rPr>
        <w:t xml:space="preserve">further </w:t>
      </w:r>
      <w:r w:rsidR="00302BA0" w:rsidRPr="009A4CF6">
        <w:rPr>
          <w:sz w:val="26"/>
          <w:szCs w:val="26"/>
        </w:rPr>
        <w:t>examination</w:t>
      </w:r>
      <w:r w:rsidRPr="009A4CF6">
        <w:rPr>
          <w:sz w:val="26"/>
          <w:szCs w:val="26"/>
        </w:rPr>
        <w:t xml:space="preserve">.  </w:t>
      </w:r>
      <w:r w:rsidR="009A52EF" w:rsidRPr="009A4CF6">
        <w:rPr>
          <w:sz w:val="26"/>
          <w:szCs w:val="26"/>
        </w:rPr>
        <w:t>Therefore, we direct OCMO to investigate this issue</w:t>
      </w:r>
      <w:r w:rsidRPr="009A4CF6">
        <w:rPr>
          <w:sz w:val="26"/>
          <w:szCs w:val="26"/>
        </w:rPr>
        <w:t xml:space="preserve"> </w:t>
      </w:r>
      <w:r w:rsidR="009A52EF" w:rsidRPr="009A4CF6">
        <w:rPr>
          <w:sz w:val="26"/>
          <w:szCs w:val="26"/>
        </w:rPr>
        <w:t>later in this I</w:t>
      </w:r>
      <w:r w:rsidRPr="009A4CF6">
        <w:rPr>
          <w:sz w:val="26"/>
          <w:szCs w:val="26"/>
        </w:rPr>
        <w:t>nvestigation - toward the end of 2015.</w:t>
      </w:r>
    </w:p>
    <w:p w:rsidR="007B1993" w:rsidRPr="009A4CF6" w:rsidRDefault="007B1993" w:rsidP="00CB1FC9">
      <w:pPr>
        <w:tabs>
          <w:tab w:val="left" w:pos="720"/>
        </w:tabs>
        <w:spacing w:line="360" w:lineRule="auto"/>
        <w:rPr>
          <w:b/>
          <w:sz w:val="26"/>
          <w:szCs w:val="26"/>
        </w:rPr>
      </w:pPr>
    </w:p>
    <w:p w:rsidR="00350BFA" w:rsidRPr="009A4CF6" w:rsidRDefault="001B7B87" w:rsidP="00CB1FC9">
      <w:pPr>
        <w:pStyle w:val="Heading2"/>
        <w:spacing w:before="0" w:line="360" w:lineRule="auto"/>
        <w:rPr>
          <w:rFonts w:ascii="Times New Roman" w:hAnsi="Times New Roman" w:cs="Times New Roman"/>
          <w:color w:val="auto"/>
        </w:rPr>
      </w:pPr>
      <w:bookmarkStart w:id="20" w:name="_Toc405359511"/>
      <w:r w:rsidRPr="009A4CF6">
        <w:rPr>
          <w:rFonts w:ascii="Times New Roman" w:hAnsi="Times New Roman" w:cs="Times New Roman"/>
          <w:color w:val="auto"/>
        </w:rPr>
        <w:t>S.</w:t>
      </w:r>
      <w:r w:rsidRPr="009A4CF6">
        <w:rPr>
          <w:rFonts w:ascii="Times New Roman" w:hAnsi="Times New Roman" w:cs="Times New Roman"/>
          <w:color w:val="auto"/>
        </w:rPr>
        <w:tab/>
      </w:r>
      <w:r w:rsidR="000B5489" w:rsidRPr="009A4CF6">
        <w:rPr>
          <w:rFonts w:ascii="Times New Roman" w:hAnsi="Times New Roman" w:cs="Times New Roman"/>
          <w:color w:val="auto"/>
        </w:rPr>
        <w:t>Standardization of Supplier Tariffs among NGDCs</w:t>
      </w:r>
      <w:bookmarkEnd w:id="20"/>
      <w:r w:rsidR="000B5489" w:rsidRPr="009A4CF6">
        <w:rPr>
          <w:rFonts w:ascii="Times New Roman" w:hAnsi="Times New Roman" w:cs="Times New Roman"/>
          <w:color w:val="auto"/>
        </w:rPr>
        <w:t xml:space="preserve">  </w:t>
      </w:r>
    </w:p>
    <w:p w:rsidR="001B7B87" w:rsidRPr="009A4CF6" w:rsidRDefault="001B7B87" w:rsidP="00CB1FC9">
      <w:pPr>
        <w:spacing w:line="360" w:lineRule="auto"/>
        <w:rPr>
          <w:sz w:val="26"/>
          <w:szCs w:val="26"/>
        </w:rPr>
      </w:pPr>
    </w:p>
    <w:p w:rsidR="001B7B87" w:rsidRPr="009A4CF6" w:rsidRDefault="001B7B87" w:rsidP="00CB1FC9">
      <w:pPr>
        <w:spacing w:line="360" w:lineRule="auto"/>
        <w:rPr>
          <w:sz w:val="26"/>
          <w:szCs w:val="26"/>
        </w:rPr>
      </w:pPr>
      <w:r w:rsidRPr="009A4CF6">
        <w:rPr>
          <w:sz w:val="26"/>
          <w:szCs w:val="26"/>
        </w:rPr>
        <w:tab/>
        <w:t>While the Commission did not address</w:t>
      </w:r>
      <w:r w:rsidR="005F110E" w:rsidRPr="009A4CF6">
        <w:rPr>
          <w:sz w:val="26"/>
          <w:szCs w:val="26"/>
        </w:rPr>
        <w:t xml:space="preserve">, within its </w:t>
      </w:r>
      <w:r w:rsidR="005F110E" w:rsidRPr="009A4CF6">
        <w:rPr>
          <w:i/>
          <w:sz w:val="26"/>
          <w:szCs w:val="26"/>
        </w:rPr>
        <w:t>Tentative Order</w:t>
      </w:r>
      <w:r w:rsidR="005F110E" w:rsidRPr="009A4CF6">
        <w:rPr>
          <w:sz w:val="26"/>
          <w:szCs w:val="26"/>
        </w:rPr>
        <w:t xml:space="preserve">, </w:t>
      </w:r>
      <w:r w:rsidRPr="009A4CF6">
        <w:rPr>
          <w:sz w:val="26"/>
          <w:szCs w:val="26"/>
        </w:rPr>
        <w:t>the potential standardization of NGDC supplier tariffs</w:t>
      </w:r>
      <w:r w:rsidR="00653C9E">
        <w:rPr>
          <w:sz w:val="26"/>
          <w:szCs w:val="26"/>
        </w:rPr>
        <w:t>,</w:t>
      </w:r>
      <w:r w:rsidRPr="009A4CF6">
        <w:rPr>
          <w:sz w:val="26"/>
          <w:szCs w:val="26"/>
        </w:rPr>
        <w:t xml:space="preserve"> we did receive comments requesting that this issue be raised within the context of the Gas RMI.  We address this request below.</w:t>
      </w:r>
    </w:p>
    <w:p w:rsidR="001B7B87" w:rsidRPr="009A4CF6" w:rsidRDefault="001B7B87" w:rsidP="00431EE2">
      <w:pPr>
        <w:spacing w:line="360" w:lineRule="auto"/>
        <w:rPr>
          <w:sz w:val="26"/>
          <w:szCs w:val="26"/>
        </w:rPr>
      </w:pPr>
    </w:p>
    <w:p w:rsidR="00A2212A" w:rsidRPr="009A4CF6" w:rsidRDefault="001B7B87" w:rsidP="00A2212A">
      <w:pPr>
        <w:spacing w:line="360" w:lineRule="auto"/>
        <w:rPr>
          <w:b/>
          <w:sz w:val="26"/>
          <w:szCs w:val="26"/>
        </w:rPr>
      </w:pPr>
      <w:r w:rsidRPr="009A4CF6">
        <w:rPr>
          <w:sz w:val="26"/>
          <w:szCs w:val="26"/>
        </w:rPr>
        <w:tab/>
      </w:r>
      <w:r w:rsidRPr="009A4CF6">
        <w:rPr>
          <w:b/>
          <w:sz w:val="26"/>
          <w:szCs w:val="26"/>
        </w:rPr>
        <w:t>1.</w:t>
      </w:r>
      <w:r w:rsidRPr="009A4CF6">
        <w:rPr>
          <w:b/>
          <w:sz w:val="26"/>
          <w:szCs w:val="26"/>
        </w:rPr>
        <w:tab/>
      </w:r>
      <w:r w:rsidR="00A2212A" w:rsidRPr="009A4CF6">
        <w:rPr>
          <w:b/>
          <w:sz w:val="26"/>
          <w:szCs w:val="26"/>
        </w:rPr>
        <w:t>Comments</w:t>
      </w:r>
    </w:p>
    <w:p w:rsidR="001B7B87" w:rsidRPr="009A4CF6" w:rsidRDefault="001B7B87" w:rsidP="00A2212A">
      <w:pPr>
        <w:spacing w:line="360" w:lineRule="auto"/>
        <w:rPr>
          <w:sz w:val="26"/>
          <w:szCs w:val="26"/>
        </w:rPr>
      </w:pPr>
    </w:p>
    <w:p w:rsidR="00A2212A" w:rsidRPr="009A4CF6" w:rsidRDefault="00A2212A" w:rsidP="00A2212A">
      <w:pPr>
        <w:spacing w:line="360" w:lineRule="auto"/>
        <w:rPr>
          <w:sz w:val="26"/>
          <w:szCs w:val="26"/>
        </w:rPr>
      </w:pPr>
      <w:r w:rsidRPr="009A4CF6">
        <w:rPr>
          <w:sz w:val="26"/>
          <w:szCs w:val="26"/>
        </w:rPr>
        <w:tab/>
        <w:t xml:space="preserve">RESA requests </w:t>
      </w:r>
      <w:r w:rsidR="001B7B87" w:rsidRPr="009A4CF6">
        <w:rPr>
          <w:sz w:val="26"/>
          <w:szCs w:val="26"/>
        </w:rPr>
        <w:t xml:space="preserve">that </w:t>
      </w:r>
      <w:r w:rsidRPr="009A4CF6">
        <w:rPr>
          <w:sz w:val="26"/>
          <w:szCs w:val="26"/>
        </w:rPr>
        <w:t>the Commission examine potential standardization of supplier tariffs for NGDCs.  RESA avers that the lack of standardization among tariff provisions creates barriers for NGSs to operate statewide and interferes with NGSs’ ability to offer competitive prices and certain p</w:t>
      </w:r>
      <w:r w:rsidR="00C51AE3" w:rsidRPr="009A4CF6">
        <w:rPr>
          <w:sz w:val="26"/>
          <w:szCs w:val="26"/>
        </w:rPr>
        <w:t xml:space="preserve">roduct offerings to customers.  </w:t>
      </w:r>
      <w:r w:rsidRPr="009A4CF6">
        <w:rPr>
          <w:sz w:val="26"/>
          <w:szCs w:val="26"/>
        </w:rPr>
        <w:t xml:space="preserve">Accordingly, RESA asks the Commission to consider requiring all NGDCs to aggregate their NGS requirements in a separate supplier tariff as an industry best practice.  </w:t>
      </w:r>
      <w:r w:rsidR="00C51AE3" w:rsidRPr="009A4CF6">
        <w:rPr>
          <w:sz w:val="26"/>
          <w:szCs w:val="26"/>
        </w:rPr>
        <w:t xml:space="preserve">RESA Comments at 21.  </w:t>
      </w:r>
    </w:p>
    <w:p w:rsidR="00A2212A" w:rsidRPr="009A4CF6" w:rsidRDefault="00A2212A" w:rsidP="00A2212A">
      <w:pPr>
        <w:spacing w:line="360" w:lineRule="auto"/>
        <w:rPr>
          <w:sz w:val="26"/>
          <w:szCs w:val="26"/>
        </w:rPr>
      </w:pPr>
    </w:p>
    <w:p w:rsidR="00A2212A" w:rsidRPr="009A4CF6" w:rsidRDefault="001B7B87" w:rsidP="00A2212A">
      <w:pPr>
        <w:spacing w:line="360" w:lineRule="auto"/>
        <w:rPr>
          <w:b/>
          <w:sz w:val="26"/>
          <w:szCs w:val="26"/>
        </w:rPr>
      </w:pPr>
      <w:r w:rsidRPr="009A4CF6">
        <w:rPr>
          <w:b/>
          <w:sz w:val="26"/>
          <w:szCs w:val="26"/>
        </w:rPr>
        <w:tab/>
        <w:t>2.</w:t>
      </w:r>
      <w:r w:rsidRPr="009A4CF6">
        <w:rPr>
          <w:b/>
          <w:sz w:val="26"/>
          <w:szCs w:val="26"/>
        </w:rPr>
        <w:tab/>
      </w:r>
      <w:r w:rsidR="00A2212A" w:rsidRPr="009A4CF6">
        <w:rPr>
          <w:b/>
          <w:sz w:val="26"/>
          <w:szCs w:val="26"/>
        </w:rPr>
        <w:t>Disposition</w:t>
      </w:r>
    </w:p>
    <w:p w:rsidR="001B7B87" w:rsidRPr="009A4CF6" w:rsidRDefault="001B7B87" w:rsidP="00A2212A">
      <w:pPr>
        <w:spacing w:line="360" w:lineRule="auto"/>
        <w:rPr>
          <w:b/>
          <w:sz w:val="26"/>
          <w:szCs w:val="26"/>
        </w:rPr>
      </w:pPr>
    </w:p>
    <w:p w:rsidR="00A2212A" w:rsidRPr="009A4CF6" w:rsidRDefault="00A2212A" w:rsidP="00CB1FC9">
      <w:pPr>
        <w:spacing w:line="360" w:lineRule="auto"/>
        <w:rPr>
          <w:sz w:val="26"/>
          <w:szCs w:val="26"/>
        </w:rPr>
      </w:pPr>
      <w:r w:rsidRPr="009A4CF6">
        <w:rPr>
          <w:sz w:val="26"/>
          <w:szCs w:val="26"/>
        </w:rPr>
        <w:tab/>
        <w:t>As we mentioned earlier in this order, we agree with RESA that</w:t>
      </w:r>
      <w:r w:rsidR="00A1438B" w:rsidRPr="009A4CF6">
        <w:rPr>
          <w:sz w:val="26"/>
          <w:szCs w:val="26"/>
        </w:rPr>
        <w:t xml:space="preserve"> this Investigation will include the exploration of</w:t>
      </w:r>
      <w:r w:rsidRPr="009A4CF6">
        <w:rPr>
          <w:sz w:val="26"/>
          <w:szCs w:val="26"/>
        </w:rPr>
        <w:t xml:space="preserve"> standardization in tariff provisions.  We believe this process is best </w:t>
      </w:r>
      <w:r w:rsidR="00653C9E">
        <w:rPr>
          <w:sz w:val="26"/>
          <w:szCs w:val="26"/>
        </w:rPr>
        <w:t>addressed</w:t>
      </w:r>
      <w:r w:rsidRPr="009A4CF6">
        <w:rPr>
          <w:sz w:val="26"/>
          <w:szCs w:val="26"/>
        </w:rPr>
        <w:t xml:space="preserve"> by </w:t>
      </w:r>
      <w:r w:rsidR="00653C9E">
        <w:rPr>
          <w:sz w:val="26"/>
          <w:szCs w:val="26"/>
        </w:rPr>
        <w:t>a</w:t>
      </w:r>
      <w:r w:rsidRPr="009A4CF6">
        <w:rPr>
          <w:sz w:val="26"/>
          <w:szCs w:val="26"/>
        </w:rPr>
        <w:t xml:space="preserve"> working group addressing various provisions, like capacity assignment, creditworthiness, system balancing, penalties, etc. that are found in NGDCs </w:t>
      </w:r>
      <w:r w:rsidRPr="009A4CF6">
        <w:rPr>
          <w:sz w:val="26"/>
          <w:szCs w:val="26"/>
        </w:rPr>
        <w:lastRenderedPageBreak/>
        <w:t xml:space="preserve">tariffs.  While </w:t>
      </w:r>
      <w:r w:rsidR="00A1438B" w:rsidRPr="009A4CF6">
        <w:rPr>
          <w:sz w:val="26"/>
          <w:szCs w:val="26"/>
        </w:rPr>
        <w:t>some</w:t>
      </w:r>
      <w:r w:rsidRPr="009A4CF6">
        <w:rPr>
          <w:sz w:val="26"/>
          <w:szCs w:val="26"/>
        </w:rPr>
        <w:t xml:space="preserve"> provisions within the Natural Gas </w:t>
      </w:r>
      <w:r w:rsidR="001B7B87" w:rsidRPr="009A4CF6">
        <w:rPr>
          <w:sz w:val="26"/>
          <w:szCs w:val="26"/>
        </w:rPr>
        <w:t xml:space="preserve">Choice and </w:t>
      </w:r>
      <w:r w:rsidRPr="009A4CF6">
        <w:rPr>
          <w:sz w:val="26"/>
          <w:szCs w:val="26"/>
        </w:rPr>
        <w:t xml:space="preserve">Competition Act provide for flexibility and/or NGDC specific requirements (see 66 Pa. C.S. §2204(d)(1) and § 2208(c)), there is opportunity to discuss standardization to alleviate confusion, market barriers or regional/geographic </w:t>
      </w:r>
      <w:r w:rsidR="00A1438B" w:rsidRPr="009A4CF6">
        <w:rPr>
          <w:sz w:val="26"/>
          <w:szCs w:val="26"/>
        </w:rPr>
        <w:t>constraints where applicable.</w:t>
      </w:r>
      <w:r w:rsidR="00CB7BD6" w:rsidRPr="009A4CF6">
        <w:rPr>
          <w:sz w:val="26"/>
          <w:szCs w:val="26"/>
        </w:rPr>
        <w:t xml:space="preserve">  As previously noted, the working group should provide its recommendations to the Commission </w:t>
      </w:r>
      <w:r w:rsidR="00653C9E">
        <w:rPr>
          <w:sz w:val="26"/>
          <w:szCs w:val="26"/>
        </w:rPr>
        <w:t>no later than</w:t>
      </w:r>
      <w:r w:rsidR="00CB7BD6" w:rsidRPr="009A4CF6">
        <w:rPr>
          <w:sz w:val="26"/>
          <w:szCs w:val="26"/>
        </w:rPr>
        <w:t xml:space="preserve"> the fourth quarter of 2015.</w:t>
      </w:r>
    </w:p>
    <w:p w:rsidR="00A2212A" w:rsidRPr="009A4CF6" w:rsidRDefault="00A2212A" w:rsidP="00CB1FC9">
      <w:pPr>
        <w:spacing w:line="360" w:lineRule="auto"/>
        <w:rPr>
          <w:b/>
          <w:sz w:val="26"/>
          <w:szCs w:val="26"/>
        </w:rPr>
      </w:pPr>
    </w:p>
    <w:p w:rsidR="001B7B87" w:rsidRPr="009A4CF6" w:rsidRDefault="001B7B87" w:rsidP="00CB1FC9">
      <w:pPr>
        <w:pStyle w:val="Heading2"/>
        <w:spacing w:before="0" w:line="360" w:lineRule="auto"/>
        <w:rPr>
          <w:rFonts w:ascii="Times New Roman" w:hAnsi="Times New Roman" w:cs="Times New Roman"/>
          <w:b w:val="0"/>
          <w:color w:val="auto"/>
        </w:rPr>
      </w:pPr>
      <w:bookmarkStart w:id="21" w:name="_Toc405359512"/>
      <w:r w:rsidRPr="009A4CF6">
        <w:rPr>
          <w:rFonts w:ascii="Times New Roman" w:hAnsi="Times New Roman" w:cs="Times New Roman"/>
          <w:color w:val="auto"/>
        </w:rPr>
        <w:t>T.</w:t>
      </w:r>
      <w:r w:rsidRPr="009A4CF6">
        <w:rPr>
          <w:rFonts w:ascii="Times New Roman" w:hAnsi="Times New Roman" w:cs="Times New Roman"/>
          <w:color w:val="auto"/>
        </w:rPr>
        <w:tab/>
      </w:r>
      <w:r w:rsidR="006B6AE4" w:rsidRPr="009A4CF6">
        <w:rPr>
          <w:rFonts w:ascii="Times New Roman" w:hAnsi="Times New Roman" w:cs="Times New Roman"/>
          <w:color w:val="auto"/>
        </w:rPr>
        <w:t xml:space="preserve">Encouragement of </w:t>
      </w:r>
      <w:r w:rsidRPr="009A4CF6">
        <w:rPr>
          <w:rFonts w:ascii="Times New Roman" w:hAnsi="Times New Roman" w:cs="Times New Roman"/>
          <w:color w:val="auto"/>
        </w:rPr>
        <w:t>Environmentally-Friendly Natural Gas Supply Products</w:t>
      </w:r>
      <w:bookmarkEnd w:id="21"/>
    </w:p>
    <w:p w:rsidR="001B7B87" w:rsidRPr="009A4CF6" w:rsidRDefault="001B7B87" w:rsidP="00CB1FC9">
      <w:pPr>
        <w:spacing w:line="360" w:lineRule="auto"/>
        <w:rPr>
          <w:b/>
          <w:sz w:val="26"/>
          <w:szCs w:val="26"/>
        </w:rPr>
      </w:pPr>
    </w:p>
    <w:p w:rsidR="005F110E" w:rsidRPr="009A4CF6" w:rsidRDefault="005F110E" w:rsidP="00CB1FC9">
      <w:pPr>
        <w:spacing w:line="360" w:lineRule="auto"/>
        <w:rPr>
          <w:b/>
          <w:sz w:val="26"/>
          <w:szCs w:val="26"/>
        </w:rPr>
      </w:pPr>
      <w:r w:rsidRPr="009A4CF6">
        <w:rPr>
          <w:sz w:val="26"/>
          <w:szCs w:val="26"/>
        </w:rPr>
        <w:tab/>
        <w:t xml:space="preserve">While the Commission did not address, within its </w:t>
      </w:r>
      <w:r w:rsidRPr="009A4CF6">
        <w:rPr>
          <w:i/>
          <w:sz w:val="26"/>
          <w:szCs w:val="26"/>
        </w:rPr>
        <w:t>Tentative Order</w:t>
      </w:r>
      <w:r w:rsidRPr="009A4CF6">
        <w:rPr>
          <w:sz w:val="26"/>
          <w:szCs w:val="26"/>
        </w:rPr>
        <w:t>, the provision of environmentally-friendly retail natural gas supply products we did receive comments requesting that this issue be raised within the context of the Gas RMI.  We address this request below.</w:t>
      </w:r>
    </w:p>
    <w:p w:rsidR="005F110E" w:rsidRPr="009A4CF6" w:rsidRDefault="005F110E" w:rsidP="00431EE2">
      <w:pPr>
        <w:spacing w:line="360" w:lineRule="auto"/>
        <w:rPr>
          <w:b/>
          <w:sz w:val="26"/>
          <w:szCs w:val="26"/>
        </w:rPr>
      </w:pPr>
    </w:p>
    <w:p w:rsidR="00A2212A" w:rsidRPr="009A4CF6" w:rsidRDefault="001B7B87" w:rsidP="00A2212A">
      <w:pPr>
        <w:spacing w:line="360" w:lineRule="auto"/>
        <w:rPr>
          <w:b/>
          <w:sz w:val="26"/>
          <w:szCs w:val="26"/>
        </w:rPr>
      </w:pPr>
      <w:r w:rsidRPr="009A4CF6">
        <w:rPr>
          <w:b/>
          <w:sz w:val="26"/>
          <w:szCs w:val="26"/>
        </w:rPr>
        <w:tab/>
        <w:t>1.</w:t>
      </w:r>
      <w:r w:rsidRPr="009A4CF6">
        <w:rPr>
          <w:b/>
          <w:sz w:val="26"/>
          <w:szCs w:val="26"/>
        </w:rPr>
        <w:tab/>
      </w:r>
      <w:r w:rsidR="00A2212A" w:rsidRPr="009A4CF6">
        <w:rPr>
          <w:b/>
          <w:sz w:val="26"/>
          <w:szCs w:val="26"/>
        </w:rPr>
        <w:t>Comments</w:t>
      </w:r>
    </w:p>
    <w:p w:rsidR="001B7B87" w:rsidRPr="009A4CF6" w:rsidRDefault="001B7B87" w:rsidP="00A2212A">
      <w:pPr>
        <w:spacing w:line="360" w:lineRule="auto"/>
        <w:rPr>
          <w:b/>
          <w:sz w:val="26"/>
          <w:szCs w:val="26"/>
        </w:rPr>
      </w:pPr>
    </w:p>
    <w:p w:rsidR="00A2212A" w:rsidRPr="009A4CF6" w:rsidRDefault="00A2212A" w:rsidP="00A2212A">
      <w:pPr>
        <w:spacing w:line="360" w:lineRule="auto"/>
        <w:rPr>
          <w:sz w:val="26"/>
          <w:szCs w:val="26"/>
        </w:rPr>
      </w:pPr>
      <w:r w:rsidRPr="009A4CF6">
        <w:rPr>
          <w:sz w:val="26"/>
          <w:szCs w:val="26"/>
        </w:rPr>
        <w:tab/>
        <w:t xml:space="preserve">Washington Gas requests </w:t>
      </w:r>
      <w:r w:rsidR="001B7B87" w:rsidRPr="009A4CF6">
        <w:rPr>
          <w:sz w:val="26"/>
          <w:szCs w:val="26"/>
        </w:rPr>
        <w:t xml:space="preserve">that </w:t>
      </w:r>
      <w:r w:rsidRPr="009A4CF6">
        <w:rPr>
          <w:sz w:val="26"/>
          <w:szCs w:val="26"/>
        </w:rPr>
        <w:t xml:space="preserve">the Commission encourage NGSs to offer diversified products with green attributes, such as carbon dioxide offsets.  </w:t>
      </w:r>
      <w:r w:rsidR="00C51AE3" w:rsidRPr="009A4CF6">
        <w:rPr>
          <w:sz w:val="26"/>
          <w:szCs w:val="26"/>
        </w:rPr>
        <w:t xml:space="preserve">Washington Gas </w:t>
      </w:r>
      <w:r w:rsidRPr="009A4CF6">
        <w:rPr>
          <w:sz w:val="26"/>
          <w:szCs w:val="26"/>
        </w:rPr>
        <w:t xml:space="preserve">Comments at 3.  </w:t>
      </w:r>
    </w:p>
    <w:p w:rsidR="00A2212A" w:rsidRPr="009A4CF6" w:rsidRDefault="00A2212A" w:rsidP="00A2212A">
      <w:pPr>
        <w:spacing w:line="360" w:lineRule="auto"/>
        <w:rPr>
          <w:sz w:val="26"/>
          <w:szCs w:val="26"/>
        </w:rPr>
      </w:pPr>
    </w:p>
    <w:p w:rsidR="00A2212A" w:rsidRPr="009A4CF6" w:rsidRDefault="001B7B87" w:rsidP="00A2212A">
      <w:pPr>
        <w:spacing w:line="360" w:lineRule="auto"/>
        <w:rPr>
          <w:b/>
          <w:sz w:val="26"/>
          <w:szCs w:val="26"/>
        </w:rPr>
      </w:pPr>
      <w:r w:rsidRPr="009A4CF6">
        <w:rPr>
          <w:b/>
          <w:sz w:val="26"/>
          <w:szCs w:val="26"/>
        </w:rPr>
        <w:tab/>
        <w:t>2.</w:t>
      </w:r>
      <w:r w:rsidRPr="009A4CF6">
        <w:rPr>
          <w:b/>
          <w:sz w:val="26"/>
          <w:szCs w:val="26"/>
        </w:rPr>
        <w:tab/>
      </w:r>
      <w:r w:rsidR="00A2212A" w:rsidRPr="009A4CF6">
        <w:rPr>
          <w:b/>
          <w:sz w:val="26"/>
          <w:szCs w:val="26"/>
        </w:rPr>
        <w:t>Disposition</w:t>
      </w:r>
    </w:p>
    <w:p w:rsidR="001B7B87" w:rsidRPr="009A4CF6" w:rsidRDefault="001B7B87" w:rsidP="00A2212A">
      <w:pPr>
        <w:spacing w:line="360" w:lineRule="auto"/>
        <w:rPr>
          <w:b/>
          <w:sz w:val="26"/>
          <w:szCs w:val="26"/>
        </w:rPr>
      </w:pPr>
    </w:p>
    <w:p w:rsidR="00A2212A" w:rsidRPr="009A4CF6" w:rsidRDefault="00A2212A" w:rsidP="00CB1FC9">
      <w:pPr>
        <w:spacing w:line="360" w:lineRule="auto"/>
        <w:rPr>
          <w:sz w:val="26"/>
          <w:szCs w:val="26"/>
        </w:rPr>
      </w:pPr>
      <w:r w:rsidRPr="009A4CF6">
        <w:rPr>
          <w:sz w:val="26"/>
          <w:szCs w:val="26"/>
        </w:rPr>
        <w:tab/>
        <w:t xml:space="preserve">We believe there is a place for “green” offerings within Pennsylvania and encourage the marketplace to offer products/services </w:t>
      </w:r>
      <w:r w:rsidR="001B7B87" w:rsidRPr="009A4CF6">
        <w:rPr>
          <w:sz w:val="26"/>
          <w:szCs w:val="26"/>
        </w:rPr>
        <w:t>in which</w:t>
      </w:r>
      <w:r w:rsidRPr="009A4CF6">
        <w:rPr>
          <w:sz w:val="26"/>
          <w:szCs w:val="26"/>
        </w:rPr>
        <w:t xml:space="preserve"> customers are interested.  However, it is not appropriate for the Commission to promote or endorse a particular product.  Instead, we will explore avenues to include these types of offerings on</w:t>
      </w:r>
      <w:r w:rsidR="001B7B87" w:rsidRPr="009A4CF6">
        <w:rPr>
          <w:sz w:val="26"/>
          <w:szCs w:val="26"/>
        </w:rPr>
        <w:t xml:space="preserve"> PAGasSwitch.com, </w:t>
      </w:r>
      <w:r w:rsidRPr="009A4CF6">
        <w:rPr>
          <w:sz w:val="26"/>
          <w:szCs w:val="26"/>
        </w:rPr>
        <w:t>as discussed earlier in this order.</w:t>
      </w:r>
    </w:p>
    <w:p w:rsidR="00A2212A" w:rsidRPr="009A4CF6" w:rsidRDefault="00A2212A" w:rsidP="00CB1FC9">
      <w:pPr>
        <w:spacing w:line="360" w:lineRule="auto"/>
        <w:rPr>
          <w:b/>
          <w:sz w:val="26"/>
          <w:szCs w:val="26"/>
        </w:rPr>
      </w:pPr>
    </w:p>
    <w:p w:rsidR="000E454B" w:rsidRPr="009A4CF6" w:rsidRDefault="005F110E" w:rsidP="00CB1FC9">
      <w:pPr>
        <w:pStyle w:val="Heading2"/>
        <w:spacing w:before="0" w:line="360" w:lineRule="auto"/>
        <w:rPr>
          <w:rFonts w:ascii="Times New Roman" w:hAnsi="Times New Roman" w:cs="Times New Roman"/>
          <w:b w:val="0"/>
          <w:color w:val="auto"/>
        </w:rPr>
      </w:pPr>
      <w:bookmarkStart w:id="22" w:name="_Toc405359513"/>
      <w:r w:rsidRPr="009A4CF6">
        <w:rPr>
          <w:rFonts w:ascii="Times New Roman" w:hAnsi="Times New Roman" w:cs="Times New Roman"/>
          <w:color w:val="auto"/>
        </w:rPr>
        <w:lastRenderedPageBreak/>
        <w:t>U.</w:t>
      </w:r>
      <w:r w:rsidRPr="009A4CF6">
        <w:rPr>
          <w:rFonts w:ascii="Times New Roman" w:hAnsi="Times New Roman" w:cs="Times New Roman"/>
          <w:color w:val="auto"/>
        </w:rPr>
        <w:tab/>
      </w:r>
      <w:r w:rsidR="006C77B5" w:rsidRPr="009A4CF6">
        <w:rPr>
          <w:rFonts w:ascii="Times New Roman" w:hAnsi="Times New Roman" w:cs="Times New Roman"/>
          <w:color w:val="auto"/>
        </w:rPr>
        <w:t>Incentives for NGDC Infrastructure Expansion</w:t>
      </w:r>
      <w:bookmarkEnd w:id="22"/>
    </w:p>
    <w:p w:rsidR="005F110E" w:rsidRPr="009A4CF6" w:rsidRDefault="005F110E" w:rsidP="00CB1FC9">
      <w:pPr>
        <w:spacing w:line="360" w:lineRule="auto"/>
        <w:rPr>
          <w:b/>
          <w:sz w:val="26"/>
          <w:szCs w:val="26"/>
          <w:u w:val="single"/>
        </w:rPr>
      </w:pPr>
    </w:p>
    <w:p w:rsidR="005F110E" w:rsidRPr="009A4CF6" w:rsidRDefault="005F110E" w:rsidP="00CB1FC9">
      <w:pPr>
        <w:spacing w:line="360" w:lineRule="auto"/>
        <w:rPr>
          <w:b/>
          <w:sz w:val="26"/>
          <w:szCs w:val="26"/>
          <w:u w:val="single"/>
        </w:rPr>
      </w:pPr>
      <w:r w:rsidRPr="009A4CF6">
        <w:rPr>
          <w:sz w:val="26"/>
          <w:szCs w:val="26"/>
        </w:rPr>
        <w:tab/>
        <w:t xml:space="preserve">While the Commission did not address, within its </w:t>
      </w:r>
      <w:r w:rsidRPr="009A4CF6">
        <w:rPr>
          <w:i/>
          <w:sz w:val="26"/>
          <w:szCs w:val="26"/>
        </w:rPr>
        <w:t>Tentative Order</w:t>
      </w:r>
      <w:r w:rsidRPr="009A4CF6">
        <w:rPr>
          <w:sz w:val="26"/>
          <w:szCs w:val="26"/>
        </w:rPr>
        <w:t>, the potential provision of incentives to induce the expansion of NGDC infrastructure, we did receive comments requesting that this issue be raised within the context of the Gas RMI.  We have addressed this request below.</w:t>
      </w:r>
    </w:p>
    <w:p w:rsidR="005F110E" w:rsidRPr="009A4CF6" w:rsidRDefault="005F110E" w:rsidP="00431EE2">
      <w:pPr>
        <w:spacing w:line="360" w:lineRule="auto"/>
        <w:rPr>
          <w:b/>
          <w:sz w:val="26"/>
          <w:szCs w:val="26"/>
          <w:u w:val="single"/>
        </w:rPr>
      </w:pPr>
    </w:p>
    <w:p w:rsidR="00A2212A" w:rsidRPr="009A4CF6" w:rsidRDefault="005F110E" w:rsidP="00A2212A">
      <w:pPr>
        <w:spacing w:line="360" w:lineRule="auto"/>
        <w:rPr>
          <w:b/>
          <w:sz w:val="26"/>
          <w:szCs w:val="26"/>
        </w:rPr>
      </w:pPr>
      <w:r w:rsidRPr="009A4CF6">
        <w:rPr>
          <w:b/>
          <w:sz w:val="26"/>
          <w:szCs w:val="26"/>
        </w:rPr>
        <w:tab/>
        <w:t>1.</w:t>
      </w:r>
      <w:r w:rsidRPr="009A4CF6">
        <w:rPr>
          <w:b/>
          <w:sz w:val="26"/>
          <w:szCs w:val="26"/>
        </w:rPr>
        <w:tab/>
      </w:r>
      <w:r w:rsidR="00A2212A" w:rsidRPr="009A4CF6">
        <w:rPr>
          <w:b/>
          <w:sz w:val="26"/>
          <w:szCs w:val="26"/>
        </w:rPr>
        <w:t>Comments</w:t>
      </w:r>
    </w:p>
    <w:p w:rsidR="005F110E" w:rsidRPr="009A4CF6" w:rsidRDefault="00A2212A" w:rsidP="00A2212A">
      <w:pPr>
        <w:spacing w:line="360" w:lineRule="auto"/>
        <w:rPr>
          <w:sz w:val="26"/>
          <w:szCs w:val="26"/>
        </w:rPr>
      </w:pPr>
      <w:r w:rsidRPr="009A4CF6">
        <w:rPr>
          <w:sz w:val="26"/>
          <w:szCs w:val="26"/>
        </w:rPr>
        <w:tab/>
      </w:r>
    </w:p>
    <w:p w:rsidR="00A2212A" w:rsidRPr="009A4CF6" w:rsidRDefault="005F110E" w:rsidP="00A2212A">
      <w:pPr>
        <w:spacing w:line="360" w:lineRule="auto"/>
        <w:rPr>
          <w:sz w:val="26"/>
          <w:szCs w:val="26"/>
        </w:rPr>
      </w:pPr>
      <w:r w:rsidRPr="009A4CF6">
        <w:rPr>
          <w:sz w:val="26"/>
          <w:szCs w:val="26"/>
        </w:rPr>
        <w:tab/>
      </w:r>
      <w:r w:rsidR="00A2212A" w:rsidRPr="009A4CF6">
        <w:rPr>
          <w:sz w:val="26"/>
          <w:szCs w:val="26"/>
        </w:rPr>
        <w:t xml:space="preserve">Washington Gas requests OCMO to examine tariff provisions that would provide NGDCs with incentives to expand their distribution infrastructure.  </w:t>
      </w:r>
      <w:r w:rsidR="00C51AE3" w:rsidRPr="009A4CF6">
        <w:rPr>
          <w:sz w:val="26"/>
          <w:szCs w:val="26"/>
        </w:rPr>
        <w:t xml:space="preserve">Washington Gas </w:t>
      </w:r>
      <w:r w:rsidR="00A2212A" w:rsidRPr="009A4CF6">
        <w:rPr>
          <w:sz w:val="26"/>
          <w:szCs w:val="26"/>
        </w:rPr>
        <w:t>Comments at 4.</w:t>
      </w:r>
    </w:p>
    <w:p w:rsidR="00A2212A" w:rsidRPr="009A4CF6" w:rsidRDefault="00A2212A" w:rsidP="00A2212A">
      <w:pPr>
        <w:spacing w:line="360" w:lineRule="auto"/>
        <w:rPr>
          <w:sz w:val="26"/>
          <w:szCs w:val="26"/>
        </w:rPr>
      </w:pPr>
    </w:p>
    <w:p w:rsidR="00A2212A" w:rsidRPr="009A4CF6" w:rsidRDefault="005F110E" w:rsidP="00A2212A">
      <w:pPr>
        <w:spacing w:line="360" w:lineRule="auto"/>
        <w:rPr>
          <w:b/>
          <w:sz w:val="26"/>
          <w:szCs w:val="26"/>
        </w:rPr>
      </w:pPr>
      <w:r w:rsidRPr="009A4CF6">
        <w:rPr>
          <w:b/>
          <w:sz w:val="26"/>
          <w:szCs w:val="26"/>
        </w:rPr>
        <w:tab/>
        <w:t>2.</w:t>
      </w:r>
      <w:r w:rsidRPr="009A4CF6">
        <w:rPr>
          <w:b/>
          <w:sz w:val="26"/>
          <w:szCs w:val="26"/>
        </w:rPr>
        <w:tab/>
      </w:r>
      <w:r w:rsidR="00A2212A" w:rsidRPr="009A4CF6">
        <w:rPr>
          <w:b/>
          <w:sz w:val="26"/>
          <w:szCs w:val="26"/>
        </w:rPr>
        <w:t>Disposition</w:t>
      </w:r>
    </w:p>
    <w:p w:rsidR="006B6AE4" w:rsidRPr="009A4CF6" w:rsidRDefault="006B6AE4" w:rsidP="00A2212A">
      <w:pPr>
        <w:spacing w:line="360" w:lineRule="auto"/>
        <w:rPr>
          <w:b/>
          <w:sz w:val="26"/>
          <w:szCs w:val="26"/>
        </w:rPr>
      </w:pPr>
    </w:p>
    <w:p w:rsidR="00A2212A" w:rsidRPr="009A4CF6" w:rsidRDefault="00A2212A" w:rsidP="00CB1FC9">
      <w:pPr>
        <w:spacing w:line="360" w:lineRule="auto"/>
        <w:rPr>
          <w:sz w:val="26"/>
          <w:szCs w:val="26"/>
        </w:rPr>
      </w:pPr>
      <w:r w:rsidRPr="009A4CF6">
        <w:rPr>
          <w:sz w:val="26"/>
          <w:szCs w:val="26"/>
        </w:rPr>
        <w:tab/>
      </w:r>
      <w:r w:rsidR="006B6AE4" w:rsidRPr="009A4CF6">
        <w:rPr>
          <w:sz w:val="26"/>
          <w:szCs w:val="26"/>
        </w:rPr>
        <w:t xml:space="preserve">While increasing the number of customers served by NGDCs could improve competition, expanding distribution infrastructure is outside the scope of this investigation.  Various NGDCS have received approval or are awaiting pending action by the Commission for various tariff provisions aimed at extending natural gas service in their service territories.  </w:t>
      </w:r>
      <w:r w:rsidR="006B6AE4" w:rsidRPr="009A4CF6">
        <w:rPr>
          <w:i/>
          <w:sz w:val="26"/>
          <w:szCs w:val="26"/>
        </w:rPr>
        <w:t>See</w:t>
      </w:r>
      <w:r w:rsidR="006B6AE4" w:rsidRPr="009A4CF6">
        <w:rPr>
          <w:sz w:val="26"/>
          <w:szCs w:val="26"/>
        </w:rPr>
        <w:t xml:space="preserve"> UGI Utilities, Inc., UGI – Peoples Natural Gas Company, and UGI – Central Penn Gas Company at P-2013-2356232; Peoples Natural Gas Company</w:t>
      </w:r>
      <w:r w:rsidR="00AE5DC9" w:rsidRPr="009A4CF6">
        <w:rPr>
          <w:sz w:val="26"/>
          <w:szCs w:val="26"/>
        </w:rPr>
        <w:t>, LLC.</w:t>
      </w:r>
      <w:r w:rsidR="006B6AE4" w:rsidRPr="009A4CF6">
        <w:rPr>
          <w:sz w:val="26"/>
          <w:szCs w:val="26"/>
        </w:rPr>
        <w:t xml:space="preserve"> at R-2014-2429610; Peoples Natural Gas Company</w:t>
      </w:r>
      <w:r w:rsidR="00AE5DC9" w:rsidRPr="009A4CF6">
        <w:rPr>
          <w:sz w:val="26"/>
          <w:szCs w:val="26"/>
        </w:rPr>
        <w:t>, LLC.</w:t>
      </w:r>
      <w:r w:rsidR="006B6AE4" w:rsidRPr="009A4CF6">
        <w:rPr>
          <w:sz w:val="26"/>
          <w:szCs w:val="26"/>
        </w:rPr>
        <w:t xml:space="preserve"> – Equitable Division at R-2014-2429606; Peoples TWP, LLC. at R-2014-2429613; Columbia Gas Company of Pennsylvania</w:t>
      </w:r>
      <w:r w:rsidR="00AE5DC9" w:rsidRPr="009A4CF6">
        <w:rPr>
          <w:sz w:val="26"/>
          <w:szCs w:val="26"/>
        </w:rPr>
        <w:t>, Inc.</w:t>
      </w:r>
      <w:r w:rsidR="006B6AE4" w:rsidRPr="009A4CF6">
        <w:rPr>
          <w:sz w:val="26"/>
          <w:szCs w:val="26"/>
        </w:rPr>
        <w:t xml:space="preserve"> at R-2014-2407345; and for PECO Energy Company at P-2014-2451772.</w:t>
      </w:r>
    </w:p>
    <w:p w:rsidR="002D46EA" w:rsidRDefault="002D46EA" w:rsidP="00CB1FC9">
      <w:pPr>
        <w:spacing w:line="360" w:lineRule="auto"/>
        <w:rPr>
          <w:sz w:val="26"/>
          <w:szCs w:val="26"/>
        </w:rPr>
      </w:pPr>
    </w:p>
    <w:p w:rsidR="0075257B" w:rsidRDefault="0075257B" w:rsidP="00CB1FC9">
      <w:pPr>
        <w:spacing w:line="360" w:lineRule="auto"/>
        <w:rPr>
          <w:sz w:val="26"/>
          <w:szCs w:val="26"/>
        </w:rPr>
      </w:pPr>
    </w:p>
    <w:p w:rsidR="0075257B" w:rsidRPr="009A4CF6" w:rsidRDefault="0075257B" w:rsidP="00CB1FC9">
      <w:pPr>
        <w:spacing w:line="360" w:lineRule="auto"/>
        <w:rPr>
          <w:sz w:val="26"/>
          <w:szCs w:val="26"/>
        </w:rPr>
      </w:pPr>
    </w:p>
    <w:p w:rsidR="00CA43A5" w:rsidRPr="009A4CF6" w:rsidRDefault="007B1993" w:rsidP="00CB1FC9">
      <w:pPr>
        <w:pStyle w:val="Heading1"/>
        <w:spacing w:before="0" w:line="360" w:lineRule="auto"/>
        <w:jc w:val="center"/>
        <w:rPr>
          <w:rFonts w:ascii="Times New Roman" w:hAnsi="Times New Roman" w:cs="Times New Roman"/>
          <w:b w:val="0"/>
          <w:color w:val="auto"/>
          <w:sz w:val="26"/>
          <w:szCs w:val="26"/>
        </w:rPr>
      </w:pPr>
      <w:bookmarkStart w:id="23" w:name="_Toc405359514"/>
      <w:r w:rsidRPr="009A4CF6">
        <w:rPr>
          <w:rFonts w:ascii="Times New Roman" w:hAnsi="Times New Roman" w:cs="Times New Roman"/>
          <w:color w:val="auto"/>
          <w:sz w:val="26"/>
          <w:szCs w:val="26"/>
        </w:rPr>
        <w:lastRenderedPageBreak/>
        <w:t>CONCLUSION</w:t>
      </w:r>
      <w:bookmarkEnd w:id="23"/>
    </w:p>
    <w:p w:rsidR="007B1993" w:rsidRPr="009A4CF6" w:rsidRDefault="007B1993" w:rsidP="00CB1FC9">
      <w:pPr>
        <w:spacing w:line="360" w:lineRule="auto"/>
        <w:ind w:firstLine="720"/>
        <w:rPr>
          <w:sz w:val="26"/>
          <w:szCs w:val="26"/>
        </w:rPr>
      </w:pPr>
    </w:p>
    <w:p w:rsidR="00CB7BD6" w:rsidRPr="009A4CF6" w:rsidRDefault="00CB7BD6" w:rsidP="00CB1FC9">
      <w:pPr>
        <w:spacing w:line="360" w:lineRule="auto"/>
        <w:ind w:firstLine="720"/>
        <w:rPr>
          <w:sz w:val="26"/>
          <w:szCs w:val="26"/>
        </w:rPr>
      </w:pPr>
      <w:r w:rsidRPr="009A4CF6">
        <w:rPr>
          <w:sz w:val="26"/>
          <w:szCs w:val="26"/>
        </w:rPr>
        <w:t>We expressly note that, as OCMO moves forward with its examination of the issues identified herein, it will consider all positions of interested parties when developing its recommendations for this Commission’s consideration.  However, OCMO will not be required to achieve consensus on its recommendations</w:t>
      </w:r>
      <w:r w:rsidR="00653C9E">
        <w:rPr>
          <w:sz w:val="26"/>
          <w:szCs w:val="26"/>
        </w:rPr>
        <w:t xml:space="preserve"> prior to forwarding recommendations to the Commission</w:t>
      </w:r>
      <w:r w:rsidRPr="009A4CF6">
        <w:rPr>
          <w:sz w:val="26"/>
          <w:szCs w:val="26"/>
        </w:rPr>
        <w:t>.  Based on the foregoing discussions, and pursuant to our authority in Sections 501 and 2204 of the Pennsylvania Public Utility Code, 66 Pa. C.S. §§ 501 and 2204, we will proceed with this Investigation of Pennsylvania’s Retail Natural Gas Supply Market.</w:t>
      </w:r>
    </w:p>
    <w:p w:rsidR="00CB7BD6" w:rsidRPr="009A4CF6" w:rsidRDefault="00CB7BD6" w:rsidP="00CB1FC9">
      <w:pPr>
        <w:spacing w:line="360" w:lineRule="auto"/>
        <w:ind w:firstLine="720"/>
        <w:rPr>
          <w:sz w:val="26"/>
          <w:szCs w:val="26"/>
        </w:rPr>
      </w:pPr>
    </w:p>
    <w:p w:rsidR="00CB7BD6" w:rsidRPr="009A4CF6" w:rsidRDefault="00CB7BD6" w:rsidP="00CB1FC9">
      <w:pPr>
        <w:spacing w:line="360" w:lineRule="auto"/>
        <w:ind w:firstLine="720"/>
        <w:rPr>
          <w:sz w:val="26"/>
          <w:szCs w:val="26"/>
        </w:rPr>
      </w:pPr>
      <w:r w:rsidRPr="009A4CF6">
        <w:rPr>
          <w:sz w:val="26"/>
          <w:szCs w:val="26"/>
        </w:rPr>
        <w:t>Additionally, we direct OCMO to develop an electronic mail (email) distribution list dedicated to this proceeding.  This email distribution list should include any and all interested parties and will be used for notifying parties of actions associated with this Investigation, including, but not limited to, meetings, conference calls, Commission approval of recommendations, etc.  In order to be included in this distribution list, interested parties should email their</w:t>
      </w:r>
      <w:r w:rsidR="0075257B">
        <w:rPr>
          <w:sz w:val="26"/>
          <w:szCs w:val="26"/>
        </w:rPr>
        <w:t xml:space="preserve"> contact information to OCMO at </w:t>
      </w:r>
      <w:hyperlink r:id="rId11" w:history="1">
        <w:r w:rsidR="0075257B" w:rsidRPr="000D6F9F">
          <w:rPr>
            <w:rStyle w:val="Hyperlink"/>
            <w:sz w:val="26"/>
            <w:szCs w:val="26"/>
          </w:rPr>
          <w:t>ra-ocmo@pa.gov</w:t>
        </w:r>
      </w:hyperlink>
      <w:r w:rsidR="0075257B">
        <w:rPr>
          <w:sz w:val="26"/>
          <w:szCs w:val="26"/>
        </w:rPr>
        <w:t xml:space="preserve"> on or before January 9, 2015.  </w:t>
      </w:r>
      <w:r w:rsidRPr="009A4CF6">
        <w:rPr>
          <w:sz w:val="26"/>
          <w:szCs w:val="26"/>
        </w:rPr>
        <w:t>The subject line of those emails should include the Docket Number for this proceeding: I-2013-2381742.</w:t>
      </w:r>
    </w:p>
    <w:p w:rsidR="007B1993" w:rsidRPr="009A4CF6" w:rsidRDefault="007B1993" w:rsidP="00A63924">
      <w:pPr>
        <w:spacing w:line="360" w:lineRule="auto"/>
        <w:ind w:firstLine="720"/>
        <w:rPr>
          <w:sz w:val="26"/>
          <w:szCs w:val="26"/>
        </w:rPr>
      </w:pPr>
    </w:p>
    <w:p w:rsidR="00CA43A5" w:rsidRPr="009A4CF6" w:rsidRDefault="00CA43A5" w:rsidP="00A63924">
      <w:pPr>
        <w:spacing w:line="360" w:lineRule="auto"/>
        <w:ind w:firstLine="720"/>
        <w:rPr>
          <w:sz w:val="26"/>
          <w:szCs w:val="26"/>
        </w:rPr>
      </w:pPr>
      <w:r w:rsidRPr="009A4CF6">
        <w:rPr>
          <w:b/>
          <w:sz w:val="26"/>
          <w:szCs w:val="26"/>
        </w:rPr>
        <w:t>THEREFORE,</w:t>
      </w:r>
      <w:r w:rsidRPr="009A4CF6">
        <w:rPr>
          <w:sz w:val="26"/>
          <w:szCs w:val="26"/>
        </w:rPr>
        <w:t xml:space="preserve"> </w:t>
      </w:r>
    </w:p>
    <w:p w:rsidR="000B7917" w:rsidRPr="009A4CF6" w:rsidRDefault="000B7917" w:rsidP="00CA43A5">
      <w:pPr>
        <w:ind w:firstLine="1440"/>
        <w:rPr>
          <w:b/>
          <w:sz w:val="26"/>
          <w:szCs w:val="26"/>
        </w:rPr>
      </w:pPr>
    </w:p>
    <w:p w:rsidR="00CA43A5" w:rsidRPr="009A4CF6" w:rsidRDefault="00CA43A5" w:rsidP="00CA43A5">
      <w:pPr>
        <w:ind w:firstLine="1440"/>
        <w:rPr>
          <w:b/>
          <w:sz w:val="26"/>
          <w:szCs w:val="26"/>
        </w:rPr>
      </w:pPr>
      <w:r w:rsidRPr="009A4CF6">
        <w:rPr>
          <w:b/>
          <w:sz w:val="26"/>
          <w:szCs w:val="26"/>
        </w:rPr>
        <w:t xml:space="preserve">IT </w:t>
      </w:r>
      <w:r w:rsidR="00A35863" w:rsidRPr="009A4CF6">
        <w:rPr>
          <w:b/>
          <w:sz w:val="26"/>
          <w:szCs w:val="26"/>
        </w:rPr>
        <w:t xml:space="preserve">IS </w:t>
      </w:r>
      <w:r w:rsidRPr="009A4CF6">
        <w:rPr>
          <w:b/>
          <w:sz w:val="26"/>
          <w:szCs w:val="26"/>
        </w:rPr>
        <w:t>ORDERED:</w:t>
      </w:r>
    </w:p>
    <w:p w:rsidR="00CB7BD6" w:rsidRPr="009A4CF6" w:rsidRDefault="00CB7BD6" w:rsidP="00CA43A5">
      <w:pPr>
        <w:ind w:firstLine="1440"/>
        <w:rPr>
          <w:b/>
          <w:sz w:val="26"/>
          <w:szCs w:val="26"/>
        </w:rPr>
      </w:pPr>
    </w:p>
    <w:p w:rsidR="006132FA" w:rsidRPr="009A4CF6" w:rsidRDefault="006132FA" w:rsidP="00CA43A5">
      <w:pPr>
        <w:ind w:firstLine="1440"/>
        <w:rPr>
          <w:b/>
          <w:sz w:val="26"/>
          <w:szCs w:val="26"/>
        </w:rPr>
      </w:pPr>
    </w:p>
    <w:p w:rsidR="009A5ED7" w:rsidRPr="009A4CF6" w:rsidRDefault="00A63924" w:rsidP="00520EB8">
      <w:pPr>
        <w:spacing w:line="360" w:lineRule="auto"/>
        <w:ind w:firstLine="720"/>
        <w:rPr>
          <w:sz w:val="26"/>
          <w:szCs w:val="26"/>
        </w:rPr>
      </w:pPr>
      <w:r w:rsidRPr="009A4CF6">
        <w:rPr>
          <w:sz w:val="26"/>
          <w:szCs w:val="26"/>
        </w:rPr>
        <w:t>1</w:t>
      </w:r>
      <w:r w:rsidR="00520EB8" w:rsidRPr="009A4CF6">
        <w:rPr>
          <w:sz w:val="26"/>
          <w:szCs w:val="26"/>
        </w:rPr>
        <w:t xml:space="preserve">.  That this </w:t>
      </w:r>
      <w:r w:rsidRPr="009A4CF6">
        <w:rPr>
          <w:sz w:val="26"/>
          <w:szCs w:val="26"/>
        </w:rPr>
        <w:t>Final</w:t>
      </w:r>
      <w:r w:rsidR="00520EB8" w:rsidRPr="009A4CF6">
        <w:rPr>
          <w:sz w:val="26"/>
          <w:szCs w:val="26"/>
        </w:rPr>
        <w:t xml:space="preserve"> Order shall be served </w:t>
      </w:r>
      <w:r w:rsidR="00FF3B40" w:rsidRPr="009A4CF6">
        <w:rPr>
          <w:sz w:val="26"/>
          <w:szCs w:val="26"/>
        </w:rPr>
        <w:t xml:space="preserve">on </w:t>
      </w:r>
      <w:r w:rsidR="00753570" w:rsidRPr="009A4CF6">
        <w:rPr>
          <w:sz w:val="26"/>
          <w:szCs w:val="26"/>
        </w:rPr>
        <w:t>the Office of Consumer Advocate, the Office of Small Business Advocate, the</w:t>
      </w:r>
      <w:r w:rsidR="00520EB8" w:rsidRPr="009A4CF6">
        <w:rPr>
          <w:sz w:val="26"/>
          <w:szCs w:val="26"/>
        </w:rPr>
        <w:t xml:space="preserve"> </w:t>
      </w:r>
      <w:r w:rsidRPr="009A4CF6">
        <w:rPr>
          <w:sz w:val="26"/>
          <w:szCs w:val="26"/>
        </w:rPr>
        <w:t xml:space="preserve">Retail Energy Supply Association, </w:t>
      </w:r>
      <w:r w:rsidR="00096303" w:rsidRPr="009A4CF6">
        <w:rPr>
          <w:sz w:val="26"/>
          <w:szCs w:val="26"/>
        </w:rPr>
        <w:t xml:space="preserve">the </w:t>
      </w:r>
      <w:r w:rsidR="00520EB8" w:rsidRPr="009A4CF6">
        <w:rPr>
          <w:sz w:val="26"/>
          <w:szCs w:val="26"/>
        </w:rPr>
        <w:t>Energy Association of Pennsylvania</w:t>
      </w:r>
      <w:r w:rsidR="00EC688A" w:rsidRPr="009A4CF6">
        <w:rPr>
          <w:sz w:val="26"/>
          <w:szCs w:val="26"/>
        </w:rPr>
        <w:t xml:space="preserve">, and </w:t>
      </w:r>
      <w:r w:rsidR="00CB7BD6" w:rsidRPr="009A4CF6">
        <w:rPr>
          <w:sz w:val="26"/>
          <w:szCs w:val="26"/>
        </w:rPr>
        <w:t xml:space="preserve">all </w:t>
      </w:r>
      <w:r w:rsidR="00302BA0" w:rsidRPr="009A4CF6">
        <w:rPr>
          <w:sz w:val="26"/>
          <w:szCs w:val="26"/>
        </w:rPr>
        <w:t>P</w:t>
      </w:r>
      <w:r w:rsidR="00EC688A" w:rsidRPr="009A4CF6">
        <w:rPr>
          <w:sz w:val="26"/>
          <w:szCs w:val="26"/>
        </w:rPr>
        <w:t xml:space="preserve">arties </w:t>
      </w:r>
      <w:r w:rsidR="00CB7BD6" w:rsidRPr="009A4CF6">
        <w:rPr>
          <w:sz w:val="26"/>
          <w:szCs w:val="26"/>
        </w:rPr>
        <w:t>of record at this Docket</w:t>
      </w:r>
      <w:r w:rsidR="00520EB8" w:rsidRPr="009A4CF6">
        <w:rPr>
          <w:sz w:val="26"/>
          <w:szCs w:val="26"/>
        </w:rPr>
        <w:t>.</w:t>
      </w:r>
    </w:p>
    <w:p w:rsidR="00A43721" w:rsidRPr="009A4CF6" w:rsidRDefault="00A43721" w:rsidP="00520EB8">
      <w:pPr>
        <w:spacing w:line="360" w:lineRule="auto"/>
        <w:ind w:firstLine="720"/>
        <w:rPr>
          <w:sz w:val="26"/>
          <w:szCs w:val="26"/>
        </w:rPr>
      </w:pPr>
    </w:p>
    <w:p w:rsidR="00520EB8" w:rsidRPr="009A4CF6" w:rsidRDefault="00FF3B40" w:rsidP="00520EB8">
      <w:pPr>
        <w:spacing w:line="360" w:lineRule="auto"/>
        <w:ind w:firstLine="720"/>
        <w:rPr>
          <w:sz w:val="26"/>
          <w:szCs w:val="26"/>
        </w:rPr>
      </w:pPr>
      <w:r w:rsidRPr="009A4CF6">
        <w:rPr>
          <w:sz w:val="26"/>
          <w:szCs w:val="26"/>
        </w:rPr>
        <w:t>2</w:t>
      </w:r>
      <w:r w:rsidR="009A5ED7" w:rsidRPr="009A4CF6">
        <w:rPr>
          <w:sz w:val="26"/>
          <w:szCs w:val="26"/>
        </w:rPr>
        <w:t xml:space="preserve">.  That the Secretary shall deposit a </w:t>
      </w:r>
      <w:r w:rsidR="00486160">
        <w:rPr>
          <w:sz w:val="26"/>
          <w:szCs w:val="26"/>
        </w:rPr>
        <w:t>notice</w:t>
      </w:r>
      <w:r w:rsidR="00486160" w:rsidRPr="009A4CF6">
        <w:rPr>
          <w:sz w:val="26"/>
          <w:szCs w:val="26"/>
        </w:rPr>
        <w:t xml:space="preserve"> </w:t>
      </w:r>
      <w:r w:rsidR="009A5ED7" w:rsidRPr="009A4CF6">
        <w:rPr>
          <w:sz w:val="26"/>
          <w:szCs w:val="26"/>
        </w:rPr>
        <w:t xml:space="preserve">of this </w:t>
      </w:r>
      <w:r w:rsidR="00A63924" w:rsidRPr="009A4CF6">
        <w:rPr>
          <w:sz w:val="26"/>
          <w:szCs w:val="26"/>
        </w:rPr>
        <w:t>Final</w:t>
      </w:r>
      <w:r w:rsidR="009A5ED7" w:rsidRPr="009A4CF6">
        <w:rPr>
          <w:sz w:val="26"/>
          <w:szCs w:val="26"/>
        </w:rPr>
        <w:t xml:space="preserve"> Order with the Legislative </w:t>
      </w:r>
      <w:r w:rsidR="009A5ED7" w:rsidRPr="009A4CF6">
        <w:rPr>
          <w:sz w:val="26"/>
          <w:szCs w:val="26"/>
        </w:rPr>
        <w:lastRenderedPageBreak/>
        <w:t xml:space="preserve">Reference Bureau for publication in the </w:t>
      </w:r>
      <w:r w:rsidR="009A5ED7" w:rsidRPr="009A4CF6">
        <w:rPr>
          <w:i/>
          <w:sz w:val="26"/>
          <w:szCs w:val="26"/>
        </w:rPr>
        <w:t>Pennsylvania Bulletin</w:t>
      </w:r>
      <w:r w:rsidR="009A5ED7" w:rsidRPr="009A4CF6">
        <w:rPr>
          <w:sz w:val="26"/>
          <w:szCs w:val="26"/>
        </w:rPr>
        <w:t>.</w:t>
      </w:r>
      <w:r w:rsidR="00520EB8" w:rsidRPr="009A4CF6">
        <w:rPr>
          <w:sz w:val="26"/>
          <w:szCs w:val="26"/>
        </w:rPr>
        <w:t xml:space="preserve">    </w:t>
      </w:r>
    </w:p>
    <w:p w:rsidR="00D1139B" w:rsidRPr="009A4CF6" w:rsidRDefault="00D1139B" w:rsidP="00520EB8">
      <w:pPr>
        <w:spacing w:line="360" w:lineRule="auto"/>
        <w:ind w:firstLine="720"/>
        <w:rPr>
          <w:sz w:val="26"/>
          <w:szCs w:val="26"/>
        </w:rPr>
      </w:pPr>
    </w:p>
    <w:p w:rsidR="00CB7BD6" w:rsidRPr="009A4CF6" w:rsidRDefault="00FF3B40" w:rsidP="00520EB8">
      <w:pPr>
        <w:spacing w:line="360" w:lineRule="auto"/>
        <w:ind w:firstLine="720"/>
        <w:rPr>
          <w:sz w:val="26"/>
        </w:rPr>
      </w:pPr>
      <w:r w:rsidRPr="009A4CF6">
        <w:rPr>
          <w:sz w:val="26"/>
        </w:rPr>
        <w:t>3</w:t>
      </w:r>
      <w:r w:rsidR="00520EB8" w:rsidRPr="009A4CF6">
        <w:rPr>
          <w:sz w:val="26"/>
        </w:rPr>
        <w:t xml:space="preserve">.  </w:t>
      </w:r>
      <w:r w:rsidR="00CB7BD6" w:rsidRPr="009A4CF6">
        <w:rPr>
          <w:sz w:val="26"/>
        </w:rPr>
        <w:t>That the Office of Competitive Market Oversight shall initiate a working group composed of Natural Gas Distribution Companies, Natural Gas Suppliers</w:t>
      </w:r>
      <w:r w:rsidR="008C6685" w:rsidRPr="009A4CF6">
        <w:rPr>
          <w:sz w:val="26"/>
        </w:rPr>
        <w:t xml:space="preserve"> and other interested parties to investigate potential changes or standardization of the use of capacity and storage assets; issues regarding system balance, tolerances and penalties; amendments to creditworthiness requirements; and issues regarding nondiscrimination in access points on distribution systems.  </w:t>
      </w:r>
    </w:p>
    <w:p w:rsidR="00CB7BD6" w:rsidRPr="009A4CF6" w:rsidRDefault="00CB7BD6" w:rsidP="00520EB8">
      <w:pPr>
        <w:spacing w:line="360" w:lineRule="auto"/>
        <w:ind w:firstLine="720"/>
        <w:rPr>
          <w:sz w:val="26"/>
        </w:rPr>
      </w:pPr>
    </w:p>
    <w:p w:rsidR="008C6685" w:rsidRPr="009A4CF6" w:rsidRDefault="00CB7BD6" w:rsidP="00520EB8">
      <w:pPr>
        <w:spacing w:line="360" w:lineRule="auto"/>
        <w:ind w:firstLine="720"/>
        <w:rPr>
          <w:sz w:val="26"/>
          <w:szCs w:val="26"/>
        </w:rPr>
      </w:pPr>
      <w:r w:rsidRPr="009A4CF6">
        <w:rPr>
          <w:sz w:val="26"/>
        </w:rPr>
        <w:t xml:space="preserve">4.  </w:t>
      </w:r>
      <w:r w:rsidR="008C6685" w:rsidRPr="009A4CF6">
        <w:rPr>
          <w:sz w:val="26"/>
        </w:rPr>
        <w:t xml:space="preserve">That </w:t>
      </w:r>
      <w:r w:rsidR="008C6685" w:rsidRPr="009A4CF6">
        <w:rPr>
          <w:sz w:val="26"/>
          <w:szCs w:val="26"/>
        </w:rPr>
        <w:t xml:space="preserve">interested parties shall have </w:t>
      </w:r>
      <w:r w:rsidR="00486160">
        <w:rPr>
          <w:sz w:val="26"/>
          <w:szCs w:val="26"/>
        </w:rPr>
        <w:t xml:space="preserve">30 </w:t>
      </w:r>
      <w:r w:rsidR="008C6685" w:rsidRPr="009A4CF6">
        <w:rPr>
          <w:sz w:val="26"/>
          <w:szCs w:val="26"/>
        </w:rPr>
        <w:t xml:space="preserve">days from the date </w:t>
      </w:r>
      <w:r w:rsidR="00486160">
        <w:rPr>
          <w:sz w:val="26"/>
          <w:szCs w:val="26"/>
        </w:rPr>
        <w:t xml:space="preserve">the notice is published in the </w:t>
      </w:r>
      <w:r w:rsidR="00486160">
        <w:rPr>
          <w:i/>
          <w:sz w:val="26"/>
          <w:szCs w:val="26"/>
        </w:rPr>
        <w:t xml:space="preserve">Pennsylvania </w:t>
      </w:r>
      <w:r w:rsidR="00486160" w:rsidRPr="00486160">
        <w:rPr>
          <w:i/>
          <w:sz w:val="26"/>
          <w:szCs w:val="26"/>
        </w:rPr>
        <w:t>Bulletin</w:t>
      </w:r>
      <w:r w:rsidR="00486160">
        <w:rPr>
          <w:sz w:val="26"/>
          <w:szCs w:val="26"/>
        </w:rPr>
        <w:t xml:space="preserve"> </w:t>
      </w:r>
      <w:r w:rsidR="008C6685" w:rsidRPr="00486160">
        <w:rPr>
          <w:sz w:val="26"/>
          <w:szCs w:val="26"/>
        </w:rPr>
        <w:t>to</w:t>
      </w:r>
      <w:r w:rsidR="008C6685" w:rsidRPr="009A4CF6">
        <w:rPr>
          <w:sz w:val="26"/>
          <w:szCs w:val="26"/>
        </w:rPr>
        <w:t xml:space="preserve"> file, with the Pennsylvania Public Utility Commission, written comments regarding Natural Gas Supplier disclosure requirements.  Parties should reference Docket Number I-2013-2381742 when submitting their comments.</w:t>
      </w:r>
      <w:r w:rsidR="005C3312">
        <w:rPr>
          <w:sz w:val="26"/>
          <w:szCs w:val="26"/>
        </w:rPr>
        <w:t xml:space="preserve">  </w:t>
      </w:r>
      <w:r w:rsidR="005C3312" w:rsidRPr="005C3312">
        <w:rPr>
          <w:sz w:val="26"/>
          <w:szCs w:val="26"/>
        </w:rPr>
        <w:t>Interested parties may submit comments (an original with no copies), to the Secretary, Pennsylvania Public Utility Commission, P.O. Box 3265, Harrisburg, PA 17105-3265.  Comments may also be filed electronically through the Commission</w:t>
      </w:r>
      <w:r w:rsidR="005C3312">
        <w:rPr>
          <w:sz w:val="26"/>
          <w:szCs w:val="26"/>
        </w:rPr>
        <w:t>’s</w:t>
      </w:r>
      <w:r w:rsidR="005C3312" w:rsidRPr="005C3312">
        <w:rPr>
          <w:sz w:val="26"/>
          <w:szCs w:val="26"/>
        </w:rPr>
        <w:t xml:space="preserve"> e-File System.  No reply comments shall be permitted.</w:t>
      </w:r>
    </w:p>
    <w:p w:rsidR="008C6685" w:rsidRPr="009A4CF6" w:rsidRDefault="008C6685" w:rsidP="00520EB8">
      <w:pPr>
        <w:spacing w:line="360" w:lineRule="auto"/>
        <w:ind w:firstLine="720"/>
        <w:rPr>
          <w:sz w:val="26"/>
          <w:szCs w:val="26"/>
        </w:rPr>
      </w:pPr>
    </w:p>
    <w:p w:rsidR="008C6685" w:rsidRPr="009A4CF6" w:rsidRDefault="008C6685" w:rsidP="00520EB8">
      <w:pPr>
        <w:spacing w:line="360" w:lineRule="auto"/>
        <w:ind w:firstLine="720"/>
        <w:rPr>
          <w:sz w:val="26"/>
          <w:szCs w:val="26"/>
        </w:rPr>
      </w:pPr>
      <w:r w:rsidRPr="009A4CF6">
        <w:rPr>
          <w:sz w:val="26"/>
          <w:szCs w:val="26"/>
        </w:rPr>
        <w:t xml:space="preserve">5.  That interested parties shall, by </w:t>
      </w:r>
      <w:r w:rsidR="00F7305B">
        <w:rPr>
          <w:sz w:val="26"/>
          <w:szCs w:val="26"/>
        </w:rPr>
        <w:t>February 28</w:t>
      </w:r>
      <w:r w:rsidRPr="009A4CF6">
        <w:rPr>
          <w:sz w:val="26"/>
          <w:szCs w:val="26"/>
        </w:rPr>
        <w:t xml:space="preserve">, 2015, file informal comments with the Office of Competitive Market Oversight, at </w:t>
      </w:r>
      <w:hyperlink r:id="rId12" w:history="1">
        <w:r w:rsidRPr="009A4CF6">
          <w:rPr>
            <w:rStyle w:val="Hyperlink"/>
            <w:sz w:val="26"/>
            <w:szCs w:val="26"/>
          </w:rPr>
          <w:t>ra-OCMO@pa.gov</w:t>
        </w:r>
      </w:hyperlink>
      <w:r w:rsidRPr="009A4CF6">
        <w:rPr>
          <w:sz w:val="26"/>
          <w:szCs w:val="26"/>
        </w:rPr>
        <w:t>, regarding supplier-related elements that would be appropriate for inclusion on the utility-consolidated bill.  Parties should reference Docket Number I-2013-2381742 when submitting their informal comments.</w:t>
      </w:r>
    </w:p>
    <w:p w:rsidR="008C6685" w:rsidRPr="009A4CF6" w:rsidRDefault="008C6685" w:rsidP="00520EB8">
      <w:pPr>
        <w:spacing w:line="360" w:lineRule="auto"/>
        <w:ind w:firstLine="720"/>
        <w:rPr>
          <w:sz w:val="26"/>
          <w:szCs w:val="26"/>
        </w:rPr>
      </w:pPr>
    </w:p>
    <w:p w:rsidR="008C6685" w:rsidRDefault="008C6685" w:rsidP="00520EB8">
      <w:pPr>
        <w:spacing w:line="360" w:lineRule="auto"/>
        <w:ind w:firstLine="720"/>
        <w:rPr>
          <w:sz w:val="26"/>
          <w:szCs w:val="26"/>
        </w:rPr>
      </w:pPr>
      <w:r w:rsidRPr="009A4CF6">
        <w:rPr>
          <w:sz w:val="26"/>
          <w:szCs w:val="26"/>
        </w:rPr>
        <w:t xml:space="preserve">6.  </w:t>
      </w:r>
      <w:r w:rsidRPr="009A4CF6">
        <w:rPr>
          <w:sz w:val="26"/>
        </w:rPr>
        <w:t xml:space="preserve">That </w:t>
      </w:r>
      <w:r w:rsidRPr="009A4CF6">
        <w:rPr>
          <w:sz w:val="26"/>
          <w:szCs w:val="26"/>
        </w:rPr>
        <w:t xml:space="preserve">interested parties shall have </w:t>
      </w:r>
      <w:r w:rsidR="00486160">
        <w:rPr>
          <w:sz w:val="26"/>
          <w:szCs w:val="26"/>
        </w:rPr>
        <w:t>30</w:t>
      </w:r>
      <w:r w:rsidR="00486160" w:rsidRPr="009A4CF6">
        <w:rPr>
          <w:sz w:val="26"/>
          <w:szCs w:val="26"/>
        </w:rPr>
        <w:t xml:space="preserve"> </w:t>
      </w:r>
      <w:r w:rsidRPr="009A4CF6">
        <w:rPr>
          <w:sz w:val="26"/>
          <w:szCs w:val="26"/>
        </w:rPr>
        <w:t xml:space="preserve">days from the date </w:t>
      </w:r>
      <w:r w:rsidR="00486160">
        <w:rPr>
          <w:sz w:val="26"/>
          <w:szCs w:val="26"/>
        </w:rPr>
        <w:t xml:space="preserve">the notice is filed in the </w:t>
      </w:r>
      <w:r w:rsidR="00486160">
        <w:rPr>
          <w:i/>
          <w:sz w:val="26"/>
          <w:szCs w:val="26"/>
        </w:rPr>
        <w:t>Pennsylvania Bulletin</w:t>
      </w:r>
      <w:r w:rsidRPr="009A4CF6">
        <w:rPr>
          <w:sz w:val="26"/>
          <w:szCs w:val="26"/>
        </w:rPr>
        <w:t xml:space="preserve"> to file, with the Pennsylvania Public Utility Commission, written comments regarding the development of account number access mechanisms.  Parties should reference Docket Number I-2013-2381742 when submitting their comments.</w:t>
      </w:r>
      <w:r w:rsidR="005C3312">
        <w:rPr>
          <w:sz w:val="26"/>
          <w:szCs w:val="26"/>
        </w:rPr>
        <w:t xml:space="preserve">  </w:t>
      </w:r>
      <w:r w:rsidR="005C3312" w:rsidRPr="005C3312">
        <w:rPr>
          <w:sz w:val="26"/>
          <w:szCs w:val="26"/>
        </w:rPr>
        <w:t xml:space="preserve">Interested parties may submit comments (an original with no copies), to the Secretary, </w:t>
      </w:r>
      <w:r w:rsidR="005C3312" w:rsidRPr="005C3312">
        <w:rPr>
          <w:sz w:val="26"/>
          <w:szCs w:val="26"/>
        </w:rPr>
        <w:lastRenderedPageBreak/>
        <w:t>Pennsylvania Public Utility Commission, P.O. Box 3265, Harrisburg, PA 17105-3265.  Comments may also be filed electronically through the Commission</w:t>
      </w:r>
      <w:r w:rsidR="005C3312">
        <w:rPr>
          <w:sz w:val="26"/>
          <w:szCs w:val="26"/>
        </w:rPr>
        <w:t>’s</w:t>
      </w:r>
      <w:r w:rsidR="005C3312" w:rsidRPr="005C3312">
        <w:rPr>
          <w:sz w:val="26"/>
          <w:szCs w:val="26"/>
        </w:rPr>
        <w:t xml:space="preserve"> e-File System.  No reply comments shall be permitted.</w:t>
      </w:r>
    </w:p>
    <w:p w:rsidR="00486160" w:rsidRDefault="00486160" w:rsidP="00520EB8">
      <w:pPr>
        <w:spacing w:line="360" w:lineRule="auto"/>
        <w:ind w:firstLine="720"/>
        <w:rPr>
          <w:sz w:val="26"/>
          <w:szCs w:val="26"/>
        </w:rPr>
      </w:pPr>
    </w:p>
    <w:p w:rsidR="00486160" w:rsidRPr="009A4CF6" w:rsidRDefault="00486160" w:rsidP="00520EB8">
      <w:pPr>
        <w:spacing w:line="360" w:lineRule="auto"/>
        <w:ind w:firstLine="720"/>
        <w:rPr>
          <w:sz w:val="26"/>
        </w:rPr>
      </w:pPr>
      <w:r>
        <w:rPr>
          <w:sz w:val="26"/>
          <w:szCs w:val="26"/>
        </w:rPr>
        <w:t xml:space="preserve">7.  That interested parties shall, by January 9, 2015, email their contact information to the Office of Competitive Market Oversight, at </w:t>
      </w:r>
      <w:hyperlink r:id="rId13" w:history="1">
        <w:r w:rsidRPr="007B7D54">
          <w:rPr>
            <w:rStyle w:val="Hyperlink"/>
            <w:sz w:val="26"/>
            <w:szCs w:val="26"/>
          </w:rPr>
          <w:t>ra-ocmo@pa.gov</w:t>
        </w:r>
      </w:hyperlink>
      <w:r>
        <w:rPr>
          <w:sz w:val="26"/>
          <w:szCs w:val="26"/>
        </w:rPr>
        <w:t>, in order to be included on an email distribution list dedicated to this proceeding.</w:t>
      </w:r>
    </w:p>
    <w:p w:rsidR="008C6685" w:rsidRPr="009A4CF6" w:rsidRDefault="008C6685" w:rsidP="00520EB8">
      <w:pPr>
        <w:spacing w:line="360" w:lineRule="auto"/>
        <w:ind w:firstLine="720"/>
        <w:rPr>
          <w:sz w:val="26"/>
        </w:rPr>
      </w:pPr>
    </w:p>
    <w:p w:rsidR="00520EB8" w:rsidRPr="009A4CF6" w:rsidRDefault="00486160" w:rsidP="00520EB8">
      <w:pPr>
        <w:spacing w:line="360" w:lineRule="auto"/>
        <w:ind w:firstLine="720"/>
        <w:rPr>
          <w:sz w:val="26"/>
        </w:rPr>
      </w:pPr>
      <w:r>
        <w:rPr>
          <w:sz w:val="26"/>
        </w:rPr>
        <w:t>8</w:t>
      </w:r>
      <w:r w:rsidR="008C6685" w:rsidRPr="009A4CF6">
        <w:rPr>
          <w:sz w:val="26"/>
        </w:rPr>
        <w:t xml:space="preserve">.  </w:t>
      </w:r>
      <w:r w:rsidR="00520EB8" w:rsidRPr="009A4CF6">
        <w:rPr>
          <w:sz w:val="26"/>
        </w:rPr>
        <w:t xml:space="preserve">That a copy of this </w:t>
      </w:r>
      <w:r w:rsidR="002C50D7" w:rsidRPr="009A4CF6">
        <w:rPr>
          <w:sz w:val="26"/>
        </w:rPr>
        <w:t>Final</w:t>
      </w:r>
      <w:r w:rsidR="00520EB8" w:rsidRPr="009A4CF6">
        <w:rPr>
          <w:sz w:val="26"/>
        </w:rPr>
        <w:t xml:space="preserve"> Order shall be posted on the Commission’s website at the Office of Competitive Market Oversight’s </w:t>
      </w:r>
      <w:r w:rsidR="00CB7BD6" w:rsidRPr="009A4CF6">
        <w:rPr>
          <w:sz w:val="26"/>
        </w:rPr>
        <w:t xml:space="preserve">Gas RMI </w:t>
      </w:r>
      <w:r w:rsidR="00520EB8" w:rsidRPr="009A4CF6">
        <w:rPr>
          <w:sz w:val="26"/>
        </w:rPr>
        <w:t>web page</w:t>
      </w:r>
      <w:r w:rsidR="00CB7BD6" w:rsidRPr="009A4CF6">
        <w:rPr>
          <w:sz w:val="26"/>
        </w:rPr>
        <w:t xml:space="preserve">, available at the following address: </w:t>
      </w:r>
      <w:hyperlink r:id="rId14" w:history="1">
        <w:r w:rsidR="009A4CF6" w:rsidRPr="009A4CF6">
          <w:rPr>
            <w:rStyle w:val="Hyperlink"/>
            <w:sz w:val="26"/>
          </w:rPr>
          <w:t>http://www.puc.pa.gov/utility_industry/natural_gas/natrual_gas_rmi.aspx</w:t>
        </w:r>
      </w:hyperlink>
      <w:r w:rsidR="00520EB8" w:rsidRPr="009A4CF6">
        <w:rPr>
          <w:sz w:val="26"/>
        </w:rPr>
        <w:t>.</w:t>
      </w:r>
    </w:p>
    <w:p w:rsidR="00DD3115" w:rsidRPr="009A4CF6" w:rsidRDefault="00DD3115" w:rsidP="00520EB8">
      <w:pPr>
        <w:spacing w:line="360" w:lineRule="auto"/>
        <w:ind w:firstLine="720"/>
        <w:rPr>
          <w:sz w:val="26"/>
        </w:rPr>
      </w:pPr>
    </w:p>
    <w:p w:rsidR="008D37D0" w:rsidRPr="009A4CF6" w:rsidRDefault="00486160" w:rsidP="004640D2">
      <w:pPr>
        <w:spacing w:line="360" w:lineRule="auto"/>
        <w:ind w:firstLine="720"/>
        <w:rPr>
          <w:sz w:val="26"/>
          <w:szCs w:val="26"/>
        </w:rPr>
      </w:pPr>
      <w:r>
        <w:rPr>
          <w:sz w:val="26"/>
        </w:rPr>
        <w:t>9</w:t>
      </w:r>
      <w:r w:rsidR="00F15B8D" w:rsidRPr="009A4CF6">
        <w:rPr>
          <w:sz w:val="26"/>
        </w:rPr>
        <w:t xml:space="preserve">. </w:t>
      </w:r>
      <w:r w:rsidR="004640D2" w:rsidRPr="009A4CF6">
        <w:rPr>
          <w:sz w:val="26"/>
        </w:rPr>
        <w:t xml:space="preserve">That the contact persons for this Investigation are H. Kirk House, </w:t>
      </w:r>
      <w:hyperlink r:id="rId15" w:history="1">
        <w:r w:rsidR="004640D2" w:rsidRPr="009A4CF6">
          <w:rPr>
            <w:rStyle w:val="Hyperlink"/>
            <w:sz w:val="26"/>
          </w:rPr>
          <w:t>hhouse@pa.gov</w:t>
        </w:r>
      </w:hyperlink>
      <w:r w:rsidR="004640D2" w:rsidRPr="009A4CF6">
        <w:rPr>
          <w:sz w:val="26"/>
        </w:rPr>
        <w:t xml:space="preserve"> or 717-772-8495 and Dan Mumford, </w:t>
      </w:r>
      <w:hyperlink r:id="rId16" w:history="1">
        <w:r w:rsidR="004640D2" w:rsidRPr="009A4CF6">
          <w:rPr>
            <w:rStyle w:val="Hyperlink"/>
            <w:sz w:val="26"/>
          </w:rPr>
          <w:t>dmumford@pa.gov</w:t>
        </w:r>
      </w:hyperlink>
      <w:r w:rsidR="004640D2" w:rsidRPr="009A4CF6">
        <w:rPr>
          <w:sz w:val="26"/>
        </w:rPr>
        <w:t xml:space="preserve"> or 717-783-1957.  Inquiries regarding this Investigation may also be emailed to the Commission’s Office of Competitive Markets Oversight at </w:t>
      </w:r>
      <w:hyperlink r:id="rId17" w:history="1">
        <w:r w:rsidR="004640D2" w:rsidRPr="009A4CF6">
          <w:rPr>
            <w:rStyle w:val="Hyperlink"/>
            <w:sz w:val="26"/>
          </w:rPr>
          <w:t>ra-ocmo@pa.gov</w:t>
        </w:r>
      </w:hyperlink>
      <w:r w:rsidR="004640D2" w:rsidRPr="009A4CF6">
        <w:rPr>
          <w:sz w:val="26"/>
        </w:rPr>
        <w:t xml:space="preserve">.   </w:t>
      </w:r>
    </w:p>
    <w:p w:rsidR="00D1139B" w:rsidRPr="009A4CF6" w:rsidRDefault="00D1139B" w:rsidP="00E4001A">
      <w:pPr>
        <w:keepNext/>
        <w:keepLines/>
        <w:tabs>
          <w:tab w:val="left" w:pos="-720"/>
        </w:tabs>
        <w:ind w:firstLine="5040"/>
        <w:rPr>
          <w:b/>
          <w:sz w:val="26"/>
          <w:szCs w:val="26"/>
        </w:rPr>
      </w:pPr>
    </w:p>
    <w:p w:rsidR="00667C51" w:rsidRPr="009A4CF6" w:rsidRDefault="00667C51" w:rsidP="00E4001A">
      <w:pPr>
        <w:keepNext/>
        <w:keepLines/>
        <w:tabs>
          <w:tab w:val="left" w:pos="-720"/>
        </w:tabs>
        <w:ind w:firstLine="5040"/>
        <w:rPr>
          <w:b/>
          <w:sz w:val="26"/>
          <w:szCs w:val="26"/>
        </w:rPr>
      </w:pPr>
    </w:p>
    <w:p w:rsidR="009A4EF4" w:rsidRPr="009A4CF6" w:rsidRDefault="009A4EF4" w:rsidP="00E4001A">
      <w:pPr>
        <w:keepNext/>
        <w:keepLines/>
        <w:tabs>
          <w:tab w:val="left" w:pos="-720"/>
        </w:tabs>
        <w:ind w:firstLine="5040"/>
        <w:rPr>
          <w:b/>
          <w:sz w:val="26"/>
          <w:szCs w:val="26"/>
        </w:rPr>
      </w:pPr>
    </w:p>
    <w:p w:rsidR="00CA43A5" w:rsidRPr="009A4CF6" w:rsidRDefault="00453028" w:rsidP="00E4001A">
      <w:pPr>
        <w:keepNext/>
        <w:keepLines/>
        <w:tabs>
          <w:tab w:val="left" w:pos="-720"/>
        </w:tabs>
        <w:ind w:firstLine="5040"/>
        <w:rPr>
          <w:sz w:val="26"/>
          <w:szCs w:val="26"/>
        </w:rPr>
      </w:pPr>
      <w:bookmarkStart w:id="24" w:name="_GoBack"/>
      <w:r>
        <w:rPr>
          <w:noProof/>
        </w:rPr>
        <w:drawing>
          <wp:anchor distT="0" distB="0" distL="114300" distR="114300" simplePos="0" relativeHeight="251659264" behindDoc="1" locked="0" layoutInCell="1" allowOverlap="1" wp14:anchorId="3205E91A" wp14:editId="27CC49D6">
            <wp:simplePos x="0" y="0"/>
            <wp:positionH relativeFrom="column">
              <wp:posOffset>2740660</wp:posOffset>
            </wp:positionH>
            <wp:positionV relativeFrom="paragraph">
              <wp:posOffset>19685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4"/>
      <w:r w:rsidR="00CA43A5" w:rsidRPr="009A4CF6">
        <w:rPr>
          <w:b/>
          <w:sz w:val="26"/>
          <w:szCs w:val="26"/>
        </w:rPr>
        <w:t>BY THE COMMISSION,</w:t>
      </w:r>
    </w:p>
    <w:p w:rsidR="00CA43A5" w:rsidRPr="009A4CF6" w:rsidRDefault="00CA43A5" w:rsidP="00E4001A">
      <w:pPr>
        <w:keepNext/>
        <w:keepLines/>
        <w:tabs>
          <w:tab w:val="left" w:pos="-720"/>
        </w:tabs>
        <w:rPr>
          <w:sz w:val="26"/>
          <w:szCs w:val="26"/>
        </w:rPr>
      </w:pPr>
    </w:p>
    <w:p w:rsidR="00CA43A5" w:rsidRPr="009A4CF6" w:rsidRDefault="00CA43A5" w:rsidP="00E4001A">
      <w:pPr>
        <w:keepNext/>
        <w:keepLines/>
        <w:tabs>
          <w:tab w:val="left" w:pos="-720"/>
        </w:tabs>
        <w:rPr>
          <w:sz w:val="26"/>
          <w:szCs w:val="26"/>
        </w:rPr>
      </w:pPr>
    </w:p>
    <w:p w:rsidR="00CA43A5" w:rsidRPr="009A4CF6" w:rsidRDefault="00CA43A5" w:rsidP="00E4001A">
      <w:pPr>
        <w:keepNext/>
        <w:keepLines/>
        <w:tabs>
          <w:tab w:val="left" w:pos="-720"/>
        </w:tabs>
        <w:rPr>
          <w:sz w:val="26"/>
          <w:szCs w:val="26"/>
        </w:rPr>
      </w:pPr>
    </w:p>
    <w:p w:rsidR="00CA43A5" w:rsidRPr="009A4CF6" w:rsidRDefault="00564565" w:rsidP="00E4001A">
      <w:pPr>
        <w:keepNext/>
        <w:keepLines/>
        <w:tabs>
          <w:tab w:val="left" w:pos="-720"/>
        </w:tabs>
        <w:ind w:firstLine="5040"/>
        <w:rPr>
          <w:b/>
          <w:sz w:val="26"/>
          <w:szCs w:val="26"/>
        </w:rPr>
      </w:pPr>
      <w:r w:rsidRPr="009A4CF6">
        <w:rPr>
          <w:sz w:val="26"/>
          <w:szCs w:val="26"/>
        </w:rPr>
        <w:t>Rosemary Chiavetta</w:t>
      </w:r>
    </w:p>
    <w:p w:rsidR="00CA43A5" w:rsidRPr="009A4CF6" w:rsidRDefault="00CA43A5" w:rsidP="00E4001A">
      <w:pPr>
        <w:keepNext/>
        <w:keepLines/>
        <w:tabs>
          <w:tab w:val="left" w:pos="-720"/>
        </w:tabs>
        <w:ind w:firstLine="5040"/>
        <w:rPr>
          <w:sz w:val="26"/>
          <w:szCs w:val="26"/>
        </w:rPr>
      </w:pPr>
      <w:r w:rsidRPr="009A4CF6">
        <w:rPr>
          <w:sz w:val="26"/>
          <w:szCs w:val="26"/>
        </w:rPr>
        <w:t>Secretary</w:t>
      </w:r>
    </w:p>
    <w:p w:rsidR="00CA43A5" w:rsidRPr="009A4CF6" w:rsidRDefault="00CA43A5" w:rsidP="00E4001A">
      <w:pPr>
        <w:keepNext/>
        <w:keepLines/>
        <w:tabs>
          <w:tab w:val="left" w:pos="-720"/>
        </w:tabs>
        <w:rPr>
          <w:sz w:val="26"/>
          <w:szCs w:val="26"/>
        </w:rPr>
      </w:pPr>
    </w:p>
    <w:p w:rsidR="00CA43A5" w:rsidRPr="009A4CF6" w:rsidRDefault="00CA43A5" w:rsidP="00E4001A">
      <w:pPr>
        <w:keepNext/>
        <w:keepLines/>
        <w:tabs>
          <w:tab w:val="left" w:pos="-720"/>
        </w:tabs>
        <w:rPr>
          <w:sz w:val="26"/>
          <w:szCs w:val="26"/>
        </w:rPr>
      </w:pPr>
      <w:r w:rsidRPr="009A4CF6">
        <w:rPr>
          <w:sz w:val="26"/>
          <w:szCs w:val="26"/>
        </w:rPr>
        <w:t>(SEAL)</w:t>
      </w:r>
    </w:p>
    <w:p w:rsidR="00CA43A5" w:rsidRPr="009A4CF6" w:rsidRDefault="00CA43A5" w:rsidP="00E4001A">
      <w:pPr>
        <w:keepNext/>
        <w:keepLines/>
        <w:tabs>
          <w:tab w:val="left" w:pos="-720"/>
        </w:tabs>
        <w:rPr>
          <w:sz w:val="26"/>
          <w:szCs w:val="26"/>
        </w:rPr>
      </w:pPr>
    </w:p>
    <w:p w:rsidR="00857172" w:rsidRPr="009A4CF6" w:rsidRDefault="00CA43A5" w:rsidP="00E4001A">
      <w:pPr>
        <w:keepNext/>
        <w:keepLines/>
        <w:tabs>
          <w:tab w:val="left" w:pos="-720"/>
        </w:tabs>
        <w:rPr>
          <w:sz w:val="26"/>
          <w:szCs w:val="26"/>
        </w:rPr>
      </w:pPr>
      <w:r w:rsidRPr="009A4CF6">
        <w:rPr>
          <w:sz w:val="26"/>
          <w:szCs w:val="26"/>
        </w:rPr>
        <w:t xml:space="preserve">ORDER ADOPTED: </w:t>
      </w:r>
      <w:r w:rsidR="004640D2" w:rsidRPr="009A4CF6">
        <w:rPr>
          <w:sz w:val="26"/>
          <w:szCs w:val="26"/>
        </w:rPr>
        <w:t xml:space="preserve">December 18, </w:t>
      </w:r>
      <w:r w:rsidR="001928F0" w:rsidRPr="009A4CF6">
        <w:rPr>
          <w:sz w:val="26"/>
          <w:szCs w:val="26"/>
        </w:rPr>
        <w:t>201</w:t>
      </w:r>
      <w:r w:rsidR="00A35863" w:rsidRPr="009A4CF6">
        <w:rPr>
          <w:sz w:val="26"/>
          <w:szCs w:val="26"/>
        </w:rPr>
        <w:t>4</w:t>
      </w:r>
    </w:p>
    <w:p w:rsidR="001928F0" w:rsidRPr="009A4CF6" w:rsidRDefault="001928F0" w:rsidP="00E4001A">
      <w:pPr>
        <w:keepNext/>
        <w:keepLines/>
        <w:tabs>
          <w:tab w:val="left" w:pos="-720"/>
        </w:tabs>
        <w:rPr>
          <w:sz w:val="26"/>
          <w:szCs w:val="26"/>
        </w:rPr>
      </w:pPr>
    </w:p>
    <w:p w:rsidR="00CA43A5" w:rsidRPr="00324E0D" w:rsidRDefault="00CA43A5" w:rsidP="00E4001A">
      <w:pPr>
        <w:keepNext/>
        <w:keepLines/>
        <w:tabs>
          <w:tab w:val="left" w:pos="-720"/>
        </w:tabs>
        <w:rPr>
          <w:b/>
          <w:sz w:val="26"/>
          <w:szCs w:val="26"/>
        </w:rPr>
      </w:pPr>
      <w:r w:rsidRPr="009A4CF6">
        <w:rPr>
          <w:sz w:val="26"/>
          <w:szCs w:val="26"/>
        </w:rPr>
        <w:t>ORDER ENTERED:</w:t>
      </w:r>
      <w:r w:rsidRPr="00CA43A5">
        <w:rPr>
          <w:sz w:val="26"/>
          <w:szCs w:val="26"/>
        </w:rPr>
        <w:t xml:space="preserve">  </w:t>
      </w:r>
      <w:r w:rsidR="00453028">
        <w:rPr>
          <w:sz w:val="26"/>
          <w:szCs w:val="26"/>
        </w:rPr>
        <w:t>December 18, 2014</w:t>
      </w:r>
    </w:p>
    <w:p w:rsidR="00344804" w:rsidRPr="00CA43A5" w:rsidRDefault="00344804" w:rsidP="00E4001A">
      <w:pPr>
        <w:keepNext/>
        <w:keepLines/>
        <w:widowControl/>
        <w:ind w:right="360"/>
        <w:rPr>
          <w:sz w:val="26"/>
          <w:szCs w:val="26"/>
        </w:rPr>
      </w:pPr>
    </w:p>
    <w:sectPr w:rsidR="00344804" w:rsidRPr="00CA43A5" w:rsidSect="00B25433">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10D" w:rsidRDefault="00EF510D" w:rsidP="00803FAF">
      <w:r>
        <w:separator/>
      </w:r>
    </w:p>
  </w:endnote>
  <w:endnote w:type="continuationSeparator" w:id="0">
    <w:p w:rsidR="00EF510D" w:rsidRDefault="00EF510D" w:rsidP="0080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49164"/>
      <w:docPartObj>
        <w:docPartGallery w:val="Page Numbers (Bottom of Page)"/>
        <w:docPartUnique/>
      </w:docPartObj>
    </w:sdtPr>
    <w:sdtEndPr>
      <w:rPr>
        <w:noProof/>
        <w:sz w:val="26"/>
        <w:szCs w:val="26"/>
      </w:rPr>
    </w:sdtEndPr>
    <w:sdtContent>
      <w:p w:rsidR="009F6FFE" w:rsidRPr="00DB229D" w:rsidRDefault="009F6FFE">
        <w:pPr>
          <w:pStyle w:val="Footer"/>
          <w:jc w:val="center"/>
          <w:rPr>
            <w:sz w:val="26"/>
            <w:szCs w:val="26"/>
          </w:rPr>
        </w:pPr>
        <w:r w:rsidRPr="00DB229D">
          <w:rPr>
            <w:sz w:val="26"/>
            <w:szCs w:val="26"/>
          </w:rPr>
          <w:fldChar w:fldCharType="begin"/>
        </w:r>
        <w:r w:rsidRPr="00DB229D">
          <w:rPr>
            <w:sz w:val="26"/>
            <w:szCs w:val="26"/>
          </w:rPr>
          <w:instrText xml:space="preserve"> PAGE   \* MERGEFORMAT </w:instrText>
        </w:r>
        <w:r w:rsidRPr="00DB229D">
          <w:rPr>
            <w:sz w:val="26"/>
            <w:szCs w:val="26"/>
          </w:rPr>
          <w:fldChar w:fldCharType="separate"/>
        </w:r>
        <w:r w:rsidR="00453028">
          <w:rPr>
            <w:noProof/>
            <w:sz w:val="26"/>
            <w:szCs w:val="26"/>
          </w:rPr>
          <w:t>55</w:t>
        </w:r>
        <w:r w:rsidRPr="00DB229D">
          <w:rPr>
            <w:noProof/>
            <w:sz w:val="26"/>
            <w:szCs w:val="26"/>
          </w:rPr>
          <w:fldChar w:fldCharType="end"/>
        </w:r>
      </w:p>
    </w:sdtContent>
  </w:sdt>
  <w:p w:rsidR="009F6FFE" w:rsidRDefault="009F6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10D" w:rsidRDefault="00EF510D" w:rsidP="00803FAF">
      <w:r>
        <w:separator/>
      </w:r>
    </w:p>
  </w:footnote>
  <w:footnote w:type="continuationSeparator" w:id="0">
    <w:p w:rsidR="00EF510D" w:rsidRDefault="00EF510D" w:rsidP="00803FAF">
      <w:r>
        <w:continuationSeparator/>
      </w:r>
    </w:p>
  </w:footnote>
  <w:footnote w:id="1">
    <w:p w:rsidR="009F6FFE" w:rsidRPr="0075257B" w:rsidRDefault="009F6FFE">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See Investigation of Pennsylvania’s Retail Natural Gas Supply Market</w:t>
      </w:r>
      <w:r w:rsidRPr="0075257B">
        <w:rPr>
          <w:sz w:val="22"/>
          <w:szCs w:val="22"/>
        </w:rPr>
        <w:t xml:space="preserve"> Tentative Order, at Docket No. I-2013-2381742 (Aug. 21, 2014) (hereinafter </w:t>
      </w:r>
      <w:r w:rsidRPr="0075257B">
        <w:rPr>
          <w:i/>
          <w:sz w:val="22"/>
          <w:szCs w:val="22"/>
        </w:rPr>
        <w:t>Tentative Order</w:t>
      </w:r>
      <w:r w:rsidRPr="0075257B">
        <w:rPr>
          <w:sz w:val="22"/>
          <w:szCs w:val="22"/>
        </w:rPr>
        <w:t>).</w:t>
      </w:r>
    </w:p>
  </w:footnote>
  <w:footnote w:id="2">
    <w:p w:rsidR="009F6FFE" w:rsidRPr="0075257B" w:rsidRDefault="009F6FFE">
      <w:pPr>
        <w:pStyle w:val="FootnoteText"/>
        <w:rPr>
          <w:sz w:val="22"/>
          <w:szCs w:val="22"/>
        </w:rPr>
      </w:pPr>
      <w:r w:rsidRPr="0075257B">
        <w:rPr>
          <w:rStyle w:val="FootnoteReference"/>
          <w:sz w:val="22"/>
          <w:szCs w:val="22"/>
        </w:rPr>
        <w:footnoteRef/>
      </w:r>
      <w:r w:rsidRPr="0075257B">
        <w:rPr>
          <w:sz w:val="22"/>
          <w:szCs w:val="22"/>
        </w:rPr>
        <w:t xml:space="preserve"> </w:t>
      </w:r>
      <w:hyperlink r:id="rId1" w:history="1">
        <w:r w:rsidRPr="0075257B">
          <w:rPr>
            <w:rStyle w:val="Hyperlink"/>
            <w:sz w:val="22"/>
            <w:szCs w:val="22"/>
          </w:rPr>
          <w:t>www.PaGasSwitch.com</w:t>
        </w:r>
      </w:hyperlink>
      <w:r w:rsidRPr="0075257B">
        <w:rPr>
          <w:sz w:val="22"/>
          <w:szCs w:val="22"/>
        </w:rPr>
        <w:t xml:space="preserve"> (hereinafter PaGasSwitch.com) is a public website offered by the Commission that allows Pennsylvania’s retail natural gas customers to review competitive offers available in their utility’s service territory.  The introduction of PAGasSwitch.com was announced via a January 28, 2013 Commission press release, available at </w:t>
      </w:r>
      <w:hyperlink r:id="rId2" w:history="1">
        <w:r w:rsidRPr="0075257B">
          <w:rPr>
            <w:rStyle w:val="Hyperlink"/>
            <w:sz w:val="22"/>
            <w:szCs w:val="22"/>
          </w:rPr>
          <w:t>www.puc.pa.gov</w:t>
        </w:r>
      </w:hyperlink>
      <w:r w:rsidRPr="0075257B">
        <w:rPr>
          <w:sz w:val="22"/>
          <w:szCs w:val="22"/>
        </w:rPr>
        <w:t>.</w:t>
      </w:r>
    </w:p>
  </w:footnote>
  <w:footnote w:id="3">
    <w:p w:rsidR="009F6FFE" w:rsidRPr="0075257B" w:rsidRDefault="009F6FFE">
      <w:pPr>
        <w:pStyle w:val="FootnoteText"/>
        <w:rPr>
          <w:sz w:val="22"/>
          <w:szCs w:val="22"/>
        </w:rPr>
      </w:pPr>
      <w:r w:rsidRPr="0075257B">
        <w:rPr>
          <w:rStyle w:val="FootnoteReference"/>
          <w:sz w:val="22"/>
          <w:szCs w:val="22"/>
        </w:rPr>
        <w:footnoteRef/>
      </w:r>
      <w:r w:rsidRPr="0075257B">
        <w:rPr>
          <w:sz w:val="22"/>
          <w:szCs w:val="22"/>
        </w:rPr>
        <w:t xml:space="preserve"> “Electric RMI” is a reference to the Commission’s Investigation of Pennsylvania’s Retail Electricity Market, at Docket No. I-2011-2237952, initiated by Order entered April 29, 2011, at the aforementioned Docket.</w:t>
      </w:r>
    </w:p>
  </w:footnote>
  <w:footnote w:id="4">
    <w:p w:rsidR="009F6FFE" w:rsidRPr="0075257B" w:rsidRDefault="009F6FFE">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See Investigation of Pennsylvania’s Retail Electricity Market: End State of Default Service</w:t>
      </w:r>
      <w:r w:rsidRPr="0075257B">
        <w:rPr>
          <w:sz w:val="22"/>
          <w:szCs w:val="22"/>
        </w:rPr>
        <w:t xml:space="preserve"> Final Order, at Docket No. I-2011-2237952 (Feb. 15, 2013) (hereinafter Electric RMI Final Order), at p. 20.</w:t>
      </w:r>
    </w:p>
  </w:footnote>
  <w:footnote w:id="5">
    <w:p w:rsidR="009F6FFE" w:rsidRPr="0075257B" w:rsidRDefault="009F6FFE">
      <w:pPr>
        <w:pStyle w:val="FootnoteText"/>
        <w:rPr>
          <w:sz w:val="22"/>
          <w:szCs w:val="22"/>
        </w:rPr>
      </w:pPr>
      <w:r w:rsidRPr="0075257B">
        <w:rPr>
          <w:rStyle w:val="FootnoteReference"/>
          <w:sz w:val="22"/>
          <w:szCs w:val="22"/>
        </w:rPr>
        <w:footnoteRef/>
      </w:r>
      <w:r w:rsidRPr="0075257B">
        <w:rPr>
          <w:sz w:val="22"/>
          <w:szCs w:val="22"/>
        </w:rPr>
        <w:t xml:space="preserve"> Investigations into discrimination as it relates to local production access should include both NGDC and affiliated NGS discrimination.</w:t>
      </w:r>
    </w:p>
  </w:footnote>
  <w:footnote w:id="6">
    <w:p w:rsidR="009F6FFE" w:rsidRPr="0075257B" w:rsidRDefault="009F6FFE" w:rsidP="00F841FA">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 xml:space="preserve">See </w:t>
      </w:r>
      <w:r w:rsidRPr="0075257B">
        <w:rPr>
          <w:sz w:val="22"/>
          <w:szCs w:val="22"/>
        </w:rPr>
        <w:t>Electric RMI Final Order, pp 69-75, 112.</w:t>
      </w:r>
    </w:p>
  </w:footnote>
  <w:footnote w:id="7">
    <w:p w:rsidR="009F6FFE" w:rsidRPr="0075257B" w:rsidRDefault="009F6FFE" w:rsidP="00F841FA">
      <w:pPr>
        <w:pStyle w:val="FootnoteText"/>
        <w:rPr>
          <w:sz w:val="22"/>
          <w:szCs w:val="22"/>
        </w:rPr>
      </w:pPr>
      <w:r w:rsidRPr="0075257B">
        <w:rPr>
          <w:rStyle w:val="FootnoteReference"/>
          <w:sz w:val="22"/>
          <w:szCs w:val="22"/>
        </w:rPr>
        <w:footnoteRef/>
      </w:r>
      <w:r w:rsidRPr="0075257B">
        <w:rPr>
          <w:sz w:val="22"/>
          <w:szCs w:val="22"/>
        </w:rPr>
        <w:t>52 Pa. Code § 62.75(c) (7) The cancellation provisions, if applicable. When a customer moves from one location to another, even if the move is within an NGDC’s service territory, the agreement is cancelled.</w:t>
      </w:r>
    </w:p>
  </w:footnote>
  <w:footnote w:id="8">
    <w:p w:rsidR="009F6FFE" w:rsidRPr="0075257B" w:rsidRDefault="009F6FFE">
      <w:pPr>
        <w:pStyle w:val="FootnoteText"/>
        <w:rPr>
          <w:sz w:val="22"/>
          <w:szCs w:val="22"/>
        </w:rPr>
      </w:pPr>
      <w:r w:rsidRPr="0075257B">
        <w:rPr>
          <w:rStyle w:val="FootnoteReference"/>
          <w:sz w:val="22"/>
          <w:szCs w:val="22"/>
        </w:rPr>
        <w:footnoteRef/>
      </w:r>
      <w:r w:rsidRPr="0075257B">
        <w:rPr>
          <w:sz w:val="22"/>
          <w:szCs w:val="22"/>
        </w:rPr>
        <w:t xml:space="preserve"> This does not prohibit an NGDC from advancing a Seamless Move or Instant Connect if it is actively updating its information technology assets.</w:t>
      </w:r>
    </w:p>
  </w:footnote>
  <w:footnote w:id="9">
    <w:p w:rsidR="009F6FFE" w:rsidRPr="0075257B" w:rsidRDefault="009F6FFE">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See Investigation of Pennsylvania’s Retail Electricity Market: Intermediate Work Plan</w:t>
      </w:r>
      <w:r w:rsidRPr="0075257B">
        <w:rPr>
          <w:sz w:val="22"/>
          <w:szCs w:val="22"/>
        </w:rPr>
        <w:t xml:space="preserve"> Final Order, Docket No. I-2011-2237952 (Mar. 2, 2012) (hereinafter Electric RMI Final Intermediate Work Plan Order), pp 30-33.</w:t>
      </w:r>
    </w:p>
  </w:footnote>
  <w:footnote w:id="10">
    <w:p w:rsidR="009F6FFE" w:rsidRPr="0075257B" w:rsidRDefault="009F6FFE">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See Petition of Duquesne Light Company for Approval of a Default Service Program and Procurement Plan for the Period June 1, 2013 through May 31, 2015</w:t>
      </w:r>
      <w:r w:rsidRPr="0075257B">
        <w:rPr>
          <w:sz w:val="22"/>
          <w:szCs w:val="22"/>
        </w:rPr>
        <w:t xml:space="preserve">, at Docket No. P-2012-2301664 (Jan. 25, 2013), pp. 144; 195-196.  </w:t>
      </w:r>
      <w:r w:rsidRPr="0075257B">
        <w:rPr>
          <w:i/>
          <w:sz w:val="22"/>
          <w:szCs w:val="22"/>
        </w:rPr>
        <w:t>See Joint Petition of Metropolitan Edison Company, Pennsylvania Electric Company, Pennsylvania Power Company and West Penn Power Company for Approval of their Default Service Program</w:t>
      </w:r>
      <w:r w:rsidRPr="0075257B">
        <w:rPr>
          <w:sz w:val="22"/>
          <w:szCs w:val="22"/>
        </w:rPr>
        <w:t xml:space="preserve">, at Docket Nos. P-2011-2273650; P-2011-2273668; P-2011-2273669; P-2011-2273670 (Aug. 12, 2012), pp. 103-104; 144.  </w:t>
      </w:r>
      <w:r w:rsidRPr="0075257B">
        <w:rPr>
          <w:i/>
          <w:sz w:val="22"/>
          <w:szCs w:val="22"/>
        </w:rPr>
        <w:t>See Petition of PECO Energy Company for Approval of its Default Service Program II</w:t>
      </w:r>
      <w:r w:rsidRPr="0075257B">
        <w:rPr>
          <w:sz w:val="22"/>
          <w:szCs w:val="22"/>
        </w:rPr>
        <w:t xml:space="preserve">, at Docket No. P-2012-2283641 (Feb. 14, 2013), pp. 19-20; 114.  </w:t>
      </w:r>
      <w:r w:rsidRPr="0075257B">
        <w:rPr>
          <w:i/>
          <w:sz w:val="22"/>
          <w:szCs w:val="22"/>
        </w:rPr>
        <w:t>See Petition of PPL Electric Utilities Corporation for Approval of a Default Service Program and Procurement Plan for the Period June 1, 2013 through May 31, 2015</w:t>
      </w:r>
      <w:r w:rsidRPr="0075257B">
        <w:rPr>
          <w:sz w:val="22"/>
          <w:szCs w:val="22"/>
        </w:rPr>
        <w:t>, at Docket No. P-2012-2302074 (Jan. 24, 2013), p. 170.</w:t>
      </w:r>
    </w:p>
  </w:footnote>
  <w:footnote w:id="11">
    <w:p w:rsidR="009F6FFE" w:rsidRPr="0075257B" w:rsidRDefault="009F6FFE">
      <w:pPr>
        <w:pStyle w:val="FootnoteText"/>
        <w:rPr>
          <w:sz w:val="22"/>
          <w:szCs w:val="22"/>
        </w:rPr>
      </w:pPr>
      <w:r w:rsidRPr="0075257B">
        <w:rPr>
          <w:rStyle w:val="FootnoteReference"/>
          <w:sz w:val="22"/>
          <w:szCs w:val="22"/>
        </w:rPr>
        <w:footnoteRef/>
      </w:r>
      <w:r w:rsidRPr="0075257B">
        <w:rPr>
          <w:sz w:val="22"/>
          <w:szCs w:val="22"/>
        </w:rPr>
        <w:t xml:space="preserve"> The Commission provides, at the following link, statistics regarding the EDCs’ Standard Offer Programs: </w:t>
      </w:r>
      <w:hyperlink r:id="rId3" w:history="1">
        <w:r w:rsidRPr="0075257B">
          <w:rPr>
            <w:rStyle w:val="Hyperlink"/>
            <w:sz w:val="22"/>
            <w:szCs w:val="22"/>
          </w:rPr>
          <w:t>http://www.papowerswitch.com/standard-offer-program</w:t>
        </w:r>
      </w:hyperlink>
      <w:r w:rsidRPr="0075257B">
        <w:rPr>
          <w:sz w:val="22"/>
          <w:szCs w:val="22"/>
        </w:rPr>
        <w:t xml:space="preserve">. </w:t>
      </w:r>
    </w:p>
  </w:footnote>
  <w:footnote w:id="12">
    <w:p w:rsidR="009F6FFE" w:rsidRPr="0075257B" w:rsidRDefault="009F6FFE">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See</w:t>
      </w:r>
      <w:r w:rsidRPr="0075257B">
        <w:rPr>
          <w:sz w:val="22"/>
          <w:szCs w:val="22"/>
        </w:rPr>
        <w:t xml:space="preserve"> 66 Pa. C.S. § 2203(2).</w:t>
      </w:r>
    </w:p>
  </w:footnote>
  <w:footnote w:id="13">
    <w:p w:rsidR="009F6FFE" w:rsidRPr="0075257B" w:rsidRDefault="009F6FFE">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See</w:t>
      </w:r>
      <w:r w:rsidRPr="0075257B">
        <w:rPr>
          <w:sz w:val="22"/>
          <w:szCs w:val="22"/>
        </w:rPr>
        <w:t xml:space="preserve"> </w:t>
      </w:r>
      <w:r w:rsidRPr="0075257B">
        <w:rPr>
          <w:i/>
          <w:sz w:val="22"/>
          <w:szCs w:val="22"/>
        </w:rPr>
        <w:t>Petition of PECO Energy Company for Approval of its Customer Assistance Program Shopping Plan</w:t>
      </w:r>
      <w:r w:rsidRPr="0075257B">
        <w:rPr>
          <w:sz w:val="22"/>
          <w:szCs w:val="22"/>
        </w:rPr>
        <w:t xml:space="preserve">, Docket No. P-2012-2283641 (Petition filed with Commission May 1, 2013) (Commission Orders entered Jan. 24 and Mar. 12, 2014).  The case pending before the Commonwealth Court is </w:t>
      </w:r>
      <w:r w:rsidRPr="0075257B">
        <w:rPr>
          <w:i/>
          <w:iCs/>
          <w:sz w:val="22"/>
          <w:szCs w:val="22"/>
        </w:rPr>
        <w:t>McCloskey v. Pa. PUC</w:t>
      </w:r>
      <w:r w:rsidRPr="0075257B">
        <w:rPr>
          <w:sz w:val="22"/>
          <w:szCs w:val="22"/>
        </w:rPr>
        <w:t xml:space="preserve">, 596 CD 2014 (Pa. Cmwlth. Ct. 2014).  </w:t>
      </w:r>
    </w:p>
  </w:footnote>
  <w:footnote w:id="14">
    <w:p w:rsidR="009F6FFE" w:rsidRPr="0075257B" w:rsidRDefault="009F6FFE">
      <w:pPr>
        <w:pStyle w:val="FootnoteText"/>
        <w:rPr>
          <w:sz w:val="22"/>
          <w:szCs w:val="22"/>
        </w:rPr>
      </w:pPr>
      <w:r w:rsidRPr="0075257B">
        <w:rPr>
          <w:rStyle w:val="FootnoteReference"/>
          <w:sz w:val="22"/>
          <w:szCs w:val="22"/>
        </w:rPr>
        <w:footnoteRef/>
      </w:r>
      <w:r w:rsidRPr="0075257B">
        <w:rPr>
          <w:sz w:val="22"/>
          <w:szCs w:val="22"/>
        </w:rPr>
        <w:t xml:space="preserve"> Docket No. P-2012-2283641 (Commission Order entered Jan. 24, 2014).  </w:t>
      </w:r>
    </w:p>
  </w:footnote>
  <w:footnote w:id="15">
    <w:p w:rsidR="009F6FFE" w:rsidRPr="0075257B" w:rsidRDefault="009F6FFE">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Id.</w:t>
      </w:r>
    </w:p>
  </w:footnote>
  <w:footnote w:id="16">
    <w:p w:rsidR="009F6FFE" w:rsidRPr="0075257B" w:rsidRDefault="009F6FFE">
      <w:pPr>
        <w:pStyle w:val="FootnoteText"/>
        <w:rPr>
          <w:sz w:val="22"/>
          <w:szCs w:val="22"/>
        </w:rPr>
      </w:pPr>
      <w:r w:rsidRPr="0075257B">
        <w:rPr>
          <w:rStyle w:val="FootnoteReference"/>
          <w:sz w:val="22"/>
          <w:szCs w:val="22"/>
        </w:rPr>
        <w:footnoteRef/>
      </w:r>
      <w:r w:rsidRPr="0075257B">
        <w:rPr>
          <w:sz w:val="22"/>
          <w:szCs w:val="22"/>
        </w:rPr>
        <w:t xml:space="preserve"> </w:t>
      </w:r>
      <w:hyperlink r:id="rId4" w:history="1">
        <w:r w:rsidRPr="0075257B">
          <w:rPr>
            <w:rStyle w:val="Hyperlink"/>
            <w:sz w:val="22"/>
            <w:szCs w:val="22"/>
          </w:rPr>
          <w:t>www.PAPowerSwitch.com</w:t>
        </w:r>
      </w:hyperlink>
      <w:r w:rsidRPr="0075257B">
        <w:rPr>
          <w:sz w:val="22"/>
          <w:szCs w:val="22"/>
        </w:rPr>
        <w:t xml:space="preserve"> (hereinafter PAPowerSwitch.com) is a public website offered by the Commission which allows Pennsylvania’s retail electricity customers to review competitive offers available in their utility’s service territory.  PAPowerSwitch.com was launched during the first quarter of 2010.</w:t>
      </w:r>
    </w:p>
  </w:footnote>
  <w:footnote w:id="17">
    <w:p w:rsidR="009F6FFE" w:rsidRPr="0075257B" w:rsidRDefault="009F6FFE" w:rsidP="00523E26">
      <w:pPr>
        <w:pStyle w:val="FootnoteText"/>
        <w:rPr>
          <w:sz w:val="22"/>
          <w:szCs w:val="22"/>
          <w:u w:val="single"/>
        </w:rPr>
      </w:pPr>
      <w:r w:rsidRPr="0075257B">
        <w:rPr>
          <w:rStyle w:val="FootnoteReference"/>
          <w:sz w:val="22"/>
          <w:szCs w:val="22"/>
        </w:rPr>
        <w:footnoteRef/>
      </w:r>
      <w:r w:rsidRPr="0075257B">
        <w:rPr>
          <w:sz w:val="22"/>
          <w:szCs w:val="22"/>
        </w:rPr>
        <w:t xml:space="preserve"> </w:t>
      </w:r>
      <w:r w:rsidRPr="0075257B">
        <w:rPr>
          <w:i/>
          <w:sz w:val="22"/>
          <w:szCs w:val="22"/>
        </w:rPr>
        <w:t>See</w:t>
      </w:r>
      <w:r w:rsidRPr="0075257B">
        <w:rPr>
          <w:sz w:val="22"/>
          <w:szCs w:val="22"/>
        </w:rPr>
        <w:t xml:space="preserve"> </w:t>
      </w:r>
      <w:r w:rsidRPr="0075257B">
        <w:rPr>
          <w:i/>
          <w:sz w:val="22"/>
          <w:szCs w:val="22"/>
        </w:rPr>
        <w:t xml:space="preserve">Investigation into the Natural Gas Supply Market: Report on Stakeholders’ Working Group (SEARCH); Action Plan for Increasing Effective Competition in Pennsylvania’s Retail Natural Gas Supply Services Market, </w:t>
      </w:r>
      <w:r w:rsidRPr="0075257B">
        <w:rPr>
          <w:sz w:val="22"/>
          <w:szCs w:val="22"/>
        </w:rPr>
        <w:t xml:space="preserve">Docket No. I-00040103F0002, (entered August 21, 2014). </w:t>
      </w:r>
    </w:p>
    <w:p w:rsidR="009F6FFE" w:rsidRPr="0075257B" w:rsidRDefault="009F6FFE" w:rsidP="00523E26">
      <w:pPr>
        <w:pStyle w:val="FootnoteText"/>
        <w:rPr>
          <w:sz w:val="22"/>
          <w:szCs w:val="22"/>
        </w:rPr>
      </w:pPr>
    </w:p>
  </w:footnote>
  <w:footnote w:id="18">
    <w:p w:rsidR="009F6FFE" w:rsidRPr="0075257B" w:rsidRDefault="009F6FFE" w:rsidP="00523E26">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Ibid</w:t>
      </w:r>
      <w:r w:rsidRPr="0075257B">
        <w:rPr>
          <w:sz w:val="22"/>
          <w:szCs w:val="22"/>
        </w:rPr>
        <w:t>, p.11.</w:t>
      </w:r>
    </w:p>
  </w:footnote>
  <w:footnote w:id="19">
    <w:p w:rsidR="009F6FFE" w:rsidRPr="0075257B" w:rsidRDefault="009F6FFE" w:rsidP="00523E26">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See also</w:t>
      </w:r>
      <w:r w:rsidRPr="0075257B">
        <w:rPr>
          <w:sz w:val="22"/>
          <w:szCs w:val="22"/>
        </w:rPr>
        <w:t xml:space="preserve"> the Policy Statement at 52 Pa. Code § 69.1814 (Purchase of receivables). </w:t>
      </w:r>
    </w:p>
    <w:p w:rsidR="009F6FFE" w:rsidRPr="0075257B" w:rsidRDefault="009F6FFE" w:rsidP="00523E26">
      <w:pPr>
        <w:pStyle w:val="FootnoteText"/>
        <w:rPr>
          <w:sz w:val="22"/>
          <w:szCs w:val="22"/>
        </w:rPr>
      </w:pPr>
    </w:p>
  </w:footnote>
  <w:footnote w:id="20">
    <w:p w:rsidR="009F6FFE" w:rsidRPr="0075257B" w:rsidRDefault="009F6FFE" w:rsidP="002E4BAF">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See Final-Omitted Rulemaking Order: Rulemaking to Amend the Provisions of 52 Pa. Code, Section 54.5 Regulations Regarding Disclosure Statement for Residential and Small Business Customers</w:t>
      </w:r>
      <w:r w:rsidRPr="0075257B">
        <w:rPr>
          <w:b/>
          <w:i/>
          <w:sz w:val="22"/>
          <w:szCs w:val="22"/>
        </w:rPr>
        <w:t xml:space="preserve"> </w:t>
      </w:r>
      <w:r w:rsidRPr="0075257B">
        <w:rPr>
          <w:i/>
          <w:sz w:val="22"/>
          <w:szCs w:val="22"/>
        </w:rPr>
        <w:t>and to Add Section 54.10 Regulations Regarding the Provision of Notices of Contract Renewal or Changes in Terms</w:t>
      </w:r>
      <w:r w:rsidRPr="0075257B">
        <w:rPr>
          <w:sz w:val="22"/>
          <w:szCs w:val="22"/>
        </w:rPr>
        <w:t xml:space="preserve">.  Docket Number L-2014-2409385 (Order entered Apr. 3, 2014). </w:t>
      </w:r>
    </w:p>
  </w:footnote>
  <w:footnote w:id="21">
    <w:p w:rsidR="009F6FFE" w:rsidRPr="0075257B" w:rsidRDefault="009F6FFE" w:rsidP="002E4BAF">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See Final Rulemaking Order: Customer Information Disclosure Requirements for Natural Gas Distribution Companies and Natural Gas Suppliers,</w:t>
      </w:r>
      <w:r w:rsidRPr="0075257B">
        <w:rPr>
          <w:sz w:val="22"/>
          <w:szCs w:val="22"/>
        </w:rPr>
        <w:t xml:space="preserve"> Docket Number L-00000149 (Public Meeting November 29, 2000). </w:t>
      </w:r>
    </w:p>
    <w:p w:rsidR="009F6FFE" w:rsidRPr="0075257B" w:rsidRDefault="009F6FFE" w:rsidP="002E4BAF">
      <w:pPr>
        <w:pStyle w:val="FootnoteText"/>
        <w:rPr>
          <w:sz w:val="22"/>
          <w:szCs w:val="22"/>
        </w:rPr>
      </w:pPr>
    </w:p>
  </w:footnote>
  <w:footnote w:id="22">
    <w:p w:rsidR="009F6FFE" w:rsidRPr="0075257B" w:rsidRDefault="009F6FFE" w:rsidP="002E4BAF">
      <w:pPr>
        <w:pStyle w:val="FootnoteText"/>
        <w:rPr>
          <w:sz w:val="22"/>
          <w:szCs w:val="22"/>
        </w:rPr>
      </w:pPr>
      <w:r w:rsidRPr="0075257B">
        <w:rPr>
          <w:rStyle w:val="FootnoteReference"/>
          <w:sz w:val="22"/>
          <w:szCs w:val="22"/>
        </w:rPr>
        <w:footnoteRef/>
      </w:r>
      <w:r w:rsidRPr="0075257B">
        <w:rPr>
          <w:sz w:val="22"/>
          <w:szCs w:val="22"/>
        </w:rPr>
        <w:t xml:space="preserve"> We note that the Commission has already examined some of the issues resulting from the current inconsistency between the electric and gas disclosure rules.  </w:t>
      </w:r>
      <w:r w:rsidRPr="0075257B">
        <w:rPr>
          <w:i/>
          <w:sz w:val="22"/>
          <w:szCs w:val="22"/>
        </w:rPr>
        <w:t xml:space="preserve">See Final Order on Request for Clarification on Notice Requirements for Combined Electricity &amp; Natural Gas Disclosure Statements, </w:t>
      </w:r>
      <w:r w:rsidRPr="0075257B">
        <w:rPr>
          <w:sz w:val="22"/>
          <w:szCs w:val="22"/>
        </w:rPr>
        <w:t xml:space="preserve">Docket No. L-2014-2409385 (Order entered October 2, 2014).    </w:t>
      </w:r>
    </w:p>
  </w:footnote>
  <w:footnote w:id="23">
    <w:p w:rsidR="009F6FFE" w:rsidRPr="0075257B" w:rsidRDefault="009F6FFE" w:rsidP="00F753A3">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See Final-Omitted Rulemaking Order: Rulemaking to Amend the Provisions of 52 Pa. Code, Section 54.5 Regulations Regarding Disclosure Statement for Residential and Small Business Customers</w:t>
      </w:r>
      <w:r w:rsidRPr="0075257B">
        <w:rPr>
          <w:b/>
          <w:i/>
          <w:sz w:val="22"/>
          <w:szCs w:val="22"/>
        </w:rPr>
        <w:t xml:space="preserve"> </w:t>
      </w:r>
      <w:r w:rsidRPr="0075257B">
        <w:rPr>
          <w:i/>
          <w:sz w:val="22"/>
          <w:szCs w:val="22"/>
        </w:rPr>
        <w:t>and to Add Section 54.10 Regulations Regarding the Provision of Notices of Contract Renewal or Changes in Terms</w:t>
      </w:r>
      <w:r w:rsidRPr="0075257B">
        <w:rPr>
          <w:sz w:val="22"/>
          <w:szCs w:val="22"/>
        </w:rPr>
        <w:t xml:space="preserve">.  Docket Number L-2014-2409385 (Order entered Apr. 3, 2014). </w:t>
      </w:r>
    </w:p>
    <w:p w:rsidR="009F6FFE" w:rsidRPr="0075257B" w:rsidRDefault="009F6FFE">
      <w:pPr>
        <w:pStyle w:val="FootnoteText"/>
        <w:rPr>
          <w:sz w:val="22"/>
          <w:szCs w:val="22"/>
        </w:rPr>
      </w:pPr>
    </w:p>
  </w:footnote>
  <w:footnote w:id="24">
    <w:p w:rsidR="009F6FFE" w:rsidRPr="0075257B" w:rsidRDefault="009F6FFE" w:rsidP="00944441">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See</w:t>
      </w:r>
      <w:r w:rsidRPr="0075257B">
        <w:rPr>
          <w:sz w:val="22"/>
          <w:szCs w:val="22"/>
        </w:rPr>
        <w:t xml:space="preserve"> End State Final Order at pp. 66-69. </w:t>
      </w:r>
    </w:p>
  </w:footnote>
  <w:footnote w:id="25">
    <w:p w:rsidR="009F6FFE" w:rsidRPr="0075257B" w:rsidRDefault="009F6FFE" w:rsidP="00944441">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See Investigation of Pennsylvania’s Retail Electricity Market: Joint Electric Distribution Company – Electric Generation Supplier Bill</w:t>
      </w:r>
      <w:r w:rsidRPr="0075257B">
        <w:rPr>
          <w:sz w:val="22"/>
          <w:szCs w:val="22"/>
        </w:rPr>
        <w:t xml:space="preserve"> Final Order, at Docket No. M-2014-2401345 (May 23, 2014).</w:t>
      </w:r>
    </w:p>
  </w:footnote>
  <w:footnote w:id="26">
    <w:p w:rsidR="009F6FFE" w:rsidRPr="0075257B" w:rsidRDefault="009F6FFE" w:rsidP="00F841FA">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See Final Order on EDC Customer Account Number Access Mechanism for EGSs</w:t>
      </w:r>
      <w:r w:rsidRPr="0075257B">
        <w:rPr>
          <w:sz w:val="22"/>
          <w:szCs w:val="22"/>
        </w:rPr>
        <w:t xml:space="preserve"> – Docket No. M-2013-2355751 (Order entered July 17, 2013).</w:t>
      </w:r>
    </w:p>
  </w:footnote>
  <w:footnote w:id="27">
    <w:p w:rsidR="009F6FFE" w:rsidRPr="0075257B" w:rsidRDefault="009F6FFE" w:rsidP="00486160">
      <w:pPr>
        <w:pStyle w:val="FootnoteText"/>
        <w:rPr>
          <w:i/>
          <w:sz w:val="22"/>
          <w:szCs w:val="22"/>
        </w:rPr>
      </w:pPr>
      <w:r w:rsidRPr="0075257B">
        <w:rPr>
          <w:rStyle w:val="FootnoteReference"/>
          <w:sz w:val="22"/>
          <w:szCs w:val="22"/>
        </w:rPr>
        <w:footnoteRef/>
      </w:r>
      <w:r w:rsidRPr="0075257B">
        <w:rPr>
          <w:sz w:val="22"/>
          <w:szCs w:val="22"/>
        </w:rPr>
        <w:t xml:space="preserve"> </w:t>
      </w:r>
      <w:r w:rsidRPr="0075257B">
        <w:rPr>
          <w:i/>
          <w:sz w:val="22"/>
          <w:szCs w:val="22"/>
        </w:rPr>
        <w:t>See Interim Guidelines for Natural Gas Distribution Company Eligible Customer Lists Final Order, at Docket No. M-2012-2324075 (Sept. 23, 2013)</w:t>
      </w:r>
    </w:p>
    <w:p w:rsidR="009F6FFE" w:rsidRPr="0075257B" w:rsidRDefault="009F6FFE">
      <w:pPr>
        <w:pStyle w:val="FootnoteText"/>
        <w:rPr>
          <w:sz w:val="22"/>
          <w:szCs w:val="22"/>
        </w:rPr>
      </w:pPr>
      <w:r w:rsidRPr="0075257B">
        <w:rPr>
          <w:sz w:val="22"/>
          <w:szCs w:val="22"/>
        </w:rPr>
        <w:br/>
      </w:r>
    </w:p>
  </w:footnote>
  <w:footnote w:id="28">
    <w:p w:rsidR="009F6FFE" w:rsidRPr="0075257B" w:rsidRDefault="009F6FFE" w:rsidP="00137688">
      <w:pPr>
        <w:pStyle w:val="FootnoteText"/>
        <w:rPr>
          <w:sz w:val="22"/>
          <w:szCs w:val="22"/>
        </w:rPr>
      </w:pPr>
      <w:r w:rsidRPr="0075257B">
        <w:rPr>
          <w:rStyle w:val="FootnoteReference"/>
          <w:sz w:val="22"/>
          <w:szCs w:val="22"/>
        </w:rPr>
        <w:footnoteRef/>
      </w:r>
      <w:r w:rsidRPr="0075257B">
        <w:rPr>
          <w:sz w:val="22"/>
          <w:szCs w:val="22"/>
        </w:rPr>
        <w:t xml:space="preserve"> </w:t>
      </w:r>
      <w:r w:rsidRPr="0075257B">
        <w:rPr>
          <w:i/>
          <w:sz w:val="22"/>
          <w:szCs w:val="22"/>
        </w:rPr>
        <w:t>Ibid</w:t>
      </w:r>
      <w:r w:rsidRPr="0075257B">
        <w:rPr>
          <w:sz w:val="22"/>
          <w:szCs w:val="22"/>
        </w:rPr>
        <w:t>, p.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6E34"/>
    <w:multiLevelType w:val="hybridMultilevel"/>
    <w:tmpl w:val="AC3C2E02"/>
    <w:lvl w:ilvl="0" w:tplc="619AE3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6F4CAC"/>
    <w:multiLevelType w:val="hybridMultilevel"/>
    <w:tmpl w:val="702A9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6ED1872"/>
    <w:multiLevelType w:val="hybridMultilevel"/>
    <w:tmpl w:val="E848C740"/>
    <w:lvl w:ilvl="0" w:tplc="04090001">
      <w:start w:val="1"/>
      <w:numFmt w:val="bullet"/>
      <w:lvlText w:val=""/>
      <w:lvlJc w:val="left"/>
      <w:pPr>
        <w:ind w:left="2285" w:hanging="360"/>
      </w:pPr>
      <w:rPr>
        <w:rFonts w:ascii="Symbol" w:hAnsi="Symbol" w:hint="default"/>
      </w:rPr>
    </w:lvl>
    <w:lvl w:ilvl="1" w:tplc="04090003" w:tentative="1">
      <w:start w:val="1"/>
      <w:numFmt w:val="bullet"/>
      <w:lvlText w:val="o"/>
      <w:lvlJc w:val="left"/>
      <w:pPr>
        <w:ind w:left="3005" w:hanging="360"/>
      </w:pPr>
      <w:rPr>
        <w:rFonts w:ascii="Courier New" w:hAnsi="Courier New" w:cs="Courier New" w:hint="default"/>
      </w:rPr>
    </w:lvl>
    <w:lvl w:ilvl="2" w:tplc="04090005" w:tentative="1">
      <w:start w:val="1"/>
      <w:numFmt w:val="bullet"/>
      <w:lvlText w:val=""/>
      <w:lvlJc w:val="left"/>
      <w:pPr>
        <w:ind w:left="3725" w:hanging="360"/>
      </w:pPr>
      <w:rPr>
        <w:rFonts w:ascii="Wingdings" w:hAnsi="Wingdings" w:hint="default"/>
      </w:rPr>
    </w:lvl>
    <w:lvl w:ilvl="3" w:tplc="04090001" w:tentative="1">
      <w:start w:val="1"/>
      <w:numFmt w:val="bullet"/>
      <w:lvlText w:val=""/>
      <w:lvlJc w:val="left"/>
      <w:pPr>
        <w:ind w:left="4445" w:hanging="360"/>
      </w:pPr>
      <w:rPr>
        <w:rFonts w:ascii="Symbol" w:hAnsi="Symbol" w:hint="default"/>
      </w:rPr>
    </w:lvl>
    <w:lvl w:ilvl="4" w:tplc="04090003" w:tentative="1">
      <w:start w:val="1"/>
      <w:numFmt w:val="bullet"/>
      <w:lvlText w:val="o"/>
      <w:lvlJc w:val="left"/>
      <w:pPr>
        <w:ind w:left="5165" w:hanging="360"/>
      </w:pPr>
      <w:rPr>
        <w:rFonts w:ascii="Courier New" w:hAnsi="Courier New" w:cs="Courier New" w:hint="default"/>
      </w:rPr>
    </w:lvl>
    <w:lvl w:ilvl="5" w:tplc="04090005" w:tentative="1">
      <w:start w:val="1"/>
      <w:numFmt w:val="bullet"/>
      <w:lvlText w:val=""/>
      <w:lvlJc w:val="left"/>
      <w:pPr>
        <w:ind w:left="5885" w:hanging="360"/>
      </w:pPr>
      <w:rPr>
        <w:rFonts w:ascii="Wingdings" w:hAnsi="Wingdings" w:hint="default"/>
      </w:rPr>
    </w:lvl>
    <w:lvl w:ilvl="6" w:tplc="04090001" w:tentative="1">
      <w:start w:val="1"/>
      <w:numFmt w:val="bullet"/>
      <w:lvlText w:val=""/>
      <w:lvlJc w:val="left"/>
      <w:pPr>
        <w:ind w:left="6605" w:hanging="360"/>
      </w:pPr>
      <w:rPr>
        <w:rFonts w:ascii="Symbol" w:hAnsi="Symbol" w:hint="default"/>
      </w:rPr>
    </w:lvl>
    <w:lvl w:ilvl="7" w:tplc="04090003" w:tentative="1">
      <w:start w:val="1"/>
      <w:numFmt w:val="bullet"/>
      <w:lvlText w:val="o"/>
      <w:lvlJc w:val="left"/>
      <w:pPr>
        <w:ind w:left="7325" w:hanging="360"/>
      </w:pPr>
      <w:rPr>
        <w:rFonts w:ascii="Courier New" w:hAnsi="Courier New" w:cs="Courier New" w:hint="default"/>
      </w:rPr>
    </w:lvl>
    <w:lvl w:ilvl="8" w:tplc="04090005" w:tentative="1">
      <w:start w:val="1"/>
      <w:numFmt w:val="bullet"/>
      <w:lvlText w:val=""/>
      <w:lvlJc w:val="left"/>
      <w:pPr>
        <w:ind w:left="8045" w:hanging="360"/>
      </w:pPr>
      <w:rPr>
        <w:rFonts w:ascii="Wingdings" w:hAnsi="Wingdings" w:hint="default"/>
      </w:rPr>
    </w:lvl>
  </w:abstractNum>
  <w:abstractNum w:abstractNumId="4">
    <w:nsid w:val="359F6287"/>
    <w:multiLevelType w:val="hybridMultilevel"/>
    <w:tmpl w:val="3084C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E207087"/>
    <w:multiLevelType w:val="hybridMultilevel"/>
    <w:tmpl w:val="BB7E4C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1723F7D"/>
    <w:multiLevelType w:val="hybridMultilevel"/>
    <w:tmpl w:val="2ABCD4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66F780F"/>
    <w:multiLevelType w:val="hybridMultilevel"/>
    <w:tmpl w:val="30B4E18A"/>
    <w:lvl w:ilvl="0" w:tplc="CB1A3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5"/>
  </w:num>
  <w:num w:numId="4">
    <w:abstractNumId w:val="7"/>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76D"/>
    <w:rsid w:val="00000D47"/>
    <w:rsid w:val="00001602"/>
    <w:rsid w:val="00001FC8"/>
    <w:rsid w:val="00002AAF"/>
    <w:rsid w:val="0000606F"/>
    <w:rsid w:val="00006685"/>
    <w:rsid w:val="00006F35"/>
    <w:rsid w:val="000139B1"/>
    <w:rsid w:val="00013D1F"/>
    <w:rsid w:val="000156B6"/>
    <w:rsid w:val="0001696B"/>
    <w:rsid w:val="00016D57"/>
    <w:rsid w:val="00017852"/>
    <w:rsid w:val="00021E46"/>
    <w:rsid w:val="00022933"/>
    <w:rsid w:val="00022B74"/>
    <w:rsid w:val="0002524C"/>
    <w:rsid w:val="00025F3F"/>
    <w:rsid w:val="00026CD2"/>
    <w:rsid w:val="00040A8E"/>
    <w:rsid w:val="00040AEA"/>
    <w:rsid w:val="00044414"/>
    <w:rsid w:val="00044E24"/>
    <w:rsid w:val="00046A11"/>
    <w:rsid w:val="0004761E"/>
    <w:rsid w:val="00047874"/>
    <w:rsid w:val="00047F4A"/>
    <w:rsid w:val="00050D66"/>
    <w:rsid w:val="00050EB1"/>
    <w:rsid w:val="000523D1"/>
    <w:rsid w:val="00052B8F"/>
    <w:rsid w:val="00053E79"/>
    <w:rsid w:val="00054612"/>
    <w:rsid w:val="0005572E"/>
    <w:rsid w:val="00056286"/>
    <w:rsid w:val="000577CC"/>
    <w:rsid w:val="00057D1E"/>
    <w:rsid w:val="000612FD"/>
    <w:rsid w:val="000642AA"/>
    <w:rsid w:val="000649EC"/>
    <w:rsid w:val="00065B44"/>
    <w:rsid w:val="00065C5C"/>
    <w:rsid w:val="00066EE5"/>
    <w:rsid w:val="00067260"/>
    <w:rsid w:val="00072808"/>
    <w:rsid w:val="00076F35"/>
    <w:rsid w:val="00077BC6"/>
    <w:rsid w:val="00081D78"/>
    <w:rsid w:val="00084573"/>
    <w:rsid w:val="00084AF9"/>
    <w:rsid w:val="00085D80"/>
    <w:rsid w:val="000918D4"/>
    <w:rsid w:val="00093164"/>
    <w:rsid w:val="000947FD"/>
    <w:rsid w:val="00095E4E"/>
    <w:rsid w:val="0009612D"/>
    <w:rsid w:val="00096303"/>
    <w:rsid w:val="00097504"/>
    <w:rsid w:val="000A0B21"/>
    <w:rsid w:val="000A2459"/>
    <w:rsid w:val="000A365D"/>
    <w:rsid w:val="000A4523"/>
    <w:rsid w:val="000A7F28"/>
    <w:rsid w:val="000B16DB"/>
    <w:rsid w:val="000B216D"/>
    <w:rsid w:val="000B2665"/>
    <w:rsid w:val="000B2755"/>
    <w:rsid w:val="000B3493"/>
    <w:rsid w:val="000B46CA"/>
    <w:rsid w:val="000B4EAE"/>
    <w:rsid w:val="000B5238"/>
    <w:rsid w:val="000B5489"/>
    <w:rsid w:val="000B5D10"/>
    <w:rsid w:val="000B5D6D"/>
    <w:rsid w:val="000B607A"/>
    <w:rsid w:val="000B6B15"/>
    <w:rsid w:val="000B7917"/>
    <w:rsid w:val="000C07DE"/>
    <w:rsid w:val="000C287D"/>
    <w:rsid w:val="000C2AE3"/>
    <w:rsid w:val="000C3E32"/>
    <w:rsid w:val="000C53EC"/>
    <w:rsid w:val="000C709A"/>
    <w:rsid w:val="000C7796"/>
    <w:rsid w:val="000D1E0E"/>
    <w:rsid w:val="000D549A"/>
    <w:rsid w:val="000E2E00"/>
    <w:rsid w:val="000E3077"/>
    <w:rsid w:val="000E454B"/>
    <w:rsid w:val="000E45D2"/>
    <w:rsid w:val="000F179E"/>
    <w:rsid w:val="000F4307"/>
    <w:rsid w:val="000F540E"/>
    <w:rsid w:val="00100D24"/>
    <w:rsid w:val="00101076"/>
    <w:rsid w:val="0010158F"/>
    <w:rsid w:val="00101D14"/>
    <w:rsid w:val="00101F51"/>
    <w:rsid w:val="001026CA"/>
    <w:rsid w:val="001035C0"/>
    <w:rsid w:val="00104D9B"/>
    <w:rsid w:val="0010590E"/>
    <w:rsid w:val="001113DB"/>
    <w:rsid w:val="00112BD4"/>
    <w:rsid w:val="0011430E"/>
    <w:rsid w:val="00117CB2"/>
    <w:rsid w:val="00120B39"/>
    <w:rsid w:val="00120FB0"/>
    <w:rsid w:val="001238E5"/>
    <w:rsid w:val="00123A2E"/>
    <w:rsid w:val="00124071"/>
    <w:rsid w:val="001255DC"/>
    <w:rsid w:val="00126492"/>
    <w:rsid w:val="001267D4"/>
    <w:rsid w:val="00135972"/>
    <w:rsid w:val="001360FC"/>
    <w:rsid w:val="00137688"/>
    <w:rsid w:val="00141E40"/>
    <w:rsid w:val="0014299E"/>
    <w:rsid w:val="00144050"/>
    <w:rsid w:val="001447A0"/>
    <w:rsid w:val="0014497F"/>
    <w:rsid w:val="00146843"/>
    <w:rsid w:val="00146DDD"/>
    <w:rsid w:val="00146E58"/>
    <w:rsid w:val="00147145"/>
    <w:rsid w:val="00150096"/>
    <w:rsid w:val="001508E4"/>
    <w:rsid w:val="0015380A"/>
    <w:rsid w:val="00153AC0"/>
    <w:rsid w:val="00154CB6"/>
    <w:rsid w:val="00160F3B"/>
    <w:rsid w:val="00164DA4"/>
    <w:rsid w:val="00166298"/>
    <w:rsid w:val="001663C8"/>
    <w:rsid w:val="00174D3D"/>
    <w:rsid w:val="0017719A"/>
    <w:rsid w:val="00182478"/>
    <w:rsid w:val="001837F4"/>
    <w:rsid w:val="001842BB"/>
    <w:rsid w:val="00186A97"/>
    <w:rsid w:val="00191DE0"/>
    <w:rsid w:val="0019230E"/>
    <w:rsid w:val="001928F0"/>
    <w:rsid w:val="0019530E"/>
    <w:rsid w:val="00195F2E"/>
    <w:rsid w:val="00196888"/>
    <w:rsid w:val="001970DA"/>
    <w:rsid w:val="001A0BEF"/>
    <w:rsid w:val="001A10EA"/>
    <w:rsid w:val="001A2594"/>
    <w:rsid w:val="001A2FAF"/>
    <w:rsid w:val="001A5C38"/>
    <w:rsid w:val="001B1DB4"/>
    <w:rsid w:val="001B4EE1"/>
    <w:rsid w:val="001B5AC6"/>
    <w:rsid w:val="001B5F60"/>
    <w:rsid w:val="001B7B87"/>
    <w:rsid w:val="001B7BD1"/>
    <w:rsid w:val="001C0A33"/>
    <w:rsid w:val="001C4978"/>
    <w:rsid w:val="001D0ED2"/>
    <w:rsid w:val="001D1A52"/>
    <w:rsid w:val="001D3BE1"/>
    <w:rsid w:val="001E0B61"/>
    <w:rsid w:val="001E1276"/>
    <w:rsid w:val="001E46A8"/>
    <w:rsid w:val="001E4A75"/>
    <w:rsid w:val="001E502C"/>
    <w:rsid w:val="001F285E"/>
    <w:rsid w:val="00202524"/>
    <w:rsid w:val="00210736"/>
    <w:rsid w:val="00210F81"/>
    <w:rsid w:val="00211622"/>
    <w:rsid w:val="00214B3E"/>
    <w:rsid w:val="00214F6C"/>
    <w:rsid w:val="002164D8"/>
    <w:rsid w:val="002166D4"/>
    <w:rsid w:val="002175F7"/>
    <w:rsid w:val="00217911"/>
    <w:rsid w:val="00220155"/>
    <w:rsid w:val="002214AD"/>
    <w:rsid w:val="002238DB"/>
    <w:rsid w:val="00223F14"/>
    <w:rsid w:val="0022698E"/>
    <w:rsid w:val="00227912"/>
    <w:rsid w:val="0023004C"/>
    <w:rsid w:val="002311EE"/>
    <w:rsid w:val="00236A44"/>
    <w:rsid w:val="002370F5"/>
    <w:rsid w:val="00237335"/>
    <w:rsid w:val="0023790B"/>
    <w:rsid w:val="00237AAB"/>
    <w:rsid w:val="00240ACA"/>
    <w:rsid w:val="00240D7B"/>
    <w:rsid w:val="00241299"/>
    <w:rsid w:val="002435E2"/>
    <w:rsid w:val="00244F81"/>
    <w:rsid w:val="002472DE"/>
    <w:rsid w:val="00252448"/>
    <w:rsid w:val="00252AEB"/>
    <w:rsid w:val="00255462"/>
    <w:rsid w:val="00255A9B"/>
    <w:rsid w:val="00260957"/>
    <w:rsid w:val="00260D27"/>
    <w:rsid w:val="00264646"/>
    <w:rsid w:val="00264E8D"/>
    <w:rsid w:val="0027232D"/>
    <w:rsid w:val="00274D0F"/>
    <w:rsid w:val="00277500"/>
    <w:rsid w:val="00281A5F"/>
    <w:rsid w:val="00282925"/>
    <w:rsid w:val="00283C1C"/>
    <w:rsid w:val="00291F48"/>
    <w:rsid w:val="00291F68"/>
    <w:rsid w:val="002926D5"/>
    <w:rsid w:val="002A060A"/>
    <w:rsid w:val="002A4450"/>
    <w:rsid w:val="002A6750"/>
    <w:rsid w:val="002B2296"/>
    <w:rsid w:val="002B3FFA"/>
    <w:rsid w:val="002B40B2"/>
    <w:rsid w:val="002B4407"/>
    <w:rsid w:val="002B67B7"/>
    <w:rsid w:val="002B6857"/>
    <w:rsid w:val="002C0429"/>
    <w:rsid w:val="002C19E4"/>
    <w:rsid w:val="002C3ED2"/>
    <w:rsid w:val="002C50D7"/>
    <w:rsid w:val="002C6CC4"/>
    <w:rsid w:val="002C7EF5"/>
    <w:rsid w:val="002D0733"/>
    <w:rsid w:val="002D089F"/>
    <w:rsid w:val="002D13C4"/>
    <w:rsid w:val="002D275E"/>
    <w:rsid w:val="002D3EC2"/>
    <w:rsid w:val="002D3F0E"/>
    <w:rsid w:val="002D4002"/>
    <w:rsid w:val="002D4396"/>
    <w:rsid w:val="002D46EA"/>
    <w:rsid w:val="002D5EBB"/>
    <w:rsid w:val="002D6357"/>
    <w:rsid w:val="002D7584"/>
    <w:rsid w:val="002E173C"/>
    <w:rsid w:val="002E3026"/>
    <w:rsid w:val="002E3A3A"/>
    <w:rsid w:val="002E3AD6"/>
    <w:rsid w:val="002E3F06"/>
    <w:rsid w:val="002E4BAF"/>
    <w:rsid w:val="002E6FFA"/>
    <w:rsid w:val="002E7554"/>
    <w:rsid w:val="002E7913"/>
    <w:rsid w:val="002E7F8F"/>
    <w:rsid w:val="002F093E"/>
    <w:rsid w:val="002F2665"/>
    <w:rsid w:val="002F3F04"/>
    <w:rsid w:val="002F41BA"/>
    <w:rsid w:val="002F5D26"/>
    <w:rsid w:val="002F623F"/>
    <w:rsid w:val="002F66E4"/>
    <w:rsid w:val="00300F3C"/>
    <w:rsid w:val="003018AA"/>
    <w:rsid w:val="00302BA0"/>
    <w:rsid w:val="00302C21"/>
    <w:rsid w:val="00303B99"/>
    <w:rsid w:val="00303FDF"/>
    <w:rsid w:val="00306CC1"/>
    <w:rsid w:val="0030714F"/>
    <w:rsid w:val="00307155"/>
    <w:rsid w:val="003073E2"/>
    <w:rsid w:val="00307DDF"/>
    <w:rsid w:val="00310CF7"/>
    <w:rsid w:val="0031135D"/>
    <w:rsid w:val="00311672"/>
    <w:rsid w:val="00314038"/>
    <w:rsid w:val="00314278"/>
    <w:rsid w:val="00314514"/>
    <w:rsid w:val="00314A43"/>
    <w:rsid w:val="00316C75"/>
    <w:rsid w:val="0032104C"/>
    <w:rsid w:val="00322040"/>
    <w:rsid w:val="00323C0E"/>
    <w:rsid w:val="003240B8"/>
    <w:rsid w:val="00324E0D"/>
    <w:rsid w:val="00325422"/>
    <w:rsid w:val="00331D78"/>
    <w:rsid w:val="00333FDA"/>
    <w:rsid w:val="003340DE"/>
    <w:rsid w:val="00334505"/>
    <w:rsid w:val="00334EE7"/>
    <w:rsid w:val="00335D27"/>
    <w:rsid w:val="00336A9E"/>
    <w:rsid w:val="00340D19"/>
    <w:rsid w:val="00344804"/>
    <w:rsid w:val="00350BFA"/>
    <w:rsid w:val="003518C8"/>
    <w:rsid w:val="00351E99"/>
    <w:rsid w:val="0035232B"/>
    <w:rsid w:val="003526C6"/>
    <w:rsid w:val="003533B5"/>
    <w:rsid w:val="00355C63"/>
    <w:rsid w:val="003622CA"/>
    <w:rsid w:val="00363030"/>
    <w:rsid w:val="00363FA8"/>
    <w:rsid w:val="003645B3"/>
    <w:rsid w:val="0036462C"/>
    <w:rsid w:val="00364A42"/>
    <w:rsid w:val="00367797"/>
    <w:rsid w:val="00370253"/>
    <w:rsid w:val="003749D6"/>
    <w:rsid w:val="003755FB"/>
    <w:rsid w:val="0037577C"/>
    <w:rsid w:val="00377AF0"/>
    <w:rsid w:val="00381293"/>
    <w:rsid w:val="00381B13"/>
    <w:rsid w:val="00385502"/>
    <w:rsid w:val="00386C3F"/>
    <w:rsid w:val="00391A43"/>
    <w:rsid w:val="00394B77"/>
    <w:rsid w:val="003A0394"/>
    <w:rsid w:val="003A26CA"/>
    <w:rsid w:val="003A3F20"/>
    <w:rsid w:val="003B0611"/>
    <w:rsid w:val="003B215B"/>
    <w:rsid w:val="003B227C"/>
    <w:rsid w:val="003B422D"/>
    <w:rsid w:val="003B42D9"/>
    <w:rsid w:val="003B4A14"/>
    <w:rsid w:val="003B5F5E"/>
    <w:rsid w:val="003B6020"/>
    <w:rsid w:val="003B714A"/>
    <w:rsid w:val="003C15AE"/>
    <w:rsid w:val="003C2B75"/>
    <w:rsid w:val="003C3140"/>
    <w:rsid w:val="003C3E02"/>
    <w:rsid w:val="003C3FE8"/>
    <w:rsid w:val="003C4068"/>
    <w:rsid w:val="003C73F9"/>
    <w:rsid w:val="003D2DA9"/>
    <w:rsid w:val="003D5F07"/>
    <w:rsid w:val="003D6AB5"/>
    <w:rsid w:val="003E07AF"/>
    <w:rsid w:val="003E3820"/>
    <w:rsid w:val="003E3B8E"/>
    <w:rsid w:val="003E3FF5"/>
    <w:rsid w:val="003E41BC"/>
    <w:rsid w:val="003E5354"/>
    <w:rsid w:val="003F51F4"/>
    <w:rsid w:val="003F52C6"/>
    <w:rsid w:val="003F558E"/>
    <w:rsid w:val="00400147"/>
    <w:rsid w:val="00403D6E"/>
    <w:rsid w:val="00404494"/>
    <w:rsid w:val="00407AC0"/>
    <w:rsid w:val="00410E43"/>
    <w:rsid w:val="00412A50"/>
    <w:rsid w:val="00412E30"/>
    <w:rsid w:val="004133B8"/>
    <w:rsid w:val="00415AA8"/>
    <w:rsid w:val="00415B63"/>
    <w:rsid w:val="004170AF"/>
    <w:rsid w:val="00417991"/>
    <w:rsid w:val="00423239"/>
    <w:rsid w:val="00427903"/>
    <w:rsid w:val="00431DC5"/>
    <w:rsid w:val="00431EE2"/>
    <w:rsid w:val="004328DC"/>
    <w:rsid w:val="00432BB7"/>
    <w:rsid w:val="004331E9"/>
    <w:rsid w:val="00433E8D"/>
    <w:rsid w:val="0043592C"/>
    <w:rsid w:val="004411B9"/>
    <w:rsid w:val="00441207"/>
    <w:rsid w:val="00441635"/>
    <w:rsid w:val="00442010"/>
    <w:rsid w:val="004422CA"/>
    <w:rsid w:val="00443807"/>
    <w:rsid w:val="00444F53"/>
    <w:rsid w:val="004462F7"/>
    <w:rsid w:val="00450F0C"/>
    <w:rsid w:val="00451485"/>
    <w:rsid w:val="00453028"/>
    <w:rsid w:val="004540DA"/>
    <w:rsid w:val="00454A06"/>
    <w:rsid w:val="00456B3F"/>
    <w:rsid w:val="0046019D"/>
    <w:rsid w:val="0046215A"/>
    <w:rsid w:val="004634FE"/>
    <w:rsid w:val="004640D2"/>
    <w:rsid w:val="00464536"/>
    <w:rsid w:val="00464F7D"/>
    <w:rsid w:val="0046500A"/>
    <w:rsid w:val="0046514E"/>
    <w:rsid w:val="0046623C"/>
    <w:rsid w:val="00467739"/>
    <w:rsid w:val="004708B8"/>
    <w:rsid w:val="00470D0C"/>
    <w:rsid w:val="004714BC"/>
    <w:rsid w:val="00474E22"/>
    <w:rsid w:val="0047608F"/>
    <w:rsid w:val="00476554"/>
    <w:rsid w:val="00480699"/>
    <w:rsid w:val="004807AC"/>
    <w:rsid w:val="00480BB4"/>
    <w:rsid w:val="004813D4"/>
    <w:rsid w:val="00486160"/>
    <w:rsid w:val="00487A88"/>
    <w:rsid w:val="00491D91"/>
    <w:rsid w:val="00494A05"/>
    <w:rsid w:val="0049580C"/>
    <w:rsid w:val="0049768F"/>
    <w:rsid w:val="004A04E5"/>
    <w:rsid w:val="004A1495"/>
    <w:rsid w:val="004A2165"/>
    <w:rsid w:val="004A28D1"/>
    <w:rsid w:val="004A3C6C"/>
    <w:rsid w:val="004A4C1C"/>
    <w:rsid w:val="004A5D88"/>
    <w:rsid w:val="004A5F74"/>
    <w:rsid w:val="004A6A27"/>
    <w:rsid w:val="004B1052"/>
    <w:rsid w:val="004B43AB"/>
    <w:rsid w:val="004B6B14"/>
    <w:rsid w:val="004C4DB9"/>
    <w:rsid w:val="004C6DA6"/>
    <w:rsid w:val="004D02F1"/>
    <w:rsid w:val="004D0DB3"/>
    <w:rsid w:val="004D2140"/>
    <w:rsid w:val="004D3FEE"/>
    <w:rsid w:val="004D49CA"/>
    <w:rsid w:val="004D5388"/>
    <w:rsid w:val="004D5E7B"/>
    <w:rsid w:val="004E0D5B"/>
    <w:rsid w:val="004E2534"/>
    <w:rsid w:val="004E47EC"/>
    <w:rsid w:val="004E514F"/>
    <w:rsid w:val="004E6F97"/>
    <w:rsid w:val="004E737F"/>
    <w:rsid w:val="004E7FF7"/>
    <w:rsid w:val="004F03DE"/>
    <w:rsid w:val="004F1BDC"/>
    <w:rsid w:val="004F22DA"/>
    <w:rsid w:val="004F249C"/>
    <w:rsid w:val="004F6B1B"/>
    <w:rsid w:val="00500960"/>
    <w:rsid w:val="00502165"/>
    <w:rsid w:val="00502DD9"/>
    <w:rsid w:val="00504497"/>
    <w:rsid w:val="00504834"/>
    <w:rsid w:val="00504C7A"/>
    <w:rsid w:val="00505AEE"/>
    <w:rsid w:val="0050632E"/>
    <w:rsid w:val="0050752D"/>
    <w:rsid w:val="00507588"/>
    <w:rsid w:val="00511EF3"/>
    <w:rsid w:val="00513EFE"/>
    <w:rsid w:val="00514507"/>
    <w:rsid w:val="00514863"/>
    <w:rsid w:val="00520723"/>
    <w:rsid w:val="00520931"/>
    <w:rsid w:val="00520EB8"/>
    <w:rsid w:val="00521350"/>
    <w:rsid w:val="005229A4"/>
    <w:rsid w:val="00523E26"/>
    <w:rsid w:val="00524FC9"/>
    <w:rsid w:val="005252E6"/>
    <w:rsid w:val="00532AAF"/>
    <w:rsid w:val="0053341B"/>
    <w:rsid w:val="005351B9"/>
    <w:rsid w:val="005354A5"/>
    <w:rsid w:val="00536011"/>
    <w:rsid w:val="00536966"/>
    <w:rsid w:val="0054563D"/>
    <w:rsid w:val="00546530"/>
    <w:rsid w:val="00550B79"/>
    <w:rsid w:val="00550DB9"/>
    <w:rsid w:val="0055150B"/>
    <w:rsid w:val="005532F9"/>
    <w:rsid w:val="0055440B"/>
    <w:rsid w:val="00554D00"/>
    <w:rsid w:val="00555DFE"/>
    <w:rsid w:val="0055708D"/>
    <w:rsid w:val="005605B8"/>
    <w:rsid w:val="00561CA6"/>
    <w:rsid w:val="00562DF6"/>
    <w:rsid w:val="00564565"/>
    <w:rsid w:val="005647BE"/>
    <w:rsid w:val="00566299"/>
    <w:rsid w:val="005725F6"/>
    <w:rsid w:val="0057434F"/>
    <w:rsid w:val="00577767"/>
    <w:rsid w:val="00577B2B"/>
    <w:rsid w:val="005820D8"/>
    <w:rsid w:val="00582FD9"/>
    <w:rsid w:val="00584893"/>
    <w:rsid w:val="00586817"/>
    <w:rsid w:val="00586D92"/>
    <w:rsid w:val="00587507"/>
    <w:rsid w:val="00590E37"/>
    <w:rsid w:val="00590FE2"/>
    <w:rsid w:val="0059548D"/>
    <w:rsid w:val="00596A0B"/>
    <w:rsid w:val="00596E05"/>
    <w:rsid w:val="00596F85"/>
    <w:rsid w:val="005970FA"/>
    <w:rsid w:val="005A0176"/>
    <w:rsid w:val="005A088E"/>
    <w:rsid w:val="005A159C"/>
    <w:rsid w:val="005A2298"/>
    <w:rsid w:val="005A272C"/>
    <w:rsid w:val="005A28C1"/>
    <w:rsid w:val="005A6421"/>
    <w:rsid w:val="005A6448"/>
    <w:rsid w:val="005A72FC"/>
    <w:rsid w:val="005B0388"/>
    <w:rsid w:val="005B0AE4"/>
    <w:rsid w:val="005B109A"/>
    <w:rsid w:val="005B3C0F"/>
    <w:rsid w:val="005B3FDB"/>
    <w:rsid w:val="005B64B2"/>
    <w:rsid w:val="005C2FD5"/>
    <w:rsid w:val="005C3312"/>
    <w:rsid w:val="005C360D"/>
    <w:rsid w:val="005C5378"/>
    <w:rsid w:val="005C700A"/>
    <w:rsid w:val="005D0012"/>
    <w:rsid w:val="005D2AB9"/>
    <w:rsid w:val="005D30A4"/>
    <w:rsid w:val="005D34E2"/>
    <w:rsid w:val="005D496E"/>
    <w:rsid w:val="005D50EF"/>
    <w:rsid w:val="005D5204"/>
    <w:rsid w:val="005D5BC3"/>
    <w:rsid w:val="005D783B"/>
    <w:rsid w:val="005D7C20"/>
    <w:rsid w:val="005E217C"/>
    <w:rsid w:val="005E6960"/>
    <w:rsid w:val="005E7EB8"/>
    <w:rsid w:val="005F0964"/>
    <w:rsid w:val="005F110E"/>
    <w:rsid w:val="005F1751"/>
    <w:rsid w:val="005F18D6"/>
    <w:rsid w:val="006003DA"/>
    <w:rsid w:val="00602487"/>
    <w:rsid w:val="006027C7"/>
    <w:rsid w:val="00603024"/>
    <w:rsid w:val="006063EA"/>
    <w:rsid w:val="0061092E"/>
    <w:rsid w:val="006116E3"/>
    <w:rsid w:val="006132FA"/>
    <w:rsid w:val="006139AF"/>
    <w:rsid w:val="006161D5"/>
    <w:rsid w:val="00616C67"/>
    <w:rsid w:val="00617778"/>
    <w:rsid w:val="00621166"/>
    <w:rsid w:val="00624400"/>
    <w:rsid w:val="00624E51"/>
    <w:rsid w:val="00625F1C"/>
    <w:rsid w:val="00626162"/>
    <w:rsid w:val="00626F3F"/>
    <w:rsid w:val="00627754"/>
    <w:rsid w:val="00634719"/>
    <w:rsid w:val="00643B18"/>
    <w:rsid w:val="00643CFE"/>
    <w:rsid w:val="00645EAF"/>
    <w:rsid w:val="0064671A"/>
    <w:rsid w:val="006469BE"/>
    <w:rsid w:val="006476BC"/>
    <w:rsid w:val="006503E8"/>
    <w:rsid w:val="00653C9E"/>
    <w:rsid w:val="00654A4A"/>
    <w:rsid w:val="0065545A"/>
    <w:rsid w:val="00661814"/>
    <w:rsid w:val="006661CF"/>
    <w:rsid w:val="0066712C"/>
    <w:rsid w:val="0066749B"/>
    <w:rsid w:val="00667C51"/>
    <w:rsid w:val="0067026D"/>
    <w:rsid w:val="00670BFD"/>
    <w:rsid w:val="00671E4C"/>
    <w:rsid w:val="00674295"/>
    <w:rsid w:val="00677711"/>
    <w:rsid w:val="0067792B"/>
    <w:rsid w:val="006818A8"/>
    <w:rsid w:val="00681A51"/>
    <w:rsid w:val="00682469"/>
    <w:rsid w:val="00683AD7"/>
    <w:rsid w:val="00683D97"/>
    <w:rsid w:val="00684FCA"/>
    <w:rsid w:val="00686B5C"/>
    <w:rsid w:val="00694EDF"/>
    <w:rsid w:val="00695F5F"/>
    <w:rsid w:val="00696997"/>
    <w:rsid w:val="006A20C0"/>
    <w:rsid w:val="006A758C"/>
    <w:rsid w:val="006B009F"/>
    <w:rsid w:val="006B5BA0"/>
    <w:rsid w:val="006B6AE4"/>
    <w:rsid w:val="006C1EEC"/>
    <w:rsid w:val="006C375A"/>
    <w:rsid w:val="006C3D03"/>
    <w:rsid w:val="006C3FEA"/>
    <w:rsid w:val="006C667A"/>
    <w:rsid w:val="006C69E7"/>
    <w:rsid w:val="006C77B5"/>
    <w:rsid w:val="006D10AE"/>
    <w:rsid w:val="006D1DE7"/>
    <w:rsid w:val="006D29F2"/>
    <w:rsid w:val="006D3E33"/>
    <w:rsid w:val="006D4DE1"/>
    <w:rsid w:val="006D7BF1"/>
    <w:rsid w:val="006D7CA2"/>
    <w:rsid w:val="006E065B"/>
    <w:rsid w:val="006E09D3"/>
    <w:rsid w:val="006E0B2D"/>
    <w:rsid w:val="006E1E6C"/>
    <w:rsid w:val="006E3CAD"/>
    <w:rsid w:val="006E5505"/>
    <w:rsid w:val="006F01D6"/>
    <w:rsid w:val="006F0301"/>
    <w:rsid w:val="006F240A"/>
    <w:rsid w:val="006F2FB3"/>
    <w:rsid w:val="006F31BA"/>
    <w:rsid w:val="006F433E"/>
    <w:rsid w:val="006F4378"/>
    <w:rsid w:val="006F4740"/>
    <w:rsid w:val="006F505F"/>
    <w:rsid w:val="006F531B"/>
    <w:rsid w:val="006F59A7"/>
    <w:rsid w:val="006F61C6"/>
    <w:rsid w:val="006F62BC"/>
    <w:rsid w:val="00702493"/>
    <w:rsid w:val="0070249C"/>
    <w:rsid w:val="0070466D"/>
    <w:rsid w:val="007112E3"/>
    <w:rsid w:val="00712DA8"/>
    <w:rsid w:val="00714F3B"/>
    <w:rsid w:val="007164E8"/>
    <w:rsid w:val="007166F7"/>
    <w:rsid w:val="00716AEF"/>
    <w:rsid w:val="00717076"/>
    <w:rsid w:val="00717296"/>
    <w:rsid w:val="007214CF"/>
    <w:rsid w:val="0072300C"/>
    <w:rsid w:val="00724FEA"/>
    <w:rsid w:val="00725FFE"/>
    <w:rsid w:val="00727370"/>
    <w:rsid w:val="007315A9"/>
    <w:rsid w:val="00731E68"/>
    <w:rsid w:val="00732C81"/>
    <w:rsid w:val="00735D9E"/>
    <w:rsid w:val="00737842"/>
    <w:rsid w:val="0074109C"/>
    <w:rsid w:val="00741925"/>
    <w:rsid w:val="00741990"/>
    <w:rsid w:val="00742335"/>
    <w:rsid w:val="00742842"/>
    <w:rsid w:val="00751640"/>
    <w:rsid w:val="0075257B"/>
    <w:rsid w:val="007528BD"/>
    <w:rsid w:val="00752C28"/>
    <w:rsid w:val="00753376"/>
    <w:rsid w:val="00753570"/>
    <w:rsid w:val="007543B0"/>
    <w:rsid w:val="007568A9"/>
    <w:rsid w:val="00760AB6"/>
    <w:rsid w:val="00761514"/>
    <w:rsid w:val="00762324"/>
    <w:rsid w:val="00763CE7"/>
    <w:rsid w:val="00767380"/>
    <w:rsid w:val="007717D5"/>
    <w:rsid w:val="00772177"/>
    <w:rsid w:val="007731CB"/>
    <w:rsid w:val="00775C65"/>
    <w:rsid w:val="0077639A"/>
    <w:rsid w:val="0077706A"/>
    <w:rsid w:val="00777431"/>
    <w:rsid w:val="0078100C"/>
    <w:rsid w:val="0078157F"/>
    <w:rsid w:val="00786B9C"/>
    <w:rsid w:val="00786F48"/>
    <w:rsid w:val="0078772C"/>
    <w:rsid w:val="007878E4"/>
    <w:rsid w:val="00787A62"/>
    <w:rsid w:val="0079614B"/>
    <w:rsid w:val="007963BD"/>
    <w:rsid w:val="007A1A9D"/>
    <w:rsid w:val="007A4783"/>
    <w:rsid w:val="007A5191"/>
    <w:rsid w:val="007A5791"/>
    <w:rsid w:val="007A5E5D"/>
    <w:rsid w:val="007A63EB"/>
    <w:rsid w:val="007B0500"/>
    <w:rsid w:val="007B0508"/>
    <w:rsid w:val="007B111B"/>
    <w:rsid w:val="007B1993"/>
    <w:rsid w:val="007B2277"/>
    <w:rsid w:val="007B3AE8"/>
    <w:rsid w:val="007B4418"/>
    <w:rsid w:val="007B52F9"/>
    <w:rsid w:val="007B5F62"/>
    <w:rsid w:val="007B66B3"/>
    <w:rsid w:val="007B7077"/>
    <w:rsid w:val="007C3003"/>
    <w:rsid w:val="007C6073"/>
    <w:rsid w:val="007C6B60"/>
    <w:rsid w:val="007C6F85"/>
    <w:rsid w:val="007C7FA6"/>
    <w:rsid w:val="007D3AA0"/>
    <w:rsid w:val="007D3FE2"/>
    <w:rsid w:val="007D5690"/>
    <w:rsid w:val="007D6438"/>
    <w:rsid w:val="007D656C"/>
    <w:rsid w:val="007D69FA"/>
    <w:rsid w:val="007D70A0"/>
    <w:rsid w:val="007E1600"/>
    <w:rsid w:val="007E357A"/>
    <w:rsid w:val="007E36F2"/>
    <w:rsid w:val="007E4993"/>
    <w:rsid w:val="007F2EE6"/>
    <w:rsid w:val="007F4796"/>
    <w:rsid w:val="007F5694"/>
    <w:rsid w:val="007F73B4"/>
    <w:rsid w:val="00800616"/>
    <w:rsid w:val="00803FAF"/>
    <w:rsid w:val="00805D39"/>
    <w:rsid w:val="00806DC5"/>
    <w:rsid w:val="00807993"/>
    <w:rsid w:val="00810603"/>
    <w:rsid w:val="00814283"/>
    <w:rsid w:val="00817DE6"/>
    <w:rsid w:val="00820209"/>
    <w:rsid w:val="0082036D"/>
    <w:rsid w:val="00820F35"/>
    <w:rsid w:val="00820FEC"/>
    <w:rsid w:val="008223BC"/>
    <w:rsid w:val="0082393D"/>
    <w:rsid w:val="0082770E"/>
    <w:rsid w:val="0083037D"/>
    <w:rsid w:val="0083324D"/>
    <w:rsid w:val="008409B8"/>
    <w:rsid w:val="00840CF8"/>
    <w:rsid w:val="00841733"/>
    <w:rsid w:val="00843160"/>
    <w:rsid w:val="00844D38"/>
    <w:rsid w:val="00844D85"/>
    <w:rsid w:val="008524BE"/>
    <w:rsid w:val="00853BC2"/>
    <w:rsid w:val="00854278"/>
    <w:rsid w:val="00856063"/>
    <w:rsid w:val="00857172"/>
    <w:rsid w:val="008616F2"/>
    <w:rsid w:val="0086236A"/>
    <w:rsid w:val="008625FA"/>
    <w:rsid w:val="00867262"/>
    <w:rsid w:val="0087035A"/>
    <w:rsid w:val="00870C08"/>
    <w:rsid w:val="00871E47"/>
    <w:rsid w:val="0087347D"/>
    <w:rsid w:val="008764B3"/>
    <w:rsid w:val="00880A77"/>
    <w:rsid w:val="0088100D"/>
    <w:rsid w:val="00882A46"/>
    <w:rsid w:val="00882DAD"/>
    <w:rsid w:val="00885263"/>
    <w:rsid w:val="008900D2"/>
    <w:rsid w:val="00892DA5"/>
    <w:rsid w:val="008949B1"/>
    <w:rsid w:val="008969FC"/>
    <w:rsid w:val="0089713E"/>
    <w:rsid w:val="008A10F3"/>
    <w:rsid w:val="008A4A81"/>
    <w:rsid w:val="008A5C0F"/>
    <w:rsid w:val="008B1596"/>
    <w:rsid w:val="008B4038"/>
    <w:rsid w:val="008B7577"/>
    <w:rsid w:val="008B7D77"/>
    <w:rsid w:val="008C09C4"/>
    <w:rsid w:val="008C1F44"/>
    <w:rsid w:val="008C2D70"/>
    <w:rsid w:val="008C4154"/>
    <w:rsid w:val="008C646F"/>
    <w:rsid w:val="008C6685"/>
    <w:rsid w:val="008C7025"/>
    <w:rsid w:val="008D37D0"/>
    <w:rsid w:val="008D41D4"/>
    <w:rsid w:val="008D4902"/>
    <w:rsid w:val="008D70B7"/>
    <w:rsid w:val="008D77BB"/>
    <w:rsid w:val="008D7E3F"/>
    <w:rsid w:val="008E2166"/>
    <w:rsid w:val="008E3E4B"/>
    <w:rsid w:val="008E4EF9"/>
    <w:rsid w:val="008E6DFC"/>
    <w:rsid w:val="008E70F8"/>
    <w:rsid w:val="008E7710"/>
    <w:rsid w:val="008E7F47"/>
    <w:rsid w:val="008F0BF3"/>
    <w:rsid w:val="008F3CEB"/>
    <w:rsid w:val="008F5262"/>
    <w:rsid w:val="008F59AE"/>
    <w:rsid w:val="008F7C6A"/>
    <w:rsid w:val="0090038E"/>
    <w:rsid w:val="00900D4D"/>
    <w:rsid w:val="009019F1"/>
    <w:rsid w:val="00903E61"/>
    <w:rsid w:val="00903F34"/>
    <w:rsid w:val="009050AC"/>
    <w:rsid w:val="00905C0A"/>
    <w:rsid w:val="00905E80"/>
    <w:rsid w:val="0091003B"/>
    <w:rsid w:val="00911471"/>
    <w:rsid w:val="00911B5A"/>
    <w:rsid w:val="00911DEA"/>
    <w:rsid w:val="00911FEF"/>
    <w:rsid w:val="009122F8"/>
    <w:rsid w:val="00915520"/>
    <w:rsid w:val="009155F7"/>
    <w:rsid w:val="00917154"/>
    <w:rsid w:val="00917713"/>
    <w:rsid w:val="00917EDE"/>
    <w:rsid w:val="00921131"/>
    <w:rsid w:val="009247F5"/>
    <w:rsid w:val="00926AB2"/>
    <w:rsid w:val="00930654"/>
    <w:rsid w:val="00930BDE"/>
    <w:rsid w:val="009407FE"/>
    <w:rsid w:val="00941CAF"/>
    <w:rsid w:val="00942436"/>
    <w:rsid w:val="00943522"/>
    <w:rsid w:val="00944441"/>
    <w:rsid w:val="00944D29"/>
    <w:rsid w:val="00950FFE"/>
    <w:rsid w:val="009575CD"/>
    <w:rsid w:val="00957603"/>
    <w:rsid w:val="00957A1D"/>
    <w:rsid w:val="00957BC0"/>
    <w:rsid w:val="00957E9E"/>
    <w:rsid w:val="00962055"/>
    <w:rsid w:val="0096399B"/>
    <w:rsid w:val="0096487B"/>
    <w:rsid w:val="0097075D"/>
    <w:rsid w:val="00970C45"/>
    <w:rsid w:val="00971B65"/>
    <w:rsid w:val="0097286C"/>
    <w:rsid w:val="009757D1"/>
    <w:rsid w:val="00975A64"/>
    <w:rsid w:val="00980754"/>
    <w:rsid w:val="00981535"/>
    <w:rsid w:val="009825C8"/>
    <w:rsid w:val="00983D5B"/>
    <w:rsid w:val="0098409F"/>
    <w:rsid w:val="00985537"/>
    <w:rsid w:val="00987B97"/>
    <w:rsid w:val="00991698"/>
    <w:rsid w:val="00991C17"/>
    <w:rsid w:val="00992D1E"/>
    <w:rsid w:val="009933BC"/>
    <w:rsid w:val="00995300"/>
    <w:rsid w:val="009966F4"/>
    <w:rsid w:val="00996E91"/>
    <w:rsid w:val="00997EB2"/>
    <w:rsid w:val="009A06F5"/>
    <w:rsid w:val="009A0788"/>
    <w:rsid w:val="009A0E92"/>
    <w:rsid w:val="009A17EC"/>
    <w:rsid w:val="009A4CF6"/>
    <w:rsid w:val="009A4EF4"/>
    <w:rsid w:val="009A52EF"/>
    <w:rsid w:val="009A5ED7"/>
    <w:rsid w:val="009B03DF"/>
    <w:rsid w:val="009B2C17"/>
    <w:rsid w:val="009B5625"/>
    <w:rsid w:val="009B6AF0"/>
    <w:rsid w:val="009C06F2"/>
    <w:rsid w:val="009C292D"/>
    <w:rsid w:val="009C3D26"/>
    <w:rsid w:val="009C496C"/>
    <w:rsid w:val="009C5496"/>
    <w:rsid w:val="009C5F0C"/>
    <w:rsid w:val="009C67C0"/>
    <w:rsid w:val="009D0B6C"/>
    <w:rsid w:val="009D1035"/>
    <w:rsid w:val="009D1221"/>
    <w:rsid w:val="009D13D0"/>
    <w:rsid w:val="009D162A"/>
    <w:rsid w:val="009D1E1F"/>
    <w:rsid w:val="009D2068"/>
    <w:rsid w:val="009D7D33"/>
    <w:rsid w:val="009E4DD4"/>
    <w:rsid w:val="009E4E3F"/>
    <w:rsid w:val="009E698B"/>
    <w:rsid w:val="009E6CAD"/>
    <w:rsid w:val="009F1547"/>
    <w:rsid w:val="009F4ABA"/>
    <w:rsid w:val="009F6FFE"/>
    <w:rsid w:val="00A037E6"/>
    <w:rsid w:val="00A066AE"/>
    <w:rsid w:val="00A10DD9"/>
    <w:rsid w:val="00A112FE"/>
    <w:rsid w:val="00A12C6B"/>
    <w:rsid w:val="00A14117"/>
    <w:rsid w:val="00A1438B"/>
    <w:rsid w:val="00A149FA"/>
    <w:rsid w:val="00A159C5"/>
    <w:rsid w:val="00A17DF0"/>
    <w:rsid w:val="00A20F78"/>
    <w:rsid w:val="00A218F1"/>
    <w:rsid w:val="00A2212A"/>
    <w:rsid w:val="00A23976"/>
    <w:rsid w:val="00A27DEE"/>
    <w:rsid w:val="00A31B93"/>
    <w:rsid w:val="00A342DE"/>
    <w:rsid w:val="00A34EEA"/>
    <w:rsid w:val="00A35863"/>
    <w:rsid w:val="00A375EF"/>
    <w:rsid w:val="00A41554"/>
    <w:rsid w:val="00A43049"/>
    <w:rsid w:val="00A43245"/>
    <w:rsid w:val="00A43721"/>
    <w:rsid w:val="00A50BA3"/>
    <w:rsid w:val="00A50C68"/>
    <w:rsid w:val="00A513DC"/>
    <w:rsid w:val="00A528C2"/>
    <w:rsid w:val="00A530F9"/>
    <w:rsid w:val="00A54AFD"/>
    <w:rsid w:val="00A54E69"/>
    <w:rsid w:val="00A61B06"/>
    <w:rsid w:val="00A61F28"/>
    <w:rsid w:val="00A62039"/>
    <w:rsid w:val="00A62113"/>
    <w:rsid w:val="00A62DC0"/>
    <w:rsid w:val="00A63924"/>
    <w:rsid w:val="00A66547"/>
    <w:rsid w:val="00A6759C"/>
    <w:rsid w:val="00A67923"/>
    <w:rsid w:val="00A70820"/>
    <w:rsid w:val="00A713ED"/>
    <w:rsid w:val="00A714B8"/>
    <w:rsid w:val="00A7346D"/>
    <w:rsid w:val="00A74901"/>
    <w:rsid w:val="00A75733"/>
    <w:rsid w:val="00A762D5"/>
    <w:rsid w:val="00A76308"/>
    <w:rsid w:val="00A77A60"/>
    <w:rsid w:val="00A77C08"/>
    <w:rsid w:val="00A81527"/>
    <w:rsid w:val="00A82058"/>
    <w:rsid w:val="00A84868"/>
    <w:rsid w:val="00A84AE7"/>
    <w:rsid w:val="00A869B0"/>
    <w:rsid w:val="00A92738"/>
    <w:rsid w:val="00A9289F"/>
    <w:rsid w:val="00A92C1D"/>
    <w:rsid w:val="00A92C52"/>
    <w:rsid w:val="00A93AD4"/>
    <w:rsid w:val="00AA0C77"/>
    <w:rsid w:val="00AA1D27"/>
    <w:rsid w:val="00AA204C"/>
    <w:rsid w:val="00AA2D57"/>
    <w:rsid w:val="00AA2F6D"/>
    <w:rsid w:val="00AA3941"/>
    <w:rsid w:val="00AA56D0"/>
    <w:rsid w:val="00AA5933"/>
    <w:rsid w:val="00AA67CE"/>
    <w:rsid w:val="00AA6B57"/>
    <w:rsid w:val="00AB0C9F"/>
    <w:rsid w:val="00AB143A"/>
    <w:rsid w:val="00AB4CE3"/>
    <w:rsid w:val="00AB5327"/>
    <w:rsid w:val="00AB5F8F"/>
    <w:rsid w:val="00AC003C"/>
    <w:rsid w:val="00AC0103"/>
    <w:rsid w:val="00AC1404"/>
    <w:rsid w:val="00AC2DFC"/>
    <w:rsid w:val="00AC46B3"/>
    <w:rsid w:val="00AC59EF"/>
    <w:rsid w:val="00AC6622"/>
    <w:rsid w:val="00AD039F"/>
    <w:rsid w:val="00AD0A28"/>
    <w:rsid w:val="00AD3902"/>
    <w:rsid w:val="00AD3AE5"/>
    <w:rsid w:val="00AD4D12"/>
    <w:rsid w:val="00AD6010"/>
    <w:rsid w:val="00AE0D78"/>
    <w:rsid w:val="00AE1B3D"/>
    <w:rsid w:val="00AE2709"/>
    <w:rsid w:val="00AE33FF"/>
    <w:rsid w:val="00AE5DC9"/>
    <w:rsid w:val="00AF06D5"/>
    <w:rsid w:val="00AF07E3"/>
    <w:rsid w:val="00AF09DD"/>
    <w:rsid w:val="00AF24CC"/>
    <w:rsid w:val="00AF5407"/>
    <w:rsid w:val="00AF598C"/>
    <w:rsid w:val="00AF6828"/>
    <w:rsid w:val="00AF6B82"/>
    <w:rsid w:val="00B02655"/>
    <w:rsid w:val="00B05102"/>
    <w:rsid w:val="00B05601"/>
    <w:rsid w:val="00B066E1"/>
    <w:rsid w:val="00B102F1"/>
    <w:rsid w:val="00B1275F"/>
    <w:rsid w:val="00B12DD8"/>
    <w:rsid w:val="00B135A3"/>
    <w:rsid w:val="00B14BC9"/>
    <w:rsid w:val="00B16A34"/>
    <w:rsid w:val="00B25038"/>
    <w:rsid w:val="00B25433"/>
    <w:rsid w:val="00B25453"/>
    <w:rsid w:val="00B31B9C"/>
    <w:rsid w:val="00B3240B"/>
    <w:rsid w:val="00B34D6C"/>
    <w:rsid w:val="00B40588"/>
    <w:rsid w:val="00B4405A"/>
    <w:rsid w:val="00B4652E"/>
    <w:rsid w:val="00B515C3"/>
    <w:rsid w:val="00B545EE"/>
    <w:rsid w:val="00B5544F"/>
    <w:rsid w:val="00B55E5D"/>
    <w:rsid w:val="00B55FF4"/>
    <w:rsid w:val="00B565B5"/>
    <w:rsid w:val="00B57374"/>
    <w:rsid w:val="00B60A36"/>
    <w:rsid w:val="00B611B1"/>
    <w:rsid w:val="00B62836"/>
    <w:rsid w:val="00B62BF3"/>
    <w:rsid w:val="00B642D5"/>
    <w:rsid w:val="00B64589"/>
    <w:rsid w:val="00B663C3"/>
    <w:rsid w:val="00B66867"/>
    <w:rsid w:val="00B66994"/>
    <w:rsid w:val="00B71AFB"/>
    <w:rsid w:val="00B71F3A"/>
    <w:rsid w:val="00B7338A"/>
    <w:rsid w:val="00B7346D"/>
    <w:rsid w:val="00B73C97"/>
    <w:rsid w:val="00B76340"/>
    <w:rsid w:val="00B80C43"/>
    <w:rsid w:val="00B82C76"/>
    <w:rsid w:val="00B82D52"/>
    <w:rsid w:val="00B93482"/>
    <w:rsid w:val="00B93F2A"/>
    <w:rsid w:val="00B93F92"/>
    <w:rsid w:val="00B94786"/>
    <w:rsid w:val="00B956E9"/>
    <w:rsid w:val="00B968CF"/>
    <w:rsid w:val="00BA0E4A"/>
    <w:rsid w:val="00BA2100"/>
    <w:rsid w:val="00BA78B6"/>
    <w:rsid w:val="00BB0DD7"/>
    <w:rsid w:val="00BB0DF3"/>
    <w:rsid w:val="00BB1095"/>
    <w:rsid w:val="00BB1D06"/>
    <w:rsid w:val="00BB26AD"/>
    <w:rsid w:val="00BB2938"/>
    <w:rsid w:val="00BB3312"/>
    <w:rsid w:val="00BB674C"/>
    <w:rsid w:val="00BB79BD"/>
    <w:rsid w:val="00BC1D67"/>
    <w:rsid w:val="00BC7208"/>
    <w:rsid w:val="00BD0B48"/>
    <w:rsid w:val="00BD2A0A"/>
    <w:rsid w:val="00BD5D0F"/>
    <w:rsid w:val="00BD6C3A"/>
    <w:rsid w:val="00BD7C68"/>
    <w:rsid w:val="00BE05E5"/>
    <w:rsid w:val="00BE11FA"/>
    <w:rsid w:val="00BE1CBC"/>
    <w:rsid w:val="00BE29DC"/>
    <w:rsid w:val="00BE4B03"/>
    <w:rsid w:val="00BE6085"/>
    <w:rsid w:val="00BE70A8"/>
    <w:rsid w:val="00BE72B2"/>
    <w:rsid w:val="00BE76AF"/>
    <w:rsid w:val="00BE7E75"/>
    <w:rsid w:val="00BF0793"/>
    <w:rsid w:val="00BF09FC"/>
    <w:rsid w:val="00BF4AE0"/>
    <w:rsid w:val="00BF697A"/>
    <w:rsid w:val="00BF6ADB"/>
    <w:rsid w:val="00C0036C"/>
    <w:rsid w:val="00C00DD8"/>
    <w:rsid w:val="00C03776"/>
    <w:rsid w:val="00C07260"/>
    <w:rsid w:val="00C106B1"/>
    <w:rsid w:val="00C13821"/>
    <w:rsid w:val="00C14051"/>
    <w:rsid w:val="00C150BB"/>
    <w:rsid w:val="00C15F73"/>
    <w:rsid w:val="00C174EB"/>
    <w:rsid w:val="00C2028E"/>
    <w:rsid w:val="00C2037B"/>
    <w:rsid w:val="00C20895"/>
    <w:rsid w:val="00C22FF7"/>
    <w:rsid w:val="00C234C2"/>
    <w:rsid w:val="00C250AE"/>
    <w:rsid w:val="00C25A62"/>
    <w:rsid w:val="00C27F76"/>
    <w:rsid w:val="00C30DA4"/>
    <w:rsid w:val="00C44009"/>
    <w:rsid w:val="00C44719"/>
    <w:rsid w:val="00C50108"/>
    <w:rsid w:val="00C516BF"/>
    <w:rsid w:val="00C51AE3"/>
    <w:rsid w:val="00C54344"/>
    <w:rsid w:val="00C56742"/>
    <w:rsid w:val="00C6156C"/>
    <w:rsid w:val="00C6572C"/>
    <w:rsid w:val="00C6634C"/>
    <w:rsid w:val="00C70CFF"/>
    <w:rsid w:val="00C75655"/>
    <w:rsid w:val="00C8223A"/>
    <w:rsid w:val="00C82AAF"/>
    <w:rsid w:val="00C82C6E"/>
    <w:rsid w:val="00C83425"/>
    <w:rsid w:val="00C837C3"/>
    <w:rsid w:val="00C84497"/>
    <w:rsid w:val="00C846FE"/>
    <w:rsid w:val="00C8518E"/>
    <w:rsid w:val="00C868F6"/>
    <w:rsid w:val="00C90F6A"/>
    <w:rsid w:val="00C9137C"/>
    <w:rsid w:val="00C91644"/>
    <w:rsid w:val="00C9663B"/>
    <w:rsid w:val="00C96D1A"/>
    <w:rsid w:val="00C9720C"/>
    <w:rsid w:val="00CA43A5"/>
    <w:rsid w:val="00CA4762"/>
    <w:rsid w:val="00CA7C0B"/>
    <w:rsid w:val="00CB0B11"/>
    <w:rsid w:val="00CB1FC9"/>
    <w:rsid w:val="00CB6CB9"/>
    <w:rsid w:val="00CB6E2B"/>
    <w:rsid w:val="00CB6FF7"/>
    <w:rsid w:val="00CB7302"/>
    <w:rsid w:val="00CB7BD6"/>
    <w:rsid w:val="00CC1E9F"/>
    <w:rsid w:val="00CC4087"/>
    <w:rsid w:val="00CC5896"/>
    <w:rsid w:val="00CC73A2"/>
    <w:rsid w:val="00CD059D"/>
    <w:rsid w:val="00CD25E2"/>
    <w:rsid w:val="00CD6723"/>
    <w:rsid w:val="00CD7017"/>
    <w:rsid w:val="00CE084D"/>
    <w:rsid w:val="00CE0C35"/>
    <w:rsid w:val="00CE119A"/>
    <w:rsid w:val="00CE24E7"/>
    <w:rsid w:val="00CE3810"/>
    <w:rsid w:val="00CE52B4"/>
    <w:rsid w:val="00CE546F"/>
    <w:rsid w:val="00CE5DCD"/>
    <w:rsid w:val="00CE701C"/>
    <w:rsid w:val="00CE7599"/>
    <w:rsid w:val="00CF0916"/>
    <w:rsid w:val="00CF1E39"/>
    <w:rsid w:val="00CF35FE"/>
    <w:rsid w:val="00CF3891"/>
    <w:rsid w:val="00CF414A"/>
    <w:rsid w:val="00CF4FF0"/>
    <w:rsid w:val="00CF5B47"/>
    <w:rsid w:val="00D06C4F"/>
    <w:rsid w:val="00D07075"/>
    <w:rsid w:val="00D104F9"/>
    <w:rsid w:val="00D1139B"/>
    <w:rsid w:val="00D14323"/>
    <w:rsid w:val="00D15353"/>
    <w:rsid w:val="00D16008"/>
    <w:rsid w:val="00D166D4"/>
    <w:rsid w:val="00D1742A"/>
    <w:rsid w:val="00D20B5C"/>
    <w:rsid w:val="00D21F21"/>
    <w:rsid w:val="00D25F0D"/>
    <w:rsid w:val="00D30254"/>
    <w:rsid w:val="00D33768"/>
    <w:rsid w:val="00D33D87"/>
    <w:rsid w:val="00D35077"/>
    <w:rsid w:val="00D35A6E"/>
    <w:rsid w:val="00D35D23"/>
    <w:rsid w:val="00D40563"/>
    <w:rsid w:val="00D408A8"/>
    <w:rsid w:val="00D40B7C"/>
    <w:rsid w:val="00D40DD4"/>
    <w:rsid w:val="00D418B1"/>
    <w:rsid w:val="00D448E5"/>
    <w:rsid w:val="00D458F6"/>
    <w:rsid w:val="00D46DAE"/>
    <w:rsid w:val="00D46F92"/>
    <w:rsid w:val="00D51C8F"/>
    <w:rsid w:val="00D5204B"/>
    <w:rsid w:val="00D52595"/>
    <w:rsid w:val="00D53547"/>
    <w:rsid w:val="00D54C10"/>
    <w:rsid w:val="00D55191"/>
    <w:rsid w:val="00D55CD0"/>
    <w:rsid w:val="00D57544"/>
    <w:rsid w:val="00D57973"/>
    <w:rsid w:val="00D60C44"/>
    <w:rsid w:val="00D60CE2"/>
    <w:rsid w:val="00D612EC"/>
    <w:rsid w:val="00D6153E"/>
    <w:rsid w:val="00D623C4"/>
    <w:rsid w:val="00D64F92"/>
    <w:rsid w:val="00D6537A"/>
    <w:rsid w:val="00D662B7"/>
    <w:rsid w:val="00D66B30"/>
    <w:rsid w:val="00D67747"/>
    <w:rsid w:val="00D722DF"/>
    <w:rsid w:val="00D77C63"/>
    <w:rsid w:val="00D84675"/>
    <w:rsid w:val="00D8526A"/>
    <w:rsid w:val="00D85C4D"/>
    <w:rsid w:val="00D86252"/>
    <w:rsid w:val="00D86A82"/>
    <w:rsid w:val="00D90E06"/>
    <w:rsid w:val="00D917F3"/>
    <w:rsid w:val="00D97BAA"/>
    <w:rsid w:val="00DA009C"/>
    <w:rsid w:val="00DA0A35"/>
    <w:rsid w:val="00DA0E4C"/>
    <w:rsid w:val="00DA3AF3"/>
    <w:rsid w:val="00DA5455"/>
    <w:rsid w:val="00DA599A"/>
    <w:rsid w:val="00DA5C2B"/>
    <w:rsid w:val="00DA6E18"/>
    <w:rsid w:val="00DB229D"/>
    <w:rsid w:val="00DB5EFB"/>
    <w:rsid w:val="00DB6EF1"/>
    <w:rsid w:val="00DB7F34"/>
    <w:rsid w:val="00DC19BB"/>
    <w:rsid w:val="00DC4C1B"/>
    <w:rsid w:val="00DC6404"/>
    <w:rsid w:val="00DC7585"/>
    <w:rsid w:val="00DD3115"/>
    <w:rsid w:val="00DD47DC"/>
    <w:rsid w:val="00DD7913"/>
    <w:rsid w:val="00DD7FDF"/>
    <w:rsid w:val="00DE1703"/>
    <w:rsid w:val="00DE25AC"/>
    <w:rsid w:val="00DF24A5"/>
    <w:rsid w:val="00DF362E"/>
    <w:rsid w:val="00DF568D"/>
    <w:rsid w:val="00DF71BE"/>
    <w:rsid w:val="00E008CE"/>
    <w:rsid w:val="00E00CCB"/>
    <w:rsid w:val="00E02BBE"/>
    <w:rsid w:val="00E042C7"/>
    <w:rsid w:val="00E06F7C"/>
    <w:rsid w:val="00E0781A"/>
    <w:rsid w:val="00E11475"/>
    <w:rsid w:val="00E121EB"/>
    <w:rsid w:val="00E14771"/>
    <w:rsid w:val="00E1501E"/>
    <w:rsid w:val="00E175A7"/>
    <w:rsid w:val="00E20168"/>
    <w:rsid w:val="00E20740"/>
    <w:rsid w:val="00E20E92"/>
    <w:rsid w:val="00E21EBE"/>
    <w:rsid w:val="00E22A05"/>
    <w:rsid w:val="00E22B8B"/>
    <w:rsid w:val="00E24083"/>
    <w:rsid w:val="00E245DA"/>
    <w:rsid w:val="00E24645"/>
    <w:rsid w:val="00E26800"/>
    <w:rsid w:val="00E30634"/>
    <w:rsid w:val="00E31BCB"/>
    <w:rsid w:val="00E32963"/>
    <w:rsid w:val="00E3324B"/>
    <w:rsid w:val="00E337BC"/>
    <w:rsid w:val="00E350CD"/>
    <w:rsid w:val="00E36018"/>
    <w:rsid w:val="00E372A9"/>
    <w:rsid w:val="00E376AB"/>
    <w:rsid w:val="00E4001A"/>
    <w:rsid w:val="00E4001B"/>
    <w:rsid w:val="00E40401"/>
    <w:rsid w:val="00E440BA"/>
    <w:rsid w:val="00E47E96"/>
    <w:rsid w:val="00E51B56"/>
    <w:rsid w:val="00E51B82"/>
    <w:rsid w:val="00E51FDE"/>
    <w:rsid w:val="00E534B2"/>
    <w:rsid w:val="00E56B66"/>
    <w:rsid w:val="00E579AF"/>
    <w:rsid w:val="00E57DE2"/>
    <w:rsid w:val="00E627CA"/>
    <w:rsid w:val="00E639CA"/>
    <w:rsid w:val="00E64649"/>
    <w:rsid w:val="00E674C4"/>
    <w:rsid w:val="00E705B7"/>
    <w:rsid w:val="00E7086E"/>
    <w:rsid w:val="00E70ECC"/>
    <w:rsid w:val="00E71A89"/>
    <w:rsid w:val="00E77197"/>
    <w:rsid w:val="00E772FC"/>
    <w:rsid w:val="00E81B1A"/>
    <w:rsid w:val="00E8268C"/>
    <w:rsid w:val="00E84FB3"/>
    <w:rsid w:val="00E85863"/>
    <w:rsid w:val="00E86DCE"/>
    <w:rsid w:val="00E87037"/>
    <w:rsid w:val="00E909C0"/>
    <w:rsid w:val="00E91371"/>
    <w:rsid w:val="00E91657"/>
    <w:rsid w:val="00E967D2"/>
    <w:rsid w:val="00EA0739"/>
    <w:rsid w:val="00EA0F03"/>
    <w:rsid w:val="00EA1EF9"/>
    <w:rsid w:val="00EA25C0"/>
    <w:rsid w:val="00EA2CA0"/>
    <w:rsid w:val="00EA624F"/>
    <w:rsid w:val="00EA7237"/>
    <w:rsid w:val="00EB055B"/>
    <w:rsid w:val="00EB069E"/>
    <w:rsid w:val="00EB112A"/>
    <w:rsid w:val="00EB1BF4"/>
    <w:rsid w:val="00EC1212"/>
    <w:rsid w:val="00EC1D3D"/>
    <w:rsid w:val="00EC3331"/>
    <w:rsid w:val="00EC677E"/>
    <w:rsid w:val="00EC688A"/>
    <w:rsid w:val="00EC7053"/>
    <w:rsid w:val="00EC7E67"/>
    <w:rsid w:val="00ED3E81"/>
    <w:rsid w:val="00ED5996"/>
    <w:rsid w:val="00ED5B5C"/>
    <w:rsid w:val="00ED70BD"/>
    <w:rsid w:val="00EE0B3E"/>
    <w:rsid w:val="00EE37BB"/>
    <w:rsid w:val="00EF0139"/>
    <w:rsid w:val="00EF1747"/>
    <w:rsid w:val="00EF4099"/>
    <w:rsid w:val="00EF510D"/>
    <w:rsid w:val="00EF6BDC"/>
    <w:rsid w:val="00F01C4C"/>
    <w:rsid w:val="00F02786"/>
    <w:rsid w:val="00F034A1"/>
    <w:rsid w:val="00F03D00"/>
    <w:rsid w:val="00F04207"/>
    <w:rsid w:val="00F0434F"/>
    <w:rsid w:val="00F05C4E"/>
    <w:rsid w:val="00F06580"/>
    <w:rsid w:val="00F0670F"/>
    <w:rsid w:val="00F07FA6"/>
    <w:rsid w:val="00F11897"/>
    <w:rsid w:val="00F11BB3"/>
    <w:rsid w:val="00F13036"/>
    <w:rsid w:val="00F14809"/>
    <w:rsid w:val="00F15B8D"/>
    <w:rsid w:val="00F174F9"/>
    <w:rsid w:val="00F2056B"/>
    <w:rsid w:val="00F21D1A"/>
    <w:rsid w:val="00F22865"/>
    <w:rsid w:val="00F24D75"/>
    <w:rsid w:val="00F2594A"/>
    <w:rsid w:val="00F261E3"/>
    <w:rsid w:val="00F3444E"/>
    <w:rsid w:val="00F34B2F"/>
    <w:rsid w:val="00F34F33"/>
    <w:rsid w:val="00F35BE6"/>
    <w:rsid w:val="00F36D1F"/>
    <w:rsid w:val="00F3769E"/>
    <w:rsid w:val="00F37DAC"/>
    <w:rsid w:val="00F40F06"/>
    <w:rsid w:val="00F42669"/>
    <w:rsid w:val="00F4357E"/>
    <w:rsid w:val="00F44740"/>
    <w:rsid w:val="00F4749B"/>
    <w:rsid w:val="00F514FB"/>
    <w:rsid w:val="00F56CE9"/>
    <w:rsid w:val="00F61151"/>
    <w:rsid w:val="00F615DB"/>
    <w:rsid w:val="00F63603"/>
    <w:rsid w:val="00F64ECE"/>
    <w:rsid w:val="00F64F54"/>
    <w:rsid w:val="00F6595D"/>
    <w:rsid w:val="00F65E7F"/>
    <w:rsid w:val="00F67B6E"/>
    <w:rsid w:val="00F70063"/>
    <w:rsid w:val="00F7305B"/>
    <w:rsid w:val="00F73132"/>
    <w:rsid w:val="00F74636"/>
    <w:rsid w:val="00F753A3"/>
    <w:rsid w:val="00F77765"/>
    <w:rsid w:val="00F77EC3"/>
    <w:rsid w:val="00F8110D"/>
    <w:rsid w:val="00F82DD1"/>
    <w:rsid w:val="00F841FA"/>
    <w:rsid w:val="00F852EB"/>
    <w:rsid w:val="00F85385"/>
    <w:rsid w:val="00F85E98"/>
    <w:rsid w:val="00F97DFE"/>
    <w:rsid w:val="00FA0661"/>
    <w:rsid w:val="00FA2667"/>
    <w:rsid w:val="00FA7213"/>
    <w:rsid w:val="00FA7C8B"/>
    <w:rsid w:val="00FB0249"/>
    <w:rsid w:val="00FB2D9A"/>
    <w:rsid w:val="00FB4004"/>
    <w:rsid w:val="00FB793A"/>
    <w:rsid w:val="00FC129E"/>
    <w:rsid w:val="00FC56F6"/>
    <w:rsid w:val="00FC5915"/>
    <w:rsid w:val="00FC5D6D"/>
    <w:rsid w:val="00FD0647"/>
    <w:rsid w:val="00FD2290"/>
    <w:rsid w:val="00FD567D"/>
    <w:rsid w:val="00FD56D0"/>
    <w:rsid w:val="00FD6657"/>
    <w:rsid w:val="00FE05E3"/>
    <w:rsid w:val="00FE0F25"/>
    <w:rsid w:val="00FE21BD"/>
    <w:rsid w:val="00FE30D4"/>
    <w:rsid w:val="00FE37F0"/>
    <w:rsid w:val="00FE5BF6"/>
    <w:rsid w:val="00FF048B"/>
    <w:rsid w:val="00FF1A54"/>
    <w:rsid w:val="00FF317A"/>
    <w:rsid w:val="00FF3B40"/>
    <w:rsid w:val="00FF3E77"/>
    <w:rsid w:val="00FF5A7E"/>
    <w:rsid w:val="00FF640E"/>
    <w:rsid w:val="00FF6D9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250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1F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803FAF"/>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803FAF"/>
    <w:rPr>
      <w:rFonts w:ascii="Times New Roman" w:eastAsia="Times New Roman" w:hAnsi="Times New Roman" w:cs="Times New Roman"/>
      <w:sz w:val="20"/>
      <w:szCs w:val="20"/>
    </w:rPr>
  </w:style>
  <w:style w:type="paragraph" w:styleId="ListParagraph">
    <w:name w:val="List Paragraph"/>
    <w:basedOn w:val="Normal"/>
    <w:uiPriority w:val="34"/>
    <w:qFormat/>
    <w:rsid w:val="006C667A"/>
    <w:pPr>
      <w:ind w:left="720"/>
      <w:contextualSpacing/>
    </w:pPr>
  </w:style>
  <w:style w:type="paragraph" w:styleId="Header">
    <w:name w:val="header"/>
    <w:basedOn w:val="Normal"/>
    <w:link w:val="HeaderChar"/>
    <w:uiPriority w:val="99"/>
    <w:unhideWhenUsed/>
    <w:rsid w:val="00B25433"/>
    <w:pPr>
      <w:tabs>
        <w:tab w:val="center" w:pos="4680"/>
        <w:tab w:val="right" w:pos="9360"/>
      </w:tabs>
    </w:pPr>
  </w:style>
  <w:style w:type="character" w:customStyle="1" w:styleId="HeaderChar">
    <w:name w:val="Header Char"/>
    <w:basedOn w:val="DefaultParagraphFont"/>
    <w:link w:val="Header"/>
    <w:uiPriority w:val="99"/>
    <w:rsid w:val="00B254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25433"/>
    <w:pPr>
      <w:tabs>
        <w:tab w:val="center" w:pos="4680"/>
        <w:tab w:val="right" w:pos="9360"/>
      </w:tabs>
    </w:pPr>
  </w:style>
  <w:style w:type="character" w:customStyle="1" w:styleId="FooterChar">
    <w:name w:val="Footer Char"/>
    <w:basedOn w:val="DefaultParagraphFont"/>
    <w:link w:val="Footer"/>
    <w:uiPriority w:val="99"/>
    <w:rsid w:val="00B254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F92"/>
    <w:rPr>
      <w:sz w:val="16"/>
      <w:szCs w:val="16"/>
    </w:rPr>
  </w:style>
  <w:style w:type="paragraph" w:styleId="CommentText">
    <w:name w:val="annotation text"/>
    <w:basedOn w:val="Normal"/>
    <w:link w:val="CommentTextChar"/>
    <w:uiPriority w:val="99"/>
    <w:unhideWhenUsed/>
    <w:rsid w:val="00D46F92"/>
  </w:style>
  <w:style w:type="character" w:customStyle="1" w:styleId="CommentTextChar">
    <w:name w:val="Comment Text Char"/>
    <w:basedOn w:val="DefaultParagraphFont"/>
    <w:link w:val="CommentText"/>
    <w:uiPriority w:val="99"/>
    <w:rsid w:val="00D46F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F92"/>
    <w:rPr>
      <w:b/>
      <w:bCs/>
    </w:rPr>
  </w:style>
  <w:style w:type="character" w:customStyle="1" w:styleId="CommentSubjectChar">
    <w:name w:val="Comment Subject Char"/>
    <w:basedOn w:val="CommentTextChar"/>
    <w:link w:val="CommentSubject"/>
    <w:uiPriority w:val="99"/>
    <w:semiHidden/>
    <w:rsid w:val="00D46F9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35E2"/>
    <w:pPr>
      <w:widowControl/>
      <w:spacing w:before="100" w:beforeAutospacing="1" w:after="100" w:afterAutospacing="1"/>
    </w:pPr>
    <w:rPr>
      <w:sz w:val="24"/>
      <w:szCs w:val="24"/>
    </w:rPr>
  </w:style>
  <w:style w:type="paragraph" w:styleId="EndnoteText">
    <w:name w:val="endnote text"/>
    <w:basedOn w:val="Normal"/>
    <w:link w:val="EndnoteTextChar"/>
    <w:uiPriority w:val="99"/>
    <w:semiHidden/>
    <w:unhideWhenUsed/>
    <w:rsid w:val="00363FA8"/>
  </w:style>
  <w:style w:type="character" w:customStyle="1" w:styleId="EndnoteTextChar">
    <w:name w:val="Endnote Text Char"/>
    <w:basedOn w:val="DefaultParagraphFont"/>
    <w:link w:val="EndnoteText"/>
    <w:uiPriority w:val="99"/>
    <w:semiHidden/>
    <w:rsid w:val="00363FA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63FA8"/>
    <w:rPr>
      <w:vertAlign w:val="superscript"/>
    </w:rPr>
  </w:style>
  <w:style w:type="character" w:customStyle="1" w:styleId="Heading1Char">
    <w:name w:val="Heading 1 Char"/>
    <w:basedOn w:val="DefaultParagraphFont"/>
    <w:link w:val="Heading1"/>
    <w:uiPriority w:val="9"/>
    <w:rsid w:val="00B2503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25038"/>
    <w:pPr>
      <w:widowControl/>
      <w:spacing w:line="276" w:lineRule="auto"/>
      <w:outlineLvl w:val="9"/>
    </w:pPr>
    <w:rPr>
      <w:lang w:eastAsia="ja-JP"/>
    </w:rPr>
  </w:style>
  <w:style w:type="paragraph" w:styleId="TOC1">
    <w:name w:val="toc 1"/>
    <w:basedOn w:val="Normal"/>
    <w:next w:val="Normal"/>
    <w:autoRedefine/>
    <w:uiPriority w:val="39"/>
    <w:rsid w:val="00B25038"/>
    <w:pPr>
      <w:widowControl/>
      <w:spacing w:after="100"/>
    </w:pPr>
    <w:rPr>
      <w:sz w:val="26"/>
      <w:szCs w:val="26"/>
    </w:rPr>
  </w:style>
  <w:style w:type="paragraph" w:styleId="TOC2">
    <w:name w:val="toc 2"/>
    <w:basedOn w:val="Normal"/>
    <w:next w:val="Normal"/>
    <w:autoRedefine/>
    <w:uiPriority w:val="39"/>
    <w:rsid w:val="00B25038"/>
    <w:pPr>
      <w:widowControl/>
      <w:spacing w:after="100"/>
      <w:ind w:left="260"/>
    </w:pPr>
    <w:rPr>
      <w:sz w:val="26"/>
      <w:szCs w:val="26"/>
    </w:rPr>
  </w:style>
  <w:style w:type="paragraph" w:styleId="TOC3">
    <w:name w:val="toc 3"/>
    <w:basedOn w:val="Normal"/>
    <w:next w:val="Normal"/>
    <w:autoRedefine/>
    <w:uiPriority w:val="39"/>
    <w:rsid w:val="00B25038"/>
    <w:pPr>
      <w:widowControl/>
      <w:spacing w:after="100"/>
      <w:ind w:left="520"/>
    </w:pPr>
    <w:rPr>
      <w:sz w:val="26"/>
      <w:szCs w:val="26"/>
    </w:rPr>
  </w:style>
  <w:style w:type="character" w:customStyle="1" w:styleId="Heading2Char">
    <w:name w:val="Heading 2 Char"/>
    <w:basedOn w:val="DefaultParagraphFont"/>
    <w:link w:val="Heading2"/>
    <w:uiPriority w:val="9"/>
    <w:semiHidden/>
    <w:rsid w:val="00CB1FC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5820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250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1F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803FAF"/>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803FAF"/>
    <w:rPr>
      <w:rFonts w:ascii="Times New Roman" w:eastAsia="Times New Roman" w:hAnsi="Times New Roman" w:cs="Times New Roman"/>
      <w:sz w:val="20"/>
      <w:szCs w:val="20"/>
    </w:rPr>
  </w:style>
  <w:style w:type="paragraph" w:styleId="ListParagraph">
    <w:name w:val="List Paragraph"/>
    <w:basedOn w:val="Normal"/>
    <w:uiPriority w:val="34"/>
    <w:qFormat/>
    <w:rsid w:val="006C667A"/>
    <w:pPr>
      <w:ind w:left="720"/>
      <w:contextualSpacing/>
    </w:pPr>
  </w:style>
  <w:style w:type="paragraph" w:styleId="Header">
    <w:name w:val="header"/>
    <w:basedOn w:val="Normal"/>
    <w:link w:val="HeaderChar"/>
    <w:uiPriority w:val="99"/>
    <w:unhideWhenUsed/>
    <w:rsid w:val="00B25433"/>
    <w:pPr>
      <w:tabs>
        <w:tab w:val="center" w:pos="4680"/>
        <w:tab w:val="right" w:pos="9360"/>
      </w:tabs>
    </w:pPr>
  </w:style>
  <w:style w:type="character" w:customStyle="1" w:styleId="HeaderChar">
    <w:name w:val="Header Char"/>
    <w:basedOn w:val="DefaultParagraphFont"/>
    <w:link w:val="Header"/>
    <w:uiPriority w:val="99"/>
    <w:rsid w:val="00B254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25433"/>
    <w:pPr>
      <w:tabs>
        <w:tab w:val="center" w:pos="4680"/>
        <w:tab w:val="right" w:pos="9360"/>
      </w:tabs>
    </w:pPr>
  </w:style>
  <w:style w:type="character" w:customStyle="1" w:styleId="FooterChar">
    <w:name w:val="Footer Char"/>
    <w:basedOn w:val="DefaultParagraphFont"/>
    <w:link w:val="Footer"/>
    <w:uiPriority w:val="99"/>
    <w:rsid w:val="00B254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F92"/>
    <w:rPr>
      <w:sz w:val="16"/>
      <w:szCs w:val="16"/>
    </w:rPr>
  </w:style>
  <w:style w:type="paragraph" w:styleId="CommentText">
    <w:name w:val="annotation text"/>
    <w:basedOn w:val="Normal"/>
    <w:link w:val="CommentTextChar"/>
    <w:uiPriority w:val="99"/>
    <w:unhideWhenUsed/>
    <w:rsid w:val="00D46F92"/>
  </w:style>
  <w:style w:type="character" w:customStyle="1" w:styleId="CommentTextChar">
    <w:name w:val="Comment Text Char"/>
    <w:basedOn w:val="DefaultParagraphFont"/>
    <w:link w:val="CommentText"/>
    <w:uiPriority w:val="99"/>
    <w:rsid w:val="00D46F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F92"/>
    <w:rPr>
      <w:b/>
      <w:bCs/>
    </w:rPr>
  </w:style>
  <w:style w:type="character" w:customStyle="1" w:styleId="CommentSubjectChar">
    <w:name w:val="Comment Subject Char"/>
    <w:basedOn w:val="CommentTextChar"/>
    <w:link w:val="CommentSubject"/>
    <w:uiPriority w:val="99"/>
    <w:semiHidden/>
    <w:rsid w:val="00D46F9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35E2"/>
    <w:pPr>
      <w:widowControl/>
      <w:spacing w:before="100" w:beforeAutospacing="1" w:after="100" w:afterAutospacing="1"/>
    </w:pPr>
    <w:rPr>
      <w:sz w:val="24"/>
      <w:szCs w:val="24"/>
    </w:rPr>
  </w:style>
  <w:style w:type="paragraph" w:styleId="EndnoteText">
    <w:name w:val="endnote text"/>
    <w:basedOn w:val="Normal"/>
    <w:link w:val="EndnoteTextChar"/>
    <w:uiPriority w:val="99"/>
    <w:semiHidden/>
    <w:unhideWhenUsed/>
    <w:rsid w:val="00363FA8"/>
  </w:style>
  <w:style w:type="character" w:customStyle="1" w:styleId="EndnoteTextChar">
    <w:name w:val="Endnote Text Char"/>
    <w:basedOn w:val="DefaultParagraphFont"/>
    <w:link w:val="EndnoteText"/>
    <w:uiPriority w:val="99"/>
    <w:semiHidden/>
    <w:rsid w:val="00363FA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63FA8"/>
    <w:rPr>
      <w:vertAlign w:val="superscript"/>
    </w:rPr>
  </w:style>
  <w:style w:type="character" w:customStyle="1" w:styleId="Heading1Char">
    <w:name w:val="Heading 1 Char"/>
    <w:basedOn w:val="DefaultParagraphFont"/>
    <w:link w:val="Heading1"/>
    <w:uiPriority w:val="9"/>
    <w:rsid w:val="00B2503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25038"/>
    <w:pPr>
      <w:widowControl/>
      <w:spacing w:line="276" w:lineRule="auto"/>
      <w:outlineLvl w:val="9"/>
    </w:pPr>
    <w:rPr>
      <w:lang w:eastAsia="ja-JP"/>
    </w:rPr>
  </w:style>
  <w:style w:type="paragraph" w:styleId="TOC1">
    <w:name w:val="toc 1"/>
    <w:basedOn w:val="Normal"/>
    <w:next w:val="Normal"/>
    <w:autoRedefine/>
    <w:uiPriority w:val="39"/>
    <w:rsid w:val="00B25038"/>
    <w:pPr>
      <w:widowControl/>
      <w:spacing w:after="100"/>
    </w:pPr>
    <w:rPr>
      <w:sz w:val="26"/>
      <w:szCs w:val="26"/>
    </w:rPr>
  </w:style>
  <w:style w:type="paragraph" w:styleId="TOC2">
    <w:name w:val="toc 2"/>
    <w:basedOn w:val="Normal"/>
    <w:next w:val="Normal"/>
    <w:autoRedefine/>
    <w:uiPriority w:val="39"/>
    <w:rsid w:val="00B25038"/>
    <w:pPr>
      <w:widowControl/>
      <w:spacing w:after="100"/>
      <w:ind w:left="260"/>
    </w:pPr>
    <w:rPr>
      <w:sz w:val="26"/>
      <w:szCs w:val="26"/>
    </w:rPr>
  </w:style>
  <w:style w:type="paragraph" w:styleId="TOC3">
    <w:name w:val="toc 3"/>
    <w:basedOn w:val="Normal"/>
    <w:next w:val="Normal"/>
    <w:autoRedefine/>
    <w:uiPriority w:val="39"/>
    <w:rsid w:val="00B25038"/>
    <w:pPr>
      <w:widowControl/>
      <w:spacing w:after="100"/>
      <w:ind w:left="520"/>
    </w:pPr>
    <w:rPr>
      <w:sz w:val="26"/>
      <w:szCs w:val="26"/>
    </w:rPr>
  </w:style>
  <w:style w:type="character" w:customStyle="1" w:styleId="Heading2Char">
    <w:name w:val="Heading 2 Char"/>
    <w:basedOn w:val="DefaultParagraphFont"/>
    <w:link w:val="Heading2"/>
    <w:uiPriority w:val="9"/>
    <w:semiHidden/>
    <w:rsid w:val="00CB1FC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5820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609017">
      <w:bodyDiv w:val="1"/>
      <w:marLeft w:val="0"/>
      <w:marRight w:val="0"/>
      <w:marTop w:val="0"/>
      <w:marBottom w:val="0"/>
      <w:divBdr>
        <w:top w:val="none" w:sz="0" w:space="0" w:color="auto"/>
        <w:left w:val="none" w:sz="0" w:space="0" w:color="auto"/>
        <w:bottom w:val="none" w:sz="0" w:space="0" w:color="auto"/>
        <w:right w:val="none" w:sz="0" w:space="0" w:color="auto"/>
      </w:divBdr>
      <w:divsChild>
        <w:div w:id="641079495">
          <w:marLeft w:val="0"/>
          <w:marRight w:val="0"/>
          <w:marTop w:val="0"/>
          <w:marBottom w:val="0"/>
          <w:divBdr>
            <w:top w:val="none" w:sz="0" w:space="0" w:color="auto"/>
            <w:left w:val="none" w:sz="0" w:space="0" w:color="auto"/>
            <w:bottom w:val="none" w:sz="0" w:space="0" w:color="auto"/>
            <w:right w:val="none" w:sz="0" w:space="0" w:color="auto"/>
          </w:divBdr>
          <w:divsChild>
            <w:div w:id="1581912770">
              <w:marLeft w:val="0"/>
              <w:marRight w:val="0"/>
              <w:marTop w:val="0"/>
              <w:marBottom w:val="0"/>
              <w:divBdr>
                <w:top w:val="none" w:sz="0" w:space="0" w:color="auto"/>
                <w:left w:val="none" w:sz="0" w:space="0" w:color="auto"/>
                <w:bottom w:val="none" w:sz="0" w:space="0" w:color="auto"/>
                <w:right w:val="none" w:sz="0" w:space="0" w:color="auto"/>
              </w:divBdr>
              <w:divsChild>
                <w:div w:id="217479232">
                  <w:marLeft w:val="0"/>
                  <w:marRight w:val="0"/>
                  <w:marTop w:val="0"/>
                  <w:marBottom w:val="0"/>
                  <w:divBdr>
                    <w:top w:val="none" w:sz="0" w:space="0" w:color="auto"/>
                    <w:left w:val="none" w:sz="0" w:space="0" w:color="auto"/>
                    <w:bottom w:val="none" w:sz="0" w:space="0" w:color="auto"/>
                    <w:right w:val="none" w:sz="0" w:space="0" w:color="auto"/>
                  </w:divBdr>
                  <w:divsChild>
                    <w:div w:id="1004549571">
                      <w:marLeft w:val="0"/>
                      <w:marRight w:val="0"/>
                      <w:marTop w:val="0"/>
                      <w:marBottom w:val="0"/>
                      <w:divBdr>
                        <w:top w:val="none" w:sz="0" w:space="0" w:color="auto"/>
                        <w:left w:val="none" w:sz="0" w:space="0" w:color="auto"/>
                        <w:bottom w:val="none" w:sz="0" w:space="0" w:color="auto"/>
                        <w:right w:val="none" w:sz="0" w:space="0" w:color="auto"/>
                      </w:divBdr>
                      <w:divsChild>
                        <w:div w:id="123929364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19303568">
                              <w:marLeft w:val="0"/>
                              <w:marRight w:val="0"/>
                              <w:marTop w:val="0"/>
                              <w:marBottom w:val="0"/>
                              <w:divBdr>
                                <w:top w:val="none" w:sz="0" w:space="0" w:color="auto"/>
                                <w:left w:val="none" w:sz="0" w:space="0" w:color="auto"/>
                                <w:bottom w:val="none" w:sz="0" w:space="0" w:color="auto"/>
                                <w:right w:val="none" w:sz="0" w:space="0" w:color="auto"/>
                              </w:divBdr>
                              <w:divsChild>
                                <w:div w:id="1802573331">
                                  <w:marLeft w:val="0"/>
                                  <w:marRight w:val="0"/>
                                  <w:marTop w:val="0"/>
                                  <w:marBottom w:val="0"/>
                                  <w:divBdr>
                                    <w:top w:val="none" w:sz="0" w:space="0" w:color="auto"/>
                                    <w:left w:val="none" w:sz="0" w:space="0" w:color="auto"/>
                                    <w:bottom w:val="none" w:sz="0" w:space="0" w:color="auto"/>
                                    <w:right w:val="none" w:sz="0" w:space="0" w:color="auto"/>
                                  </w:divBdr>
                                  <w:divsChild>
                                    <w:div w:id="1327123330">
                                      <w:marLeft w:val="0"/>
                                      <w:marRight w:val="0"/>
                                      <w:marTop w:val="0"/>
                                      <w:marBottom w:val="0"/>
                                      <w:divBdr>
                                        <w:top w:val="none" w:sz="0" w:space="0" w:color="auto"/>
                                        <w:left w:val="none" w:sz="0" w:space="0" w:color="auto"/>
                                        <w:bottom w:val="none" w:sz="0" w:space="0" w:color="auto"/>
                                        <w:right w:val="none" w:sz="0" w:space="0" w:color="auto"/>
                                      </w:divBdr>
                                      <w:divsChild>
                                        <w:div w:id="1724404694">
                                          <w:marLeft w:val="0"/>
                                          <w:marRight w:val="0"/>
                                          <w:marTop w:val="0"/>
                                          <w:marBottom w:val="0"/>
                                          <w:divBdr>
                                            <w:top w:val="none" w:sz="0" w:space="0" w:color="auto"/>
                                            <w:left w:val="none" w:sz="0" w:space="0" w:color="auto"/>
                                            <w:bottom w:val="none" w:sz="0" w:space="0" w:color="auto"/>
                                            <w:right w:val="none" w:sz="0" w:space="0" w:color="auto"/>
                                          </w:divBdr>
                                          <w:divsChild>
                                            <w:div w:id="1284308995">
                                              <w:marLeft w:val="0"/>
                                              <w:marRight w:val="0"/>
                                              <w:marTop w:val="0"/>
                                              <w:marBottom w:val="0"/>
                                              <w:divBdr>
                                                <w:top w:val="none" w:sz="0" w:space="0" w:color="auto"/>
                                                <w:left w:val="none" w:sz="0" w:space="0" w:color="auto"/>
                                                <w:bottom w:val="none" w:sz="0" w:space="0" w:color="auto"/>
                                                <w:right w:val="none" w:sz="0" w:space="0" w:color="auto"/>
                                              </w:divBdr>
                                              <w:divsChild>
                                                <w:div w:id="316308534">
                                                  <w:marLeft w:val="0"/>
                                                  <w:marRight w:val="0"/>
                                                  <w:marTop w:val="0"/>
                                                  <w:marBottom w:val="0"/>
                                                  <w:divBdr>
                                                    <w:top w:val="none" w:sz="0" w:space="0" w:color="auto"/>
                                                    <w:left w:val="none" w:sz="0" w:space="0" w:color="auto"/>
                                                    <w:bottom w:val="none" w:sz="0" w:space="0" w:color="auto"/>
                                                    <w:right w:val="none" w:sz="0" w:space="0" w:color="auto"/>
                                                  </w:divBdr>
                                                </w:div>
                                              </w:divsChild>
                                            </w:div>
                                            <w:div w:id="962230663">
                                              <w:marLeft w:val="0"/>
                                              <w:marRight w:val="0"/>
                                              <w:marTop w:val="0"/>
                                              <w:marBottom w:val="0"/>
                                              <w:divBdr>
                                                <w:top w:val="none" w:sz="0" w:space="0" w:color="auto"/>
                                                <w:left w:val="none" w:sz="0" w:space="0" w:color="auto"/>
                                                <w:bottom w:val="none" w:sz="0" w:space="0" w:color="auto"/>
                                                <w:right w:val="none" w:sz="0" w:space="0" w:color="auto"/>
                                              </w:divBdr>
                                              <w:divsChild>
                                                <w:div w:id="805972289">
                                                  <w:marLeft w:val="0"/>
                                                  <w:marRight w:val="0"/>
                                                  <w:marTop w:val="0"/>
                                                  <w:marBottom w:val="0"/>
                                                  <w:divBdr>
                                                    <w:top w:val="none" w:sz="0" w:space="0" w:color="auto"/>
                                                    <w:left w:val="none" w:sz="0" w:space="0" w:color="auto"/>
                                                    <w:bottom w:val="none" w:sz="0" w:space="0" w:color="auto"/>
                                                    <w:right w:val="none" w:sz="0" w:space="0" w:color="auto"/>
                                                  </w:divBdr>
                                                  <w:divsChild>
                                                    <w:div w:id="16510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1186164">
      <w:bodyDiv w:val="1"/>
      <w:marLeft w:val="0"/>
      <w:marRight w:val="0"/>
      <w:marTop w:val="0"/>
      <w:marBottom w:val="0"/>
      <w:divBdr>
        <w:top w:val="none" w:sz="0" w:space="0" w:color="auto"/>
        <w:left w:val="none" w:sz="0" w:space="0" w:color="auto"/>
        <w:bottom w:val="none" w:sz="0" w:space="0" w:color="auto"/>
        <w:right w:val="none" w:sz="0" w:space="0" w:color="auto"/>
      </w:divBdr>
    </w:div>
    <w:div w:id="1394549739">
      <w:bodyDiv w:val="1"/>
      <w:marLeft w:val="0"/>
      <w:marRight w:val="0"/>
      <w:marTop w:val="0"/>
      <w:marBottom w:val="0"/>
      <w:divBdr>
        <w:top w:val="none" w:sz="0" w:space="0" w:color="auto"/>
        <w:left w:val="none" w:sz="0" w:space="0" w:color="auto"/>
        <w:bottom w:val="none" w:sz="0" w:space="0" w:color="auto"/>
        <w:right w:val="none" w:sz="0" w:space="0" w:color="auto"/>
      </w:divBdr>
    </w:div>
    <w:div w:id="1645892615">
      <w:bodyDiv w:val="1"/>
      <w:marLeft w:val="0"/>
      <w:marRight w:val="0"/>
      <w:marTop w:val="0"/>
      <w:marBottom w:val="0"/>
      <w:divBdr>
        <w:top w:val="none" w:sz="0" w:space="0" w:color="auto"/>
        <w:left w:val="none" w:sz="0" w:space="0" w:color="auto"/>
        <w:bottom w:val="none" w:sz="0" w:space="0" w:color="auto"/>
        <w:right w:val="none" w:sz="0" w:space="0" w:color="auto"/>
      </w:divBdr>
      <w:divsChild>
        <w:div w:id="206726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365738">
      <w:bodyDiv w:val="1"/>
      <w:marLeft w:val="0"/>
      <w:marRight w:val="0"/>
      <w:marTop w:val="0"/>
      <w:marBottom w:val="0"/>
      <w:divBdr>
        <w:top w:val="none" w:sz="0" w:space="0" w:color="auto"/>
        <w:left w:val="none" w:sz="0" w:space="0" w:color="auto"/>
        <w:bottom w:val="none" w:sz="0" w:space="0" w:color="auto"/>
        <w:right w:val="none" w:sz="0" w:space="0" w:color="auto"/>
      </w:divBdr>
    </w:div>
    <w:div w:id="19480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ocmo@pa.gov"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a-OCMO@pa.gov" TargetMode="External"/><Relationship Id="rId17" Type="http://schemas.openxmlformats.org/officeDocument/2006/relationships/hyperlink" Target="mailto:ra-ocmo@pa.gov" TargetMode="External"/><Relationship Id="rId2" Type="http://schemas.openxmlformats.org/officeDocument/2006/relationships/numbering" Target="numbering.xml"/><Relationship Id="rId16" Type="http://schemas.openxmlformats.org/officeDocument/2006/relationships/hyperlink" Target="mailto:dmumford@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ocmo@pa.gov" TargetMode="External"/><Relationship Id="rId5" Type="http://schemas.openxmlformats.org/officeDocument/2006/relationships/settings" Target="settings.xml"/><Relationship Id="rId15" Type="http://schemas.openxmlformats.org/officeDocument/2006/relationships/hyperlink" Target="mailto:hhouse@pa.gov" TargetMode="External"/><Relationship Id="rId10" Type="http://schemas.openxmlformats.org/officeDocument/2006/relationships/hyperlink" Target="mailto:ra-ocmo@pa.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APowerSwitch.com" TargetMode="External"/><Relationship Id="rId14" Type="http://schemas.openxmlformats.org/officeDocument/2006/relationships/hyperlink" Target="http://www.puc.pa.gov/utility_industry/natural_gas/natrual_gas_rmi.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apowerswitch.com/standard-offer-program" TargetMode="External"/><Relationship Id="rId2" Type="http://schemas.openxmlformats.org/officeDocument/2006/relationships/hyperlink" Target="http://www.puc.pa.gov" TargetMode="External"/><Relationship Id="rId1" Type="http://schemas.openxmlformats.org/officeDocument/2006/relationships/hyperlink" Target="http://www.PaGasSwitch.com" TargetMode="External"/><Relationship Id="rId4" Type="http://schemas.openxmlformats.org/officeDocument/2006/relationships/hyperlink" Target="http://www.PAPowerSwi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2F8DD-36EC-4A89-8F6C-45A72EAB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14447</Words>
  <Characters>82354</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3</cp:revision>
  <cp:lastPrinted>2014-12-18T18:46:00Z</cp:lastPrinted>
  <dcterms:created xsi:type="dcterms:W3CDTF">2014-12-17T19:43:00Z</dcterms:created>
  <dcterms:modified xsi:type="dcterms:W3CDTF">2014-12-18T18:46:00Z</dcterms:modified>
</cp:coreProperties>
</file>