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FA4295" w:rsidRPr="0098410B" w:rsidTr="00FA4295">
        <w:tc>
          <w:tcPr>
            <w:tcW w:w="2448" w:type="dxa"/>
          </w:tcPr>
          <w:p w:rsidR="00FA4295" w:rsidRPr="0098410B" w:rsidRDefault="00FA4295" w:rsidP="00C46EF5">
            <w:pPr>
              <w:pStyle w:val="Heading3"/>
              <w:numPr>
                <w:ilvl w:val="0"/>
                <w:numId w:val="0"/>
              </w:numPr>
              <w:ind w:left="1440"/>
            </w:pPr>
          </w:p>
        </w:tc>
        <w:tc>
          <w:tcPr>
            <w:tcW w:w="5130" w:type="dxa"/>
            <w:hideMark/>
          </w:tcPr>
          <w:p w:rsidR="00FA4295" w:rsidRPr="0098410B" w:rsidRDefault="00FA4295" w:rsidP="0098410B">
            <w:pPr>
              <w:spacing w:line="240" w:lineRule="auto"/>
              <w:jc w:val="center"/>
              <w:rPr>
                <w:b/>
                <w:szCs w:val="26"/>
              </w:rPr>
            </w:pPr>
            <w:r w:rsidRPr="0098410B">
              <w:rPr>
                <w:b/>
                <w:szCs w:val="26"/>
              </w:rPr>
              <w:t>PENNSYLVANIA</w:t>
            </w:r>
          </w:p>
          <w:p w:rsidR="00FA4295" w:rsidRPr="0098410B" w:rsidRDefault="00FA4295" w:rsidP="0098410B">
            <w:pPr>
              <w:spacing w:line="240" w:lineRule="auto"/>
              <w:jc w:val="center"/>
              <w:rPr>
                <w:b/>
                <w:szCs w:val="26"/>
              </w:rPr>
            </w:pPr>
            <w:r w:rsidRPr="0098410B">
              <w:rPr>
                <w:b/>
                <w:szCs w:val="26"/>
              </w:rPr>
              <w:t>PUBLIC UTILITY COMMISSION</w:t>
            </w:r>
          </w:p>
          <w:p w:rsidR="00FA4295" w:rsidRPr="0098410B" w:rsidRDefault="00FA4295" w:rsidP="0098410B">
            <w:pPr>
              <w:pStyle w:val="StyleCentered"/>
              <w:spacing w:line="240" w:lineRule="auto"/>
              <w:rPr>
                <w:szCs w:val="26"/>
              </w:rPr>
            </w:pPr>
            <w:r w:rsidRPr="0098410B">
              <w:rPr>
                <w:szCs w:val="26"/>
              </w:rPr>
              <w:t>Harrisburg, PA.  17105-3265</w:t>
            </w:r>
          </w:p>
        </w:tc>
        <w:tc>
          <w:tcPr>
            <w:tcW w:w="2700" w:type="dxa"/>
          </w:tcPr>
          <w:p w:rsidR="00FA4295" w:rsidRPr="0098410B" w:rsidRDefault="00FA4295" w:rsidP="0098410B">
            <w:pPr>
              <w:spacing w:line="240" w:lineRule="auto"/>
              <w:jc w:val="left"/>
              <w:rPr>
                <w:szCs w:val="26"/>
              </w:rPr>
            </w:pPr>
          </w:p>
        </w:tc>
      </w:tr>
    </w:tbl>
    <w:p w:rsidR="00FA4295" w:rsidRPr="0098410B" w:rsidRDefault="00FA4295" w:rsidP="0098410B">
      <w:pPr>
        <w:spacing w:line="240" w:lineRule="auto"/>
        <w:jc w:val="left"/>
        <w:rPr>
          <w:szCs w:val="26"/>
        </w:rPr>
      </w:pPr>
    </w:p>
    <w:tbl>
      <w:tblPr>
        <w:tblW w:w="0" w:type="auto"/>
        <w:tblLayout w:type="fixed"/>
        <w:tblLook w:val="04A0" w:firstRow="1" w:lastRow="0" w:firstColumn="1" w:lastColumn="0" w:noHBand="0" w:noVBand="1"/>
      </w:tblPr>
      <w:tblGrid>
        <w:gridCol w:w="5148"/>
        <w:gridCol w:w="5148"/>
      </w:tblGrid>
      <w:tr w:rsidR="00FA4295" w:rsidRPr="0098410B" w:rsidTr="00FA4295">
        <w:tc>
          <w:tcPr>
            <w:tcW w:w="5148" w:type="dxa"/>
          </w:tcPr>
          <w:p w:rsidR="00FA4295" w:rsidRPr="0098410B" w:rsidRDefault="00FA4295" w:rsidP="0098410B">
            <w:pPr>
              <w:spacing w:line="240" w:lineRule="auto"/>
              <w:jc w:val="left"/>
              <w:rPr>
                <w:szCs w:val="26"/>
              </w:rPr>
            </w:pPr>
          </w:p>
        </w:tc>
        <w:tc>
          <w:tcPr>
            <w:tcW w:w="5148" w:type="dxa"/>
            <w:hideMark/>
          </w:tcPr>
          <w:p w:rsidR="00FA4295" w:rsidRPr="0098410B" w:rsidRDefault="00FA4295" w:rsidP="00376A7F">
            <w:pPr>
              <w:spacing w:line="240" w:lineRule="auto"/>
              <w:ind w:firstLine="612"/>
              <w:jc w:val="left"/>
              <w:rPr>
                <w:szCs w:val="26"/>
              </w:rPr>
            </w:pPr>
            <w:r w:rsidRPr="0098410B">
              <w:rPr>
                <w:szCs w:val="26"/>
              </w:rPr>
              <w:t xml:space="preserve">Public Meeting held </w:t>
            </w:r>
            <w:r w:rsidR="00376A7F">
              <w:rPr>
                <w:szCs w:val="26"/>
              </w:rPr>
              <w:t>December 18</w:t>
            </w:r>
            <w:r w:rsidR="008C12D8" w:rsidRPr="0098410B">
              <w:rPr>
                <w:szCs w:val="26"/>
              </w:rPr>
              <w:t>, 201</w:t>
            </w:r>
            <w:r w:rsidR="00084229" w:rsidRPr="0098410B">
              <w:rPr>
                <w:szCs w:val="26"/>
              </w:rPr>
              <w:t>4</w:t>
            </w:r>
          </w:p>
        </w:tc>
      </w:tr>
      <w:tr w:rsidR="00FA4295" w:rsidRPr="0098410B" w:rsidTr="00FA4295">
        <w:tc>
          <w:tcPr>
            <w:tcW w:w="5148" w:type="dxa"/>
            <w:hideMark/>
          </w:tcPr>
          <w:p w:rsidR="00FA4295" w:rsidRPr="0098410B" w:rsidRDefault="00FA4295" w:rsidP="0098410B">
            <w:pPr>
              <w:spacing w:line="240" w:lineRule="auto"/>
              <w:jc w:val="left"/>
              <w:rPr>
                <w:szCs w:val="26"/>
              </w:rPr>
            </w:pPr>
            <w:r w:rsidRPr="0098410B">
              <w:rPr>
                <w:szCs w:val="26"/>
              </w:rPr>
              <w:t>Commissioners Present:</w:t>
            </w:r>
          </w:p>
        </w:tc>
        <w:tc>
          <w:tcPr>
            <w:tcW w:w="5148" w:type="dxa"/>
          </w:tcPr>
          <w:p w:rsidR="00FA4295" w:rsidRPr="0098410B" w:rsidRDefault="00FA4295" w:rsidP="0098410B">
            <w:pPr>
              <w:spacing w:line="240" w:lineRule="auto"/>
              <w:jc w:val="left"/>
              <w:rPr>
                <w:szCs w:val="26"/>
              </w:rPr>
            </w:pPr>
          </w:p>
        </w:tc>
      </w:tr>
    </w:tbl>
    <w:p w:rsidR="00FA4295" w:rsidRPr="0098410B" w:rsidRDefault="00FA4295" w:rsidP="0098410B">
      <w:pPr>
        <w:spacing w:line="240" w:lineRule="auto"/>
        <w:jc w:val="left"/>
        <w:rPr>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98410B" w:rsidTr="00FA4295">
        <w:tc>
          <w:tcPr>
            <w:tcW w:w="9558" w:type="dxa"/>
            <w:gridSpan w:val="3"/>
            <w:hideMark/>
          </w:tcPr>
          <w:p w:rsidR="00FA4295" w:rsidRPr="0098410B" w:rsidRDefault="006D57F0" w:rsidP="0098410B">
            <w:pPr>
              <w:spacing w:line="240" w:lineRule="auto"/>
              <w:ind w:firstLine="450"/>
              <w:jc w:val="left"/>
              <w:rPr>
                <w:szCs w:val="26"/>
              </w:rPr>
            </w:pPr>
            <w:r w:rsidRPr="0098410B">
              <w:rPr>
                <w:szCs w:val="26"/>
              </w:rPr>
              <w:t>Robert F. Powelson</w:t>
            </w:r>
            <w:r w:rsidR="00FA4295" w:rsidRPr="0098410B">
              <w:rPr>
                <w:szCs w:val="26"/>
              </w:rPr>
              <w:t>, Chairman</w:t>
            </w:r>
          </w:p>
        </w:tc>
        <w:tc>
          <w:tcPr>
            <w:tcW w:w="738" w:type="dxa"/>
          </w:tcPr>
          <w:p w:rsidR="00FA4295" w:rsidRPr="0098410B" w:rsidRDefault="00FA4295" w:rsidP="0098410B">
            <w:pPr>
              <w:spacing w:line="240" w:lineRule="auto"/>
              <w:jc w:val="left"/>
              <w:rPr>
                <w:szCs w:val="26"/>
              </w:rPr>
            </w:pPr>
          </w:p>
        </w:tc>
      </w:tr>
      <w:tr w:rsidR="00FA4295" w:rsidRPr="0098410B" w:rsidTr="00FA4295">
        <w:tc>
          <w:tcPr>
            <w:tcW w:w="9558" w:type="dxa"/>
            <w:gridSpan w:val="3"/>
            <w:hideMark/>
          </w:tcPr>
          <w:p w:rsidR="00FA4295" w:rsidRPr="0098410B" w:rsidRDefault="006D57F0" w:rsidP="0098410B">
            <w:pPr>
              <w:spacing w:line="240" w:lineRule="auto"/>
              <w:ind w:firstLine="450"/>
              <w:jc w:val="left"/>
              <w:rPr>
                <w:szCs w:val="26"/>
              </w:rPr>
            </w:pPr>
            <w:r w:rsidRPr="0098410B">
              <w:rPr>
                <w:szCs w:val="26"/>
              </w:rPr>
              <w:t>John F. Coleman, Jr.</w:t>
            </w:r>
            <w:r w:rsidR="00FA4295" w:rsidRPr="0098410B">
              <w:rPr>
                <w:szCs w:val="26"/>
              </w:rPr>
              <w:t>, Vice Chairman</w:t>
            </w:r>
          </w:p>
          <w:p w:rsidR="00D06886" w:rsidRPr="0098410B" w:rsidRDefault="005C437C" w:rsidP="0098410B">
            <w:pPr>
              <w:spacing w:line="240" w:lineRule="auto"/>
              <w:ind w:firstLine="450"/>
              <w:jc w:val="left"/>
              <w:rPr>
                <w:szCs w:val="26"/>
              </w:rPr>
            </w:pPr>
            <w:r>
              <w:rPr>
                <w:szCs w:val="26"/>
              </w:rPr>
              <w:t>James H. Cawley</w:t>
            </w:r>
          </w:p>
        </w:tc>
        <w:tc>
          <w:tcPr>
            <w:tcW w:w="738" w:type="dxa"/>
          </w:tcPr>
          <w:p w:rsidR="00FA4295" w:rsidRPr="0098410B" w:rsidRDefault="00FA4295" w:rsidP="0098410B">
            <w:pPr>
              <w:spacing w:line="240" w:lineRule="auto"/>
              <w:jc w:val="left"/>
              <w:rPr>
                <w:szCs w:val="26"/>
              </w:rPr>
            </w:pPr>
          </w:p>
        </w:tc>
      </w:tr>
      <w:tr w:rsidR="00FA4295" w:rsidRPr="0098410B" w:rsidTr="00FA4295">
        <w:tc>
          <w:tcPr>
            <w:tcW w:w="9558" w:type="dxa"/>
            <w:gridSpan w:val="3"/>
            <w:hideMark/>
          </w:tcPr>
          <w:p w:rsidR="00FA4295" w:rsidRPr="0098410B" w:rsidRDefault="005C437C" w:rsidP="0098410B">
            <w:pPr>
              <w:spacing w:line="240" w:lineRule="auto"/>
              <w:ind w:firstLine="450"/>
              <w:jc w:val="left"/>
              <w:rPr>
                <w:szCs w:val="26"/>
              </w:rPr>
            </w:pPr>
            <w:r>
              <w:rPr>
                <w:szCs w:val="26"/>
              </w:rPr>
              <w:t>Pamela A. Witmer</w:t>
            </w:r>
          </w:p>
        </w:tc>
        <w:tc>
          <w:tcPr>
            <w:tcW w:w="738" w:type="dxa"/>
          </w:tcPr>
          <w:p w:rsidR="00FA4295" w:rsidRPr="0098410B" w:rsidRDefault="00FA4295" w:rsidP="0098410B">
            <w:pPr>
              <w:spacing w:line="240" w:lineRule="auto"/>
              <w:jc w:val="left"/>
              <w:rPr>
                <w:szCs w:val="26"/>
              </w:rPr>
            </w:pPr>
          </w:p>
        </w:tc>
      </w:tr>
      <w:tr w:rsidR="00FA4295" w:rsidRPr="0098410B" w:rsidTr="00FA4295">
        <w:tc>
          <w:tcPr>
            <w:tcW w:w="9558" w:type="dxa"/>
            <w:gridSpan w:val="3"/>
            <w:hideMark/>
          </w:tcPr>
          <w:p w:rsidR="006D1145" w:rsidRPr="0098410B" w:rsidRDefault="005C437C" w:rsidP="0098410B">
            <w:pPr>
              <w:spacing w:line="240" w:lineRule="auto"/>
              <w:ind w:left="450"/>
              <w:jc w:val="left"/>
              <w:rPr>
                <w:szCs w:val="26"/>
              </w:rPr>
            </w:pPr>
            <w:r>
              <w:rPr>
                <w:szCs w:val="26"/>
              </w:rPr>
              <w:t>Gladys M. Brown</w:t>
            </w:r>
          </w:p>
        </w:tc>
        <w:tc>
          <w:tcPr>
            <w:tcW w:w="738" w:type="dxa"/>
          </w:tcPr>
          <w:p w:rsidR="00FA4295" w:rsidRPr="0098410B" w:rsidRDefault="00FA4295" w:rsidP="0098410B">
            <w:pPr>
              <w:spacing w:line="240" w:lineRule="auto"/>
              <w:jc w:val="left"/>
              <w:rPr>
                <w:szCs w:val="26"/>
              </w:rPr>
            </w:pPr>
          </w:p>
        </w:tc>
      </w:tr>
      <w:tr w:rsidR="00FA4295" w:rsidRPr="0098410B" w:rsidTr="00FA4295">
        <w:trPr>
          <w:gridAfter w:val="2"/>
          <w:wAfter w:w="828" w:type="dxa"/>
        </w:trPr>
        <w:tc>
          <w:tcPr>
            <w:tcW w:w="5958" w:type="dxa"/>
          </w:tcPr>
          <w:p w:rsidR="00FA4295" w:rsidRPr="0098410B" w:rsidRDefault="00FA4295" w:rsidP="0098410B">
            <w:pPr>
              <w:spacing w:line="240" w:lineRule="auto"/>
              <w:jc w:val="left"/>
              <w:rPr>
                <w:szCs w:val="26"/>
              </w:rPr>
            </w:pPr>
          </w:p>
        </w:tc>
        <w:tc>
          <w:tcPr>
            <w:tcW w:w="3510" w:type="dxa"/>
          </w:tcPr>
          <w:p w:rsidR="00FA4295" w:rsidRPr="0098410B" w:rsidRDefault="00FA4295" w:rsidP="0098410B">
            <w:pPr>
              <w:spacing w:line="240" w:lineRule="auto"/>
              <w:jc w:val="left"/>
              <w:rPr>
                <w:szCs w:val="26"/>
              </w:rPr>
            </w:pPr>
          </w:p>
        </w:tc>
      </w:tr>
      <w:tr w:rsidR="00FA4295" w:rsidRPr="0098410B" w:rsidTr="00FA4295">
        <w:trPr>
          <w:gridAfter w:val="2"/>
          <w:wAfter w:w="828" w:type="dxa"/>
        </w:trPr>
        <w:tc>
          <w:tcPr>
            <w:tcW w:w="5958" w:type="dxa"/>
            <w:hideMark/>
          </w:tcPr>
          <w:p w:rsidR="00FA4295" w:rsidRPr="0098410B" w:rsidRDefault="00FA4295" w:rsidP="0098410B">
            <w:pPr>
              <w:spacing w:line="240" w:lineRule="auto"/>
              <w:jc w:val="left"/>
              <w:rPr>
                <w:szCs w:val="26"/>
              </w:rPr>
            </w:pPr>
            <w:r w:rsidRPr="0098410B">
              <w:rPr>
                <w:szCs w:val="26"/>
              </w:rPr>
              <w:t>Implementation of the Alternative Energy Portfolio</w:t>
            </w:r>
          </w:p>
          <w:p w:rsidR="00FA4295" w:rsidRPr="0098410B" w:rsidRDefault="00FA4295" w:rsidP="0098410B">
            <w:pPr>
              <w:spacing w:line="240" w:lineRule="auto"/>
              <w:jc w:val="left"/>
              <w:rPr>
                <w:szCs w:val="26"/>
              </w:rPr>
            </w:pPr>
            <w:r w:rsidRPr="0098410B">
              <w:rPr>
                <w:szCs w:val="26"/>
              </w:rPr>
              <w:t>Standards Act of 2004:  Standards for the Participation</w:t>
            </w:r>
          </w:p>
          <w:p w:rsidR="00FA4295" w:rsidRPr="0098410B" w:rsidRDefault="00FA4295" w:rsidP="0098410B">
            <w:pPr>
              <w:spacing w:line="240" w:lineRule="auto"/>
              <w:jc w:val="left"/>
              <w:rPr>
                <w:szCs w:val="26"/>
              </w:rPr>
            </w:pPr>
            <w:r w:rsidRPr="0098410B">
              <w:rPr>
                <w:szCs w:val="26"/>
              </w:rPr>
              <w:t>of Demand Side Management Resources – Technical</w:t>
            </w:r>
          </w:p>
          <w:p w:rsidR="00FA4295" w:rsidRPr="0098410B" w:rsidRDefault="00FA4295" w:rsidP="0098410B">
            <w:pPr>
              <w:spacing w:line="240" w:lineRule="auto"/>
              <w:jc w:val="left"/>
              <w:rPr>
                <w:szCs w:val="26"/>
              </w:rPr>
            </w:pPr>
            <w:r w:rsidRPr="0098410B">
              <w:rPr>
                <w:szCs w:val="26"/>
              </w:rPr>
              <w:t xml:space="preserve">Reference Manual </w:t>
            </w:r>
            <w:r w:rsidR="00761B89" w:rsidRPr="0098410B">
              <w:rPr>
                <w:szCs w:val="26"/>
              </w:rPr>
              <w:t>201</w:t>
            </w:r>
            <w:r w:rsidR="00DC1C40" w:rsidRPr="0098410B">
              <w:rPr>
                <w:szCs w:val="26"/>
              </w:rPr>
              <w:t>5</w:t>
            </w:r>
            <w:r w:rsidR="00761B89" w:rsidRPr="0098410B">
              <w:rPr>
                <w:szCs w:val="26"/>
              </w:rPr>
              <w:t xml:space="preserve"> </w:t>
            </w:r>
            <w:r w:rsidRPr="0098410B">
              <w:rPr>
                <w:szCs w:val="26"/>
              </w:rPr>
              <w:t>Update</w:t>
            </w:r>
          </w:p>
        </w:tc>
        <w:tc>
          <w:tcPr>
            <w:tcW w:w="3510" w:type="dxa"/>
            <w:hideMark/>
          </w:tcPr>
          <w:p w:rsidR="00FA4295" w:rsidRPr="0098410B" w:rsidRDefault="00FA4295" w:rsidP="0098410B">
            <w:pPr>
              <w:spacing w:line="240" w:lineRule="auto"/>
              <w:jc w:val="left"/>
              <w:rPr>
                <w:szCs w:val="26"/>
              </w:rPr>
            </w:pPr>
            <w:r w:rsidRPr="0098410B">
              <w:rPr>
                <w:szCs w:val="26"/>
              </w:rPr>
              <w:t xml:space="preserve">Docket No.  </w:t>
            </w:r>
            <w:r w:rsidR="003036C1" w:rsidRPr="0098410B">
              <w:rPr>
                <w:szCs w:val="26"/>
              </w:rPr>
              <w:t>M-2012-2313373</w:t>
            </w:r>
          </w:p>
          <w:p w:rsidR="00224CA6" w:rsidRPr="0098410B" w:rsidRDefault="00224CA6" w:rsidP="0098410B">
            <w:pPr>
              <w:spacing w:line="240" w:lineRule="auto"/>
              <w:jc w:val="left"/>
              <w:rPr>
                <w:szCs w:val="26"/>
              </w:rPr>
            </w:pPr>
            <w:r w:rsidRPr="0098410B">
              <w:rPr>
                <w:szCs w:val="26"/>
              </w:rPr>
              <w:t xml:space="preserve">                    M-00051865</w:t>
            </w:r>
          </w:p>
        </w:tc>
      </w:tr>
    </w:tbl>
    <w:p w:rsidR="00FA4295" w:rsidRPr="0098410B" w:rsidRDefault="00FA4295" w:rsidP="0098410B">
      <w:pPr>
        <w:spacing w:line="240" w:lineRule="auto"/>
        <w:jc w:val="left"/>
        <w:rPr>
          <w:b/>
          <w:szCs w:val="26"/>
        </w:rPr>
      </w:pPr>
    </w:p>
    <w:p w:rsidR="00FA4295" w:rsidRPr="0098410B" w:rsidRDefault="00FA4295" w:rsidP="0098410B">
      <w:pPr>
        <w:spacing w:line="240" w:lineRule="auto"/>
        <w:jc w:val="left"/>
        <w:rPr>
          <w:b/>
          <w:szCs w:val="26"/>
        </w:rPr>
      </w:pPr>
    </w:p>
    <w:p w:rsidR="00FA4295" w:rsidRPr="0098410B" w:rsidRDefault="00761B89" w:rsidP="0098410B">
      <w:pPr>
        <w:spacing w:line="240" w:lineRule="auto"/>
        <w:jc w:val="center"/>
        <w:rPr>
          <w:b/>
          <w:caps/>
          <w:szCs w:val="26"/>
        </w:rPr>
      </w:pPr>
      <w:r w:rsidRPr="0098410B">
        <w:rPr>
          <w:b/>
          <w:caps/>
          <w:szCs w:val="26"/>
        </w:rPr>
        <w:t>201</w:t>
      </w:r>
      <w:r w:rsidR="00DC1C40" w:rsidRPr="0098410B">
        <w:rPr>
          <w:b/>
          <w:caps/>
          <w:szCs w:val="26"/>
        </w:rPr>
        <w:t>5</w:t>
      </w:r>
      <w:r w:rsidRPr="0098410B">
        <w:rPr>
          <w:b/>
          <w:caps/>
          <w:szCs w:val="26"/>
        </w:rPr>
        <w:t xml:space="preserve"> </w:t>
      </w:r>
      <w:r w:rsidR="00EE2777" w:rsidRPr="0098410B">
        <w:rPr>
          <w:b/>
          <w:caps/>
          <w:szCs w:val="26"/>
        </w:rPr>
        <w:t xml:space="preserve">TRM ANNUAL UPDATE </w:t>
      </w:r>
      <w:r w:rsidR="00376A7F">
        <w:rPr>
          <w:b/>
          <w:caps/>
          <w:szCs w:val="26"/>
        </w:rPr>
        <w:t>FINAL</w:t>
      </w:r>
      <w:r w:rsidR="00E86E0B" w:rsidRPr="0098410B">
        <w:rPr>
          <w:b/>
          <w:caps/>
          <w:szCs w:val="26"/>
        </w:rPr>
        <w:t xml:space="preserve"> </w:t>
      </w:r>
      <w:r w:rsidR="00FA4295" w:rsidRPr="0098410B">
        <w:rPr>
          <w:b/>
          <w:caps/>
          <w:szCs w:val="26"/>
        </w:rPr>
        <w:t>Order</w:t>
      </w:r>
    </w:p>
    <w:p w:rsidR="008C52B9" w:rsidRPr="0098410B" w:rsidRDefault="008C52B9" w:rsidP="0098410B">
      <w:pPr>
        <w:jc w:val="left"/>
        <w:rPr>
          <w:b/>
          <w:caps/>
          <w:szCs w:val="26"/>
        </w:rPr>
      </w:pPr>
    </w:p>
    <w:p w:rsidR="000B423D" w:rsidRPr="0098410B" w:rsidRDefault="004E0456" w:rsidP="0098410B">
      <w:pPr>
        <w:overflowPunct/>
        <w:autoSpaceDE/>
        <w:autoSpaceDN/>
        <w:adjustRightInd/>
        <w:jc w:val="left"/>
        <w:rPr>
          <w:b/>
          <w:szCs w:val="26"/>
        </w:rPr>
      </w:pPr>
      <w:r w:rsidRPr="0098410B">
        <w:rPr>
          <w:b/>
          <w:szCs w:val="26"/>
        </w:rPr>
        <w:br w:type="page"/>
      </w:r>
    </w:p>
    <w:sdt>
      <w:sdtPr>
        <w:rPr>
          <w:rFonts w:ascii="Times New Roman" w:eastAsia="Times New Roman" w:hAnsi="Times New Roman" w:cs="Times New Roman"/>
          <w:b w:val="0"/>
          <w:bCs w:val="0"/>
          <w:color w:val="auto"/>
          <w:sz w:val="26"/>
          <w:szCs w:val="26"/>
          <w:lang w:eastAsia="en-US"/>
        </w:rPr>
        <w:id w:val="328254365"/>
        <w:docPartObj>
          <w:docPartGallery w:val="Table of Contents"/>
          <w:docPartUnique/>
        </w:docPartObj>
      </w:sdtPr>
      <w:sdtEndPr>
        <w:rPr>
          <w:noProof/>
          <w:szCs w:val="20"/>
        </w:rPr>
      </w:sdtEndPr>
      <w:sdtContent>
        <w:p w:rsidR="00862F0F" w:rsidRPr="00862F0F" w:rsidRDefault="00862F0F" w:rsidP="00862F0F">
          <w:pPr>
            <w:pStyle w:val="TOCHeading"/>
            <w:jc w:val="center"/>
            <w:rPr>
              <w:rFonts w:ascii="Times New Roman" w:hAnsi="Times New Roman" w:cs="Times New Roman"/>
              <w:color w:val="auto"/>
              <w:sz w:val="26"/>
              <w:szCs w:val="26"/>
            </w:rPr>
          </w:pPr>
          <w:r w:rsidRPr="00862F0F">
            <w:rPr>
              <w:rFonts w:ascii="Times New Roman" w:hAnsi="Times New Roman" w:cs="Times New Roman"/>
              <w:color w:val="auto"/>
              <w:sz w:val="26"/>
              <w:szCs w:val="26"/>
            </w:rPr>
            <w:t>Table of Contents</w:t>
          </w:r>
        </w:p>
        <w:p w:rsidR="00862F0F" w:rsidRPr="00862F0F" w:rsidRDefault="00862F0F">
          <w:pPr>
            <w:pStyle w:val="TOC1"/>
            <w:tabs>
              <w:tab w:val="right" w:leader="dot" w:pos="9350"/>
            </w:tabs>
            <w:rPr>
              <w:rFonts w:asciiTheme="minorHAnsi" w:eastAsiaTheme="minorEastAsia" w:hAnsiTheme="minorHAnsi" w:cstheme="minorBidi"/>
              <w:caps w:val="0"/>
              <w:noProof/>
              <w:sz w:val="22"/>
              <w:szCs w:val="22"/>
            </w:rPr>
          </w:pPr>
          <w:r w:rsidRPr="00862F0F">
            <w:rPr>
              <w:sz w:val="26"/>
              <w:szCs w:val="26"/>
            </w:rPr>
            <w:fldChar w:fldCharType="begin"/>
          </w:r>
          <w:r w:rsidRPr="00862F0F">
            <w:rPr>
              <w:sz w:val="26"/>
              <w:szCs w:val="26"/>
            </w:rPr>
            <w:instrText xml:space="preserve"> TOC \o "1-3" \h \z \u </w:instrText>
          </w:r>
          <w:r w:rsidRPr="00862F0F">
            <w:rPr>
              <w:sz w:val="26"/>
              <w:szCs w:val="26"/>
            </w:rPr>
            <w:fldChar w:fldCharType="separate"/>
          </w:r>
          <w:hyperlink w:anchor="_Toc405884695" w:history="1">
            <w:r w:rsidRPr="00862F0F">
              <w:rPr>
                <w:rStyle w:val="Hyperlink"/>
                <w:noProof/>
              </w:rPr>
              <w:t>BACKGROUND</w:t>
            </w:r>
            <w:r w:rsidRPr="00862F0F">
              <w:rPr>
                <w:noProof/>
                <w:webHidden/>
              </w:rPr>
              <w:tab/>
            </w:r>
            <w:r w:rsidRPr="00862F0F">
              <w:rPr>
                <w:noProof/>
                <w:webHidden/>
              </w:rPr>
              <w:fldChar w:fldCharType="begin"/>
            </w:r>
            <w:r w:rsidRPr="00862F0F">
              <w:rPr>
                <w:noProof/>
                <w:webHidden/>
              </w:rPr>
              <w:instrText xml:space="preserve"> PAGEREF _Toc405884695 \h </w:instrText>
            </w:r>
            <w:r w:rsidRPr="00862F0F">
              <w:rPr>
                <w:noProof/>
                <w:webHidden/>
              </w:rPr>
            </w:r>
            <w:r w:rsidRPr="00862F0F">
              <w:rPr>
                <w:noProof/>
                <w:webHidden/>
              </w:rPr>
              <w:fldChar w:fldCharType="separate"/>
            </w:r>
            <w:r w:rsidR="00A65564">
              <w:rPr>
                <w:noProof/>
                <w:webHidden/>
              </w:rPr>
              <w:t>6</w:t>
            </w:r>
            <w:r w:rsidRPr="00862F0F">
              <w:rPr>
                <w:noProof/>
                <w:webHidden/>
              </w:rPr>
              <w:fldChar w:fldCharType="end"/>
            </w:r>
          </w:hyperlink>
        </w:p>
        <w:p w:rsidR="00862F0F" w:rsidRPr="00862F0F" w:rsidRDefault="003774D2">
          <w:pPr>
            <w:pStyle w:val="TOC1"/>
            <w:tabs>
              <w:tab w:val="right" w:leader="dot" w:pos="9350"/>
            </w:tabs>
            <w:rPr>
              <w:rFonts w:asciiTheme="minorHAnsi" w:eastAsiaTheme="minorEastAsia" w:hAnsiTheme="minorHAnsi" w:cstheme="minorBidi"/>
              <w:caps w:val="0"/>
              <w:noProof/>
              <w:sz w:val="22"/>
              <w:szCs w:val="22"/>
            </w:rPr>
          </w:pPr>
          <w:hyperlink w:anchor="_Toc405884696" w:history="1">
            <w:r w:rsidR="00862F0F" w:rsidRPr="00862F0F">
              <w:rPr>
                <w:rStyle w:val="Hyperlink"/>
                <w:noProof/>
              </w:rPr>
              <w:t>DISCUSSION</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_Toc405884696 \h </w:instrText>
            </w:r>
            <w:r w:rsidR="00862F0F" w:rsidRPr="00862F0F">
              <w:rPr>
                <w:noProof/>
                <w:webHidden/>
              </w:rPr>
            </w:r>
            <w:r w:rsidR="00862F0F" w:rsidRPr="00862F0F">
              <w:rPr>
                <w:noProof/>
                <w:webHidden/>
              </w:rPr>
              <w:fldChar w:fldCharType="separate"/>
            </w:r>
            <w:r w:rsidR="00A65564">
              <w:rPr>
                <w:noProof/>
                <w:webHidden/>
              </w:rPr>
              <w:t>8</w:t>
            </w:r>
            <w:r w:rsidR="00862F0F" w:rsidRPr="00862F0F">
              <w:rPr>
                <w:noProof/>
                <w:webHidden/>
              </w:rPr>
              <w:fldChar w:fldCharType="end"/>
            </w:r>
          </w:hyperlink>
        </w:p>
        <w:p w:rsidR="00862F0F" w:rsidRPr="00862F0F" w:rsidRDefault="003774D2">
          <w:pPr>
            <w:pStyle w:val="TOC2"/>
            <w:tabs>
              <w:tab w:val="left" w:pos="936"/>
              <w:tab w:val="right" w:leader="dot" w:pos="9350"/>
            </w:tabs>
            <w:rPr>
              <w:rFonts w:asciiTheme="minorHAnsi" w:eastAsiaTheme="minorEastAsia" w:hAnsiTheme="minorHAnsi" w:cstheme="minorBidi"/>
              <w:sz w:val="22"/>
              <w:szCs w:val="22"/>
            </w:rPr>
          </w:pPr>
          <w:hyperlink w:anchor="_Toc405884697" w:history="1">
            <w:r w:rsidR="00862F0F" w:rsidRPr="00862F0F">
              <w:rPr>
                <w:rStyle w:val="Hyperlink"/>
              </w:rPr>
              <w:t>A.</w:t>
            </w:r>
            <w:r w:rsidR="00862F0F" w:rsidRPr="00862F0F">
              <w:rPr>
                <w:rFonts w:asciiTheme="minorHAnsi" w:eastAsiaTheme="minorEastAsia" w:hAnsiTheme="minorHAnsi" w:cstheme="minorBidi"/>
                <w:sz w:val="22"/>
                <w:szCs w:val="22"/>
              </w:rPr>
              <w:tab/>
            </w:r>
            <w:r w:rsidR="00862F0F" w:rsidRPr="00862F0F">
              <w:rPr>
                <w:rStyle w:val="Hyperlink"/>
              </w:rPr>
              <w:t>General Improvements</w:t>
            </w:r>
            <w:r w:rsidR="00862F0F" w:rsidRPr="00862F0F">
              <w:rPr>
                <w:webHidden/>
              </w:rPr>
              <w:tab/>
            </w:r>
            <w:r w:rsidR="00862F0F" w:rsidRPr="00862F0F">
              <w:rPr>
                <w:webHidden/>
              </w:rPr>
              <w:fldChar w:fldCharType="begin"/>
            </w:r>
            <w:r w:rsidR="00862F0F" w:rsidRPr="00862F0F">
              <w:rPr>
                <w:webHidden/>
              </w:rPr>
              <w:instrText xml:space="preserve"> PAGEREF _Toc405884697 \h </w:instrText>
            </w:r>
            <w:r w:rsidR="00862F0F" w:rsidRPr="00862F0F">
              <w:rPr>
                <w:webHidden/>
              </w:rPr>
            </w:r>
            <w:r w:rsidR="00862F0F" w:rsidRPr="00862F0F">
              <w:rPr>
                <w:webHidden/>
              </w:rPr>
              <w:fldChar w:fldCharType="separate"/>
            </w:r>
            <w:r w:rsidR="00A65564">
              <w:rPr>
                <w:webHidden/>
              </w:rPr>
              <w:t>9</w:t>
            </w:r>
            <w:r w:rsidR="00862F0F" w:rsidRPr="00862F0F">
              <w:rPr>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698" w:history="1">
            <w:r w:rsidR="00862F0F" w:rsidRPr="00862F0F">
              <w:rPr>
                <w:rStyle w:val="Hyperlink"/>
                <w:noProof/>
              </w:rPr>
              <w:t>1.</w:t>
            </w:r>
            <w:r w:rsidR="00862F0F" w:rsidRPr="00862F0F">
              <w:rPr>
                <w:rFonts w:asciiTheme="minorHAnsi" w:eastAsiaTheme="minorEastAsia" w:hAnsiTheme="minorHAnsi" w:cstheme="minorBidi"/>
                <w:noProof/>
                <w:sz w:val="22"/>
                <w:szCs w:val="22"/>
              </w:rPr>
              <w:tab/>
            </w:r>
            <w:r w:rsidR="00862F0F" w:rsidRPr="00862F0F">
              <w:rPr>
                <w:rStyle w:val="Hyperlink"/>
                <w:noProof/>
              </w:rPr>
              <w:t>Updates to Federal and Environmental Protection Agency’s ENERGY STAR Requirements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_Toc405884698 \h </w:instrText>
            </w:r>
            <w:r w:rsidR="00862F0F" w:rsidRPr="00862F0F">
              <w:rPr>
                <w:noProof/>
                <w:webHidden/>
              </w:rPr>
            </w:r>
            <w:r w:rsidR="00862F0F" w:rsidRPr="00862F0F">
              <w:rPr>
                <w:noProof/>
                <w:webHidden/>
              </w:rPr>
              <w:fldChar w:fldCharType="separate"/>
            </w:r>
            <w:r w:rsidR="00A65564">
              <w:rPr>
                <w:noProof/>
                <w:webHidden/>
              </w:rPr>
              <w:t>9</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699" w:history="1">
            <w:r w:rsidR="00862F0F" w:rsidRPr="00862F0F">
              <w:rPr>
                <w:rStyle w:val="Hyperlink"/>
                <w:noProof/>
              </w:rPr>
              <w:t>2.</w:t>
            </w:r>
            <w:r w:rsidR="00862F0F" w:rsidRPr="00862F0F">
              <w:rPr>
                <w:rFonts w:asciiTheme="minorHAnsi" w:eastAsiaTheme="minorEastAsia" w:hAnsiTheme="minorHAnsi" w:cstheme="minorBidi"/>
                <w:noProof/>
                <w:sz w:val="22"/>
                <w:szCs w:val="22"/>
              </w:rPr>
              <w:tab/>
            </w:r>
            <w:r w:rsidR="00862F0F" w:rsidRPr="00862F0F">
              <w:rPr>
                <w:rStyle w:val="Hyperlink"/>
                <w:noProof/>
              </w:rPr>
              <w:t>Measure Characterizations Assigned to All Measures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_Toc405884699 \h </w:instrText>
            </w:r>
            <w:r w:rsidR="00862F0F" w:rsidRPr="00862F0F">
              <w:rPr>
                <w:noProof/>
                <w:webHidden/>
              </w:rPr>
            </w:r>
            <w:r w:rsidR="00862F0F" w:rsidRPr="00862F0F">
              <w:rPr>
                <w:noProof/>
                <w:webHidden/>
              </w:rPr>
              <w:fldChar w:fldCharType="separate"/>
            </w:r>
            <w:r w:rsidR="00A65564">
              <w:rPr>
                <w:noProof/>
                <w:webHidden/>
              </w:rPr>
              <w:t>12</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0" w:history="1">
            <w:r w:rsidR="00862F0F" w:rsidRPr="00862F0F">
              <w:rPr>
                <w:rStyle w:val="Hyperlink"/>
                <w:noProof/>
              </w:rPr>
              <w:t>3.</w:t>
            </w:r>
            <w:r w:rsidR="00862F0F" w:rsidRPr="00862F0F">
              <w:rPr>
                <w:rFonts w:asciiTheme="minorHAnsi" w:eastAsiaTheme="minorEastAsia" w:hAnsiTheme="minorHAnsi" w:cstheme="minorBidi"/>
                <w:noProof/>
                <w:sz w:val="22"/>
                <w:szCs w:val="22"/>
              </w:rPr>
              <w:tab/>
            </w:r>
            <w:r w:rsidR="00862F0F" w:rsidRPr="00862F0F">
              <w:rPr>
                <w:rStyle w:val="Hyperlink"/>
                <w:noProof/>
              </w:rPr>
              <w:t>TRM Measure Formatting Changes – Organization of Measures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_Toc405884700 \h </w:instrText>
            </w:r>
            <w:r w:rsidR="00862F0F" w:rsidRPr="00862F0F">
              <w:rPr>
                <w:noProof/>
                <w:webHidden/>
              </w:rPr>
            </w:r>
            <w:r w:rsidR="00862F0F" w:rsidRPr="00862F0F">
              <w:rPr>
                <w:noProof/>
                <w:webHidden/>
              </w:rPr>
              <w:fldChar w:fldCharType="separate"/>
            </w:r>
            <w:r w:rsidR="00A65564">
              <w:rPr>
                <w:noProof/>
                <w:webHidden/>
              </w:rPr>
              <w:t>14</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1" w:history="1">
            <w:r w:rsidR="00862F0F" w:rsidRPr="00862F0F">
              <w:rPr>
                <w:rStyle w:val="Hyperlink"/>
                <w:noProof/>
              </w:rPr>
              <w:t>4.</w:t>
            </w:r>
            <w:r w:rsidR="00862F0F" w:rsidRPr="00862F0F">
              <w:rPr>
                <w:rFonts w:asciiTheme="minorHAnsi" w:eastAsiaTheme="minorEastAsia" w:hAnsiTheme="minorHAnsi" w:cstheme="minorBidi"/>
                <w:noProof/>
                <w:sz w:val="22"/>
                <w:szCs w:val="22"/>
              </w:rPr>
              <w:tab/>
            </w:r>
            <w:r w:rsidR="00862F0F" w:rsidRPr="00862F0F">
              <w:rPr>
                <w:rStyle w:val="Hyperlink"/>
                <w:noProof/>
              </w:rPr>
              <w:t>Updating Coincident Factors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_Toc405884701 \h </w:instrText>
            </w:r>
            <w:r w:rsidR="00862F0F" w:rsidRPr="00862F0F">
              <w:rPr>
                <w:noProof/>
                <w:webHidden/>
              </w:rPr>
            </w:r>
            <w:r w:rsidR="00862F0F" w:rsidRPr="00862F0F">
              <w:rPr>
                <w:noProof/>
                <w:webHidden/>
              </w:rPr>
              <w:fldChar w:fldCharType="separate"/>
            </w:r>
            <w:r w:rsidR="00A65564">
              <w:rPr>
                <w:noProof/>
                <w:webHidden/>
              </w:rPr>
              <w:t>16</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2" w:history="1">
            <w:r w:rsidR="00862F0F" w:rsidRPr="00862F0F">
              <w:rPr>
                <w:rStyle w:val="Hyperlink"/>
                <w:noProof/>
              </w:rPr>
              <w:t>5.</w:t>
            </w:r>
            <w:r w:rsidR="00862F0F" w:rsidRPr="00862F0F">
              <w:rPr>
                <w:rFonts w:asciiTheme="minorHAnsi" w:eastAsiaTheme="minorEastAsia" w:hAnsiTheme="minorHAnsi" w:cstheme="minorBidi"/>
                <w:noProof/>
                <w:sz w:val="22"/>
                <w:szCs w:val="22"/>
              </w:rPr>
              <w:tab/>
            </w:r>
            <w:r w:rsidR="00862F0F" w:rsidRPr="00862F0F">
              <w:rPr>
                <w:rStyle w:val="Hyperlink"/>
                <w:noProof/>
              </w:rPr>
              <w:t>Incorporation of the 2014 Baseline Study Results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_Toc405884702 \h </w:instrText>
            </w:r>
            <w:r w:rsidR="00862F0F" w:rsidRPr="00862F0F">
              <w:rPr>
                <w:noProof/>
                <w:webHidden/>
              </w:rPr>
            </w:r>
            <w:r w:rsidR="00862F0F" w:rsidRPr="00862F0F">
              <w:rPr>
                <w:noProof/>
                <w:webHidden/>
              </w:rPr>
              <w:fldChar w:fldCharType="separate"/>
            </w:r>
            <w:r w:rsidR="00A65564">
              <w:rPr>
                <w:noProof/>
                <w:webHidden/>
              </w:rPr>
              <w:t>18</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3" w:history="1">
            <w:r w:rsidR="00862F0F" w:rsidRPr="00862F0F">
              <w:rPr>
                <w:rStyle w:val="Hyperlink"/>
                <w:noProof/>
              </w:rPr>
              <w:t>6.</w:t>
            </w:r>
            <w:r w:rsidR="00862F0F" w:rsidRPr="00862F0F">
              <w:rPr>
                <w:rFonts w:asciiTheme="minorHAnsi" w:eastAsiaTheme="minorEastAsia" w:hAnsiTheme="minorHAnsi" w:cstheme="minorBidi"/>
                <w:noProof/>
                <w:sz w:val="22"/>
                <w:szCs w:val="22"/>
              </w:rPr>
              <w:tab/>
            </w:r>
            <w:r w:rsidR="00862F0F" w:rsidRPr="00862F0F">
              <w:rPr>
                <w:rStyle w:val="Hyperlink"/>
                <w:noProof/>
              </w:rPr>
              <w:t>Discussion of Weather Impacts on C&amp;I Measures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_Toc405884703 \h </w:instrText>
            </w:r>
            <w:r w:rsidR="00862F0F" w:rsidRPr="00862F0F">
              <w:rPr>
                <w:noProof/>
                <w:webHidden/>
              </w:rPr>
            </w:r>
            <w:r w:rsidR="00862F0F" w:rsidRPr="00862F0F">
              <w:rPr>
                <w:noProof/>
                <w:webHidden/>
              </w:rPr>
              <w:fldChar w:fldCharType="separate"/>
            </w:r>
            <w:r w:rsidR="00A65564">
              <w:rPr>
                <w:noProof/>
                <w:webHidden/>
              </w:rPr>
              <w:t>20</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4" w:history="1">
            <w:r w:rsidR="00862F0F" w:rsidRPr="00862F0F">
              <w:rPr>
                <w:rStyle w:val="Hyperlink"/>
                <w:noProof/>
              </w:rPr>
              <w:t>7.</w:t>
            </w:r>
            <w:r w:rsidR="00862F0F" w:rsidRPr="00862F0F">
              <w:rPr>
                <w:rFonts w:asciiTheme="minorHAnsi" w:eastAsiaTheme="minorEastAsia" w:hAnsiTheme="minorHAnsi" w:cstheme="minorBidi"/>
                <w:noProof/>
                <w:sz w:val="22"/>
                <w:szCs w:val="22"/>
              </w:rPr>
              <w:tab/>
            </w:r>
            <w:r w:rsidR="00862F0F" w:rsidRPr="00862F0F">
              <w:rPr>
                <w:rStyle w:val="Hyperlink"/>
                <w:noProof/>
              </w:rPr>
              <w:t>Updating Sources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_Toc405884704 \h </w:instrText>
            </w:r>
            <w:r w:rsidR="00862F0F" w:rsidRPr="00862F0F">
              <w:rPr>
                <w:noProof/>
                <w:webHidden/>
              </w:rPr>
            </w:r>
            <w:r w:rsidR="00862F0F" w:rsidRPr="00862F0F">
              <w:rPr>
                <w:noProof/>
                <w:webHidden/>
              </w:rPr>
              <w:fldChar w:fldCharType="separate"/>
            </w:r>
            <w:r w:rsidR="00A65564">
              <w:rPr>
                <w:noProof/>
                <w:webHidden/>
              </w:rPr>
              <w:t>21</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5" w:history="1">
            <w:r w:rsidR="00862F0F" w:rsidRPr="00862F0F">
              <w:rPr>
                <w:rStyle w:val="Hyperlink"/>
                <w:noProof/>
              </w:rPr>
              <w:t>8.</w:t>
            </w:r>
            <w:r w:rsidR="00862F0F" w:rsidRPr="00862F0F">
              <w:rPr>
                <w:rFonts w:asciiTheme="minorHAnsi" w:eastAsiaTheme="minorEastAsia" w:hAnsiTheme="minorHAnsi" w:cstheme="minorBidi"/>
                <w:noProof/>
                <w:sz w:val="22"/>
                <w:szCs w:val="22"/>
              </w:rPr>
              <w:tab/>
            </w:r>
            <w:r w:rsidR="00862F0F" w:rsidRPr="00862F0F">
              <w:rPr>
                <w:rStyle w:val="Hyperlink"/>
                <w:noProof/>
              </w:rPr>
              <w:t>Thresholds for Using Default Values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_Toc405884705 \h </w:instrText>
            </w:r>
            <w:r w:rsidR="00862F0F" w:rsidRPr="00862F0F">
              <w:rPr>
                <w:noProof/>
                <w:webHidden/>
              </w:rPr>
            </w:r>
            <w:r w:rsidR="00862F0F" w:rsidRPr="00862F0F">
              <w:rPr>
                <w:noProof/>
                <w:webHidden/>
              </w:rPr>
              <w:fldChar w:fldCharType="separate"/>
            </w:r>
            <w:r w:rsidR="00A65564">
              <w:rPr>
                <w:noProof/>
                <w:webHidden/>
              </w:rPr>
              <w:t>23</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6" w:history="1">
            <w:r w:rsidR="00862F0F" w:rsidRPr="00862F0F">
              <w:rPr>
                <w:rStyle w:val="Hyperlink"/>
                <w:noProof/>
              </w:rPr>
              <w:t>9.</w:t>
            </w:r>
            <w:r w:rsidR="00862F0F" w:rsidRPr="00862F0F">
              <w:rPr>
                <w:rFonts w:asciiTheme="minorHAnsi" w:eastAsiaTheme="minorEastAsia" w:hAnsiTheme="minorHAnsi" w:cstheme="minorBidi"/>
                <w:noProof/>
                <w:sz w:val="22"/>
                <w:szCs w:val="22"/>
              </w:rPr>
              <w:tab/>
            </w:r>
            <w:r w:rsidR="00862F0F" w:rsidRPr="00862F0F">
              <w:rPr>
                <w:rStyle w:val="Hyperlink"/>
                <w:noProof/>
              </w:rPr>
              <w:t>Applicability of the TRM for Estimating Ex-Ante Savings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_Toc405884706 \h </w:instrText>
            </w:r>
            <w:r w:rsidR="00862F0F" w:rsidRPr="00862F0F">
              <w:rPr>
                <w:noProof/>
                <w:webHidden/>
              </w:rPr>
            </w:r>
            <w:r w:rsidR="00862F0F" w:rsidRPr="00862F0F">
              <w:rPr>
                <w:noProof/>
                <w:webHidden/>
              </w:rPr>
              <w:fldChar w:fldCharType="separate"/>
            </w:r>
            <w:r w:rsidR="00A65564">
              <w:rPr>
                <w:noProof/>
                <w:webHidden/>
              </w:rPr>
              <w:t>24</w:t>
            </w:r>
            <w:r w:rsidR="00862F0F" w:rsidRPr="00862F0F">
              <w:rPr>
                <w:noProof/>
                <w:webHidden/>
              </w:rPr>
              <w:fldChar w:fldCharType="end"/>
            </w:r>
          </w:hyperlink>
        </w:p>
        <w:p w:rsidR="00862F0F" w:rsidRPr="00862F0F" w:rsidRDefault="003774D2">
          <w:pPr>
            <w:pStyle w:val="TOC2"/>
            <w:tabs>
              <w:tab w:val="left" w:pos="936"/>
              <w:tab w:val="right" w:leader="dot" w:pos="9350"/>
            </w:tabs>
            <w:rPr>
              <w:rFonts w:asciiTheme="minorHAnsi" w:eastAsiaTheme="minorEastAsia" w:hAnsiTheme="minorHAnsi" w:cstheme="minorBidi"/>
              <w:sz w:val="22"/>
              <w:szCs w:val="22"/>
            </w:rPr>
          </w:pPr>
          <w:hyperlink w:anchor="_Toc405884707" w:history="1">
            <w:r w:rsidR="00862F0F" w:rsidRPr="00862F0F">
              <w:rPr>
                <w:rStyle w:val="Hyperlink"/>
              </w:rPr>
              <w:t>B.</w:t>
            </w:r>
            <w:r w:rsidR="00862F0F" w:rsidRPr="00862F0F">
              <w:rPr>
                <w:rFonts w:asciiTheme="minorHAnsi" w:eastAsiaTheme="minorEastAsia" w:hAnsiTheme="minorHAnsi" w:cstheme="minorBidi"/>
                <w:sz w:val="22"/>
                <w:szCs w:val="22"/>
              </w:rPr>
              <w:tab/>
            </w:r>
            <w:r w:rsidR="00862F0F" w:rsidRPr="00862F0F">
              <w:rPr>
                <w:rStyle w:val="Hyperlink"/>
              </w:rPr>
              <w:t>Additional Residential EE&amp;C Measure Protocols</w:t>
            </w:r>
            <w:r w:rsidR="00862F0F" w:rsidRPr="00862F0F">
              <w:rPr>
                <w:webHidden/>
              </w:rPr>
              <w:tab/>
            </w:r>
            <w:r w:rsidR="00862F0F" w:rsidRPr="00862F0F">
              <w:rPr>
                <w:webHidden/>
              </w:rPr>
              <w:fldChar w:fldCharType="begin"/>
            </w:r>
            <w:r w:rsidR="00862F0F" w:rsidRPr="00862F0F">
              <w:rPr>
                <w:webHidden/>
              </w:rPr>
              <w:instrText xml:space="preserve"> PAGEREF _Toc405884707 \h </w:instrText>
            </w:r>
            <w:r w:rsidR="00862F0F" w:rsidRPr="00862F0F">
              <w:rPr>
                <w:webHidden/>
              </w:rPr>
            </w:r>
            <w:r w:rsidR="00862F0F" w:rsidRPr="00862F0F">
              <w:rPr>
                <w:webHidden/>
              </w:rPr>
              <w:fldChar w:fldCharType="separate"/>
            </w:r>
            <w:r w:rsidR="00A65564">
              <w:rPr>
                <w:webHidden/>
              </w:rPr>
              <w:t>25</w:t>
            </w:r>
            <w:r w:rsidR="00862F0F" w:rsidRPr="00862F0F">
              <w:rPr>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8" w:history="1">
            <w:r w:rsidR="00862F0F" w:rsidRPr="00862F0F">
              <w:rPr>
                <w:rStyle w:val="Hyperlink"/>
                <w:noProof/>
              </w:rPr>
              <w:t>1.</w:t>
            </w:r>
            <w:r w:rsidR="00862F0F" w:rsidRPr="00862F0F">
              <w:rPr>
                <w:rFonts w:asciiTheme="minorHAnsi" w:eastAsiaTheme="minorEastAsia" w:hAnsiTheme="minorHAnsi" w:cstheme="minorBidi"/>
                <w:noProof/>
                <w:sz w:val="22"/>
                <w:szCs w:val="22"/>
              </w:rPr>
              <w:tab/>
            </w:r>
            <w:r w:rsidR="00862F0F" w:rsidRPr="00862F0F">
              <w:rPr>
                <w:rStyle w:val="Hyperlink"/>
                <w:noProof/>
              </w:rPr>
              <w:t>Section 2.3.11  – Thermostatic Shower Restriction Valve</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_Toc405884708 \h </w:instrText>
            </w:r>
            <w:r w:rsidR="00862F0F" w:rsidRPr="00862F0F">
              <w:rPr>
                <w:noProof/>
                <w:webHidden/>
              </w:rPr>
            </w:r>
            <w:r w:rsidR="00862F0F" w:rsidRPr="00862F0F">
              <w:rPr>
                <w:noProof/>
                <w:webHidden/>
              </w:rPr>
              <w:fldChar w:fldCharType="separate"/>
            </w:r>
            <w:r w:rsidR="00A65564">
              <w:rPr>
                <w:noProof/>
                <w:webHidden/>
              </w:rPr>
              <w:t>26</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09" w:history="1">
            <w:r w:rsidR="00862F0F" w:rsidRPr="00862F0F">
              <w:rPr>
                <w:rStyle w:val="Hyperlink"/>
                <w:noProof/>
              </w:rPr>
              <w:t>2.</w:t>
            </w:r>
            <w:r w:rsidR="00862F0F" w:rsidRPr="00862F0F">
              <w:rPr>
                <w:rFonts w:asciiTheme="minorHAnsi" w:eastAsiaTheme="minorEastAsia" w:hAnsiTheme="minorHAnsi" w:cstheme="minorBidi"/>
                <w:noProof/>
                <w:sz w:val="22"/>
                <w:szCs w:val="22"/>
              </w:rPr>
              <w:tab/>
            </w:r>
            <w:r w:rsidR="00862F0F" w:rsidRPr="00862F0F">
              <w:rPr>
                <w:rStyle w:val="Hyperlink"/>
                <w:noProof/>
              </w:rPr>
              <w:t>Section 2.6.2 – Air Sealing</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_Toc405884709 \h </w:instrText>
            </w:r>
            <w:r w:rsidR="00862F0F" w:rsidRPr="00862F0F">
              <w:rPr>
                <w:noProof/>
                <w:webHidden/>
              </w:rPr>
            </w:r>
            <w:r w:rsidR="00862F0F" w:rsidRPr="00862F0F">
              <w:rPr>
                <w:noProof/>
                <w:webHidden/>
              </w:rPr>
              <w:fldChar w:fldCharType="separate"/>
            </w:r>
            <w:r w:rsidR="00A65564">
              <w:rPr>
                <w:noProof/>
                <w:webHidden/>
              </w:rPr>
              <w:t>27</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14" w:history="1">
            <w:r w:rsidR="00862F0F" w:rsidRPr="00862F0F">
              <w:rPr>
                <w:rStyle w:val="Hyperlink"/>
                <w:noProof/>
              </w:rPr>
              <w:t>3.</w:t>
            </w:r>
            <w:r w:rsidR="00862F0F" w:rsidRPr="00862F0F">
              <w:rPr>
                <w:rFonts w:asciiTheme="minorHAnsi" w:eastAsiaTheme="minorEastAsia" w:hAnsiTheme="minorHAnsi" w:cstheme="minorBidi"/>
                <w:noProof/>
                <w:sz w:val="22"/>
                <w:szCs w:val="22"/>
              </w:rPr>
              <w:tab/>
            </w:r>
            <w:r w:rsidR="00862F0F" w:rsidRPr="00862F0F">
              <w:rPr>
                <w:rStyle w:val="Hyperlink"/>
                <w:noProof/>
              </w:rPr>
              <w:t>Section 2.6.5  – ENERGY STAR Manufactured Homes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_Toc405884714 \h </w:instrText>
            </w:r>
            <w:r w:rsidR="00862F0F" w:rsidRPr="00862F0F">
              <w:rPr>
                <w:noProof/>
                <w:webHidden/>
              </w:rPr>
            </w:r>
            <w:r w:rsidR="00862F0F" w:rsidRPr="00862F0F">
              <w:rPr>
                <w:noProof/>
                <w:webHidden/>
              </w:rPr>
              <w:fldChar w:fldCharType="separate"/>
            </w:r>
            <w:r w:rsidR="00A65564">
              <w:rPr>
                <w:noProof/>
                <w:webHidden/>
              </w:rPr>
              <w:t>27</w:t>
            </w:r>
            <w:r w:rsidR="00862F0F" w:rsidRPr="00862F0F">
              <w:rPr>
                <w:noProof/>
                <w:webHidden/>
              </w:rPr>
              <w:fldChar w:fldCharType="end"/>
            </w:r>
          </w:hyperlink>
        </w:p>
        <w:p w:rsidR="00862F0F" w:rsidRPr="00862F0F" w:rsidRDefault="003774D2">
          <w:pPr>
            <w:pStyle w:val="TOC2"/>
            <w:tabs>
              <w:tab w:val="left" w:pos="936"/>
              <w:tab w:val="right" w:leader="dot" w:pos="9350"/>
            </w:tabs>
            <w:rPr>
              <w:rFonts w:asciiTheme="minorHAnsi" w:eastAsiaTheme="minorEastAsia" w:hAnsiTheme="minorHAnsi" w:cstheme="minorBidi"/>
              <w:sz w:val="22"/>
              <w:szCs w:val="22"/>
            </w:rPr>
          </w:pPr>
          <w:hyperlink w:anchor="_Toc405884715" w:history="1">
            <w:r w:rsidR="00862F0F" w:rsidRPr="00862F0F">
              <w:rPr>
                <w:rStyle w:val="Hyperlink"/>
              </w:rPr>
              <w:t>C.</w:t>
            </w:r>
            <w:r w:rsidR="00862F0F" w:rsidRPr="00862F0F">
              <w:rPr>
                <w:rFonts w:asciiTheme="minorHAnsi" w:eastAsiaTheme="minorEastAsia" w:hAnsiTheme="minorHAnsi" w:cstheme="minorBidi"/>
                <w:sz w:val="22"/>
                <w:szCs w:val="22"/>
              </w:rPr>
              <w:tab/>
            </w:r>
            <w:r w:rsidR="00862F0F" w:rsidRPr="00862F0F">
              <w:rPr>
                <w:rStyle w:val="Hyperlink"/>
              </w:rPr>
              <w:t>Additional Commercial and Industrial EE&amp;C Measure Protocols</w:t>
            </w:r>
            <w:r w:rsidR="00862F0F" w:rsidRPr="00862F0F">
              <w:rPr>
                <w:webHidden/>
              </w:rPr>
              <w:tab/>
            </w:r>
            <w:r w:rsidR="00862F0F" w:rsidRPr="00862F0F">
              <w:rPr>
                <w:webHidden/>
              </w:rPr>
              <w:fldChar w:fldCharType="begin"/>
            </w:r>
            <w:r w:rsidR="00862F0F" w:rsidRPr="00862F0F">
              <w:rPr>
                <w:webHidden/>
              </w:rPr>
              <w:instrText xml:space="preserve"> PAGEREF _Toc405884715 \h </w:instrText>
            </w:r>
            <w:r w:rsidR="00862F0F" w:rsidRPr="00862F0F">
              <w:rPr>
                <w:webHidden/>
              </w:rPr>
            </w:r>
            <w:r w:rsidR="00862F0F" w:rsidRPr="00862F0F">
              <w:rPr>
                <w:webHidden/>
              </w:rPr>
              <w:fldChar w:fldCharType="separate"/>
            </w:r>
            <w:r w:rsidR="00A65564">
              <w:rPr>
                <w:webHidden/>
              </w:rPr>
              <w:t>28</w:t>
            </w:r>
            <w:r w:rsidR="00862F0F" w:rsidRPr="00862F0F">
              <w:rPr>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16" w:history="1">
            <w:r w:rsidR="00862F0F" w:rsidRPr="00862F0F">
              <w:rPr>
                <w:rStyle w:val="Hyperlink"/>
                <w:noProof/>
              </w:rPr>
              <w:t>1.</w:t>
            </w:r>
            <w:r w:rsidR="00862F0F" w:rsidRPr="00862F0F">
              <w:rPr>
                <w:rFonts w:asciiTheme="minorHAnsi" w:eastAsiaTheme="minorEastAsia" w:hAnsiTheme="minorHAnsi" w:cstheme="minorBidi"/>
                <w:noProof/>
                <w:sz w:val="22"/>
                <w:szCs w:val="22"/>
              </w:rPr>
              <w:tab/>
            </w:r>
            <w:r w:rsidR="00862F0F" w:rsidRPr="00862F0F">
              <w:rPr>
                <w:rStyle w:val="Hyperlink"/>
                <w:noProof/>
              </w:rPr>
              <w:t>Section 3.7.5  – ENERGY STAR Refrigerated Beverage Machine</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_Toc405884716 \h </w:instrText>
            </w:r>
            <w:r w:rsidR="00862F0F" w:rsidRPr="00862F0F">
              <w:rPr>
                <w:noProof/>
                <w:webHidden/>
              </w:rPr>
            </w:r>
            <w:r w:rsidR="00862F0F" w:rsidRPr="00862F0F">
              <w:rPr>
                <w:noProof/>
                <w:webHidden/>
              </w:rPr>
              <w:fldChar w:fldCharType="separate"/>
            </w:r>
            <w:r w:rsidR="00A65564">
              <w:rPr>
                <w:noProof/>
                <w:webHidden/>
              </w:rPr>
              <w:t>29</w:t>
            </w:r>
            <w:r w:rsidR="00862F0F" w:rsidRPr="00862F0F">
              <w:rPr>
                <w:noProof/>
                <w:webHidden/>
              </w:rPr>
              <w:fldChar w:fldCharType="end"/>
            </w:r>
          </w:hyperlink>
        </w:p>
        <w:p w:rsidR="00862F0F" w:rsidRPr="00862F0F" w:rsidRDefault="003774D2">
          <w:pPr>
            <w:pStyle w:val="TOC2"/>
            <w:tabs>
              <w:tab w:val="left" w:pos="936"/>
              <w:tab w:val="right" w:leader="dot" w:pos="9350"/>
            </w:tabs>
            <w:rPr>
              <w:rFonts w:asciiTheme="minorHAnsi" w:eastAsiaTheme="minorEastAsia" w:hAnsiTheme="minorHAnsi" w:cstheme="minorBidi"/>
              <w:sz w:val="22"/>
              <w:szCs w:val="22"/>
            </w:rPr>
          </w:pPr>
          <w:hyperlink w:anchor="_Toc405884717" w:history="1">
            <w:r w:rsidR="00862F0F" w:rsidRPr="00862F0F">
              <w:rPr>
                <w:rStyle w:val="Hyperlink"/>
              </w:rPr>
              <w:t>D.</w:t>
            </w:r>
            <w:r w:rsidR="00862F0F" w:rsidRPr="00862F0F">
              <w:rPr>
                <w:rFonts w:asciiTheme="minorHAnsi" w:eastAsiaTheme="minorEastAsia" w:hAnsiTheme="minorHAnsi" w:cstheme="minorBidi"/>
                <w:sz w:val="22"/>
                <w:szCs w:val="22"/>
              </w:rPr>
              <w:tab/>
            </w:r>
            <w:r w:rsidR="00862F0F" w:rsidRPr="00862F0F">
              <w:rPr>
                <w:rStyle w:val="Hyperlink"/>
              </w:rPr>
              <w:t>Existing Residential EE&amp;C Measure Protocols and Processes</w:t>
            </w:r>
            <w:r w:rsidR="00862F0F" w:rsidRPr="00862F0F">
              <w:rPr>
                <w:webHidden/>
              </w:rPr>
              <w:tab/>
            </w:r>
            <w:r w:rsidR="00862F0F" w:rsidRPr="00862F0F">
              <w:rPr>
                <w:webHidden/>
              </w:rPr>
              <w:fldChar w:fldCharType="begin"/>
            </w:r>
            <w:r w:rsidR="00862F0F" w:rsidRPr="00862F0F">
              <w:rPr>
                <w:webHidden/>
              </w:rPr>
              <w:instrText xml:space="preserve"> PAGEREF _Toc405884717 \h </w:instrText>
            </w:r>
            <w:r w:rsidR="00862F0F" w:rsidRPr="00862F0F">
              <w:rPr>
                <w:webHidden/>
              </w:rPr>
            </w:r>
            <w:r w:rsidR="00862F0F" w:rsidRPr="00862F0F">
              <w:rPr>
                <w:webHidden/>
              </w:rPr>
              <w:fldChar w:fldCharType="separate"/>
            </w:r>
            <w:r w:rsidR="00A65564">
              <w:rPr>
                <w:webHidden/>
              </w:rPr>
              <w:t>29</w:t>
            </w:r>
            <w:r w:rsidR="00862F0F" w:rsidRPr="00862F0F">
              <w:rPr>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18" w:history="1">
            <w:r w:rsidR="00862F0F" w:rsidRPr="00862F0F">
              <w:rPr>
                <w:rStyle w:val="Hyperlink"/>
                <w:noProof/>
              </w:rPr>
              <w:t>1.</w:t>
            </w:r>
            <w:r w:rsidR="00862F0F" w:rsidRPr="00862F0F">
              <w:rPr>
                <w:rFonts w:asciiTheme="minorHAnsi" w:eastAsiaTheme="minorEastAsia" w:hAnsiTheme="minorHAnsi" w:cstheme="minorBidi"/>
                <w:noProof/>
                <w:sz w:val="22"/>
                <w:szCs w:val="22"/>
              </w:rPr>
              <w:tab/>
            </w:r>
            <w:r w:rsidR="00862F0F" w:rsidRPr="00862F0F">
              <w:rPr>
                <w:rStyle w:val="Hyperlink"/>
                <w:noProof/>
              </w:rPr>
              <w:t>Section 2.1.1 – ENERGY STAR Lighting</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_Toc405884718 \h </w:instrText>
            </w:r>
            <w:r w:rsidR="00862F0F" w:rsidRPr="00862F0F">
              <w:rPr>
                <w:noProof/>
                <w:webHidden/>
              </w:rPr>
            </w:r>
            <w:r w:rsidR="00862F0F" w:rsidRPr="00862F0F">
              <w:rPr>
                <w:noProof/>
                <w:webHidden/>
              </w:rPr>
              <w:fldChar w:fldCharType="separate"/>
            </w:r>
            <w:r w:rsidR="00A65564">
              <w:rPr>
                <w:noProof/>
                <w:webHidden/>
              </w:rPr>
              <w:t>29</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19" w:history="1">
            <w:r w:rsidR="00862F0F" w:rsidRPr="00862F0F">
              <w:rPr>
                <w:rStyle w:val="Hyperlink"/>
                <w:noProof/>
              </w:rPr>
              <w:t>2.</w:t>
            </w:r>
            <w:r w:rsidR="00862F0F" w:rsidRPr="00862F0F">
              <w:rPr>
                <w:rFonts w:asciiTheme="minorHAnsi" w:eastAsiaTheme="minorEastAsia" w:hAnsiTheme="minorHAnsi" w:cstheme="minorBidi"/>
                <w:noProof/>
                <w:sz w:val="22"/>
                <w:szCs w:val="22"/>
              </w:rPr>
              <w:tab/>
            </w:r>
            <w:r w:rsidR="00862F0F" w:rsidRPr="00862F0F">
              <w:rPr>
                <w:rStyle w:val="Hyperlink"/>
                <w:noProof/>
              </w:rPr>
              <w:t>Section 2.1.2 – Residential Occupancy Sensors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_Toc405884719 \h </w:instrText>
            </w:r>
            <w:r w:rsidR="00862F0F" w:rsidRPr="00862F0F">
              <w:rPr>
                <w:noProof/>
                <w:webHidden/>
              </w:rPr>
            </w:r>
            <w:r w:rsidR="00862F0F" w:rsidRPr="00862F0F">
              <w:rPr>
                <w:noProof/>
                <w:webHidden/>
              </w:rPr>
              <w:fldChar w:fldCharType="separate"/>
            </w:r>
            <w:r w:rsidR="00A65564">
              <w:rPr>
                <w:noProof/>
                <w:webHidden/>
              </w:rPr>
              <w:t>34</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0" w:history="1">
            <w:r w:rsidR="00862F0F" w:rsidRPr="00862F0F">
              <w:rPr>
                <w:rStyle w:val="Hyperlink"/>
                <w:noProof/>
              </w:rPr>
              <w:t>3.</w:t>
            </w:r>
            <w:r w:rsidR="00862F0F" w:rsidRPr="00862F0F">
              <w:rPr>
                <w:rFonts w:asciiTheme="minorHAnsi" w:eastAsiaTheme="minorEastAsia" w:hAnsiTheme="minorHAnsi" w:cstheme="minorBidi"/>
                <w:noProof/>
                <w:sz w:val="22"/>
                <w:szCs w:val="22"/>
              </w:rPr>
              <w:tab/>
            </w:r>
            <w:r w:rsidR="00862F0F" w:rsidRPr="00862F0F">
              <w:rPr>
                <w:rStyle w:val="Hyperlink"/>
                <w:noProof/>
              </w:rPr>
              <w:t>Section 2.1.3 – Electroluminescent Nightlight and Section 2.1.4 - LED Nightlight</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_Toc405884720 \h </w:instrText>
            </w:r>
            <w:r w:rsidR="00862F0F" w:rsidRPr="00862F0F">
              <w:rPr>
                <w:noProof/>
                <w:webHidden/>
              </w:rPr>
            </w:r>
            <w:r w:rsidR="00862F0F" w:rsidRPr="00862F0F">
              <w:rPr>
                <w:noProof/>
                <w:webHidden/>
              </w:rPr>
              <w:fldChar w:fldCharType="separate"/>
            </w:r>
            <w:r w:rsidR="00A65564">
              <w:rPr>
                <w:noProof/>
                <w:webHidden/>
              </w:rPr>
              <w:t>35</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1" w:history="1">
            <w:r w:rsidR="00862F0F" w:rsidRPr="00862F0F">
              <w:rPr>
                <w:rStyle w:val="Hyperlink"/>
                <w:noProof/>
              </w:rPr>
              <w:t xml:space="preserve">4. </w:t>
            </w:r>
            <w:r w:rsidR="00862F0F" w:rsidRPr="00862F0F">
              <w:rPr>
                <w:rFonts w:asciiTheme="minorHAnsi" w:eastAsiaTheme="minorEastAsia" w:hAnsiTheme="minorHAnsi" w:cstheme="minorBidi"/>
                <w:noProof/>
                <w:sz w:val="22"/>
                <w:szCs w:val="22"/>
              </w:rPr>
              <w:tab/>
            </w:r>
            <w:r w:rsidR="00862F0F" w:rsidRPr="00862F0F">
              <w:rPr>
                <w:rStyle w:val="Hyperlink"/>
                <w:noProof/>
              </w:rPr>
              <w:t>Section 2.1.5 – Holiday Lights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_Toc405884721 \h </w:instrText>
            </w:r>
            <w:r w:rsidR="00862F0F" w:rsidRPr="00862F0F">
              <w:rPr>
                <w:noProof/>
                <w:webHidden/>
              </w:rPr>
            </w:r>
            <w:r w:rsidR="00862F0F" w:rsidRPr="00862F0F">
              <w:rPr>
                <w:noProof/>
                <w:webHidden/>
              </w:rPr>
              <w:fldChar w:fldCharType="separate"/>
            </w:r>
            <w:r w:rsidR="00A65564">
              <w:rPr>
                <w:noProof/>
                <w:webHidden/>
              </w:rPr>
              <w:t>36</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2" w:history="1">
            <w:r w:rsidR="00862F0F" w:rsidRPr="00862F0F">
              <w:rPr>
                <w:rStyle w:val="Hyperlink"/>
                <w:noProof/>
              </w:rPr>
              <w:t>5.</w:t>
            </w:r>
            <w:r w:rsidR="00862F0F" w:rsidRPr="00862F0F">
              <w:rPr>
                <w:rFonts w:asciiTheme="minorHAnsi" w:eastAsiaTheme="minorEastAsia" w:hAnsiTheme="minorHAnsi" w:cstheme="minorBidi"/>
                <w:noProof/>
                <w:sz w:val="22"/>
                <w:szCs w:val="22"/>
              </w:rPr>
              <w:tab/>
            </w:r>
            <w:r w:rsidR="00862F0F" w:rsidRPr="00862F0F">
              <w:rPr>
                <w:rStyle w:val="Hyperlink"/>
                <w:noProof/>
              </w:rPr>
              <w:t>Section 2.2.1 – Electric HVAC</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_Toc405884722 \h </w:instrText>
            </w:r>
            <w:r w:rsidR="00862F0F" w:rsidRPr="00862F0F">
              <w:rPr>
                <w:noProof/>
                <w:webHidden/>
              </w:rPr>
            </w:r>
            <w:r w:rsidR="00862F0F" w:rsidRPr="00862F0F">
              <w:rPr>
                <w:noProof/>
                <w:webHidden/>
              </w:rPr>
              <w:fldChar w:fldCharType="separate"/>
            </w:r>
            <w:r w:rsidR="00A65564">
              <w:rPr>
                <w:noProof/>
                <w:webHidden/>
              </w:rPr>
              <w:t>37</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3" w:history="1">
            <w:r w:rsidR="00862F0F" w:rsidRPr="00862F0F">
              <w:rPr>
                <w:rStyle w:val="Hyperlink"/>
                <w:noProof/>
              </w:rPr>
              <w:t>6.</w:t>
            </w:r>
            <w:r w:rsidR="00862F0F" w:rsidRPr="00862F0F">
              <w:rPr>
                <w:rFonts w:asciiTheme="minorHAnsi" w:eastAsiaTheme="minorEastAsia" w:hAnsiTheme="minorHAnsi" w:cstheme="minorBidi"/>
                <w:noProof/>
                <w:sz w:val="22"/>
                <w:szCs w:val="22"/>
              </w:rPr>
              <w:tab/>
            </w:r>
            <w:r w:rsidR="00862F0F" w:rsidRPr="00862F0F">
              <w:rPr>
                <w:rStyle w:val="Hyperlink"/>
                <w:noProof/>
              </w:rPr>
              <w:t>Section 2.2.3 – Ductless Mini-Split Heat Pumps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_Toc405884723 \h </w:instrText>
            </w:r>
            <w:r w:rsidR="00862F0F" w:rsidRPr="00862F0F">
              <w:rPr>
                <w:noProof/>
                <w:webHidden/>
              </w:rPr>
            </w:r>
            <w:r w:rsidR="00862F0F" w:rsidRPr="00862F0F">
              <w:rPr>
                <w:noProof/>
                <w:webHidden/>
              </w:rPr>
              <w:fldChar w:fldCharType="separate"/>
            </w:r>
            <w:r w:rsidR="00A65564">
              <w:rPr>
                <w:noProof/>
                <w:webHidden/>
              </w:rPr>
              <w:t>38</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4" w:history="1">
            <w:r w:rsidR="00862F0F" w:rsidRPr="00862F0F">
              <w:rPr>
                <w:rStyle w:val="Hyperlink"/>
                <w:noProof/>
              </w:rPr>
              <w:t>7.</w:t>
            </w:r>
            <w:r w:rsidR="00862F0F" w:rsidRPr="00862F0F">
              <w:rPr>
                <w:rFonts w:asciiTheme="minorHAnsi" w:eastAsiaTheme="minorEastAsia" w:hAnsiTheme="minorHAnsi" w:cstheme="minorBidi"/>
                <w:noProof/>
                <w:sz w:val="22"/>
                <w:szCs w:val="22"/>
              </w:rPr>
              <w:tab/>
            </w:r>
            <w:r w:rsidR="00862F0F" w:rsidRPr="00862F0F">
              <w:rPr>
                <w:rStyle w:val="Hyperlink"/>
                <w:noProof/>
              </w:rPr>
              <w:t>Section 2.2.5 – Room AC (RAC) Retirement</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_Toc405884724 \h </w:instrText>
            </w:r>
            <w:r w:rsidR="00862F0F" w:rsidRPr="00862F0F">
              <w:rPr>
                <w:noProof/>
                <w:webHidden/>
              </w:rPr>
            </w:r>
            <w:r w:rsidR="00862F0F" w:rsidRPr="00862F0F">
              <w:rPr>
                <w:noProof/>
                <w:webHidden/>
              </w:rPr>
              <w:fldChar w:fldCharType="separate"/>
            </w:r>
            <w:r w:rsidR="00A65564">
              <w:rPr>
                <w:noProof/>
                <w:webHidden/>
              </w:rPr>
              <w:t>40</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5" w:history="1">
            <w:r w:rsidR="00862F0F" w:rsidRPr="00862F0F">
              <w:rPr>
                <w:rStyle w:val="Hyperlink"/>
                <w:noProof/>
              </w:rPr>
              <w:t>8.</w:t>
            </w:r>
            <w:r w:rsidR="00862F0F" w:rsidRPr="00862F0F">
              <w:rPr>
                <w:rFonts w:asciiTheme="minorHAnsi" w:eastAsiaTheme="minorEastAsia" w:hAnsiTheme="minorHAnsi" w:cstheme="minorBidi"/>
                <w:noProof/>
                <w:sz w:val="22"/>
                <w:szCs w:val="22"/>
              </w:rPr>
              <w:tab/>
            </w:r>
            <w:r w:rsidR="00862F0F" w:rsidRPr="00862F0F">
              <w:rPr>
                <w:rStyle w:val="Hyperlink"/>
                <w:noProof/>
              </w:rPr>
              <w:t>Section 2.2.7 – Furnace Whistle</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_Toc405884725 \h </w:instrText>
            </w:r>
            <w:r w:rsidR="00862F0F" w:rsidRPr="00862F0F">
              <w:rPr>
                <w:noProof/>
                <w:webHidden/>
              </w:rPr>
            </w:r>
            <w:r w:rsidR="00862F0F" w:rsidRPr="00862F0F">
              <w:rPr>
                <w:noProof/>
                <w:webHidden/>
              </w:rPr>
              <w:fldChar w:fldCharType="separate"/>
            </w:r>
            <w:r w:rsidR="00A65564">
              <w:rPr>
                <w:noProof/>
                <w:webHidden/>
              </w:rPr>
              <w:t>41</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6" w:history="1">
            <w:r w:rsidR="00862F0F" w:rsidRPr="00862F0F">
              <w:rPr>
                <w:rStyle w:val="Hyperlink"/>
                <w:noProof/>
              </w:rPr>
              <w:t>9.</w:t>
            </w:r>
            <w:r w:rsidR="00862F0F" w:rsidRPr="00862F0F">
              <w:rPr>
                <w:rFonts w:asciiTheme="minorHAnsi" w:eastAsiaTheme="minorEastAsia" w:hAnsiTheme="minorHAnsi" w:cstheme="minorBidi"/>
                <w:noProof/>
                <w:sz w:val="22"/>
                <w:szCs w:val="22"/>
              </w:rPr>
              <w:tab/>
            </w:r>
            <w:r w:rsidR="00862F0F" w:rsidRPr="00862F0F">
              <w:rPr>
                <w:rStyle w:val="Hyperlink"/>
                <w:noProof/>
              </w:rPr>
              <w:t>Section 2.3.2 – Heat Pump Water Heaters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_Toc405884726 \h </w:instrText>
            </w:r>
            <w:r w:rsidR="00862F0F" w:rsidRPr="00862F0F">
              <w:rPr>
                <w:noProof/>
                <w:webHidden/>
              </w:rPr>
            </w:r>
            <w:r w:rsidR="00862F0F" w:rsidRPr="00862F0F">
              <w:rPr>
                <w:noProof/>
                <w:webHidden/>
              </w:rPr>
              <w:fldChar w:fldCharType="separate"/>
            </w:r>
            <w:r w:rsidR="00A65564">
              <w:rPr>
                <w:noProof/>
                <w:webHidden/>
              </w:rPr>
              <w:t>42</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7" w:history="1">
            <w:r w:rsidR="00862F0F" w:rsidRPr="00862F0F">
              <w:rPr>
                <w:rStyle w:val="Hyperlink"/>
                <w:noProof/>
              </w:rPr>
              <w:t>10.</w:t>
            </w:r>
            <w:r w:rsidR="00862F0F" w:rsidRPr="00862F0F">
              <w:rPr>
                <w:rFonts w:asciiTheme="minorHAnsi" w:eastAsiaTheme="minorEastAsia" w:hAnsiTheme="minorHAnsi" w:cstheme="minorBidi"/>
                <w:noProof/>
                <w:sz w:val="22"/>
                <w:szCs w:val="22"/>
              </w:rPr>
              <w:tab/>
            </w:r>
            <w:r w:rsidR="00862F0F" w:rsidRPr="00862F0F">
              <w:rPr>
                <w:rStyle w:val="Hyperlink"/>
                <w:noProof/>
              </w:rPr>
              <w:t>Section 2.4.1 – ENERGY STAR Refrigerators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_Toc405884727 \h </w:instrText>
            </w:r>
            <w:r w:rsidR="00862F0F" w:rsidRPr="00862F0F">
              <w:rPr>
                <w:noProof/>
                <w:webHidden/>
              </w:rPr>
            </w:r>
            <w:r w:rsidR="00862F0F" w:rsidRPr="00862F0F">
              <w:rPr>
                <w:noProof/>
                <w:webHidden/>
              </w:rPr>
              <w:fldChar w:fldCharType="separate"/>
            </w:r>
            <w:r w:rsidR="00A65564">
              <w:rPr>
                <w:noProof/>
                <w:webHidden/>
              </w:rPr>
              <w:t>43</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8" w:history="1">
            <w:r w:rsidR="00862F0F" w:rsidRPr="00862F0F">
              <w:rPr>
                <w:rStyle w:val="Hyperlink"/>
                <w:noProof/>
              </w:rPr>
              <w:t>11.</w:t>
            </w:r>
            <w:r w:rsidR="00862F0F" w:rsidRPr="00862F0F">
              <w:rPr>
                <w:rFonts w:asciiTheme="minorHAnsi" w:eastAsiaTheme="minorEastAsia" w:hAnsiTheme="minorHAnsi" w:cstheme="minorBidi"/>
                <w:noProof/>
                <w:sz w:val="22"/>
                <w:szCs w:val="22"/>
              </w:rPr>
              <w:tab/>
            </w:r>
            <w:r w:rsidR="00862F0F" w:rsidRPr="00862F0F">
              <w:rPr>
                <w:rStyle w:val="Hyperlink"/>
                <w:noProof/>
              </w:rPr>
              <w:t>Section 2.4.2 – ENERGY STAR Freezers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_Toc405884728 \h </w:instrText>
            </w:r>
            <w:r w:rsidR="00862F0F" w:rsidRPr="00862F0F">
              <w:rPr>
                <w:noProof/>
                <w:webHidden/>
              </w:rPr>
            </w:r>
            <w:r w:rsidR="00862F0F" w:rsidRPr="00862F0F">
              <w:rPr>
                <w:noProof/>
                <w:webHidden/>
              </w:rPr>
              <w:fldChar w:fldCharType="separate"/>
            </w:r>
            <w:r w:rsidR="00A65564">
              <w:rPr>
                <w:noProof/>
                <w:webHidden/>
              </w:rPr>
              <w:t>44</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29" w:history="1">
            <w:r w:rsidR="00862F0F" w:rsidRPr="00862F0F">
              <w:rPr>
                <w:rStyle w:val="Hyperlink"/>
                <w:noProof/>
              </w:rPr>
              <w:t>12.</w:t>
            </w:r>
            <w:r w:rsidR="00862F0F" w:rsidRPr="00862F0F">
              <w:rPr>
                <w:rFonts w:asciiTheme="minorHAnsi" w:eastAsiaTheme="minorEastAsia" w:hAnsiTheme="minorHAnsi" w:cstheme="minorBidi"/>
                <w:noProof/>
                <w:sz w:val="22"/>
                <w:szCs w:val="22"/>
              </w:rPr>
              <w:tab/>
            </w:r>
            <w:r w:rsidR="00862F0F" w:rsidRPr="00862F0F">
              <w:rPr>
                <w:rStyle w:val="Hyperlink"/>
                <w:noProof/>
              </w:rPr>
              <w:t>Section 2.4.3 – Refrigerator/Freezer Recycling with and without Replacement</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_Toc405884729 \h </w:instrText>
            </w:r>
            <w:r w:rsidR="00862F0F" w:rsidRPr="00862F0F">
              <w:rPr>
                <w:noProof/>
                <w:webHidden/>
              </w:rPr>
            </w:r>
            <w:r w:rsidR="00862F0F" w:rsidRPr="00862F0F">
              <w:rPr>
                <w:noProof/>
                <w:webHidden/>
              </w:rPr>
              <w:fldChar w:fldCharType="separate"/>
            </w:r>
            <w:r w:rsidR="00A65564">
              <w:rPr>
                <w:noProof/>
                <w:webHidden/>
              </w:rPr>
              <w:t>45</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0" w:history="1">
            <w:r w:rsidR="00862F0F" w:rsidRPr="00862F0F">
              <w:rPr>
                <w:rStyle w:val="Hyperlink"/>
                <w:noProof/>
              </w:rPr>
              <w:t>13.</w:t>
            </w:r>
            <w:r w:rsidR="00862F0F" w:rsidRPr="00862F0F">
              <w:rPr>
                <w:rFonts w:asciiTheme="minorHAnsi" w:eastAsiaTheme="minorEastAsia" w:hAnsiTheme="minorHAnsi" w:cstheme="minorBidi"/>
                <w:noProof/>
                <w:sz w:val="22"/>
                <w:szCs w:val="22"/>
              </w:rPr>
              <w:tab/>
            </w:r>
            <w:r w:rsidR="00862F0F" w:rsidRPr="00862F0F">
              <w:rPr>
                <w:rStyle w:val="Hyperlink"/>
                <w:noProof/>
              </w:rPr>
              <w:t>Section 2.4.9 – ENERGY STAR Water Coolers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_Toc405884730 \h </w:instrText>
            </w:r>
            <w:r w:rsidR="00862F0F" w:rsidRPr="00862F0F">
              <w:rPr>
                <w:noProof/>
                <w:webHidden/>
              </w:rPr>
            </w:r>
            <w:r w:rsidR="00862F0F" w:rsidRPr="00862F0F">
              <w:rPr>
                <w:noProof/>
                <w:webHidden/>
              </w:rPr>
              <w:fldChar w:fldCharType="separate"/>
            </w:r>
            <w:r w:rsidR="00A65564">
              <w:rPr>
                <w:noProof/>
                <w:webHidden/>
              </w:rPr>
              <w:t>46</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1" w:history="1">
            <w:r w:rsidR="00862F0F" w:rsidRPr="00862F0F">
              <w:rPr>
                <w:rStyle w:val="Hyperlink"/>
                <w:noProof/>
              </w:rPr>
              <w:t>14.</w:t>
            </w:r>
            <w:r w:rsidR="00862F0F" w:rsidRPr="00862F0F">
              <w:rPr>
                <w:rFonts w:asciiTheme="minorHAnsi" w:eastAsiaTheme="minorEastAsia" w:hAnsiTheme="minorHAnsi" w:cstheme="minorBidi"/>
                <w:noProof/>
                <w:sz w:val="22"/>
                <w:szCs w:val="22"/>
              </w:rPr>
              <w:tab/>
            </w:r>
            <w:r w:rsidR="00862F0F" w:rsidRPr="00862F0F">
              <w:rPr>
                <w:rStyle w:val="Hyperlink"/>
                <w:noProof/>
              </w:rPr>
              <w:t>Section 2.5.3 – Smart Strip Plug Outlets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_Toc405884731 \h </w:instrText>
            </w:r>
            <w:r w:rsidR="00862F0F" w:rsidRPr="00862F0F">
              <w:rPr>
                <w:noProof/>
                <w:webHidden/>
              </w:rPr>
            </w:r>
            <w:r w:rsidR="00862F0F" w:rsidRPr="00862F0F">
              <w:rPr>
                <w:noProof/>
                <w:webHidden/>
              </w:rPr>
              <w:fldChar w:fldCharType="separate"/>
            </w:r>
            <w:r w:rsidR="00A65564">
              <w:rPr>
                <w:noProof/>
                <w:webHidden/>
              </w:rPr>
              <w:t>47</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2" w:history="1">
            <w:r w:rsidR="00862F0F" w:rsidRPr="00862F0F">
              <w:rPr>
                <w:rStyle w:val="Hyperlink"/>
                <w:noProof/>
              </w:rPr>
              <w:t>15.</w:t>
            </w:r>
            <w:r w:rsidR="00862F0F" w:rsidRPr="00862F0F">
              <w:rPr>
                <w:rFonts w:asciiTheme="minorHAnsi" w:eastAsiaTheme="minorEastAsia" w:hAnsiTheme="minorHAnsi" w:cstheme="minorBidi"/>
                <w:noProof/>
                <w:sz w:val="22"/>
                <w:szCs w:val="22"/>
              </w:rPr>
              <w:tab/>
            </w:r>
            <w:r w:rsidR="00862F0F" w:rsidRPr="00862F0F">
              <w:rPr>
                <w:rStyle w:val="Hyperlink"/>
                <w:noProof/>
              </w:rPr>
              <w:t>Section 2.6.3 – Residential New Construction</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_Toc405884732 \h </w:instrText>
            </w:r>
            <w:r w:rsidR="00862F0F" w:rsidRPr="00862F0F">
              <w:rPr>
                <w:noProof/>
                <w:webHidden/>
              </w:rPr>
            </w:r>
            <w:r w:rsidR="00862F0F" w:rsidRPr="00862F0F">
              <w:rPr>
                <w:noProof/>
                <w:webHidden/>
              </w:rPr>
              <w:fldChar w:fldCharType="separate"/>
            </w:r>
            <w:r w:rsidR="00A65564">
              <w:rPr>
                <w:noProof/>
                <w:webHidden/>
              </w:rPr>
              <w:t>48</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3" w:history="1">
            <w:r w:rsidR="00862F0F" w:rsidRPr="00862F0F">
              <w:rPr>
                <w:rStyle w:val="Hyperlink"/>
                <w:noProof/>
              </w:rPr>
              <w:t>16.</w:t>
            </w:r>
            <w:r w:rsidR="00862F0F" w:rsidRPr="00862F0F">
              <w:rPr>
                <w:rFonts w:asciiTheme="minorHAnsi" w:eastAsiaTheme="minorEastAsia" w:hAnsiTheme="minorHAnsi" w:cstheme="minorBidi"/>
                <w:noProof/>
                <w:sz w:val="22"/>
                <w:szCs w:val="22"/>
              </w:rPr>
              <w:tab/>
            </w:r>
            <w:r w:rsidR="00862F0F" w:rsidRPr="00862F0F">
              <w:rPr>
                <w:rStyle w:val="Hyperlink"/>
                <w:noProof/>
              </w:rPr>
              <w:t>Section 2.7.1 – Pool Pump Load Shifting</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_Toc405884733 \h </w:instrText>
            </w:r>
            <w:r w:rsidR="00862F0F" w:rsidRPr="00862F0F">
              <w:rPr>
                <w:noProof/>
                <w:webHidden/>
              </w:rPr>
            </w:r>
            <w:r w:rsidR="00862F0F" w:rsidRPr="00862F0F">
              <w:rPr>
                <w:noProof/>
                <w:webHidden/>
              </w:rPr>
              <w:fldChar w:fldCharType="separate"/>
            </w:r>
            <w:r w:rsidR="00A65564">
              <w:rPr>
                <w:noProof/>
                <w:webHidden/>
              </w:rPr>
              <w:t>48</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4" w:history="1">
            <w:r w:rsidR="00862F0F" w:rsidRPr="00862F0F">
              <w:rPr>
                <w:rStyle w:val="Hyperlink"/>
                <w:noProof/>
              </w:rPr>
              <w:t>17.</w:t>
            </w:r>
            <w:r w:rsidR="00862F0F" w:rsidRPr="00862F0F">
              <w:rPr>
                <w:rFonts w:asciiTheme="minorHAnsi" w:eastAsiaTheme="minorEastAsia" w:hAnsiTheme="minorHAnsi" w:cstheme="minorBidi"/>
                <w:noProof/>
                <w:sz w:val="22"/>
                <w:szCs w:val="22"/>
              </w:rPr>
              <w:tab/>
            </w:r>
            <w:r w:rsidR="00862F0F" w:rsidRPr="00862F0F">
              <w:rPr>
                <w:rStyle w:val="Hyperlink"/>
                <w:noProof/>
              </w:rPr>
              <w:t>Section 2.7.2 – Variable Speed Pool Pumps (with Load Shifting Option)</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_Toc405884734 \h </w:instrText>
            </w:r>
            <w:r w:rsidR="00862F0F" w:rsidRPr="00862F0F">
              <w:rPr>
                <w:noProof/>
                <w:webHidden/>
              </w:rPr>
            </w:r>
            <w:r w:rsidR="00862F0F" w:rsidRPr="00862F0F">
              <w:rPr>
                <w:noProof/>
                <w:webHidden/>
              </w:rPr>
              <w:fldChar w:fldCharType="separate"/>
            </w:r>
            <w:r w:rsidR="00A65564">
              <w:rPr>
                <w:noProof/>
                <w:webHidden/>
              </w:rPr>
              <w:t>49</w:t>
            </w:r>
            <w:r w:rsidR="00862F0F" w:rsidRPr="00862F0F">
              <w:rPr>
                <w:noProof/>
                <w:webHidden/>
              </w:rPr>
              <w:fldChar w:fldCharType="end"/>
            </w:r>
          </w:hyperlink>
        </w:p>
        <w:p w:rsidR="00862F0F" w:rsidRPr="00862F0F" w:rsidRDefault="003774D2">
          <w:pPr>
            <w:pStyle w:val="TOC2"/>
            <w:tabs>
              <w:tab w:val="right" w:leader="dot" w:pos="9350"/>
            </w:tabs>
            <w:rPr>
              <w:rFonts w:asciiTheme="minorHAnsi" w:eastAsiaTheme="minorEastAsia" w:hAnsiTheme="minorHAnsi" w:cstheme="minorBidi"/>
              <w:sz w:val="22"/>
              <w:szCs w:val="22"/>
            </w:rPr>
          </w:pPr>
          <w:hyperlink w:anchor="_Toc405884735" w:history="1">
            <w:r w:rsidR="00862F0F" w:rsidRPr="00862F0F">
              <w:rPr>
                <w:rStyle w:val="Hyperlink"/>
              </w:rPr>
              <w:t>E.</w:t>
            </w:r>
            <w:r w:rsidR="00862F0F" w:rsidRPr="00862F0F">
              <w:rPr>
                <w:rFonts w:asciiTheme="minorHAnsi" w:eastAsiaTheme="minorEastAsia" w:hAnsiTheme="minorHAnsi" w:cstheme="minorBidi"/>
                <w:sz w:val="22"/>
                <w:szCs w:val="22"/>
              </w:rPr>
              <w:tab/>
            </w:r>
            <w:r w:rsidR="00862F0F" w:rsidRPr="00862F0F">
              <w:rPr>
                <w:rStyle w:val="Hyperlink"/>
              </w:rPr>
              <w:t>Commercial and Industrial EE&amp;C Measure Protocols</w:t>
            </w:r>
            <w:r w:rsidR="00862F0F" w:rsidRPr="00862F0F">
              <w:rPr>
                <w:webHidden/>
              </w:rPr>
              <w:tab/>
            </w:r>
            <w:r w:rsidR="00862F0F" w:rsidRPr="00862F0F">
              <w:rPr>
                <w:webHidden/>
              </w:rPr>
              <w:fldChar w:fldCharType="begin"/>
            </w:r>
            <w:r w:rsidR="00862F0F" w:rsidRPr="00862F0F">
              <w:rPr>
                <w:webHidden/>
              </w:rPr>
              <w:instrText xml:space="preserve"> PAGEREF _Toc405884735 \h </w:instrText>
            </w:r>
            <w:r w:rsidR="00862F0F" w:rsidRPr="00862F0F">
              <w:rPr>
                <w:webHidden/>
              </w:rPr>
            </w:r>
            <w:r w:rsidR="00862F0F" w:rsidRPr="00862F0F">
              <w:rPr>
                <w:webHidden/>
              </w:rPr>
              <w:fldChar w:fldCharType="separate"/>
            </w:r>
            <w:r w:rsidR="00A65564">
              <w:rPr>
                <w:webHidden/>
              </w:rPr>
              <w:t>51</w:t>
            </w:r>
            <w:r w:rsidR="00862F0F" w:rsidRPr="00862F0F">
              <w:rPr>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6" w:history="1">
            <w:r w:rsidR="00862F0F" w:rsidRPr="00862F0F">
              <w:rPr>
                <w:rStyle w:val="Hyperlink"/>
                <w:noProof/>
              </w:rPr>
              <w:t>1.</w:t>
            </w:r>
            <w:r w:rsidR="00862F0F" w:rsidRPr="00862F0F">
              <w:rPr>
                <w:rFonts w:asciiTheme="minorHAnsi" w:eastAsiaTheme="minorEastAsia" w:hAnsiTheme="minorHAnsi" w:cstheme="minorBidi"/>
                <w:noProof/>
                <w:sz w:val="22"/>
                <w:szCs w:val="22"/>
              </w:rPr>
              <w:tab/>
            </w:r>
            <w:r w:rsidR="00862F0F" w:rsidRPr="00862F0F">
              <w:rPr>
                <w:rStyle w:val="Hyperlink"/>
                <w:noProof/>
              </w:rPr>
              <w:t>Section 3.1 – Lighting</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_Toc405884736 \h </w:instrText>
            </w:r>
            <w:r w:rsidR="00862F0F" w:rsidRPr="00862F0F">
              <w:rPr>
                <w:noProof/>
                <w:webHidden/>
              </w:rPr>
            </w:r>
            <w:r w:rsidR="00862F0F" w:rsidRPr="00862F0F">
              <w:rPr>
                <w:noProof/>
                <w:webHidden/>
              </w:rPr>
              <w:fldChar w:fldCharType="separate"/>
            </w:r>
            <w:r w:rsidR="00A65564">
              <w:rPr>
                <w:noProof/>
                <w:webHidden/>
              </w:rPr>
              <w:t>51</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7" w:history="1">
            <w:r w:rsidR="00862F0F" w:rsidRPr="00862F0F">
              <w:rPr>
                <w:rStyle w:val="Hyperlink"/>
                <w:noProof/>
              </w:rPr>
              <w:t>2.</w:t>
            </w:r>
            <w:r w:rsidR="00862F0F" w:rsidRPr="00862F0F">
              <w:rPr>
                <w:rFonts w:asciiTheme="minorHAnsi" w:eastAsiaTheme="minorEastAsia" w:hAnsiTheme="minorHAnsi" w:cstheme="minorBidi"/>
                <w:noProof/>
                <w:sz w:val="22"/>
                <w:szCs w:val="22"/>
              </w:rPr>
              <w:tab/>
            </w:r>
            <w:r w:rsidR="00862F0F" w:rsidRPr="00862F0F">
              <w:rPr>
                <w:rStyle w:val="Hyperlink"/>
                <w:noProof/>
              </w:rPr>
              <w:t>Section 3.2.1 – HVAC Systems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_Toc405884737 \h </w:instrText>
            </w:r>
            <w:r w:rsidR="00862F0F" w:rsidRPr="00862F0F">
              <w:rPr>
                <w:noProof/>
                <w:webHidden/>
              </w:rPr>
            </w:r>
            <w:r w:rsidR="00862F0F" w:rsidRPr="00862F0F">
              <w:rPr>
                <w:noProof/>
                <w:webHidden/>
              </w:rPr>
              <w:fldChar w:fldCharType="separate"/>
            </w:r>
            <w:r w:rsidR="00A65564">
              <w:rPr>
                <w:noProof/>
                <w:webHidden/>
              </w:rPr>
              <w:t>57</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8" w:history="1">
            <w:r w:rsidR="00862F0F" w:rsidRPr="00862F0F">
              <w:rPr>
                <w:rStyle w:val="Hyperlink"/>
                <w:noProof/>
              </w:rPr>
              <w:t>3.</w:t>
            </w:r>
            <w:r w:rsidR="00862F0F" w:rsidRPr="00862F0F">
              <w:rPr>
                <w:rFonts w:asciiTheme="minorHAnsi" w:eastAsiaTheme="minorEastAsia" w:hAnsiTheme="minorHAnsi" w:cstheme="minorBidi"/>
                <w:noProof/>
                <w:sz w:val="22"/>
                <w:szCs w:val="22"/>
              </w:rPr>
              <w:tab/>
            </w:r>
            <w:r w:rsidR="00862F0F" w:rsidRPr="00862F0F">
              <w:rPr>
                <w:rStyle w:val="Hyperlink"/>
                <w:noProof/>
              </w:rPr>
              <w:t>Section 3.2.2 – Electric Chillers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_Toc405884738 \h </w:instrText>
            </w:r>
            <w:r w:rsidR="00862F0F" w:rsidRPr="00862F0F">
              <w:rPr>
                <w:noProof/>
                <w:webHidden/>
              </w:rPr>
            </w:r>
            <w:r w:rsidR="00862F0F" w:rsidRPr="00862F0F">
              <w:rPr>
                <w:noProof/>
                <w:webHidden/>
              </w:rPr>
              <w:fldChar w:fldCharType="separate"/>
            </w:r>
            <w:r w:rsidR="00A65564">
              <w:rPr>
                <w:noProof/>
                <w:webHidden/>
              </w:rPr>
              <w:t>60</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39" w:history="1">
            <w:r w:rsidR="00862F0F" w:rsidRPr="00862F0F">
              <w:rPr>
                <w:rStyle w:val="Hyperlink"/>
                <w:noProof/>
              </w:rPr>
              <w:t>4.</w:t>
            </w:r>
            <w:r w:rsidR="00862F0F" w:rsidRPr="00862F0F">
              <w:rPr>
                <w:rFonts w:asciiTheme="minorHAnsi" w:eastAsiaTheme="minorEastAsia" w:hAnsiTheme="minorHAnsi" w:cstheme="minorBidi"/>
                <w:noProof/>
                <w:sz w:val="22"/>
                <w:szCs w:val="22"/>
              </w:rPr>
              <w:tab/>
            </w:r>
            <w:r w:rsidR="00862F0F" w:rsidRPr="00862F0F">
              <w:rPr>
                <w:rStyle w:val="Hyperlink"/>
                <w:noProof/>
              </w:rPr>
              <w:t>Section 3.2.4 – Ductless Mini-Split Heat Pumps – Commercial &lt; 5.4 tons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_Toc405884739 \h </w:instrText>
            </w:r>
            <w:r w:rsidR="00862F0F" w:rsidRPr="00862F0F">
              <w:rPr>
                <w:noProof/>
                <w:webHidden/>
              </w:rPr>
            </w:r>
            <w:r w:rsidR="00862F0F" w:rsidRPr="00862F0F">
              <w:rPr>
                <w:noProof/>
                <w:webHidden/>
              </w:rPr>
              <w:fldChar w:fldCharType="separate"/>
            </w:r>
            <w:r w:rsidR="00A65564">
              <w:rPr>
                <w:noProof/>
                <w:webHidden/>
              </w:rPr>
              <w:t>63</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0" w:history="1">
            <w:r w:rsidR="00862F0F" w:rsidRPr="00862F0F">
              <w:rPr>
                <w:rStyle w:val="Hyperlink"/>
                <w:noProof/>
              </w:rPr>
              <w:t>5.</w:t>
            </w:r>
            <w:r w:rsidR="00862F0F" w:rsidRPr="00862F0F">
              <w:rPr>
                <w:rFonts w:asciiTheme="minorHAnsi" w:eastAsiaTheme="minorEastAsia" w:hAnsiTheme="minorHAnsi" w:cstheme="minorBidi"/>
                <w:noProof/>
                <w:sz w:val="22"/>
                <w:szCs w:val="22"/>
              </w:rPr>
              <w:tab/>
            </w:r>
            <w:r w:rsidR="00862F0F" w:rsidRPr="00862F0F">
              <w:rPr>
                <w:rStyle w:val="Hyperlink"/>
                <w:noProof/>
              </w:rPr>
              <w:t>Section 3.3.1 – Premium Efficiency Motors and Section 3.3.2 – Variable Frequency Drive (VFD) Improvements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_Toc405884740 \h </w:instrText>
            </w:r>
            <w:r w:rsidR="00862F0F" w:rsidRPr="00862F0F">
              <w:rPr>
                <w:noProof/>
                <w:webHidden/>
              </w:rPr>
            </w:r>
            <w:r w:rsidR="00862F0F" w:rsidRPr="00862F0F">
              <w:rPr>
                <w:noProof/>
                <w:webHidden/>
              </w:rPr>
              <w:fldChar w:fldCharType="separate"/>
            </w:r>
            <w:r w:rsidR="00A65564">
              <w:rPr>
                <w:noProof/>
                <w:webHidden/>
              </w:rPr>
              <w:t>65</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1" w:history="1">
            <w:r w:rsidR="00862F0F" w:rsidRPr="00862F0F">
              <w:rPr>
                <w:rStyle w:val="Hyperlink"/>
                <w:noProof/>
              </w:rPr>
              <w:t>6.</w:t>
            </w:r>
            <w:r w:rsidR="00862F0F" w:rsidRPr="00862F0F">
              <w:rPr>
                <w:rFonts w:asciiTheme="minorHAnsi" w:eastAsiaTheme="minorEastAsia" w:hAnsiTheme="minorHAnsi" w:cstheme="minorBidi"/>
                <w:noProof/>
                <w:sz w:val="22"/>
                <w:szCs w:val="22"/>
              </w:rPr>
              <w:tab/>
            </w:r>
            <w:r w:rsidR="00862F0F" w:rsidRPr="00862F0F">
              <w:rPr>
                <w:rStyle w:val="Hyperlink"/>
                <w:noProof/>
              </w:rPr>
              <w:t>Section 3.4.1 – Electric Resistance Water Heaters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_Toc405884741 \h </w:instrText>
            </w:r>
            <w:r w:rsidR="00862F0F" w:rsidRPr="00862F0F">
              <w:rPr>
                <w:noProof/>
                <w:webHidden/>
              </w:rPr>
            </w:r>
            <w:r w:rsidR="00862F0F" w:rsidRPr="00862F0F">
              <w:rPr>
                <w:noProof/>
                <w:webHidden/>
              </w:rPr>
              <w:fldChar w:fldCharType="separate"/>
            </w:r>
            <w:r w:rsidR="00A65564">
              <w:rPr>
                <w:noProof/>
                <w:webHidden/>
              </w:rPr>
              <w:t>65</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2" w:history="1">
            <w:r w:rsidR="00862F0F" w:rsidRPr="00862F0F">
              <w:rPr>
                <w:rStyle w:val="Hyperlink"/>
                <w:noProof/>
              </w:rPr>
              <w:t>7.</w:t>
            </w:r>
            <w:r w:rsidR="00862F0F" w:rsidRPr="00862F0F">
              <w:rPr>
                <w:rFonts w:asciiTheme="minorHAnsi" w:eastAsiaTheme="minorEastAsia" w:hAnsiTheme="minorHAnsi" w:cstheme="minorBidi"/>
                <w:noProof/>
                <w:sz w:val="22"/>
                <w:szCs w:val="22"/>
              </w:rPr>
              <w:tab/>
            </w:r>
            <w:r w:rsidR="00862F0F" w:rsidRPr="00862F0F">
              <w:rPr>
                <w:rStyle w:val="Hyperlink"/>
                <w:noProof/>
              </w:rPr>
              <w:t>Section 3.4.2 – Heat Pump Water Heaters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_Toc405884742 \h </w:instrText>
            </w:r>
            <w:r w:rsidR="00862F0F" w:rsidRPr="00862F0F">
              <w:rPr>
                <w:noProof/>
                <w:webHidden/>
              </w:rPr>
            </w:r>
            <w:r w:rsidR="00862F0F" w:rsidRPr="00862F0F">
              <w:rPr>
                <w:noProof/>
                <w:webHidden/>
              </w:rPr>
              <w:fldChar w:fldCharType="separate"/>
            </w:r>
            <w:r w:rsidR="00A65564">
              <w:rPr>
                <w:noProof/>
                <w:webHidden/>
              </w:rPr>
              <w:t>67</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3" w:history="1">
            <w:r w:rsidR="00862F0F" w:rsidRPr="00862F0F">
              <w:rPr>
                <w:rStyle w:val="Hyperlink"/>
                <w:noProof/>
              </w:rPr>
              <w:t>8.</w:t>
            </w:r>
            <w:r w:rsidR="00862F0F" w:rsidRPr="00862F0F">
              <w:rPr>
                <w:rFonts w:asciiTheme="minorHAnsi" w:eastAsiaTheme="minorEastAsia" w:hAnsiTheme="minorHAnsi" w:cstheme="minorBidi"/>
                <w:noProof/>
                <w:sz w:val="22"/>
                <w:szCs w:val="22"/>
              </w:rPr>
              <w:tab/>
            </w:r>
            <w:r w:rsidR="00862F0F" w:rsidRPr="00862F0F">
              <w:rPr>
                <w:rStyle w:val="Hyperlink"/>
                <w:noProof/>
              </w:rPr>
              <w:t>Section 3.4.4 – Low Flow Pre-Rinse Sprayers for Time of Sale/Retail Programs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_Toc405884743 \h </w:instrText>
            </w:r>
            <w:r w:rsidR="00862F0F" w:rsidRPr="00862F0F">
              <w:rPr>
                <w:noProof/>
                <w:webHidden/>
              </w:rPr>
            </w:r>
            <w:r w:rsidR="00862F0F" w:rsidRPr="00862F0F">
              <w:rPr>
                <w:noProof/>
                <w:webHidden/>
              </w:rPr>
              <w:fldChar w:fldCharType="separate"/>
            </w:r>
            <w:r w:rsidR="00A65564">
              <w:rPr>
                <w:noProof/>
                <w:webHidden/>
              </w:rPr>
              <w:t>68</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4" w:history="1">
            <w:r w:rsidR="00862F0F" w:rsidRPr="00862F0F">
              <w:rPr>
                <w:rStyle w:val="Hyperlink"/>
                <w:noProof/>
              </w:rPr>
              <w:t>9.</w:t>
            </w:r>
            <w:r w:rsidR="00862F0F" w:rsidRPr="00862F0F">
              <w:rPr>
                <w:rFonts w:asciiTheme="minorHAnsi" w:eastAsiaTheme="minorEastAsia" w:hAnsiTheme="minorHAnsi" w:cstheme="minorBidi"/>
                <w:noProof/>
                <w:sz w:val="22"/>
                <w:szCs w:val="22"/>
              </w:rPr>
              <w:tab/>
            </w:r>
            <w:r w:rsidR="00862F0F" w:rsidRPr="00862F0F">
              <w:rPr>
                <w:rStyle w:val="Hyperlink"/>
                <w:noProof/>
              </w:rPr>
              <w:t>Section 3.4.5 – Fuel Switching: Electric Resistance Water Heaters to Gas/Oil/Propane</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_Toc405884744 \h </w:instrText>
            </w:r>
            <w:r w:rsidR="00862F0F" w:rsidRPr="00862F0F">
              <w:rPr>
                <w:noProof/>
                <w:webHidden/>
              </w:rPr>
            </w:r>
            <w:r w:rsidR="00862F0F" w:rsidRPr="00862F0F">
              <w:rPr>
                <w:noProof/>
                <w:webHidden/>
              </w:rPr>
              <w:fldChar w:fldCharType="separate"/>
            </w:r>
            <w:r w:rsidR="00A65564">
              <w:rPr>
                <w:noProof/>
                <w:webHidden/>
              </w:rPr>
              <w:t>69</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5" w:history="1">
            <w:r w:rsidR="00862F0F" w:rsidRPr="00862F0F">
              <w:rPr>
                <w:rStyle w:val="Hyperlink"/>
                <w:noProof/>
              </w:rPr>
              <w:t>10.</w:t>
            </w:r>
            <w:r w:rsidR="00862F0F" w:rsidRPr="00862F0F">
              <w:rPr>
                <w:rFonts w:asciiTheme="minorHAnsi" w:eastAsiaTheme="minorEastAsia" w:hAnsiTheme="minorHAnsi" w:cstheme="minorBidi"/>
                <w:noProof/>
                <w:sz w:val="22"/>
                <w:szCs w:val="22"/>
              </w:rPr>
              <w:tab/>
            </w:r>
            <w:r w:rsidR="00862F0F" w:rsidRPr="00862F0F">
              <w:rPr>
                <w:rStyle w:val="Hyperlink"/>
                <w:noProof/>
              </w:rPr>
              <w:t>Section 3.5.2 – High-Efficiency Evaporator Fan Motors for Reach-in Refrigerated Cases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_Toc405884745 \h </w:instrText>
            </w:r>
            <w:r w:rsidR="00862F0F" w:rsidRPr="00862F0F">
              <w:rPr>
                <w:noProof/>
                <w:webHidden/>
              </w:rPr>
            </w:r>
            <w:r w:rsidR="00862F0F" w:rsidRPr="00862F0F">
              <w:rPr>
                <w:noProof/>
                <w:webHidden/>
              </w:rPr>
              <w:fldChar w:fldCharType="separate"/>
            </w:r>
            <w:r w:rsidR="00A65564">
              <w:rPr>
                <w:noProof/>
                <w:webHidden/>
              </w:rPr>
              <w:t>70</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6" w:history="1">
            <w:r w:rsidR="00862F0F" w:rsidRPr="00862F0F">
              <w:rPr>
                <w:rStyle w:val="Hyperlink"/>
                <w:noProof/>
              </w:rPr>
              <w:t>11.</w:t>
            </w:r>
            <w:r w:rsidR="00862F0F" w:rsidRPr="00862F0F">
              <w:rPr>
                <w:rFonts w:asciiTheme="minorHAnsi" w:eastAsiaTheme="minorEastAsia" w:hAnsiTheme="minorHAnsi" w:cstheme="minorBidi"/>
                <w:noProof/>
                <w:sz w:val="22"/>
                <w:szCs w:val="22"/>
              </w:rPr>
              <w:tab/>
            </w:r>
            <w:r w:rsidR="00862F0F" w:rsidRPr="00862F0F">
              <w:rPr>
                <w:rStyle w:val="Hyperlink"/>
                <w:noProof/>
              </w:rPr>
              <w:t>Section 3.5.3 – High-Efficiency Evaporator Fan Motors for Walk-in Refrigerated Cases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_Toc405884746 \h </w:instrText>
            </w:r>
            <w:r w:rsidR="00862F0F" w:rsidRPr="00862F0F">
              <w:rPr>
                <w:noProof/>
                <w:webHidden/>
              </w:rPr>
            </w:r>
            <w:r w:rsidR="00862F0F" w:rsidRPr="00862F0F">
              <w:rPr>
                <w:noProof/>
                <w:webHidden/>
              </w:rPr>
              <w:fldChar w:fldCharType="separate"/>
            </w:r>
            <w:r w:rsidR="00A65564">
              <w:rPr>
                <w:noProof/>
                <w:webHidden/>
              </w:rPr>
              <w:t>71</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7" w:history="1">
            <w:r w:rsidR="00862F0F" w:rsidRPr="00862F0F">
              <w:rPr>
                <w:rStyle w:val="Hyperlink"/>
                <w:noProof/>
              </w:rPr>
              <w:t>12.</w:t>
            </w:r>
            <w:r w:rsidR="00862F0F" w:rsidRPr="00862F0F">
              <w:rPr>
                <w:rFonts w:asciiTheme="minorHAnsi" w:eastAsiaTheme="minorEastAsia" w:hAnsiTheme="minorHAnsi" w:cstheme="minorBidi"/>
                <w:noProof/>
                <w:sz w:val="22"/>
                <w:szCs w:val="22"/>
              </w:rPr>
              <w:tab/>
            </w:r>
            <w:r w:rsidR="00862F0F" w:rsidRPr="00862F0F">
              <w:rPr>
                <w:rStyle w:val="Hyperlink"/>
                <w:noProof/>
              </w:rPr>
              <w:t>Section 3.5.4 – Controls: Evaporator Fan Controllers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_Toc405884747 \h </w:instrText>
            </w:r>
            <w:r w:rsidR="00862F0F" w:rsidRPr="00862F0F">
              <w:rPr>
                <w:noProof/>
                <w:webHidden/>
              </w:rPr>
            </w:r>
            <w:r w:rsidR="00862F0F" w:rsidRPr="00862F0F">
              <w:rPr>
                <w:noProof/>
                <w:webHidden/>
              </w:rPr>
              <w:fldChar w:fldCharType="separate"/>
            </w:r>
            <w:r w:rsidR="00A65564">
              <w:rPr>
                <w:noProof/>
                <w:webHidden/>
              </w:rPr>
              <w:t>72</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8" w:history="1">
            <w:r w:rsidR="00862F0F" w:rsidRPr="00862F0F">
              <w:rPr>
                <w:rStyle w:val="Hyperlink"/>
                <w:noProof/>
              </w:rPr>
              <w:t>13.</w:t>
            </w:r>
            <w:r w:rsidR="00862F0F" w:rsidRPr="00862F0F">
              <w:rPr>
                <w:rFonts w:asciiTheme="minorHAnsi" w:eastAsiaTheme="minorEastAsia" w:hAnsiTheme="minorHAnsi" w:cstheme="minorBidi"/>
                <w:noProof/>
                <w:sz w:val="22"/>
                <w:szCs w:val="22"/>
              </w:rPr>
              <w:tab/>
            </w:r>
            <w:r w:rsidR="00862F0F" w:rsidRPr="00862F0F">
              <w:rPr>
                <w:rStyle w:val="Hyperlink"/>
                <w:noProof/>
              </w:rPr>
              <w:t>Section 3.5.12 – Door Gaskets for Walk-in and Reach-in Coolers and Freezers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_Toc405884748 \h </w:instrText>
            </w:r>
            <w:r w:rsidR="00862F0F" w:rsidRPr="00862F0F">
              <w:rPr>
                <w:noProof/>
                <w:webHidden/>
              </w:rPr>
            </w:r>
            <w:r w:rsidR="00862F0F" w:rsidRPr="00862F0F">
              <w:rPr>
                <w:noProof/>
                <w:webHidden/>
              </w:rPr>
              <w:fldChar w:fldCharType="separate"/>
            </w:r>
            <w:r w:rsidR="00A65564">
              <w:rPr>
                <w:noProof/>
                <w:webHidden/>
              </w:rPr>
              <w:t>73</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49" w:history="1">
            <w:r w:rsidR="00862F0F" w:rsidRPr="00862F0F">
              <w:rPr>
                <w:rStyle w:val="Hyperlink"/>
                <w:noProof/>
              </w:rPr>
              <w:t>14.</w:t>
            </w:r>
            <w:r w:rsidR="00862F0F" w:rsidRPr="00862F0F">
              <w:rPr>
                <w:rFonts w:asciiTheme="minorHAnsi" w:eastAsiaTheme="minorEastAsia" w:hAnsiTheme="minorHAnsi" w:cstheme="minorBidi"/>
                <w:noProof/>
                <w:sz w:val="22"/>
                <w:szCs w:val="22"/>
              </w:rPr>
              <w:tab/>
            </w:r>
            <w:r w:rsidR="00862F0F" w:rsidRPr="00862F0F">
              <w:rPr>
                <w:rStyle w:val="Hyperlink"/>
                <w:noProof/>
              </w:rPr>
              <w:t>Section 3.7.1 – High-Efficiency Ice Machines</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_Toc405884749 \h </w:instrText>
            </w:r>
            <w:r w:rsidR="00862F0F" w:rsidRPr="00862F0F">
              <w:rPr>
                <w:noProof/>
                <w:webHidden/>
              </w:rPr>
            </w:r>
            <w:r w:rsidR="00862F0F" w:rsidRPr="00862F0F">
              <w:rPr>
                <w:noProof/>
                <w:webHidden/>
              </w:rPr>
              <w:fldChar w:fldCharType="separate"/>
            </w:r>
            <w:r w:rsidR="00A65564">
              <w:rPr>
                <w:noProof/>
                <w:webHidden/>
              </w:rPr>
              <w:t>74</w:t>
            </w:r>
            <w:r w:rsidR="00862F0F" w:rsidRPr="00862F0F">
              <w:rPr>
                <w:noProof/>
                <w:webHidden/>
              </w:rPr>
              <w:fldChar w:fldCharType="end"/>
            </w:r>
          </w:hyperlink>
        </w:p>
        <w:p w:rsidR="00862F0F" w:rsidRPr="00862F0F" w:rsidRDefault="003774D2">
          <w:pPr>
            <w:pStyle w:val="TOC3"/>
            <w:tabs>
              <w:tab w:val="left" w:pos="1200"/>
              <w:tab w:val="right" w:leader="dot" w:pos="9350"/>
            </w:tabs>
            <w:rPr>
              <w:rFonts w:asciiTheme="minorHAnsi" w:eastAsiaTheme="minorEastAsia" w:hAnsiTheme="minorHAnsi" w:cstheme="minorBidi"/>
              <w:noProof/>
              <w:sz w:val="22"/>
              <w:szCs w:val="22"/>
            </w:rPr>
          </w:pPr>
          <w:hyperlink w:anchor="_Toc405884750" w:history="1">
            <w:r w:rsidR="00862F0F" w:rsidRPr="00862F0F">
              <w:rPr>
                <w:rStyle w:val="Hyperlink"/>
                <w:noProof/>
              </w:rPr>
              <w:t>15.</w:t>
            </w:r>
            <w:r w:rsidR="00862F0F" w:rsidRPr="00862F0F">
              <w:rPr>
                <w:rFonts w:asciiTheme="minorHAnsi" w:eastAsiaTheme="minorEastAsia" w:hAnsiTheme="minorHAnsi" w:cstheme="minorBidi"/>
                <w:noProof/>
                <w:sz w:val="22"/>
                <w:szCs w:val="22"/>
              </w:rPr>
              <w:tab/>
            </w:r>
            <w:r w:rsidR="00862F0F" w:rsidRPr="00862F0F">
              <w:rPr>
                <w:rStyle w:val="Hyperlink"/>
                <w:noProof/>
              </w:rPr>
              <w:t>Section 3.8.1 – Wall and Ceiling Insulation</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_Toc405884750 \h </w:instrText>
            </w:r>
            <w:r w:rsidR="00862F0F" w:rsidRPr="00862F0F">
              <w:rPr>
                <w:noProof/>
                <w:webHidden/>
              </w:rPr>
            </w:r>
            <w:r w:rsidR="00862F0F" w:rsidRPr="00862F0F">
              <w:rPr>
                <w:noProof/>
                <w:webHidden/>
              </w:rPr>
              <w:fldChar w:fldCharType="separate"/>
            </w:r>
            <w:r w:rsidR="00A65564">
              <w:rPr>
                <w:noProof/>
                <w:webHidden/>
              </w:rPr>
              <w:t>75</w:t>
            </w:r>
            <w:r w:rsidR="00862F0F" w:rsidRPr="00862F0F">
              <w:rPr>
                <w:noProof/>
                <w:webHidden/>
              </w:rPr>
              <w:fldChar w:fldCharType="end"/>
            </w:r>
          </w:hyperlink>
        </w:p>
        <w:p w:rsidR="00862F0F" w:rsidRPr="00862F0F" w:rsidRDefault="003774D2">
          <w:pPr>
            <w:pStyle w:val="TOC2"/>
            <w:tabs>
              <w:tab w:val="right" w:leader="dot" w:pos="9350"/>
            </w:tabs>
            <w:rPr>
              <w:rFonts w:asciiTheme="minorHAnsi" w:eastAsiaTheme="minorEastAsia" w:hAnsiTheme="minorHAnsi" w:cstheme="minorBidi"/>
              <w:sz w:val="22"/>
              <w:szCs w:val="22"/>
            </w:rPr>
          </w:pPr>
          <w:hyperlink w:anchor="_Toc405884751" w:history="1">
            <w:r w:rsidR="00862F0F" w:rsidRPr="00862F0F">
              <w:rPr>
                <w:rStyle w:val="Hyperlink"/>
              </w:rPr>
              <w:t>F.</w:t>
            </w:r>
            <w:r w:rsidR="00862F0F" w:rsidRPr="00862F0F">
              <w:rPr>
                <w:rFonts w:asciiTheme="minorHAnsi" w:eastAsiaTheme="minorEastAsia" w:hAnsiTheme="minorHAnsi" w:cstheme="minorBidi"/>
                <w:sz w:val="22"/>
                <w:szCs w:val="22"/>
              </w:rPr>
              <w:tab/>
            </w:r>
            <w:r w:rsidR="00862F0F" w:rsidRPr="00862F0F">
              <w:rPr>
                <w:rStyle w:val="Hyperlink"/>
              </w:rPr>
              <w:t>Section 5.5 – Appendix E: Lighting Audit and Design Tool for C&amp;I New Construction Projects</w:t>
            </w:r>
            <w:r w:rsidR="00862F0F" w:rsidRPr="00862F0F">
              <w:rPr>
                <w:webHidden/>
              </w:rPr>
              <w:tab/>
            </w:r>
            <w:r w:rsidR="00862F0F" w:rsidRPr="00862F0F">
              <w:rPr>
                <w:webHidden/>
              </w:rPr>
              <w:fldChar w:fldCharType="begin"/>
            </w:r>
            <w:r w:rsidR="00862F0F" w:rsidRPr="00862F0F">
              <w:rPr>
                <w:webHidden/>
              </w:rPr>
              <w:instrText xml:space="preserve"> PAGEREF _Toc405884751 \h </w:instrText>
            </w:r>
            <w:r w:rsidR="00862F0F" w:rsidRPr="00862F0F">
              <w:rPr>
                <w:webHidden/>
              </w:rPr>
            </w:r>
            <w:r w:rsidR="00862F0F" w:rsidRPr="00862F0F">
              <w:rPr>
                <w:webHidden/>
              </w:rPr>
              <w:fldChar w:fldCharType="separate"/>
            </w:r>
            <w:r w:rsidR="00A65564">
              <w:rPr>
                <w:webHidden/>
              </w:rPr>
              <w:t>76</w:t>
            </w:r>
            <w:r w:rsidR="00862F0F" w:rsidRPr="00862F0F">
              <w:rPr>
                <w:webHidden/>
              </w:rPr>
              <w:fldChar w:fldCharType="end"/>
            </w:r>
          </w:hyperlink>
        </w:p>
        <w:p w:rsidR="00862F0F" w:rsidRPr="00862F0F" w:rsidRDefault="003774D2">
          <w:pPr>
            <w:pStyle w:val="TOC2"/>
            <w:tabs>
              <w:tab w:val="left" w:pos="936"/>
              <w:tab w:val="right" w:leader="dot" w:pos="9350"/>
            </w:tabs>
            <w:rPr>
              <w:rFonts w:asciiTheme="minorHAnsi" w:eastAsiaTheme="minorEastAsia" w:hAnsiTheme="minorHAnsi" w:cstheme="minorBidi"/>
              <w:sz w:val="22"/>
              <w:szCs w:val="22"/>
            </w:rPr>
          </w:pPr>
          <w:hyperlink w:anchor="_Toc405884752" w:history="1">
            <w:r w:rsidR="00862F0F" w:rsidRPr="00862F0F">
              <w:rPr>
                <w:rStyle w:val="Hyperlink"/>
              </w:rPr>
              <w:t>G.</w:t>
            </w:r>
            <w:r w:rsidR="00862F0F" w:rsidRPr="00862F0F">
              <w:rPr>
                <w:rFonts w:asciiTheme="minorHAnsi" w:eastAsiaTheme="minorEastAsia" w:hAnsiTheme="minorHAnsi" w:cstheme="minorBidi"/>
                <w:sz w:val="22"/>
                <w:szCs w:val="22"/>
              </w:rPr>
              <w:tab/>
            </w:r>
            <w:r w:rsidR="00862F0F" w:rsidRPr="00862F0F">
              <w:rPr>
                <w:rStyle w:val="Hyperlink"/>
              </w:rPr>
              <w:t>Section 5.6 – Appendix F: Eligibility Requirements for Solid State Lighting Products in Commercial and Industrial Applications</w:t>
            </w:r>
            <w:r w:rsidR="00862F0F" w:rsidRPr="00862F0F">
              <w:rPr>
                <w:webHidden/>
              </w:rPr>
              <w:tab/>
            </w:r>
            <w:r w:rsidR="00862F0F" w:rsidRPr="00862F0F">
              <w:rPr>
                <w:webHidden/>
              </w:rPr>
              <w:fldChar w:fldCharType="begin"/>
            </w:r>
            <w:r w:rsidR="00862F0F" w:rsidRPr="00862F0F">
              <w:rPr>
                <w:webHidden/>
              </w:rPr>
              <w:instrText xml:space="preserve"> PAGEREF _Toc405884752 \h </w:instrText>
            </w:r>
            <w:r w:rsidR="00862F0F" w:rsidRPr="00862F0F">
              <w:rPr>
                <w:webHidden/>
              </w:rPr>
            </w:r>
            <w:r w:rsidR="00862F0F" w:rsidRPr="00862F0F">
              <w:rPr>
                <w:webHidden/>
              </w:rPr>
              <w:fldChar w:fldCharType="separate"/>
            </w:r>
            <w:r w:rsidR="00A65564">
              <w:rPr>
                <w:webHidden/>
              </w:rPr>
              <w:t>77</w:t>
            </w:r>
            <w:r w:rsidR="00862F0F" w:rsidRPr="00862F0F">
              <w:rPr>
                <w:webHidden/>
              </w:rPr>
              <w:fldChar w:fldCharType="end"/>
            </w:r>
          </w:hyperlink>
        </w:p>
        <w:p w:rsidR="00862F0F" w:rsidRPr="00862F0F" w:rsidRDefault="003774D2">
          <w:pPr>
            <w:pStyle w:val="TOC2"/>
            <w:tabs>
              <w:tab w:val="left" w:pos="936"/>
              <w:tab w:val="right" w:leader="dot" w:pos="9350"/>
            </w:tabs>
            <w:rPr>
              <w:rFonts w:asciiTheme="minorHAnsi" w:eastAsiaTheme="minorEastAsia" w:hAnsiTheme="minorHAnsi" w:cstheme="minorBidi"/>
              <w:sz w:val="22"/>
              <w:szCs w:val="22"/>
            </w:rPr>
          </w:pPr>
          <w:hyperlink w:anchor="_Toc405884753" w:history="1">
            <w:r w:rsidR="00862F0F" w:rsidRPr="00862F0F">
              <w:rPr>
                <w:rStyle w:val="Hyperlink"/>
              </w:rPr>
              <w:t>H.</w:t>
            </w:r>
            <w:r w:rsidR="00862F0F" w:rsidRPr="00862F0F">
              <w:rPr>
                <w:rFonts w:asciiTheme="minorHAnsi" w:eastAsiaTheme="minorEastAsia" w:hAnsiTheme="minorHAnsi" w:cstheme="minorBidi"/>
                <w:sz w:val="22"/>
                <w:szCs w:val="22"/>
              </w:rPr>
              <w:tab/>
            </w:r>
            <w:r w:rsidR="00862F0F" w:rsidRPr="00862F0F">
              <w:rPr>
                <w:rStyle w:val="Hyperlink"/>
              </w:rPr>
              <w:t>Application of the TRM</w:t>
            </w:r>
            <w:r w:rsidR="00862F0F" w:rsidRPr="00862F0F">
              <w:rPr>
                <w:webHidden/>
              </w:rPr>
              <w:tab/>
            </w:r>
            <w:r w:rsidR="00862F0F" w:rsidRPr="00862F0F">
              <w:rPr>
                <w:webHidden/>
              </w:rPr>
              <w:fldChar w:fldCharType="begin"/>
            </w:r>
            <w:r w:rsidR="00862F0F" w:rsidRPr="00862F0F">
              <w:rPr>
                <w:webHidden/>
              </w:rPr>
              <w:instrText xml:space="preserve"> PAGEREF _Toc405884753 \h </w:instrText>
            </w:r>
            <w:r w:rsidR="00862F0F" w:rsidRPr="00862F0F">
              <w:rPr>
                <w:webHidden/>
              </w:rPr>
            </w:r>
            <w:r w:rsidR="00862F0F" w:rsidRPr="00862F0F">
              <w:rPr>
                <w:webHidden/>
              </w:rPr>
              <w:fldChar w:fldCharType="separate"/>
            </w:r>
            <w:r w:rsidR="00A65564">
              <w:rPr>
                <w:webHidden/>
              </w:rPr>
              <w:t>78</w:t>
            </w:r>
            <w:r w:rsidR="00862F0F" w:rsidRPr="00862F0F">
              <w:rPr>
                <w:webHidden/>
              </w:rPr>
              <w:fldChar w:fldCharType="end"/>
            </w:r>
          </w:hyperlink>
        </w:p>
        <w:p w:rsidR="00862F0F" w:rsidRPr="00862F0F" w:rsidRDefault="003774D2">
          <w:pPr>
            <w:pStyle w:val="TOC1"/>
            <w:tabs>
              <w:tab w:val="right" w:leader="dot" w:pos="9350"/>
            </w:tabs>
            <w:rPr>
              <w:rFonts w:asciiTheme="minorHAnsi" w:eastAsiaTheme="minorEastAsia" w:hAnsiTheme="minorHAnsi" w:cstheme="minorBidi"/>
              <w:caps w:val="0"/>
              <w:noProof/>
              <w:sz w:val="22"/>
              <w:szCs w:val="22"/>
            </w:rPr>
          </w:pPr>
          <w:hyperlink w:anchor="_Toc405884754" w:history="1">
            <w:r w:rsidR="00862F0F" w:rsidRPr="00862F0F">
              <w:rPr>
                <w:rStyle w:val="Hyperlink"/>
                <w:noProof/>
              </w:rPr>
              <w:t>CONCLUSION</w:t>
            </w:r>
            <w:r w:rsidR="00862F0F" w:rsidRPr="00862F0F">
              <w:rPr>
                <w:noProof/>
                <w:webHidden/>
              </w:rPr>
              <w:tab/>
            </w:r>
            <w:r w:rsidR="00862F0F" w:rsidRPr="00862F0F">
              <w:rPr>
                <w:noProof/>
                <w:webHidden/>
              </w:rPr>
              <w:fldChar w:fldCharType="begin"/>
            </w:r>
            <w:r w:rsidR="00862F0F" w:rsidRPr="00862F0F">
              <w:rPr>
                <w:noProof/>
                <w:webHidden/>
              </w:rPr>
              <w:instrText xml:space="preserve"> PAGEREF _Toc405884754 \h </w:instrText>
            </w:r>
            <w:r w:rsidR="00862F0F" w:rsidRPr="00862F0F">
              <w:rPr>
                <w:noProof/>
                <w:webHidden/>
              </w:rPr>
            </w:r>
            <w:r w:rsidR="00862F0F" w:rsidRPr="00862F0F">
              <w:rPr>
                <w:noProof/>
                <w:webHidden/>
              </w:rPr>
              <w:fldChar w:fldCharType="separate"/>
            </w:r>
            <w:r w:rsidR="00A65564">
              <w:rPr>
                <w:noProof/>
                <w:webHidden/>
              </w:rPr>
              <w:t>81</w:t>
            </w:r>
            <w:r w:rsidR="00862F0F" w:rsidRPr="00862F0F">
              <w:rPr>
                <w:noProof/>
                <w:webHidden/>
              </w:rPr>
              <w:fldChar w:fldCharType="end"/>
            </w:r>
          </w:hyperlink>
        </w:p>
        <w:p w:rsidR="00862F0F" w:rsidRDefault="00862F0F">
          <w:r w:rsidRPr="00862F0F">
            <w:rPr>
              <w:bCs/>
              <w:noProof/>
              <w:szCs w:val="26"/>
            </w:rPr>
            <w:fldChar w:fldCharType="end"/>
          </w:r>
        </w:p>
      </w:sdtContent>
    </w:sdt>
    <w:p w:rsidR="001E57C4" w:rsidRDefault="001E57C4">
      <w:pPr>
        <w:overflowPunct/>
        <w:autoSpaceDE/>
        <w:autoSpaceDN/>
        <w:adjustRightInd/>
        <w:spacing w:line="240" w:lineRule="auto"/>
        <w:jc w:val="left"/>
        <w:rPr>
          <w:b/>
          <w:szCs w:val="26"/>
        </w:rPr>
      </w:pPr>
      <w:r>
        <w:rPr>
          <w:b/>
          <w:szCs w:val="26"/>
        </w:rPr>
        <w:br w:type="page"/>
      </w:r>
    </w:p>
    <w:p w:rsidR="00FA4295" w:rsidRPr="0098410B" w:rsidRDefault="00FA4295" w:rsidP="001B6469">
      <w:pPr>
        <w:overflowPunct/>
        <w:autoSpaceDE/>
        <w:autoSpaceDN/>
        <w:adjustRightInd/>
        <w:jc w:val="left"/>
        <w:rPr>
          <w:b/>
          <w:szCs w:val="26"/>
        </w:rPr>
      </w:pPr>
      <w:r w:rsidRPr="0098410B">
        <w:rPr>
          <w:b/>
          <w:szCs w:val="26"/>
        </w:rPr>
        <w:lastRenderedPageBreak/>
        <w:t>BY THE COMMISSION:</w:t>
      </w:r>
    </w:p>
    <w:p w:rsidR="00FA4295" w:rsidRPr="0098410B" w:rsidRDefault="00FA4295" w:rsidP="001B6469">
      <w:pPr>
        <w:pStyle w:val="p3"/>
        <w:jc w:val="left"/>
        <w:rPr>
          <w:b/>
          <w:szCs w:val="26"/>
        </w:rPr>
      </w:pPr>
    </w:p>
    <w:p w:rsidR="00944AD5" w:rsidRPr="0098410B" w:rsidRDefault="00FA4295" w:rsidP="00014449">
      <w:pPr>
        <w:pStyle w:val="p3"/>
        <w:tabs>
          <w:tab w:val="clear" w:pos="204"/>
          <w:tab w:val="left" w:pos="720"/>
        </w:tabs>
        <w:ind w:firstLine="720"/>
        <w:jc w:val="left"/>
        <w:rPr>
          <w:szCs w:val="26"/>
        </w:rPr>
      </w:pPr>
      <w:r w:rsidRPr="0098410B">
        <w:rPr>
          <w:szCs w:val="26"/>
        </w:rPr>
        <w:t>As explained in our Order, entered June 1, 2009</w:t>
      </w:r>
      <w:r w:rsidR="0022753D" w:rsidRPr="0098410B">
        <w:rPr>
          <w:szCs w:val="26"/>
        </w:rPr>
        <w:t>,</w:t>
      </w:r>
      <w:r w:rsidRPr="0098410B">
        <w:rPr>
          <w:szCs w:val="26"/>
        </w:rPr>
        <w:t xml:space="preserve"> at </w:t>
      </w:r>
      <w:r w:rsidR="000C216F" w:rsidRPr="0098410B">
        <w:rPr>
          <w:szCs w:val="26"/>
        </w:rPr>
        <w:t>Docket No. M-00051865</w:t>
      </w:r>
      <w:r w:rsidRPr="0098410B">
        <w:rPr>
          <w:szCs w:val="26"/>
        </w:rPr>
        <w:t xml:space="preserve">, in implementing the Alternative Energy Portfolio Standards Act </w:t>
      </w:r>
      <w:r w:rsidR="003036C1" w:rsidRPr="0098410B">
        <w:rPr>
          <w:szCs w:val="26"/>
        </w:rPr>
        <w:t>(AEPS Act</w:t>
      </w:r>
      <w:r w:rsidR="00EE2777" w:rsidRPr="0098410B">
        <w:rPr>
          <w:szCs w:val="26"/>
        </w:rPr>
        <w:t>), 73 P.S. §§ 1648.1</w:t>
      </w:r>
      <w:r w:rsidR="00EE2777" w:rsidRPr="0098410B">
        <w:rPr>
          <w:szCs w:val="26"/>
        </w:rPr>
        <w:noBreakHyphen/>
      </w:r>
      <w:r w:rsidRPr="0098410B">
        <w:rPr>
          <w:szCs w:val="26"/>
        </w:rPr>
        <w:t>1648.8</w:t>
      </w:r>
      <w:r w:rsidR="000C216F" w:rsidRPr="0098410B">
        <w:rPr>
          <w:szCs w:val="26"/>
        </w:rPr>
        <w:t xml:space="preserve"> and 66 Pa.</w:t>
      </w:r>
      <w:r w:rsidR="00125540">
        <w:rPr>
          <w:szCs w:val="26"/>
        </w:rPr>
        <w:t xml:space="preserve"> </w:t>
      </w:r>
      <w:r w:rsidR="000C216F" w:rsidRPr="0098410B">
        <w:rPr>
          <w:szCs w:val="26"/>
        </w:rPr>
        <w:t>C.S. § 2814</w:t>
      </w:r>
      <w:r w:rsidRPr="0098410B">
        <w:rPr>
          <w:szCs w:val="26"/>
        </w:rPr>
        <w:t>,</w:t>
      </w:r>
      <w:r w:rsidRPr="0098410B">
        <w:rPr>
          <w:b/>
          <w:szCs w:val="26"/>
        </w:rPr>
        <w:t xml:space="preserve"> </w:t>
      </w:r>
      <w:r w:rsidRPr="0098410B">
        <w:rPr>
          <w:szCs w:val="26"/>
        </w:rPr>
        <w:t xml:space="preserve">this Commission had adopted an </w:t>
      </w:r>
      <w:r w:rsidRPr="0098410B">
        <w:rPr>
          <w:i/>
          <w:szCs w:val="26"/>
        </w:rPr>
        <w:t>Energy</w:t>
      </w:r>
      <w:r w:rsidRPr="0098410B">
        <w:rPr>
          <w:i/>
          <w:szCs w:val="26"/>
        </w:rPr>
        <w:noBreakHyphen/>
        <w:t xml:space="preserve">Efficiency and DSM Rules for Pennsylvania’s Alternative Energy Portfolio Standard, Technical Reference Manual </w:t>
      </w:r>
      <w:r w:rsidR="003036C1" w:rsidRPr="0098410B">
        <w:rPr>
          <w:szCs w:val="26"/>
        </w:rPr>
        <w:t>(TRM</w:t>
      </w:r>
      <w:r w:rsidRPr="0098410B">
        <w:rPr>
          <w:szCs w:val="26"/>
        </w:rPr>
        <w:t>).</w:t>
      </w:r>
      <w:r w:rsidRPr="0098410B">
        <w:rPr>
          <w:rStyle w:val="FootnoteReference"/>
          <w:szCs w:val="26"/>
        </w:rPr>
        <w:footnoteReference w:id="2"/>
      </w:r>
      <w:r w:rsidRPr="0098410B">
        <w:rPr>
          <w:szCs w:val="26"/>
        </w:rPr>
        <w:t xml:space="preserve">  In adopting the original version of the TRM, this Commission directed </w:t>
      </w:r>
      <w:r w:rsidR="003036C1" w:rsidRPr="0098410B">
        <w:rPr>
          <w:szCs w:val="26"/>
        </w:rPr>
        <w:t>its</w:t>
      </w:r>
      <w:r w:rsidRPr="0098410B">
        <w:rPr>
          <w:szCs w:val="26"/>
        </w:rPr>
        <w:t xml:space="preserve"> Bureau of Conservation, </w:t>
      </w:r>
      <w:r w:rsidR="003036C1" w:rsidRPr="0098410B">
        <w:rPr>
          <w:szCs w:val="26"/>
        </w:rPr>
        <w:t>Economics and Energy Planning (CEEP</w:t>
      </w:r>
      <w:r w:rsidRPr="0098410B">
        <w:rPr>
          <w:szCs w:val="26"/>
        </w:rPr>
        <w:t>)</w:t>
      </w:r>
      <w:r w:rsidR="002F035F" w:rsidRPr="0098410B">
        <w:rPr>
          <w:rStyle w:val="FootnoteReference"/>
          <w:szCs w:val="26"/>
        </w:rPr>
        <w:footnoteReference w:id="3"/>
      </w:r>
      <w:r w:rsidRPr="0098410B">
        <w:rPr>
          <w:szCs w:val="26"/>
        </w:rPr>
        <w:t xml:space="preserve"> to oversee the implementation, maintenance and periodic updating of the TRM.</w:t>
      </w:r>
      <w:r w:rsidRPr="0098410B">
        <w:rPr>
          <w:rStyle w:val="FootnoteReference"/>
          <w:szCs w:val="26"/>
        </w:rPr>
        <w:footnoteReference w:id="4"/>
      </w:r>
      <w:r w:rsidRPr="0098410B">
        <w:rPr>
          <w:szCs w:val="26"/>
        </w:rPr>
        <w:t xml:space="preserve">  Additionally, in </w:t>
      </w:r>
      <w:r w:rsidR="003036C1" w:rsidRPr="0098410B">
        <w:rPr>
          <w:szCs w:val="26"/>
        </w:rPr>
        <w:t>the</w:t>
      </w:r>
      <w:r w:rsidRPr="0098410B">
        <w:rPr>
          <w:szCs w:val="26"/>
        </w:rPr>
        <w:t xml:space="preserve"> </w:t>
      </w:r>
      <w:r w:rsidRPr="0098410B">
        <w:rPr>
          <w:i/>
          <w:szCs w:val="26"/>
        </w:rPr>
        <w:t xml:space="preserve">Energy Efficiency and Conservation Program </w:t>
      </w:r>
      <w:r w:rsidRPr="0098410B">
        <w:rPr>
          <w:szCs w:val="26"/>
        </w:rPr>
        <w:t>Implementation Order</w:t>
      </w:r>
      <w:r w:rsidR="003036C1" w:rsidRPr="0098410B">
        <w:rPr>
          <w:szCs w:val="26"/>
        </w:rPr>
        <w:t xml:space="preserve"> for Phase I of Act 129’s Energy Efficiency and Conservation (EE&amp;C) Program</w:t>
      </w:r>
      <w:r w:rsidRPr="0098410B">
        <w:rPr>
          <w:szCs w:val="26"/>
        </w:rPr>
        <w:t>,</w:t>
      </w:r>
      <w:r w:rsidRPr="0098410B">
        <w:rPr>
          <w:rStyle w:val="FootnoteReference"/>
          <w:szCs w:val="26"/>
        </w:rPr>
        <w:footnoteReference w:id="5"/>
      </w:r>
      <w:r w:rsidRPr="0098410B">
        <w:rPr>
          <w:szCs w:val="26"/>
        </w:rPr>
        <w:t xml:space="preserve"> this Commission adopted the TRM as a component of the </w:t>
      </w:r>
      <w:r w:rsidR="003036C1" w:rsidRPr="0098410B">
        <w:rPr>
          <w:szCs w:val="26"/>
        </w:rPr>
        <w:t>EE&amp;C</w:t>
      </w:r>
      <w:r w:rsidRPr="0098410B">
        <w:rPr>
          <w:szCs w:val="26"/>
        </w:rPr>
        <w:t xml:space="preserve"> Program evaluation process.  In that </w:t>
      </w:r>
      <w:r w:rsidR="000C216F" w:rsidRPr="0098410B">
        <w:rPr>
          <w:szCs w:val="26"/>
        </w:rPr>
        <w:t xml:space="preserve">Phase I </w:t>
      </w:r>
      <w:r w:rsidRPr="0098410B">
        <w:rPr>
          <w:szCs w:val="26"/>
        </w:rPr>
        <w:t>Implementation Order, this Commission also noted that “as the TRM was initially created to fulfill requirements of the AEPS Act, it will need to be updated and expanded to fulfill the requirements of the EE&amp;C provisions of Act 129.”</w:t>
      </w:r>
      <w:r w:rsidRPr="0098410B">
        <w:rPr>
          <w:rStyle w:val="FootnoteReference"/>
          <w:szCs w:val="26"/>
        </w:rPr>
        <w:footnoteReference w:id="6"/>
      </w:r>
      <w:r w:rsidRPr="0098410B">
        <w:rPr>
          <w:szCs w:val="26"/>
        </w:rPr>
        <w:t xml:space="preserve">  </w:t>
      </w:r>
    </w:p>
    <w:p w:rsidR="00944AD5" w:rsidRPr="0098410B" w:rsidRDefault="00944AD5" w:rsidP="001B6469">
      <w:pPr>
        <w:pStyle w:val="p3"/>
        <w:tabs>
          <w:tab w:val="clear" w:pos="204"/>
          <w:tab w:val="left" w:pos="720"/>
        </w:tabs>
        <w:ind w:firstLine="720"/>
        <w:jc w:val="left"/>
        <w:rPr>
          <w:szCs w:val="26"/>
        </w:rPr>
      </w:pPr>
    </w:p>
    <w:p w:rsidR="003036C1" w:rsidRPr="0098410B" w:rsidRDefault="00FA4295" w:rsidP="009B2FB7">
      <w:pPr>
        <w:pStyle w:val="p3"/>
        <w:tabs>
          <w:tab w:val="clear" w:pos="204"/>
          <w:tab w:val="left" w:pos="720"/>
        </w:tabs>
        <w:ind w:firstLine="720"/>
        <w:jc w:val="left"/>
        <w:rPr>
          <w:szCs w:val="26"/>
        </w:rPr>
      </w:pPr>
      <w:r w:rsidRPr="0098410B">
        <w:rPr>
          <w:szCs w:val="26"/>
        </w:rPr>
        <w:t xml:space="preserve">Soon after the adoption of the EE&amp;C Program </w:t>
      </w:r>
      <w:r w:rsidR="00944AD5" w:rsidRPr="0098410B">
        <w:rPr>
          <w:szCs w:val="26"/>
        </w:rPr>
        <w:t xml:space="preserve">Phase I </w:t>
      </w:r>
      <w:r w:rsidRPr="0098410B">
        <w:rPr>
          <w:szCs w:val="26"/>
        </w:rPr>
        <w:t xml:space="preserve">Implementation Order, Commission staff initiated a collaborative process to review and update the TRM with the purpose of supporting both the AEPS Act and the Act 129 EE&amp;C program that </w:t>
      </w:r>
      <w:r w:rsidRPr="0098410B">
        <w:rPr>
          <w:szCs w:val="26"/>
        </w:rPr>
        <w:lastRenderedPageBreak/>
        <w:t>culminated in the adoption of the 2009 TRM at the May 28, 2009 Public Meeting.</w:t>
      </w:r>
      <w:r w:rsidRPr="0098410B">
        <w:rPr>
          <w:rStyle w:val="FootnoteReference"/>
          <w:szCs w:val="26"/>
        </w:rPr>
        <w:footnoteReference w:id="7"/>
      </w:r>
      <w:r w:rsidRPr="0098410B">
        <w:rPr>
          <w:szCs w:val="26"/>
        </w:rPr>
        <w:t xml:space="preserve">  In adopting the 2009 TRM, the Commission recognized the importance of updating the TRM on an annual basis.</w:t>
      </w:r>
      <w:r w:rsidRPr="0098410B">
        <w:rPr>
          <w:rStyle w:val="FootnoteReference"/>
          <w:szCs w:val="26"/>
        </w:rPr>
        <w:footnoteReference w:id="8"/>
      </w:r>
      <w:r w:rsidR="003036C1" w:rsidRPr="0098410B">
        <w:rPr>
          <w:szCs w:val="26"/>
        </w:rPr>
        <w:t xml:space="preserve"> </w:t>
      </w:r>
    </w:p>
    <w:p w:rsidR="003036C1" w:rsidRPr="0098410B" w:rsidRDefault="003036C1" w:rsidP="001B6469">
      <w:pPr>
        <w:pStyle w:val="p3"/>
        <w:tabs>
          <w:tab w:val="clear" w:pos="204"/>
          <w:tab w:val="left" w:pos="720"/>
        </w:tabs>
        <w:ind w:firstLine="720"/>
        <w:jc w:val="left"/>
        <w:rPr>
          <w:szCs w:val="26"/>
        </w:rPr>
      </w:pPr>
    </w:p>
    <w:p w:rsidR="00FA4295" w:rsidRPr="0098410B" w:rsidRDefault="003036C1" w:rsidP="001B6469">
      <w:pPr>
        <w:pStyle w:val="p3"/>
        <w:tabs>
          <w:tab w:val="clear" w:pos="204"/>
          <w:tab w:val="left" w:pos="720"/>
        </w:tabs>
        <w:ind w:firstLine="720"/>
        <w:jc w:val="left"/>
        <w:rPr>
          <w:szCs w:val="26"/>
        </w:rPr>
      </w:pPr>
      <w:r w:rsidRPr="0098410B">
        <w:rPr>
          <w:szCs w:val="26"/>
        </w:rPr>
        <w:t>With regard to Phase II of the Act 129 EE&amp;C Program, the Commission again adopted the TRM as a component of the EE&amp;C Program evaluation process.</w:t>
      </w:r>
      <w:r w:rsidRPr="0098410B">
        <w:rPr>
          <w:rStyle w:val="FootnoteReference"/>
          <w:szCs w:val="26"/>
        </w:rPr>
        <w:footnoteReference w:id="9"/>
      </w:r>
      <w:r w:rsidRPr="0098410B">
        <w:rPr>
          <w:szCs w:val="26"/>
        </w:rPr>
        <w:t xml:space="preserve">  </w:t>
      </w:r>
      <w:r w:rsidR="006704B1" w:rsidRPr="0098410B">
        <w:rPr>
          <w:szCs w:val="26"/>
        </w:rPr>
        <w:t xml:space="preserve">The </w:t>
      </w:r>
      <w:r w:rsidR="006704B1" w:rsidRPr="0098410B">
        <w:rPr>
          <w:i/>
          <w:szCs w:val="26"/>
        </w:rPr>
        <w:t>Phase II Implementation Order</w:t>
      </w:r>
      <w:r w:rsidR="006704B1" w:rsidRPr="0098410B">
        <w:rPr>
          <w:szCs w:val="26"/>
        </w:rPr>
        <w:t xml:space="preserve"> also recognized the importance of </w:t>
      </w:r>
      <w:r w:rsidR="008601DF" w:rsidRPr="0098410B">
        <w:rPr>
          <w:szCs w:val="26"/>
        </w:rPr>
        <w:t>the continued</w:t>
      </w:r>
      <w:r w:rsidR="006704B1" w:rsidRPr="0098410B">
        <w:rPr>
          <w:szCs w:val="26"/>
        </w:rPr>
        <w:t xml:space="preserve"> use of an annual updating process for the TRM.</w:t>
      </w:r>
      <w:r w:rsidR="006704B1" w:rsidRPr="0098410B">
        <w:rPr>
          <w:rStyle w:val="FootnoteReference"/>
          <w:szCs w:val="26"/>
        </w:rPr>
        <w:footnoteReference w:id="10"/>
      </w:r>
      <w:r w:rsidR="006704B1" w:rsidRPr="0098410B">
        <w:rPr>
          <w:szCs w:val="26"/>
        </w:rPr>
        <w:t xml:space="preserve">  </w:t>
      </w:r>
      <w:r w:rsidR="00FA4295" w:rsidRPr="0098410B">
        <w:rPr>
          <w:szCs w:val="26"/>
        </w:rPr>
        <w:t xml:space="preserve">With this </w:t>
      </w:r>
      <w:r w:rsidR="002A23FB">
        <w:rPr>
          <w:szCs w:val="26"/>
        </w:rPr>
        <w:t>Final</w:t>
      </w:r>
      <w:r w:rsidR="00E668F6" w:rsidRPr="0098410B">
        <w:rPr>
          <w:szCs w:val="26"/>
        </w:rPr>
        <w:t xml:space="preserve"> </w:t>
      </w:r>
      <w:r w:rsidR="00FA4295" w:rsidRPr="0098410B">
        <w:rPr>
          <w:szCs w:val="26"/>
        </w:rPr>
        <w:t xml:space="preserve">Order, the Commission </w:t>
      </w:r>
      <w:r w:rsidR="00E668F6" w:rsidRPr="0098410B">
        <w:rPr>
          <w:szCs w:val="26"/>
        </w:rPr>
        <w:t>advances</w:t>
      </w:r>
      <w:r w:rsidR="00FA4295" w:rsidRPr="0098410B">
        <w:rPr>
          <w:szCs w:val="26"/>
        </w:rPr>
        <w:t xml:space="preserve"> the </w:t>
      </w:r>
      <w:r w:rsidR="0022753D" w:rsidRPr="0098410B">
        <w:rPr>
          <w:szCs w:val="26"/>
        </w:rPr>
        <w:t>sixth</w:t>
      </w:r>
      <w:r w:rsidR="00FA4295" w:rsidRPr="0098410B">
        <w:rPr>
          <w:szCs w:val="26"/>
        </w:rPr>
        <w:t xml:space="preserve"> annual update of the TRM to be applied beginning with the 201</w:t>
      </w:r>
      <w:r w:rsidR="0022753D" w:rsidRPr="0098410B">
        <w:rPr>
          <w:szCs w:val="26"/>
        </w:rPr>
        <w:t>5</w:t>
      </w:r>
      <w:r w:rsidR="00FA4295" w:rsidRPr="0098410B">
        <w:rPr>
          <w:szCs w:val="26"/>
        </w:rPr>
        <w:noBreakHyphen/>
        <w:t>201</w:t>
      </w:r>
      <w:r w:rsidR="0022753D" w:rsidRPr="0098410B">
        <w:rPr>
          <w:szCs w:val="26"/>
        </w:rPr>
        <w:t>6</w:t>
      </w:r>
      <w:r w:rsidR="00FA4295" w:rsidRPr="0098410B">
        <w:rPr>
          <w:szCs w:val="26"/>
        </w:rPr>
        <w:t xml:space="preserve"> AEPS Act and Act 12</w:t>
      </w:r>
      <w:r w:rsidR="00E668F6" w:rsidRPr="0098410B">
        <w:rPr>
          <w:szCs w:val="26"/>
        </w:rPr>
        <w:t xml:space="preserve">9 EE&amp;C </w:t>
      </w:r>
      <w:r w:rsidR="006704B1" w:rsidRPr="0098410B">
        <w:rPr>
          <w:szCs w:val="26"/>
        </w:rPr>
        <w:t>P</w:t>
      </w:r>
      <w:r w:rsidR="00E668F6" w:rsidRPr="0098410B">
        <w:rPr>
          <w:szCs w:val="26"/>
        </w:rPr>
        <w:t>rogram</w:t>
      </w:r>
      <w:r w:rsidR="006704B1" w:rsidRPr="0098410B">
        <w:rPr>
          <w:szCs w:val="26"/>
        </w:rPr>
        <w:t xml:space="preserve"> Phase II</w:t>
      </w:r>
      <w:r w:rsidR="00E668F6" w:rsidRPr="0098410B">
        <w:rPr>
          <w:szCs w:val="26"/>
        </w:rPr>
        <w:t xml:space="preserve"> compliance year</w:t>
      </w:r>
      <w:r w:rsidR="00FA4295" w:rsidRPr="0098410B">
        <w:rPr>
          <w:szCs w:val="26"/>
        </w:rPr>
        <w:t>.</w:t>
      </w:r>
    </w:p>
    <w:p w:rsidR="008601DF" w:rsidRPr="0098410B" w:rsidRDefault="008601DF" w:rsidP="001B6469">
      <w:pPr>
        <w:pStyle w:val="p3"/>
        <w:tabs>
          <w:tab w:val="clear" w:pos="204"/>
          <w:tab w:val="left" w:pos="720"/>
        </w:tabs>
        <w:jc w:val="left"/>
        <w:rPr>
          <w:szCs w:val="26"/>
        </w:rPr>
      </w:pPr>
    </w:p>
    <w:p w:rsidR="00FA4295" w:rsidRPr="0098410B" w:rsidRDefault="00FA4295" w:rsidP="001278AC">
      <w:pPr>
        <w:pStyle w:val="p3"/>
        <w:tabs>
          <w:tab w:val="clear" w:pos="204"/>
          <w:tab w:val="left" w:pos="720"/>
        </w:tabs>
        <w:jc w:val="center"/>
        <w:outlineLvl w:val="0"/>
        <w:rPr>
          <w:b/>
          <w:szCs w:val="26"/>
        </w:rPr>
      </w:pPr>
      <w:bookmarkStart w:id="0" w:name="_Toc334174988"/>
      <w:bookmarkStart w:id="1" w:name="_Toc364755743"/>
      <w:bookmarkStart w:id="2" w:name="_Toc394648162"/>
      <w:bookmarkStart w:id="3" w:name="_Toc405802365"/>
      <w:bookmarkStart w:id="4" w:name="_Toc405884695"/>
      <w:r w:rsidRPr="0098410B">
        <w:rPr>
          <w:b/>
          <w:szCs w:val="26"/>
        </w:rPr>
        <w:t>BACKGROUND</w:t>
      </w:r>
      <w:bookmarkEnd w:id="0"/>
      <w:bookmarkEnd w:id="1"/>
      <w:bookmarkEnd w:id="2"/>
      <w:bookmarkEnd w:id="3"/>
      <w:bookmarkEnd w:id="4"/>
    </w:p>
    <w:p w:rsidR="00FA4295" w:rsidRPr="0098410B" w:rsidRDefault="00FA4295" w:rsidP="001B6469">
      <w:pPr>
        <w:pStyle w:val="p3"/>
        <w:tabs>
          <w:tab w:val="clear" w:pos="204"/>
          <w:tab w:val="left" w:pos="720"/>
        </w:tabs>
        <w:jc w:val="left"/>
        <w:rPr>
          <w:b/>
          <w:szCs w:val="26"/>
        </w:rPr>
      </w:pPr>
    </w:p>
    <w:p w:rsidR="00FA4295" w:rsidRPr="0098410B" w:rsidRDefault="00FA4295" w:rsidP="001B6469">
      <w:pPr>
        <w:pStyle w:val="p3"/>
        <w:tabs>
          <w:tab w:val="clear" w:pos="204"/>
          <w:tab w:val="left" w:pos="720"/>
        </w:tabs>
        <w:ind w:firstLine="720"/>
        <w:jc w:val="left"/>
        <w:rPr>
          <w:szCs w:val="26"/>
        </w:rPr>
      </w:pPr>
      <w:r w:rsidRPr="0098410B">
        <w:rPr>
          <w:szCs w:val="26"/>
        </w:rPr>
        <w:t xml:space="preserve">Act 129 of 2008, P.L. 1592, specifically directed this Commission to establish an evaluation process that monitors and verifies data collection, quality assurance and the results of each </w:t>
      </w:r>
      <w:r w:rsidR="002A70B2" w:rsidRPr="0098410B">
        <w:rPr>
          <w:szCs w:val="26"/>
        </w:rPr>
        <w:t>electric distribution company’s (</w:t>
      </w:r>
      <w:r w:rsidRPr="0098410B">
        <w:rPr>
          <w:szCs w:val="26"/>
        </w:rPr>
        <w:t>EDC</w:t>
      </w:r>
      <w:r w:rsidR="002A70B2" w:rsidRPr="0098410B">
        <w:rPr>
          <w:szCs w:val="26"/>
        </w:rPr>
        <w:t>)</w:t>
      </w:r>
      <w:r w:rsidRPr="0098410B">
        <w:rPr>
          <w:szCs w:val="26"/>
        </w:rPr>
        <w:t xml:space="preserve"> EE&amp;C plan and the EE&amp;C program as a whole.  </w:t>
      </w:r>
      <w:r w:rsidRPr="0098410B">
        <w:rPr>
          <w:i/>
          <w:szCs w:val="26"/>
        </w:rPr>
        <w:t>See</w:t>
      </w:r>
      <w:r w:rsidRPr="0098410B">
        <w:rPr>
          <w:szCs w:val="26"/>
        </w:rPr>
        <w:t xml:space="preserve"> 66 Pa. C.S. § 2806.1(a)(2).  To assist in meeting this obligation, the Commission contracted with GDS Associates, Inc. in August 2009</w:t>
      </w:r>
      <w:r w:rsidR="00177AB5" w:rsidRPr="0098410B">
        <w:rPr>
          <w:szCs w:val="26"/>
        </w:rPr>
        <w:t xml:space="preserve"> and again in February 2013</w:t>
      </w:r>
      <w:r w:rsidRPr="0098410B">
        <w:rPr>
          <w:szCs w:val="26"/>
        </w:rPr>
        <w:t>, to perform these duties as the Act 129 Statewide Evaluator (SWE).  As part of its duties</w:t>
      </w:r>
      <w:r w:rsidR="00DE2990" w:rsidRPr="0098410B">
        <w:rPr>
          <w:szCs w:val="26"/>
        </w:rPr>
        <w:t>, the SWE</w:t>
      </w:r>
      <w:r w:rsidRPr="0098410B">
        <w:rPr>
          <w:szCs w:val="26"/>
        </w:rPr>
        <w:t xml:space="preserve"> is to review the TRM and the Total Resource Cost</w:t>
      </w:r>
      <w:r w:rsidR="004D4546" w:rsidRPr="0098410B">
        <w:rPr>
          <w:szCs w:val="26"/>
        </w:rPr>
        <w:t xml:space="preserve"> </w:t>
      </w:r>
      <w:r w:rsidRPr="0098410B">
        <w:rPr>
          <w:szCs w:val="26"/>
        </w:rPr>
        <w:t xml:space="preserve">Test Manual </w:t>
      </w:r>
      <w:r w:rsidR="007365CB" w:rsidRPr="0098410B">
        <w:rPr>
          <w:szCs w:val="26"/>
        </w:rPr>
        <w:t xml:space="preserve">(TRC) </w:t>
      </w:r>
      <w:r w:rsidRPr="0098410B">
        <w:rPr>
          <w:szCs w:val="26"/>
        </w:rPr>
        <w:t xml:space="preserve">and to provide suggestions for possible revisions and additions to these manuals.  A </w:t>
      </w:r>
      <w:r w:rsidR="007365CB" w:rsidRPr="0098410B">
        <w:rPr>
          <w:szCs w:val="26"/>
        </w:rPr>
        <w:lastRenderedPageBreak/>
        <w:t xml:space="preserve">program evaluation group </w:t>
      </w:r>
      <w:r w:rsidR="00950034" w:rsidRPr="0098410B">
        <w:rPr>
          <w:szCs w:val="26"/>
        </w:rPr>
        <w:t>(PEG)</w:t>
      </w:r>
      <w:r w:rsidRPr="0098410B">
        <w:rPr>
          <w:rStyle w:val="FootnoteReference"/>
          <w:szCs w:val="26"/>
        </w:rPr>
        <w:footnoteReference w:id="11"/>
      </w:r>
      <w:r w:rsidRPr="0098410B">
        <w:rPr>
          <w:szCs w:val="26"/>
        </w:rPr>
        <w:t xml:space="preserve"> was formed to</w:t>
      </w:r>
      <w:r w:rsidR="001324E3" w:rsidRPr="0098410B">
        <w:rPr>
          <w:szCs w:val="26"/>
        </w:rPr>
        <w:t>, among other things,</w:t>
      </w:r>
      <w:r w:rsidRPr="0098410B">
        <w:rPr>
          <w:szCs w:val="26"/>
        </w:rPr>
        <w:t xml:space="preserve"> provide guidance to the SWE in clarifying</w:t>
      </w:r>
      <w:r w:rsidR="007365CB" w:rsidRPr="0098410B">
        <w:rPr>
          <w:szCs w:val="26"/>
        </w:rPr>
        <w:t xml:space="preserve"> energy</w:t>
      </w:r>
      <w:r w:rsidRPr="0098410B">
        <w:rPr>
          <w:szCs w:val="26"/>
        </w:rPr>
        <w:t xml:space="preserve"> savings measurement protocols and plans by recommending improvements to the existing TRM and othe</w:t>
      </w:r>
      <w:r w:rsidR="00761B89" w:rsidRPr="0098410B">
        <w:rPr>
          <w:szCs w:val="26"/>
        </w:rPr>
        <w:t>r aspects of the EE&amp;C program.</w:t>
      </w:r>
      <w:r w:rsidR="00950034" w:rsidRPr="0098410B">
        <w:rPr>
          <w:szCs w:val="26"/>
        </w:rPr>
        <w:t xml:space="preserve"> </w:t>
      </w:r>
      <w:r w:rsidR="00BC500B" w:rsidRPr="0098410B">
        <w:rPr>
          <w:szCs w:val="26"/>
        </w:rPr>
        <w:t xml:space="preserve"> </w:t>
      </w:r>
      <w:r w:rsidR="00950034" w:rsidRPr="0098410B">
        <w:rPr>
          <w:szCs w:val="26"/>
        </w:rPr>
        <w:t xml:space="preserve">In addition, the Commission convened a </w:t>
      </w:r>
      <w:r w:rsidR="00BC500B" w:rsidRPr="0098410B">
        <w:rPr>
          <w:szCs w:val="26"/>
        </w:rPr>
        <w:t>Technical Working Group (TWG)</w:t>
      </w:r>
      <w:r w:rsidR="00BC500B" w:rsidRPr="0098410B">
        <w:rPr>
          <w:rStyle w:val="FootnoteReference"/>
          <w:szCs w:val="26"/>
        </w:rPr>
        <w:footnoteReference w:id="12"/>
      </w:r>
      <w:r w:rsidR="00950034" w:rsidRPr="0098410B">
        <w:rPr>
          <w:szCs w:val="26"/>
        </w:rPr>
        <w:t xml:space="preserve"> meeting to discuss the proposed 201</w:t>
      </w:r>
      <w:r w:rsidR="003D77C2" w:rsidRPr="0098410B">
        <w:rPr>
          <w:szCs w:val="26"/>
        </w:rPr>
        <w:t>5</w:t>
      </w:r>
      <w:r w:rsidR="00950034" w:rsidRPr="0098410B">
        <w:rPr>
          <w:szCs w:val="26"/>
        </w:rPr>
        <w:t xml:space="preserve"> TRM updates.</w:t>
      </w:r>
      <w:r w:rsidR="00BC500B" w:rsidRPr="0098410B">
        <w:rPr>
          <w:rStyle w:val="FootnoteReference"/>
          <w:szCs w:val="26"/>
        </w:rPr>
        <w:footnoteReference w:id="13"/>
      </w:r>
    </w:p>
    <w:p w:rsidR="00761B89" w:rsidRPr="0098410B" w:rsidRDefault="00761B89" w:rsidP="001B6469">
      <w:pPr>
        <w:pStyle w:val="p3"/>
        <w:tabs>
          <w:tab w:val="clear" w:pos="204"/>
          <w:tab w:val="left" w:pos="720"/>
        </w:tabs>
        <w:ind w:firstLine="720"/>
        <w:jc w:val="left"/>
        <w:rPr>
          <w:szCs w:val="26"/>
        </w:rPr>
      </w:pPr>
    </w:p>
    <w:p w:rsidR="008C12D8" w:rsidRPr="0098410B" w:rsidRDefault="00D9292E" w:rsidP="001B6469">
      <w:pPr>
        <w:pStyle w:val="p3"/>
        <w:tabs>
          <w:tab w:val="clear" w:pos="204"/>
          <w:tab w:val="left" w:pos="720"/>
        </w:tabs>
        <w:ind w:firstLine="720"/>
        <w:jc w:val="left"/>
        <w:rPr>
          <w:szCs w:val="26"/>
        </w:rPr>
      </w:pPr>
      <w:r w:rsidRPr="0098410B">
        <w:rPr>
          <w:szCs w:val="26"/>
        </w:rPr>
        <w:t>As indicated above, t</w:t>
      </w:r>
      <w:r w:rsidR="0032291B" w:rsidRPr="0098410B">
        <w:rPr>
          <w:szCs w:val="26"/>
        </w:rPr>
        <w:t>he Commission</w:t>
      </w:r>
      <w:r w:rsidRPr="0098410B">
        <w:rPr>
          <w:szCs w:val="26"/>
        </w:rPr>
        <w:t xml:space="preserve"> has previously updated the TRM on </w:t>
      </w:r>
      <w:r w:rsidR="003D77C2" w:rsidRPr="0098410B">
        <w:rPr>
          <w:szCs w:val="26"/>
        </w:rPr>
        <w:t>five</w:t>
      </w:r>
      <w:r w:rsidRPr="0098410B">
        <w:rPr>
          <w:szCs w:val="26"/>
        </w:rPr>
        <w:t xml:space="preserve"> other occasions.  On each occasion, the Commission used a process, similar to the current process that offers all stakeholders multiple opportunities to provide input, in an open and collaborative way.</w:t>
      </w:r>
      <w:r w:rsidRPr="0098410B">
        <w:rPr>
          <w:rStyle w:val="FootnoteReference"/>
          <w:szCs w:val="26"/>
        </w:rPr>
        <w:footnoteReference w:id="14"/>
      </w:r>
      <w:r w:rsidRPr="0098410B">
        <w:rPr>
          <w:szCs w:val="26"/>
        </w:rPr>
        <w:t xml:space="preserve">  </w:t>
      </w:r>
    </w:p>
    <w:p w:rsidR="00FA4295" w:rsidRPr="0098410B" w:rsidRDefault="00FA4295" w:rsidP="001B6469">
      <w:pPr>
        <w:pStyle w:val="p3"/>
        <w:tabs>
          <w:tab w:val="clear" w:pos="204"/>
          <w:tab w:val="left" w:pos="720"/>
        </w:tabs>
        <w:ind w:firstLine="720"/>
        <w:jc w:val="left"/>
        <w:rPr>
          <w:szCs w:val="26"/>
        </w:rPr>
      </w:pPr>
    </w:p>
    <w:p w:rsidR="002A23FB" w:rsidRPr="002A23FB" w:rsidRDefault="00FA4295" w:rsidP="001B6469">
      <w:pPr>
        <w:pStyle w:val="p3"/>
        <w:tabs>
          <w:tab w:val="left" w:pos="720"/>
        </w:tabs>
        <w:ind w:firstLine="720"/>
        <w:jc w:val="left"/>
        <w:rPr>
          <w:szCs w:val="26"/>
        </w:rPr>
      </w:pPr>
      <w:r w:rsidRPr="0098410B">
        <w:rPr>
          <w:szCs w:val="26"/>
        </w:rPr>
        <w:t xml:space="preserve">The SWE, in collaboration with </w:t>
      </w:r>
      <w:r w:rsidR="000D03D3" w:rsidRPr="0098410B">
        <w:rPr>
          <w:szCs w:val="26"/>
        </w:rPr>
        <w:t>the</w:t>
      </w:r>
      <w:r w:rsidRPr="0098410B">
        <w:rPr>
          <w:szCs w:val="26"/>
        </w:rPr>
        <w:t xml:space="preserve"> </w:t>
      </w:r>
      <w:r w:rsidR="0067494D" w:rsidRPr="0098410B">
        <w:rPr>
          <w:szCs w:val="26"/>
        </w:rPr>
        <w:t xml:space="preserve">PEG </w:t>
      </w:r>
      <w:r w:rsidR="009853B0" w:rsidRPr="0098410B">
        <w:rPr>
          <w:szCs w:val="26"/>
        </w:rPr>
        <w:t xml:space="preserve">and </w:t>
      </w:r>
      <w:r w:rsidR="008D54CB" w:rsidRPr="0098410B">
        <w:rPr>
          <w:szCs w:val="26"/>
        </w:rPr>
        <w:t>s</w:t>
      </w:r>
      <w:r w:rsidR="009853B0" w:rsidRPr="0098410B">
        <w:rPr>
          <w:szCs w:val="26"/>
        </w:rPr>
        <w:t>taff</w:t>
      </w:r>
      <w:r w:rsidR="008D54CB" w:rsidRPr="0098410B">
        <w:rPr>
          <w:szCs w:val="26"/>
        </w:rPr>
        <w:t xml:space="preserve"> from the Commission’s Bureau of Technical Utility Services (TUS)</w:t>
      </w:r>
      <w:r w:rsidR="00DE2990" w:rsidRPr="0098410B">
        <w:rPr>
          <w:szCs w:val="26"/>
        </w:rPr>
        <w:t>,</w:t>
      </w:r>
      <w:r w:rsidR="007365CB" w:rsidRPr="0098410B">
        <w:rPr>
          <w:szCs w:val="26"/>
        </w:rPr>
        <w:t xml:space="preserve"> with input from the TWG,</w:t>
      </w:r>
      <w:r w:rsidR="00DE2990" w:rsidRPr="0098410B">
        <w:rPr>
          <w:szCs w:val="26"/>
        </w:rPr>
        <w:t xml:space="preserve"> reviewed the 201</w:t>
      </w:r>
      <w:r w:rsidR="003D77C2" w:rsidRPr="0098410B">
        <w:rPr>
          <w:szCs w:val="26"/>
        </w:rPr>
        <w:t>4</w:t>
      </w:r>
      <w:r w:rsidRPr="0098410B">
        <w:rPr>
          <w:szCs w:val="26"/>
        </w:rPr>
        <w:t xml:space="preserve"> TRM </w:t>
      </w:r>
      <w:r w:rsidRPr="0098410B">
        <w:rPr>
          <w:szCs w:val="26"/>
        </w:rPr>
        <w:lastRenderedPageBreak/>
        <w:t>and propos</w:t>
      </w:r>
      <w:r w:rsidR="002A23FB">
        <w:rPr>
          <w:szCs w:val="26"/>
        </w:rPr>
        <w:t>ed</w:t>
      </w:r>
      <w:r w:rsidRPr="0098410B">
        <w:rPr>
          <w:szCs w:val="26"/>
        </w:rPr>
        <w:t xml:space="preserve"> </w:t>
      </w:r>
      <w:r w:rsidR="000D03D3" w:rsidRPr="0098410B">
        <w:rPr>
          <w:szCs w:val="26"/>
        </w:rPr>
        <w:t xml:space="preserve">several </w:t>
      </w:r>
      <w:r w:rsidRPr="0098410B">
        <w:rPr>
          <w:szCs w:val="26"/>
        </w:rPr>
        <w:t xml:space="preserve">changes and additions </w:t>
      </w:r>
      <w:r w:rsidR="009853B0" w:rsidRPr="0098410B">
        <w:rPr>
          <w:szCs w:val="26"/>
        </w:rPr>
        <w:t>for consideration for inclusion in the 201</w:t>
      </w:r>
      <w:r w:rsidR="003D77C2" w:rsidRPr="0098410B">
        <w:rPr>
          <w:szCs w:val="26"/>
        </w:rPr>
        <w:t>5</w:t>
      </w:r>
      <w:r w:rsidR="009853B0" w:rsidRPr="0098410B">
        <w:rPr>
          <w:szCs w:val="26"/>
        </w:rPr>
        <w:t xml:space="preserve"> TRM.  </w:t>
      </w:r>
      <w:r w:rsidR="002A23FB" w:rsidRPr="002A23FB">
        <w:rPr>
          <w:szCs w:val="26"/>
        </w:rPr>
        <w:t>A notice of the Tentative Order and proposed 201</w:t>
      </w:r>
      <w:r w:rsidR="002A23FB">
        <w:rPr>
          <w:szCs w:val="26"/>
        </w:rPr>
        <w:t>5</w:t>
      </w:r>
      <w:r w:rsidR="002A23FB" w:rsidRPr="002A23FB">
        <w:rPr>
          <w:szCs w:val="26"/>
        </w:rPr>
        <w:t xml:space="preserve"> TRM update was published in the Penn</w:t>
      </w:r>
      <w:r w:rsidR="002A23FB">
        <w:rPr>
          <w:szCs w:val="26"/>
        </w:rPr>
        <w:t>sylvania Bulletin on September 27, 2014</w:t>
      </w:r>
      <w:r w:rsidR="002A23FB" w:rsidRPr="002A23FB">
        <w:rPr>
          <w:szCs w:val="26"/>
        </w:rPr>
        <w:t xml:space="preserve">.  </w:t>
      </w:r>
      <w:r w:rsidR="002A23FB">
        <w:rPr>
          <w:szCs w:val="26"/>
        </w:rPr>
        <w:t xml:space="preserve"> Comments were due on October 14, 2014,</w:t>
      </w:r>
      <w:r w:rsidR="002A23FB" w:rsidRPr="002A23FB">
        <w:rPr>
          <w:szCs w:val="26"/>
        </w:rPr>
        <w:t xml:space="preserve"> wi</w:t>
      </w:r>
      <w:r w:rsidR="002A23FB">
        <w:rPr>
          <w:szCs w:val="26"/>
        </w:rPr>
        <w:t>th reply comments due October 21</w:t>
      </w:r>
      <w:r w:rsidR="002A23FB" w:rsidRPr="002A23FB">
        <w:rPr>
          <w:szCs w:val="26"/>
        </w:rPr>
        <w:t>, 201</w:t>
      </w:r>
      <w:r w:rsidR="002A23FB">
        <w:rPr>
          <w:szCs w:val="26"/>
        </w:rPr>
        <w:t>4</w:t>
      </w:r>
      <w:r w:rsidR="002A23FB" w:rsidRPr="002A23FB">
        <w:rPr>
          <w:szCs w:val="26"/>
        </w:rPr>
        <w:t>.</w:t>
      </w:r>
    </w:p>
    <w:p w:rsidR="002A23FB" w:rsidRPr="002A23FB" w:rsidRDefault="002A23FB" w:rsidP="001B6469">
      <w:pPr>
        <w:pStyle w:val="p3"/>
        <w:tabs>
          <w:tab w:val="left" w:pos="720"/>
        </w:tabs>
        <w:ind w:firstLine="720"/>
        <w:jc w:val="left"/>
        <w:rPr>
          <w:szCs w:val="26"/>
        </w:rPr>
      </w:pPr>
    </w:p>
    <w:p w:rsidR="00355497" w:rsidRPr="00772904" w:rsidRDefault="002A23FB" w:rsidP="00A4174D">
      <w:pPr>
        <w:pStyle w:val="p3"/>
        <w:tabs>
          <w:tab w:val="clear" w:pos="204"/>
          <w:tab w:val="left" w:pos="720"/>
        </w:tabs>
        <w:ind w:firstLine="720"/>
        <w:jc w:val="left"/>
        <w:rPr>
          <w:szCs w:val="26"/>
        </w:rPr>
      </w:pPr>
      <w:r w:rsidRPr="007B15A0">
        <w:rPr>
          <w:szCs w:val="26"/>
        </w:rPr>
        <w:t xml:space="preserve">The following parties filed comments to the proposed 2015 TRM update: </w:t>
      </w:r>
      <w:r w:rsidR="00355497" w:rsidRPr="007B15A0">
        <w:rPr>
          <w:szCs w:val="26"/>
        </w:rPr>
        <w:t>Duquesne Light Company (Duquesne); Metropolitan Edison Company, Pennsylvania Electric Company, Pennsylvania Power Company and West Penn Power Company (</w:t>
      </w:r>
      <w:r w:rsidR="00355497" w:rsidRPr="00772904">
        <w:rPr>
          <w:szCs w:val="26"/>
        </w:rPr>
        <w:t>collectively, FirstEnergy); Mitsubishi Electric Cooling and Heating (Mitsubishi</w:t>
      </w:r>
      <w:r w:rsidR="00FB3771">
        <w:rPr>
          <w:szCs w:val="26"/>
        </w:rPr>
        <w:t xml:space="preserve"> Electric</w:t>
      </w:r>
      <w:r w:rsidR="00355497" w:rsidRPr="00772904">
        <w:rPr>
          <w:szCs w:val="26"/>
        </w:rPr>
        <w:t>); PECO Energy Company (PECO); and PPL Electric Utilities Corporation (PPL).</w:t>
      </w:r>
      <w:r w:rsidR="00C13144">
        <w:rPr>
          <w:szCs w:val="26"/>
        </w:rPr>
        <w:t xml:space="preserve">  FirstEnergy was the only party to file reply comments.</w:t>
      </w:r>
    </w:p>
    <w:p w:rsidR="005B4F93" w:rsidRPr="00772904" w:rsidRDefault="005B4F93" w:rsidP="001B6469">
      <w:pPr>
        <w:jc w:val="left"/>
        <w:rPr>
          <w:szCs w:val="26"/>
        </w:rPr>
      </w:pPr>
      <w:bookmarkStart w:id="5" w:name="_Toc334174989"/>
    </w:p>
    <w:p w:rsidR="00FA4295" w:rsidRPr="0098410B" w:rsidRDefault="00FA4295" w:rsidP="001278AC">
      <w:pPr>
        <w:pStyle w:val="p3"/>
        <w:tabs>
          <w:tab w:val="clear" w:pos="204"/>
          <w:tab w:val="left" w:pos="720"/>
        </w:tabs>
        <w:jc w:val="center"/>
        <w:outlineLvl w:val="0"/>
        <w:rPr>
          <w:b/>
          <w:szCs w:val="26"/>
        </w:rPr>
      </w:pPr>
      <w:bookmarkStart w:id="6" w:name="_Toc364755744"/>
      <w:bookmarkStart w:id="7" w:name="_Toc394648163"/>
      <w:bookmarkStart w:id="8" w:name="_Toc405802366"/>
      <w:bookmarkStart w:id="9" w:name="_Toc405884696"/>
      <w:r w:rsidRPr="00772904">
        <w:rPr>
          <w:b/>
          <w:szCs w:val="26"/>
        </w:rPr>
        <w:t>DISCUSSION</w:t>
      </w:r>
      <w:bookmarkEnd w:id="5"/>
      <w:bookmarkEnd w:id="6"/>
      <w:bookmarkEnd w:id="7"/>
      <w:bookmarkEnd w:id="8"/>
      <w:bookmarkEnd w:id="9"/>
    </w:p>
    <w:p w:rsidR="00FA4295" w:rsidRPr="0098410B" w:rsidRDefault="00FA4295" w:rsidP="001B6469">
      <w:pPr>
        <w:pStyle w:val="p3"/>
        <w:tabs>
          <w:tab w:val="clear" w:pos="204"/>
          <w:tab w:val="left" w:pos="720"/>
        </w:tabs>
        <w:jc w:val="left"/>
        <w:rPr>
          <w:szCs w:val="26"/>
        </w:rPr>
      </w:pPr>
    </w:p>
    <w:p w:rsidR="008D54CB" w:rsidRPr="0098410B" w:rsidRDefault="00E474AA" w:rsidP="001B6469">
      <w:pPr>
        <w:pStyle w:val="p3"/>
        <w:tabs>
          <w:tab w:val="clear" w:pos="204"/>
          <w:tab w:val="left" w:pos="720"/>
        </w:tabs>
        <w:ind w:firstLine="720"/>
        <w:jc w:val="left"/>
        <w:rPr>
          <w:szCs w:val="26"/>
        </w:rPr>
      </w:pPr>
      <w:r w:rsidRPr="0098410B">
        <w:rPr>
          <w:szCs w:val="26"/>
        </w:rPr>
        <w:t xml:space="preserve">The </w:t>
      </w:r>
      <w:r w:rsidR="002A23FB">
        <w:rPr>
          <w:szCs w:val="26"/>
        </w:rPr>
        <w:t>changes and</w:t>
      </w:r>
      <w:r w:rsidR="00FA4295" w:rsidRPr="0098410B">
        <w:rPr>
          <w:szCs w:val="26"/>
        </w:rPr>
        <w:t xml:space="preserve"> improvements to the TRM are based on more recent research</w:t>
      </w:r>
      <w:r w:rsidR="000A2B31" w:rsidRPr="0098410B">
        <w:rPr>
          <w:szCs w:val="26"/>
        </w:rPr>
        <w:t>,</w:t>
      </w:r>
      <w:r w:rsidR="00FA4295" w:rsidRPr="0098410B">
        <w:rPr>
          <w:szCs w:val="26"/>
        </w:rPr>
        <w:t xml:space="preserve"> </w:t>
      </w:r>
      <w:r w:rsidR="00772098" w:rsidRPr="0098410B">
        <w:rPr>
          <w:szCs w:val="26"/>
        </w:rPr>
        <w:t>a r</w:t>
      </w:r>
      <w:r w:rsidR="002A23FB">
        <w:rPr>
          <w:szCs w:val="26"/>
        </w:rPr>
        <w:t xml:space="preserve">eview of TRMs from other states, </w:t>
      </w:r>
      <w:r w:rsidR="00FA4295" w:rsidRPr="0098410B">
        <w:rPr>
          <w:szCs w:val="26"/>
        </w:rPr>
        <w:t xml:space="preserve">the needs </w:t>
      </w:r>
      <w:r w:rsidRPr="0098410B">
        <w:rPr>
          <w:szCs w:val="26"/>
        </w:rPr>
        <w:t xml:space="preserve">and experiences </w:t>
      </w:r>
      <w:r w:rsidR="00FA4295" w:rsidRPr="0098410B">
        <w:rPr>
          <w:szCs w:val="26"/>
        </w:rPr>
        <w:t>of the EDCs</w:t>
      </w:r>
      <w:r w:rsidR="002A23FB">
        <w:rPr>
          <w:szCs w:val="26"/>
        </w:rPr>
        <w:t xml:space="preserve"> and the comments provided by stakeholders</w:t>
      </w:r>
      <w:r w:rsidR="00FA4295" w:rsidRPr="0098410B">
        <w:rPr>
          <w:szCs w:val="26"/>
        </w:rPr>
        <w:t xml:space="preserve">. </w:t>
      </w:r>
      <w:r w:rsidRPr="0098410B">
        <w:rPr>
          <w:szCs w:val="26"/>
        </w:rPr>
        <w:t xml:space="preserve"> The EDCs provided, through the SWE evaluation</w:t>
      </w:r>
      <w:r w:rsidR="00CE0FB3" w:rsidRPr="0098410B">
        <w:rPr>
          <w:szCs w:val="26"/>
        </w:rPr>
        <w:t>, measurement</w:t>
      </w:r>
      <w:r w:rsidRPr="0098410B">
        <w:rPr>
          <w:szCs w:val="26"/>
        </w:rPr>
        <w:t xml:space="preserve"> and verification </w:t>
      </w:r>
      <w:r w:rsidR="00CE0FB3" w:rsidRPr="0098410B">
        <w:rPr>
          <w:szCs w:val="26"/>
        </w:rPr>
        <w:t xml:space="preserve">(EM&amp;V) </w:t>
      </w:r>
      <w:r w:rsidRPr="0098410B">
        <w:rPr>
          <w:szCs w:val="26"/>
        </w:rPr>
        <w:t>process, m</w:t>
      </w:r>
      <w:r w:rsidR="00FA4295" w:rsidRPr="0098410B">
        <w:rPr>
          <w:szCs w:val="26"/>
        </w:rPr>
        <w:t xml:space="preserve">uch of the data that forms the basis of </w:t>
      </w:r>
      <w:r w:rsidR="002A23FB">
        <w:rPr>
          <w:szCs w:val="26"/>
        </w:rPr>
        <w:t>the changes and improvements being adopted in the 2015 version of the TRM</w:t>
      </w:r>
      <w:r w:rsidR="00FA4295" w:rsidRPr="0098410B">
        <w:rPr>
          <w:szCs w:val="26"/>
        </w:rPr>
        <w:t xml:space="preserve">. </w:t>
      </w:r>
      <w:r w:rsidRPr="0098410B">
        <w:rPr>
          <w:szCs w:val="26"/>
        </w:rPr>
        <w:t xml:space="preserve"> </w:t>
      </w:r>
      <w:r w:rsidR="00DF3FBE" w:rsidRPr="0098410B">
        <w:rPr>
          <w:szCs w:val="26"/>
        </w:rPr>
        <w:t>Specifically, t</w:t>
      </w:r>
      <w:r w:rsidR="00FA4295" w:rsidRPr="0098410B">
        <w:rPr>
          <w:szCs w:val="26"/>
        </w:rPr>
        <w:t xml:space="preserve">he current </w:t>
      </w:r>
      <w:r w:rsidR="00DF3FBE" w:rsidRPr="0098410B">
        <w:rPr>
          <w:szCs w:val="26"/>
        </w:rPr>
        <w:t xml:space="preserve">proposed </w:t>
      </w:r>
      <w:r w:rsidR="00FA4295" w:rsidRPr="0098410B">
        <w:rPr>
          <w:szCs w:val="26"/>
        </w:rPr>
        <w:t xml:space="preserve">improvements were the result of </w:t>
      </w:r>
      <w:r w:rsidR="00DF3FBE" w:rsidRPr="0098410B">
        <w:rPr>
          <w:szCs w:val="26"/>
        </w:rPr>
        <w:t>SWE site inspections</w:t>
      </w:r>
      <w:r w:rsidR="00FA4295" w:rsidRPr="0098410B">
        <w:rPr>
          <w:szCs w:val="26"/>
        </w:rPr>
        <w:t xml:space="preserve">, </w:t>
      </w:r>
      <w:r w:rsidR="004973D2" w:rsidRPr="0098410B">
        <w:rPr>
          <w:szCs w:val="26"/>
        </w:rPr>
        <w:t xml:space="preserve">and </w:t>
      </w:r>
      <w:r w:rsidR="008D54CB" w:rsidRPr="0098410B">
        <w:rPr>
          <w:szCs w:val="26"/>
        </w:rPr>
        <w:t xml:space="preserve">comments from </w:t>
      </w:r>
      <w:r w:rsidR="000A2B31" w:rsidRPr="0098410B">
        <w:rPr>
          <w:szCs w:val="26"/>
        </w:rPr>
        <w:t>conservation service provider</w:t>
      </w:r>
      <w:r w:rsidR="008D54CB" w:rsidRPr="0098410B">
        <w:rPr>
          <w:szCs w:val="26"/>
        </w:rPr>
        <w:t>s</w:t>
      </w:r>
      <w:r w:rsidR="000A2B31" w:rsidRPr="0098410B">
        <w:rPr>
          <w:szCs w:val="26"/>
        </w:rPr>
        <w:t xml:space="preserve"> </w:t>
      </w:r>
      <w:r w:rsidR="00DF3FBE" w:rsidRPr="0098410B">
        <w:rPr>
          <w:szCs w:val="26"/>
        </w:rPr>
        <w:t>(CSP</w:t>
      </w:r>
      <w:r w:rsidR="008D54CB" w:rsidRPr="0098410B">
        <w:rPr>
          <w:szCs w:val="26"/>
        </w:rPr>
        <w:t>s</w:t>
      </w:r>
      <w:r w:rsidR="00DF3FBE" w:rsidRPr="0098410B">
        <w:rPr>
          <w:szCs w:val="26"/>
        </w:rPr>
        <w:t>)</w:t>
      </w:r>
      <w:r w:rsidR="0007435F" w:rsidRPr="0098410B">
        <w:rPr>
          <w:szCs w:val="26"/>
        </w:rPr>
        <w:t xml:space="preserve"> and</w:t>
      </w:r>
      <w:r w:rsidR="00FA4295" w:rsidRPr="0098410B">
        <w:rPr>
          <w:szCs w:val="26"/>
        </w:rPr>
        <w:t xml:space="preserve"> </w:t>
      </w:r>
      <w:r w:rsidR="000A2B31" w:rsidRPr="0098410B">
        <w:rPr>
          <w:szCs w:val="26"/>
        </w:rPr>
        <w:t>EDC i</w:t>
      </w:r>
      <w:r w:rsidR="00DF3FBE" w:rsidRPr="0098410B">
        <w:rPr>
          <w:szCs w:val="26"/>
        </w:rPr>
        <w:t>ndependent</w:t>
      </w:r>
      <w:r w:rsidR="00FA4295" w:rsidRPr="0098410B">
        <w:rPr>
          <w:szCs w:val="26"/>
        </w:rPr>
        <w:t xml:space="preserve"> </w:t>
      </w:r>
      <w:r w:rsidR="000A2B31" w:rsidRPr="0098410B">
        <w:rPr>
          <w:szCs w:val="26"/>
        </w:rPr>
        <w:t>evaluat</w:t>
      </w:r>
      <w:r w:rsidR="00B832A5" w:rsidRPr="0098410B">
        <w:rPr>
          <w:szCs w:val="26"/>
        </w:rPr>
        <w:t>or</w:t>
      </w:r>
      <w:r w:rsidR="008D54CB" w:rsidRPr="0098410B">
        <w:rPr>
          <w:szCs w:val="26"/>
        </w:rPr>
        <w:t>s</w:t>
      </w:r>
      <w:r w:rsidR="00FA4295" w:rsidRPr="0098410B">
        <w:rPr>
          <w:szCs w:val="26"/>
        </w:rPr>
        <w:t xml:space="preserve">. </w:t>
      </w:r>
      <w:r w:rsidR="008B7911" w:rsidRPr="0098410B">
        <w:rPr>
          <w:szCs w:val="26"/>
        </w:rPr>
        <w:t xml:space="preserve"> </w:t>
      </w:r>
      <w:r w:rsidR="00525BC6" w:rsidRPr="0098410B">
        <w:rPr>
          <w:szCs w:val="26"/>
        </w:rPr>
        <w:t xml:space="preserve">Additionally, many of the issues raised during the 2014 TRM update process were referred to the PEG for discussion in order to provide recommendations during the 2015 TRM update.  </w:t>
      </w:r>
      <w:r w:rsidR="008B7911" w:rsidRPr="0098410B">
        <w:rPr>
          <w:szCs w:val="26"/>
        </w:rPr>
        <w:t xml:space="preserve">The </w:t>
      </w:r>
      <w:r w:rsidR="002A23FB">
        <w:rPr>
          <w:szCs w:val="26"/>
        </w:rPr>
        <w:t>adopted changes</w:t>
      </w:r>
      <w:r w:rsidR="00084E4A" w:rsidRPr="0098410B">
        <w:rPr>
          <w:szCs w:val="26"/>
        </w:rPr>
        <w:t xml:space="preserve"> focus on improving assumptions for key parameters</w:t>
      </w:r>
      <w:r w:rsidR="00693A3D" w:rsidRPr="0098410B">
        <w:rPr>
          <w:szCs w:val="26"/>
        </w:rPr>
        <w:t>,</w:t>
      </w:r>
      <w:r w:rsidR="00084E4A" w:rsidRPr="0098410B">
        <w:rPr>
          <w:szCs w:val="26"/>
        </w:rPr>
        <w:t xml:space="preserve"> algorithms</w:t>
      </w:r>
      <w:r w:rsidR="008D54CB" w:rsidRPr="0098410B">
        <w:rPr>
          <w:szCs w:val="26"/>
        </w:rPr>
        <w:t xml:space="preserve"> and</w:t>
      </w:r>
      <w:r w:rsidR="00084E4A" w:rsidRPr="0098410B">
        <w:rPr>
          <w:szCs w:val="26"/>
        </w:rPr>
        <w:t xml:space="preserve"> deemed savings values</w:t>
      </w:r>
      <w:r w:rsidR="008D54CB" w:rsidRPr="0098410B">
        <w:rPr>
          <w:szCs w:val="26"/>
        </w:rPr>
        <w:t>,</w:t>
      </w:r>
      <w:r w:rsidR="00084E4A" w:rsidRPr="0098410B">
        <w:rPr>
          <w:szCs w:val="26"/>
        </w:rPr>
        <w:t xml:space="preserve"> </w:t>
      </w:r>
      <w:r w:rsidR="008D54CB" w:rsidRPr="0098410B">
        <w:rPr>
          <w:szCs w:val="26"/>
        </w:rPr>
        <w:t xml:space="preserve">as well as </w:t>
      </w:r>
      <w:r w:rsidR="00084E4A" w:rsidRPr="0098410B">
        <w:rPr>
          <w:szCs w:val="26"/>
        </w:rPr>
        <w:t>account</w:t>
      </w:r>
      <w:r w:rsidR="00693A3D" w:rsidRPr="0098410B">
        <w:rPr>
          <w:szCs w:val="26"/>
        </w:rPr>
        <w:t>ing</w:t>
      </w:r>
      <w:r w:rsidR="00084E4A" w:rsidRPr="0098410B">
        <w:rPr>
          <w:szCs w:val="26"/>
        </w:rPr>
        <w:t xml:space="preserve"> for new codes and standards for</w:t>
      </w:r>
      <w:r w:rsidR="008B7911" w:rsidRPr="0098410B">
        <w:rPr>
          <w:szCs w:val="26"/>
        </w:rPr>
        <w:t xml:space="preserve"> </w:t>
      </w:r>
      <w:r w:rsidR="000A2B31" w:rsidRPr="0098410B">
        <w:rPr>
          <w:szCs w:val="26"/>
        </w:rPr>
        <w:t>residential</w:t>
      </w:r>
      <w:r w:rsidR="00084E4A" w:rsidRPr="0098410B">
        <w:rPr>
          <w:szCs w:val="26"/>
        </w:rPr>
        <w:t xml:space="preserve">, and </w:t>
      </w:r>
      <w:r w:rsidR="000A2B31" w:rsidRPr="0098410B">
        <w:rPr>
          <w:szCs w:val="26"/>
        </w:rPr>
        <w:t xml:space="preserve">commercial </w:t>
      </w:r>
      <w:r w:rsidR="00084E4A" w:rsidRPr="0098410B">
        <w:rPr>
          <w:szCs w:val="26"/>
        </w:rPr>
        <w:t xml:space="preserve">and </w:t>
      </w:r>
      <w:r w:rsidR="000A2B31" w:rsidRPr="0098410B">
        <w:rPr>
          <w:szCs w:val="26"/>
        </w:rPr>
        <w:t xml:space="preserve">industrial </w:t>
      </w:r>
      <w:r w:rsidR="00084E4A" w:rsidRPr="0098410B">
        <w:rPr>
          <w:szCs w:val="26"/>
        </w:rPr>
        <w:t>(C&amp;I) EE&amp;C measures</w:t>
      </w:r>
      <w:r w:rsidR="00FA4295" w:rsidRPr="0098410B">
        <w:rPr>
          <w:szCs w:val="26"/>
        </w:rPr>
        <w:t xml:space="preserve">. </w:t>
      </w:r>
      <w:r w:rsidR="002D514E" w:rsidRPr="0098410B">
        <w:rPr>
          <w:szCs w:val="26"/>
        </w:rPr>
        <w:t xml:space="preserve"> </w:t>
      </w:r>
      <w:r w:rsidR="00FA4295" w:rsidRPr="0098410B">
        <w:rPr>
          <w:szCs w:val="26"/>
        </w:rPr>
        <w:t xml:space="preserve">The Commission believes that these </w:t>
      </w:r>
      <w:r w:rsidR="002A23FB">
        <w:rPr>
          <w:szCs w:val="26"/>
        </w:rPr>
        <w:t>adopted</w:t>
      </w:r>
      <w:r w:rsidR="002D514E" w:rsidRPr="0098410B">
        <w:rPr>
          <w:szCs w:val="26"/>
        </w:rPr>
        <w:t xml:space="preserve"> </w:t>
      </w:r>
      <w:r w:rsidR="00FA4295" w:rsidRPr="0098410B">
        <w:rPr>
          <w:szCs w:val="26"/>
        </w:rPr>
        <w:t xml:space="preserve">changes will make the TRM a more effective and professional tool for validating </w:t>
      </w:r>
      <w:r w:rsidR="002D514E" w:rsidRPr="0098410B">
        <w:rPr>
          <w:szCs w:val="26"/>
        </w:rPr>
        <w:t xml:space="preserve">energy </w:t>
      </w:r>
      <w:r w:rsidR="00FA4295" w:rsidRPr="0098410B">
        <w:rPr>
          <w:szCs w:val="26"/>
        </w:rPr>
        <w:t xml:space="preserve">savings and providing support for the Act 129 goals.  </w:t>
      </w:r>
    </w:p>
    <w:p w:rsidR="00B871DE" w:rsidRDefault="002A23FB" w:rsidP="001B6469">
      <w:pPr>
        <w:pStyle w:val="p3"/>
        <w:tabs>
          <w:tab w:val="clear" w:pos="204"/>
          <w:tab w:val="left" w:pos="720"/>
        </w:tabs>
        <w:ind w:firstLine="720"/>
        <w:jc w:val="left"/>
        <w:rPr>
          <w:szCs w:val="26"/>
        </w:rPr>
      </w:pPr>
      <w:r w:rsidRPr="002A23FB">
        <w:rPr>
          <w:szCs w:val="26"/>
        </w:rPr>
        <w:lastRenderedPageBreak/>
        <w:t>Below, we will discuss in more detail the more significant TRM changes and updates that are being adopted.  Minor administrative</w:t>
      </w:r>
      <w:r w:rsidR="007401E2">
        <w:rPr>
          <w:szCs w:val="26"/>
        </w:rPr>
        <w:t xml:space="preserve"> </w:t>
      </w:r>
      <w:r w:rsidR="00C13144">
        <w:rPr>
          <w:szCs w:val="26"/>
        </w:rPr>
        <w:t>and</w:t>
      </w:r>
      <w:r w:rsidRPr="002A23FB">
        <w:rPr>
          <w:szCs w:val="26"/>
        </w:rPr>
        <w:t xml:space="preserve"> uncontested changes being </w:t>
      </w:r>
      <w:r w:rsidR="005B4F93">
        <w:rPr>
          <w:szCs w:val="26"/>
        </w:rPr>
        <w:t xml:space="preserve">adopted will not be discussed.  </w:t>
      </w:r>
      <w:r w:rsidR="00C13144">
        <w:rPr>
          <w:szCs w:val="26"/>
        </w:rPr>
        <w:t>Regarding</w:t>
      </w:r>
      <w:r w:rsidR="005B4F93">
        <w:rPr>
          <w:szCs w:val="26"/>
        </w:rPr>
        <w:t xml:space="preserve"> instances where the Commission refers an issue to the SWE for further research </w:t>
      </w:r>
      <w:r w:rsidR="00C13144">
        <w:rPr>
          <w:szCs w:val="26"/>
        </w:rPr>
        <w:t>in</w:t>
      </w:r>
      <w:r w:rsidR="005B4F93">
        <w:rPr>
          <w:szCs w:val="26"/>
        </w:rPr>
        <w:t xml:space="preserve"> collaboration with the PEG, we would like to make it clear that the SWE is not required to attain a consensus </w:t>
      </w:r>
      <w:r w:rsidR="00B27AE4">
        <w:rPr>
          <w:szCs w:val="26"/>
        </w:rPr>
        <w:t>before providing its recommendations to the Commission</w:t>
      </w:r>
      <w:r w:rsidR="005B4F93">
        <w:rPr>
          <w:szCs w:val="26"/>
        </w:rPr>
        <w:t>.</w:t>
      </w:r>
    </w:p>
    <w:p w:rsidR="002A23FB" w:rsidRPr="0098410B" w:rsidRDefault="002A23FB" w:rsidP="001B6469">
      <w:pPr>
        <w:pStyle w:val="p3"/>
        <w:tabs>
          <w:tab w:val="clear" w:pos="204"/>
          <w:tab w:val="left" w:pos="720"/>
        </w:tabs>
        <w:ind w:firstLine="720"/>
        <w:jc w:val="left"/>
        <w:rPr>
          <w:szCs w:val="26"/>
        </w:rPr>
      </w:pPr>
    </w:p>
    <w:p w:rsidR="00047074" w:rsidRPr="0098410B" w:rsidRDefault="007B19C4" w:rsidP="00EE4D3E">
      <w:pPr>
        <w:pStyle w:val="Heading2"/>
        <w:ind w:left="720"/>
        <w:jc w:val="left"/>
      </w:pPr>
      <w:bookmarkStart w:id="10" w:name="_Toc334174990"/>
      <w:bookmarkStart w:id="11" w:name="_Toc364755745"/>
      <w:bookmarkStart w:id="12" w:name="_Toc394648164"/>
      <w:bookmarkStart w:id="13" w:name="_Toc396910591"/>
      <w:bookmarkStart w:id="14" w:name="_Toc405802367"/>
      <w:bookmarkStart w:id="15" w:name="_Toc405884697"/>
      <w:r w:rsidRPr="0098410B">
        <w:t>General Improvements</w:t>
      </w:r>
      <w:bookmarkEnd w:id="10"/>
      <w:bookmarkEnd w:id="11"/>
      <w:bookmarkEnd w:id="12"/>
      <w:bookmarkEnd w:id="13"/>
      <w:bookmarkEnd w:id="14"/>
      <w:bookmarkEnd w:id="15"/>
      <w:r w:rsidRPr="0098410B">
        <w:t xml:space="preserve"> </w:t>
      </w:r>
      <w:r w:rsidR="00834B1A" w:rsidRPr="0098410B">
        <w:t xml:space="preserve"> </w:t>
      </w:r>
      <w:bookmarkStart w:id="16" w:name="_Toc343073070"/>
      <w:r w:rsidR="00047074" w:rsidRPr="0098410B">
        <w:tab/>
      </w:r>
      <w:r w:rsidR="00047074" w:rsidRPr="0098410B">
        <w:tab/>
      </w:r>
      <w:r w:rsidR="00047074" w:rsidRPr="0098410B">
        <w:tab/>
      </w:r>
      <w:r w:rsidR="00047074" w:rsidRPr="0098410B">
        <w:tab/>
      </w:r>
      <w:r w:rsidR="00047074" w:rsidRPr="0098410B">
        <w:tab/>
      </w:r>
      <w:r w:rsidR="00047074" w:rsidRPr="0098410B">
        <w:tab/>
      </w:r>
      <w:r w:rsidR="00047074" w:rsidRPr="0098410B">
        <w:tab/>
      </w:r>
      <w:r w:rsidR="00047074" w:rsidRPr="0098410B">
        <w:tab/>
      </w:r>
      <w:r w:rsidR="00047074" w:rsidRPr="0098410B">
        <w:tab/>
      </w:r>
      <w:r w:rsidR="00047074" w:rsidRPr="0098410B">
        <w:tab/>
      </w:r>
    </w:p>
    <w:p w:rsidR="00D05144" w:rsidRPr="0098410B" w:rsidRDefault="00D05144" w:rsidP="00A95717">
      <w:pPr>
        <w:pStyle w:val="Heading3"/>
        <w:tabs>
          <w:tab w:val="clear" w:pos="720"/>
        </w:tabs>
        <w:ind w:hanging="720"/>
      </w:pPr>
      <w:bookmarkStart w:id="17" w:name="_Toc394648165"/>
      <w:bookmarkStart w:id="18" w:name="_Toc396910592"/>
      <w:bookmarkStart w:id="19" w:name="_Toc405802368"/>
      <w:bookmarkStart w:id="20" w:name="_Toc405884698"/>
      <w:bookmarkStart w:id="21" w:name="_Toc334175037"/>
      <w:bookmarkStart w:id="22" w:name="_Toc364755789"/>
      <w:bookmarkEnd w:id="16"/>
      <w:r w:rsidRPr="0098410B">
        <w:t xml:space="preserve">Updates to Federal and </w:t>
      </w:r>
      <w:r>
        <w:t>Environmental Protection Agency’</w:t>
      </w:r>
      <w:r w:rsidRPr="0098410B">
        <w:t>s ENERGY STAR Requirements</w:t>
      </w:r>
      <w:bookmarkEnd w:id="17"/>
      <w:bookmarkEnd w:id="18"/>
      <w:bookmarkEnd w:id="19"/>
      <w:bookmarkEnd w:id="20"/>
    </w:p>
    <w:p w:rsidR="00D05144" w:rsidRPr="0098410B" w:rsidRDefault="00D05144" w:rsidP="001B6469">
      <w:pPr>
        <w:jc w:val="left"/>
        <w:rPr>
          <w:szCs w:val="26"/>
        </w:rPr>
      </w:pPr>
      <w:r w:rsidRPr="0098410B">
        <w:rPr>
          <w:szCs w:val="26"/>
        </w:rPr>
        <w:tab/>
      </w:r>
    </w:p>
    <w:p w:rsidR="00C13144" w:rsidRDefault="00D05144" w:rsidP="001B6469">
      <w:pPr>
        <w:jc w:val="left"/>
        <w:rPr>
          <w:szCs w:val="26"/>
        </w:rPr>
      </w:pPr>
      <w:r w:rsidRPr="0098410B">
        <w:rPr>
          <w:szCs w:val="26"/>
        </w:rPr>
        <w:tab/>
      </w:r>
      <w:r w:rsidR="007C727D">
        <w:rPr>
          <w:szCs w:val="26"/>
        </w:rPr>
        <w:t>In recognizing that Federal codes and ENERGY STAR guidelines are at the core of many measures and that the baseline standards of the TRM should align with industry standards while fostering efficiency opportunities</w:t>
      </w:r>
      <w:r w:rsidRPr="0098410B">
        <w:rPr>
          <w:szCs w:val="26"/>
        </w:rPr>
        <w:t>, the Commission propose</w:t>
      </w:r>
      <w:r w:rsidR="007C727D">
        <w:rPr>
          <w:szCs w:val="26"/>
        </w:rPr>
        <w:t>d</w:t>
      </w:r>
      <w:r w:rsidRPr="0098410B">
        <w:rPr>
          <w:szCs w:val="26"/>
        </w:rPr>
        <w:t xml:space="preserve"> to update multiple stipulated values</w:t>
      </w:r>
      <w:r w:rsidRPr="0098410B">
        <w:rPr>
          <w:rStyle w:val="FootnoteReference"/>
          <w:szCs w:val="26"/>
        </w:rPr>
        <w:footnoteReference w:id="15"/>
      </w:r>
      <w:r w:rsidRPr="0098410B">
        <w:rPr>
          <w:szCs w:val="26"/>
        </w:rPr>
        <w:t xml:space="preserve"> in the TRM in accordance with federal code minimums</w:t>
      </w:r>
      <w:r>
        <w:rPr>
          <w:szCs w:val="26"/>
        </w:rPr>
        <w:t>.</w:t>
      </w:r>
      <w:r w:rsidRPr="0098410B">
        <w:rPr>
          <w:rStyle w:val="FootnoteReference"/>
          <w:szCs w:val="26"/>
        </w:rPr>
        <w:footnoteReference w:id="16"/>
      </w:r>
      <w:r>
        <w:rPr>
          <w:szCs w:val="26"/>
        </w:rPr>
        <w:t xml:space="preserve">  </w:t>
      </w:r>
      <w:r w:rsidR="00C13144" w:rsidRPr="0098410B">
        <w:rPr>
          <w:szCs w:val="26"/>
        </w:rPr>
        <w:t xml:space="preserve">Additionally, the Commission </w:t>
      </w:r>
      <w:r w:rsidR="00C13144">
        <w:rPr>
          <w:szCs w:val="26"/>
        </w:rPr>
        <w:t>proposed that the</w:t>
      </w:r>
      <w:r w:rsidR="00C13144" w:rsidRPr="0098410B">
        <w:rPr>
          <w:szCs w:val="26"/>
        </w:rPr>
        <w:t xml:space="preserve"> multiple stipulated values for applicable measures using ENERGY STAR guidelines</w:t>
      </w:r>
      <w:r w:rsidR="00C13144">
        <w:rPr>
          <w:szCs w:val="26"/>
        </w:rPr>
        <w:t xml:space="preserve"> be updated</w:t>
      </w:r>
      <w:r w:rsidR="00C13144" w:rsidRPr="0098410B">
        <w:rPr>
          <w:szCs w:val="26"/>
        </w:rPr>
        <w:t xml:space="preserve"> to the active version of the ENERGY STAR standards as determined by the EPA.</w:t>
      </w:r>
      <w:r w:rsidR="00C13144" w:rsidRPr="0098410B">
        <w:rPr>
          <w:rStyle w:val="FootnoteReference"/>
          <w:szCs w:val="26"/>
        </w:rPr>
        <w:footnoteReference w:id="17"/>
      </w:r>
    </w:p>
    <w:p w:rsidR="00C13144" w:rsidRDefault="00C13144" w:rsidP="001B6469">
      <w:pPr>
        <w:jc w:val="left"/>
        <w:rPr>
          <w:szCs w:val="26"/>
        </w:rPr>
      </w:pPr>
    </w:p>
    <w:p w:rsidR="00D05144" w:rsidRPr="0084617B" w:rsidRDefault="00D05144" w:rsidP="00EF063F">
      <w:pPr>
        <w:ind w:firstLine="720"/>
        <w:jc w:val="left"/>
        <w:rPr>
          <w:szCs w:val="26"/>
        </w:rPr>
      </w:pPr>
      <w:r>
        <w:rPr>
          <w:szCs w:val="26"/>
        </w:rPr>
        <w:t>For Section 2.2.1 – Electric HVAC,</w:t>
      </w:r>
      <w:r>
        <w:rPr>
          <w:rStyle w:val="FootnoteReference"/>
          <w:szCs w:val="26"/>
        </w:rPr>
        <w:footnoteReference w:id="18"/>
      </w:r>
      <w:r>
        <w:rPr>
          <w:szCs w:val="26"/>
        </w:rPr>
        <w:t xml:space="preserve"> the Commission propose</w:t>
      </w:r>
      <w:r w:rsidR="007C727D">
        <w:rPr>
          <w:szCs w:val="26"/>
        </w:rPr>
        <w:t>d</w:t>
      </w:r>
      <w:r>
        <w:rPr>
          <w:szCs w:val="26"/>
        </w:rPr>
        <w:t xml:space="preserve"> updating the Heating Seasonal Performance Factor of the Baseline Unit (HSPF</w:t>
      </w:r>
      <w:r w:rsidRPr="00353B73">
        <w:rPr>
          <w:szCs w:val="26"/>
          <w:vertAlign w:val="subscript"/>
        </w:rPr>
        <w:t>b</w:t>
      </w:r>
      <w:r>
        <w:rPr>
          <w:szCs w:val="26"/>
        </w:rPr>
        <w:t>) used in a Replace on Burnout scenario from 7.7 to 8.2 for air source heat pumps (AS</w:t>
      </w:r>
      <w:r w:rsidR="00C860E6">
        <w:rPr>
          <w:szCs w:val="26"/>
        </w:rPr>
        <w:t>HPs).</w:t>
      </w:r>
      <w:r w:rsidR="007C727D">
        <w:rPr>
          <w:szCs w:val="26"/>
        </w:rPr>
        <w:t xml:space="preserve"> </w:t>
      </w:r>
      <w:r w:rsidR="001B6469">
        <w:rPr>
          <w:szCs w:val="26"/>
        </w:rPr>
        <w:t xml:space="preserve"> </w:t>
      </w:r>
      <w:r w:rsidR="007C727D">
        <w:rPr>
          <w:szCs w:val="26"/>
        </w:rPr>
        <w:t xml:space="preserve">Additionally, we proposed </w:t>
      </w:r>
      <w:r>
        <w:rPr>
          <w:szCs w:val="26"/>
        </w:rPr>
        <w:t>updating the seasonal energy efficiency ratio of the baseline unit (SEER</w:t>
      </w:r>
      <w:r w:rsidRPr="00353B73">
        <w:rPr>
          <w:szCs w:val="26"/>
          <w:vertAlign w:val="subscript"/>
        </w:rPr>
        <w:t>b</w:t>
      </w:r>
      <w:r>
        <w:rPr>
          <w:szCs w:val="26"/>
        </w:rPr>
        <w:t xml:space="preserve">) used in a Replace on Burnout scenario from 13 to </w:t>
      </w:r>
      <w:r w:rsidR="00C860E6">
        <w:rPr>
          <w:szCs w:val="26"/>
        </w:rPr>
        <w:t xml:space="preserve">14 for ASHPs. </w:t>
      </w:r>
      <w:r w:rsidR="007C727D">
        <w:rPr>
          <w:szCs w:val="26"/>
        </w:rPr>
        <w:t xml:space="preserve">We </w:t>
      </w:r>
      <w:r>
        <w:rPr>
          <w:szCs w:val="26"/>
        </w:rPr>
        <w:t xml:space="preserve">proposed </w:t>
      </w:r>
      <w:r w:rsidR="0013580E">
        <w:rPr>
          <w:szCs w:val="26"/>
        </w:rPr>
        <w:t xml:space="preserve">updating these </w:t>
      </w:r>
      <w:r>
        <w:rPr>
          <w:szCs w:val="26"/>
        </w:rPr>
        <w:lastRenderedPageBreak/>
        <w:t>values</w:t>
      </w:r>
      <w:r w:rsidR="0013580E">
        <w:rPr>
          <w:szCs w:val="26"/>
        </w:rPr>
        <w:t xml:space="preserve"> to</w:t>
      </w:r>
      <w:r>
        <w:rPr>
          <w:szCs w:val="26"/>
        </w:rPr>
        <w:t xml:space="preserve"> align with the federal standards that become effective on January 1, 2015.</w:t>
      </w:r>
      <w:r>
        <w:rPr>
          <w:rStyle w:val="FootnoteReference"/>
          <w:szCs w:val="26"/>
        </w:rPr>
        <w:footnoteReference w:id="19"/>
      </w:r>
      <w:r>
        <w:rPr>
          <w:szCs w:val="26"/>
        </w:rPr>
        <w:t xml:space="preserve">  </w:t>
      </w:r>
      <w:r w:rsidR="007C727D">
        <w:rPr>
          <w:szCs w:val="26"/>
        </w:rPr>
        <w:t>Additionally,</w:t>
      </w:r>
      <w:r>
        <w:rPr>
          <w:szCs w:val="26"/>
        </w:rPr>
        <w:t xml:space="preserve"> these same updates </w:t>
      </w:r>
      <w:r w:rsidR="007C727D">
        <w:rPr>
          <w:szCs w:val="26"/>
        </w:rPr>
        <w:t xml:space="preserve">were proposed for </w:t>
      </w:r>
      <w:r>
        <w:rPr>
          <w:szCs w:val="26"/>
        </w:rPr>
        <w:t>the HSPF</w:t>
      </w:r>
      <w:r w:rsidRPr="00353B73">
        <w:rPr>
          <w:szCs w:val="26"/>
          <w:vertAlign w:val="subscript"/>
        </w:rPr>
        <w:t>b</w:t>
      </w:r>
      <w:r>
        <w:rPr>
          <w:szCs w:val="26"/>
        </w:rPr>
        <w:t xml:space="preserve"> and SEER</w:t>
      </w:r>
      <w:r w:rsidRPr="00353B73">
        <w:rPr>
          <w:szCs w:val="26"/>
          <w:vertAlign w:val="subscript"/>
        </w:rPr>
        <w:t>b</w:t>
      </w:r>
      <w:r>
        <w:rPr>
          <w:szCs w:val="26"/>
        </w:rPr>
        <w:t xml:space="preserve"> values in Section 2.2.3 – Ductless Mini-Split Heat Pumps.</w:t>
      </w:r>
      <w:r>
        <w:rPr>
          <w:rStyle w:val="FootnoteReference"/>
          <w:szCs w:val="26"/>
        </w:rPr>
        <w:footnoteReference w:id="20"/>
      </w:r>
    </w:p>
    <w:p w:rsidR="00D05144" w:rsidRDefault="00D05144" w:rsidP="001B6469">
      <w:pPr>
        <w:jc w:val="left"/>
        <w:rPr>
          <w:szCs w:val="26"/>
        </w:rPr>
      </w:pPr>
    </w:p>
    <w:p w:rsidR="00D05144" w:rsidRDefault="00D05144" w:rsidP="001B6469">
      <w:pPr>
        <w:jc w:val="left"/>
        <w:rPr>
          <w:szCs w:val="26"/>
        </w:rPr>
      </w:pPr>
      <w:r>
        <w:rPr>
          <w:szCs w:val="26"/>
        </w:rPr>
        <w:tab/>
        <w:t>Similarly, the Commission propose</w:t>
      </w:r>
      <w:r w:rsidR="007C727D">
        <w:rPr>
          <w:szCs w:val="26"/>
        </w:rPr>
        <w:t>d</w:t>
      </w:r>
      <w:r>
        <w:rPr>
          <w:szCs w:val="26"/>
        </w:rPr>
        <w:t xml:space="preserve"> updating the </w:t>
      </w:r>
      <w:r w:rsidR="00877355">
        <w:rPr>
          <w:szCs w:val="26"/>
        </w:rPr>
        <w:t>Heating Seasonal Performance (</w:t>
      </w:r>
      <w:r>
        <w:rPr>
          <w:szCs w:val="26"/>
        </w:rPr>
        <w:t>HSPF</w:t>
      </w:r>
      <w:r w:rsidR="00877355">
        <w:rPr>
          <w:szCs w:val="26"/>
        </w:rPr>
        <w:t>)</w:t>
      </w:r>
      <w:r>
        <w:rPr>
          <w:szCs w:val="26"/>
        </w:rPr>
        <w:t xml:space="preserve"> and </w:t>
      </w:r>
      <w:r w:rsidR="00877355">
        <w:rPr>
          <w:szCs w:val="26"/>
        </w:rPr>
        <w:t>seasonal energy efficiency ratio (</w:t>
      </w:r>
      <w:r>
        <w:rPr>
          <w:szCs w:val="26"/>
        </w:rPr>
        <w:t>SEER</w:t>
      </w:r>
      <w:r w:rsidR="00877355">
        <w:rPr>
          <w:szCs w:val="26"/>
        </w:rPr>
        <w:t>)</w:t>
      </w:r>
      <w:r>
        <w:rPr>
          <w:szCs w:val="26"/>
        </w:rPr>
        <w:t xml:space="preserve"> values for the heating and cooling efficiencies of air source and geothermal heat pumps in Section 2.6.</w:t>
      </w:r>
      <w:r w:rsidR="001E73A1">
        <w:rPr>
          <w:szCs w:val="26"/>
        </w:rPr>
        <w:t>3</w:t>
      </w:r>
      <w:r>
        <w:rPr>
          <w:szCs w:val="26"/>
        </w:rPr>
        <w:t xml:space="preserve"> – Residential New Construction.</w:t>
      </w:r>
      <w:r>
        <w:rPr>
          <w:rStyle w:val="FootnoteReference"/>
          <w:szCs w:val="26"/>
        </w:rPr>
        <w:footnoteReference w:id="21"/>
      </w:r>
      <w:r w:rsidR="005D5AD7">
        <w:rPr>
          <w:szCs w:val="26"/>
        </w:rPr>
        <w:t xml:space="preserve"> </w:t>
      </w:r>
      <w:r w:rsidR="00C860E6">
        <w:rPr>
          <w:szCs w:val="26"/>
        </w:rPr>
        <w:t xml:space="preserve"> </w:t>
      </w:r>
      <w:r>
        <w:rPr>
          <w:szCs w:val="26"/>
        </w:rPr>
        <w:t xml:space="preserve">The Commission </w:t>
      </w:r>
      <w:r w:rsidR="007C727D">
        <w:rPr>
          <w:szCs w:val="26"/>
        </w:rPr>
        <w:t>also proposed</w:t>
      </w:r>
      <w:r>
        <w:rPr>
          <w:szCs w:val="26"/>
        </w:rPr>
        <w:t xml:space="preserve"> updating the HSPF value to 8.2 and the SEER value to 14 for both types of heat pumps, per the federal standards changes.</w:t>
      </w:r>
    </w:p>
    <w:p w:rsidR="00D05144" w:rsidRDefault="00D05144" w:rsidP="001B6469">
      <w:pPr>
        <w:jc w:val="left"/>
        <w:rPr>
          <w:szCs w:val="26"/>
        </w:rPr>
      </w:pPr>
    </w:p>
    <w:p w:rsidR="00D05144" w:rsidRPr="0098410B" w:rsidRDefault="00D05144" w:rsidP="001B6469">
      <w:pPr>
        <w:jc w:val="left"/>
        <w:rPr>
          <w:szCs w:val="26"/>
        </w:rPr>
      </w:pPr>
      <w:r>
        <w:rPr>
          <w:szCs w:val="26"/>
        </w:rPr>
        <w:tab/>
      </w:r>
      <w:r w:rsidR="00EB6BF8">
        <w:rPr>
          <w:szCs w:val="26"/>
        </w:rPr>
        <w:t>Lastly, t</w:t>
      </w:r>
      <w:r>
        <w:rPr>
          <w:szCs w:val="26"/>
        </w:rPr>
        <w:t>he</w:t>
      </w:r>
      <w:r w:rsidRPr="0098410B">
        <w:rPr>
          <w:szCs w:val="26"/>
        </w:rPr>
        <w:t xml:space="preserve"> Commission propose</w:t>
      </w:r>
      <w:r w:rsidR="00EB6BF8">
        <w:rPr>
          <w:szCs w:val="26"/>
        </w:rPr>
        <w:t>d</w:t>
      </w:r>
      <w:r w:rsidRPr="0098410B">
        <w:rPr>
          <w:szCs w:val="26"/>
        </w:rPr>
        <w:t xml:space="preserve"> </w:t>
      </w:r>
      <w:r>
        <w:rPr>
          <w:szCs w:val="26"/>
        </w:rPr>
        <w:t>the following</w:t>
      </w:r>
      <w:r w:rsidRPr="0098410B">
        <w:rPr>
          <w:szCs w:val="26"/>
        </w:rPr>
        <w:t xml:space="preserve"> language </w:t>
      </w:r>
      <w:r>
        <w:rPr>
          <w:szCs w:val="26"/>
        </w:rPr>
        <w:t>in</w:t>
      </w:r>
      <w:r w:rsidRPr="0098410B">
        <w:rPr>
          <w:szCs w:val="26"/>
        </w:rPr>
        <w:t xml:space="preserve"> </w:t>
      </w:r>
      <w:r>
        <w:rPr>
          <w:szCs w:val="26"/>
        </w:rPr>
        <w:t>S</w:t>
      </w:r>
      <w:r w:rsidRPr="0098410B">
        <w:rPr>
          <w:szCs w:val="26"/>
        </w:rPr>
        <w:t>ection 1.7</w:t>
      </w:r>
      <w:r>
        <w:rPr>
          <w:szCs w:val="26"/>
        </w:rPr>
        <w:t xml:space="preserve"> – Baseline Estimates</w:t>
      </w:r>
      <w:r w:rsidR="00385C75">
        <w:rPr>
          <w:rStyle w:val="FootnoteReference"/>
          <w:szCs w:val="26"/>
        </w:rPr>
        <w:footnoteReference w:id="22"/>
      </w:r>
      <w:r>
        <w:rPr>
          <w:szCs w:val="26"/>
        </w:rPr>
        <w:t xml:space="preserve"> of the TRM to</w:t>
      </w:r>
      <w:r w:rsidRPr="0098410B">
        <w:rPr>
          <w:szCs w:val="26"/>
        </w:rPr>
        <w:t xml:space="preserve"> provide clarity in addressing which published standard will be applicable to a particular measure</w:t>
      </w:r>
      <w:r>
        <w:rPr>
          <w:szCs w:val="26"/>
        </w:rPr>
        <w:t>:</w:t>
      </w:r>
    </w:p>
    <w:p w:rsidR="00D05144" w:rsidRPr="0098410B" w:rsidRDefault="00D05144" w:rsidP="001B6469">
      <w:pPr>
        <w:spacing w:line="240" w:lineRule="auto"/>
        <w:jc w:val="left"/>
        <w:rPr>
          <w:szCs w:val="26"/>
        </w:rPr>
      </w:pPr>
    </w:p>
    <w:p w:rsidR="00D05144" w:rsidRPr="0098410B" w:rsidRDefault="00D05144" w:rsidP="001B6469">
      <w:pPr>
        <w:spacing w:line="240" w:lineRule="auto"/>
        <w:ind w:left="720" w:right="720"/>
        <w:jc w:val="left"/>
        <w:rPr>
          <w:szCs w:val="26"/>
        </w:rPr>
      </w:pPr>
      <w:r w:rsidRPr="0098410B">
        <w:rPr>
          <w:szCs w:val="26"/>
        </w:rPr>
        <w:t xml:space="preserve">When an existing Federal standard expires in a given </w:t>
      </w:r>
      <w:r w:rsidRPr="0098410B">
        <w:rPr>
          <w:b/>
          <w:szCs w:val="26"/>
        </w:rPr>
        <w:t>calendar year</w:t>
      </w:r>
      <w:r w:rsidRPr="0098410B">
        <w:rPr>
          <w:szCs w:val="26"/>
        </w:rPr>
        <w:t xml:space="preserve">, then that change will be reflected in the </w:t>
      </w:r>
      <w:r w:rsidRPr="00DF007A">
        <w:rPr>
          <w:b/>
          <w:szCs w:val="26"/>
        </w:rPr>
        <w:t>following</w:t>
      </w:r>
      <w:r w:rsidRPr="0098410B">
        <w:rPr>
          <w:szCs w:val="26"/>
        </w:rPr>
        <w:t xml:space="preserve"> </w:t>
      </w:r>
      <w:r w:rsidRPr="0098410B">
        <w:rPr>
          <w:b/>
          <w:szCs w:val="26"/>
        </w:rPr>
        <w:t>program year</w:t>
      </w:r>
      <w:r w:rsidRPr="0098410B">
        <w:rPr>
          <w:szCs w:val="26"/>
        </w:rPr>
        <w:t>’s TRM.</w:t>
      </w:r>
      <w:r w:rsidRPr="0098410B">
        <w:rPr>
          <w:rStyle w:val="FootnoteReference"/>
          <w:szCs w:val="26"/>
        </w:rPr>
        <w:footnoteReference w:id="23"/>
      </w:r>
      <w:r w:rsidRPr="0098410B">
        <w:rPr>
          <w:szCs w:val="26"/>
        </w:rPr>
        <w:t xml:space="preserve"> </w:t>
      </w:r>
      <w:r>
        <w:rPr>
          <w:szCs w:val="26"/>
        </w:rPr>
        <w:t xml:space="preserve"> </w:t>
      </w:r>
      <w:r w:rsidRPr="0098410B">
        <w:rPr>
          <w:szCs w:val="26"/>
        </w:rPr>
        <w:t xml:space="preserve">This applies only to measures where the Federal standard is considered the baseline as described in the TRM or otherwise required by law. </w:t>
      </w:r>
      <w:r>
        <w:rPr>
          <w:szCs w:val="26"/>
        </w:rPr>
        <w:t xml:space="preserve"> </w:t>
      </w:r>
      <w:r w:rsidRPr="0098410B">
        <w:rPr>
          <w:szCs w:val="26"/>
        </w:rPr>
        <w:t>In the case of a January 1st effective date for a new Federal standard, the previous standard will be said to have expired on December 31 of the previous calendar year, and thus the change will be reflected in the TRM to be released in June of that year.</w:t>
      </w:r>
      <w:r>
        <w:rPr>
          <w:szCs w:val="26"/>
        </w:rPr>
        <w:t xml:space="preserve"> </w:t>
      </w:r>
      <w:r w:rsidRPr="0098410B">
        <w:rPr>
          <w:szCs w:val="26"/>
        </w:rPr>
        <w:t xml:space="preserve"> Likewise, it is proposed that when an existing ENERGY STAR Product Specification Version expires in a given </w:t>
      </w:r>
      <w:r w:rsidRPr="0098410B">
        <w:rPr>
          <w:b/>
          <w:szCs w:val="26"/>
        </w:rPr>
        <w:t>calendar year</w:t>
      </w:r>
      <w:r w:rsidRPr="0098410B">
        <w:rPr>
          <w:szCs w:val="26"/>
        </w:rPr>
        <w:t xml:space="preserve">, then that change will be reflected in the </w:t>
      </w:r>
      <w:r w:rsidRPr="00DF007A">
        <w:rPr>
          <w:b/>
          <w:szCs w:val="26"/>
        </w:rPr>
        <w:t>following</w:t>
      </w:r>
      <w:r w:rsidRPr="0098410B">
        <w:rPr>
          <w:szCs w:val="26"/>
        </w:rPr>
        <w:t xml:space="preserve"> </w:t>
      </w:r>
      <w:r w:rsidRPr="0098410B">
        <w:rPr>
          <w:b/>
          <w:szCs w:val="26"/>
        </w:rPr>
        <w:t>program year</w:t>
      </w:r>
      <w:r w:rsidRPr="005C437C">
        <w:rPr>
          <w:b/>
          <w:szCs w:val="26"/>
        </w:rPr>
        <w:t>’s</w:t>
      </w:r>
      <w:r w:rsidRPr="0098410B">
        <w:rPr>
          <w:szCs w:val="26"/>
        </w:rPr>
        <w:t xml:space="preserve"> TRM</w:t>
      </w:r>
      <w:r w:rsidRPr="00125540">
        <w:rPr>
          <w:rStyle w:val="FootnoteReference"/>
          <w:szCs w:val="26"/>
          <w:vertAlign w:val="baseline"/>
        </w:rPr>
        <w:t>.</w:t>
      </w:r>
      <w:r w:rsidRPr="0098410B">
        <w:rPr>
          <w:rStyle w:val="FootnoteReference"/>
          <w:szCs w:val="26"/>
        </w:rPr>
        <w:footnoteReference w:id="24"/>
      </w:r>
      <w:r w:rsidRPr="0098410B">
        <w:rPr>
          <w:szCs w:val="26"/>
        </w:rPr>
        <w:t xml:space="preserve"> </w:t>
      </w:r>
      <w:r w:rsidR="00A900F6">
        <w:rPr>
          <w:szCs w:val="26"/>
        </w:rPr>
        <w:t xml:space="preserve">This </w:t>
      </w:r>
      <w:r w:rsidRPr="0098410B">
        <w:rPr>
          <w:szCs w:val="26"/>
        </w:rPr>
        <w:t>applies only to measures where the ENERGY STAR criterion is consider</w:t>
      </w:r>
      <w:r>
        <w:rPr>
          <w:szCs w:val="26"/>
        </w:rPr>
        <w:t>ed the eligibility requirement.</w:t>
      </w:r>
    </w:p>
    <w:p w:rsidR="00EB6BF8" w:rsidRDefault="00EB6BF8" w:rsidP="001B6469">
      <w:pPr>
        <w:jc w:val="left"/>
        <w:rPr>
          <w:b/>
          <w:szCs w:val="26"/>
        </w:rPr>
      </w:pPr>
      <w:r>
        <w:rPr>
          <w:szCs w:val="26"/>
        </w:rPr>
        <w:lastRenderedPageBreak/>
        <w:tab/>
      </w:r>
      <w:r>
        <w:rPr>
          <w:szCs w:val="26"/>
        </w:rPr>
        <w:tab/>
      </w:r>
      <w:r w:rsidR="00B27AE4">
        <w:rPr>
          <w:b/>
          <w:szCs w:val="26"/>
        </w:rPr>
        <w:t>a</w:t>
      </w:r>
      <w:r>
        <w:rPr>
          <w:b/>
          <w:szCs w:val="26"/>
        </w:rPr>
        <w:t>.</w:t>
      </w:r>
      <w:r>
        <w:rPr>
          <w:b/>
          <w:szCs w:val="26"/>
        </w:rPr>
        <w:tab/>
        <w:t>Comments</w:t>
      </w:r>
    </w:p>
    <w:p w:rsidR="00CF5615" w:rsidRDefault="00CF5615" w:rsidP="001B6469">
      <w:pPr>
        <w:jc w:val="left"/>
        <w:rPr>
          <w:szCs w:val="26"/>
        </w:rPr>
      </w:pPr>
    </w:p>
    <w:p w:rsidR="00EB6BF8" w:rsidRDefault="005D5AD7" w:rsidP="001B6469">
      <w:pPr>
        <w:ind w:firstLine="720"/>
        <w:jc w:val="left"/>
        <w:rPr>
          <w:szCs w:val="26"/>
        </w:rPr>
      </w:pPr>
      <w:r>
        <w:rPr>
          <w:szCs w:val="26"/>
        </w:rPr>
        <w:t>Duquesne comments that S</w:t>
      </w:r>
      <w:r w:rsidR="00CF5615" w:rsidRPr="00CF5615">
        <w:rPr>
          <w:szCs w:val="26"/>
        </w:rPr>
        <w:t>ection 1.7</w:t>
      </w:r>
      <w:r w:rsidR="00D2593D">
        <w:rPr>
          <w:szCs w:val="26"/>
        </w:rPr>
        <w:t xml:space="preserve"> – Baseline Estimates</w:t>
      </w:r>
      <w:r w:rsidR="00CF5615" w:rsidRPr="00CF5615">
        <w:rPr>
          <w:szCs w:val="26"/>
        </w:rPr>
        <w:t xml:space="preserve"> describes two methodologies for defining baseline efficiencies that have critical issues relating t</w:t>
      </w:r>
      <w:r w:rsidR="00C860E6">
        <w:rPr>
          <w:szCs w:val="26"/>
        </w:rPr>
        <w:t xml:space="preserve">o enforcement and sell-through. </w:t>
      </w:r>
      <w:r>
        <w:rPr>
          <w:szCs w:val="26"/>
        </w:rPr>
        <w:t xml:space="preserve"> It avers that </w:t>
      </w:r>
      <w:r w:rsidR="00CF5615" w:rsidRPr="00CF5615">
        <w:rPr>
          <w:szCs w:val="26"/>
        </w:rPr>
        <w:t xml:space="preserve">there is no funding available for an entity to monitor the market or </w:t>
      </w:r>
      <w:r>
        <w:rPr>
          <w:szCs w:val="26"/>
        </w:rPr>
        <w:t xml:space="preserve">the </w:t>
      </w:r>
      <w:r w:rsidR="00CF5615" w:rsidRPr="00CF5615">
        <w:rPr>
          <w:szCs w:val="26"/>
        </w:rPr>
        <w:t xml:space="preserve">specifications of equipment and </w:t>
      </w:r>
      <w:r>
        <w:rPr>
          <w:szCs w:val="26"/>
        </w:rPr>
        <w:t xml:space="preserve">that </w:t>
      </w:r>
      <w:r w:rsidR="00CF5615" w:rsidRPr="00CF5615">
        <w:rPr>
          <w:szCs w:val="26"/>
        </w:rPr>
        <w:t xml:space="preserve">enforcement is </w:t>
      </w:r>
      <w:r>
        <w:rPr>
          <w:szCs w:val="26"/>
        </w:rPr>
        <w:t>in</w:t>
      </w:r>
      <w:r w:rsidR="00CF5615" w:rsidRPr="00CF5615">
        <w:rPr>
          <w:szCs w:val="26"/>
        </w:rPr>
        <w:t>active.</w:t>
      </w:r>
      <w:r>
        <w:rPr>
          <w:szCs w:val="26"/>
        </w:rPr>
        <w:t xml:space="preserve">  Duquesne states that it takes </w:t>
      </w:r>
      <w:r w:rsidR="00CF5615" w:rsidRPr="00CF5615">
        <w:rPr>
          <w:szCs w:val="26"/>
        </w:rPr>
        <w:t xml:space="preserve">several years for the standards to align with the market </w:t>
      </w:r>
      <w:r>
        <w:rPr>
          <w:szCs w:val="26"/>
        </w:rPr>
        <w:t xml:space="preserve">with </w:t>
      </w:r>
      <w:r w:rsidR="00C13144">
        <w:rPr>
          <w:szCs w:val="26"/>
        </w:rPr>
        <w:t xml:space="preserve">below standard </w:t>
      </w:r>
      <w:r w:rsidR="00CF5615" w:rsidRPr="00CF5615">
        <w:rPr>
          <w:szCs w:val="26"/>
        </w:rPr>
        <w:t xml:space="preserve">products </w:t>
      </w:r>
      <w:r>
        <w:rPr>
          <w:szCs w:val="26"/>
        </w:rPr>
        <w:t>being</w:t>
      </w:r>
      <w:r w:rsidR="00CF5615" w:rsidRPr="00CF5615">
        <w:rPr>
          <w:szCs w:val="26"/>
        </w:rPr>
        <w:t xml:space="preserve"> available for many years after a standard </w:t>
      </w:r>
      <w:r>
        <w:rPr>
          <w:szCs w:val="26"/>
        </w:rPr>
        <w:t xml:space="preserve">is </w:t>
      </w:r>
      <w:r w:rsidR="00CF5615" w:rsidRPr="00CF5615">
        <w:rPr>
          <w:szCs w:val="26"/>
        </w:rPr>
        <w:t>update</w:t>
      </w:r>
      <w:r>
        <w:rPr>
          <w:szCs w:val="26"/>
        </w:rPr>
        <w:t>d</w:t>
      </w:r>
      <w:r w:rsidR="00CF5615" w:rsidRPr="00CF5615">
        <w:rPr>
          <w:szCs w:val="26"/>
        </w:rPr>
        <w:t>.</w:t>
      </w:r>
      <w:r>
        <w:rPr>
          <w:szCs w:val="26"/>
        </w:rPr>
        <w:t xml:space="preserve"> </w:t>
      </w:r>
      <w:r w:rsidR="00CF5615" w:rsidRPr="00CF5615">
        <w:rPr>
          <w:szCs w:val="26"/>
        </w:rPr>
        <w:t xml:space="preserve"> Duquesne provides examples of 10 SEER units and T-12 light bulbs being readily available after the code update. </w:t>
      </w:r>
      <w:r>
        <w:rPr>
          <w:szCs w:val="26"/>
        </w:rPr>
        <w:t xml:space="preserve"> </w:t>
      </w:r>
      <w:r w:rsidR="00CF5615" w:rsidRPr="00CF5615">
        <w:rPr>
          <w:szCs w:val="26"/>
        </w:rPr>
        <w:t>Duquesne recommends that the timing of baseline updates be discussed on a case-by-case basis through the existing working groups or other collaborative structures.</w:t>
      </w:r>
      <w:r w:rsidR="00CF5615" w:rsidRPr="00CF5615">
        <w:rPr>
          <w:szCs w:val="26"/>
          <w:vertAlign w:val="superscript"/>
        </w:rPr>
        <w:footnoteReference w:id="25"/>
      </w:r>
    </w:p>
    <w:p w:rsidR="00EB6BF8" w:rsidRDefault="00EB6BF8" w:rsidP="001B6469">
      <w:pPr>
        <w:jc w:val="left"/>
        <w:rPr>
          <w:szCs w:val="26"/>
        </w:rPr>
      </w:pPr>
    </w:p>
    <w:p w:rsidR="00CF5615" w:rsidRDefault="00EB6BF8" w:rsidP="001B6469">
      <w:pPr>
        <w:jc w:val="left"/>
        <w:rPr>
          <w:szCs w:val="26"/>
        </w:rPr>
      </w:pPr>
      <w:r>
        <w:rPr>
          <w:szCs w:val="26"/>
        </w:rPr>
        <w:tab/>
      </w:r>
      <w:r>
        <w:rPr>
          <w:szCs w:val="26"/>
        </w:rPr>
        <w:tab/>
      </w:r>
      <w:r w:rsidR="00B27AE4">
        <w:rPr>
          <w:b/>
          <w:szCs w:val="26"/>
        </w:rPr>
        <w:t>b</w:t>
      </w:r>
      <w:r>
        <w:rPr>
          <w:b/>
          <w:szCs w:val="26"/>
        </w:rPr>
        <w:t>.</w:t>
      </w:r>
      <w:r>
        <w:rPr>
          <w:b/>
          <w:szCs w:val="26"/>
        </w:rPr>
        <w:tab/>
        <w:t>Disposition</w:t>
      </w:r>
    </w:p>
    <w:p w:rsidR="00CF5615" w:rsidRPr="00CF5615" w:rsidRDefault="00CF5615" w:rsidP="001B6469">
      <w:pPr>
        <w:jc w:val="left"/>
        <w:rPr>
          <w:szCs w:val="26"/>
        </w:rPr>
      </w:pPr>
    </w:p>
    <w:p w:rsidR="00EB6BF8" w:rsidRPr="00EB6BF8" w:rsidRDefault="00CF5615" w:rsidP="001B6469">
      <w:pPr>
        <w:jc w:val="left"/>
        <w:rPr>
          <w:szCs w:val="26"/>
        </w:rPr>
      </w:pPr>
      <w:r w:rsidRPr="00CF5615">
        <w:rPr>
          <w:szCs w:val="26"/>
        </w:rPr>
        <w:tab/>
        <w:t xml:space="preserve">The Commission </w:t>
      </w:r>
      <w:r w:rsidR="005D5AD7">
        <w:rPr>
          <w:szCs w:val="26"/>
        </w:rPr>
        <w:t>rejects</w:t>
      </w:r>
      <w:r w:rsidRPr="00CF5615">
        <w:rPr>
          <w:szCs w:val="26"/>
        </w:rPr>
        <w:t xml:space="preserve"> </w:t>
      </w:r>
      <w:r w:rsidR="005D5AD7">
        <w:rPr>
          <w:szCs w:val="26"/>
        </w:rPr>
        <w:t>Duquesne’s</w:t>
      </w:r>
      <w:r w:rsidRPr="00CF5615">
        <w:rPr>
          <w:szCs w:val="26"/>
        </w:rPr>
        <w:t xml:space="preserve"> request to a</w:t>
      </w:r>
      <w:r w:rsidR="005D5AD7">
        <w:rPr>
          <w:szCs w:val="26"/>
        </w:rPr>
        <w:t>lter the guidance delivered in S</w:t>
      </w:r>
      <w:r w:rsidRPr="00CF5615">
        <w:rPr>
          <w:szCs w:val="26"/>
        </w:rPr>
        <w:t>ection 1.7</w:t>
      </w:r>
      <w:r w:rsidR="00D2593D">
        <w:rPr>
          <w:szCs w:val="26"/>
        </w:rPr>
        <w:t xml:space="preserve"> – Baseline Estimates</w:t>
      </w:r>
      <w:r w:rsidRPr="00CF5615">
        <w:rPr>
          <w:szCs w:val="26"/>
        </w:rPr>
        <w:t xml:space="preserve"> in order to manage code updates on a measure by measure basis. </w:t>
      </w:r>
      <w:r w:rsidR="005D5AD7">
        <w:rPr>
          <w:szCs w:val="26"/>
        </w:rPr>
        <w:t xml:space="preserve"> </w:t>
      </w:r>
      <w:r w:rsidRPr="00CF5615">
        <w:rPr>
          <w:szCs w:val="26"/>
        </w:rPr>
        <w:t>It is the intent of the TRM to align with the ind</w:t>
      </w:r>
      <w:r w:rsidR="005D5AD7">
        <w:rPr>
          <w:szCs w:val="26"/>
        </w:rPr>
        <w:t xml:space="preserve">ustry’s product regulations and to </w:t>
      </w:r>
      <w:r w:rsidRPr="00CF5615">
        <w:rPr>
          <w:szCs w:val="26"/>
        </w:rPr>
        <w:t>prom</w:t>
      </w:r>
      <w:r w:rsidR="005D5AD7">
        <w:rPr>
          <w:szCs w:val="26"/>
        </w:rPr>
        <w:t>ote gross savings calculations.  In</w:t>
      </w:r>
      <w:r w:rsidRPr="00CF5615">
        <w:rPr>
          <w:szCs w:val="26"/>
        </w:rPr>
        <w:t xml:space="preserve"> </w:t>
      </w:r>
      <w:r w:rsidR="005D5AD7">
        <w:rPr>
          <w:szCs w:val="26"/>
        </w:rPr>
        <w:t>instances where</w:t>
      </w:r>
      <w:r w:rsidRPr="00CF5615">
        <w:rPr>
          <w:szCs w:val="26"/>
        </w:rPr>
        <w:t xml:space="preserve"> market trends were used to set the baseline standards, the TRM would show characteristics of prom</w:t>
      </w:r>
      <w:r w:rsidR="00C860E6">
        <w:rPr>
          <w:szCs w:val="26"/>
        </w:rPr>
        <w:t xml:space="preserve">oting net savings calculations. </w:t>
      </w:r>
      <w:r w:rsidR="005D5AD7">
        <w:rPr>
          <w:szCs w:val="26"/>
        </w:rPr>
        <w:t xml:space="preserve"> </w:t>
      </w:r>
      <w:r w:rsidRPr="00CF5615">
        <w:rPr>
          <w:szCs w:val="26"/>
        </w:rPr>
        <w:t xml:space="preserve">Additionally, the logistics of coming to a consensus-based decision repeatedly for individual measures is not a realistic expectation, nor is </w:t>
      </w:r>
      <w:r w:rsidR="005D5AD7">
        <w:rPr>
          <w:szCs w:val="26"/>
        </w:rPr>
        <w:t xml:space="preserve">it </w:t>
      </w:r>
      <w:r w:rsidRPr="00CF5615">
        <w:rPr>
          <w:szCs w:val="26"/>
        </w:rPr>
        <w:t xml:space="preserve">the optimum use of </w:t>
      </w:r>
      <w:r w:rsidR="005D5AD7">
        <w:rPr>
          <w:szCs w:val="26"/>
        </w:rPr>
        <w:t>stakeholder time and resources</w:t>
      </w:r>
      <w:r w:rsidRPr="00CF5615">
        <w:rPr>
          <w:szCs w:val="26"/>
        </w:rPr>
        <w:t xml:space="preserve">.  </w:t>
      </w:r>
    </w:p>
    <w:p w:rsidR="00014449" w:rsidRDefault="00014449" w:rsidP="001B6469">
      <w:pPr>
        <w:jc w:val="left"/>
        <w:rPr>
          <w:szCs w:val="26"/>
        </w:rPr>
      </w:pPr>
    </w:p>
    <w:p w:rsidR="00014449" w:rsidRDefault="00014449" w:rsidP="001B6469">
      <w:pPr>
        <w:jc w:val="left"/>
        <w:rPr>
          <w:szCs w:val="26"/>
        </w:rPr>
      </w:pPr>
    </w:p>
    <w:p w:rsidR="00014449" w:rsidRDefault="00014449" w:rsidP="001B6469">
      <w:pPr>
        <w:jc w:val="left"/>
        <w:rPr>
          <w:szCs w:val="26"/>
        </w:rPr>
      </w:pPr>
    </w:p>
    <w:p w:rsidR="00EB6BF8" w:rsidRPr="0098410B" w:rsidRDefault="00EB6BF8" w:rsidP="001B6469">
      <w:pPr>
        <w:jc w:val="left"/>
        <w:rPr>
          <w:szCs w:val="26"/>
        </w:rPr>
      </w:pPr>
      <w:r>
        <w:rPr>
          <w:szCs w:val="26"/>
        </w:rPr>
        <w:tab/>
      </w:r>
    </w:p>
    <w:p w:rsidR="00D05144" w:rsidRPr="0098410B" w:rsidRDefault="00D05144" w:rsidP="001B6469">
      <w:pPr>
        <w:pStyle w:val="Heading3"/>
        <w:ind w:left="720" w:firstLine="0"/>
      </w:pPr>
      <w:bookmarkStart w:id="23" w:name="_Toc394648166"/>
      <w:bookmarkStart w:id="24" w:name="_Toc396910593"/>
      <w:bookmarkStart w:id="25" w:name="_Toc405802369"/>
      <w:bookmarkStart w:id="26" w:name="_Toc405884699"/>
      <w:r w:rsidRPr="0098410B">
        <w:lastRenderedPageBreak/>
        <w:t>Measure Characterization</w:t>
      </w:r>
      <w:r>
        <w:t>s</w:t>
      </w:r>
      <w:r w:rsidRPr="0098410B">
        <w:t xml:space="preserve"> Assigned to All Measures</w:t>
      </w:r>
      <w:bookmarkEnd w:id="23"/>
      <w:bookmarkEnd w:id="24"/>
      <w:bookmarkEnd w:id="25"/>
      <w:bookmarkEnd w:id="26"/>
    </w:p>
    <w:p w:rsidR="00D05144" w:rsidRPr="0098410B" w:rsidRDefault="00D05144" w:rsidP="001B6469">
      <w:pPr>
        <w:jc w:val="left"/>
        <w:rPr>
          <w:szCs w:val="26"/>
        </w:rPr>
      </w:pPr>
    </w:p>
    <w:p w:rsidR="00D05144" w:rsidRDefault="00D05144" w:rsidP="001B6469">
      <w:pPr>
        <w:jc w:val="left"/>
        <w:rPr>
          <w:szCs w:val="26"/>
        </w:rPr>
      </w:pPr>
      <w:r w:rsidRPr="0098410B">
        <w:rPr>
          <w:b/>
          <w:szCs w:val="26"/>
        </w:rPr>
        <w:tab/>
      </w:r>
      <w:r w:rsidR="005D11D1">
        <w:rPr>
          <w:szCs w:val="26"/>
        </w:rPr>
        <w:t>In the Tentative Order, the</w:t>
      </w:r>
      <w:r w:rsidRPr="0098410B">
        <w:rPr>
          <w:szCs w:val="26"/>
        </w:rPr>
        <w:t xml:space="preserve"> Commission propose</w:t>
      </w:r>
      <w:r w:rsidR="006C2976">
        <w:rPr>
          <w:szCs w:val="26"/>
        </w:rPr>
        <w:t>d</w:t>
      </w:r>
      <w:r w:rsidRPr="0098410B">
        <w:rPr>
          <w:szCs w:val="26"/>
        </w:rPr>
        <w:t xml:space="preserve"> </w:t>
      </w:r>
      <w:r w:rsidR="006C2976">
        <w:rPr>
          <w:szCs w:val="26"/>
        </w:rPr>
        <w:t>the</w:t>
      </w:r>
      <w:r w:rsidRPr="0098410B">
        <w:rPr>
          <w:szCs w:val="26"/>
        </w:rPr>
        <w:t xml:space="preserve"> assign</w:t>
      </w:r>
      <w:r w:rsidR="006C2976">
        <w:rPr>
          <w:szCs w:val="26"/>
        </w:rPr>
        <w:t>ment of</w:t>
      </w:r>
      <w:r w:rsidRPr="0098410B">
        <w:rPr>
          <w:szCs w:val="26"/>
        </w:rPr>
        <w:t xml:space="preserve"> a measure Vintage to all measures listed in the </w:t>
      </w:r>
      <w:r w:rsidR="00C860E6">
        <w:rPr>
          <w:szCs w:val="26"/>
        </w:rPr>
        <w:t xml:space="preserve">2015 TRM. </w:t>
      </w:r>
      <w:r w:rsidR="005F0853">
        <w:rPr>
          <w:szCs w:val="26"/>
        </w:rPr>
        <w:t xml:space="preserve"> </w:t>
      </w:r>
      <w:r w:rsidRPr="0098410B">
        <w:rPr>
          <w:szCs w:val="26"/>
        </w:rPr>
        <w:t xml:space="preserve">The Vintage description </w:t>
      </w:r>
      <w:r w:rsidR="006C2976">
        <w:rPr>
          <w:szCs w:val="26"/>
        </w:rPr>
        <w:t>would</w:t>
      </w:r>
      <w:r w:rsidRPr="0098410B">
        <w:rPr>
          <w:szCs w:val="26"/>
        </w:rPr>
        <w:t xml:space="preserve"> be listed at the beginning of the measure language to provide clarity </w:t>
      </w:r>
      <w:r w:rsidR="00A4174D">
        <w:rPr>
          <w:szCs w:val="26"/>
        </w:rPr>
        <w:t>on</w:t>
      </w:r>
      <w:r w:rsidR="00A4174D" w:rsidRPr="0098410B">
        <w:rPr>
          <w:szCs w:val="26"/>
        </w:rPr>
        <w:t xml:space="preserve"> </w:t>
      </w:r>
      <w:r w:rsidRPr="0098410B">
        <w:rPr>
          <w:szCs w:val="26"/>
        </w:rPr>
        <w:t xml:space="preserve">the intent of the measure and assist the user in classifying the approach. </w:t>
      </w:r>
    </w:p>
    <w:p w:rsidR="006C2976" w:rsidRDefault="006C2976" w:rsidP="001B6469">
      <w:pPr>
        <w:jc w:val="left"/>
        <w:rPr>
          <w:szCs w:val="26"/>
        </w:rPr>
      </w:pPr>
    </w:p>
    <w:p w:rsidR="006C2976" w:rsidRDefault="006C2976" w:rsidP="001B6469">
      <w:pPr>
        <w:jc w:val="left"/>
        <w:rPr>
          <w:szCs w:val="26"/>
        </w:rPr>
      </w:pPr>
      <w:r>
        <w:rPr>
          <w:szCs w:val="26"/>
        </w:rPr>
        <w:tab/>
      </w:r>
      <w:r>
        <w:rPr>
          <w:szCs w:val="26"/>
        </w:rPr>
        <w:tab/>
      </w:r>
      <w:r w:rsidR="005A705B">
        <w:rPr>
          <w:b/>
          <w:szCs w:val="26"/>
        </w:rPr>
        <w:t>a</w:t>
      </w:r>
      <w:r>
        <w:rPr>
          <w:b/>
          <w:szCs w:val="26"/>
        </w:rPr>
        <w:t>.</w:t>
      </w:r>
      <w:r>
        <w:rPr>
          <w:b/>
          <w:szCs w:val="26"/>
        </w:rPr>
        <w:tab/>
        <w:t>Comments</w:t>
      </w:r>
    </w:p>
    <w:p w:rsidR="006C2976" w:rsidRDefault="006C2976" w:rsidP="001B6469">
      <w:pPr>
        <w:jc w:val="left"/>
        <w:rPr>
          <w:szCs w:val="26"/>
        </w:rPr>
      </w:pPr>
    </w:p>
    <w:p w:rsidR="006C2976" w:rsidRDefault="00202ECE" w:rsidP="001B6469">
      <w:pPr>
        <w:jc w:val="left"/>
        <w:rPr>
          <w:szCs w:val="26"/>
        </w:rPr>
      </w:pPr>
      <w:r>
        <w:rPr>
          <w:szCs w:val="26"/>
        </w:rPr>
        <w:tab/>
        <w:t>Duquesne comments that the</w:t>
      </w:r>
      <w:r w:rsidRPr="00202ECE">
        <w:rPr>
          <w:szCs w:val="26"/>
        </w:rPr>
        <w:t xml:space="preserve"> 2015 TRM delineates the differences between the baselines for market-driven activity</w:t>
      </w:r>
      <w:r w:rsidR="00750CD1">
        <w:rPr>
          <w:szCs w:val="26"/>
        </w:rPr>
        <w:t xml:space="preserve"> and discretionary activity in S</w:t>
      </w:r>
      <w:r w:rsidR="00C860E6">
        <w:rPr>
          <w:szCs w:val="26"/>
        </w:rPr>
        <w:t>ection 1.7</w:t>
      </w:r>
      <w:r w:rsidR="00D2593D">
        <w:rPr>
          <w:szCs w:val="26"/>
        </w:rPr>
        <w:t xml:space="preserve"> – Baseline Estimates</w:t>
      </w:r>
      <w:r w:rsidR="00C860E6">
        <w:rPr>
          <w:szCs w:val="26"/>
        </w:rPr>
        <w:t>.</w:t>
      </w:r>
      <w:r w:rsidRPr="00202ECE">
        <w:rPr>
          <w:szCs w:val="26"/>
        </w:rPr>
        <w:t xml:space="preserve"> </w:t>
      </w:r>
      <w:r w:rsidR="005F0853">
        <w:rPr>
          <w:szCs w:val="26"/>
        </w:rPr>
        <w:t xml:space="preserve"> </w:t>
      </w:r>
      <w:r w:rsidR="00750CD1">
        <w:rPr>
          <w:szCs w:val="26"/>
        </w:rPr>
        <w:t>Duquesne notes that</w:t>
      </w:r>
      <w:r w:rsidR="007E7367">
        <w:rPr>
          <w:szCs w:val="26"/>
        </w:rPr>
        <w:t xml:space="preserve"> ha</w:t>
      </w:r>
      <w:r w:rsidRPr="00202ECE">
        <w:rPr>
          <w:szCs w:val="26"/>
        </w:rPr>
        <w:t>ving a baseline that initially is calculated using the efficiency of existing e</w:t>
      </w:r>
      <w:r w:rsidR="005F0853">
        <w:rPr>
          <w:szCs w:val="26"/>
        </w:rPr>
        <w:t xml:space="preserve">quipment and then is changed to a replace-on-burnout </w:t>
      </w:r>
      <w:r w:rsidRPr="00202ECE">
        <w:rPr>
          <w:szCs w:val="26"/>
        </w:rPr>
        <w:t xml:space="preserve">baseline at some estimated date creates theoretical and practical issues. </w:t>
      </w:r>
      <w:r w:rsidR="005F0853">
        <w:rPr>
          <w:szCs w:val="26"/>
        </w:rPr>
        <w:t xml:space="preserve"> </w:t>
      </w:r>
      <w:r w:rsidR="00750CD1">
        <w:rPr>
          <w:szCs w:val="26"/>
        </w:rPr>
        <w:t>Duquesne asserts that the u</w:t>
      </w:r>
      <w:r w:rsidRPr="00202ECE">
        <w:rPr>
          <w:szCs w:val="26"/>
        </w:rPr>
        <w:t>se of dual baselines introduces greater uncertainty and ina</w:t>
      </w:r>
      <w:r w:rsidR="005F0853">
        <w:rPr>
          <w:szCs w:val="26"/>
        </w:rPr>
        <w:t>ccuracy to TRM algorithm inputs;</w:t>
      </w:r>
      <w:r w:rsidRPr="00202ECE">
        <w:rPr>
          <w:szCs w:val="26"/>
        </w:rPr>
        <w:t xml:space="preserve"> imposes onerous implementation routines</w:t>
      </w:r>
      <w:r w:rsidR="005F0853">
        <w:rPr>
          <w:szCs w:val="26"/>
        </w:rPr>
        <w:t>;</w:t>
      </w:r>
      <w:r w:rsidRPr="00202ECE">
        <w:rPr>
          <w:szCs w:val="26"/>
        </w:rPr>
        <w:t xml:space="preserve"> increases the opportunity for calculation error and will drive costly tracking system upgrades. </w:t>
      </w:r>
      <w:r w:rsidR="005F0853">
        <w:rPr>
          <w:szCs w:val="26"/>
        </w:rPr>
        <w:t xml:space="preserve"> </w:t>
      </w:r>
      <w:r w:rsidRPr="00202ECE">
        <w:rPr>
          <w:szCs w:val="26"/>
        </w:rPr>
        <w:t xml:space="preserve">Duquesne requests </w:t>
      </w:r>
      <w:r w:rsidR="005F0853">
        <w:rPr>
          <w:szCs w:val="26"/>
        </w:rPr>
        <w:t xml:space="preserve">that </w:t>
      </w:r>
      <w:r w:rsidRPr="00202ECE">
        <w:rPr>
          <w:szCs w:val="26"/>
        </w:rPr>
        <w:t xml:space="preserve">the </w:t>
      </w:r>
      <w:r w:rsidR="00750CD1">
        <w:rPr>
          <w:szCs w:val="26"/>
        </w:rPr>
        <w:t>Commission</w:t>
      </w:r>
      <w:r w:rsidR="005F0853">
        <w:rPr>
          <w:szCs w:val="26"/>
        </w:rPr>
        <w:t xml:space="preserve"> remove the </w:t>
      </w:r>
      <w:r w:rsidR="00862F0F">
        <w:rPr>
          <w:szCs w:val="26"/>
        </w:rPr>
        <w:t xml:space="preserve">dual </w:t>
      </w:r>
      <w:r w:rsidR="00862F0F" w:rsidRPr="00202ECE">
        <w:rPr>
          <w:szCs w:val="26"/>
        </w:rPr>
        <w:t>baseline</w:t>
      </w:r>
      <w:r w:rsidRPr="00202ECE">
        <w:rPr>
          <w:szCs w:val="26"/>
        </w:rPr>
        <w:t xml:space="preserve"> language and allow EDCs to cite</w:t>
      </w:r>
      <w:r w:rsidR="005F0853">
        <w:rPr>
          <w:szCs w:val="26"/>
        </w:rPr>
        <w:t>,</w:t>
      </w:r>
      <w:r w:rsidRPr="00202ECE">
        <w:rPr>
          <w:szCs w:val="26"/>
        </w:rPr>
        <w:t xml:space="preserve"> as baselines</w:t>
      </w:r>
      <w:r w:rsidR="005F0853">
        <w:rPr>
          <w:szCs w:val="26"/>
        </w:rPr>
        <w:t>,</w:t>
      </w:r>
      <w:r w:rsidRPr="00202ECE">
        <w:rPr>
          <w:szCs w:val="26"/>
        </w:rPr>
        <w:t xml:space="preserve"> pre-e</w:t>
      </w:r>
      <w:r w:rsidR="00C860E6">
        <w:rPr>
          <w:szCs w:val="26"/>
        </w:rPr>
        <w:t>xisting equipment or standards.</w:t>
      </w:r>
      <w:r w:rsidRPr="00202ECE">
        <w:rPr>
          <w:szCs w:val="26"/>
        </w:rPr>
        <w:t xml:space="preserve"> </w:t>
      </w:r>
      <w:r w:rsidR="005F0853">
        <w:rPr>
          <w:szCs w:val="26"/>
        </w:rPr>
        <w:t xml:space="preserve"> </w:t>
      </w:r>
      <w:r w:rsidRPr="00202ECE">
        <w:rPr>
          <w:szCs w:val="26"/>
        </w:rPr>
        <w:t>That is, to identify installations as either 1) early retirement or 2) replace on burn-out, not both, and to employ identical treatment to cost-e</w:t>
      </w:r>
      <w:r w:rsidR="00E30292">
        <w:rPr>
          <w:szCs w:val="26"/>
        </w:rPr>
        <w:t xml:space="preserve">ffectiveness reporting where </w:t>
      </w:r>
      <w:r w:rsidR="005F0853">
        <w:rPr>
          <w:szCs w:val="26"/>
        </w:rPr>
        <w:t>TRCs</w:t>
      </w:r>
      <w:r w:rsidRPr="00202ECE">
        <w:rPr>
          <w:szCs w:val="26"/>
        </w:rPr>
        <w:t xml:space="preserve"> include either full or incremental measure cost, respectively.</w:t>
      </w:r>
      <w:r w:rsidR="007E7367">
        <w:rPr>
          <w:rStyle w:val="FootnoteReference"/>
          <w:szCs w:val="26"/>
        </w:rPr>
        <w:footnoteReference w:id="26"/>
      </w:r>
    </w:p>
    <w:p w:rsidR="00BA27E7" w:rsidRDefault="00BA27E7" w:rsidP="001B6469">
      <w:pPr>
        <w:jc w:val="left"/>
        <w:rPr>
          <w:szCs w:val="26"/>
        </w:rPr>
      </w:pPr>
    </w:p>
    <w:p w:rsidR="006C2976" w:rsidRDefault="006C2976" w:rsidP="001B6469">
      <w:pPr>
        <w:jc w:val="left"/>
        <w:rPr>
          <w:szCs w:val="26"/>
        </w:rPr>
      </w:pPr>
      <w:r>
        <w:rPr>
          <w:szCs w:val="26"/>
        </w:rPr>
        <w:tab/>
      </w:r>
      <w:r>
        <w:rPr>
          <w:szCs w:val="26"/>
        </w:rPr>
        <w:tab/>
      </w:r>
      <w:r w:rsidR="005A705B">
        <w:rPr>
          <w:b/>
          <w:szCs w:val="26"/>
        </w:rPr>
        <w:t>b</w:t>
      </w:r>
      <w:r>
        <w:rPr>
          <w:b/>
          <w:szCs w:val="26"/>
        </w:rPr>
        <w:t>.</w:t>
      </w:r>
      <w:r>
        <w:rPr>
          <w:b/>
          <w:szCs w:val="26"/>
        </w:rPr>
        <w:tab/>
        <w:t>Disposition</w:t>
      </w:r>
    </w:p>
    <w:p w:rsidR="006C2976" w:rsidRDefault="006C2976" w:rsidP="001B6469">
      <w:pPr>
        <w:jc w:val="left"/>
        <w:rPr>
          <w:szCs w:val="26"/>
        </w:rPr>
      </w:pPr>
    </w:p>
    <w:p w:rsidR="00C722AA" w:rsidRPr="006B0A94" w:rsidRDefault="00750CD1" w:rsidP="001B6469">
      <w:pPr>
        <w:jc w:val="left"/>
        <w:rPr>
          <w:szCs w:val="26"/>
        </w:rPr>
      </w:pPr>
      <w:r>
        <w:rPr>
          <w:szCs w:val="26"/>
        </w:rPr>
        <w:tab/>
        <w:t xml:space="preserve">The Commission </w:t>
      </w:r>
      <w:r w:rsidR="002D69D8">
        <w:rPr>
          <w:szCs w:val="26"/>
        </w:rPr>
        <w:t>rejects Duques</w:t>
      </w:r>
      <w:r w:rsidR="009A151E">
        <w:rPr>
          <w:szCs w:val="26"/>
        </w:rPr>
        <w:t>ne’s recommendation</w:t>
      </w:r>
      <w:r w:rsidR="00C94693">
        <w:rPr>
          <w:szCs w:val="26"/>
        </w:rPr>
        <w:t xml:space="preserve"> to remove the dual </w:t>
      </w:r>
      <w:r w:rsidR="002D69D8">
        <w:rPr>
          <w:szCs w:val="26"/>
        </w:rPr>
        <w:t>baseline language from the TRM.</w:t>
      </w:r>
      <w:r w:rsidR="005F0853">
        <w:rPr>
          <w:szCs w:val="26"/>
        </w:rPr>
        <w:t xml:space="preserve"> </w:t>
      </w:r>
      <w:r w:rsidR="002D69D8">
        <w:rPr>
          <w:szCs w:val="26"/>
        </w:rPr>
        <w:t xml:space="preserve"> </w:t>
      </w:r>
      <w:r w:rsidR="0021302C">
        <w:rPr>
          <w:szCs w:val="26"/>
        </w:rPr>
        <w:t>Although the Commission recognizes</w:t>
      </w:r>
      <w:r w:rsidR="00595F03">
        <w:rPr>
          <w:szCs w:val="26"/>
        </w:rPr>
        <w:t xml:space="preserve"> that this approach </w:t>
      </w:r>
      <w:r w:rsidR="005F0853">
        <w:rPr>
          <w:szCs w:val="26"/>
        </w:rPr>
        <w:t xml:space="preserve">may </w:t>
      </w:r>
      <w:r w:rsidR="005F0853">
        <w:rPr>
          <w:szCs w:val="26"/>
        </w:rPr>
        <w:lastRenderedPageBreak/>
        <w:t>add</w:t>
      </w:r>
      <w:r w:rsidR="007F00FD">
        <w:rPr>
          <w:szCs w:val="26"/>
        </w:rPr>
        <w:t xml:space="preserve"> complexity to program tracking, evaluation and</w:t>
      </w:r>
      <w:r w:rsidR="004C029E">
        <w:rPr>
          <w:szCs w:val="26"/>
        </w:rPr>
        <w:t xml:space="preserve"> TRC calculations,</w:t>
      </w:r>
      <w:r w:rsidR="0085668B">
        <w:rPr>
          <w:szCs w:val="26"/>
        </w:rPr>
        <w:t xml:space="preserve"> </w:t>
      </w:r>
      <w:r w:rsidR="001502BE">
        <w:rPr>
          <w:szCs w:val="26"/>
        </w:rPr>
        <w:t xml:space="preserve">the Commission </w:t>
      </w:r>
      <w:r w:rsidR="005F0853">
        <w:rPr>
          <w:szCs w:val="26"/>
        </w:rPr>
        <w:t>believes</w:t>
      </w:r>
      <w:r w:rsidR="001502BE">
        <w:rPr>
          <w:szCs w:val="26"/>
        </w:rPr>
        <w:t xml:space="preserve"> that it is</w:t>
      </w:r>
      <w:r w:rsidR="0085668B">
        <w:rPr>
          <w:szCs w:val="26"/>
        </w:rPr>
        <w:t xml:space="preserve"> the most </w:t>
      </w:r>
      <w:r w:rsidR="0085668B" w:rsidRPr="006B0A94">
        <w:rPr>
          <w:szCs w:val="26"/>
        </w:rPr>
        <w:t xml:space="preserve">accurate </w:t>
      </w:r>
      <w:r w:rsidR="007F00FD" w:rsidRPr="006B0A94">
        <w:rPr>
          <w:szCs w:val="26"/>
        </w:rPr>
        <w:t xml:space="preserve">way </w:t>
      </w:r>
      <w:r w:rsidR="005D11D1" w:rsidRPr="006B0A94">
        <w:rPr>
          <w:szCs w:val="26"/>
        </w:rPr>
        <w:t>to capture</w:t>
      </w:r>
      <w:r w:rsidR="007F00FD" w:rsidRPr="006B0A94">
        <w:rPr>
          <w:szCs w:val="26"/>
        </w:rPr>
        <w:t xml:space="preserve"> </w:t>
      </w:r>
      <w:r w:rsidR="00F35DCA" w:rsidRPr="006B0A94">
        <w:rPr>
          <w:szCs w:val="26"/>
        </w:rPr>
        <w:t xml:space="preserve">savings. </w:t>
      </w:r>
      <w:r w:rsidR="005F0853" w:rsidRPr="006B0A94">
        <w:rPr>
          <w:szCs w:val="26"/>
        </w:rPr>
        <w:t xml:space="preserve"> </w:t>
      </w:r>
      <w:r w:rsidR="00F35DCA" w:rsidRPr="006B0A94">
        <w:rPr>
          <w:szCs w:val="26"/>
        </w:rPr>
        <w:t xml:space="preserve">The dual baseline method takes into account improvements in technology </w:t>
      </w:r>
      <w:r w:rsidR="00C722AA" w:rsidRPr="006B0A94">
        <w:rPr>
          <w:szCs w:val="26"/>
        </w:rPr>
        <w:t>that would be driven by the market in cases where baseline changes are known and significant</w:t>
      </w:r>
      <w:r w:rsidR="001502BE" w:rsidRPr="006B0A94">
        <w:rPr>
          <w:szCs w:val="26"/>
        </w:rPr>
        <w:t>.</w:t>
      </w:r>
      <w:r w:rsidR="005F0853" w:rsidRPr="006B0A94">
        <w:rPr>
          <w:szCs w:val="26"/>
        </w:rPr>
        <w:t xml:space="preserve"> </w:t>
      </w:r>
      <w:r w:rsidR="001502BE" w:rsidRPr="006B0A94">
        <w:rPr>
          <w:szCs w:val="26"/>
        </w:rPr>
        <w:t xml:space="preserve"> </w:t>
      </w:r>
      <w:r w:rsidR="00C722AA" w:rsidRPr="006B0A94">
        <w:rPr>
          <w:szCs w:val="26"/>
        </w:rPr>
        <w:t>To credit an EE&amp;C program with lifetime e</w:t>
      </w:r>
      <w:r w:rsidR="00F35DCA" w:rsidRPr="006B0A94">
        <w:rPr>
          <w:szCs w:val="26"/>
        </w:rPr>
        <w:t xml:space="preserve">nergy </w:t>
      </w:r>
      <w:r w:rsidR="00C722AA" w:rsidRPr="006B0A94">
        <w:rPr>
          <w:szCs w:val="26"/>
        </w:rPr>
        <w:t xml:space="preserve">and peak </w:t>
      </w:r>
      <w:r w:rsidR="00F35DCA" w:rsidRPr="006B0A94">
        <w:rPr>
          <w:szCs w:val="26"/>
        </w:rPr>
        <w:t xml:space="preserve">savings </w:t>
      </w:r>
      <w:r w:rsidR="00C722AA" w:rsidRPr="006B0A94">
        <w:rPr>
          <w:szCs w:val="26"/>
        </w:rPr>
        <w:t>that will be necessitated by market changes would produce distorted benefit cost ratios in the TRC Test</w:t>
      </w:r>
      <w:r w:rsidR="00F35DCA" w:rsidRPr="006B0A94">
        <w:rPr>
          <w:szCs w:val="26"/>
        </w:rPr>
        <w:t>.</w:t>
      </w:r>
      <w:r w:rsidR="00503F11" w:rsidRPr="006B0A94">
        <w:rPr>
          <w:szCs w:val="26"/>
        </w:rPr>
        <w:t xml:space="preserve"> </w:t>
      </w:r>
    </w:p>
    <w:p w:rsidR="00973A1A" w:rsidRPr="006B0A94" w:rsidRDefault="00973A1A" w:rsidP="001B6469">
      <w:pPr>
        <w:jc w:val="left"/>
        <w:rPr>
          <w:szCs w:val="26"/>
        </w:rPr>
      </w:pPr>
    </w:p>
    <w:p w:rsidR="0085668B" w:rsidRDefault="0085668B" w:rsidP="001B6469">
      <w:pPr>
        <w:ind w:firstLine="720"/>
        <w:jc w:val="left"/>
        <w:rPr>
          <w:szCs w:val="26"/>
        </w:rPr>
      </w:pPr>
      <w:r w:rsidRPr="006B0A94">
        <w:rPr>
          <w:szCs w:val="26"/>
        </w:rPr>
        <w:t>The Commission further clarifies that the dual baseline</w:t>
      </w:r>
      <w:r>
        <w:rPr>
          <w:szCs w:val="26"/>
        </w:rPr>
        <w:t xml:space="preserve"> approach will not impact EDCs’ first year</w:t>
      </w:r>
      <w:r w:rsidR="005F0853">
        <w:rPr>
          <w:szCs w:val="26"/>
        </w:rPr>
        <w:t xml:space="preserve"> energy and peak demand savings, which </w:t>
      </w:r>
      <w:r>
        <w:rPr>
          <w:szCs w:val="26"/>
        </w:rPr>
        <w:t>are used to determine EDC compliance.</w:t>
      </w:r>
      <w:r w:rsidR="005F0853">
        <w:rPr>
          <w:szCs w:val="26"/>
        </w:rPr>
        <w:t xml:space="preserve"> </w:t>
      </w:r>
      <w:r>
        <w:rPr>
          <w:szCs w:val="26"/>
        </w:rPr>
        <w:t xml:space="preserve"> The measure vintages and measure lives </w:t>
      </w:r>
      <w:r w:rsidR="00CE2C7B">
        <w:rPr>
          <w:szCs w:val="26"/>
        </w:rPr>
        <w:t>provide</w:t>
      </w:r>
      <w:r>
        <w:rPr>
          <w:szCs w:val="26"/>
        </w:rPr>
        <w:t xml:space="preserve"> guidelines for TRC tests as energy savings </w:t>
      </w:r>
      <w:r w:rsidR="00C722AA">
        <w:rPr>
          <w:szCs w:val="26"/>
        </w:rPr>
        <w:t>or</w:t>
      </w:r>
      <w:r>
        <w:rPr>
          <w:szCs w:val="26"/>
        </w:rPr>
        <w:t xml:space="preserve"> useful life are reduced to </w:t>
      </w:r>
      <w:r w:rsidR="001502BE">
        <w:rPr>
          <w:szCs w:val="26"/>
        </w:rPr>
        <w:t xml:space="preserve">reflect </w:t>
      </w:r>
      <w:r w:rsidR="00C860E6">
        <w:rPr>
          <w:szCs w:val="26"/>
        </w:rPr>
        <w:t>the changing baseline values.</w:t>
      </w:r>
      <w:r>
        <w:rPr>
          <w:szCs w:val="26"/>
        </w:rPr>
        <w:t xml:space="preserve"> </w:t>
      </w:r>
      <w:r w:rsidR="005F0853">
        <w:rPr>
          <w:szCs w:val="26"/>
        </w:rPr>
        <w:t xml:space="preserve"> </w:t>
      </w:r>
      <w:r>
        <w:rPr>
          <w:szCs w:val="26"/>
        </w:rPr>
        <w:t>F</w:t>
      </w:r>
      <w:r w:rsidR="00503F11">
        <w:rPr>
          <w:szCs w:val="26"/>
        </w:rPr>
        <w:t xml:space="preserve">or example, </w:t>
      </w:r>
      <w:r w:rsidR="00EF3AB1" w:rsidRPr="00EF3AB1">
        <w:rPr>
          <w:szCs w:val="26"/>
        </w:rPr>
        <w:t>The Energy Policy Act of 2005 (EPAct)</w:t>
      </w:r>
      <w:r w:rsidR="005F0853">
        <w:rPr>
          <w:rStyle w:val="FootnoteReference"/>
          <w:szCs w:val="26"/>
        </w:rPr>
        <w:footnoteReference w:id="27"/>
      </w:r>
      <w:r w:rsidR="00EF3AB1" w:rsidRPr="00EF3AB1">
        <w:rPr>
          <w:szCs w:val="26"/>
        </w:rPr>
        <w:t xml:space="preserve"> introduced new efficiency standards for linear fluorescent bulbs and ballasts, effectively phasing out magnetic ballasts on October 1, 2010</w:t>
      </w:r>
      <w:r w:rsidR="005F0853">
        <w:rPr>
          <w:szCs w:val="26"/>
        </w:rPr>
        <w:t>,</w:t>
      </w:r>
      <w:r w:rsidR="00EF3AB1" w:rsidRPr="00EF3AB1">
        <w:rPr>
          <w:szCs w:val="26"/>
        </w:rPr>
        <w:t xml:space="preserve"> a</w:t>
      </w:r>
      <w:r w:rsidR="00C860E6">
        <w:rPr>
          <w:szCs w:val="26"/>
        </w:rPr>
        <w:t>nd T-12 bulbs on July 14, 2012.</w:t>
      </w:r>
      <w:r w:rsidR="00EF3AB1" w:rsidRPr="00EF3AB1">
        <w:rPr>
          <w:szCs w:val="26"/>
        </w:rPr>
        <w:t xml:space="preserve"> </w:t>
      </w:r>
      <w:r w:rsidR="005F0853">
        <w:rPr>
          <w:szCs w:val="26"/>
        </w:rPr>
        <w:t xml:space="preserve"> </w:t>
      </w:r>
      <w:r w:rsidR="00CE2C7B">
        <w:rPr>
          <w:szCs w:val="26"/>
        </w:rPr>
        <w:t>The Commission believes that</w:t>
      </w:r>
      <w:r w:rsidR="009F4E6F">
        <w:rPr>
          <w:szCs w:val="26"/>
        </w:rPr>
        <w:t xml:space="preserve"> T-12 linear fluorescents will continue to be the </w:t>
      </w:r>
      <w:r w:rsidR="001502BE">
        <w:rPr>
          <w:szCs w:val="26"/>
        </w:rPr>
        <w:t xml:space="preserve">baseline for </w:t>
      </w:r>
      <w:r w:rsidR="00CE2C7B">
        <w:rPr>
          <w:szCs w:val="26"/>
        </w:rPr>
        <w:t>lighting retrofit project</w:t>
      </w:r>
      <w:r w:rsidR="001502BE">
        <w:rPr>
          <w:szCs w:val="26"/>
        </w:rPr>
        <w:t>s</w:t>
      </w:r>
      <w:r w:rsidR="00CE2C7B">
        <w:rPr>
          <w:szCs w:val="26"/>
        </w:rPr>
        <w:t xml:space="preserve"> </w:t>
      </w:r>
      <w:r w:rsidR="009F4E6F">
        <w:rPr>
          <w:szCs w:val="26"/>
        </w:rPr>
        <w:t>for</w:t>
      </w:r>
      <w:r w:rsidR="00CE2C7B">
        <w:rPr>
          <w:szCs w:val="26"/>
        </w:rPr>
        <w:t xml:space="preserve"> the entirety of Phase II</w:t>
      </w:r>
      <w:r w:rsidR="005F0853">
        <w:rPr>
          <w:szCs w:val="26"/>
        </w:rPr>
        <w:t xml:space="preserve"> in order</w:t>
      </w:r>
      <w:r w:rsidR="00CE2C7B">
        <w:rPr>
          <w:szCs w:val="26"/>
        </w:rPr>
        <w:t xml:space="preserve"> to account for the time required for the market to adjust to the new code standards. </w:t>
      </w:r>
      <w:r w:rsidR="005F0853">
        <w:rPr>
          <w:szCs w:val="26"/>
        </w:rPr>
        <w:t xml:space="preserve"> </w:t>
      </w:r>
      <w:r w:rsidR="00CE2C7B">
        <w:rPr>
          <w:szCs w:val="26"/>
        </w:rPr>
        <w:t>However,</w:t>
      </w:r>
      <w:r w:rsidR="00467292">
        <w:rPr>
          <w:szCs w:val="26"/>
        </w:rPr>
        <w:t xml:space="preserve"> beginning June 1, 2016, standard T-8s will become the baseline for all T-12 linear fluorescent retrofits. </w:t>
      </w:r>
      <w:r w:rsidR="005F0853">
        <w:rPr>
          <w:szCs w:val="26"/>
        </w:rPr>
        <w:t xml:space="preserve"> </w:t>
      </w:r>
      <w:r w:rsidR="00467292">
        <w:rPr>
          <w:szCs w:val="26"/>
        </w:rPr>
        <w:t xml:space="preserve">This baseline shift will be accounted for by applying savings adjustment factors or reducing the effective useful life </w:t>
      </w:r>
      <w:r w:rsidR="00874B43">
        <w:rPr>
          <w:szCs w:val="26"/>
        </w:rPr>
        <w:t>of general service</w:t>
      </w:r>
      <w:r w:rsidR="00C860E6">
        <w:rPr>
          <w:szCs w:val="26"/>
        </w:rPr>
        <w:t xml:space="preserve"> fluorescent lighting measures.</w:t>
      </w:r>
      <w:r w:rsidR="005F0853">
        <w:rPr>
          <w:szCs w:val="26"/>
        </w:rPr>
        <w:t xml:space="preserve"> </w:t>
      </w:r>
      <w:r w:rsidR="00874B43">
        <w:rPr>
          <w:szCs w:val="26"/>
        </w:rPr>
        <w:t xml:space="preserve"> This adjustment</w:t>
      </w:r>
      <w:r w:rsidR="00467292">
        <w:rPr>
          <w:szCs w:val="26"/>
        </w:rPr>
        <w:t xml:space="preserve"> </w:t>
      </w:r>
      <w:r w:rsidR="00874B43">
        <w:rPr>
          <w:szCs w:val="26"/>
        </w:rPr>
        <w:t>accounts for the fact that customers would have to replace their T-12 fixtures</w:t>
      </w:r>
      <w:r w:rsidR="005F0853">
        <w:rPr>
          <w:szCs w:val="26"/>
        </w:rPr>
        <w:t>,</w:t>
      </w:r>
      <w:r w:rsidR="00874B43">
        <w:rPr>
          <w:szCs w:val="26"/>
        </w:rPr>
        <w:t xml:space="preserve"> absent the program</w:t>
      </w:r>
      <w:r w:rsidR="005F0853">
        <w:rPr>
          <w:szCs w:val="26"/>
        </w:rPr>
        <w:t>,</w:t>
      </w:r>
      <w:r w:rsidR="00874B43">
        <w:rPr>
          <w:szCs w:val="26"/>
        </w:rPr>
        <w:t xml:space="preserve"> at some point in the effective useful life of the efficient equipment</w:t>
      </w:r>
      <w:r w:rsidR="005F0853">
        <w:rPr>
          <w:szCs w:val="26"/>
        </w:rPr>
        <w:t>.  Therefore, using</w:t>
      </w:r>
      <w:r w:rsidR="00874B43">
        <w:rPr>
          <w:szCs w:val="26"/>
        </w:rPr>
        <w:t xml:space="preserve"> a T-12 baseline for the entirety of the measure life would overstate savings</w:t>
      </w:r>
      <w:r w:rsidR="00467292">
        <w:rPr>
          <w:szCs w:val="26"/>
        </w:rPr>
        <w:t xml:space="preserve">. </w:t>
      </w:r>
    </w:p>
    <w:p w:rsidR="0085668B" w:rsidRDefault="0085668B" w:rsidP="001B6469">
      <w:pPr>
        <w:ind w:firstLine="720"/>
        <w:jc w:val="left"/>
        <w:rPr>
          <w:szCs w:val="26"/>
        </w:rPr>
      </w:pPr>
    </w:p>
    <w:p w:rsidR="00467292" w:rsidRDefault="00467292" w:rsidP="001B6469">
      <w:pPr>
        <w:ind w:firstLine="720"/>
        <w:jc w:val="left"/>
        <w:rPr>
          <w:szCs w:val="26"/>
        </w:rPr>
      </w:pPr>
      <w:r w:rsidRPr="00C032AC">
        <w:rPr>
          <w:szCs w:val="26"/>
        </w:rPr>
        <w:t>The Commission also notes</w:t>
      </w:r>
      <w:r w:rsidR="00D2593D" w:rsidRPr="00C032AC">
        <w:rPr>
          <w:szCs w:val="26"/>
        </w:rPr>
        <w:t xml:space="preserve"> that Table</w:t>
      </w:r>
      <w:r w:rsidRPr="00C032AC">
        <w:rPr>
          <w:szCs w:val="26"/>
        </w:rPr>
        <w:t xml:space="preserve"> 3-2</w:t>
      </w:r>
      <w:r w:rsidR="00D2593D" w:rsidRPr="00C032AC">
        <w:rPr>
          <w:szCs w:val="26"/>
        </w:rPr>
        <w:t xml:space="preserve"> </w:t>
      </w:r>
      <w:r w:rsidRPr="00C032AC">
        <w:rPr>
          <w:szCs w:val="26"/>
        </w:rPr>
        <w:t xml:space="preserve">and </w:t>
      </w:r>
      <w:r w:rsidR="00D2593D" w:rsidRPr="00C032AC">
        <w:rPr>
          <w:szCs w:val="26"/>
        </w:rPr>
        <w:t xml:space="preserve">Table </w:t>
      </w:r>
      <w:r w:rsidRPr="00C032AC">
        <w:rPr>
          <w:szCs w:val="26"/>
        </w:rPr>
        <w:t>3-3</w:t>
      </w:r>
      <w:r w:rsidR="00AD2B63">
        <w:rPr>
          <w:szCs w:val="26"/>
        </w:rPr>
        <w:t xml:space="preserve"> </w:t>
      </w:r>
      <w:r w:rsidRPr="00C032AC">
        <w:rPr>
          <w:szCs w:val="26"/>
        </w:rPr>
        <w:t xml:space="preserve">in the </w:t>
      </w:r>
      <w:r w:rsidR="005F0853" w:rsidRPr="00C032AC">
        <w:rPr>
          <w:szCs w:val="26"/>
        </w:rPr>
        <w:t>Tentative</w:t>
      </w:r>
      <w:r w:rsidRPr="00C032AC">
        <w:rPr>
          <w:szCs w:val="26"/>
        </w:rPr>
        <w:t xml:space="preserve"> 2015 TRM presented the savings adjustment factor as the percent reduction after the baseline changes take effect. </w:t>
      </w:r>
      <w:r w:rsidR="005F0853" w:rsidRPr="00C032AC">
        <w:rPr>
          <w:szCs w:val="26"/>
        </w:rPr>
        <w:t xml:space="preserve"> </w:t>
      </w:r>
      <w:r w:rsidRPr="00C032AC">
        <w:rPr>
          <w:szCs w:val="26"/>
        </w:rPr>
        <w:t xml:space="preserve">Upon further review, the savings adjustment factor would be more </w:t>
      </w:r>
      <w:r w:rsidRPr="00C032AC">
        <w:rPr>
          <w:szCs w:val="26"/>
        </w:rPr>
        <w:lastRenderedPageBreak/>
        <w:t xml:space="preserve">clearly stated as the percent of savings remaining. </w:t>
      </w:r>
      <w:r w:rsidR="005F0853" w:rsidRPr="00C032AC">
        <w:rPr>
          <w:szCs w:val="26"/>
        </w:rPr>
        <w:t xml:space="preserve"> </w:t>
      </w:r>
      <w:r w:rsidRPr="00C032AC">
        <w:rPr>
          <w:szCs w:val="26"/>
        </w:rPr>
        <w:t>To apply</w:t>
      </w:r>
      <w:r w:rsidR="004C7EBC" w:rsidRPr="00C032AC">
        <w:rPr>
          <w:szCs w:val="26"/>
        </w:rPr>
        <w:t xml:space="preserve"> the savings adjustment factors, </w:t>
      </w:r>
      <w:r w:rsidRPr="00C032AC">
        <w:rPr>
          <w:szCs w:val="26"/>
        </w:rPr>
        <w:t xml:space="preserve">savings adjustment factors should be multiplied by the full savings for savings starting June 1, 2016, and for the remainder of the measure life. </w:t>
      </w:r>
      <w:r w:rsidR="005F0853" w:rsidRPr="00C032AC">
        <w:rPr>
          <w:szCs w:val="26"/>
        </w:rPr>
        <w:t xml:space="preserve"> </w:t>
      </w:r>
      <w:r w:rsidR="003819C8" w:rsidRPr="00C032AC">
        <w:rPr>
          <w:szCs w:val="26"/>
        </w:rPr>
        <w:t>The Commission has updated the TRM to reflect the changes in the savings adjustment factor and adjusted EUL values.</w:t>
      </w:r>
      <w:r w:rsidR="00E061EB" w:rsidRPr="00C032AC">
        <w:rPr>
          <w:szCs w:val="26"/>
        </w:rPr>
        <w:t xml:space="preserve"> </w:t>
      </w:r>
      <w:r w:rsidR="005F0853" w:rsidRPr="00C032AC">
        <w:rPr>
          <w:szCs w:val="26"/>
        </w:rPr>
        <w:t xml:space="preserve"> </w:t>
      </w:r>
      <w:r w:rsidR="00E061EB" w:rsidRPr="00C032AC">
        <w:rPr>
          <w:szCs w:val="26"/>
        </w:rPr>
        <w:t xml:space="preserve">The Commission also added a table to include savings adjustment factors and </w:t>
      </w:r>
      <w:r w:rsidR="00E66F64" w:rsidRPr="00C032AC">
        <w:rPr>
          <w:szCs w:val="26"/>
        </w:rPr>
        <w:t xml:space="preserve">adjusted </w:t>
      </w:r>
      <w:r w:rsidR="00E061EB" w:rsidRPr="00C032AC">
        <w:rPr>
          <w:szCs w:val="26"/>
        </w:rPr>
        <w:t xml:space="preserve">EULs for </w:t>
      </w:r>
      <w:r w:rsidR="003A5590" w:rsidRPr="00C032AC">
        <w:rPr>
          <w:szCs w:val="26"/>
        </w:rPr>
        <w:t>standard T-8 retrofits.</w:t>
      </w:r>
      <w:r w:rsidR="003819C8" w:rsidRPr="00C032AC">
        <w:rPr>
          <w:szCs w:val="26"/>
        </w:rPr>
        <w:t xml:space="preserve"> </w:t>
      </w:r>
      <w:r w:rsidR="005F0853" w:rsidRPr="00C032AC">
        <w:rPr>
          <w:szCs w:val="26"/>
        </w:rPr>
        <w:t xml:space="preserve"> </w:t>
      </w:r>
      <w:r w:rsidR="00E66F64" w:rsidRPr="00C032AC">
        <w:rPr>
          <w:szCs w:val="26"/>
        </w:rPr>
        <w:t>Finally, the</w:t>
      </w:r>
      <w:r w:rsidR="003819C8" w:rsidRPr="00C032AC">
        <w:rPr>
          <w:szCs w:val="26"/>
        </w:rPr>
        <w:t xml:space="preserve"> Commission has provided</w:t>
      </w:r>
      <w:r w:rsidR="005F0853" w:rsidRPr="00C032AC">
        <w:rPr>
          <w:szCs w:val="26"/>
        </w:rPr>
        <w:t xml:space="preserve">, in the TRM, </w:t>
      </w:r>
      <w:r w:rsidR="003819C8" w:rsidRPr="00C032AC">
        <w:rPr>
          <w:szCs w:val="26"/>
        </w:rPr>
        <w:t xml:space="preserve">an example to </w:t>
      </w:r>
      <w:r w:rsidR="00C47308" w:rsidRPr="00C032AC">
        <w:rPr>
          <w:szCs w:val="26"/>
        </w:rPr>
        <w:t xml:space="preserve">further </w:t>
      </w:r>
      <w:r w:rsidR="003819C8" w:rsidRPr="00C032AC">
        <w:rPr>
          <w:szCs w:val="26"/>
        </w:rPr>
        <w:t>explain how these values are used.</w:t>
      </w:r>
      <w:r w:rsidR="003819C8">
        <w:rPr>
          <w:szCs w:val="26"/>
        </w:rPr>
        <w:t xml:space="preserve"> </w:t>
      </w:r>
    </w:p>
    <w:p w:rsidR="00D05144" w:rsidRPr="0098410B" w:rsidRDefault="00D05144" w:rsidP="001B6469">
      <w:pPr>
        <w:jc w:val="left"/>
        <w:rPr>
          <w:szCs w:val="26"/>
        </w:rPr>
      </w:pPr>
    </w:p>
    <w:p w:rsidR="00D05144" w:rsidRPr="000821CD" w:rsidRDefault="00D05144" w:rsidP="005A705B">
      <w:pPr>
        <w:pStyle w:val="Heading3"/>
        <w:ind w:left="720" w:firstLine="0"/>
        <w:rPr>
          <w:b w:val="0"/>
        </w:rPr>
      </w:pPr>
      <w:bookmarkStart w:id="27" w:name="_Toc396910594"/>
      <w:bookmarkStart w:id="28" w:name="_Toc405802370"/>
      <w:bookmarkStart w:id="29" w:name="_Toc405884700"/>
      <w:r>
        <w:t>TRM Measure Formatting Changes</w:t>
      </w:r>
      <w:bookmarkEnd w:id="27"/>
      <w:r w:rsidR="005A705B">
        <w:t xml:space="preserve"> – Organization of Measures</w:t>
      </w:r>
      <w:bookmarkEnd w:id="28"/>
      <w:bookmarkEnd w:id="29"/>
    </w:p>
    <w:p w:rsidR="00D05144" w:rsidRPr="0098410B" w:rsidRDefault="00D05144" w:rsidP="001B6469">
      <w:pPr>
        <w:jc w:val="left"/>
        <w:rPr>
          <w:szCs w:val="26"/>
        </w:rPr>
      </w:pPr>
    </w:p>
    <w:p w:rsidR="00D05144" w:rsidRDefault="00D05144" w:rsidP="001B6469">
      <w:pPr>
        <w:jc w:val="left"/>
        <w:rPr>
          <w:szCs w:val="26"/>
        </w:rPr>
      </w:pPr>
      <w:r w:rsidRPr="0098410B">
        <w:rPr>
          <w:b/>
          <w:szCs w:val="26"/>
        </w:rPr>
        <w:tab/>
      </w:r>
      <w:r w:rsidRPr="004D2ED3">
        <w:rPr>
          <w:szCs w:val="26"/>
        </w:rPr>
        <w:t>The Commission propose</w:t>
      </w:r>
      <w:r w:rsidR="006C2976" w:rsidRPr="004D2ED3">
        <w:rPr>
          <w:szCs w:val="26"/>
        </w:rPr>
        <w:t>d</w:t>
      </w:r>
      <w:r w:rsidRPr="004D2ED3">
        <w:rPr>
          <w:szCs w:val="26"/>
        </w:rPr>
        <w:t xml:space="preserve"> t</w:t>
      </w:r>
      <w:r w:rsidR="006C2976" w:rsidRPr="004D2ED3">
        <w:rPr>
          <w:szCs w:val="26"/>
        </w:rPr>
        <w:t>he</w:t>
      </w:r>
      <w:r w:rsidRPr="004D2ED3">
        <w:rPr>
          <w:szCs w:val="26"/>
        </w:rPr>
        <w:t xml:space="preserve"> reorganiz</w:t>
      </w:r>
      <w:r w:rsidR="006C2976" w:rsidRPr="004D2ED3">
        <w:rPr>
          <w:szCs w:val="26"/>
        </w:rPr>
        <w:t>ation of</w:t>
      </w:r>
      <w:r w:rsidRPr="004D2ED3">
        <w:rPr>
          <w:szCs w:val="26"/>
        </w:rPr>
        <w:t xml:space="preserve"> the 2015 TRM in order to align with other statewide TRMs and to provide for a more intuitive way</w:t>
      </w:r>
      <w:r w:rsidR="00C860E6" w:rsidRPr="004D2ED3">
        <w:rPr>
          <w:szCs w:val="26"/>
        </w:rPr>
        <w:t xml:space="preserve"> to locate data within the TRM.</w:t>
      </w:r>
      <w:r w:rsidRPr="004D2ED3">
        <w:rPr>
          <w:szCs w:val="26"/>
        </w:rPr>
        <w:t xml:space="preserve"> </w:t>
      </w:r>
      <w:r w:rsidR="004D2ED3">
        <w:rPr>
          <w:szCs w:val="26"/>
        </w:rPr>
        <w:t xml:space="preserve"> </w:t>
      </w:r>
      <w:r w:rsidRPr="004D2ED3">
        <w:rPr>
          <w:szCs w:val="26"/>
        </w:rPr>
        <w:t>To accomplish this, the Commission propose</w:t>
      </w:r>
      <w:r w:rsidR="006C2976" w:rsidRPr="004D2ED3">
        <w:rPr>
          <w:szCs w:val="26"/>
        </w:rPr>
        <w:t>d</w:t>
      </w:r>
      <w:r w:rsidRPr="004D2ED3">
        <w:rPr>
          <w:szCs w:val="26"/>
        </w:rPr>
        <w:t xml:space="preserve"> updating the Residential and C&amp;I measure order and measure identification numbers to classify them by end use,</w:t>
      </w:r>
      <w:r w:rsidRPr="004D2ED3">
        <w:rPr>
          <w:rStyle w:val="FootnoteReference"/>
          <w:szCs w:val="26"/>
        </w:rPr>
        <w:footnoteReference w:id="28"/>
      </w:r>
      <w:r w:rsidRPr="004D2ED3">
        <w:rPr>
          <w:szCs w:val="26"/>
        </w:rPr>
        <w:t xml:space="preserve"> intended as an expansion of Section 1.2.3 - End-Use Categories &amp; Thresholds for Using Default Values of the TRM.  Table 1-1: End-Use Categories and Measures in the TRM in Section 1.2.3 – End-Use Categories and Measures in the TRM </w:t>
      </w:r>
      <w:r w:rsidR="006C2976" w:rsidRPr="004D2ED3">
        <w:rPr>
          <w:szCs w:val="26"/>
        </w:rPr>
        <w:t>was proposed to</w:t>
      </w:r>
      <w:r w:rsidRPr="004D2ED3">
        <w:rPr>
          <w:szCs w:val="26"/>
        </w:rPr>
        <w:t xml:space="preserve"> be updated as follows:</w:t>
      </w:r>
    </w:p>
    <w:p w:rsidR="00396FA3" w:rsidRDefault="00396FA3" w:rsidP="001B6469">
      <w:pPr>
        <w:jc w:val="left"/>
        <w:rPr>
          <w:szCs w:val="26"/>
        </w:rPr>
      </w:pPr>
    </w:p>
    <w:tbl>
      <w:tblPr>
        <w:tblStyle w:val="TableGrid"/>
        <w:tblW w:w="0" w:type="auto"/>
        <w:jc w:val="center"/>
        <w:tblLook w:val="04A0" w:firstRow="1" w:lastRow="0" w:firstColumn="1" w:lastColumn="0" w:noHBand="0" w:noVBand="1"/>
      </w:tblPr>
      <w:tblGrid>
        <w:gridCol w:w="3430"/>
        <w:gridCol w:w="3430"/>
      </w:tblGrid>
      <w:tr w:rsidR="00D05144" w:rsidRPr="0098410B" w:rsidTr="001D67B1">
        <w:trPr>
          <w:trHeight w:val="288"/>
          <w:tblHeader/>
          <w:jc w:val="center"/>
        </w:trPr>
        <w:tc>
          <w:tcPr>
            <w:tcW w:w="34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5144" w:rsidRPr="0098410B" w:rsidRDefault="00D05144" w:rsidP="001B6469">
            <w:pPr>
              <w:widowControl w:val="0"/>
              <w:spacing w:line="240" w:lineRule="auto"/>
              <w:jc w:val="left"/>
              <w:rPr>
                <w:b/>
                <w:szCs w:val="26"/>
              </w:rPr>
            </w:pPr>
            <w:r w:rsidRPr="0098410B">
              <w:rPr>
                <w:b/>
                <w:szCs w:val="26"/>
              </w:rPr>
              <w:t>End-Use Categories</w:t>
            </w:r>
          </w:p>
        </w:tc>
        <w:tc>
          <w:tcPr>
            <w:tcW w:w="34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5144" w:rsidRPr="0098410B" w:rsidRDefault="00D05144" w:rsidP="001B6469">
            <w:pPr>
              <w:widowControl w:val="0"/>
              <w:spacing w:line="240" w:lineRule="auto"/>
              <w:jc w:val="left"/>
              <w:rPr>
                <w:b/>
                <w:szCs w:val="26"/>
              </w:rPr>
            </w:pPr>
            <w:r w:rsidRPr="0098410B">
              <w:rPr>
                <w:b/>
                <w:szCs w:val="26"/>
              </w:rPr>
              <w:t>List of Measures (Sections)</w:t>
            </w:r>
            <w:r w:rsidR="001E73A1" w:rsidRPr="001E73A1">
              <w:rPr>
                <w:rStyle w:val="FootnoteReference"/>
                <w:szCs w:val="26"/>
              </w:rPr>
              <w:footnoteReference w:id="29"/>
            </w:r>
          </w:p>
        </w:tc>
      </w:tr>
      <w:tr w:rsidR="00D05144" w:rsidRPr="0098410B" w:rsidTr="00D05144">
        <w:trPr>
          <w:trHeight w:val="288"/>
          <w:jc w:val="center"/>
        </w:trPr>
        <w:tc>
          <w:tcPr>
            <w:tcW w:w="686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05144" w:rsidRPr="0098410B" w:rsidRDefault="00D05144" w:rsidP="001B6469">
            <w:pPr>
              <w:widowControl w:val="0"/>
              <w:spacing w:line="240" w:lineRule="auto"/>
              <w:jc w:val="left"/>
              <w:rPr>
                <w:b/>
                <w:szCs w:val="26"/>
              </w:rPr>
            </w:pPr>
            <w:r w:rsidRPr="0098410B">
              <w:rPr>
                <w:b/>
                <w:szCs w:val="26"/>
              </w:rPr>
              <w:t>Residential Market Sector</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Lighting - 2.1</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2.1.1 – 2.1.5</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HVAC - 2.2</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2.2.1 – 2.2.9</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Domestic Hot Water - 2.3</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2.3.1 – 2.3.11</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Appliances – 2.4</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2.4.1 – 2.4.11</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Consumer Electronics – 2.5</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2.5.1 – 2.5.3</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Building Shell – 2.6</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2.6.1 – 2.6.7</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lastRenderedPageBreak/>
              <w:t>Miscellaneous – 2.7</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2.7.1 – 2.7.2</w:t>
            </w:r>
          </w:p>
        </w:tc>
      </w:tr>
      <w:tr w:rsidR="00D05144" w:rsidRPr="0098410B" w:rsidTr="00D05144">
        <w:trPr>
          <w:trHeight w:val="288"/>
          <w:jc w:val="center"/>
        </w:trPr>
        <w:tc>
          <w:tcPr>
            <w:tcW w:w="686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05144" w:rsidRPr="0098410B" w:rsidRDefault="00D05144" w:rsidP="001B6469">
            <w:pPr>
              <w:widowControl w:val="0"/>
              <w:spacing w:line="240" w:lineRule="auto"/>
              <w:jc w:val="left"/>
              <w:rPr>
                <w:szCs w:val="26"/>
              </w:rPr>
            </w:pPr>
            <w:r w:rsidRPr="0098410B">
              <w:rPr>
                <w:b/>
                <w:szCs w:val="26"/>
              </w:rPr>
              <w:t>Commercial &amp; Industrial Market Sector</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b/>
                <w:szCs w:val="26"/>
              </w:rPr>
            </w:pPr>
            <w:r w:rsidRPr="0098410B">
              <w:rPr>
                <w:szCs w:val="26"/>
              </w:rPr>
              <w:t>Lighting – 3.1</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3.1.1 – 3.1.7</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b/>
                <w:szCs w:val="26"/>
              </w:rPr>
            </w:pPr>
            <w:r w:rsidRPr="0098410B">
              <w:rPr>
                <w:szCs w:val="26"/>
              </w:rPr>
              <w:t>HVAC – 3.2</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3.2.1 – 3.2.9</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Motors &amp; VFDs – 3.3</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3.3.1 – 3.3.4</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Domestic Hot Water – 3.4</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3.4.1 – 3.4.6</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b/>
                <w:szCs w:val="26"/>
              </w:rPr>
            </w:pPr>
            <w:r w:rsidRPr="0098410B">
              <w:rPr>
                <w:szCs w:val="26"/>
              </w:rPr>
              <w:t>Refrigeration – 3.5</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3.5.1 – 3.5.14</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Appliances – 3.6</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3.6.1</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Food Service Equipment – 3.7</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3.7.1 – 3.7.5</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Building Shell – 3.8</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3.8.1</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Consumer Electronics – 3.9</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3.9.1 – 3.9.3</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Compressed Air – 3.10</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Del="00C34D87" w:rsidRDefault="00D05144" w:rsidP="001B6469">
            <w:pPr>
              <w:widowControl w:val="0"/>
              <w:spacing w:line="240" w:lineRule="auto"/>
              <w:jc w:val="left"/>
              <w:rPr>
                <w:szCs w:val="26"/>
              </w:rPr>
            </w:pPr>
            <w:r w:rsidRPr="0098410B">
              <w:rPr>
                <w:szCs w:val="26"/>
              </w:rPr>
              <w:t>3.10.1 – 3.10.3</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Miscellaneous – 3.11</w:t>
            </w:r>
          </w:p>
        </w:tc>
        <w:tc>
          <w:tcPr>
            <w:tcW w:w="3430" w:type="dxa"/>
            <w:tcBorders>
              <w:top w:val="single" w:sz="4" w:space="0" w:color="auto"/>
              <w:left w:val="single" w:sz="4" w:space="0" w:color="auto"/>
              <w:bottom w:val="single" w:sz="4" w:space="0" w:color="auto"/>
              <w:right w:val="single" w:sz="4" w:space="0" w:color="auto"/>
            </w:tcBorders>
            <w:vAlign w:val="center"/>
          </w:tcPr>
          <w:p w:rsidR="00D05144" w:rsidRPr="0098410B" w:rsidRDefault="00D05144" w:rsidP="001B6469">
            <w:pPr>
              <w:widowControl w:val="0"/>
              <w:spacing w:line="240" w:lineRule="auto"/>
              <w:jc w:val="left"/>
              <w:rPr>
                <w:szCs w:val="26"/>
              </w:rPr>
            </w:pPr>
            <w:r w:rsidRPr="0098410B">
              <w:rPr>
                <w:szCs w:val="26"/>
              </w:rPr>
              <w:t>3.11.1</w:t>
            </w:r>
          </w:p>
        </w:tc>
      </w:tr>
      <w:tr w:rsidR="00D05144" w:rsidRPr="0098410B" w:rsidTr="00D05144">
        <w:trPr>
          <w:trHeight w:val="288"/>
          <w:jc w:val="center"/>
        </w:trPr>
        <w:tc>
          <w:tcPr>
            <w:tcW w:w="68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D05144" w:rsidRPr="0098410B" w:rsidRDefault="00D05144" w:rsidP="001B6469">
            <w:pPr>
              <w:widowControl w:val="0"/>
              <w:spacing w:line="240" w:lineRule="auto"/>
              <w:jc w:val="left"/>
              <w:rPr>
                <w:szCs w:val="26"/>
              </w:rPr>
            </w:pPr>
            <w:r w:rsidRPr="0098410B">
              <w:rPr>
                <w:b/>
                <w:szCs w:val="26"/>
              </w:rPr>
              <w:t xml:space="preserve">Agricultural </w:t>
            </w:r>
            <w:r>
              <w:rPr>
                <w:b/>
                <w:szCs w:val="26"/>
              </w:rPr>
              <w:t xml:space="preserve">Market </w:t>
            </w:r>
            <w:r w:rsidRPr="0098410B">
              <w:rPr>
                <w:b/>
                <w:szCs w:val="26"/>
              </w:rPr>
              <w:t>Sector</w:t>
            </w:r>
          </w:p>
        </w:tc>
      </w:tr>
      <w:tr w:rsidR="00D05144" w:rsidRPr="0098410B" w:rsidTr="00D05144">
        <w:trPr>
          <w:trHeight w:val="288"/>
          <w:jc w:val="center"/>
        </w:trPr>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pBdr>
                <w:right w:val="single" w:sz="8" w:space="0" w:color="auto"/>
              </w:pBdr>
              <w:spacing w:line="240" w:lineRule="auto"/>
              <w:jc w:val="left"/>
              <w:rPr>
                <w:b/>
                <w:szCs w:val="26"/>
              </w:rPr>
            </w:pPr>
            <w:r w:rsidRPr="0098410B">
              <w:rPr>
                <w:szCs w:val="26"/>
              </w:rPr>
              <w:t>Agricultural Equipment</w:t>
            </w:r>
          </w:p>
        </w:tc>
        <w:tc>
          <w:tcPr>
            <w:tcW w:w="3430" w:type="dxa"/>
            <w:tcBorders>
              <w:top w:val="single" w:sz="4" w:space="0" w:color="auto"/>
              <w:left w:val="single" w:sz="4" w:space="0" w:color="auto"/>
              <w:bottom w:val="single" w:sz="4" w:space="0" w:color="auto"/>
              <w:right w:val="single" w:sz="4" w:space="0" w:color="auto"/>
            </w:tcBorders>
            <w:vAlign w:val="center"/>
            <w:hideMark/>
          </w:tcPr>
          <w:p w:rsidR="00D05144" w:rsidRPr="0098410B" w:rsidRDefault="00D05144" w:rsidP="001B6469">
            <w:pPr>
              <w:widowControl w:val="0"/>
              <w:spacing w:line="240" w:lineRule="auto"/>
              <w:jc w:val="left"/>
              <w:rPr>
                <w:szCs w:val="26"/>
              </w:rPr>
            </w:pPr>
            <w:r w:rsidRPr="0098410B">
              <w:rPr>
                <w:szCs w:val="26"/>
              </w:rPr>
              <w:t>4.1 – 4.8</w:t>
            </w:r>
          </w:p>
        </w:tc>
      </w:tr>
    </w:tbl>
    <w:p w:rsidR="00D05144" w:rsidRPr="0098410B" w:rsidRDefault="00D05144" w:rsidP="001B6469">
      <w:pPr>
        <w:jc w:val="left"/>
        <w:rPr>
          <w:szCs w:val="26"/>
        </w:rPr>
      </w:pPr>
      <w:r w:rsidRPr="0098410B">
        <w:rPr>
          <w:szCs w:val="26"/>
        </w:rPr>
        <w:tab/>
      </w:r>
    </w:p>
    <w:p w:rsidR="00D05144" w:rsidRDefault="00D05144" w:rsidP="001B6469">
      <w:pPr>
        <w:jc w:val="left"/>
        <w:rPr>
          <w:szCs w:val="26"/>
        </w:rPr>
      </w:pPr>
      <w:r w:rsidRPr="0098410B">
        <w:rPr>
          <w:b/>
          <w:szCs w:val="26"/>
        </w:rPr>
        <w:tab/>
      </w:r>
      <w:r w:rsidRPr="0098410B">
        <w:rPr>
          <w:szCs w:val="26"/>
        </w:rPr>
        <w:t>Addit</w:t>
      </w:r>
      <w:r w:rsidR="006C2976">
        <w:rPr>
          <w:szCs w:val="26"/>
        </w:rPr>
        <w:t>ionally, the Commission proposed</w:t>
      </w:r>
      <w:r w:rsidRPr="0098410B">
        <w:rPr>
          <w:szCs w:val="26"/>
        </w:rPr>
        <w:t xml:space="preserve"> to update the layout of the information presented in each measure to be more u</w:t>
      </w:r>
      <w:r w:rsidR="006C2976">
        <w:rPr>
          <w:szCs w:val="26"/>
        </w:rPr>
        <w:t>niform throughout the 2015 TRM.</w:t>
      </w:r>
    </w:p>
    <w:p w:rsidR="006C2976" w:rsidRDefault="006C2976" w:rsidP="001B6469">
      <w:pPr>
        <w:jc w:val="left"/>
        <w:rPr>
          <w:szCs w:val="26"/>
        </w:rPr>
      </w:pPr>
    </w:p>
    <w:p w:rsidR="006C2976" w:rsidRDefault="005A705B" w:rsidP="001B6469">
      <w:pPr>
        <w:jc w:val="left"/>
        <w:rPr>
          <w:b/>
          <w:szCs w:val="26"/>
        </w:rPr>
      </w:pPr>
      <w:r>
        <w:rPr>
          <w:szCs w:val="26"/>
        </w:rPr>
        <w:tab/>
      </w:r>
      <w:r>
        <w:rPr>
          <w:szCs w:val="26"/>
        </w:rPr>
        <w:tab/>
      </w:r>
      <w:r>
        <w:rPr>
          <w:b/>
          <w:szCs w:val="26"/>
        </w:rPr>
        <w:t>a</w:t>
      </w:r>
      <w:r w:rsidR="006C2976">
        <w:rPr>
          <w:b/>
          <w:szCs w:val="26"/>
        </w:rPr>
        <w:t>.</w:t>
      </w:r>
      <w:r w:rsidR="006C2976">
        <w:rPr>
          <w:b/>
          <w:szCs w:val="26"/>
        </w:rPr>
        <w:tab/>
        <w:t>Comments</w:t>
      </w:r>
    </w:p>
    <w:p w:rsidR="004800C2" w:rsidRDefault="004800C2" w:rsidP="001B6469">
      <w:pPr>
        <w:jc w:val="left"/>
        <w:rPr>
          <w:szCs w:val="26"/>
        </w:rPr>
      </w:pPr>
    </w:p>
    <w:p w:rsidR="006C2976" w:rsidRDefault="004800C2" w:rsidP="001B6469">
      <w:pPr>
        <w:ind w:firstLine="720"/>
        <w:jc w:val="left"/>
        <w:rPr>
          <w:szCs w:val="26"/>
        </w:rPr>
      </w:pPr>
      <w:r>
        <w:rPr>
          <w:szCs w:val="26"/>
        </w:rPr>
        <w:t>PECO comment</w:t>
      </w:r>
      <w:r w:rsidR="004D2ED3">
        <w:rPr>
          <w:szCs w:val="26"/>
        </w:rPr>
        <w:t>s</w:t>
      </w:r>
      <w:r>
        <w:rPr>
          <w:szCs w:val="26"/>
        </w:rPr>
        <w:t xml:space="preserve"> that, overall, the TRM is now more user-friendly and supports the categorization of measures by end-use, further recommending that future TRMs incorporate any new measures in the same fashion.</w:t>
      </w:r>
      <w:r w:rsidR="004D2ED3">
        <w:rPr>
          <w:szCs w:val="26"/>
        </w:rPr>
        <w:t xml:space="preserve">  PECO</w:t>
      </w:r>
      <w:r w:rsidR="002279C1">
        <w:rPr>
          <w:szCs w:val="26"/>
        </w:rPr>
        <w:t xml:space="preserve"> further</w:t>
      </w:r>
      <w:r w:rsidR="004D2ED3">
        <w:rPr>
          <w:szCs w:val="26"/>
        </w:rPr>
        <w:t xml:space="preserve"> comments</w:t>
      </w:r>
      <w:r>
        <w:rPr>
          <w:szCs w:val="26"/>
        </w:rPr>
        <w:t xml:space="preserve"> that the listing of measure life in both the measure introductory table as well as the appendix may create confusion or error</w:t>
      </w:r>
      <w:r w:rsidR="004D2ED3">
        <w:rPr>
          <w:szCs w:val="26"/>
        </w:rPr>
        <w:t>s</w:t>
      </w:r>
      <w:r>
        <w:rPr>
          <w:szCs w:val="26"/>
        </w:rPr>
        <w:t xml:space="preserve"> during TRM updates as one measure life may be changed without updating the corresponding measure life in either the appendix or measure body.</w:t>
      </w:r>
      <w:r w:rsidR="004D2ED3">
        <w:rPr>
          <w:szCs w:val="26"/>
        </w:rPr>
        <w:t xml:space="preserve"> </w:t>
      </w:r>
      <w:r>
        <w:rPr>
          <w:szCs w:val="26"/>
        </w:rPr>
        <w:t xml:space="preserve"> PECO recommends that all measure lives be listed in the appendix of the TRM.</w:t>
      </w:r>
      <w:r>
        <w:rPr>
          <w:rStyle w:val="FootnoteReference"/>
          <w:szCs w:val="26"/>
        </w:rPr>
        <w:footnoteReference w:id="30"/>
      </w:r>
    </w:p>
    <w:p w:rsidR="006C2976" w:rsidRDefault="006C2976" w:rsidP="001B6469">
      <w:pPr>
        <w:jc w:val="left"/>
        <w:rPr>
          <w:szCs w:val="26"/>
        </w:rPr>
      </w:pPr>
    </w:p>
    <w:p w:rsidR="00014449" w:rsidRDefault="00014449" w:rsidP="001B6469">
      <w:pPr>
        <w:jc w:val="left"/>
        <w:rPr>
          <w:szCs w:val="26"/>
        </w:rPr>
      </w:pPr>
    </w:p>
    <w:p w:rsidR="006C2976" w:rsidRDefault="005A705B" w:rsidP="001B6469">
      <w:pPr>
        <w:jc w:val="left"/>
        <w:rPr>
          <w:szCs w:val="26"/>
        </w:rPr>
      </w:pPr>
      <w:r>
        <w:rPr>
          <w:szCs w:val="26"/>
        </w:rPr>
        <w:lastRenderedPageBreak/>
        <w:tab/>
      </w:r>
      <w:r>
        <w:rPr>
          <w:szCs w:val="26"/>
        </w:rPr>
        <w:tab/>
      </w:r>
      <w:r>
        <w:rPr>
          <w:b/>
          <w:szCs w:val="26"/>
        </w:rPr>
        <w:t>b</w:t>
      </w:r>
      <w:r w:rsidR="006C2976">
        <w:rPr>
          <w:b/>
          <w:szCs w:val="26"/>
        </w:rPr>
        <w:t>.</w:t>
      </w:r>
      <w:r w:rsidR="006C2976">
        <w:rPr>
          <w:b/>
          <w:szCs w:val="26"/>
        </w:rPr>
        <w:tab/>
        <w:t>Disposition</w:t>
      </w:r>
    </w:p>
    <w:p w:rsidR="006C2976" w:rsidRDefault="006C2976" w:rsidP="001B6469">
      <w:pPr>
        <w:jc w:val="left"/>
        <w:rPr>
          <w:szCs w:val="26"/>
        </w:rPr>
      </w:pPr>
    </w:p>
    <w:p w:rsidR="006C2976" w:rsidRDefault="00EF063F" w:rsidP="001B6469">
      <w:pPr>
        <w:jc w:val="left"/>
        <w:rPr>
          <w:szCs w:val="26"/>
        </w:rPr>
      </w:pPr>
      <w:r>
        <w:rPr>
          <w:szCs w:val="26"/>
        </w:rPr>
        <w:tab/>
      </w:r>
      <w:r w:rsidR="004800C2">
        <w:rPr>
          <w:szCs w:val="26"/>
        </w:rPr>
        <w:t>The Commission agrees that the reorganization of the TRM makes navigation throughout much easier and the grouping of measures by end-use does align with industry standards.</w:t>
      </w:r>
      <w:r w:rsidR="002279C1">
        <w:rPr>
          <w:szCs w:val="26"/>
        </w:rPr>
        <w:t xml:space="preserve"> </w:t>
      </w:r>
      <w:r w:rsidR="004800C2">
        <w:rPr>
          <w:szCs w:val="26"/>
        </w:rPr>
        <w:t xml:space="preserve"> As the TRM progresses into another version, careful consideration will be applied in order to preserve the improved format. </w:t>
      </w:r>
      <w:r w:rsidR="002279C1">
        <w:rPr>
          <w:szCs w:val="26"/>
        </w:rPr>
        <w:t xml:space="preserve"> </w:t>
      </w:r>
      <w:r w:rsidR="004800C2">
        <w:rPr>
          <w:szCs w:val="26"/>
        </w:rPr>
        <w:t>The Commission</w:t>
      </w:r>
      <w:r w:rsidR="002279C1">
        <w:rPr>
          <w:szCs w:val="26"/>
        </w:rPr>
        <w:t>, however,</w:t>
      </w:r>
      <w:r w:rsidR="004800C2">
        <w:rPr>
          <w:szCs w:val="26"/>
        </w:rPr>
        <w:t xml:space="preserve"> does not agree that the measure life for individual measures should only be listed in the appendix as opposed to both the appendix and the measure categorical information. </w:t>
      </w:r>
      <w:r w:rsidR="004D2ED3">
        <w:rPr>
          <w:szCs w:val="26"/>
        </w:rPr>
        <w:t xml:space="preserve"> </w:t>
      </w:r>
      <w:r w:rsidR="004800C2">
        <w:rPr>
          <w:szCs w:val="26"/>
        </w:rPr>
        <w:t xml:space="preserve">Prior comments have led the Commission to believe that the multiple listings provide </w:t>
      </w:r>
      <w:r w:rsidR="002279C1">
        <w:rPr>
          <w:szCs w:val="26"/>
        </w:rPr>
        <w:t>easier</w:t>
      </w:r>
      <w:r w:rsidR="004D2ED3">
        <w:rPr>
          <w:szCs w:val="26"/>
        </w:rPr>
        <w:t xml:space="preserve"> access and, therefore, </w:t>
      </w:r>
      <w:r w:rsidR="004800C2">
        <w:rPr>
          <w:szCs w:val="26"/>
        </w:rPr>
        <w:t>will remain.</w:t>
      </w:r>
    </w:p>
    <w:p w:rsidR="00D05144" w:rsidRPr="0098410B" w:rsidRDefault="00D05144" w:rsidP="001B6469">
      <w:pPr>
        <w:jc w:val="left"/>
        <w:rPr>
          <w:szCs w:val="26"/>
        </w:rPr>
      </w:pPr>
    </w:p>
    <w:p w:rsidR="00D05144" w:rsidRDefault="00D05144" w:rsidP="001B6469">
      <w:pPr>
        <w:pStyle w:val="Heading3"/>
        <w:ind w:left="720" w:firstLine="0"/>
      </w:pPr>
      <w:bookmarkStart w:id="30" w:name="_Toc396910595"/>
      <w:bookmarkStart w:id="31" w:name="_Toc405802371"/>
      <w:bookmarkStart w:id="32" w:name="_Toc405884701"/>
      <w:r>
        <w:t>Updating Coincident Factors</w:t>
      </w:r>
      <w:bookmarkEnd w:id="30"/>
      <w:bookmarkEnd w:id="31"/>
      <w:bookmarkEnd w:id="32"/>
    </w:p>
    <w:p w:rsidR="00D05144" w:rsidRDefault="00D05144" w:rsidP="001B6469">
      <w:pPr>
        <w:jc w:val="left"/>
      </w:pPr>
      <w:r>
        <w:tab/>
      </w:r>
    </w:p>
    <w:p w:rsidR="00D05144" w:rsidRPr="0098410B" w:rsidRDefault="00D05144" w:rsidP="001B6469">
      <w:pPr>
        <w:pStyle w:val="p3"/>
        <w:tabs>
          <w:tab w:val="clear" w:pos="204"/>
          <w:tab w:val="left" w:pos="-2070"/>
        </w:tabs>
        <w:ind w:firstLine="720"/>
        <w:jc w:val="left"/>
        <w:rPr>
          <w:szCs w:val="26"/>
        </w:rPr>
      </w:pPr>
      <w:r>
        <w:rPr>
          <w:szCs w:val="26"/>
        </w:rPr>
        <w:t>T</w:t>
      </w:r>
      <w:r w:rsidRPr="0098410B">
        <w:rPr>
          <w:szCs w:val="26"/>
        </w:rPr>
        <w:t>he Commission propose</w:t>
      </w:r>
      <w:r w:rsidR="001E3D05">
        <w:rPr>
          <w:szCs w:val="26"/>
        </w:rPr>
        <w:t>d the</w:t>
      </w:r>
      <w:r w:rsidRPr="0098410B">
        <w:rPr>
          <w:szCs w:val="26"/>
        </w:rPr>
        <w:t xml:space="preserve"> updat</w:t>
      </w:r>
      <w:r w:rsidR="001E3D05">
        <w:rPr>
          <w:szCs w:val="26"/>
        </w:rPr>
        <w:t xml:space="preserve">ing of </w:t>
      </w:r>
      <w:r w:rsidRPr="0098410B">
        <w:rPr>
          <w:szCs w:val="26"/>
        </w:rPr>
        <w:t>factors used for estimating</w:t>
      </w:r>
      <w:r>
        <w:rPr>
          <w:szCs w:val="26"/>
        </w:rPr>
        <w:t xml:space="preserve"> coincident peak demand savings, as we expect the EDCs to track relevant coincident peak demand reductions occurring as a result of their Phase II EE&amp;C Programs.</w:t>
      </w:r>
      <w:r w:rsidR="002279C1">
        <w:rPr>
          <w:szCs w:val="26"/>
        </w:rPr>
        <w:t xml:space="preserve">  </w:t>
      </w:r>
      <w:r w:rsidRPr="0098410B">
        <w:rPr>
          <w:szCs w:val="26"/>
        </w:rPr>
        <w:t>Additionally, the Commission propose</w:t>
      </w:r>
      <w:r w:rsidR="001E3D05">
        <w:rPr>
          <w:szCs w:val="26"/>
        </w:rPr>
        <w:t>d</w:t>
      </w:r>
      <w:r w:rsidRPr="0098410B">
        <w:rPr>
          <w:szCs w:val="26"/>
        </w:rPr>
        <w:t xml:space="preserve"> the addition of the following definition to be added to Section 1.3</w:t>
      </w:r>
      <w:r>
        <w:rPr>
          <w:szCs w:val="26"/>
        </w:rPr>
        <w:t xml:space="preserve"> – Definitions</w:t>
      </w:r>
      <w:r w:rsidR="00C032AC">
        <w:rPr>
          <w:rStyle w:val="FootnoteReference"/>
          <w:szCs w:val="26"/>
        </w:rPr>
        <w:footnoteReference w:id="31"/>
      </w:r>
      <w:r>
        <w:rPr>
          <w:szCs w:val="26"/>
        </w:rPr>
        <w:t xml:space="preserve"> </w:t>
      </w:r>
      <w:r w:rsidRPr="0098410B">
        <w:rPr>
          <w:szCs w:val="26"/>
        </w:rPr>
        <w:t xml:space="preserve">of the TRM: </w:t>
      </w:r>
    </w:p>
    <w:p w:rsidR="00D05144" w:rsidRPr="0098410B" w:rsidRDefault="00D05144" w:rsidP="001B6469">
      <w:pPr>
        <w:pStyle w:val="p3"/>
        <w:tabs>
          <w:tab w:val="clear" w:pos="204"/>
          <w:tab w:val="left" w:pos="-2070"/>
        </w:tabs>
        <w:ind w:firstLine="720"/>
        <w:jc w:val="left"/>
        <w:rPr>
          <w:szCs w:val="26"/>
        </w:rPr>
      </w:pPr>
    </w:p>
    <w:p w:rsidR="00D05144" w:rsidRDefault="00D05144" w:rsidP="009F764A">
      <w:pPr>
        <w:pStyle w:val="p3"/>
        <w:tabs>
          <w:tab w:val="clear" w:pos="204"/>
          <w:tab w:val="left" w:pos="-2070"/>
        </w:tabs>
        <w:spacing w:line="240" w:lineRule="auto"/>
        <w:ind w:left="720"/>
        <w:jc w:val="left"/>
        <w:rPr>
          <w:szCs w:val="26"/>
        </w:rPr>
      </w:pPr>
      <w:r w:rsidRPr="0098410B">
        <w:rPr>
          <w:szCs w:val="26"/>
          <w:u w:val="single"/>
        </w:rPr>
        <w:t>Coincidence Factor</w:t>
      </w:r>
      <w:r w:rsidRPr="0098410B">
        <w:rPr>
          <w:szCs w:val="26"/>
        </w:rPr>
        <w:t xml:space="preserve"> - The ratio of the (1) sum of every unit’s average kW</w:t>
      </w:r>
      <w:r w:rsidR="003B25F6">
        <w:rPr>
          <w:szCs w:val="26"/>
        </w:rPr>
        <w:t xml:space="preserve"> [kilowatt]</w:t>
      </w:r>
      <w:r w:rsidRPr="0098410B">
        <w:rPr>
          <w:szCs w:val="26"/>
        </w:rPr>
        <w:t xml:space="preserve"> load during the PJM peak load period (June through August, non-holiday weekdays, 2 pm to 6 pm) to the (2) sum of the non-coincident maximum kW</w:t>
      </w:r>
      <w:r>
        <w:rPr>
          <w:szCs w:val="26"/>
        </w:rPr>
        <w:t xml:space="preserve"> connected load for every unit.</w:t>
      </w:r>
    </w:p>
    <w:p w:rsidR="00014449" w:rsidRDefault="00014449" w:rsidP="009F764A">
      <w:pPr>
        <w:pStyle w:val="p3"/>
        <w:tabs>
          <w:tab w:val="clear" w:pos="204"/>
          <w:tab w:val="left" w:pos="-2070"/>
        </w:tabs>
        <w:spacing w:line="240" w:lineRule="auto"/>
        <w:ind w:left="720"/>
        <w:jc w:val="left"/>
        <w:rPr>
          <w:szCs w:val="26"/>
        </w:rPr>
      </w:pPr>
    </w:p>
    <w:p w:rsidR="009F764A" w:rsidRDefault="009F764A" w:rsidP="009F764A">
      <w:pPr>
        <w:pStyle w:val="p3"/>
        <w:tabs>
          <w:tab w:val="clear" w:pos="204"/>
          <w:tab w:val="left" w:pos="-2070"/>
        </w:tabs>
        <w:ind w:firstLine="720"/>
        <w:jc w:val="left"/>
        <w:rPr>
          <w:szCs w:val="26"/>
        </w:rPr>
      </w:pPr>
      <w:r w:rsidRPr="00B7452B">
        <w:rPr>
          <w:szCs w:val="26"/>
        </w:rPr>
        <w:t>Given the guidelines for the peak period from PJM, the Commission propose</w:t>
      </w:r>
      <w:r>
        <w:rPr>
          <w:szCs w:val="26"/>
        </w:rPr>
        <w:t>d</w:t>
      </w:r>
      <w:r w:rsidRPr="00B7452B">
        <w:rPr>
          <w:szCs w:val="26"/>
        </w:rPr>
        <w:t xml:space="preserve"> multiple updates to coincidence factors (CFs) throughout the 2015 TRM </w:t>
      </w:r>
      <w:r>
        <w:rPr>
          <w:szCs w:val="26"/>
        </w:rPr>
        <w:t>so that the CFs are</w:t>
      </w:r>
      <w:r w:rsidRPr="00B7452B">
        <w:rPr>
          <w:szCs w:val="26"/>
        </w:rPr>
        <w:t xml:space="preserve"> based as closely as possible to the conditions </w:t>
      </w:r>
      <w:r>
        <w:rPr>
          <w:szCs w:val="26"/>
        </w:rPr>
        <w:t>found in</w:t>
      </w:r>
      <w:r w:rsidRPr="00B7452B">
        <w:rPr>
          <w:szCs w:val="26"/>
        </w:rPr>
        <w:t xml:space="preserve"> the Pennsylvania electric distribut</w:t>
      </w:r>
      <w:r>
        <w:rPr>
          <w:szCs w:val="26"/>
        </w:rPr>
        <w:t>ion company service territories and are developed</w:t>
      </w:r>
      <w:r w:rsidRPr="00B7452B">
        <w:rPr>
          <w:szCs w:val="26"/>
        </w:rPr>
        <w:t xml:space="preserve"> using the most reliable and up-</w:t>
      </w:r>
      <w:r w:rsidRPr="00B7452B">
        <w:rPr>
          <w:szCs w:val="26"/>
        </w:rPr>
        <w:lastRenderedPageBreak/>
        <w:t xml:space="preserve">to-date data.  </w:t>
      </w:r>
      <w:r>
        <w:rPr>
          <w:szCs w:val="26"/>
        </w:rPr>
        <w:t>Additionally, the Commission proposed updates to the deemed demand savings with algorithms that include a CF for Section 2.4.4 – ENERGY STAR Clothes Washers;</w:t>
      </w:r>
      <w:r>
        <w:rPr>
          <w:rStyle w:val="FootnoteReference"/>
          <w:szCs w:val="26"/>
        </w:rPr>
        <w:footnoteReference w:id="32"/>
      </w:r>
      <w:r>
        <w:rPr>
          <w:szCs w:val="26"/>
        </w:rPr>
        <w:t xml:space="preserve"> Section 2.4.7 – ENERGY STAR Dishwashers;</w:t>
      </w:r>
      <w:r>
        <w:rPr>
          <w:rStyle w:val="FootnoteReference"/>
          <w:szCs w:val="26"/>
        </w:rPr>
        <w:footnoteReference w:id="33"/>
      </w:r>
      <w:r>
        <w:rPr>
          <w:szCs w:val="26"/>
        </w:rPr>
        <w:t xml:space="preserve"> and Section 2.4.8 – ENERGY STAR Dehumidifiers.</w:t>
      </w:r>
      <w:r>
        <w:rPr>
          <w:rStyle w:val="FootnoteReference"/>
          <w:szCs w:val="26"/>
        </w:rPr>
        <w:footnoteReference w:id="34"/>
      </w:r>
      <w:r>
        <w:rPr>
          <w:szCs w:val="26"/>
        </w:rPr>
        <w:t xml:space="preserve"> </w:t>
      </w:r>
      <w:r w:rsidR="00003B01">
        <w:rPr>
          <w:szCs w:val="26"/>
        </w:rPr>
        <w:t xml:space="preserve"> </w:t>
      </w:r>
      <w:r>
        <w:rPr>
          <w:szCs w:val="26"/>
        </w:rPr>
        <w:t>The proposed changes were to correct misleading information and to more closely align with the PJM peak period definition.</w:t>
      </w:r>
    </w:p>
    <w:p w:rsidR="009F764A" w:rsidRDefault="009F764A" w:rsidP="009F764A">
      <w:pPr>
        <w:pStyle w:val="p3"/>
        <w:tabs>
          <w:tab w:val="clear" w:pos="204"/>
          <w:tab w:val="left" w:pos="-2070"/>
        </w:tabs>
        <w:ind w:firstLine="720"/>
        <w:jc w:val="left"/>
        <w:rPr>
          <w:szCs w:val="26"/>
        </w:rPr>
      </w:pPr>
    </w:p>
    <w:p w:rsidR="009F764A" w:rsidRDefault="009F764A" w:rsidP="009F764A">
      <w:pPr>
        <w:pStyle w:val="p3"/>
        <w:tabs>
          <w:tab w:val="left" w:pos="-2070"/>
        </w:tabs>
        <w:ind w:firstLine="720"/>
        <w:jc w:val="left"/>
        <w:rPr>
          <w:szCs w:val="26"/>
        </w:rPr>
      </w:pPr>
      <w:r>
        <w:rPr>
          <w:szCs w:val="26"/>
        </w:rPr>
        <w:t xml:space="preserve">Regarding Section 2.5.2 – ENERGY </w:t>
      </w:r>
      <w:r w:rsidRPr="009570FE">
        <w:rPr>
          <w:szCs w:val="26"/>
        </w:rPr>
        <w:t>STAR Office Equipment</w:t>
      </w:r>
      <w:r>
        <w:rPr>
          <w:szCs w:val="26"/>
        </w:rPr>
        <w:t>,</w:t>
      </w:r>
      <w:r>
        <w:rPr>
          <w:rStyle w:val="FootnoteReference"/>
          <w:szCs w:val="26"/>
        </w:rPr>
        <w:footnoteReference w:id="35"/>
      </w:r>
      <w:r w:rsidRPr="009570FE">
        <w:rPr>
          <w:szCs w:val="26"/>
        </w:rPr>
        <w:t xml:space="preserve"> </w:t>
      </w:r>
      <w:r>
        <w:rPr>
          <w:szCs w:val="26"/>
        </w:rPr>
        <w:t xml:space="preserve">the SWE determined that the </w:t>
      </w:r>
      <w:r w:rsidRPr="009570FE">
        <w:rPr>
          <w:szCs w:val="26"/>
        </w:rPr>
        <w:t>last update to the calculator</w:t>
      </w:r>
      <w:r>
        <w:rPr>
          <w:szCs w:val="26"/>
        </w:rPr>
        <w:t xml:space="preserve"> for</w:t>
      </w:r>
      <w:r w:rsidRPr="009570FE">
        <w:rPr>
          <w:szCs w:val="26"/>
        </w:rPr>
        <w:t xml:space="preserve"> demand and energy savings </w:t>
      </w:r>
      <w:r>
        <w:rPr>
          <w:szCs w:val="26"/>
        </w:rPr>
        <w:t>occurred</w:t>
      </w:r>
      <w:r w:rsidRPr="009570FE">
        <w:rPr>
          <w:szCs w:val="26"/>
        </w:rPr>
        <w:t xml:space="preserve"> in 2011 and </w:t>
      </w:r>
      <w:r>
        <w:rPr>
          <w:szCs w:val="26"/>
        </w:rPr>
        <w:t xml:space="preserve">that </w:t>
      </w:r>
      <w:r w:rsidRPr="009570FE">
        <w:rPr>
          <w:szCs w:val="26"/>
        </w:rPr>
        <w:t xml:space="preserve">only emission rates have been updated since that time. </w:t>
      </w:r>
      <w:r>
        <w:rPr>
          <w:szCs w:val="26"/>
        </w:rPr>
        <w:t xml:space="preserve"> </w:t>
      </w:r>
      <w:r w:rsidRPr="009570FE">
        <w:rPr>
          <w:szCs w:val="26"/>
        </w:rPr>
        <w:t xml:space="preserve">Some analysis of the data within the calculator showed that a </w:t>
      </w:r>
      <w:r>
        <w:rPr>
          <w:szCs w:val="26"/>
        </w:rPr>
        <w:t>CF</w:t>
      </w:r>
      <w:r w:rsidRPr="009570FE">
        <w:rPr>
          <w:szCs w:val="26"/>
        </w:rPr>
        <w:t xml:space="preserve"> was most likely built</w:t>
      </w:r>
      <w:r>
        <w:rPr>
          <w:szCs w:val="26"/>
        </w:rPr>
        <w:t xml:space="preserve"> into the demand savings value. </w:t>
      </w:r>
      <w:r w:rsidR="00003B01">
        <w:rPr>
          <w:szCs w:val="26"/>
        </w:rPr>
        <w:t xml:space="preserve"> </w:t>
      </w:r>
      <w:r>
        <w:rPr>
          <w:szCs w:val="26"/>
        </w:rPr>
        <w:t>Therefore, t</w:t>
      </w:r>
      <w:r w:rsidRPr="009570FE">
        <w:rPr>
          <w:szCs w:val="26"/>
        </w:rPr>
        <w:t>he Commission propose</w:t>
      </w:r>
      <w:r>
        <w:rPr>
          <w:szCs w:val="26"/>
        </w:rPr>
        <w:t>d</w:t>
      </w:r>
      <w:r w:rsidRPr="009570FE">
        <w:rPr>
          <w:szCs w:val="26"/>
        </w:rPr>
        <w:t xml:space="preserve"> that the </w:t>
      </w:r>
      <w:r>
        <w:rPr>
          <w:szCs w:val="26"/>
        </w:rPr>
        <w:t>CF</w:t>
      </w:r>
      <w:r w:rsidRPr="009570FE">
        <w:rPr>
          <w:szCs w:val="26"/>
        </w:rPr>
        <w:t xml:space="preserve"> be removed from the algorithms and </w:t>
      </w:r>
      <w:r w:rsidR="006D6E02">
        <w:rPr>
          <w:szCs w:val="26"/>
        </w:rPr>
        <w:t>to maintain values</w:t>
      </w:r>
      <w:r w:rsidRPr="009570FE">
        <w:rPr>
          <w:szCs w:val="26"/>
        </w:rPr>
        <w:t xml:space="preserve"> used in previous versions of the TRM.</w:t>
      </w:r>
    </w:p>
    <w:p w:rsidR="009F764A" w:rsidRPr="0098410B" w:rsidRDefault="009F764A" w:rsidP="009F764A">
      <w:pPr>
        <w:pStyle w:val="p3"/>
        <w:tabs>
          <w:tab w:val="clear" w:pos="204"/>
          <w:tab w:val="left" w:pos="-2070"/>
        </w:tabs>
        <w:spacing w:line="240" w:lineRule="auto"/>
        <w:jc w:val="left"/>
        <w:rPr>
          <w:szCs w:val="26"/>
        </w:rPr>
      </w:pPr>
    </w:p>
    <w:p w:rsidR="009F764A" w:rsidRDefault="009F764A" w:rsidP="009F764A">
      <w:pPr>
        <w:pStyle w:val="p3"/>
        <w:tabs>
          <w:tab w:val="clear" w:pos="204"/>
          <w:tab w:val="left" w:pos="-2070"/>
        </w:tabs>
        <w:ind w:firstLine="720"/>
        <w:jc w:val="left"/>
        <w:rPr>
          <w:szCs w:val="26"/>
        </w:rPr>
      </w:pPr>
      <w:r>
        <w:rPr>
          <w:szCs w:val="26"/>
        </w:rPr>
        <w:t xml:space="preserve">Regarding C&amp;I CFs, following the SWE’s completion of </w:t>
      </w:r>
      <w:r w:rsidRPr="00B7452B">
        <w:rPr>
          <w:szCs w:val="26"/>
        </w:rPr>
        <w:t xml:space="preserve">a computer simulation study, using eQuest software, </w:t>
      </w:r>
      <w:r>
        <w:rPr>
          <w:szCs w:val="26"/>
        </w:rPr>
        <w:t>the Commission proposed new CFs for the HVAC measures which are based on</w:t>
      </w:r>
      <w:r w:rsidRPr="00B7452B">
        <w:rPr>
          <w:szCs w:val="26"/>
        </w:rPr>
        <w:t xml:space="preserve"> reference-city-specific values that align with the </w:t>
      </w:r>
      <w:r>
        <w:rPr>
          <w:szCs w:val="26"/>
        </w:rPr>
        <w:t>peak demand definition.</w:t>
      </w:r>
      <w:r w:rsidRPr="001614E7">
        <w:rPr>
          <w:szCs w:val="26"/>
        </w:rPr>
        <w:t xml:space="preserve"> </w:t>
      </w:r>
      <w:r w:rsidR="00003B01">
        <w:rPr>
          <w:szCs w:val="26"/>
        </w:rPr>
        <w:t xml:space="preserve"> </w:t>
      </w:r>
      <w:r w:rsidRPr="001614E7">
        <w:rPr>
          <w:szCs w:val="26"/>
        </w:rPr>
        <w:t xml:space="preserve">We </w:t>
      </w:r>
      <w:r>
        <w:rPr>
          <w:szCs w:val="26"/>
        </w:rPr>
        <w:t>proposed</w:t>
      </w:r>
      <w:r w:rsidRPr="001614E7">
        <w:rPr>
          <w:szCs w:val="26"/>
        </w:rPr>
        <w:t xml:space="preserve"> specific CFs based on each reference city and building type.  The Commission also propose</w:t>
      </w:r>
      <w:r>
        <w:rPr>
          <w:szCs w:val="26"/>
        </w:rPr>
        <w:t>d</w:t>
      </w:r>
      <w:r w:rsidRPr="001614E7">
        <w:rPr>
          <w:szCs w:val="26"/>
        </w:rPr>
        <w:t xml:space="preserve"> referencing the same table of CFs for both the heat pump unit and ground source loop pump units and geothermal heat pumps, unless the ground source loop pump runs continuously, in which case, we propose the use of a value of 100%.  </w:t>
      </w:r>
    </w:p>
    <w:p w:rsidR="00A7418A" w:rsidRDefault="00A7418A" w:rsidP="009F764A">
      <w:pPr>
        <w:pStyle w:val="p3"/>
        <w:tabs>
          <w:tab w:val="clear" w:pos="204"/>
          <w:tab w:val="left" w:pos="-2070"/>
        </w:tabs>
        <w:ind w:firstLine="720"/>
        <w:jc w:val="left"/>
        <w:rPr>
          <w:szCs w:val="26"/>
        </w:rPr>
      </w:pPr>
    </w:p>
    <w:p w:rsidR="00A7418A" w:rsidRDefault="00A7418A" w:rsidP="009F764A">
      <w:pPr>
        <w:pStyle w:val="p3"/>
        <w:tabs>
          <w:tab w:val="clear" w:pos="204"/>
          <w:tab w:val="left" w:pos="-2070"/>
        </w:tabs>
        <w:ind w:firstLine="720"/>
        <w:jc w:val="left"/>
        <w:rPr>
          <w:szCs w:val="26"/>
        </w:rPr>
      </w:pPr>
    </w:p>
    <w:p w:rsidR="00A7418A" w:rsidRDefault="00A7418A" w:rsidP="009F764A">
      <w:pPr>
        <w:pStyle w:val="p3"/>
        <w:tabs>
          <w:tab w:val="clear" w:pos="204"/>
          <w:tab w:val="left" w:pos="-2070"/>
        </w:tabs>
        <w:ind w:firstLine="720"/>
        <w:jc w:val="left"/>
        <w:rPr>
          <w:szCs w:val="26"/>
        </w:rPr>
      </w:pPr>
    </w:p>
    <w:p w:rsidR="00A7418A" w:rsidRDefault="00A7418A" w:rsidP="009F764A">
      <w:pPr>
        <w:pStyle w:val="p3"/>
        <w:tabs>
          <w:tab w:val="clear" w:pos="204"/>
          <w:tab w:val="left" w:pos="-2070"/>
        </w:tabs>
        <w:ind w:firstLine="720"/>
        <w:jc w:val="left"/>
        <w:rPr>
          <w:szCs w:val="26"/>
        </w:rPr>
      </w:pPr>
    </w:p>
    <w:p w:rsidR="001E3D05" w:rsidRDefault="001E3D05" w:rsidP="001B6469">
      <w:pPr>
        <w:pStyle w:val="p3"/>
        <w:tabs>
          <w:tab w:val="clear" w:pos="204"/>
          <w:tab w:val="left" w:pos="-2070"/>
        </w:tabs>
        <w:ind w:firstLine="720"/>
        <w:jc w:val="left"/>
        <w:rPr>
          <w:b/>
          <w:szCs w:val="26"/>
        </w:rPr>
      </w:pPr>
      <w:r>
        <w:rPr>
          <w:szCs w:val="26"/>
        </w:rPr>
        <w:lastRenderedPageBreak/>
        <w:tab/>
      </w:r>
      <w:r w:rsidR="009F764A">
        <w:rPr>
          <w:b/>
          <w:szCs w:val="26"/>
        </w:rPr>
        <w:t>a</w:t>
      </w:r>
      <w:r>
        <w:rPr>
          <w:b/>
          <w:szCs w:val="26"/>
        </w:rPr>
        <w:t>.</w:t>
      </w:r>
      <w:r>
        <w:rPr>
          <w:b/>
          <w:szCs w:val="26"/>
        </w:rPr>
        <w:tab/>
        <w:t>Comments</w:t>
      </w:r>
    </w:p>
    <w:p w:rsidR="00E93FC8" w:rsidRDefault="00E93FC8" w:rsidP="001B6469">
      <w:pPr>
        <w:pStyle w:val="p3"/>
        <w:tabs>
          <w:tab w:val="clear" w:pos="204"/>
          <w:tab w:val="left" w:pos="-2070"/>
        </w:tabs>
        <w:ind w:firstLine="720"/>
        <w:jc w:val="left"/>
        <w:rPr>
          <w:szCs w:val="26"/>
        </w:rPr>
      </w:pPr>
    </w:p>
    <w:p w:rsidR="001E3D05" w:rsidRDefault="00E93FC8" w:rsidP="001B6469">
      <w:pPr>
        <w:pStyle w:val="p3"/>
        <w:tabs>
          <w:tab w:val="clear" w:pos="204"/>
          <w:tab w:val="left" w:pos="-2070"/>
        </w:tabs>
        <w:ind w:firstLine="720"/>
        <w:jc w:val="left"/>
        <w:rPr>
          <w:szCs w:val="26"/>
        </w:rPr>
      </w:pPr>
      <w:r>
        <w:rPr>
          <w:szCs w:val="26"/>
        </w:rPr>
        <w:t>No comments were received on the general update to the coincidence factors. However, multiple comments were received concerning the formatting and delivery of the coincidence factor in the TRM</w:t>
      </w:r>
      <w:r w:rsidR="0060654B">
        <w:rPr>
          <w:szCs w:val="26"/>
        </w:rPr>
        <w:t xml:space="preserve">, with </w:t>
      </w:r>
      <w:r w:rsidR="00F73C05">
        <w:rPr>
          <w:szCs w:val="26"/>
        </w:rPr>
        <w:t>PPL and PECO</w:t>
      </w:r>
      <w:r>
        <w:rPr>
          <w:szCs w:val="26"/>
        </w:rPr>
        <w:t xml:space="preserve"> request</w:t>
      </w:r>
      <w:r w:rsidR="0060654B">
        <w:rPr>
          <w:szCs w:val="26"/>
        </w:rPr>
        <w:t>ing</w:t>
      </w:r>
      <w:r>
        <w:rPr>
          <w:szCs w:val="26"/>
        </w:rPr>
        <w:t xml:space="preserve"> adjustment to the redundant use </w:t>
      </w:r>
      <w:r w:rsidR="0060654B">
        <w:rPr>
          <w:szCs w:val="26"/>
        </w:rPr>
        <w:t>of the percentage designation.</w:t>
      </w:r>
      <w:r w:rsidR="0060654B">
        <w:rPr>
          <w:rStyle w:val="FootnoteReference"/>
          <w:szCs w:val="26"/>
        </w:rPr>
        <w:footnoteReference w:id="36"/>
      </w:r>
    </w:p>
    <w:p w:rsidR="001E3D05" w:rsidRDefault="001E3D05" w:rsidP="001B6469">
      <w:pPr>
        <w:pStyle w:val="p3"/>
        <w:tabs>
          <w:tab w:val="clear" w:pos="204"/>
          <w:tab w:val="left" w:pos="-2070"/>
        </w:tabs>
        <w:ind w:firstLine="720"/>
        <w:jc w:val="left"/>
        <w:rPr>
          <w:szCs w:val="26"/>
        </w:rPr>
      </w:pPr>
      <w:r>
        <w:rPr>
          <w:szCs w:val="26"/>
        </w:rPr>
        <w:tab/>
      </w:r>
    </w:p>
    <w:p w:rsidR="001E3D05" w:rsidRDefault="009F764A" w:rsidP="001B6469">
      <w:pPr>
        <w:pStyle w:val="p3"/>
        <w:tabs>
          <w:tab w:val="clear" w:pos="204"/>
          <w:tab w:val="left" w:pos="-2070"/>
        </w:tabs>
        <w:ind w:firstLine="720"/>
        <w:jc w:val="left"/>
        <w:rPr>
          <w:szCs w:val="26"/>
        </w:rPr>
      </w:pPr>
      <w:r>
        <w:rPr>
          <w:szCs w:val="26"/>
        </w:rPr>
        <w:tab/>
      </w:r>
      <w:r>
        <w:rPr>
          <w:b/>
          <w:szCs w:val="26"/>
        </w:rPr>
        <w:t>b.</w:t>
      </w:r>
      <w:r w:rsidR="001E3D05">
        <w:rPr>
          <w:b/>
          <w:szCs w:val="26"/>
        </w:rPr>
        <w:tab/>
        <w:t>Disposition</w:t>
      </w:r>
    </w:p>
    <w:p w:rsidR="001E3D05" w:rsidRDefault="001E3D05" w:rsidP="001B6469">
      <w:pPr>
        <w:pStyle w:val="p3"/>
        <w:tabs>
          <w:tab w:val="clear" w:pos="204"/>
          <w:tab w:val="left" w:pos="-2070"/>
        </w:tabs>
        <w:ind w:firstLine="720"/>
        <w:jc w:val="left"/>
        <w:rPr>
          <w:szCs w:val="26"/>
        </w:rPr>
      </w:pPr>
    </w:p>
    <w:p w:rsidR="00E93FC8" w:rsidRDefault="00F73C05" w:rsidP="001B6469">
      <w:pPr>
        <w:pStyle w:val="p3"/>
        <w:tabs>
          <w:tab w:val="clear" w:pos="204"/>
          <w:tab w:val="left" w:pos="-2070"/>
        </w:tabs>
        <w:ind w:firstLine="720"/>
        <w:jc w:val="left"/>
        <w:rPr>
          <w:szCs w:val="26"/>
        </w:rPr>
      </w:pPr>
      <w:r>
        <w:rPr>
          <w:szCs w:val="26"/>
        </w:rPr>
        <w:t xml:space="preserve">The Commission agrees with those parties </w:t>
      </w:r>
      <w:r w:rsidR="00E93FC8">
        <w:rPr>
          <w:szCs w:val="26"/>
        </w:rPr>
        <w:t xml:space="preserve">requesting clarification of the units used throughout the TRM and has adjusted all coincidence factors to be presented in decimal format. </w:t>
      </w:r>
      <w:r>
        <w:rPr>
          <w:szCs w:val="26"/>
        </w:rPr>
        <w:t xml:space="preserve"> In addition, the following</w:t>
      </w:r>
      <w:r w:rsidR="00E93FC8">
        <w:rPr>
          <w:szCs w:val="26"/>
        </w:rPr>
        <w:t xml:space="preserve"> sentence was added to the aforementioned definition of “Coincidence Factor” in </w:t>
      </w:r>
      <w:r>
        <w:rPr>
          <w:szCs w:val="26"/>
        </w:rPr>
        <w:t>S</w:t>
      </w:r>
      <w:r w:rsidR="00E93FC8">
        <w:rPr>
          <w:szCs w:val="26"/>
        </w:rPr>
        <w:t>ection 1.3</w:t>
      </w:r>
      <w:r w:rsidR="00C032AC">
        <w:rPr>
          <w:szCs w:val="26"/>
        </w:rPr>
        <w:t xml:space="preserve"> – Definitions</w:t>
      </w:r>
      <w:r w:rsidR="00E93FC8">
        <w:rPr>
          <w:szCs w:val="26"/>
        </w:rPr>
        <w:t>: “</w:t>
      </w:r>
      <w:r w:rsidR="00E93FC8">
        <w:t>This value is expressed in decimal format throughout the TRM unless designated otherwise.”</w:t>
      </w:r>
    </w:p>
    <w:p w:rsidR="00D05144" w:rsidRPr="002902F7" w:rsidRDefault="00D05144" w:rsidP="001B6469">
      <w:pPr>
        <w:jc w:val="left"/>
      </w:pPr>
      <w:bookmarkStart w:id="33" w:name="_Toc394648169"/>
    </w:p>
    <w:p w:rsidR="00D05144" w:rsidRPr="0098410B" w:rsidRDefault="00D05144" w:rsidP="001B6469">
      <w:pPr>
        <w:pStyle w:val="Heading3"/>
        <w:ind w:left="720" w:firstLine="0"/>
      </w:pPr>
      <w:bookmarkStart w:id="34" w:name="_Toc396910597"/>
      <w:bookmarkStart w:id="35" w:name="_Toc405802372"/>
      <w:bookmarkStart w:id="36" w:name="_Toc405884702"/>
      <w:r w:rsidRPr="0098410B">
        <w:t>Incorporation of</w:t>
      </w:r>
      <w:r>
        <w:t xml:space="preserve"> the 2014 B</w:t>
      </w:r>
      <w:r w:rsidRPr="0098410B">
        <w:t xml:space="preserve">aseline </w:t>
      </w:r>
      <w:r>
        <w:t>S</w:t>
      </w:r>
      <w:r w:rsidRPr="0098410B">
        <w:t xml:space="preserve">tudy </w:t>
      </w:r>
      <w:r>
        <w:t>R</w:t>
      </w:r>
      <w:r w:rsidRPr="0098410B">
        <w:t>esults</w:t>
      </w:r>
      <w:bookmarkEnd w:id="33"/>
      <w:bookmarkEnd w:id="34"/>
      <w:bookmarkEnd w:id="35"/>
      <w:bookmarkEnd w:id="36"/>
    </w:p>
    <w:p w:rsidR="00D05144" w:rsidRPr="0098410B" w:rsidRDefault="00D05144" w:rsidP="001B6469">
      <w:pPr>
        <w:jc w:val="left"/>
        <w:rPr>
          <w:szCs w:val="26"/>
        </w:rPr>
      </w:pPr>
    </w:p>
    <w:p w:rsidR="00D05144" w:rsidRDefault="00D05144" w:rsidP="001B6469">
      <w:pPr>
        <w:jc w:val="left"/>
        <w:rPr>
          <w:szCs w:val="26"/>
        </w:rPr>
      </w:pPr>
      <w:r w:rsidRPr="0098410B">
        <w:rPr>
          <w:b/>
          <w:szCs w:val="26"/>
        </w:rPr>
        <w:tab/>
      </w:r>
      <w:r w:rsidRPr="002478DA">
        <w:rPr>
          <w:szCs w:val="26"/>
        </w:rPr>
        <w:t xml:space="preserve">In </w:t>
      </w:r>
      <w:r>
        <w:rPr>
          <w:szCs w:val="26"/>
        </w:rPr>
        <w:t>the</w:t>
      </w:r>
      <w:r w:rsidRPr="002478DA">
        <w:rPr>
          <w:szCs w:val="26"/>
        </w:rPr>
        <w:t xml:space="preserve"> 2014 TRM Final Order, the Commission directed the PEG to review the baselines used in the TRM and address the potential for updating </w:t>
      </w:r>
      <w:r>
        <w:rPr>
          <w:szCs w:val="26"/>
        </w:rPr>
        <w:t xml:space="preserve">them </w:t>
      </w:r>
      <w:r w:rsidRPr="002478DA">
        <w:rPr>
          <w:szCs w:val="26"/>
        </w:rPr>
        <w:t>based on the 2014 Residential Baseline Study, the 2014 C&amp;I Baseline Study and the SWE Potential Studies.</w:t>
      </w:r>
      <w:r w:rsidRPr="002478DA">
        <w:rPr>
          <w:rStyle w:val="FootnoteReference"/>
          <w:szCs w:val="26"/>
        </w:rPr>
        <w:footnoteReference w:id="37"/>
      </w:r>
      <w:r w:rsidR="00E166DE">
        <w:rPr>
          <w:szCs w:val="26"/>
        </w:rPr>
        <w:t xml:space="preserve"> </w:t>
      </w:r>
      <w:r w:rsidR="002279C1">
        <w:rPr>
          <w:szCs w:val="26"/>
        </w:rPr>
        <w:t xml:space="preserve"> </w:t>
      </w:r>
      <w:r>
        <w:rPr>
          <w:szCs w:val="26"/>
        </w:rPr>
        <w:t>I</w:t>
      </w:r>
      <w:r w:rsidRPr="00F114A9">
        <w:rPr>
          <w:szCs w:val="26"/>
        </w:rPr>
        <w:t>n April 2014, the SWE completed the 2</w:t>
      </w:r>
      <w:r w:rsidR="00BF4D4D">
        <w:rPr>
          <w:szCs w:val="26"/>
        </w:rPr>
        <w:t>014 Residential Baseline Study.</w:t>
      </w:r>
      <w:r w:rsidRPr="00F114A9">
        <w:rPr>
          <w:szCs w:val="26"/>
        </w:rPr>
        <w:t xml:space="preserve"> </w:t>
      </w:r>
      <w:r w:rsidR="00E166DE">
        <w:rPr>
          <w:szCs w:val="26"/>
        </w:rPr>
        <w:t xml:space="preserve"> </w:t>
      </w:r>
      <w:r w:rsidRPr="00F114A9">
        <w:rPr>
          <w:szCs w:val="26"/>
        </w:rPr>
        <w:t>The Commiss</w:t>
      </w:r>
      <w:r w:rsidR="00D4796F">
        <w:rPr>
          <w:szCs w:val="26"/>
        </w:rPr>
        <w:t>ion proposed the</w:t>
      </w:r>
      <w:r w:rsidRPr="00F114A9">
        <w:rPr>
          <w:szCs w:val="26"/>
        </w:rPr>
        <w:t xml:space="preserve"> use </w:t>
      </w:r>
      <w:r w:rsidR="00D4796F">
        <w:rPr>
          <w:szCs w:val="26"/>
        </w:rPr>
        <w:t xml:space="preserve">of </w:t>
      </w:r>
      <w:r w:rsidRPr="00F114A9">
        <w:rPr>
          <w:szCs w:val="26"/>
        </w:rPr>
        <w:t xml:space="preserve">the information provided in the 2014 Residential </w:t>
      </w:r>
      <w:r w:rsidRPr="00F114A9">
        <w:rPr>
          <w:szCs w:val="26"/>
        </w:rPr>
        <w:lastRenderedPageBreak/>
        <w:t>Baseline Study to align the 2015 TRM sources with current data for multiple measures in the residential sector.</w:t>
      </w:r>
      <w:r w:rsidRPr="0098410B">
        <w:rPr>
          <w:szCs w:val="26"/>
        </w:rPr>
        <w:t xml:space="preserve"> </w:t>
      </w:r>
    </w:p>
    <w:p w:rsidR="00D05144" w:rsidRDefault="00D05144" w:rsidP="001B6469">
      <w:pPr>
        <w:ind w:firstLine="720"/>
        <w:jc w:val="left"/>
        <w:rPr>
          <w:szCs w:val="26"/>
        </w:rPr>
      </w:pPr>
    </w:p>
    <w:p w:rsidR="00D05144" w:rsidRDefault="00D05144" w:rsidP="001B6469">
      <w:pPr>
        <w:ind w:firstLine="720"/>
        <w:jc w:val="left"/>
        <w:rPr>
          <w:szCs w:val="26"/>
        </w:rPr>
      </w:pPr>
      <w:r w:rsidRPr="00F114A9">
        <w:rPr>
          <w:szCs w:val="26"/>
        </w:rPr>
        <w:t>Specifically, in Section 2.2.1 – Electric HVAC</w:t>
      </w:r>
      <w:r w:rsidRPr="00F114A9">
        <w:rPr>
          <w:rStyle w:val="FootnoteReference"/>
          <w:szCs w:val="26"/>
        </w:rPr>
        <w:footnoteReference w:id="38"/>
      </w:r>
      <w:r w:rsidRPr="00F114A9">
        <w:rPr>
          <w:szCs w:val="26"/>
        </w:rPr>
        <w:t xml:space="preserve"> of the TRM, the Commissio</w:t>
      </w:r>
      <w:r w:rsidR="00D4796F">
        <w:rPr>
          <w:szCs w:val="26"/>
        </w:rPr>
        <w:t xml:space="preserve">n proposed an </w:t>
      </w:r>
      <w:r w:rsidRPr="00F114A9">
        <w:rPr>
          <w:szCs w:val="26"/>
        </w:rPr>
        <w:t>update</w:t>
      </w:r>
      <w:r w:rsidR="00D4796F">
        <w:rPr>
          <w:szCs w:val="26"/>
        </w:rPr>
        <w:t xml:space="preserve"> to</w:t>
      </w:r>
      <w:r w:rsidRPr="00F114A9">
        <w:rPr>
          <w:szCs w:val="26"/>
        </w:rPr>
        <w:t xml:space="preserve"> the default SEER</w:t>
      </w:r>
      <w:r w:rsidRPr="00F114A9">
        <w:rPr>
          <w:szCs w:val="26"/>
          <w:vertAlign w:val="subscript"/>
        </w:rPr>
        <w:t>b</w:t>
      </w:r>
      <w:r w:rsidRPr="00F114A9">
        <w:rPr>
          <w:szCs w:val="26"/>
        </w:rPr>
        <w:t xml:space="preserve"> value, to be used in lieu of EDC data gathering, for Early Replacement measures</w:t>
      </w:r>
      <w:r w:rsidR="00BF4D4D">
        <w:rPr>
          <w:szCs w:val="26"/>
        </w:rPr>
        <w:t>.</w:t>
      </w:r>
      <w:r w:rsidRPr="00F114A9">
        <w:rPr>
          <w:szCs w:val="26"/>
        </w:rPr>
        <w:t xml:space="preserve"> </w:t>
      </w:r>
      <w:r w:rsidR="00E166DE">
        <w:rPr>
          <w:szCs w:val="26"/>
        </w:rPr>
        <w:t xml:space="preserve"> </w:t>
      </w:r>
      <w:r>
        <w:rPr>
          <w:szCs w:val="26"/>
        </w:rPr>
        <w:t xml:space="preserve">  Additionally, for Section 2.4.4 – ENERGY STAR Clothes Washers, the Commission propose</w:t>
      </w:r>
      <w:r w:rsidR="00D4796F">
        <w:rPr>
          <w:szCs w:val="26"/>
        </w:rPr>
        <w:t>d</w:t>
      </w:r>
      <w:r>
        <w:rPr>
          <w:szCs w:val="26"/>
        </w:rPr>
        <w:t xml:space="preserve"> updating the following variables using the 2014 Residential Baseline Study as a source: Cycles and %</w:t>
      </w:r>
      <w:r w:rsidRPr="00937C0A">
        <w:rPr>
          <w:szCs w:val="26"/>
          <w:vertAlign w:val="subscript"/>
        </w:rPr>
        <w:t>ElectricDryer</w:t>
      </w:r>
      <w:r w:rsidR="00BF4D4D">
        <w:rPr>
          <w:szCs w:val="26"/>
        </w:rPr>
        <w:t>.</w:t>
      </w:r>
      <w:r>
        <w:rPr>
          <w:szCs w:val="26"/>
        </w:rPr>
        <w:t xml:space="preserve"> </w:t>
      </w:r>
      <w:r w:rsidR="00E166DE">
        <w:rPr>
          <w:szCs w:val="26"/>
        </w:rPr>
        <w:t xml:space="preserve"> </w:t>
      </w:r>
      <w:r>
        <w:rPr>
          <w:szCs w:val="26"/>
        </w:rPr>
        <w:t>For Section 3.4.1 – Electric Resistance Water Heaters</w:t>
      </w:r>
      <w:r>
        <w:rPr>
          <w:rStyle w:val="FootnoteReference"/>
          <w:szCs w:val="26"/>
        </w:rPr>
        <w:footnoteReference w:id="39"/>
      </w:r>
      <w:r>
        <w:rPr>
          <w:szCs w:val="26"/>
        </w:rPr>
        <w:t xml:space="preserve"> and Section 3.4.2 – Heat Pump Water Heaters,</w:t>
      </w:r>
      <w:r>
        <w:rPr>
          <w:rStyle w:val="FootnoteReference"/>
          <w:szCs w:val="26"/>
        </w:rPr>
        <w:footnoteReference w:id="40"/>
      </w:r>
      <w:r w:rsidR="00D4796F">
        <w:rPr>
          <w:szCs w:val="26"/>
        </w:rPr>
        <w:t xml:space="preserve"> the Commission proposed</w:t>
      </w:r>
      <w:r>
        <w:rPr>
          <w:szCs w:val="26"/>
        </w:rPr>
        <w:t xml:space="preserve"> updating the source to the 2014 Residential Baseline Study for those calculation assumptions that had previously used the 2012 Resident</w:t>
      </w:r>
      <w:r w:rsidR="00BF4D4D">
        <w:rPr>
          <w:szCs w:val="26"/>
        </w:rPr>
        <w:t>ial Baseline Study as a source.</w:t>
      </w:r>
      <w:r>
        <w:rPr>
          <w:szCs w:val="26"/>
        </w:rPr>
        <w:t xml:space="preserve"> </w:t>
      </w:r>
      <w:r w:rsidR="00E166DE">
        <w:rPr>
          <w:szCs w:val="26"/>
        </w:rPr>
        <w:t xml:space="preserve"> </w:t>
      </w:r>
      <w:r>
        <w:rPr>
          <w:szCs w:val="26"/>
        </w:rPr>
        <w:t>With regard to Section 3.4.</w:t>
      </w:r>
      <w:r w:rsidR="0053486E">
        <w:rPr>
          <w:szCs w:val="26"/>
        </w:rPr>
        <w:t>6</w:t>
      </w:r>
      <w:r>
        <w:rPr>
          <w:szCs w:val="26"/>
        </w:rPr>
        <w:t xml:space="preserve"> – Heat Pump Water Heaters to Gas/Oil/Propane,</w:t>
      </w:r>
      <w:r w:rsidR="00DE5B26">
        <w:rPr>
          <w:rStyle w:val="FootnoteReference"/>
          <w:szCs w:val="26"/>
        </w:rPr>
        <w:footnoteReference w:id="41"/>
      </w:r>
      <w:r>
        <w:rPr>
          <w:szCs w:val="26"/>
        </w:rPr>
        <w:t xml:space="preserve"> the Commission propose</w:t>
      </w:r>
      <w:r w:rsidR="00D4796F">
        <w:rPr>
          <w:szCs w:val="26"/>
        </w:rPr>
        <w:t>d</w:t>
      </w:r>
      <w:r>
        <w:rPr>
          <w:szCs w:val="26"/>
        </w:rPr>
        <w:t xml:space="preserve"> updating the source to the 2014 Residential Baseline Study for those hot water temperature assumptions that had previously used the 2012 Residential Baseline Study as a source.</w:t>
      </w:r>
    </w:p>
    <w:p w:rsidR="00D05144" w:rsidRDefault="00D05144" w:rsidP="001B6469">
      <w:pPr>
        <w:jc w:val="left"/>
        <w:rPr>
          <w:szCs w:val="26"/>
        </w:rPr>
      </w:pPr>
    </w:p>
    <w:p w:rsidR="006F2BE6" w:rsidRDefault="006F2BE6" w:rsidP="001B6469">
      <w:pPr>
        <w:jc w:val="left"/>
        <w:rPr>
          <w:szCs w:val="26"/>
        </w:rPr>
      </w:pPr>
      <w:r>
        <w:rPr>
          <w:szCs w:val="26"/>
        </w:rPr>
        <w:tab/>
      </w:r>
      <w:r>
        <w:rPr>
          <w:szCs w:val="26"/>
        </w:rPr>
        <w:tab/>
      </w:r>
      <w:r w:rsidR="00E166DE">
        <w:rPr>
          <w:b/>
          <w:szCs w:val="26"/>
        </w:rPr>
        <w:t>a.</w:t>
      </w:r>
      <w:r>
        <w:rPr>
          <w:b/>
          <w:szCs w:val="26"/>
        </w:rPr>
        <w:tab/>
        <w:t>Comments</w:t>
      </w:r>
    </w:p>
    <w:p w:rsidR="006F2BE6" w:rsidRDefault="006F2BE6" w:rsidP="001B6469">
      <w:pPr>
        <w:jc w:val="left"/>
        <w:rPr>
          <w:szCs w:val="26"/>
        </w:rPr>
      </w:pPr>
    </w:p>
    <w:p w:rsidR="004B5E96" w:rsidRDefault="004B5E96" w:rsidP="001B6469">
      <w:pPr>
        <w:jc w:val="left"/>
        <w:rPr>
          <w:szCs w:val="26"/>
        </w:rPr>
      </w:pPr>
      <w:r>
        <w:rPr>
          <w:szCs w:val="26"/>
        </w:rPr>
        <w:tab/>
        <w:t xml:space="preserve">PPL </w:t>
      </w:r>
      <w:r w:rsidR="00E166DE">
        <w:rPr>
          <w:szCs w:val="26"/>
        </w:rPr>
        <w:t>questions</w:t>
      </w:r>
      <w:r>
        <w:rPr>
          <w:szCs w:val="26"/>
        </w:rPr>
        <w:t xml:space="preserve"> the baseline water temperature value in </w:t>
      </w:r>
      <w:r w:rsidR="00E166DE">
        <w:rPr>
          <w:szCs w:val="26"/>
        </w:rPr>
        <w:t>Section 2.3.1 – Efficient Electric Water Heaters,</w:t>
      </w:r>
      <w:r w:rsidR="009C66F9">
        <w:rPr>
          <w:rStyle w:val="FootnoteReference"/>
          <w:szCs w:val="26"/>
        </w:rPr>
        <w:footnoteReference w:id="42"/>
      </w:r>
      <w:r w:rsidR="00E166DE">
        <w:rPr>
          <w:szCs w:val="26"/>
        </w:rPr>
        <w:t xml:space="preserve"> </w:t>
      </w:r>
      <w:r>
        <w:rPr>
          <w:szCs w:val="26"/>
        </w:rPr>
        <w:t xml:space="preserve">as well as the baseline value for gallons per minute (GPM) used in </w:t>
      </w:r>
      <w:r w:rsidR="00E166DE">
        <w:rPr>
          <w:szCs w:val="26"/>
        </w:rPr>
        <w:t xml:space="preserve">Section 2.3.11 – Thermostatic </w:t>
      </w:r>
      <w:r>
        <w:rPr>
          <w:szCs w:val="26"/>
        </w:rPr>
        <w:t xml:space="preserve">Shower </w:t>
      </w:r>
      <w:r w:rsidR="00E166DE">
        <w:rPr>
          <w:szCs w:val="26"/>
        </w:rPr>
        <w:t>Restriction Valve</w:t>
      </w:r>
      <w:r>
        <w:rPr>
          <w:szCs w:val="26"/>
        </w:rPr>
        <w:t>.</w:t>
      </w:r>
      <w:r w:rsidR="00E166DE">
        <w:rPr>
          <w:szCs w:val="26"/>
        </w:rPr>
        <w:t xml:space="preserve">  PPL requests confirmation that</w:t>
      </w:r>
      <w:r>
        <w:rPr>
          <w:szCs w:val="26"/>
        </w:rPr>
        <w:t xml:space="preserve"> the temperature and GPM values </w:t>
      </w:r>
      <w:r w:rsidR="00E166DE">
        <w:rPr>
          <w:szCs w:val="26"/>
        </w:rPr>
        <w:t>are</w:t>
      </w:r>
      <w:r>
        <w:rPr>
          <w:szCs w:val="26"/>
        </w:rPr>
        <w:t xml:space="preserve"> current and </w:t>
      </w:r>
      <w:r w:rsidR="00253D3C">
        <w:rPr>
          <w:szCs w:val="26"/>
        </w:rPr>
        <w:t xml:space="preserve">consistent </w:t>
      </w:r>
      <w:r w:rsidR="00E166DE">
        <w:rPr>
          <w:szCs w:val="26"/>
        </w:rPr>
        <w:t>with other measures.</w:t>
      </w:r>
      <w:r w:rsidR="004729B6">
        <w:rPr>
          <w:rStyle w:val="FootnoteReference"/>
          <w:szCs w:val="26"/>
        </w:rPr>
        <w:footnoteReference w:id="43"/>
      </w:r>
    </w:p>
    <w:p w:rsidR="006F2BE6" w:rsidRDefault="006F2BE6" w:rsidP="001B6469">
      <w:pPr>
        <w:jc w:val="left"/>
        <w:rPr>
          <w:szCs w:val="26"/>
        </w:rPr>
      </w:pPr>
    </w:p>
    <w:p w:rsidR="00014449" w:rsidRDefault="00014449" w:rsidP="001B6469">
      <w:pPr>
        <w:jc w:val="left"/>
        <w:rPr>
          <w:szCs w:val="26"/>
        </w:rPr>
      </w:pPr>
    </w:p>
    <w:p w:rsidR="006F2BE6" w:rsidRDefault="006F2BE6" w:rsidP="001B6469">
      <w:pPr>
        <w:jc w:val="left"/>
        <w:rPr>
          <w:szCs w:val="26"/>
        </w:rPr>
      </w:pPr>
      <w:r>
        <w:rPr>
          <w:szCs w:val="26"/>
        </w:rPr>
        <w:lastRenderedPageBreak/>
        <w:tab/>
      </w:r>
      <w:r>
        <w:rPr>
          <w:szCs w:val="26"/>
        </w:rPr>
        <w:tab/>
      </w:r>
      <w:r w:rsidR="00E166DE">
        <w:rPr>
          <w:b/>
          <w:szCs w:val="26"/>
        </w:rPr>
        <w:t>b</w:t>
      </w:r>
      <w:r>
        <w:rPr>
          <w:b/>
          <w:szCs w:val="26"/>
        </w:rPr>
        <w:t>.</w:t>
      </w:r>
      <w:r>
        <w:rPr>
          <w:b/>
          <w:szCs w:val="26"/>
        </w:rPr>
        <w:tab/>
        <w:t>Disposition</w:t>
      </w:r>
    </w:p>
    <w:p w:rsidR="006F2BE6" w:rsidRDefault="006F2BE6" w:rsidP="001B6469">
      <w:pPr>
        <w:jc w:val="left"/>
        <w:rPr>
          <w:szCs w:val="26"/>
        </w:rPr>
      </w:pPr>
    </w:p>
    <w:p w:rsidR="004B5E96" w:rsidRDefault="004B5E96" w:rsidP="001B6469">
      <w:pPr>
        <w:jc w:val="left"/>
        <w:rPr>
          <w:szCs w:val="26"/>
        </w:rPr>
      </w:pPr>
      <w:r>
        <w:rPr>
          <w:szCs w:val="26"/>
        </w:rPr>
        <w:tab/>
      </w:r>
      <w:r w:rsidRPr="00670DCA">
        <w:rPr>
          <w:szCs w:val="26"/>
        </w:rPr>
        <w:t xml:space="preserve">The Commission acknowledges the request to review the baseline values and has performed a review of multiple measures that use information from the 2014 </w:t>
      </w:r>
      <w:r w:rsidR="00E166DE" w:rsidRPr="00670DCA">
        <w:rPr>
          <w:szCs w:val="26"/>
        </w:rPr>
        <w:t xml:space="preserve">Residential </w:t>
      </w:r>
      <w:r w:rsidRPr="00670DCA">
        <w:rPr>
          <w:szCs w:val="26"/>
        </w:rPr>
        <w:t xml:space="preserve">Baseline Study. </w:t>
      </w:r>
      <w:r w:rsidR="00E166DE" w:rsidRPr="00670DCA">
        <w:rPr>
          <w:szCs w:val="26"/>
        </w:rPr>
        <w:t xml:space="preserve"> </w:t>
      </w:r>
      <w:r w:rsidRPr="00670DCA">
        <w:rPr>
          <w:szCs w:val="26"/>
        </w:rPr>
        <w:t xml:space="preserve">In certain measures, such as the domestic hot water measures </w:t>
      </w:r>
      <w:r w:rsidR="00E166DE" w:rsidRPr="00670DCA">
        <w:rPr>
          <w:szCs w:val="26"/>
        </w:rPr>
        <w:t>discussed</w:t>
      </w:r>
      <w:r w:rsidRPr="00670DCA">
        <w:rPr>
          <w:szCs w:val="26"/>
        </w:rPr>
        <w:t xml:space="preserve"> in the comments, some baseline default values did not receive updates from the 2012 </w:t>
      </w:r>
      <w:r w:rsidR="00E166DE" w:rsidRPr="00670DCA">
        <w:rPr>
          <w:szCs w:val="26"/>
        </w:rPr>
        <w:t xml:space="preserve">Residential </w:t>
      </w:r>
      <w:r w:rsidRPr="00670DCA">
        <w:rPr>
          <w:szCs w:val="26"/>
        </w:rPr>
        <w:t>Baseline Study to the 2014</w:t>
      </w:r>
      <w:r w:rsidR="00E166DE" w:rsidRPr="00670DCA">
        <w:rPr>
          <w:szCs w:val="26"/>
        </w:rPr>
        <w:t xml:space="preserve"> Residential </w:t>
      </w:r>
      <w:r w:rsidRPr="00670DCA">
        <w:rPr>
          <w:szCs w:val="26"/>
        </w:rPr>
        <w:t xml:space="preserve">Baseline Study. </w:t>
      </w:r>
      <w:r w:rsidR="00E166DE" w:rsidRPr="00670DCA">
        <w:rPr>
          <w:szCs w:val="26"/>
        </w:rPr>
        <w:t xml:space="preserve"> However</w:t>
      </w:r>
      <w:r w:rsidR="00D61CDD" w:rsidRPr="00670DCA">
        <w:rPr>
          <w:szCs w:val="26"/>
        </w:rPr>
        <w:t xml:space="preserve">, </w:t>
      </w:r>
      <w:r w:rsidR="00E166DE" w:rsidRPr="00670DCA">
        <w:rPr>
          <w:szCs w:val="26"/>
        </w:rPr>
        <w:t>in Sections 2.3.1</w:t>
      </w:r>
      <w:r w:rsidR="00A36C78" w:rsidRPr="00670DCA">
        <w:rPr>
          <w:szCs w:val="26"/>
        </w:rPr>
        <w:t xml:space="preserve"> – Efficient Electric Water Heaters</w:t>
      </w:r>
      <w:r w:rsidR="00E166DE" w:rsidRPr="00670DCA">
        <w:rPr>
          <w:szCs w:val="26"/>
        </w:rPr>
        <w:t>, 2.3.2</w:t>
      </w:r>
      <w:r w:rsidR="00A36C78" w:rsidRPr="00670DCA">
        <w:rPr>
          <w:szCs w:val="26"/>
        </w:rPr>
        <w:t xml:space="preserve"> – Heat Pump Water Heaters</w:t>
      </w:r>
      <w:r w:rsidR="00E166DE" w:rsidRPr="00670DCA">
        <w:rPr>
          <w:szCs w:val="26"/>
        </w:rPr>
        <w:t>,</w:t>
      </w:r>
      <w:r w:rsidR="00670DCA">
        <w:rPr>
          <w:rStyle w:val="FootnoteReference"/>
          <w:szCs w:val="26"/>
        </w:rPr>
        <w:footnoteReference w:id="44"/>
      </w:r>
      <w:r w:rsidR="00E166DE" w:rsidRPr="00670DCA">
        <w:rPr>
          <w:szCs w:val="26"/>
        </w:rPr>
        <w:t xml:space="preserve"> 2.3.3</w:t>
      </w:r>
      <w:r w:rsidR="00A36C78" w:rsidRPr="00670DCA">
        <w:rPr>
          <w:szCs w:val="26"/>
        </w:rPr>
        <w:t xml:space="preserve"> – Solar Water </w:t>
      </w:r>
      <w:r w:rsidR="00A36C78" w:rsidRPr="00CC2A32">
        <w:rPr>
          <w:szCs w:val="26"/>
        </w:rPr>
        <w:t>Heaters</w:t>
      </w:r>
      <w:r w:rsidR="00E166DE" w:rsidRPr="00CC2A32">
        <w:rPr>
          <w:szCs w:val="26"/>
        </w:rPr>
        <w:t>,</w:t>
      </w:r>
      <w:r w:rsidR="00670DCA" w:rsidRPr="00CC2A32">
        <w:rPr>
          <w:rStyle w:val="FootnoteReference"/>
          <w:szCs w:val="26"/>
        </w:rPr>
        <w:footnoteReference w:id="45"/>
      </w:r>
      <w:r w:rsidR="00E166DE" w:rsidRPr="00CC2A32">
        <w:rPr>
          <w:szCs w:val="26"/>
        </w:rPr>
        <w:t xml:space="preserve"> 2.3.4</w:t>
      </w:r>
      <w:r w:rsidR="00A36C78" w:rsidRPr="00CC2A32">
        <w:rPr>
          <w:szCs w:val="26"/>
        </w:rPr>
        <w:t xml:space="preserve"> – Fuel Switching: Electric Resistance to Fossil Fuel Water Heater</w:t>
      </w:r>
      <w:r w:rsidR="00E166DE" w:rsidRPr="00CC2A32">
        <w:rPr>
          <w:szCs w:val="26"/>
        </w:rPr>
        <w:t>,</w:t>
      </w:r>
      <w:r w:rsidR="00CC2A32">
        <w:rPr>
          <w:rStyle w:val="FootnoteReference"/>
          <w:szCs w:val="26"/>
        </w:rPr>
        <w:footnoteReference w:id="46"/>
      </w:r>
      <w:r w:rsidR="00E166DE" w:rsidRPr="00670DCA">
        <w:rPr>
          <w:szCs w:val="26"/>
        </w:rPr>
        <w:t xml:space="preserve"> 2.3.5</w:t>
      </w:r>
      <w:r w:rsidR="00A36C78" w:rsidRPr="00670DCA">
        <w:rPr>
          <w:szCs w:val="26"/>
        </w:rPr>
        <w:t xml:space="preserve"> – Fuel Switching: Heat Pump Water Heater to Fossil Fuel Water Heater</w:t>
      </w:r>
      <w:r w:rsidR="00670DCA">
        <w:rPr>
          <w:szCs w:val="26"/>
        </w:rPr>
        <w:t>,</w:t>
      </w:r>
      <w:r w:rsidR="00670DCA">
        <w:rPr>
          <w:rStyle w:val="FootnoteReference"/>
          <w:szCs w:val="26"/>
        </w:rPr>
        <w:footnoteReference w:id="47"/>
      </w:r>
      <w:r w:rsidR="00670DCA">
        <w:rPr>
          <w:szCs w:val="26"/>
        </w:rPr>
        <w:t xml:space="preserve"> </w:t>
      </w:r>
      <w:r w:rsidR="00E166DE" w:rsidRPr="00670DCA">
        <w:rPr>
          <w:szCs w:val="26"/>
        </w:rPr>
        <w:t>2.3.6</w:t>
      </w:r>
      <w:r w:rsidR="00A36C78" w:rsidRPr="00670DCA">
        <w:rPr>
          <w:szCs w:val="26"/>
        </w:rPr>
        <w:t xml:space="preserve"> – Water Heater Tank Wrap</w:t>
      </w:r>
      <w:r w:rsidR="00670DCA">
        <w:rPr>
          <w:rStyle w:val="FootnoteReference"/>
          <w:szCs w:val="26"/>
        </w:rPr>
        <w:footnoteReference w:id="48"/>
      </w:r>
      <w:r w:rsidR="00E166DE" w:rsidRPr="00670DCA">
        <w:rPr>
          <w:szCs w:val="26"/>
        </w:rPr>
        <w:t xml:space="preserve"> and 2.3.7</w:t>
      </w:r>
      <w:r w:rsidR="00A36C78" w:rsidRPr="00670DCA">
        <w:rPr>
          <w:szCs w:val="26"/>
        </w:rPr>
        <w:t xml:space="preserve"> – Water Heater Temperature Setback</w:t>
      </w:r>
      <w:r w:rsidR="00E166DE" w:rsidRPr="00670DCA">
        <w:rPr>
          <w:szCs w:val="26"/>
        </w:rPr>
        <w:t>,</w:t>
      </w:r>
      <w:r w:rsidR="00670DCA">
        <w:rPr>
          <w:rStyle w:val="FootnoteReference"/>
          <w:szCs w:val="26"/>
        </w:rPr>
        <w:footnoteReference w:id="49"/>
      </w:r>
      <w:r w:rsidR="00E166DE" w:rsidRPr="00670DCA">
        <w:rPr>
          <w:szCs w:val="26"/>
        </w:rPr>
        <w:t xml:space="preserve"> </w:t>
      </w:r>
      <w:r w:rsidR="00D61CDD" w:rsidRPr="00670DCA">
        <w:rPr>
          <w:szCs w:val="26"/>
        </w:rPr>
        <w:t xml:space="preserve">the water heater temperature setting has been updated </w:t>
      </w:r>
      <w:r w:rsidR="00E166DE" w:rsidRPr="00670DCA">
        <w:rPr>
          <w:szCs w:val="26"/>
        </w:rPr>
        <w:t>to reflect the findings in</w:t>
      </w:r>
      <w:r w:rsidR="00D61CDD" w:rsidRPr="00670DCA">
        <w:rPr>
          <w:szCs w:val="26"/>
        </w:rPr>
        <w:t xml:space="preserve"> the 2014 Residential Baseline Study</w:t>
      </w:r>
      <w:r w:rsidR="00E166DE" w:rsidRPr="00670DCA">
        <w:rPr>
          <w:szCs w:val="26"/>
        </w:rPr>
        <w:t>.</w:t>
      </w:r>
    </w:p>
    <w:p w:rsidR="006F2BE6" w:rsidRPr="0098410B" w:rsidRDefault="006F2BE6" w:rsidP="001B6469">
      <w:pPr>
        <w:jc w:val="left"/>
        <w:rPr>
          <w:szCs w:val="26"/>
        </w:rPr>
      </w:pPr>
    </w:p>
    <w:p w:rsidR="00D05144" w:rsidRPr="0098410B" w:rsidRDefault="00D05144" w:rsidP="001B6469">
      <w:pPr>
        <w:pStyle w:val="Heading3"/>
        <w:ind w:left="720" w:firstLine="0"/>
      </w:pPr>
      <w:bookmarkStart w:id="37" w:name="_Toc394648170"/>
      <w:bookmarkStart w:id="38" w:name="_Toc396910598"/>
      <w:bookmarkStart w:id="39" w:name="_Toc405802373"/>
      <w:bookmarkStart w:id="40" w:name="_Toc405884703"/>
      <w:r w:rsidRPr="0098410B">
        <w:t xml:space="preserve">Discussion of </w:t>
      </w:r>
      <w:r>
        <w:t>W</w:t>
      </w:r>
      <w:r w:rsidRPr="0098410B">
        <w:t xml:space="preserve">eather </w:t>
      </w:r>
      <w:r>
        <w:t>Impacts on C&amp;I M</w:t>
      </w:r>
      <w:r w:rsidRPr="0098410B">
        <w:t>easures</w:t>
      </w:r>
      <w:bookmarkEnd w:id="37"/>
      <w:bookmarkEnd w:id="38"/>
      <w:bookmarkEnd w:id="39"/>
      <w:bookmarkEnd w:id="40"/>
    </w:p>
    <w:p w:rsidR="00D05144" w:rsidRPr="0098410B" w:rsidRDefault="00D05144" w:rsidP="001B6469">
      <w:pPr>
        <w:jc w:val="left"/>
        <w:rPr>
          <w:szCs w:val="26"/>
        </w:rPr>
      </w:pPr>
    </w:p>
    <w:p w:rsidR="00D05144" w:rsidRDefault="00D05144" w:rsidP="001B6469">
      <w:pPr>
        <w:ind w:firstLine="720"/>
        <w:jc w:val="left"/>
        <w:textAlignment w:val="baseline"/>
        <w:rPr>
          <w:szCs w:val="26"/>
        </w:rPr>
      </w:pPr>
      <w:r w:rsidRPr="0098410B">
        <w:rPr>
          <w:szCs w:val="26"/>
        </w:rPr>
        <w:t xml:space="preserve">There are two commercial refrigeration measures in the </w:t>
      </w:r>
      <w:r>
        <w:rPr>
          <w:szCs w:val="26"/>
        </w:rPr>
        <w:t>TRM (Section 3.5.11 – Auto Closers</w:t>
      </w:r>
      <w:r w:rsidRPr="0098410B">
        <w:rPr>
          <w:szCs w:val="26"/>
          <w:vertAlign w:val="superscript"/>
        </w:rPr>
        <w:footnoteReference w:id="50"/>
      </w:r>
      <w:r>
        <w:rPr>
          <w:szCs w:val="26"/>
        </w:rPr>
        <w:t xml:space="preserve"> and Section 3.5.14 – Suction Pipe Insulation for Walk-In Coolers and Freezers</w:t>
      </w:r>
      <w:r w:rsidRPr="0098410B">
        <w:rPr>
          <w:szCs w:val="26"/>
          <w:vertAlign w:val="superscript"/>
        </w:rPr>
        <w:footnoteReference w:id="51"/>
      </w:r>
      <w:r w:rsidRPr="0098410B">
        <w:rPr>
          <w:szCs w:val="26"/>
        </w:rPr>
        <w:t>) that rely on work and an</w:t>
      </w:r>
      <w:r w:rsidR="00BF4D4D">
        <w:rPr>
          <w:szCs w:val="26"/>
        </w:rPr>
        <w:t>alysis completed in California.</w:t>
      </w:r>
      <w:r>
        <w:rPr>
          <w:szCs w:val="26"/>
        </w:rPr>
        <w:t xml:space="preserve"> </w:t>
      </w:r>
      <w:r w:rsidR="00BC09CF">
        <w:rPr>
          <w:szCs w:val="26"/>
        </w:rPr>
        <w:t xml:space="preserve"> </w:t>
      </w:r>
      <w:r w:rsidRPr="0098410B">
        <w:rPr>
          <w:szCs w:val="26"/>
        </w:rPr>
        <w:t>In the 2014 TRM, seven reference cities in Pennsylvania are mapped to a corresponding California climate zone</w:t>
      </w:r>
      <w:r>
        <w:rPr>
          <w:szCs w:val="26"/>
        </w:rPr>
        <w:t>,</w:t>
      </w:r>
      <w:r w:rsidRPr="0098410B">
        <w:rPr>
          <w:szCs w:val="26"/>
        </w:rPr>
        <w:t xml:space="preserve"> as shown in the Table 1-4</w:t>
      </w:r>
      <w:r>
        <w:rPr>
          <w:szCs w:val="26"/>
        </w:rPr>
        <w:t>: California CZ Mapping Table,</w:t>
      </w:r>
      <w:r w:rsidRPr="0098410B">
        <w:rPr>
          <w:szCs w:val="26"/>
          <w:vertAlign w:val="superscript"/>
        </w:rPr>
        <w:footnoteReference w:id="52"/>
      </w:r>
      <w:r w:rsidRPr="0098410B">
        <w:rPr>
          <w:szCs w:val="26"/>
        </w:rPr>
        <w:t xml:space="preserve"> based on cooling </w:t>
      </w:r>
      <w:r w:rsidRPr="0098410B">
        <w:rPr>
          <w:szCs w:val="26"/>
        </w:rPr>
        <w:lastRenderedPageBreak/>
        <w:t xml:space="preserve">degree hours and wet bulb temperatures. </w:t>
      </w:r>
      <w:r w:rsidR="00E166DE">
        <w:rPr>
          <w:szCs w:val="26"/>
        </w:rPr>
        <w:t xml:space="preserve"> </w:t>
      </w:r>
      <w:r w:rsidRPr="0098410B">
        <w:rPr>
          <w:szCs w:val="26"/>
        </w:rPr>
        <w:t>Stakeholders raised concerns regarding the feasibility and appropriateness of the mapping methodology.</w:t>
      </w:r>
      <w:r w:rsidR="00E166DE">
        <w:rPr>
          <w:szCs w:val="26"/>
        </w:rPr>
        <w:t xml:space="preserve"> </w:t>
      </w:r>
      <w:r w:rsidRPr="0098410B">
        <w:rPr>
          <w:szCs w:val="26"/>
        </w:rPr>
        <w:t xml:space="preserve"> </w:t>
      </w:r>
      <w:r w:rsidR="005D11D1">
        <w:rPr>
          <w:szCs w:val="26"/>
        </w:rPr>
        <w:t>In the Tentative Order, the</w:t>
      </w:r>
      <w:r w:rsidR="006F2BE6">
        <w:rPr>
          <w:szCs w:val="26"/>
        </w:rPr>
        <w:t xml:space="preserve"> Commission proposed</w:t>
      </w:r>
      <w:r w:rsidRPr="0098410B">
        <w:rPr>
          <w:szCs w:val="26"/>
        </w:rPr>
        <w:t xml:space="preserve"> using a single California climate zone</w:t>
      </w:r>
      <w:r w:rsidR="006F2BE6">
        <w:rPr>
          <w:szCs w:val="26"/>
        </w:rPr>
        <w:t xml:space="preserve">. </w:t>
      </w:r>
      <w:r w:rsidR="00E166DE">
        <w:rPr>
          <w:szCs w:val="26"/>
        </w:rPr>
        <w:t xml:space="preserve"> </w:t>
      </w:r>
      <w:r w:rsidR="006F2BE6">
        <w:rPr>
          <w:szCs w:val="26"/>
        </w:rPr>
        <w:t>Specifically, the Commission proposed</w:t>
      </w:r>
      <w:r w:rsidRPr="0098410B">
        <w:rPr>
          <w:szCs w:val="26"/>
        </w:rPr>
        <w:t xml:space="preserve"> using California climate zone 4 for all weather-dependent measures referencing California work papers.</w:t>
      </w:r>
      <w:r>
        <w:rPr>
          <w:szCs w:val="26"/>
        </w:rPr>
        <w:t xml:space="preserve"> </w:t>
      </w:r>
    </w:p>
    <w:p w:rsidR="00C47308" w:rsidRPr="0098410B" w:rsidRDefault="00C47308" w:rsidP="001B6469">
      <w:pPr>
        <w:ind w:firstLine="720"/>
        <w:jc w:val="left"/>
        <w:textAlignment w:val="baseline"/>
        <w:rPr>
          <w:szCs w:val="26"/>
        </w:rPr>
      </w:pPr>
    </w:p>
    <w:p w:rsidR="006F2BE6" w:rsidRDefault="006F2BE6" w:rsidP="001B6469">
      <w:pPr>
        <w:ind w:firstLine="720"/>
        <w:jc w:val="left"/>
        <w:textAlignment w:val="baseline"/>
        <w:rPr>
          <w:szCs w:val="26"/>
        </w:rPr>
      </w:pPr>
      <w:r>
        <w:rPr>
          <w:szCs w:val="26"/>
        </w:rPr>
        <w:tab/>
      </w:r>
      <w:r w:rsidR="00E166DE">
        <w:rPr>
          <w:b/>
          <w:szCs w:val="26"/>
        </w:rPr>
        <w:t>a.</w:t>
      </w:r>
      <w:r>
        <w:rPr>
          <w:b/>
          <w:szCs w:val="26"/>
        </w:rPr>
        <w:tab/>
        <w:t>Comments</w:t>
      </w:r>
    </w:p>
    <w:p w:rsidR="006F2BE6" w:rsidRDefault="006F2BE6" w:rsidP="001B6469">
      <w:pPr>
        <w:ind w:firstLine="720"/>
        <w:jc w:val="left"/>
        <w:textAlignment w:val="baseline"/>
        <w:rPr>
          <w:szCs w:val="26"/>
        </w:rPr>
      </w:pPr>
    </w:p>
    <w:p w:rsidR="00D83F0D" w:rsidRDefault="00D5670A" w:rsidP="001B6469">
      <w:pPr>
        <w:ind w:firstLine="720"/>
        <w:jc w:val="left"/>
        <w:textAlignment w:val="baseline"/>
        <w:rPr>
          <w:szCs w:val="26"/>
        </w:rPr>
      </w:pPr>
      <w:r>
        <w:rPr>
          <w:szCs w:val="26"/>
        </w:rPr>
        <w:t xml:space="preserve">PPL notes that the </w:t>
      </w:r>
      <w:r w:rsidR="00014449">
        <w:rPr>
          <w:szCs w:val="26"/>
        </w:rPr>
        <w:t>proposal</w:t>
      </w:r>
      <w:r>
        <w:rPr>
          <w:szCs w:val="26"/>
        </w:rPr>
        <w:t xml:space="preserve"> </w:t>
      </w:r>
      <w:r w:rsidR="00BF4A3A">
        <w:rPr>
          <w:szCs w:val="26"/>
        </w:rPr>
        <w:t>used</w:t>
      </w:r>
      <w:r>
        <w:rPr>
          <w:szCs w:val="26"/>
        </w:rPr>
        <w:t xml:space="preserve"> California climate zone 4 </w:t>
      </w:r>
      <w:r w:rsidR="00BF4A3A">
        <w:rPr>
          <w:szCs w:val="26"/>
        </w:rPr>
        <w:t xml:space="preserve">while </w:t>
      </w:r>
      <w:r w:rsidR="00E166DE">
        <w:rPr>
          <w:szCs w:val="26"/>
        </w:rPr>
        <w:t>Section 1.17</w:t>
      </w:r>
      <w:r w:rsidR="00186E5D">
        <w:rPr>
          <w:szCs w:val="26"/>
        </w:rPr>
        <w:t xml:space="preserve"> – Impact of Weather</w:t>
      </w:r>
      <w:r w:rsidR="00186E5D">
        <w:rPr>
          <w:rStyle w:val="FootnoteReference"/>
          <w:szCs w:val="26"/>
        </w:rPr>
        <w:footnoteReference w:id="53"/>
      </w:r>
      <w:r w:rsidR="00E166DE">
        <w:rPr>
          <w:szCs w:val="26"/>
        </w:rPr>
        <w:t xml:space="preserve"> </w:t>
      </w:r>
      <w:r w:rsidR="008059F6">
        <w:rPr>
          <w:szCs w:val="26"/>
        </w:rPr>
        <w:t>referenc</w:t>
      </w:r>
      <w:r w:rsidR="00BF4A3A">
        <w:rPr>
          <w:szCs w:val="26"/>
        </w:rPr>
        <w:t>ed</w:t>
      </w:r>
      <w:r>
        <w:rPr>
          <w:szCs w:val="26"/>
        </w:rPr>
        <w:t xml:space="preserve"> </w:t>
      </w:r>
      <w:r w:rsidR="00BF4A3A">
        <w:rPr>
          <w:szCs w:val="26"/>
        </w:rPr>
        <w:t>Climate Zone 11</w:t>
      </w:r>
      <w:r w:rsidR="00014449">
        <w:rPr>
          <w:szCs w:val="26"/>
        </w:rPr>
        <w:t>.</w:t>
      </w:r>
      <w:r w:rsidR="00174C25">
        <w:rPr>
          <w:rStyle w:val="FootnoteReference"/>
          <w:szCs w:val="26"/>
        </w:rPr>
        <w:footnoteReference w:id="54"/>
      </w:r>
      <w:r w:rsidR="00174C25">
        <w:rPr>
          <w:szCs w:val="26"/>
        </w:rPr>
        <w:t xml:space="preserve"> </w:t>
      </w:r>
    </w:p>
    <w:p w:rsidR="006F2BE6" w:rsidRDefault="006F2BE6" w:rsidP="001B6469">
      <w:pPr>
        <w:jc w:val="left"/>
        <w:textAlignment w:val="baseline"/>
        <w:rPr>
          <w:szCs w:val="26"/>
        </w:rPr>
      </w:pPr>
    </w:p>
    <w:p w:rsidR="006F2BE6" w:rsidRDefault="006F2BE6" w:rsidP="001B6469">
      <w:pPr>
        <w:ind w:firstLine="720"/>
        <w:jc w:val="left"/>
        <w:textAlignment w:val="baseline"/>
        <w:rPr>
          <w:szCs w:val="26"/>
        </w:rPr>
      </w:pPr>
      <w:r>
        <w:rPr>
          <w:szCs w:val="26"/>
        </w:rPr>
        <w:tab/>
      </w:r>
      <w:r w:rsidR="00E166DE">
        <w:rPr>
          <w:b/>
          <w:szCs w:val="26"/>
        </w:rPr>
        <w:t>b.</w:t>
      </w:r>
      <w:r>
        <w:rPr>
          <w:b/>
          <w:szCs w:val="26"/>
        </w:rPr>
        <w:tab/>
        <w:t>Disposition</w:t>
      </w:r>
    </w:p>
    <w:p w:rsidR="006F2BE6" w:rsidRDefault="006F2BE6" w:rsidP="001B6469">
      <w:pPr>
        <w:ind w:firstLine="720"/>
        <w:jc w:val="left"/>
        <w:textAlignment w:val="baseline"/>
        <w:rPr>
          <w:szCs w:val="26"/>
        </w:rPr>
      </w:pPr>
    </w:p>
    <w:p w:rsidR="006F2BE6" w:rsidRPr="006F2BE6" w:rsidRDefault="00174C25" w:rsidP="001B6469">
      <w:pPr>
        <w:ind w:firstLine="720"/>
        <w:jc w:val="left"/>
        <w:textAlignment w:val="baseline"/>
        <w:rPr>
          <w:szCs w:val="26"/>
        </w:rPr>
      </w:pPr>
      <w:r>
        <w:rPr>
          <w:szCs w:val="26"/>
        </w:rPr>
        <w:t>The Commission clarifies th</w:t>
      </w:r>
      <w:r w:rsidR="009F5B16">
        <w:rPr>
          <w:szCs w:val="26"/>
        </w:rPr>
        <w:t xml:space="preserve">at climate zone 4 will be used and has updated </w:t>
      </w:r>
      <w:r w:rsidR="008059F6">
        <w:rPr>
          <w:szCs w:val="26"/>
        </w:rPr>
        <w:t>Section</w:t>
      </w:r>
      <w:r w:rsidR="00DE7B21">
        <w:rPr>
          <w:szCs w:val="26"/>
        </w:rPr>
        <w:t xml:space="preserve"> 1.17</w:t>
      </w:r>
      <w:r w:rsidR="00D241E6">
        <w:rPr>
          <w:szCs w:val="26"/>
        </w:rPr>
        <w:t xml:space="preserve"> – Impact of Weather</w:t>
      </w:r>
      <w:r w:rsidR="008059F6">
        <w:rPr>
          <w:szCs w:val="26"/>
        </w:rPr>
        <w:t xml:space="preserve"> </w:t>
      </w:r>
      <w:r w:rsidR="009F5B16">
        <w:rPr>
          <w:szCs w:val="26"/>
        </w:rPr>
        <w:t xml:space="preserve">to reflect this change. </w:t>
      </w:r>
      <w:r w:rsidR="00E166DE">
        <w:rPr>
          <w:szCs w:val="26"/>
        </w:rPr>
        <w:t xml:space="preserve"> </w:t>
      </w:r>
      <w:r w:rsidR="009F5B16">
        <w:rPr>
          <w:szCs w:val="26"/>
        </w:rPr>
        <w:t>The Commission further notes</w:t>
      </w:r>
      <w:r w:rsidR="00B84138">
        <w:rPr>
          <w:szCs w:val="26"/>
        </w:rPr>
        <w:t xml:space="preserve"> that</w:t>
      </w:r>
      <w:r w:rsidR="009F5B16">
        <w:rPr>
          <w:szCs w:val="26"/>
        </w:rPr>
        <w:t xml:space="preserve"> in the </w:t>
      </w:r>
      <w:r w:rsidR="00DE7B21">
        <w:rPr>
          <w:szCs w:val="26"/>
        </w:rPr>
        <w:t>Proposed</w:t>
      </w:r>
      <w:r w:rsidR="009F5B16">
        <w:rPr>
          <w:szCs w:val="26"/>
        </w:rPr>
        <w:t xml:space="preserve"> 2015 TRM</w:t>
      </w:r>
      <w:r w:rsidR="00B84138">
        <w:rPr>
          <w:szCs w:val="26"/>
        </w:rPr>
        <w:t xml:space="preserve">, </w:t>
      </w:r>
      <w:r w:rsidR="009F5B16">
        <w:rPr>
          <w:szCs w:val="26"/>
        </w:rPr>
        <w:t xml:space="preserve">the savings values in the two refrigeration protocols were calculated using climate zone 4 and therefore </w:t>
      </w:r>
      <w:r w:rsidR="00DE7B21">
        <w:rPr>
          <w:szCs w:val="26"/>
        </w:rPr>
        <w:t>do not need to be updated</w:t>
      </w:r>
      <w:r w:rsidR="009F5B16">
        <w:rPr>
          <w:szCs w:val="26"/>
        </w:rPr>
        <w:t xml:space="preserve">.  </w:t>
      </w:r>
      <w:r>
        <w:rPr>
          <w:szCs w:val="26"/>
        </w:rPr>
        <w:t xml:space="preserve"> </w:t>
      </w:r>
    </w:p>
    <w:p w:rsidR="006F2BE6" w:rsidRPr="006349F3" w:rsidRDefault="006F2BE6" w:rsidP="001B6469">
      <w:pPr>
        <w:ind w:firstLine="720"/>
        <w:jc w:val="left"/>
        <w:textAlignment w:val="baseline"/>
        <w:rPr>
          <w:szCs w:val="26"/>
        </w:rPr>
      </w:pPr>
    </w:p>
    <w:p w:rsidR="00D05144" w:rsidRPr="000B423D" w:rsidRDefault="00D05144" w:rsidP="001B6469">
      <w:pPr>
        <w:pStyle w:val="Heading3"/>
        <w:ind w:left="720" w:firstLine="0"/>
      </w:pPr>
      <w:bookmarkStart w:id="41" w:name="_Toc396910599"/>
      <w:bookmarkStart w:id="42" w:name="_Toc405802374"/>
      <w:bookmarkStart w:id="43" w:name="_Toc405884704"/>
      <w:r w:rsidRPr="000B423D">
        <w:t>Updating Sources</w:t>
      </w:r>
      <w:bookmarkEnd w:id="41"/>
      <w:bookmarkEnd w:id="42"/>
      <w:bookmarkEnd w:id="43"/>
    </w:p>
    <w:p w:rsidR="00D05144" w:rsidRPr="006349F3" w:rsidRDefault="00D05144" w:rsidP="001B6469">
      <w:pPr>
        <w:ind w:firstLine="720"/>
        <w:jc w:val="left"/>
        <w:textAlignment w:val="baseline"/>
        <w:rPr>
          <w:szCs w:val="26"/>
        </w:rPr>
      </w:pPr>
    </w:p>
    <w:p w:rsidR="00D05144" w:rsidRPr="00881575" w:rsidRDefault="00E17F3D" w:rsidP="001B6469">
      <w:pPr>
        <w:ind w:firstLine="720"/>
        <w:jc w:val="left"/>
        <w:textAlignment w:val="baseline"/>
        <w:rPr>
          <w:szCs w:val="26"/>
        </w:rPr>
      </w:pPr>
      <w:r>
        <w:rPr>
          <w:szCs w:val="26"/>
        </w:rPr>
        <w:t>The Commission proposed</w:t>
      </w:r>
      <w:r w:rsidR="00D05144" w:rsidRPr="006349F3">
        <w:rPr>
          <w:szCs w:val="26"/>
        </w:rPr>
        <w:t xml:space="preserve"> </w:t>
      </w:r>
      <w:r w:rsidR="00D05144">
        <w:rPr>
          <w:szCs w:val="26"/>
        </w:rPr>
        <w:t>to update</w:t>
      </w:r>
      <w:r w:rsidR="00D05144" w:rsidRPr="006349F3">
        <w:rPr>
          <w:szCs w:val="26"/>
        </w:rPr>
        <w:t xml:space="preserve"> a variety of reference sources to provide mor</w:t>
      </w:r>
      <w:r w:rsidR="00BF4D4D">
        <w:rPr>
          <w:szCs w:val="26"/>
        </w:rPr>
        <w:t>e accurate information.</w:t>
      </w:r>
      <w:r w:rsidR="00D05144" w:rsidRPr="006349F3">
        <w:rPr>
          <w:szCs w:val="26"/>
        </w:rPr>
        <w:t xml:space="preserve"> </w:t>
      </w:r>
      <w:r w:rsidR="003B25F6">
        <w:rPr>
          <w:szCs w:val="26"/>
        </w:rPr>
        <w:t xml:space="preserve"> </w:t>
      </w:r>
      <w:r w:rsidR="00D05144" w:rsidRPr="006349F3">
        <w:rPr>
          <w:szCs w:val="26"/>
        </w:rPr>
        <w:t xml:space="preserve">This includes </w:t>
      </w:r>
      <w:r w:rsidR="00D05144">
        <w:rPr>
          <w:szCs w:val="26"/>
        </w:rPr>
        <w:t xml:space="preserve">the following </w:t>
      </w:r>
      <w:r w:rsidR="00D05144" w:rsidRPr="00881575">
        <w:rPr>
          <w:szCs w:val="26"/>
        </w:rPr>
        <w:t>sections:</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2.2.7 – Furnace Whistle;</w:t>
      </w:r>
      <w:r w:rsidRPr="00881575">
        <w:rPr>
          <w:rStyle w:val="FootnoteReference"/>
          <w:sz w:val="26"/>
          <w:szCs w:val="26"/>
        </w:rPr>
        <w:footnoteReference w:id="55"/>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3.2.1 – HVAC Systems;</w:t>
      </w:r>
      <w:r w:rsidRPr="00881575">
        <w:rPr>
          <w:rStyle w:val="FootnoteReference"/>
          <w:sz w:val="26"/>
          <w:szCs w:val="26"/>
        </w:rPr>
        <w:footnoteReference w:id="56"/>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3.5.1 – High-Efficiency Refrigeration/Freezer Cases;</w:t>
      </w:r>
      <w:r w:rsidRPr="00881575">
        <w:rPr>
          <w:rStyle w:val="FootnoteReference"/>
          <w:sz w:val="26"/>
          <w:szCs w:val="26"/>
        </w:rPr>
        <w:footnoteReference w:id="57"/>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lastRenderedPageBreak/>
        <w:t>Section 3.5.2 – High-Efficiency Evaporator Fan Motors for Reach-In Refrigerated Cases;</w:t>
      </w:r>
      <w:r w:rsidRPr="00881575">
        <w:rPr>
          <w:rStyle w:val="FootnoteReference"/>
          <w:sz w:val="26"/>
          <w:szCs w:val="26"/>
        </w:rPr>
        <w:footnoteReference w:id="58"/>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3.5.3 – High-Efficiency Evaporator Fan Motors for Walk-In Refrigerated Cases;</w:t>
      </w:r>
      <w:r w:rsidRPr="00881575">
        <w:rPr>
          <w:rStyle w:val="FootnoteReference"/>
          <w:sz w:val="26"/>
          <w:szCs w:val="26"/>
        </w:rPr>
        <w:footnoteReference w:id="59"/>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3.7.2 – Controls: Beverage Machine Controls;</w:t>
      </w:r>
      <w:r w:rsidRPr="00881575">
        <w:rPr>
          <w:rStyle w:val="FootnoteReference"/>
          <w:sz w:val="26"/>
          <w:szCs w:val="26"/>
        </w:rPr>
        <w:footnoteReference w:id="60"/>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3.7.1 – High-Efficiency Ice Machines;</w:t>
      </w:r>
      <w:r w:rsidRPr="00881575">
        <w:rPr>
          <w:rStyle w:val="FootnoteReference"/>
          <w:sz w:val="26"/>
          <w:szCs w:val="26"/>
        </w:rPr>
        <w:footnoteReference w:id="61"/>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3.8.1 – Wall and Ceiling Insulation;</w:t>
      </w:r>
      <w:r w:rsidRPr="00881575">
        <w:rPr>
          <w:rStyle w:val="FootnoteReference"/>
          <w:sz w:val="26"/>
          <w:szCs w:val="26"/>
        </w:rPr>
        <w:footnoteReference w:id="62"/>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3.7.4 – ENERGY STAR Electric Steam Cooker;</w:t>
      </w:r>
      <w:r w:rsidRPr="00881575">
        <w:rPr>
          <w:rStyle w:val="FootnoteReference"/>
          <w:sz w:val="26"/>
          <w:szCs w:val="26"/>
        </w:rPr>
        <w:footnoteReference w:id="63"/>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3.9.2 – Office Equipment – Network Power Management Enabling;</w:t>
      </w:r>
      <w:r w:rsidRPr="00881575">
        <w:rPr>
          <w:rStyle w:val="FootnoteReference"/>
          <w:sz w:val="26"/>
          <w:szCs w:val="26"/>
        </w:rPr>
        <w:footnoteReference w:id="64"/>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 xml:space="preserve">Section 3.5.14 – Suction Pipe Insulation for Walk-In Coolers and Freezers;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3.5.4 – Controls: Evaporator Fan Controllers;</w:t>
      </w:r>
      <w:r w:rsidRPr="00881575">
        <w:rPr>
          <w:rStyle w:val="FootnoteReference"/>
          <w:sz w:val="26"/>
          <w:szCs w:val="26"/>
        </w:rPr>
        <w:footnoteReference w:id="65"/>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3.6.1 – ENERGY STAR Clothes Washers;</w:t>
      </w:r>
      <w:r w:rsidRPr="00881575">
        <w:rPr>
          <w:rStyle w:val="FootnoteReference"/>
          <w:sz w:val="26"/>
          <w:szCs w:val="26"/>
        </w:rPr>
        <w:footnoteReference w:id="66"/>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 xml:space="preserve">Section 3.4.2 – Heat Pump Water Heaters;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4.1.1 – Automatic Milker Takeoffs;</w:t>
      </w:r>
      <w:r w:rsidRPr="00881575">
        <w:rPr>
          <w:rStyle w:val="FootnoteReference"/>
          <w:sz w:val="26"/>
          <w:szCs w:val="26"/>
        </w:rPr>
        <w:footnoteReference w:id="67"/>
      </w:r>
      <w:r w:rsidRPr="00881575">
        <w:rPr>
          <w:rFonts w:ascii="Times New Roman" w:hAnsi="Times New Roman"/>
          <w:sz w:val="26"/>
          <w:szCs w:val="26"/>
        </w:rPr>
        <w:t xml:space="preserve"> </w:t>
      </w:r>
    </w:p>
    <w:p w:rsidR="00D05144"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4.1.4 – Heat Reclaimers;</w:t>
      </w:r>
      <w:r w:rsidRPr="00881575">
        <w:rPr>
          <w:rStyle w:val="FootnoteReference"/>
          <w:sz w:val="26"/>
          <w:szCs w:val="26"/>
        </w:rPr>
        <w:footnoteReference w:id="68"/>
      </w:r>
      <w:r w:rsidRPr="00881575">
        <w:rPr>
          <w:rFonts w:ascii="Times New Roman" w:hAnsi="Times New Roman"/>
          <w:sz w:val="26"/>
          <w:szCs w:val="26"/>
        </w:rPr>
        <w:t xml:space="preserve"> and </w:t>
      </w:r>
    </w:p>
    <w:p w:rsidR="00D05144" w:rsidRPr="00881575" w:rsidRDefault="00D05144" w:rsidP="001B6469">
      <w:pPr>
        <w:pStyle w:val="ListParagraph"/>
        <w:numPr>
          <w:ilvl w:val="0"/>
          <w:numId w:val="6"/>
        </w:numPr>
        <w:spacing w:after="0" w:line="360" w:lineRule="auto"/>
        <w:ind w:left="1440" w:hanging="720"/>
        <w:jc w:val="left"/>
        <w:rPr>
          <w:rFonts w:ascii="Times New Roman" w:hAnsi="Times New Roman"/>
          <w:sz w:val="26"/>
          <w:szCs w:val="26"/>
        </w:rPr>
      </w:pPr>
      <w:r w:rsidRPr="00881575">
        <w:rPr>
          <w:rFonts w:ascii="Times New Roman" w:hAnsi="Times New Roman"/>
          <w:sz w:val="26"/>
          <w:szCs w:val="26"/>
        </w:rPr>
        <w:t>Section 4.1.6 – Livestock Waterer.</w:t>
      </w:r>
      <w:r w:rsidRPr="00881575">
        <w:rPr>
          <w:rStyle w:val="FootnoteReference"/>
          <w:sz w:val="26"/>
          <w:szCs w:val="26"/>
        </w:rPr>
        <w:footnoteReference w:id="69"/>
      </w:r>
      <w:r w:rsidRPr="00881575">
        <w:rPr>
          <w:rFonts w:ascii="Times New Roman" w:hAnsi="Times New Roman"/>
          <w:sz w:val="26"/>
          <w:szCs w:val="26"/>
        </w:rPr>
        <w:t xml:space="preserve">  </w:t>
      </w:r>
    </w:p>
    <w:p w:rsidR="00A7418A" w:rsidRDefault="00A7418A" w:rsidP="001B6469">
      <w:pPr>
        <w:pStyle w:val="ListParagraph"/>
        <w:spacing w:after="0" w:line="360" w:lineRule="auto"/>
        <w:ind w:left="0"/>
        <w:jc w:val="left"/>
        <w:rPr>
          <w:rFonts w:ascii="Times New Roman" w:hAnsi="Times New Roman"/>
          <w:sz w:val="26"/>
          <w:szCs w:val="26"/>
        </w:rPr>
      </w:pPr>
    </w:p>
    <w:p w:rsidR="005B3A46" w:rsidRDefault="005B3A46" w:rsidP="001B6469">
      <w:pPr>
        <w:pStyle w:val="ListParagraph"/>
        <w:spacing w:after="0" w:line="360" w:lineRule="auto"/>
        <w:ind w:left="0"/>
        <w:jc w:val="left"/>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3B25F6">
        <w:rPr>
          <w:rFonts w:ascii="Times New Roman" w:hAnsi="Times New Roman"/>
          <w:b/>
          <w:sz w:val="26"/>
          <w:szCs w:val="26"/>
        </w:rPr>
        <w:t>a.</w:t>
      </w:r>
      <w:r>
        <w:rPr>
          <w:rFonts w:ascii="Times New Roman" w:hAnsi="Times New Roman"/>
          <w:b/>
          <w:sz w:val="26"/>
          <w:szCs w:val="26"/>
        </w:rPr>
        <w:tab/>
        <w:t>Comments</w:t>
      </w:r>
    </w:p>
    <w:p w:rsidR="005B3A46" w:rsidRDefault="005B3A46" w:rsidP="001B6469">
      <w:pPr>
        <w:pStyle w:val="ListParagraph"/>
        <w:spacing w:after="0" w:line="360" w:lineRule="auto"/>
        <w:ind w:left="0"/>
        <w:jc w:val="left"/>
        <w:rPr>
          <w:rFonts w:ascii="Times New Roman" w:hAnsi="Times New Roman"/>
          <w:sz w:val="26"/>
          <w:szCs w:val="26"/>
        </w:rPr>
      </w:pPr>
    </w:p>
    <w:p w:rsidR="00B75B43" w:rsidRDefault="003B25F6" w:rsidP="001B6469">
      <w:pPr>
        <w:pStyle w:val="ListParagraph"/>
        <w:spacing w:after="0" w:line="360" w:lineRule="auto"/>
        <w:ind w:left="0"/>
        <w:jc w:val="left"/>
        <w:rPr>
          <w:rFonts w:ascii="Times New Roman" w:hAnsi="Times New Roman"/>
          <w:sz w:val="26"/>
          <w:szCs w:val="26"/>
        </w:rPr>
      </w:pPr>
      <w:r>
        <w:rPr>
          <w:rFonts w:ascii="Times New Roman" w:hAnsi="Times New Roman"/>
          <w:sz w:val="26"/>
          <w:szCs w:val="26"/>
        </w:rPr>
        <w:tab/>
        <w:t>PECO notes</w:t>
      </w:r>
      <w:r w:rsidR="00B75B43">
        <w:rPr>
          <w:rFonts w:ascii="Times New Roman" w:hAnsi="Times New Roman"/>
          <w:sz w:val="26"/>
          <w:szCs w:val="26"/>
        </w:rPr>
        <w:t xml:space="preserve"> that the source used for the DEER database references should be updated to correct hyperlink issues and to reference an updated measure life.</w:t>
      </w:r>
      <w:r w:rsidR="00B75B43">
        <w:rPr>
          <w:rStyle w:val="FootnoteReference"/>
          <w:sz w:val="26"/>
          <w:szCs w:val="26"/>
        </w:rPr>
        <w:footnoteReference w:id="70"/>
      </w:r>
    </w:p>
    <w:p w:rsidR="005B3A46" w:rsidRDefault="005B3A46" w:rsidP="001B6469">
      <w:pPr>
        <w:pStyle w:val="ListParagraph"/>
        <w:spacing w:after="0" w:line="360" w:lineRule="auto"/>
        <w:ind w:left="0"/>
        <w:jc w:val="left"/>
        <w:rPr>
          <w:rFonts w:ascii="Times New Roman" w:hAnsi="Times New Roman"/>
          <w:sz w:val="26"/>
          <w:szCs w:val="26"/>
        </w:rPr>
      </w:pPr>
    </w:p>
    <w:p w:rsidR="005B3A46" w:rsidRPr="005B3A46" w:rsidRDefault="005B3A46" w:rsidP="001B6469">
      <w:pPr>
        <w:pStyle w:val="ListParagraph"/>
        <w:spacing w:after="0" w:line="360" w:lineRule="auto"/>
        <w:ind w:left="0"/>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3B25F6">
        <w:rPr>
          <w:rFonts w:ascii="Times New Roman" w:hAnsi="Times New Roman"/>
          <w:b/>
          <w:sz w:val="26"/>
          <w:szCs w:val="26"/>
        </w:rPr>
        <w:t>b</w:t>
      </w:r>
      <w:r>
        <w:rPr>
          <w:rFonts w:ascii="Times New Roman" w:hAnsi="Times New Roman"/>
          <w:b/>
          <w:sz w:val="26"/>
          <w:szCs w:val="26"/>
        </w:rPr>
        <w:t>.</w:t>
      </w:r>
      <w:r>
        <w:rPr>
          <w:rFonts w:ascii="Times New Roman" w:hAnsi="Times New Roman"/>
          <w:b/>
          <w:sz w:val="26"/>
          <w:szCs w:val="26"/>
        </w:rPr>
        <w:tab/>
        <w:t>Disposition</w:t>
      </w:r>
    </w:p>
    <w:p w:rsidR="00D05144" w:rsidRDefault="00D05144" w:rsidP="001B6469">
      <w:pPr>
        <w:jc w:val="left"/>
        <w:rPr>
          <w:szCs w:val="26"/>
        </w:rPr>
      </w:pPr>
    </w:p>
    <w:p w:rsidR="00B75B43" w:rsidRDefault="00B75B43" w:rsidP="001B6469">
      <w:pPr>
        <w:jc w:val="left"/>
        <w:rPr>
          <w:szCs w:val="26"/>
        </w:rPr>
      </w:pPr>
      <w:r>
        <w:rPr>
          <w:szCs w:val="26"/>
        </w:rPr>
        <w:tab/>
        <w:t xml:space="preserve">The Commission agrees with PECO that </w:t>
      </w:r>
      <w:r w:rsidR="004A3870">
        <w:rPr>
          <w:szCs w:val="26"/>
        </w:rPr>
        <w:t xml:space="preserve">hyperlinks for </w:t>
      </w:r>
      <w:r>
        <w:rPr>
          <w:szCs w:val="26"/>
        </w:rPr>
        <w:t xml:space="preserve">sources referenced in the measures using the DEER database are not functional. </w:t>
      </w:r>
      <w:r w:rsidR="003B25F6">
        <w:rPr>
          <w:szCs w:val="26"/>
        </w:rPr>
        <w:t xml:space="preserve"> </w:t>
      </w:r>
      <w:r>
        <w:rPr>
          <w:szCs w:val="26"/>
        </w:rPr>
        <w:t xml:space="preserve">This is due to accessibility issues involved with registering for the database. </w:t>
      </w:r>
      <w:r w:rsidR="003B25F6">
        <w:rPr>
          <w:szCs w:val="26"/>
        </w:rPr>
        <w:t xml:space="preserve"> </w:t>
      </w:r>
      <w:r>
        <w:rPr>
          <w:szCs w:val="26"/>
        </w:rPr>
        <w:t>The Commission has adjusted the DEER references to avoid detailed link</w:t>
      </w:r>
      <w:r w:rsidR="003B25F6">
        <w:rPr>
          <w:szCs w:val="26"/>
        </w:rPr>
        <w:t>s to individual files or member-</w:t>
      </w:r>
      <w:r>
        <w:rPr>
          <w:szCs w:val="26"/>
        </w:rPr>
        <w:t>only access portions of the database.</w:t>
      </w:r>
    </w:p>
    <w:p w:rsidR="0039406C" w:rsidRPr="00E04FF5" w:rsidRDefault="0039406C" w:rsidP="001B6469">
      <w:pPr>
        <w:pStyle w:val="ListParagraph"/>
        <w:spacing w:after="0" w:line="360" w:lineRule="auto"/>
        <w:ind w:left="0"/>
        <w:jc w:val="left"/>
      </w:pPr>
    </w:p>
    <w:p w:rsidR="007359C2" w:rsidRPr="000B423D" w:rsidRDefault="00202ECE" w:rsidP="001B6469">
      <w:pPr>
        <w:pStyle w:val="Heading3"/>
        <w:ind w:left="720" w:firstLine="0"/>
      </w:pPr>
      <w:bookmarkStart w:id="44" w:name="_Toc405802375"/>
      <w:bookmarkStart w:id="45" w:name="_Toc405884705"/>
      <w:r>
        <w:t xml:space="preserve">Thresholds </w:t>
      </w:r>
      <w:r w:rsidR="00717F43">
        <w:t>for Using Default Values</w:t>
      </w:r>
      <w:bookmarkEnd w:id="44"/>
      <w:bookmarkEnd w:id="45"/>
    </w:p>
    <w:p w:rsidR="007359C2" w:rsidRDefault="007359C2" w:rsidP="001B6469">
      <w:pPr>
        <w:jc w:val="left"/>
        <w:rPr>
          <w:szCs w:val="26"/>
        </w:rPr>
      </w:pPr>
    </w:p>
    <w:p w:rsidR="007359C2" w:rsidRDefault="007359C2" w:rsidP="001B6469">
      <w:pPr>
        <w:jc w:val="left"/>
        <w:rPr>
          <w:szCs w:val="26"/>
        </w:rPr>
      </w:pPr>
      <w:r>
        <w:rPr>
          <w:szCs w:val="26"/>
        </w:rPr>
        <w:tab/>
      </w:r>
      <w:r w:rsidR="008A151D">
        <w:rPr>
          <w:szCs w:val="26"/>
        </w:rPr>
        <w:t>The Commission did not propose changes to the</w:t>
      </w:r>
      <w:r>
        <w:rPr>
          <w:szCs w:val="26"/>
        </w:rPr>
        <w:t xml:space="preserve"> thresholds</w:t>
      </w:r>
      <w:r w:rsidR="00E04FF5">
        <w:rPr>
          <w:szCs w:val="26"/>
        </w:rPr>
        <w:t xml:space="preserve"> for using site-specific information for open variables used in the calculation of energy and demand savings</w:t>
      </w:r>
      <w:r>
        <w:rPr>
          <w:szCs w:val="26"/>
        </w:rPr>
        <w:t>.</w:t>
      </w:r>
      <w:r w:rsidRPr="00EC7896">
        <w:rPr>
          <w:szCs w:val="26"/>
        </w:rPr>
        <w:t xml:space="preserve"> </w:t>
      </w:r>
      <w:r w:rsidR="003B25F6">
        <w:rPr>
          <w:szCs w:val="26"/>
        </w:rPr>
        <w:t xml:space="preserve"> </w:t>
      </w:r>
      <w:r>
        <w:rPr>
          <w:szCs w:val="26"/>
        </w:rPr>
        <w:t>H</w:t>
      </w:r>
      <w:r w:rsidRPr="00EC7896">
        <w:rPr>
          <w:szCs w:val="26"/>
        </w:rPr>
        <w:t xml:space="preserve">owever, </w:t>
      </w:r>
      <w:r>
        <w:rPr>
          <w:szCs w:val="26"/>
        </w:rPr>
        <w:t xml:space="preserve">comments were received </w:t>
      </w:r>
      <w:r w:rsidRPr="00EC7896">
        <w:rPr>
          <w:szCs w:val="26"/>
        </w:rPr>
        <w:t xml:space="preserve">and </w:t>
      </w:r>
      <w:r>
        <w:rPr>
          <w:szCs w:val="26"/>
        </w:rPr>
        <w:t>are</w:t>
      </w:r>
      <w:r w:rsidRPr="00EC7896">
        <w:rPr>
          <w:szCs w:val="26"/>
        </w:rPr>
        <w:t xml:space="preserve"> address</w:t>
      </w:r>
      <w:r>
        <w:rPr>
          <w:szCs w:val="26"/>
        </w:rPr>
        <w:t>ed below</w:t>
      </w:r>
      <w:r w:rsidRPr="00EC7896">
        <w:rPr>
          <w:szCs w:val="26"/>
        </w:rPr>
        <w:t>.</w:t>
      </w:r>
      <w:r w:rsidR="00024448">
        <w:rPr>
          <w:szCs w:val="26"/>
        </w:rPr>
        <w:t xml:space="preserve"> </w:t>
      </w:r>
    </w:p>
    <w:p w:rsidR="007359C2" w:rsidRDefault="007359C2" w:rsidP="001B6469">
      <w:pPr>
        <w:pStyle w:val="ListParagraph"/>
        <w:spacing w:after="0" w:line="360" w:lineRule="auto"/>
        <w:ind w:left="0"/>
        <w:jc w:val="left"/>
        <w:rPr>
          <w:rFonts w:ascii="Times New Roman" w:hAnsi="Times New Roman"/>
          <w:sz w:val="26"/>
          <w:szCs w:val="26"/>
        </w:rPr>
      </w:pPr>
    </w:p>
    <w:p w:rsidR="007359C2" w:rsidRDefault="003B25F6" w:rsidP="001B6469">
      <w:pPr>
        <w:pStyle w:val="ListParagraph"/>
        <w:spacing w:after="0" w:line="360" w:lineRule="auto"/>
        <w:ind w:left="0"/>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a</w:t>
      </w:r>
      <w:r w:rsidR="007359C2">
        <w:rPr>
          <w:rFonts w:ascii="Times New Roman" w:hAnsi="Times New Roman"/>
          <w:b/>
          <w:sz w:val="26"/>
          <w:szCs w:val="26"/>
        </w:rPr>
        <w:t>.</w:t>
      </w:r>
      <w:r w:rsidR="007359C2">
        <w:rPr>
          <w:rFonts w:ascii="Times New Roman" w:hAnsi="Times New Roman"/>
          <w:b/>
          <w:sz w:val="26"/>
          <w:szCs w:val="26"/>
        </w:rPr>
        <w:tab/>
        <w:t>Comments</w:t>
      </w:r>
    </w:p>
    <w:p w:rsidR="007359C2" w:rsidRDefault="007359C2" w:rsidP="001B6469">
      <w:pPr>
        <w:pStyle w:val="ListParagraph"/>
        <w:spacing w:after="0" w:line="360" w:lineRule="auto"/>
        <w:ind w:left="0"/>
        <w:jc w:val="left"/>
        <w:rPr>
          <w:rFonts w:ascii="Times New Roman" w:hAnsi="Times New Roman"/>
          <w:sz w:val="26"/>
          <w:szCs w:val="26"/>
        </w:rPr>
      </w:pPr>
    </w:p>
    <w:p w:rsidR="00024448" w:rsidRDefault="00024448" w:rsidP="00B47B06">
      <w:pPr>
        <w:pStyle w:val="ListParagraph"/>
        <w:spacing w:after="0" w:line="360" w:lineRule="auto"/>
        <w:ind w:left="0"/>
        <w:jc w:val="left"/>
        <w:rPr>
          <w:rFonts w:ascii="Times New Roman" w:hAnsi="Times New Roman"/>
          <w:sz w:val="26"/>
          <w:szCs w:val="26"/>
        </w:rPr>
      </w:pPr>
      <w:r>
        <w:rPr>
          <w:rFonts w:ascii="Times New Roman" w:hAnsi="Times New Roman"/>
          <w:sz w:val="26"/>
          <w:szCs w:val="26"/>
        </w:rPr>
        <w:tab/>
      </w:r>
      <w:r w:rsidRPr="00B47B06">
        <w:rPr>
          <w:rFonts w:ascii="Times New Roman" w:hAnsi="Times New Roman"/>
          <w:sz w:val="26"/>
          <w:szCs w:val="26"/>
        </w:rPr>
        <w:t>FirstEnergy notes that</w:t>
      </w:r>
      <w:r w:rsidR="003B25F6" w:rsidRPr="00B47B06">
        <w:rPr>
          <w:rFonts w:ascii="Times New Roman" w:hAnsi="Times New Roman"/>
          <w:sz w:val="26"/>
          <w:szCs w:val="26"/>
        </w:rPr>
        <w:t>,</w:t>
      </w:r>
      <w:r w:rsidRPr="00B47B06">
        <w:rPr>
          <w:rFonts w:ascii="Times New Roman" w:hAnsi="Times New Roman"/>
          <w:sz w:val="26"/>
          <w:szCs w:val="26"/>
        </w:rPr>
        <w:t xml:space="preserve"> consistent with comments on the 2014 TRM, thresholds for requiring site-specific information for o</w:t>
      </w:r>
      <w:r w:rsidR="00BF4A3A" w:rsidRPr="00B47B06">
        <w:rPr>
          <w:rFonts w:ascii="Times New Roman" w:hAnsi="Times New Roman"/>
          <w:sz w:val="26"/>
          <w:szCs w:val="26"/>
        </w:rPr>
        <w:t>pen variables are lower than</w:t>
      </w:r>
      <w:r w:rsidRPr="00B47B06">
        <w:rPr>
          <w:rFonts w:ascii="Times New Roman" w:hAnsi="Times New Roman"/>
          <w:sz w:val="26"/>
          <w:szCs w:val="26"/>
        </w:rPr>
        <w:t xml:space="preserve"> necessary</w:t>
      </w:r>
      <w:r w:rsidR="00BF4A3A" w:rsidRPr="00B47B06">
        <w:rPr>
          <w:rFonts w:ascii="Times New Roman" w:hAnsi="Times New Roman"/>
          <w:sz w:val="26"/>
          <w:szCs w:val="26"/>
        </w:rPr>
        <w:t xml:space="preserve">. </w:t>
      </w:r>
      <w:r w:rsidR="003B25F6" w:rsidRPr="00B47B06">
        <w:rPr>
          <w:rFonts w:ascii="Times New Roman" w:hAnsi="Times New Roman"/>
          <w:sz w:val="26"/>
          <w:szCs w:val="26"/>
        </w:rPr>
        <w:t xml:space="preserve"> </w:t>
      </w:r>
      <w:r w:rsidR="00BF4A3A" w:rsidRPr="00B47B06">
        <w:rPr>
          <w:rFonts w:ascii="Times New Roman" w:hAnsi="Times New Roman"/>
          <w:sz w:val="26"/>
          <w:szCs w:val="26"/>
        </w:rPr>
        <w:t>FirstEnergy</w:t>
      </w:r>
      <w:r w:rsidRPr="00B47B06">
        <w:rPr>
          <w:rFonts w:ascii="Times New Roman" w:hAnsi="Times New Roman"/>
          <w:sz w:val="26"/>
          <w:szCs w:val="26"/>
        </w:rPr>
        <w:t xml:space="preserve"> </w:t>
      </w:r>
      <w:r w:rsidR="005B784C" w:rsidRPr="00B47B06">
        <w:rPr>
          <w:rFonts w:ascii="Times New Roman" w:hAnsi="Times New Roman"/>
          <w:sz w:val="26"/>
          <w:szCs w:val="26"/>
        </w:rPr>
        <w:t xml:space="preserve">recommends that </w:t>
      </w:r>
      <w:r w:rsidRPr="00B47B06">
        <w:rPr>
          <w:rFonts w:ascii="Times New Roman" w:hAnsi="Times New Roman"/>
          <w:sz w:val="26"/>
          <w:szCs w:val="26"/>
        </w:rPr>
        <w:t xml:space="preserve">thresholds be reviewed through the </w:t>
      </w:r>
      <w:r w:rsidR="003B25F6" w:rsidRPr="00B47B06">
        <w:rPr>
          <w:rFonts w:ascii="Times New Roman" w:hAnsi="Times New Roman"/>
          <w:sz w:val="26"/>
          <w:szCs w:val="26"/>
        </w:rPr>
        <w:t xml:space="preserve">PEG </w:t>
      </w:r>
      <w:r w:rsidRPr="00B47B06">
        <w:rPr>
          <w:rFonts w:ascii="Times New Roman" w:hAnsi="Times New Roman"/>
          <w:sz w:val="26"/>
          <w:szCs w:val="26"/>
        </w:rPr>
        <w:t>process for the 2016 TRM</w:t>
      </w:r>
      <w:r w:rsidR="003B25F6" w:rsidRPr="00B47B06">
        <w:rPr>
          <w:rFonts w:ascii="Times New Roman" w:hAnsi="Times New Roman"/>
          <w:sz w:val="26"/>
          <w:szCs w:val="26"/>
        </w:rPr>
        <w:t xml:space="preserve"> update</w:t>
      </w:r>
      <w:r w:rsidRPr="00B47B06">
        <w:rPr>
          <w:rFonts w:ascii="Times New Roman" w:hAnsi="Times New Roman"/>
          <w:sz w:val="26"/>
          <w:szCs w:val="26"/>
        </w:rPr>
        <w:t xml:space="preserve">. </w:t>
      </w:r>
      <w:r w:rsidR="003B25F6" w:rsidRPr="00B47B06">
        <w:rPr>
          <w:rFonts w:ascii="Times New Roman" w:hAnsi="Times New Roman"/>
          <w:sz w:val="26"/>
          <w:szCs w:val="26"/>
        </w:rPr>
        <w:t xml:space="preserve"> </w:t>
      </w:r>
      <w:r w:rsidRPr="00B47B06">
        <w:rPr>
          <w:rFonts w:ascii="Times New Roman" w:hAnsi="Times New Roman"/>
          <w:sz w:val="26"/>
          <w:szCs w:val="26"/>
        </w:rPr>
        <w:t xml:space="preserve">FirstEnergy states that overall certainty in verified </w:t>
      </w:r>
      <w:r w:rsidR="003B25F6" w:rsidRPr="00B47B06">
        <w:rPr>
          <w:rFonts w:ascii="Times New Roman" w:hAnsi="Times New Roman"/>
          <w:sz w:val="26"/>
          <w:szCs w:val="26"/>
        </w:rPr>
        <w:t>megawatt-hours (</w:t>
      </w:r>
      <w:r w:rsidRPr="00B47B06">
        <w:rPr>
          <w:rFonts w:ascii="Times New Roman" w:hAnsi="Times New Roman"/>
          <w:sz w:val="26"/>
          <w:szCs w:val="26"/>
        </w:rPr>
        <w:t>MWh</w:t>
      </w:r>
      <w:r w:rsidR="003B25F6" w:rsidRPr="00B47B06">
        <w:rPr>
          <w:rFonts w:ascii="Times New Roman" w:hAnsi="Times New Roman"/>
          <w:sz w:val="26"/>
          <w:szCs w:val="26"/>
        </w:rPr>
        <w:t>)</w:t>
      </w:r>
      <w:r w:rsidRPr="00B47B06">
        <w:rPr>
          <w:rFonts w:ascii="Times New Roman" w:hAnsi="Times New Roman"/>
          <w:sz w:val="26"/>
          <w:szCs w:val="26"/>
        </w:rPr>
        <w:t xml:space="preserve"> and</w:t>
      </w:r>
      <w:r w:rsidR="003B25F6" w:rsidRPr="00B47B06">
        <w:rPr>
          <w:rFonts w:ascii="Times New Roman" w:hAnsi="Times New Roman"/>
          <w:sz w:val="26"/>
          <w:szCs w:val="26"/>
        </w:rPr>
        <w:t xml:space="preserve"> megawatt</w:t>
      </w:r>
      <w:r w:rsidRPr="00B47B06">
        <w:rPr>
          <w:rFonts w:ascii="Times New Roman" w:hAnsi="Times New Roman"/>
          <w:sz w:val="26"/>
          <w:szCs w:val="26"/>
        </w:rPr>
        <w:t xml:space="preserve"> </w:t>
      </w:r>
      <w:r w:rsidR="003B25F6" w:rsidRPr="00B47B06">
        <w:rPr>
          <w:rFonts w:ascii="Times New Roman" w:hAnsi="Times New Roman"/>
          <w:sz w:val="26"/>
          <w:szCs w:val="26"/>
        </w:rPr>
        <w:t>(</w:t>
      </w:r>
      <w:r w:rsidRPr="00B47B06">
        <w:rPr>
          <w:rFonts w:ascii="Times New Roman" w:hAnsi="Times New Roman"/>
          <w:sz w:val="26"/>
          <w:szCs w:val="26"/>
        </w:rPr>
        <w:t>MW</w:t>
      </w:r>
      <w:r w:rsidR="003B25F6" w:rsidRPr="00B47B06">
        <w:rPr>
          <w:rFonts w:ascii="Times New Roman" w:hAnsi="Times New Roman"/>
          <w:sz w:val="26"/>
          <w:szCs w:val="26"/>
        </w:rPr>
        <w:t>)</w:t>
      </w:r>
      <w:r w:rsidRPr="00B47B06">
        <w:rPr>
          <w:rFonts w:ascii="Times New Roman" w:hAnsi="Times New Roman"/>
          <w:sz w:val="26"/>
          <w:szCs w:val="26"/>
        </w:rPr>
        <w:t xml:space="preserve"> estimates will actually increase if the thresholds – particularly for lighting projects— are increased</w:t>
      </w:r>
      <w:r w:rsidR="003B25F6" w:rsidRPr="00B47B06">
        <w:rPr>
          <w:rFonts w:ascii="Times New Roman" w:hAnsi="Times New Roman"/>
          <w:sz w:val="26"/>
          <w:szCs w:val="26"/>
        </w:rPr>
        <w:t>,</w:t>
      </w:r>
      <w:r w:rsidRPr="00B47B06">
        <w:rPr>
          <w:rFonts w:ascii="Times New Roman" w:hAnsi="Times New Roman"/>
          <w:sz w:val="26"/>
          <w:szCs w:val="26"/>
        </w:rPr>
        <w:t xml:space="preserve"> because trade allies or applicants </w:t>
      </w:r>
      <w:r w:rsidRPr="00B47B06">
        <w:rPr>
          <w:rFonts w:ascii="Times New Roman" w:hAnsi="Times New Roman"/>
          <w:sz w:val="26"/>
          <w:szCs w:val="26"/>
        </w:rPr>
        <w:lastRenderedPageBreak/>
        <w:t>generally do not have the c</w:t>
      </w:r>
      <w:r w:rsidR="003B25F6" w:rsidRPr="00B47B06">
        <w:rPr>
          <w:rFonts w:ascii="Times New Roman" w:hAnsi="Times New Roman"/>
          <w:sz w:val="26"/>
          <w:szCs w:val="26"/>
        </w:rPr>
        <w:t>apability to conduct monitoring.  This r</w:t>
      </w:r>
      <w:r w:rsidRPr="00B47B06">
        <w:rPr>
          <w:rFonts w:ascii="Times New Roman" w:hAnsi="Times New Roman"/>
          <w:sz w:val="26"/>
          <w:szCs w:val="26"/>
        </w:rPr>
        <w:t>esult</w:t>
      </w:r>
      <w:r w:rsidR="003B25F6" w:rsidRPr="00B47B06">
        <w:rPr>
          <w:rFonts w:ascii="Times New Roman" w:hAnsi="Times New Roman"/>
          <w:sz w:val="26"/>
          <w:szCs w:val="26"/>
        </w:rPr>
        <w:t>s</w:t>
      </w:r>
      <w:r w:rsidRPr="00B47B06">
        <w:rPr>
          <w:rFonts w:ascii="Times New Roman" w:hAnsi="Times New Roman"/>
          <w:sz w:val="26"/>
          <w:szCs w:val="26"/>
        </w:rPr>
        <w:t xml:space="preserve"> in </w:t>
      </w:r>
      <w:r w:rsidR="003B25F6" w:rsidRPr="00B47B06">
        <w:rPr>
          <w:rFonts w:ascii="Times New Roman" w:hAnsi="Times New Roman"/>
          <w:sz w:val="26"/>
          <w:szCs w:val="26"/>
        </w:rPr>
        <w:t xml:space="preserve">the </w:t>
      </w:r>
      <w:r w:rsidRPr="00B47B06">
        <w:rPr>
          <w:rFonts w:ascii="Times New Roman" w:hAnsi="Times New Roman"/>
          <w:sz w:val="26"/>
          <w:szCs w:val="26"/>
        </w:rPr>
        <w:t>need for evaluators to manage a constant trickle of medium-sized projects, instead of focusing M&amp;V efforts on projects that represent the most savings.</w:t>
      </w:r>
      <w:r w:rsidR="00202ECE" w:rsidRPr="00B47B06">
        <w:rPr>
          <w:rStyle w:val="FootnoteReference"/>
          <w:sz w:val="26"/>
          <w:szCs w:val="26"/>
        </w:rPr>
        <w:footnoteReference w:id="71"/>
      </w:r>
    </w:p>
    <w:p w:rsidR="007359C2" w:rsidRDefault="007359C2" w:rsidP="00B47B06">
      <w:pPr>
        <w:pStyle w:val="ListParagraph"/>
        <w:spacing w:after="0" w:line="360" w:lineRule="auto"/>
        <w:ind w:left="0"/>
        <w:jc w:val="left"/>
        <w:rPr>
          <w:rFonts w:ascii="Times New Roman" w:hAnsi="Times New Roman"/>
          <w:sz w:val="26"/>
          <w:szCs w:val="26"/>
        </w:rPr>
      </w:pPr>
    </w:p>
    <w:p w:rsidR="007359C2" w:rsidRPr="005B3A46" w:rsidRDefault="00B47B06" w:rsidP="00B47B06">
      <w:pPr>
        <w:pStyle w:val="ListParagraph"/>
        <w:spacing w:after="0" w:line="360" w:lineRule="auto"/>
        <w:ind w:left="0"/>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sidR="007359C2">
        <w:rPr>
          <w:rFonts w:ascii="Times New Roman" w:hAnsi="Times New Roman"/>
          <w:b/>
          <w:sz w:val="26"/>
          <w:szCs w:val="26"/>
        </w:rPr>
        <w:t>.</w:t>
      </w:r>
      <w:r w:rsidR="007359C2">
        <w:rPr>
          <w:rFonts w:ascii="Times New Roman" w:hAnsi="Times New Roman"/>
          <w:b/>
          <w:sz w:val="26"/>
          <w:szCs w:val="26"/>
        </w:rPr>
        <w:tab/>
        <w:t>Disposition</w:t>
      </w:r>
    </w:p>
    <w:p w:rsidR="005B3A46" w:rsidRDefault="005B3A46" w:rsidP="00B47B06">
      <w:pPr>
        <w:jc w:val="left"/>
        <w:rPr>
          <w:szCs w:val="26"/>
        </w:rPr>
      </w:pPr>
    </w:p>
    <w:p w:rsidR="00A0404C" w:rsidRDefault="00A0404C" w:rsidP="00B47B06">
      <w:pPr>
        <w:jc w:val="left"/>
        <w:rPr>
          <w:szCs w:val="26"/>
        </w:rPr>
      </w:pPr>
      <w:r>
        <w:rPr>
          <w:szCs w:val="26"/>
        </w:rPr>
        <w:tab/>
      </w:r>
      <w:r w:rsidRPr="00003B01">
        <w:rPr>
          <w:szCs w:val="26"/>
        </w:rPr>
        <w:t>The Commission</w:t>
      </w:r>
      <w:r w:rsidR="00717F43" w:rsidRPr="00003B01">
        <w:rPr>
          <w:szCs w:val="26"/>
        </w:rPr>
        <w:t xml:space="preserve"> </w:t>
      </w:r>
      <w:r w:rsidR="00DF0B2B" w:rsidRPr="00003B01">
        <w:rPr>
          <w:szCs w:val="26"/>
        </w:rPr>
        <w:t>acknowledges</w:t>
      </w:r>
      <w:r w:rsidR="00717F43" w:rsidRPr="00003B01">
        <w:rPr>
          <w:szCs w:val="26"/>
        </w:rPr>
        <w:t xml:space="preserve"> </w:t>
      </w:r>
      <w:r w:rsidR="00DF0B2B" w:rsidRPr="00003B01">
        <w:rPr>
          <w:szCs w:val="26"/>
        </w:rPr>
        <w:t xml:space="preserve">FirstEnergy’s comments and </w:t>
      </w:r>
      <w:r w:rsidR="00DD5F08" w:rsidRPr="00003B01">
        <w:rPr>
          <w:szCs w:val="26"/>
        </w:rPr>
        <w:t>agrees</w:t>
      </w:r>
      <w:r w:rsidR="00DF0B2B" w:rsidRPr="00003B01">
        <w:rPr>
          <w:szCs w:val="26"/>
        </w:rPr>
        <w:t xml:space="preserve"> that thresholds </w:t>
      </w:r>
      <w:r w:rsidR="00B0524D" w:rsidRPr="00003B01">
        <w:rPr>
          <w:szCs w:val="26"/>
        </w:rPr>
        <w:t>may require a review</w:t>
      </w:r>
      <w:r w:rsidR="00DF0B2B" w:rsidRPr="00003B01">
        <w:rPr>
          <w:szCs w:val="26"/>
        </w:rPr>
        <w:t xml:space="preserve">. </w:t>
      </w:r>
      <w:r w:rsidR="00B0524D" w:rsidRPr="00003B01">
        <w:rPr>
          <w:szCs w:val="26"/>
        </w:rPr>
        <w:t xml:space="preserve"> </w:t>
      </w:r>
      <w:r w:rsidR="00A8536D" w:rsidRPr="00003B01">
        <w:rPr>
          <w:szCs w:val="26"/>
        </w:rPr>
        <w:t xml:space="preserve">Since </w:t>
      </w:r>
      <w:r w:rsidR="00FC7759" w:rsidRPr="00003B01">
        <w:rPr>
          <w:szCs w:val="26"/>
        </w:rPr>
        <w:t>the thresholds went in</w:t>
      </w:r>
      <w:r w:rsidR="00557525" w:rsidRPr="00003B01">
        <w:rPr>
          <w:szCs w:val="26"/>
        </w:rPr>
        <w:t>to</w:t>
      </w:r>
      <w:r w:rsidR="00FC7759" w:rsidRPr="00003B01">
        <w:rPr>
          <w:szCs w:val="26"/>
        </w:rPr>
        <w:t xml:space="preserve"> effect in </w:t>
      </w:r>
      <w:r w:rsidR="00B0524D" w:rsidRPr="00003B01">
        <w:rPr>
          <w:szCs w:val="26"/>
        </w:rPr>
        <w:t>program year five (</w:t>
      </w:r>
      <w:r w:rsidR="00FC7759" w:rsidRPr="00003B01">
        <w:rPr>
          <w:szCs w:val="26"/>
        </w:rPr>
        <w:t>PY5</w:t>
      </w:r>
      <w:r w:rsidR="00B0524D" w:rsidRPr="00003B01">
        <w:rPr>
          <w:szCs w:val="26"/>
        </w:rPr>
        <w:t>)</w:t>
      </w:r>
      <w:r w:rsidR="00FC7759" w:rsidRPr="00003B01">
        <w:rPr>
          <w:szCs w:val="26"/>
        </w:rPr>
        <w:t xml:space="preserve">, the Commission is still awaiting evaluation results to </w:t>
      </w:r>
      <w:r w:rsidR="00557525" w:rsidRPr="00003B01">
        <w:rPr>
          <w:szCs w:val="26"/>
        </w:rPr>
        <w:t xml:space="preserve">determine if </w:t>
      </w:r>
      <w:r w:rsidR="00FC7759" w:rsidRPr="00003B01">
        <w:rPr>
          <w:szCs w:val="26"/>
        </w:rPr>
        <w:t>adjustments to the thresholds are necessary</w:t>
      </w:r>
      <w:r w:rsidR="0035020C" w:rsidRPr="00003B01">
        <w:rPr>
          <w:szCs w:val="26"/>
        </w:rPr>
        <w:t xml:space="preserve"> for the 2016 TRM</w:t>
      </w:r>
      <w:r w:rsidR="00B0524D" w:rsidRPr="00003B01">
        <w:rPr>
          <w:szCs w:val="26"/>
        </w:rPr>
        <w:t xml:space="preserve"> update</w:t>
      </w:r>
      <w:r w:rsidR="00FC7759" w:rsidRPr="00003B01">
        <w:rPr>
          <w:szCs w:val="26"/>
        </w:rPr>
        <w:t xml:space="preserve">. </w:t>
      </w:r>
      <w:r w:rsidR="00B0524D" w:rsidRPr="00003B01">
        <w:rPr>
          <w:szCs w:val="26"/>
        </w:rPr>
        <w:t xml:space="preserve"> </w:t>
      </w:r>
      <w:r w:rsidR="00FC7759" w:rsidRPr="00003B01">
        <w:rPr>
          <w:szCs w:val="26"/>
        </w:rPr>
        <w:t>The Commission directs the SWE</w:t>
      </w:r>
      <w:r w:rsidR="00003B01" w:rsidRPr="00003B01">
        <w:rPr>
          <w:szCs w:val="26"/>
        </w:rPr>
        <w:t xml:space="preserve"> to review the results from PY5 and</w:t>
      </w:r>
      <w:r w:rsidR="00F46959">
        <w:rPr>
          <w:szCs w:val="26"/>
        </w:rPr>
        <w:t xml:space="preserve"> </w:t>
      </w:r>
      <w:r w:rsidR="008B369D">
        <w:rPr>
          <w:szCs w:val="26"/>
        </w:rPr>
        <w:t>identify</w:t>
      </w:r>
      <w:r w:rsidR="00425331">
        <w:rPr>
          <w:szCs w:val="26"/>
        </w:rPr>
        <w:t xml:space="preserve"> </w:t>
      </w:r>
      <w:r w:rsidR="00FC7759" w:rsidRPr="00003B01">
        <w:rPr>
          <w:szCs w:val="26"/>
        </w:rPr>
        <w:t xml:space="preserve">thresholds </w:t>
      </w:r>
      <w:r w:rsidR="008B369D">
        <w:rPr>
          <w:szCs w:val="26"/>
        </w:rPr>
        <w:t xml:space="preserve">for future TRM updates </w:t>
      </w:r>
      <w:r w:rsidR="00FC7759" w:rsidRPr="00003B01">
        <w:rPr>
          <w:szCs w:val="26"/>
        </w:rPr>
        <w:t xml:space="preserve">that will balance </w:t>
      </w:r>
      <w:r w:rsidR="00557525" w:rsidRPr="00003B01">
        <w:rPr>
          <w:szCs w:val="26"/>
        </w:rPr>
        <w:t xml:space="preserve">the </w:t>
      </w:r>
      <w:r w:rsidR="00FC7759" w:rsidRPr="00003B01">
        <w:rPr>
          <w:szCs w:val="26"/>
        </w:rPr>
        <w:t xml:space="preserve">level </w:t>
      </w:r>
      <w:r w:rsidRPr="00003B01">
        <w:rPr>
          <w:szCs w:val="26"/>
        </w:rPr>
        <w:t xml:space="preserve">of evaluation rigor and the need for accuracy of savings estimates with the level of costs required to </w:t>
      </w:r>
      <w:r w:rsidR="00B0524D" w:rsidRPr="00003B01">
        <w:rPr>
          <w:szCs w:val="26"/>
        </w:rPr>
        <w:t>collect customer-specific data.</w:t>
      </w:r>
    </w:p>
    <w:p w:rsidR="006D6E02" w:rsidRPr="0098410B" w:rsidRDefault="006D6E02" w:rsidP="001B6469">
      <w:pPr>
        <w:jc w:val="left"/>
        <w:rPr>
          <w:szCs w:val="26"/>
        </w:rPr>
      </w:pPr>
    </w:p>
    <w:p w:rsidR="00623029" w:rsidRPr="00623029" w:rsidRDefault="00623029" w:rsidP="001B6469">
      <w:pPr>
        <w:pStyle w:val="Heading3"/>
        <w:ind w:left="720" w:firstLine="0"/>
      </w:pPr>
      <w:bookmarkStart w:id="46" w:name="_Toc405802376"/>
      <w:bookmarkStart w:id="47" w:name="_Toc405884706"/>
      <w:bookmarkStart w:id="48" w:name="_Toc364755756"/>
      <w:bookmarkStart w:id="49" w:name="_Toc394648171"/>
      <w:bookmarkStart w:id="50" w:name="_Toc396910600"/>
      <w:bookmarkStart w:id="51" w:name="_Toc334174991"/>
      <w:r w:rsidRPr="00623029">
        <w:t>Applicabili</w:t>
      </w:r>
      <w:r w:rsidR="000E066F">
        <w:t xml:space="preserve">ty of the TRM for Estimating </w:t>
      </w:r>
      <w:r w:rsidR="000E066F" w:rsidRPr="000E066F">
        <w:rPr>
          <w:i/>
        </w:rPr>
        <w:t>Ex-</w:t>
      </w:r>
      <w:r w:rsidRPr="000E066F">
        <w:rPr>
          <w:i/>
        </w:rPr>
        <w:t>Ante</w:t>
      </w:r>
      <w:r w:rsidRPr="00623029">
        <w:t xml:space="preserve"> Savings</w:t>
      </w:r>
      <w:bookmarkEnd w:id="46"/>
      <w:bookmarkEnd w:id="47"/>
    </w:p>
    <w:p w:rsidR="00623029" w:rsidRPr="00623029" w:rsidRDefault="00623029" w:rsidP="001B6469">
      <w:pPr>
        <w:jc w:val="left"/>
      </w:pPr>
    </w:p>
    <w:p w:rsidR="00623029" w:rsidRPr="00623029" w:rsidRDefault="008A151D" w:rsidP="001B6469">
      <w:pPr>
        <w:ind w:firstLine="720"/>
        <w:jc w:val="left"/>
      </w:pPr>
      <w:r>
        <w:t>The Commission did not propose changes to</w:t>
      </w:r>
      <w:r w:rsidR="00623029" w:rsidRPr="00623029">
        <w:t xml:space="preserve"> the applicability of the TRM with regards to determining the in-service date of certain measures. </w:t>
      </w:r>
      <w:r w:rsidR="000E066F">
        <w:t xml:space="preserve"> </w:t>
      </w:r>
      <w:r w:rsidR="00623029" w:rsidRPr="00623029">
        <w:t xml:space="preserve">However, the Commission did receive comments and they are addressed below. </w:t>
      </w:r>
    </w:p>
    <w:p w:rsidR="00623029" w:rsidRPr="00623029" w:rsidRDefault="00623029" w:rsidP="001B6469">
      <w:pPr>
        <w:jc w:val="left"/>
      </w:pPr>
    </w:p>
    <w:p w:rsidR="00623029" w:rsidRPr="00623029" w:rsidRDefault="000E066F" w:rsidP="001B6469">
      <w:pPr>
        <w:widowControl w:val="0"/>
        <w:tabs>
          <w:tab w:val="left" w:pos="204"/>
        </w:tabs>
        <w:overflowPunct/>
        <w:ind w:firstLine="720"/>
        <w:jc w:val="left"/>
        <w:rPr>
          <w:szCs w:val="26"/>
        </w:rPr>
      </w:pPr>
      <w:r>
        <w:rPr>
          <w:b/>
          <w:szCs w:val="26"/>
        </w:rPr>
        <w:tab/>
        <w:t>a</w:t>
      </w:r>
      <w:r w:rsidR="00623029" w:rsidRPr="00623029">
        <w:rPr>
          <w:b/>
          <w:szCs w:val="26"/>
        </w:rPr>
        <w:t>.</w:t>
      </w:r>
      <w:r w:rsidR="00623029" w:rsidRPr="00623029">
        <w:rPr>
          <w:b/>
          <w:szCs w:val="26"/>
        </w:rPr>
        <w:tab/>
        <w:t>Comments</w:t>
      </w:r>
    </w:p>
    <w:p w:rsidR="00623029" w:rsidRPr="00623029" w:rsidRDefault="00623029" w:rsidP="001B6469">
      <w:pPr>
        <w:widowControl w:val="0"/>
        <w:overflowPunct/>
        <w:jc w:val="left"/>
        <w:rPr>
          <w:szCs w:val="26"/>
        </w:rPr>
      </w:pPr>
    </w:p>
    <w:p w:rsidR="00623029" w:rsidRPr="00623029" w:rsidRDefault="000E066F" w:rsidP="001B6469">
      <w:pPr>
        <w:widowControl w:val="0"/>
        <w:overflowPunct/>
        <w:jc w:val="left"/>
        <w:rPr>
          <w:szCs w:val="26"/>
        </w:rPr>
      </w:pPr>
      <w:r>
        <w:rPr>
          <w:szCs w:val="26"/>
        </w:rPr>
        <w:tab/>
        <w:t>PPL notes</w:t>
      </w:r>
      <w:r w:rsidR="00623029" w:rsidRPr="00623029">
        <w:rPr>
          <w:szCs w:val="26"/>
        </w:rPr>
        <w:t xml:space="preserve"> that </w:t>
      </w:r>
      <w:r>
        <w:rPr>
          <w:szCs w:val="26"/>
        </w:rPr>
        <w:t>S</w:t>
      </w:r>
      <w:r w:rsidR="00623029" w:rsidRPr="00623029">
        <w:rPr>
          <w:szCs w:val="26"/>
        </w:rPr>
        <w:t>ection 1.2.4</w:t>
      </w:r>
      <w:r w:rsidR="006527B0">
        <w:rPr>
          <w:szCs w:val="26"/>
        </w:rPr>
        <w:t xml:space="preserve"> – Applicability of the TRM for Estimating </w:t>
      </w:r>
      <w:r w:rsidR="006527B0">
        <w:rPr>
          <w:i/>
          <w:szCs w:val="26"/>
        </w:rPr>
        <w:t>Ex Ante</w:t>
      </w:r>
      <w:r w:rsidR="006527B0">
        <w:rPr>
          <w:szCs w:val="26"/>
        </w:rPr>
        <w:t xml:space="preserve"> (Claimed) Savings</w:t>
      </w:r>
      <w:r w:rsidR="006527B0">
        <w:rPr>
          <w:rStyle w:val="FootnoteReference"/>
          <w:szCs w:val="26"/>
        </w:rPr>
        <w:footnoteReference w:id="72"/>
      </w:r>
      <w:r w:rsidR="00623029" w:rsidRPr="00623029">
        <w:rPr>
          <w:szCs w:val="26"/>
        </w:rPr>
        <w:t xml:space="preserve"> does not </w:t>
      </w:r>
      <w:r>
        <w:rPr>
          <w:szCs w:val="26"/>
        </w:rPr>
        <w:t>correctly</w:t>
      </w:r>
      <w:r w:rsidR="00623029" w:rsidRPr="00623029">
        <w:rPr>
          <w:szCs w:val="26"/>
        </w:rPr>
        <w:t xml:space="preserve"> address appliance in-service dates with regards to new construction. </w:t>
      </w:r>
      <w:r>
        <w:rPr>
          <w:szCs w:val="26"/>
        </w:rPr>
        <w:t xml:space="preserve"> </w:t>
      </w:r>
      <w:r w:rsidR="00623029" w:rsidRPr="00623029">
        <w:rPr>
          <w:szCs w:val="26"/>
        </w:rPr>
        <w:t xml:space="preserve">Specifically, </w:t>
      </w:r>
      <w:r>
        <w:rPr>
          <w:szCs w:val="26"/>
        </w:rPr>
        <w:t>PPL</w:t>
      </w:r>
      <w:r w:rsidR="00623029" w:rsidRPr="00623029">
        <w:rPr>
          <w:szCs w:val="26"/>
        </w:rPr>
        <w:t xml:space="preserve"> recommends rephrasing the first sentence in the </w:t>
      </w:r>
      <w:r w:rsidR="00623029" w:rsidRPr="00623029">
        <w:rPr>
          <w:szCs w:val="26"/>
        </w:rPr>
        <w:lastRenderedPageBreak/>
        <w:t>section to read the following:</w:t>
      </w:r>
    </w:p>
    <w:p w:rsidR="00623029" w:rsidRPr="00623029" w:rsidRDefault="00623029" w:rsidP="000E066F">
      <w:pPr>
        <w:widowControl w:val="0"/>
        <w:tabs>
          <w:tab w:val="left" w:pos="-1350"/>
        </w:tabs>
        <w:overflowPunct/>
        <w:spacing w:line="240" w:lineRule="auto"/>
        <w:ind w:left="720" w:right="720"/>
        <w:jc w:val="left"/>
        <w:rPr>
          <w:szCs w:val="26"/>
        </w:rPr>
      </w:pPr>
      <w:r w:rsidRPr="00623029">
        <w:rPr>
          <w:szCs w:val="26"/>
        </w:rPr>
        <w:t>For replacements, retrofits and new construction appliances, the applicable date for determining which TRM version to use to estim</w:t>
      </w:r>
      <w:r w:rsidR="000E066F">
        <w:rPr>
          <w:szCs w:val="26"/>
        </w:rPr>
        <w:t xml:space="preserve">ate EDC claimed savings is the </w:t>
      </w:r>
      <w:r w:rsidRPr="00623029">
        <w:rPr>
          <w:szCs w:val="26"/>
        </w:rPr>
        <w:t>"in-service date" (ISD) or "commercial date of operation" (CDO) - the date at which the measure is "installed and commercially operable," and when s</w:t>
      </w:r>
      <w:r w:rsidR="000E066F">
        <w:rPr>
          <w:szCs w:val="26"/>
        </w:rPr>
        <w:t>avings actually start to occur.</w:t>
      </w:r>
    </w:p>
    <w:p w:rsidR="00623029" w:rsidRPr="00623029" w:rsidRDefault="00623029" w:rsidP="000E066F">
      <w:pPr>
        <w:widowControl w:val="0"/>
        <w:tabs>
          <w:tab w:val="left" w:pos="204"/>
        </w:tabs>
        <w:overflowPunct/>
        <w:jc w:val="left"/>
        <w:rPr>
          <w:szCs w:val="26"/>
        </w:rPr>
      </w:pPr>
      <w:r w:rsidRPr="00623029">
        <w:rPr>
          <w:szCs w:val="26"/>
        </w:rPr>
        <w:tab/>
      </w:r>
      <w:r w:rsidRPr="00623029">
        <w:rPr>
          <w:szCs w:val="26"/>
        </w:rPr>
        <w:tab/>
      </w:r>
    </w:p>
    <w:p w:rsidR="00623029" w:rsidRPr="00623029" w:rsidRDefault="00623029" w:rsidP="001B6469">
      <w:pPr>
        <w:widowControl w:val="0"/>
        <w:tabs>
          <w:tab w:val="left" w:pos="204"/>
        </w:tabs>
        <w:overflowPunct/>
        <w:jc w:val="left"/>
        <w:rPr>
          <w:szCs w:val="26"/>
        </w:rPr>
      </w:pPr>
      <w:r w:rsidRPr="00623029">
        <w:rPr>
          <w:szCs w:val="26"/>
        </w:rPr>
        <w:tab/>
      </w:r>
      <w:r w:rsidRPr="00623029">
        <w:rPr>
          <w:szCs w:val="26"/>
        </w:rPr>
        <w:tab/>
        <w:t xml:space="preserve">PPL further comments that appliances are typically purchased closer to the building finish date than to the permit date of the home. </w:t>
      </w:r>
      <w:r w:rsidR="004507FC">
        <w:rPr>
          <w:szCs w:val="26"/>
        </w:rPr>
        <w:t xml:space="preserve"> </w:t>
      </w:r>
      <w:r w:rsidRPr="00623029">
        <w:rPr>
          <w:szCs w:val="26"/>
        </w:rPr>
        <w:t>This finish</w:t>
      </w:r>
      <w:r w:rsidR="004507FC">
        <w:rPr>
          <w:szCs w:val="26"/>
        </w:rPr>
        <w:t xml:space="preserve"> date would also be </w:t>
      </w:r>
      <w:r w:rsidRPr="00623029">
        <w:rPr>
          <w:szCs w:val="26"/>
        </w:rPr>
        <w:t>or close to the actual rebate date for a specific appliance.</w:t>
      </w:r>
      <w:r w:rsidRPr="00623029">
        <w:rPr>
          <w:szCs w:val="26"/>
          <w:vertAlign w:val="superscript"/>
        </w:rPr>
        <w:footnoteReference w:id="73"/>
      </w:r>
    </w:p>
    <w:p w:rsidR="0039406C" w:rsidRPr="00623029" w:rsidRDefault="0039406C" w:rsidP="001B6469">
      <w:pPr>
        <w:widowControl w:val="0"/>
        <w:overflowPunct/>
        <w:jc w:val="left"/>
        <w:rPr>
          <w:szCs w:val="26"/>
        </w:rPr>
      </w:pPr>
    </w:p>
    <w:p w:rsidR="00623029" w:rsidRPr="00623029" w:rsidRDefault="00623029" w:rsidP="001B6469">
      <w:pPr>
        <w:widowControl w:val="0"/>
        <w:overflowPunct/>
        <w:jc w:val="left"/>
        <w:rPr>
          <w:szCs w:val="26"/>
        </w:rPr>
      </w:pPr>
      <w:r w:rsidRPr="00623029">
        <w:rPr>
          <w:szCs w:val="26"/>
        </w:rPr>
        <w:tab/>
      </w:r>
      <w:r w:rsidR="004507FC">
        <w:rPr>
          <w:szCs w:val="26"/>
        </w:rPr>
        <w:tab/>
      </w:r>
      <w:r w:rsidR="004507FC">
        <w:rPr>
          <w:b/>
          <w:szCs w:val="26"/>
        </w:rPr>
        <w:t>b</w:t>
      </w:r>
      <w:r w:rsidRPr="00623029">
        <w:rPr>
          <w:b/>
          <w:szCs w:val="26"/>
        </w:rPr>
        <w:t>.</w:t>
      </w:r>
      <w:r w:rsidRPr="00623029">
        <w:rPr>
          <w:b/>
          <w:szCs w:val="26"/>
        </w:rPr>
        <w:tab/>
        <w:t>Disposition</w:t>
      </w:r>
    </w:p>
    <w:p w:rsidR="00623029" w:rsidRPr="00623029" w:rsidRDefault="00623029" w:rsidP="001B6469">
      <w:pPr>
        <w:jc w:val="left"/>
      </w:pPr>
    </w:p>
    <w:p w:rsidR="00623029" w:rsidRDefault="00623029" w:rsidP="007B3629">
      <w:pPr>
        <w:jc w:val="left"/>
      </w:pPr>
      <w:r w:rsidRPr="00623029">
        <w:tab/>
      </w:r>
      <w:r w:rsidR="007B3629">
        <w:t>The Commission agrees with PPL’s proposed changes and has updated the TRM.</w:t>
      </w:r>
      <w:r w:rsidRPr="00623029">
        <w:t xml:space="preserve"> </w:t>
      </w:r>
    </w:p>
    <w:p w:rsidR="00A3244B" w:rsidRPr="00623029" w:rsidRDefault="00A3244B" w:rsidP="007B3629">
      <w:pPr>
        <w:jc w:val="left"/>
      </w:pPr>
    </w:p>
    <w:p w:rsidR="00D05144" w:rsidRPr="004E544E" w:rsidRDefault="00D05144" w:rsidP="00514EA6">
      <w:pPr>
        <w:pStyle w:val="Heading2"/>
        <w:ind w:left="720"/>
        <w:jc w:val="left"/>
      </w:pPr>
      <w:bookmarkStart w:id="52" w:name="_Toc405802377"/>
      <w:bookmarkStart w:id="53" w:name="_Toc405884707"/>
      <w:r w:rsidRPr="004E544E">
        <w:t>Additional Residential EE&amp;C Measure Protocols</w:t>
      </w:r>
      <w:bookmarkEnd w:id="48"/>
      <w:bookmarkEnd w:id="49"/>
      <w:bookmarkEnd w:id="50"/>
      <w:bookmarkEnd w:id="52"/>
      <w:bookmarkEnd w:id="53"/>
    </w:p>
    <w:p w:rsidR="00D05144" w:rsidRPr="004E544E" w:rsidRDefault="00D05144" w:rsidP="001B6469">
      <w:pPr>
        <w:pStyle w:val="p3"/>
        <w:jc w:val="left"/>
        <w:rPr>
          <w:szCs w:val="26"/>
        </w:rPr>
      </w:pPr>
    </w:p>
    <w:p w:rsidR="00D05144" w:rsidRPr="0098410B" w:rsidRDefault="006842DF" w:rsidP="001B6469">
      <w:pPr>
        <w:ind w:firstLine="720"/>
        <w:jc w:val="left"/>
        <w:rPr>
          <w:szCs w:val="26"/>
        </w:rPr>
      </w:pPr>
      <w:r w:rsidRPr="004E544E">
        <w:rPr>
          <w:szCs w:val="26"/>
        </w:rPr>
        <w:t>The Commission proposed the inclusion of the following</w:t>
      </w:r>
      <w:r>
        <w:rPr>
          <w:szCs w:val="26"/>
        </w:rPr>
        <w:t xml:space="preserve"> </w:t>
      </w:r>
      <w:r w:rsidR="00D05144" w:rsidRPr="0098410B">
        <w:rPr>
          <w:szCs w:val="26"/>
        </w:rPr>
        <w:t>residential measure protocols:</w:t>
      </w:r>
    </w:p>
    <w:p w:rsidR="00D05144" w:rsidRPr="0098410B" w:rsidRDefault="00D05144" w:rsidP="001B6469">
      <w:pPr>
        <w:pStyle w:val="p14"/>
        <w:numPr>
          <w:ilvl w:val="0"/>
          <w:numId w:val="5"/>
        </w:numPr>
        <w:ind w:left="1080"/>
        <w:jc w:val="left"/>
        <w:rPr>
          <w:b/>
          <w:caps/>
          <w:szCs w:val="26"/>
        </w:rPr>
      </w:pPr>
      <w:r>
        <w:rPr>
          <w:szCs w:val="26"/>
        </w:rPr>
        <w:t>Section 2.3.11 – Th</w:t>
      </w:r>
      <w:r w:rsidRPr="0098410B">
        <w:rPr>
          <w:szCs w:val="26"/>
        </w:rPr>
        <w:t>ermostatic Shower Restriction Valve;</w:t>
      </w:r>
    </w:p>
    <w:p w:rsidR="00D05144" w:rsidRPr="0020452A" w:rsidRDefault="00D05144" w:rsidP="001B6469">
      <w:pPr>
        <w:pStyle w:val="p14"/>
        <w:numPr>
          <w:ilvl w:val="0"/>
          <w:numId w:val="5"/>
        </w:numPr>
        <w:ind w:left="1080"/>
        <w:jc w:val="left"/>
        <w:rPr>
          <w:b/>
          <w:caps/>
          <w:szCs w:val="26"/>
        </w:rPr>
      </w:pPr>
      <w:r>
        <w:rPr>
          <w:szCs w:val="26"/>
        </w:rPr>
        <w:t>Section 2.4.5 – ENERGY S</w:t>
      </w:r>
      <w:r w:rsidRPr="0098410B">
        <w:rPr>
          <w:szCs w:val="26"/>
        </w:rPr>
        <w:t>TAR Dryer</w:t>
      </w:r>
      <w:r>
        <w:rPr>
          <w:szCs w:val="26"/>
        </w:rPr>
        <w:t>s</w:t>
      </w:r>
      <w:r w:rsidRPr="0098410B">
        <w:rPr>
          <w:szCs w:val="26"/>
        </w:rPr>
        <w:t>;</w:t>
      </w:r>
    </w:p>
    <w:p w:rsidR="00D05144" w:rsidRPr="0098410B" w:rsidRDefault="00D05144" w:rsidP="001B6469">
      <w:pPr>
        <w:pStyle w:val="p14"/>
        <w:numPr>
          <w:ilvl w:val="0"/>
          <w:numId w:val="5"/>
        </w:numPr>
        <w:ind w:left="1080"/>
        <w:jc w:val="left"/>
        <w:rPr>
          <w:b/>
          <w:caps/>
          <w:szCs w:val="26"/>
        </w:rPr>
      </w:pPr>
      <w:r>
        <w:rPr>
          <w:szCs w:val="26"/>
        </w:rPr>
        <w:t>Section 2.4.6 – Fuel Switching: Electric Clothes Dryer to Gas Clothes Dryer;</w:t>
      </w:r>
    </w:p>
    <w:p w:rsidR="00D05144" w:rsidRPr="0020452A" w:rsidRDefault="00D05144" w:rsidP="001B6469">
      <w:pPr>
        <w:pStyle w:val="p14"/>
        <w:numPr>
          <w:ilvl w:val="0"/>
          <w:numId w:val="5"/>
        </w:numPr>
        <w:ind w:left="1080"/>
        <w:jc w:val="left"/>
        <w:rPr>
          <w:b/>
          <w:caps/>
          <w:szCs w:val="26"/>
        </w:rPr>
      </w:pPr>
      <w:r>
        <w:rPr>
          <w:szCs w:val="26"/>
        </w:rPr>
        <w:t xml:space="preserve">Section 2.4.10 – ENERGY </w:t>
      </w:r>
      <w:r w:rsidRPr="0098410B">
        <w:rPr>
          <w:szCs w:val="26"/>
        </w:rPr>
        <w:t>STAR Ceiling Fans;</w:t>
      </w:r>
    </w:p>
    <w:p w:rsidR="00D05144" w:rsidRPr="0098410B" w:rsidRDefault="00D05144" w:rsidP="001B6469">
      <w:pPr>
        <w:pStyle w:val="p14"/>
        <w:numPr>
          <w:ilvl w:val="0"/>
          <w:numId w:val="5"/>
        </w:numPr>
        <w:ind w:left="1080"/>
        <w:jc w:val="left"/>
        <w:rPr>
          <w:b/>
          <w:caps/>
          <w:szCs w:val="26"/>
        </w:rPr>
      </w:pPr>
      <w:r>
        <w:rPr>
          <w:szCs w:val="26"/>
        </w:rPr>
        <w:t>Section 2.6.2 – Air Sealing;</w:t>
      </w:r>
      <w:r w:rsidR="0053486E">
        <w:rPr>
          <w:rStyle w:val="FootnoteReference"/>
          <w:szCs w:val="26"/>
        </w:rPr>
        <w:footnoteReference w:id="74"/>
      </w:r>
      <w:r>
        <w:rPr>
          <w:szCs w:val="26"/>
        </w:rPr>
        <w:t xml:space="preserve"> and</w:t>
      </w:r>
    </w:p>
    <w:p w:rsidR="00D05144" w:rsidRPr="006842DF" w:rsidRDefault="0053486E" w:rsidP="001B6469">
      <w:pPr>
        <w:pStyle w:val="p14"/>
        <w:numPr>
          <w:ilvl w:val="0"/>
          <w:numId w:val="5"/>
        </w:numPr>
        <w:ind w:left="1080"/>
        <w:jc w:val="left"/>
        <w:rPr>
          <w:b/>
          <w:caps/>
          <w:szCs w:val="26"/>
        </w:rPr>
      </w:pPr>
      <w:r>
        <w:rPr>
          <w:szCs w:val="26"/>
        </w:rPr>
        <w:t>Section 2.6.5</w:t>
      </w:r>
      <w:r w:rsidR="00D05144">
        <w:rPr>
          <w:szCs w:val="26"/>
        </w:rPr>
        <w:t xml:space="preserve"> – ENERGY S</w:t>
      </w:r>
      <w:r w:rsidR="00D05144" w:rsidRPr="0098410B">
        <w:rPr>
          <w:szCs w:val="26"/>
        </w:rPr>
        <w:t>TAR Manufactured Homes.</w:t>
      </w:r>
    </w:p>
    <w:p w:rsidR="006842DF" w:rsidRDefault="006842DF" w:rsidP="001B6469">
      <w:pPr>
        <w:pStyle w:val="p14"/>
        <w:jc w:val="left"/>
        <w:rPr>
          <w:szCs w:val="26"/>
        </w:rPr>
      </w:pPr>
    </w:p>
    <w:p w:rsidR="00FC1866" w:rsidRDefault="00FC1866" w:rsidP="001B6469">
      <w:pPr>
        <w:ind w:firstLine="720"/>
        <w:jc w:val="left"/>
        <w:rPr>
          <w:szCs w:val="26"/>
        </w:rPr>
      </w:pPr>
      <w:r>
        <w:rPr>
          <w:szCs w:val="26"/>
        </w:rPr>
        <w:lastRenderedPageBreak/>
        <w:t xml:space="preserve">The Commission adopts the addition of </w:t>
      </w:r>
      <w:r w:rsidR="00731926">
        <w:rPr>
          <w:szCs w:val="26"/>
        </w:rPr>
        <w:t>five</w:t>
      </w:r>
      <w:r>
        <w:rPr>
          <w:szCs w:val="26"/>
        </w:rPr>
        <w:t xml:space="preserve"> new residential protocols noting the changes to certain measures, outlined below.</w:t>
      </w:r>
      <w:r w:rsidR="00731926">
        <w:rPr>
          <w:szCs w:val="26"/>
        </w:rPr>
        <w:t xml:space="preserve">  The Commission rejects the addition of the Air Sealing protocols for the reasons outlined below.</w:t>
      </w:r>
    </w:p>
    <w:p w:rsidR="006D6E02" w:rsidRDefault="006D6E02" w:rsidP="001B6469">
      <w:pPr>
        <w:pStyle w:val="p14"/>
        <w:jc w:val="left"/>
        <w:rPr>
          <w:szCs w:val="26"/>
        </w:rPr>
      </w:pPr>
    </w:p>
    <w:p w:rsidR="00FC1866" w:rsidRPr="005E2C37" w:rsidRDefault="00FC1866" w:rsidP="001B6469">
      <w:pPr>
        <w:pStyle w:val="p3"/>
        <w:numPr>
          <w:ilvl w:val="0"/>
          <w:numId w:val="10"/>
        </w:numPr>
        <w:tabs>
          <w:tab w:val="clear" w:pos="204"/>
          <w:tab w:val="left" w:pos="720"/>
        </w:tabs>
        <w:spacing w:line="240" w:lineRule="auto"/>
        <w:ind w:left="720" w:firstLine="0"/>
        <w:jc w:val="left"/>
        <w:outlineLvl w:val="2"/>
        <w:rPr>
          <w:b/>
          <w:szCs w:val="26"/>
        </w:rPr>
      </w:pPr>
      <w:bookmarkStart w:id="54" w:name="_Toc405802378"/>
      <w:bookmarkStart w:id="55" w:name="_Toc405884708"/>
      <w:r>
        <w:rPr>
          <w:b/>
          <w:szCs w:val="26"/>
        </w:rPr>
        <w:t>Section 2.3.11</w:t>
      </w:r>
      <w:r w:rsidRPr="005E2C37">
        <w:rPr>
          <w:b/>
          <w:szCs w:val="26"/>
        </w:rPr>
        <w:t xml:space="preserve">  – </w:t>
      </w:r>
      <w:r>
        <w:rPr>
          <w:b/>
          <w:szCs w:val="26"/>
        </w:rPr>
        <w:t>Thermostatic Shower Restriction Valve</w:t>
      </w:r>
      <w:bookmarkEnd w:id="54"/>
      <w:bookmarkEnd w:id="55"/>
    </w:p>
    <w:p w:rsidR="004E544E" w:rsidRDefault="004E544E" w:rsidP="004E544E">
      <w:pPr>
        <w:pStyle w:val="p14"/>
        <w:tabs>
          <w:tab w:val="clear" w:pos="204"/>
        </w:tabs>
        <w:ind w:left="2700"/>
        <w:jc w:val="left"/>
        <w:rPr>
          <w:szCs w:val="26"/>
        </w:rPr>
      </w:pPr>
    </w:p>
    <w:p w:rsidR="00FC1866" w:rsidRPr="00126500" w:rsidRDefault="004E544E" w:rsidP="004E544E">
      <w:pPr>
        <w:pStyle w:val="p14"/>
        <w:tabs>
          <w:tab w:val="clear" w:pos="204"/>
        </w:tabs>
        <w:ind w:left="2160" w:hanging="720"/>
        <w:jc w:val="left"/>
        <w:rPr>
          <w:szCs w:val="26"/>
        </w:rPr>
      </w:pPr>
      <w:r>
        <w:rPr>
          <w:b/>
          <w:szCs w:val="26"/>
        </w:rPr>
        <w:t>a.</w:t>
      </w:r>
      <w:r>
        <w:rPr>
          <w:b/>
          <w:szCs w:val="26"/>
        </w:rPr>
        <w:tab/>
      </w:r>
      <w:r w:rsidR="00FC1866">
        <w:rPr>
          <w:b/>
          <w:szCs w:val="26"/>
        </w:rPr>
        <w:t>Comments</w:t>
      </w:r>
    </w:p>
    <w:p w:rsidR="00FC1866" w:rsidRDefault="00FC1866" w:rsidP="001B6469">
      <w:pPr>
        <w:pStyle w:val="p14"/>
        <w:tabs>
          <w:tab w:val="clear" w:pos="204"/>
        </w:tabs>
        <w:ind w:left="2880"/>
        <w:jc w:val="left"/>
        <w:rPr>
          <w:szCs w:val="26"/>
        </w:rPr>
      </w:pPr>
    </w:p>
    <w:p w:rsidR="004E544E" w:rsidRDefault="00FC1866" w:rsidP="004E544E">
      <w:pPr>
        <w:pStyle w:val="p14"/>
        <w:tabs>
          <w:tab w:val="clear" w:pos="204"/>
        </w:tabs>
        <w:ind w:firstLine="720"/>
        <w:jc w:val="left"/>
        <w:rPr>
          <w:szCs w:val="26"/>
        </w:rPr>
      </w:pPr>
      <w:r>
        <w:rPr>
          <w:szCs w:val="26"/>
        </w:rPr>
        <w:t>PPL comment</w:t>
      </w:r>
      <w:r w:rsidR="004E544E">
        <w:rPr>
          <w:szCs w:val="26"/>
        </w:rPr>
        <w:t>s</w:t>
      </w:r>
      <w:r>
        <w:rPr>
          <w:szCs w:val="26"/>
        </w:rPr>
        <w:t xml:space="preserve"> that the Eligibility section of the measure should include </w:t>
      </w:r>
      <w:r w:rsidR="008B369D">
        <w:rPr>
          <w:szCs w:val="26"/>
        </w:rPr>
        <w:t>clarification</w:t>
      </w:r>
      <w:r>
        <w:rPr>
          <w:szCs w:val="26"/>
        </w:rPr>
        <w:t xml:space="preserve"> on combining the savings of the measure with the low-flow showerhead measure. </w:t>
      </w:r>
      <w:r w:rsidR="004E544E">
        <w:rPr>
          <w:szCs w:val="26"/>
        </w:rPr>
        <w:t xml:space="preserve"> </w:t>
      </w:r>
      <w:r>
        <w:rPr>
          <w:szCs w:val="26"/>
        </w:rPr>
        <w:t xml:space="preserve">PPL </w:t>
      </w:r>
      <w:r w:rsidR="004E544E">
        <w:rPr>
          <w:szCs w:val="26"/>
        </w:rPr>
        <w:t>also notes</w:t>
      </w:r>
      <w:r>
        <w:rPr>
          <w:szCs w:val="26"/>
        </w:rPr>
        <w:t xml:space="preserve"> discrepancies in the measure algorithm</w:t>
      </w:r>
      <w:r w:rsidR="004E544E">
        <w:rPr>
          <w:szCs w:val="26"/>
        </w:rPr>
        <w:t xml:space="preserve">.  Additionally, PPL </w:t>
      </w:r>
      <w:r w:rsidR="008B369D">
        <w:rPr>
          <w:szCs w:val="26"/>
        </w:rPr>
        <w:t>questions</w:t>
      </w:r>
      <w:r>
        <w:rPr>
          <w:szCs w:val="26"/>
        </w:rPr>
        <w:t xml:space="preserve"> </w:t>
      </w:r>
      <w:r w:rsidR="004E544E">
        <w:rPr>
          <w:szCs w:val="26"/>
        </w:rPr>
        <w:t>the algorithm’s necessity and</w:t>
      </w:r>
      <w:r>
        <w:rPr>
          <w:szCs w:val="26"/>
        </w:rPr>
        <w:t xml:space="preserve"> the calculation of the default variables</w:t>
      </w:r>
      <w:r w:rsidR="008B369D">
        <w:rPr>
          <w:szCs w:val="26"/>
        </w:rPr>
        <w:t xml:space="preserve">. </w:t>
      </w:r>
      <w:r w:rsidR="004E544E">
        <w:rPr>
          <w:szCs w:val="26"/>
        </w:rPr>
        <w:t xml:space="preserve"> </w:t>
      </w:r>
      <w:r w:rsidR="008B369D">
        <w:rPr>
          <w:szCs w:val="26"/>
        </w:rPr>
        <w:t>PPL</w:t>
      </w:r>
      <w:r w:rsidR="004E544E">
        <w:rPr>
          <w:szCs w:val="26"/>
        </w:rPr>
        <w:t xml:space="preserve"> recommends</w:t>
      </w:r>
      <w:r>
        <w:rPr>
          <w:szCs w:val="26"/>
        </w:rPr>
        <w:t xml:space="preserve"> that an EDC data gathering option be included to calculate the variable</w:t>
      </w:r>
      <w:r w:rsidR="004E544E">
        <w:rPr>
          <w:szCs w:val="26"/>
        </w:rPr>
        <w:t xml:space="preserve"> for the assumed temperature of the water used by the showerhead</w:t>
      </w:r>
      <w:r>
        <w:rPr>
          <w:szCs w:val="26"/>
        </w:rPr>
        <w:t>.</w:t>
      </w:r>
      <w:r>
        <w:rPr>
          <w:rStyle w:val="FootnoteReference"/>
          <w:szCs w:val="26"/>
        </w:rPr>
        <w:footnoteReference w:id="75"/>
      </w:r>
      <w:r>
        <w:rPr>
          <w:szCs w:val="26"/>
        </w:rPr>
        <w:t xml:space="preserve"> </w:t>
      </w:r>
    </w:p>
    <w:p w:rsidR="004E544E" w:rsidRDefault="004E544E" w:rsidP="004E544E">
      <w:pPr>
        <w:pStyle w:val="p14"/>
        <w:tabs>
          <w:tab w:val="clear" w:pos="204"/>
        </w:tabs>
        <w:ind w:firstLine="720"/>
        <w:jc w:val="left"/>
        <w:rPr>
          <w:szCs w:val="26"/>
        </w:rPr>
      </w:pPr>
    </w:p>
    <w:p w:rsidR="00FC1866" w:rsidRDefault="004E544E" w:rsidP="004E544E">
      <w:pPr>
        <w:pStyle w:val="p14"/>
        <w:tabs>
          <w:tab w:val="clear" w:pos="204"/>
        </w:tabs>
        <w:ind w:firstLine="720"/>
        <w:jc w:val="left"/>
        <w:rPr>
          <w:szCs w:val="26"/>
        </w:rPr>
      </w:pPr>
      <w:r>
        <w:rPr>
          <w:b/>
          <w:szCs w:val="26"/>
        </w:rPr>
        <w:tab/>
        <w:t>b.</w:t>
      </w:r>
      <w:r>
        <w:rPr>
          <w:b/>
          <w:szCs w:val="26"/>
        </w:rPr>
        <w:tab/>
      </w:r>
      <w:r w:rsidR="00FC1866">
        <w:rPr>
          <w:b/>
          <w:szCs w:val="26"/>
        </w:rPr>
        <w:t>Disposition</w:t>
      </w:r>
    </w:p>
    <w:p w:rsidR="00FC1866" w:rsidRDefault="00FC1866" w:rsidP="001B6469">
      <w:pPr>
        <w:pStyle w:val="p14"/>
        <w:tabs>
          <w:tab w:val="clear" w:pos="204"/>
        </w:tabs>
        <w:jc w:val="left"/>
        <w:rPr>
          <w:szCs w:val="26"/>
        </w:rPr>
      </w:pPr>
    </w:p>
    <w:p w:rsidR="00FC1866" w:rsidRPr="001001D3" w:rsidRDefault="004E544E" w:rsidP="001B6469">
      <w:pPr>
        <w:pStyle w:val="p14"/>
        <w:tabs>
          <w:tab w:val="clear" w:pos="204"/>
        </w:tabs>
        <w:ind w:firstLine="720"/>
        <w:jc w:val="left"/>
        <w:rPr>
          <w:szCs w:val="26"/>
        </w:rPr>
      </w:pPr>
      <w:r w:rsidRPr="00C33BFC">
        <w:rPr>
          <w:szCs w:val="26"/>
        </w:rPr>
        <w:t>The Commission agrees with</w:t>
      </w:r>
      <w:r w:rsidR="00FC1866" w:rsidRPr="00C33BFC">
        <w:rPr>
          <w:szCs w:val="26"/>
        </w:rPr>
        <w:t xml:space="preserve"> PPL’s </w:t>
      </w:r>
      <w:r w:rsidRPr="00C33BFC">
        <w:rPr>
          <w:szCs w:val="26"/>
        </w:rPr>
        <w:t>suggestions</w:t>
      </w:r>
      <w:r w:rsidR="00FC1866" w:rsidRPr="00C33BFC">
        <w:rPr>
          <w:szCs w:val="26"/>
        </w:rPr>
        <w:t xml:space="preserve">. </w:t>
      </w:r>
      <w:r w:rsidRPr="00C33BFC">
        <w:rPr>
          <w:szCs w:val="26"/>
        </w:rPr>
        <w:t xml:space="preserve"> </w:t>
      </w:r>
      <w:r w:rsidR="00FC1866" w:rsidRPr="00C33BFC">
        <w:rPr>
          <w:szCs w:val="26"/>
        </w:rPr>
        <w:t xml:space="preserve">The 2015 TRM has been modified to clarify that the Thermostatic Shower Restriction Valve measure and the Low-Flow Showerhead measure may have combined </w:t>
      </w:r>
      <w:r w:rsidR="008B369D">
        <w:rPr>
          <w:szCs w:val="26"/>
        </w:rPr>
        <w:t xml:space="preserve">savings values </w:t>
      </w:r>
      <w:r w:rsidR="00FC1866" w:rsidRPr="00C33BFC">
        <w:rPr>
          <w:szCs w:val="26"/>
        </w:rPr>
        <w:t xml:space="preserve">and that the same baseline must be used in both cases. </w:t>
      </w:r>
      <w:r w:rsidRPr="00C33BFC">
        <w:rPr>
          <w:szCs w:val="26"/>
        </w:rPr>
        <w:t xml:space="preserve"> </w:t>
      </w:r>
      <w:r w:rsidR="00FC1866" w:rsidRPr="00C33BFC">
        <w:rPr>
          <w:szCs w:val="26"/>
        </w:rPr>
        <w:t>Further, the algorithm has been adjusted to correctly multiply N</w:t>
      </w:r>
      <w:r w:rsidR="00FC1866" w:rsidRPr="00C33BFC">
        <w:rPr>
          <w:szCs w:val="26"/>
          <w:vertAlign w:val="subscript"/>
        </w:rPr>
        <w:t>persons</w:t>
      </w:r>
      <w:r w:rsidR="00FC1866" w:rsidRPr="00C33BFC">
        <w:rPr>
          <w:szCs w:val="26"/>
        </w:rPr>
        <w:t xml:space="preserve"> by </w:t>
      </w:r>
      <w:r w:rsidR="005726DD">
        <w:rPr>
          <w:szCs w:val="26"/>
        </w:rPr>
        <w:t>the a</w:t>
      </w:r>
      <w:r w:rsidR="005726DD">
        <w:t>verage number of showers per person per day</w:t>
      </w:r>
      <w:r w:rsidR="005726DD" w:rsidRPr="00C33BFC">
        <w:rPr>
          <w:szCs w:val="26"/>
        </w:rPr>
        <w:t xml:space="preserve"> </w:t>
      </w:r>
      <w:r w:rsidR="005726DD">
        <w:rPr>
          <w:szCs w:val="26"/>
        </w:rPr>
        <w:t>(</w:t>
      </w:r>
      <w:r w:rsidR="00FC1866" w:rsidRPr="00C33BFC">
        <w:rPr>
          <w:szCs w:val="26"/>
        </w:rPr>
        <w:t>N</w:t>
      </w:r>
      <w:r w:rsidR="005726DD" w:rsidRPr="005726DD">
        <w:rPr>
          <w:szCs w:val="26"/>
          <w:vertAlign w:val="subscript"/>
        </w:rPr>
        <w:t>Showers-</w:t>
      </w:r>
      <w:r w:rsidR="00FC1866" w:rsidRPr="005726DD">
        <w:rPr>
          <w:szCs w:val="26"/>
          <w:vertAlign w:val="subscript"/>
        </w:rPr>
        <w:t>day</w:t>
      </w:r>
      <w:r w:rsidR="005726DD">
        <w:rPr>
          <w:szCs w:val="26"/>
        </w:rPr>
        <w:t>)</w:t>
      </w:r>
      <w:r w:rsidR="00877355">
        <w:rPr>
          <w:szCs w:val="26"/>
        </w:rPr>
        <w:t>, while</w:t>
      </w:r>
      <w:r w:rsidR="00FC1866" w:rsidRPr="00C33BFC">
        <w:rPr>
          <w:szCs w:val="26"/>
        </w:rPr>
        <w:t xml:space="preserve"> T</w:t>
      </w:r>
      <w:r w:rsidR="00FC1866" w:rsidRPr="00C33BFC">
        <w:rPr>
          <w:szCs w:val="26"/>
          <w:vertAlign w:val="subscript"/>
        </w:rPr>
        <w:t>person/day</w:t>
      </w:r>
      <w:r w:rsidR="00FC1866" w:rsidRPr="00C33BFC">
        <w:rPr>
          <w:szCs w:val="26"/>
        </w:rPr>
        <w:t xml:space="preserve"> was removed as it does not apply to this measure. </w:t>
      </w:r>
      <w:r w:rsidRPr="00C33BFC">
        <w:rPr>
          <w:szCs w:val="26"/>
        </w:rPr>
        <w:t xml:space="preserve"> </w:t>
      </w:r>
      <w:r w:rsidR="00FC1866" w:rsidRPr="00C33BFC">
        <w:rPr>
          <w:szCs w:val="26"/>
        </w:rPr>
        <w:t>An EDC data gathering option was added to T</w:t>
      </w:r>
      <w:r w:rsidR="00FC1866" w:rsidRPr="00C33BFC">
        <w:rPr>
          <w:szCs w:val="26"/>
          <w:vertAlign w:val="subscript"/>
        </w:rPr>
        <w:t xml:space="preserve">out </w:t>
      </w:r>
      <w:r w:rsidR="00FC1866" w:rsidRPr="00C33BFC">
        <w:rPr>
          <w:szCs w:val="26"/>
        </w:rPr>
        <w:t xml:space="preserve">and the default values have been adjusted to align with the 2014 </w:t>
      </w:r>
      <w:r w:rsidRPr="00C33BFC">
        <w:rPr>
          <w:szCs w:val="26"/>
        </w:rPr>
        <w:t>Residential B</w:t>
      </w:r>
      <w:r w:rsidR="00FC1866" w:rsidRPr="00C33BFC">
        <w:rPr>
          <w:szCs w:val="26"/>
        </w:rPr>
        <w:t xml:space="preserve">aseline </w:t>
      </w:r>
      <w:r w:rsidRPr="00C33BFC">
        <w:rPr>
          <w:szCs w:val="26"/>
        </w:rPr>
        <w:t>S</w:t>
      </w:r>
      <w:r w:rsidR="00FC1866" w:rsidRPr="00C33BFC">
        <w:rPr>
          <w:szCs w:val="26"/>
        </w:rPr>
        <w:t>tudy.</w:t>
      </w:r>
      <w:r w:rsidR="00FC1866">
        <w:rPr>
          <w:szCs w:val="26"/>
        </w:rPr>
        <w:t xml:space="preserve"> </w:t>
      </w:r>
    </w:p>
    <w:p w:rsidR="00FC1866" w:rsidRDefault="00FC1866" w:rsidP="00731926">
      <w:pPr>
        <w:pStyle w:val="p14"/>
        <w:tabs>
          <w:tab w:val="clear" w:pos="204"/>
        </w:tabs>
        <w:jc w:val="left"/>
        <w:rPr>
          <w:szCs w:val="26"/>
        </w:rPr>
      </w:pPr>
    </w:p>
    <w:p w:rsidR="00A3244B" w:rsidRDefault="00A3244B" w:rsidP="00731926">
      <w:pPr>
        <w:pStyle w:val="p14"/>
        <w:tabs>
          <w:tab w:val="clear" w:pos="204"/>
        </w:tabs>
        <w:jc w:val="left"/>
        <w:rPr>
          <w:szCs w:val="26"/>
        </w:rPr>
      </w:pPr>
    </w:p>
    <w:p w:rsidR="00731926" w:rsidRPr="00731926" w:rsidRDefault="00731926" w:rsidP="005056FB">
      <w:pPr>
        <w:pStyle w:val="p3"/>
        <w:numPr>
          <w:ilvl w:val="0"/>
          <w:numId w:val="10"/>
        </w:numPr>
        <w:tabs>
          <w:tab w:val="clear" w:pos="204"/>
          <w:tab w:val="left" w:pos="720"/>
        </w:tabs>
        <w:ind w:left="720" w:firstLine="0"/>
        <w:jc w:val="left"/>
        <w:outlineLvl w:val="2"/>
        <w:rPr>
          <w:b/>
          <w:szCs w:val="26"/>
        </w:rPr>
      </w:pPr>
      <w:bookmarkStart w:id="56" w:name="_Toc405802379"/>
      <w:bookmarkStart w:id="57" w:name="_Toc405884709"/>
      <w:r>
        <w:rPr>
          <w:b/>
          <w:szCs w:val="26"/>
        </w:rPr>
        <w:lastRenderedPageBreak/>
        <w:t>Section 2.6.2 – Air Sealing</w:t>
      </w:r>
      <w:bookmarkEnd w:id="56"/>
      <w:bookmarkEnd w:id="57"/>
    </w:p>
    <w:p w:rsidR="00731926" w:rsidRDefault="00731926" w:rsidP="00731926">
      <w:pPr>
        <w:pStyle w:val="p3"/>
        <w:tabs>
          <w:tab w:val="clear" w:pos="204"/>
          <w:tab w:val="left" w:pos="720"/>
        </w:tabs>
        <w:jc w:val="left"/>
        <w:outlineLvl w:val="2"/>
        <w:rPr>
          <w:szCs w:val="26"/>
        </w:rPr>
      </w:pPr>
    </w:p>
    <w:p w:rsidR="00731926" w:rsidRDefault="00731926" w:rsidP="00731926">
      <w:pPr>
        <w:pStyle w:val="p3"/>
        <w:tabs>
          <w:tab w:val="clear" w:pos="204"/>
          <w:tab w:val="left" w:pos="720"/>
        </w:tabs>
        <w:jc w:val="left"/>
        <w:outlineLvl w:val="2"/>
        <w:rPr>
          <w:szCs w:val="26"/>
        </w:rPr>
      </w:pPr>
      <w:r>
        <w:rPr>
          <w:szCs w:val="26"/>
        </w:rPr>
        <w:tab/>
      </w:r>
      <w:r>
        <w:rPr>
          <w:szCs w:val="26"/>
        </w:rPr>
        <w:tab/>
      </w:r>
      <w:bookmarkStart w:id="58" w:name="_Toc405802272"/>
      <w:bookmarkStart w:id="59" w:name="_Toc405802380"/>
      <w:bookmarkStart w:id="60" w:name="_Toc405884625"/>
      <w:bookmarkStart w:id="61" w:name="_Toc405884710"/>
      <w:r>
        <w:rPr>
          <w:b/>
          <w:szCs w:val="26"/>
        </w:rPr>
        <w:t>a.</w:t>
      </w:r>
      <w:r>
        <w:rPr>
          <w:b/>
          <w:szCs w:val="26"/>
        </w:rPr>
        <w:tab/>
        <w:t>Comments</w:t>
      </w:r>
      <w:bookmarkEnd w:id="58"/>
      <w:bookmarkEnd w:id="59"/>
      <w:bookmarkEnd w:id="60"/>
      <w:bookmarkEnd w:id="61"/>
    </w:p>
    <w:p w:rsidR="00731926" w:rsidRDefault="00731926" w:rsidP="00731926">
      <w:pPr>
        <w:pStyle w:val="p3"/>
        <w:tabs>
          <w:tab w:val="clear" w:pos="204"/>
          <w:tab w:val="left" w:pos="720"/>
        </w:tabs>
        <w:jc w:val="left"/>
        <w:outlineLvl w:val="2"/>
        <w:rPr>
          <w:szCs w:val="26"/>
        </w:rPr>
      </w:pPr>
    </w:p>
    <w:p w:rsidR="00731926" w:rsidRDefault="00731926" w:rsidP="00731926">
      <w:pPr>
        <w:pStyle w:val="p3"/>
        <w:tabs>
          <w:tab w:val="clear" w:pos="204"/>
          <w:tab w:val="left" w:pos="720"/>
        </w:tabs>
        <w:jc w:val="left"/>
        <w:outlineLvl w:val="2"/>
        <w:rPr>
          <w:szCs w:val="26"/>
        </w:rPr>
      </w:pPr>
      <w:r>
        <w:rPr>
          <w:szCs w:val="26"/>
        </w:rPr>
        <w:tab/>
      </w:r>
      <w:bookmarkStart w:id="62" w:name="_Toc405802273"/>
      <w:bookmarkStart w:id="63" w:name="_Toc405802381"/>
      <w:bookmarkStart w:id="64" w:name="_Toc405884626"/>
      <w:bookmarkStart w:id="65" w:name="_Toc405884711"/>
      <w:r>
        <w:rPr>
          <w:szCs w:val="26"/>
        </w:rPr>
        <w:t>No comments were received regarding the addition of this protocol.</w:t>
      </w:r>
      <w:bookmarkEnd w:id="62"/>
      <w:bookmarkEnd w:id="63"/>
      <w:bookmarkEnd w:id="64"/>
      <w:bookmarkEnd w:id="65"/>
    </w:p>
    <w:p w:rsidR="00731926" w:rsidRDefault="00731926" w:rsidP="00731926">
      <w:pPr>
        <w:pStyle w:val="p3"/>
        <w:tabs>
          <w:tab w:val="clear" w:pos="204"/>
          <w:tab w:val="left" w:pos="720"/>
        </w:tabs>
        <w:jc w:val="left"/>
        <w:outlineLvl w:val="2"/>
        <w:rPr>
          <w:szCs w:val="26"/>
        </w:rPr>
      </w:pPr>
    </w:p>
    <w:p w:rsidR="00731926" w:rsidRDefault="00731926" w:rsidP="00731926">
      <w:pPr>
        <w:pStyle w:val="p3"/>
        <w:tabs>
          <w:tab w:val="clear" w:pos="204"/>
          <w:tab w:val="left" w:pos="720"/>
        </w:tabs>
        <w:jc w:val="left"/>
        <w:outlineLvl w:val="2"/>
        <w:rPr>
          <w:szCs w:val="26"/>
        </w:rPr>
      </w:pPr>
      <w:r>
        <w:rPr>
          <w:szCs w:val="26"/>
        </w:rPr>
        <w:tab/>
      </w:r>
      <w:r>
        <w:rPr>
          <w:b/>
          <w:szCs w:val="26"/>
        </w:rPr>
        <w:tab/>
      </w:r>
      <w:bookmarkStart w:id="66" w:name="_Toc405802274"/>
      <w:bookmarkStart w:id="67" w:name="_Toc405802382"/>
      <w:bookmarkStart w:id="68" w:name="_Toc405884627"/>
      <w:bookmarkStart w:id="69" w:name="_Toc405884712"/>
      <w:r>
        <w:rPr>
          <w:b/>
          <w:szCs w:val="26"/>
        </w:rPr>
        <w:t>b.</w:t>
      </w:r>
      <w:r>
        <w:rPr>
          <w:b/>
          <w:szCs w:val="26"/>
        </w:rPr>
        <w:tab/>
        <w:t>Disposition</w:t>
      </w:r>
      <w:bookmarkEnd w:id="66"/>
      <w:bookmarkEnd w:id="67"/>
      <w:bookmarkEnd w:id="68"/>
      <w:bookmarkEnd w:id="69"/>
    </w:p>
    <w:p w:rsidR="00731926" w:rsidRDefault="00731926" w:rsidP="00731926">
      <w:pPr>
        <w:pStyle w:val="p3"/>
        <w:tabs>
          <w:tab w:val="clear" w:pos="204"/>
          <w:tab w:val="left" w:pos="720"/>
        </w:tabs>
        <w:jc w:val="left"/>
        <w:outlineLvl w:val="2"/>
        <w:rPr>
          <w:szCs w:val="26"/>
        </w:rPr>
      </w:pPr>
    </w:p>
    <w:p w:rsidR="00731926" w:rsidRDefault="00731926" w:rsidP="00731926">
      <w:pPr>
        <w:pStyle w:val="p3"/>
        <w:tabs>
          <w:tab w:val="clear" w:pos="204"/>
          <w:tab w:val="left" w:pos="720"/>
        </w:tabs>
        <w:jc w:val="left"/>
        <w:outlineLvl w:val="2"/>
        <w:rPr>
          <w:b/>
          <w:szCs w:val="26"/>
        </w:rPr>
      </w:pPr>
      <w:r>
        <w:rPr>
          <w:szCs w:val="26"/>
        </w:rPr>
        <w:tab/>
      </w:r>
      <w:bookmarkStart w:id="70" w:name="_Toc405884628"/>
      <w:bookmarkStart w:id="71" w:name="_Toc405884713"/>
      <w:bookmarkStart w:id="72" w:name="_Toc405802275"/>
      <w:bookmarkStart w:id="73" w:name="_Toc405802383"/>
      <w:r>
        <w:rPr>
          <w:szCs w:val="26"/>
        </w:rPr>
        <w:t xml:space="preserve">While no comments were received regarding this protocol, based on further review by the SWE, the Commission has concerns with certain aspects of the measure, including the deemed savings.  Therefore, we have removed this protocol from the 2015 TRM.  However, we direct the SWE to do further research and develop this protocol as we believe, when corrected, it </w:t>
      </w:r>
      <w:r w:rsidR="009B6D7C">
        <w:rPr>
          <w:szCs w:val="26"/>
        </w:rPr>
        <w:t xml:space="preserve">may </w:t>
      </w:r>
      <w:r>
        <w:rPr>
          <w:szCs w:val="26"/>
        </w:rPr>
        <w:t>be a beneficial addition to the TRM.  Therefore, we request the SWE to provide recommendations for the 2016 TRM update.  If it deems it appropriate, the SWE may collaborate with the PEG</w:t>
      </w:r>
      <w:r w:rsidR="009B6D7C">
        <w:rPr>
          <w:szCs w:val="26"/>
        </w:rPr>
        <w:t xml:space="preserve"> to develop a recommendation on this protocol</w:t>
      </w:r>
      <w:r>
        <w:rPr>
          <w:szCs w:val="26"/>
        </w:rPr>
        <w:t>.</w:t>
      </w:r>
      <w:bookmarkEnd w:id="70"/>
      <w:bookmarkEnd w:id="71"/>
      <w:r>
        <w:rPr>
          <w:b/>
          <w:szCs w:val="26"/>
        </w:rPr>
        <w:br/>
      </w:r>
      <w:bookmarkEnd w:id="72"/>
      <w:bookmarkEnd w:id="73"/>
    </w:p>
    <w:p w:rsidR="00780EAE" w:rsidRPr="006729F8" w:rsidRDefault="00FC1866" w:rsidP="00731926">
      <w:pPr>
        <w:pStyle w:val="p3"/>
        <w:numPr>
          <w:ilvl w:val="0"/>
          <w:numId w:val="10"/>
        </w:numPr>
        <w:tabs>
          <w:tab w:val="clear" w:pos="204"/>
          <w:tab w:val="left" w:pos="720"/>
        </w:tabs>
        <w:ind w:left="720" w:firstLine="0"/>
        <w:jc w:val="left"/>
        <w:outlineLvl w:val="2"/>
        <w:rPr>
          <w:b/>
          <w:szCs w:val="26"/>
        </w:rPr>
      </w:pPr>
      <w:bookmarkStart w:id="74" w:name="_Toc405802384"/>
      <w:bookmarkStart w:id="75" w:name="_Toc405884714"/>
      <w:r>
        <w:rPr>
          <w:b/>
          <w:szCs w:val="26"/>
        </w:rPr>
        <w:t>Section 2.6.</w:t>
      </w:r>
      <w:r w:rsidR="0053486E">
        <w:rPr>
          <w:b/>
          <w:szCs w:val="26"/>
        </w:rPr>
        <w:t>5</w:t>
      </w:r>
      <w:r w:rsidRPr="005E2C37">
        <w:rPr>
          <w:b/>
          <w:szCs w:val="26"/>
        </w:rPr>
        <w:t xml:space="preserve">  – </w:t>
      </w:r>
      <w:r>
        <w:rPr>
          <w:b/>
          <w:szCs w:val="26"/>
        </w:rPr>
        <w:t>ENERGY STAR Manufactured Homes</w:t>
      </w:r>
      <w:bookmarkEnd w:id="74"/>
      <w:bookmarkEnd w:id="75"/>
    </w:p>
    <w:p w:rsidR="006729F8" w:rsidRPr="00F71FD1" w:rsidRDefault="006729F8" w:rsidP="001B6469">
      <w:pPr>
        <w:jc w:val="left"/>
      </w:pPr>
    </w:p>
    <w:p w:rsidR="00780EAE" w:rsidRDefault="004E544E" w:rsidP="001B6469">
      <w:pPr>
        <w:jc w:val="left"/>
        <w:rPr>
          <w:szCs w:val="26"/>
        </w:rPr>
      </w:pPr>
      <w:r>
        <w:rPr>
          <w:b/>
          <w:szCs w:val="26"/>
        </w:rPr>
        <w:tab/>
      </w:r>
      <w:r>
        <w:rPr>
          <w:b/>
          <w:szCs w:val="26"/>
        </w:rPr>
        <w:tab/>
        <w:t>a.</w:t>
      </w:r>
      <w:r w:rsidR="00780EAE">
        <w:rPr>
          <w:b/>
          <w:szCs w:val="26"/>
        </w:rPr>
        <w:tab/>
        <w:t>Comments</w:t>
      </w:r>
    </w:p>
    <w:p w:rsidR="00FC1866" w:rsidRDefault="00FC1866" w:rsidP="001B6469">
      <w:pPr>
        <w:pStyle w:val="p14"/>
        <w:tabs>
          <w:tab w:val="clear" w:pos="204"/>
        </w:tabs>
        <w:jc w:val="left"/>
        <w:rPr>
          <w:szCs w:val="26"/>
        </w:rPr>
      </w:pPr>
    </w:p>
    <w:p w:rsidR="00FC1866" w:rsidRPr="001D4695" w:rsidRDefault="00FC1866" w:rsidP="001B6469">
      <w:pPr>
        <w:pStyle w:val="p14"/>
        <w:tabs>
          <w:tab w:val="clear" w:pos="204"/>
        </w:tabs>
        <w:ind w:firstLine="720"/>
        <w:jc w:val="left"/>
        <w:rPr>
          <w:szCs w:val="26"/>
        </w:rPr>
      </w:pPr>
      <w:r w:rsidRPr="0000679E">
        <w:rPr>
          <w:szCs w:val="26"/>
        </w:rPr>
        <w:t>PPL c</w:t>
      </w:r>
      <w:r w:rsidR="004E544E" w:rsidRPr="0000679E">
        <w:rPr>
          <w:szCs w:val="26"/>
        </w:rPr>
        <w:t>omments</w:t>
      </w:r>
      <w:r w:rsidRPr="0000679E">
        <w:rPr>
          <w:szCs w:val="26"/>
        </w:rPr>
        <w:t xml:space="preserve"> that the SEER of the baseline unit for ASHP, SEER</w:t>
      </w:r>
      <w:r w:rsidRPr="0000679E">
        <w:rPr>
          <w:szCs w:val="26"/>
          <w:vertAlign w:val="subscript"/>
        </w:rPr>
        <w:t xml:space="preserve">b, </w:t>
      </w:r>
      <w:r w:rsidRPr="0000679E">
        <w:rPr>
          <w:szCs w:val="26"/>
        </w:rPr>
        <w:t xml:space="preserve">should be updated to account for a federal code change that </w:t>
      </w:r>
      <w:r w:rsidR="009B6D7C">
        <w:rPr>
          <w:szCs w:val="26"/>
        </w:rPr>
        <w:t>becomes</w:t>
      </w:r>
      <w:r w:rsidR="0000679E" w:rsidRPr="0000679E">
        <w:rPr>
          <w:szCs w:val="26"/>
        </w:rPr>
        <w:t xml:space="preserve"> effective January 1,</w:t>
      </w:r>
      <w:r w:rsidRPr="0000679E">
        <w:rPr>
          <w:szCs w:val="26"/>
        </w:rPr>
        <w:t xml:space="preserve"> 2015. </w:t>
      </w:r>
      <w:r w:rsidR="0000679E" w:rsidRPr="0000679E">
        <w:rPr>
          <w:szCs w:val="26"/>
        </w:rPr>
        <w:t xml:space="preserve"> </w:t>
      </w:r>
      <w:r w:rsidRPr="0000679E">
        <w:rPr>
          <w:szCs w:val="26"/>
        </w:rPr>
        <w:t xml:space="preserve">Additionally, PPL </w:t>
      </w:r>
      <w:r w:rsidR="0000679E" w:rsidRPr="0000679E">
        <w:rPr>
          <w:szCs w:val="26"/>
        </w:rPr>
        <w:t>suggests</w:t>
      </w:r>
      <w:r w:rsidRPr="0000679E">
        <w:rPr>
          <w:szCs w:val="26"/>
        </w:rPr>
        <w:t xml:space="preserve"> that </w:t>
      </w:r>
      <w:r w:rsidR="009B6D7C">
        <w:rPr>
          <w:szCs w:val="26"/>
        </w:rPr>
        <w:t>other</w:t>
      </w:r>
      <w:r w:rsidR="009B6D7C" w:rsidRPr="0000679E">
        <w:rPr>
          <w:szCs w:val="26"/>
        </w:rPr>
        <w:t xml:space="preserve"> </w:t>
      </w:r>
      <w:r w:rsidRPr="0000679E">
        <w:rPr>
          <w:szCs w:val="26"/>
        </w:rPr>
        <w:t>associated measure values be updated accordingly</w:t>
      </w:r>
      <w:r w:rsidR="009B6D7C">
        <w:rPr>
          <w:szCs w:val="26"/>
        </w:rPr>
        <w:t xml:space="preserve"> as well</w:t>
      </w:r>
      <w:r w:rsidRPr="0000679E">
        <w:rPr>
          <w:szCs w:val="26"/>
        </w:rPr>
        <w:t>.</w:t>
      </w:r>
      <w:r w:rsidRPr="0000679E">
        <w:rPr>
          <w:rStyle w:val="FootnoteReference"/>
          <w:szCs w:val="26"/>
        </w:rPr>
        <w:footnoteReference w:id="76"/>
      </w:r>
      <w:r>
        <w:rPr>
          <w:szCs w:val="26"/>
        </w:rPr>
        <w:t xml:space="preserve">  </w:t>
      </w:r>
    </w:p>
    <w:p w:rsidR="00FC1866" w:rsidRDefault="00FC1866" w:rsidP="001B6469">
      <w:pPr>
        <w:pStyle w:val="p14"/>
        <w:tabs>
          <w:tab w:val="clear" w:pos="204"/>
        </w:tabs>
        <w:jc w:val="left"/>
        <w:rPr>
          <w:szCs w:val="26"/>
        </w:rPr>
      </w:pPr>
    </w:p>
    <w:p w:rsidR="00A3244B" w:rsidRDefault="00A3244B" w:rsidP="001B6469">
      <w:pPr>
        <w:pStyle w:val="p14"/>
        <w:tabs>
          <w:tab w:val="clear" w:pos="204"/>
        </w:tabs>
        <w:jc w:val="left"/>
        <w:rPr>
          <w:szCs w:val="26"/>
        </w:rPr>
      </w:pPr>
    </w:p>
    <w:p w:rsidR="00780EAE" w:rsidRPr="00BC7E3B" w:rsidRDefault="00780EAE" w:rsidP="001B6469">
      <w:pPr>
        <w:jc w:val="left"/>
        <w:rPr>
          <w:szCs w:val="26"/>
        </w:rPr>
      </w:pPr>
      <w:r>
        <w:rPr>
          <w:szCs w:val="26"/>
        </w:rPr>
        <w:lastRenderedPageBreak/>
        <w:tab/>
      </w:r>
      <w:r>
        <w:rPr>
          <w:szCs w:val="26"/>
        </w:rPr>
        <w:tab/>
      </w:r>
      <w:r w:rsidR="00514EA6">
        <w:rPr>
          <w:b/>
          <w:szCs w:val="26"/>
        </w:rPr>
        <w:t>b</w:t>
      </w:r>
      <w:r>
        <w:rPr>
          <w:b/>
          <w:szCs w:val="26"/>
        </w:rPr>
        <w:t>.</w:t>
      </w:r>
      <w:r>
        <w:rPr>
          <w:b/>
          <w:szCs w:val="26"/>
        </w:rPr>
        <w:tab/>
        <w:t>Disposition</w:t>
      </w:r>
    </w:p>
    <w:p w:rsidR="00FC1866" w:rsidRDefault="00FC1866" w:rsidP="001B6469">
      <w:pPr>
        <w:pStyle w:val="p14"/>
        <w:tabs>
          <w:tab w:val="clear" w:pos="204"/>
        </w:tabs>
        <w:jc w:val="left"/>
        <w:rPr>
          <w:szCs w:val="26"/>
        </w:rPr>
      </w:pPr>
    </w:p>
    <w:p w:rsidR="00FC1866" w:rsidRDefault="00FC1866" w:rsidP="001B6469">
      <w:pPr>
        <w:pStyle w:val="p14"/>
        <w:tabs>
          <w:tab w:val="clear" w:pos="204"/>
        </w:tabs>
        <w:ind w:firstLine="720"/>
        <w:jc w:val="left"/>
        <w:rPr>
          <w:szCs w:val="26"/>
        </w:rPr>
      </w:pPr>
      <w:r>
        <w:rPr>
          <w:szCs w:val="26"/>
        </w:rPr>
        <w:t xml:space="preserve">The Commission </w:t>
      </w:r>
      <w:r w:rsidRPr="006729F8">
        <w:rPr>
          <w:szCs w:val="26"/>
        </w:rPr>
        <w:t>agrees</w:t>
      </w:r>
      <w:r>
        <w:rPr>
          <w:szCs w:val="26"/>
        </w:rPr>
        <w:t xml:space="preserve"> with PPL and has updated all affected values. </w:t>
      </w:r>
    </w:p>
    <w:p w:rsidR="0039406C" w:rsidRPr="0098410B" w:rsidRDefault="0039406C" w:rsidP="001B6469">
      <w:pPr>
        <w:pStyle w:val="p14"/>
        <w:ind w:left="1440"/>
        <w:jc w:val="left"/>
        <w:rPr>
          <w:b/>
          <w:caps/>
          <w:szCs w:val="26"/>
        </w:rPr>
      </w:pPr>
    </w:p>
    <w:p w:rsidR="00D05144" w:rsidRPr="0098410B" w:rsidRDefault="00D05144" w:rsidP="00514EA6">
      <w:pPr>
        <w:pStyle w:val="Heading2"/>
        <w:ind w:left="720"/>
        <w:jc w:val="left"/>
      </w:pPr>
      <w:bookmarkStart w:id="76" w:name="_Toc364755757"/>
      <w:bookmarkStart w:id="77" w:name="_Toc394648172"/>
      <w:bookmarkStart w:id="78" w:name="_Toc396910601"/>
      <w:bookmarkStart w:id="79" w:name="_Toc405802385"/>
      <w:bookmarkStart w:id="80" w:name="_Toc405884715"/>
      <w:r w:rsidRPr="0098410B">
        <w:t>Additional Commercial and Industrial EE&amp;C Measure Protocols</w:t>
      </w:r>
      <w:bookmarkEnd w:id="76"/>
      <w:bookmarkEnd w:id="77"/>
      <w:bookmarkEnd w:id="78"/>
      <w:bookmarkEnd w:id="79"/>
      <w:bookmarkEnd w:id="80"/>
    </w:p>
    <w:p w:rsidR="00D05144" w:rsidRPr="0098410B" w:rsidRDefault="00D05144" w:rsidP="001B6469">
      <w:pPr>
        <w:pStyle w:val="p3"/>
        <w:tabs>
          <w:tab w:val="clear" w:pos="204"/>
          <w:tab w:val="left" w:pos="720"/>
        </w:tabs>
        <w:jc w:val="left"/>
        <w:rPr>
          <w:szCs w:val="26"/>
        </w:rPr>
      </w:pPr>
    </w:p>
    <w:p w:rsidR="00D05144" w:rsidRPr="0098410B" w:rsidRDefault="00D05144" w:rsidP="001B6469">
      <w:pPr>
        <w:pStyle w:val="p3"/>
        <w:tabs>
          <w:tab w:val="clear" w:pos="204"/>
          <w:tab w:val="left" w:pos="720"/>
        </w:tabs>
        <w:jc w:val="left"/>
        <w:rPr>
          <w:szCs w:val="26"/>
        </w:rPr>
      </w:pPr>
      <w:r w:rsidRPr="0098410B">
        <w:rPr>
          <w:szCs w:val="26"/>
        </w:rPr>
        <w:tab/>
      </w:r>
      <w:r w:rsidR="008637FB">
        <w:rPr>
          <w:szCs w:val="26"/>
        </w:rPr>
        <w:t>The Commission proposed for inclusion the</w:t>
      </w:r>
      <w:r w:rsidRPr="0098410B">
        <w:rPr>
          <w:szCs w:val="26"/>
        </w:rPr>
        <w:t xml:space="preserve"> following twelve C&amp;I EE&amp;C measure protocols:  </w:t>
      </w:r>
    </w:p>
    <w:p w:rsidR="00D05144" w:rsidRPr="0020452A" w:rsidRDefault="00D05144" w:rsidP="001B6469">
      <w:pPr>
        <w:pStyle w:val="p3"/>
        <w:numPr>
          <w:ilvl w:val="0"/>
          <w:numId w:val="5"/>
        </w:numPr>
        <w:tabs>
          <w:tab w:val="clear" w:pos="204"/>
          <w:tab w:val="left" w:pos="720"/>
        </w:tabs>
        <w:ind w:left="1080"/>
        <w:jc w:val="left"/>
        <w:rPr>
          <w:szCs w:val="26"/>
        </w:rPr>
      </w:pPr>
      <w:r>
        <w:rPr>
          <w:szCs w:val="26"/>
        </w:rPr>
        <w:t>Section 3.1.7 – LED [Light-Emitting Diode]</w:t>
      </w:r>
      <w:r w:rsidRPr="0098410B">
        <w:rPr>
          <w:szCs w:val="26"/>
        </w:rPr>
        <w:t>: Refrigeration Display Case Lighting</w:t>
      </w:r>
      <w:r>
        <w:rPr>
          <w:szCs w:val="26"/>
        </w:rPr>
        <w:t>;</w:t>
      </w:r>
    </w:p>
    <w:p w:rsidR="00D05144" w:rsidRDefault="00D05144" w:rsidP="001B6469">
      <w:pPr>
        <w:pStyle w:val="p3"/>
        <w:numPr>
          <w:ilvl w:val="0"/>
          <w:numId w:val="5"/>
        </w:numPr>
        <w:tabs>
          <w:tab w:val="clear" w:pos="204"/>
          <w:tab w:val="left" w:pos="720"/>
        </w:tabs>
        <w:ind w:left="1080"/>
        <w:jc w:val="left"/>
        <w:rPr>
          <w:szCs w:val="26"/>
        </w:rPr>
      </w:pPr>
      <w:r>
        <w:rPr>
          <w:szCs w:val="26"/>
        </w:rPr>
        <w:t>Section 3.2.8 – C</w:t>
      </w:r>
      <w:r w:rsidRPr="0098410B">
        <w:rPr>
          <w:szCs w:val="26"/>
        </w:rPr>
        <w:t>ontrols: Guest Room Occupancy Sensor</w:t>
      </w:r>
      <w:r>
        <w:rPr>
          <w:szCs w:val="26"/>
        </w:rPr>
        <w:t>;</w:t>
      </w:r>
    </w:p>
    <w:p w:rsidR="00D05144" w:rsidRPr="0020452A" w:rsidRDefault="00D05144" w:rsidP="001B6469">
      <w:pPr>
        <w:pStyle w:val="p3"/>
        <w:numPr>
          <w:ilvl w:val="0"/>
          <w:numId w:val="5"/>
        </w:numPr>
        <w:tabs>
          <w:tab w:val="clear" w:pos="204"/>
          <w:tab w:val="left" w:pos="720"/>
        </w:tabs>
        <w:ind w:left="1080"/>
        <w:jc w:val="left"/>
        <w:rPr>
          <w:szCs w:val="26"/>
        </w:rPr>
      </w:pPr>
      <w:r>
        <w:rPr>
          <w:szCs w:val="26"/>
        </w:rPr>
        <w:t>Section 3.2.9 – Controls</w:t>
      </w:r>
      <w:r w:rsidRPr="0098410B">
        <w:rPr>
          <w:szCs w:val="26"/>
        </w:rPr>
        <w:t>: Economizer</w:t>
      </w:r>
      <w:r>
        <w:rPr>
          <w:szCs w:val="26"/>
        </w:rPr>
        <w:t>;</w:t>
      </w:r>
    </w:p>
    <w:p w:rsidR="00D05144" w:rsidRDefault="00D05144" w:rsidP="001B6469">
      <w:pPr>
        <w:pStyle w:val="p3"/>
        <w:numPr>
          <w:ilvl w:val="0"/>
          <w:numId w:val="5"/>
        </w:numPr>
        <w:tabs>
          <w:tab w:val="clear" w:pos="204"/>
          <w:tab w:val="left" w:pos="720"/>
        </w:tabs>
        <w:ind w:left="1080"/>
        <w:jc w:val="left"/>
        <w:rPr>
          <w:szCs w:val="26"/>
        </w:rPr>
      </w:pPr>
      <w:r>
        <w:rPr>
          <w:szCs w:val="26"/>
        </w:rPr>
        <w:t>Section 3.3.3 – ECM [</w:t>
      </w:r>
      <w:r w:rsidRPr="001B675C">
        <w:rPr>
          <w:szCs w:val="26"/>
        </w:rPr>
        <w:t>Electronically Commutated Motor</w:t>
      </w:r>
      <w:r>
        <w:rPr>
          <w:szCs w:val="26"/>
        </w:rPr>
        <w:t>]</w:t>
      </w:r>
      <w:r w:rsidRPr="0098410B">
        <w:rPr>
          <w:szCs w:val="26"/>
        </w:rPr>
        <w:t xml:space="preserve"> Circulating Fan</w:t>
      </w:r>
      <w:r>
        <w:rPr>
          <w:szCs w:val="26"/>
        </w:rPr>
        <w:t>;</w:t>
      </w:r>
    </w:p>
    <w:p w:rsidR="00D05144" w:rsidRDefault="00D05144" w:rsidP="001B6469">
      <w:pPr>
        <w:pStyle w:val="p3"/>
        <w:numPr>
          <w:ilvl w:val="0"/>
          <w:numId w:val="5"/>
        </w:numPr>
        <w:tabs>
          <w:tab w:val="clear" w:pos="204"/>
          <w:tab w:val="left" w:pos="720"/>
        </w:tabs>
        <w:ind w:left="1080"/>
        <w:jc w:val="left"/>
        <w:rPr>
          <w:szCs w:val="26"/>
        </w:rPr>
      </w:pPr>
      <w:r>
        <w:rPr>
          <w:szCs w:val="26"/>
        </w:rPr>
        <w:t>Section 3.3.4 – VSD [</w:t>
      </w:r>
      <w:r w:rsidRPr="0098410B">
        <w:rPr>
          <w:szCs w:val="26"/>
        </w:rPr>
        <w:t>V</w:t>
      </w:r>
      <w:r>
        <w:rPr>
          <w:szCs w:val="26"/>
        </w:rPr>
        <w:t xml:space="preserve">ariable </w:t>
      </w:r>
      <w:r w:rsidRPr="0098410B">
        <w:rPr>
          <w:szCs w:val="26"/>
        </w:rPr>
        <w:t>S</w:t>
      </w:r>
      <w:r>
        <w:rPr>
          <w:szCs w:val="26"/>
        </w:rPr>
        <w:t xml:space="preserve">peed </w:t>
      </w:r>
      <w:r w:rsidRPr="0098410B">
        <w:rPr>
          <w:szCs w:val="26"/>
        </w:rPr>
        <w:t>D</w:t>
      </w:r>
      <w:r>
        <w:rPr>
          <w:szCs w:val="26"/>
        </w:rPr>
        <w:t>rive]</w:t>
      </w:r>
      <w:r w:rsidRPr="0098410B">
        <w:rPr>
          <w:szCs w:val="26"/>
        </w:rPr>
        <w:t xml:space="preserve"> on Kitchen Exhaust Fan</w:t>
      </w:r>
      <w:r>
        <w:rPr>
          <w:szCs w:val="26"/>
        </w:rPr>
        <w:t>;</w:t>
      </w:r>
    </w:p>
    <w:p w:rsidR="00D05144" w:rsidRPr="0098410B" w:rsidRDefault="00D05144" w:rsidP="001B6469">
      <w:pPr>
        <w:pStyle w:val="p3"/>
        <w:numPr>
          <w:ilvl w:val="0"/>
          <w:numId w:val="5"/>
        </w:numPr>
        <w:tabs>
          <w:tab w:val="clear" w:pos="204"/>
          <w:tab w:val="left" w:pos="720"/>
        </w:tabs>
        <w:ind w:left="1080"/>
        <w:jc w:val="left"/>
        <w:rPr>
          <w:szCs w:val="26"/>
        </w:rPr>
      </w:pPr>
      <w:r>
        <w:rPr>
          <w:szCs w:val="26"/>
        </w:rPr>
        <w:t>Section 3.5.7 – C</w:t>
      </w:r>
      <w:r w:rsidRPr="0098410B">
        <w:rPr>
          <w:szCs w:val="26"/>
        </w:rPr>
        <w:t>ontrols: Eva</w:t>
      </w:r>
      <w:r>
        <w:rPr>
          <w:szCs w:val="26"/>
        </w:rPr>
        <w:t>porator Coil Defrost Control;</w:t>
      </w:r>
    </w:p>
    <w:p w:rsidR="00D05144" w:rsidRPr="0098410B" w:rsidRDefault="00D05144" w:rsidP="001B6469">
      <w:pPr>
        <w:pStyle w:val="p3"/>
        <w:numPr>
          <w:ilvl w:val="0"/>
          <w:numId w:val="5"/>
        </w:numPr>
        <w:tabs>
          <w:tab w:val="clear" w:pos="204"/>
          <w:tab w:val="left" w:pos="720"/>
        </w:tabs>
        <w:ind w:left="1080"/>
        <w:jc w:val="left"/>
        <w:rPr>
          <w:szCs w:val="26"/>
        </w:rPr>
      </w:pPr>
      <w:r>
        <w:rPr>
          <w:szCs w:val="26"/>
        </w:rPr>
        <w:t>Section 3.7.3 – C</w:t>
      </w:r>
      <w:r w:rsidRPr="0098410B">
        <w:rPr>
          <w:szCs w:val="26"/>
        </w:rPr>
        <w:t>ontrols: Snack Machine Controls</w:t>
      </w:r>
      <w:r>
        <w:rPr>
          <w:szCs w:val="26"/>
        </w:rPr>
        <w:t>;</w:t>
      </w:r>
    </w:p>
    <w:p w:rsidR="00D05144" w:rsidRDefault="00D05144" w:rsidP="001B6469">
      <w:pPr>
        <w:pStyle w:val="p3"/>
        <w:numPr>
          <w:ilvl w:val="0"/>
          <w:numId w:val="5"/>
        </w:numPr>
        <w:tabs>
          <w:tab w:val="clear" w:pos="204"/>
          <w:tab w:val="left" w:pos="720"/>
        </w:tabs>
        <w:ind w:left="1080"/>
        <w:jc w:val="left"/>
        <w:rPr>
          <w:szCs w:val="26"/>
        </w:rPr>
      </w:pPr>
      <w:r>
        <w:rPr>
          <w:szCs w:val="26"/>
        </w:rPr>
        <w:t>Section 3.7.5 – ENERGY</w:t>
      </w:r>
      <w:r w:rsidRPr="0098410B">
        <w:rPr>
          <w:szCs w:val="26"/>
        </w:rPr>
        <w:t xml:space="preserve"> STAR Refrigerated Beverage Machine</w:t>
      </w:r>
      <w:r>
        <w:rPr>
          <w:szCs w:val="26"/>
        </w:rPr>
        <w:t>;</w:t>
      </w:r>
    </w:p>
    <w:p w:rsidR="00D05144" w:rsidRPr="0098410B" w:rsidRDefault="00D05144" w:rsidP="001B6469">
      <w:pPr>
        <w:pStyle w:val="p3"/>
        <w:numPr>
          <w:ilvl w:val="0"/>
          <w:numId w:val="5"/>
        </w:numPr>
        <w:tabs>
          <w:tab w:val="clear" w:pos="204"/>
          <w:tab w:val="left" w:pos="720"/>
        </w:tabs>
        <w:ind w:left="1080"/>
        <w:jc w:val="left"/>
        <w:rPr>
          <w:szCs w:val="26"/>
        </w:rPr>
      </w:pPr>
      <w:r>
        <w:rPr>
          <w:szCs w:val="26"/>
        </w:rPr>
        <w:t>Section 3.10.1 – C</w:t>
      </w:r>
      <w:r w:rsidRPr="0098410B">
        <w:rPr>
          <w:szCs w:val="26"/>
        </w:rPr>
        <w:t>ycling Refrigerated Thermal Mass Dryer</w:t>
      </w:r>
      <w:r>
        <w:rPr>
          <w:szCs w:val="26"/>
        </w:rPr>
        <w:t>;</w:t>
      </w:r>
    </w:p>
    <w:p w:rsidR="00D05144" w:rsidRDefault="00D05144" w:rsidP="001B6469">
      <w:pPr>
        <w:pStyle w:val="p3"/>
        <w:numPr>
          <w:ilvl w:val="0"/>
          <w:numId w:val="5"/>
        </w:numPr>
        <w:tabs>
          <w:tab w:val="clear" w:pos="204"/>
          <w:tab w:val="left" w:pos="720"/>
        </w:tabs>
        <w:ind w:left="1080"/>
        <w:jc w:val="left"/>
        <w:rPr>
          <w:szCs w:val="26"/>
        </w:rPr>
      </w:pPr>
      <w:r>
        <w:rPr>
          <w:szCs w:val="26"/>
        </w:rPr>
        <w:t>Section 3.10.2 – Air-E</w:t>
      </w:r>
      <w:r w:rsidRPr="0098410B">
        <w:rPr>
          <w:szCs w:val="26"/>
        </w:rPr>
        <w:t>ntraining Air Nozzle</w:t>
      </w:r>
      <w:r>
        <w:rPr>
          <w:szCs w:val="26"/>
        </w:rPr>
        <w:t>;</w:t>
      </w:r>
    </w:p>
    <w:p w:rsidR="00D05144" w:rsidRPr="0020452A" w:rsidRDefault="00D05144" w:rsidP="001B6469">
      <w:pPr>
        <w:pStyle w:val="p3"/>
        <w:numPr>
          <w:ilvl w:val="0"/>
          <w:numId w:val="5"/>
        </w:numPr>
        <w:tabs>
          <w:tab w:val="clear" w:pos="204"/>
          <w:tab w:val="left" w:pos="720"/>
        </w:tabs>
        <w:ind w:left="1080"/>
        <w:jc w:val="left"/>
        <w:rPr>
          <w:szCs w:val="26"/>
        </w:rPr>
      </w:pPr>
      <w:r>
        <w:rPr>
          <w:szCs w:val="26"/>
        </w:rPr>
        <w:t>Section 3.10.3 – No-L</w:t>
      </w:r>
      <w:r w:rsidRPr="0098410B">
        <w:rPr>
          <w:szCs w:val="26"/>
        </w:rPr>
        <w:t>oss Condensate Drains</w:t>
      </w:r>
      <w:r>
        <w:rPr>
          <w:szCs w:val="26"/>
        </w:rPr>
        <w:t>; and</w:t>
      </w:r>
    </w:p>
    <w:p w:rsidR="008637FB" w:rsidRDefault="00D05144" w:rsidP="001B6469">
      <w:pPr>
        <w:pStyle w:val="p3"/>
        <w:numPr>
          <w:ilvl w:val="0"/>
          <w:numId w:val="5"/>
        </w:numPr>
        <w:tabs>
          <w:tab w:val="clear" w:pos="204"/>
          <w:tab w:val="left" w:pos="720"/>
        </w:tabs>
        <w:ind w:left="1080"/>
        <w:jc w:val="left"/>
        <w:rPr>
          <w:szCs w:val="26"/>
        </w:rPr>
      </w:pPr>
      <w:r>
        <w:rPr>
          <w:szCs w:val="26"/>
        </w:rPr>
        <w:t xml:space="preserve">Section 3.11.1 – ENERGY </w:t>
      </w:r>
      <w:r w:rsidRPr="0098410B">
        <w:rPr>
          <w:szCs w:val="26"/>
        </w:rPr>
        <w:t>STAR Servers</w:t>
      </w:r>
      <w:r>
        <w:rPr>
          <w:szCs w:val="26"/>
        </w:rPr>
        <w:t>.</w:t>
      </w:r>
    </w:p>
    <w:p w:rsidR="00E13E96" w:rsidRDefault="00FB2804" w:rsidP="001B6469">
      <w:pPr>
        <w:jc w:val="left"/>
        <w:rPr>
          <w:szCs w:val="26"/>
        </w:rPr>
      </w:pPr>
      <w:r>
        <w:rPr>
          <w:szCs w:val="26"/>
        </w:rPr>
        <w:t>The</w:t>
      </w:r>
      <w:r w:rsidR="00E13E96">
        <w:rPr>
          <w:szCs w:val="26"/>
        </w:rPr>
        <w:t xml:space="preserve"> Commission adopts the</w:t>
      </w:r>
      <w:r w:rsidR="009B6D7C">
        <w:rPr>
          <w:szCs w:val="26"/>
        </w:rPr>
        <w:t>se</w:t>
      </w:r>
      <w:r w:rsidR="00E13E96">
        <w:rPr>
          <w:szCs w:val="26"/>
        </w:rPr>
        <w:t xml:space="preserve"> protocols noting the changes outlined below.</w:t>
      </w:r>
    </w:p>
    <w:p w:rsidR="00E13E96" w:rsidRDefault="00E13E96" w:rsidP="001B6469">
      <w:pPr>
        <w:pStyle w:val="p3"/>
        <w:tabs>
          <w:tab w:val="clear" w:pos="204"/>
          <w:tab w:val="left" w:pos="720"/>
        </w:tabs>
        <w:jc w:val="left"/>
        <w:rPr>
          <w:szCs w:val="26"/>
        </w:rPr>
      </w:pPr>
    </w:p>
    <w:p w:rsidR="00A3244B" w:rsidRDefault="00A3244B">
      <w:pPr>
        <w:overflowPunct/>
        <w:autoSpaceDE/>
        <w:autoSpaceDN/>
        <w:adjustRightInd/>
        <w:spacing w:line="240" w:lineRule="auto"/>
        <w:jc w:val="left"/>
        <w:rPr>
          <w:b/>
          <w:szCs w:val="26"/>
        </w:rPr>
      </w:pPr>
      <w:bookmarkStart w:id="81" w:name="_Toc373960322"/>
      <w:bookmarkStart w:id="82" w:name="_Toc373961532"/>
      <w:bookmarkStart w:id="83" w:name="_Toc373961766"/>
      <w:bookmarkStart w:id="84" w:name="_Toc373961961"/>
      <w:bookmarkStart w:id="85" w:name="_Toc373962078"/>
      <w:bookmarkStart w:id="86" w:name="_Toc374452823"/>
      <w:bookmarkStart w:id="87" w:name="_Toc405802386"/>
      <w:bookmarkStart w:id="88" w:name="_Toc405884716"/>
      <w:r>
        <w:rPr>
          <w:b/>
          <w:szCs w:val="26"/>
        </w:rPr>
        <w:br w:type="page"/>
      </w:r>
    </w:p>
    <w:p w:rsidR="00E13E96" w:rsidRPr="00514EA6" w:rsidRDefault="00E13E96" w:rsidP="001B6469">
      <w:pPr>
        <w:pStyle w:val="p3"/>
        <w:numPr>
          <w:ilvl w:val="1"/>
          <w:numId w:val="1"/>
        </w:numPr>
        <w:tabs>
          <w:tab w:val="clear" w:pos="204"/>
          <w:tab w:val="left" w:pos="720"/>
        </w:tabs>
        <w:spacing w:line="240" w:lineRule="auto"/>
        <w:ind w:left="720" w:firstLine="0"/>
        <w:jc w:val="left"/>
        <w:outlineLvl w:val="2"/>
        <w:rPr>
          <w:b/>
          <w:szCs w:val="26"/>
        </w:rPr>
      </w:pPr>
      <w:r w:rsidRPr="00514EA6">
        <w:rPr>
          <w:b/>
          <w:szCs w:val="26"/>
        </w:rPr>
        <w:lastRenderedPageBreak/>
        <w:t xml:space="preserve">Section 3.7.5  – </w:t>
      </w:r>
      <w:bookmarkEnd w:id="81"/>
      <w:bookmarkEnd w:id="82"/>
      <w:bookmarkEnd w:id="83"/>
      <w:bookmarkEnd w:id="84"/>
      <w:bookmarkEnd w:id="85"/>
      <w:bookmarkEnd w:id="86"/>
      <w:r w:rsidRPr="00514EA6">
        <w:rPr>
          <w:b/>
          <w:szCs w:val="26"/>
        </w:rPr>
        <w:t>ENERGY STAR Refrigerated Beverage Machine</w:t>
      </w:r>
      <w:bookmarkEnd w:id="87"/>
      <w:bookmarkEnd w:id="88"/>
    </w:p>
    <w:p w:rsidR="00E13E96" w:rsidRDefault="00E13E96" w:rsidP="001B6469">
      <w:pPr>
        <w:pStyle w:val="p3"/>
        <w:tabs>
          <w:tab w:val="clear" w:pos="204"/>
          <w:tab w:val="left" w:pos="720"/>
        </w:tabs>
        <w:jc w:val="left"/>
        <w:rPr>
          <w:szCs w:val="26"/>
        </w:rPr>
      </w:pPr>
    </w:p>
    <w:p w:rsidR="00E13E96" w:rsidRDefault="008637FB" w:rsidP="001B6469">
      <w:pPr>
        <w:jc w:val="left"/>
        <w:rPr>
          <w:szCs w:val="26"/>
        </w:rPr>
      </w:pPr>
      <w:r>
        <w:rPr>
          <w:b/>
          <w:szCs w:val="26"/>
        </w:rPr>
        <w:tab/>
      </w:r>
      <w:r w:rsidR="00514EA6">
        <w:rPr>
          <w:b/>
          <w:szCs w:val="26"/>
        </w:rPr>
        <w:tab/>
        <w:t>a</w:t>
      </w:r>
      <w:r w:rsidR="00E13E96">
        <w:rPr>
          <w:b/>
          <w:szCs w:val="26"/>
        </w:rPr>
        <w:t>.</w:t>
      </w:r>
      <w:r w:rsidR="00E13E96">
        <w:rPr>
          <w:b/>
          <w:szCs w:val="26"/>
        </w:rPr>
        <w:tab/>
        <w:t>Comments</w:t>
      </w:r>
    </w:p>
    <w:p w:rsidR="00E13E96" w:rsidRDefault="00E13E96" w:rsidP="001B6469">
      <w:pPr>
        <w:jc w:val="left"/>
        <w:rPr>
          <w:szCs w:val="26"/>
        </w:rPr>
      </w:pPr>
    </w:p>
    <w:p w:rsidR="00E13E96" w:rsidRPr="00A0410F" w:rsidRDefault="00550840" w:rsidP="001B6469">
      <w:pPr>
        <w:jc w:val="left"/>
        <w:rPr>
          <w:szCs w:val="26"/>
        </w:rPr>
      </w:pPr>
      <w:r>
        <w:rPr>
          <w:szCs w:val="26"/>
        </w:rPr>
        <w:tab/>
        <w:t>Duquesne requests changing the title of Table 3-140 to “Default Beverage Vending Machine Savings</w:t>
      </w:r>
      <w:r w:rsidR="007F7DBD">
        <w:rPr>
          <w:szCs w:val="26"/>
        </w:rPr>
        <w:t>.</w:t>
      </w:r>
      <w:r>
        <w:rPr>
          <w:szCs w:val="26"/>
        </w:rPr>
        <w:t>”</w:t>
      </w:r>
      <w:r w:rsidR="007F7DBD">
        <w:rPr>
          <w:szCs w:val="26"/>
        </w:rPr>
        <w:t xml:space="preserve"> </w:t>
      </w:r>
      <w:r>
        <w:rPr>
          <w:szCs w:val="26"/>
        </w:rPr>
        <w:t xml:space="preserve"> I</w:t>
      </w:r>
      <w:r w:rsidR="0064098B">
        <w:rPr>
          <w:szCs w:val="26"/>
        </w:rPr>
        <w:t>n addition, Duquesne notes that the default savings for “Equipment Class A” should be 71 kWh instead of 1,422 k</w:t>
      </w:r>
      <w:r w:rsidR="0064098B" w:rsidRPr="00A0410F">
        <w:rPr>
          <w:szCs w:val="26"/>
        </w:rPr>
        <w:t>Wh.</w:t>
      </w:r>
      <w:r w:rsidR="0064098B">
        <w:rPr>
          <w:rStyle w:val="FootnoteReference"/>
          <w:szCs w:val="26"/>
        </w:rPr>
        <w:footnoteReference w:id="77"/>
      </w:r>
      <w:r w:rsidR="0064098B" w:rsidRPr="00A0410F">
        <w:rPr>
          <w:szCs w:val="26"/>
        </w:rPr>
        <w:t xml:space="preserve"> </w:t>
      </w:r>
    </w:p>
    <w:p w:rsidR="00E13E96" w:rsidRPr="004A195B" w:rsidRDefault="00550840" w:rsidP="001B6469">
      <w:pPr>
        <w:jc w:val="left"/>
        <w:rPr>
          <w:szCs w:val="26"/>
        </w:rPr>
      </w:pPr>
      <w:r w:rsidRPr="004A195B">
        <w:rPr>
          <w:szCs w:val="26"/>
        </w:rPr>
        <w:t xml:space="preserve"> </w:t>
      </w:r>
    </w:p>
    <w:p w:rsidR="00E13E96" w:rsidRPr="00BC7E3B" w:rsidRDefault="00E13E96" w:rsidP="001B6469">
      <w:pPr>
        <w:jc w:val="left"/>
        <w:rPr>
          <w:szCs w:val="26"/>
        </w:rPr>
      </w:pPr>
      <w:r>
        <w:rPr>
          <w:szCs w:val="26"/>
        </w:rPr>
        <w:tab/>
      </w:r>
      <w:r>
        <w:rPr>
          <w:szCs w:val="26"/>
        </w:rPr>
        <w:tab/>
      </w:r>
      <w:r w:rsidR="0034192A">
        <w:rPr>
          <w:b/>
          <w:szCs w:val="26"/>
        </w:rPr>
        <w:t>b</w:t>
      </w:r>
      <w:r>
        <w:rPr>
          <w:b/>
          <w:szCs w:val="26"/>
        </w:rPr>
        <w:t>.</w:t>
      </w:r>
      <w:r>
        <w:rPr>
          <w:b/>
          <w:szCs w:val="26"/>
        </w:rPr>
        <w:tab/>
        <w:t>Disposition</w:t>
      </w:r>
    </w:p>
    <w:p w:rsidR="008637FB" w:rsidRDefault="008637FB" w:rsidP="001B6469">
      <w:pPr>
        <w:pStyle w:val="p3"/>
        <w:tabs>
          <w:tab w:val="clear" w:pos="204"/>
          <w:tab w:val="left" w:pos="720"/>
        </w:tabs>
        <w:jc w:val="left"/>
        <w:rPr>
          <w:szCs w:val="26"/>
        </w:rPr>
      </w:pPr>
    </w:p>
    <w:p w:rsidR="008637FB" w:rsidRPr="008637FB" w:rsidRDefault="0064098B" w:rsidP="001B6469">
      <w:pPr>
        <w:pStyle w:val="p3"/>
        <w:tabs>
          <w:tab w:val="clear" w:pos="204"/>
          <w:tab w:val="left" w:pos="720"/>
        </w:tabs>
        <w:jc w:val="left"/>
        <w:rPr>
          <w:szCs w:val="26"/>
        </w:rPr>
      </w:pPr>
      <w:r>
        <w:rPr>
          <w:szCs w:val="26"/>
        </w:rPr>
        <w:tab/>
        <w:t>The Commission agrees with</w:t>
      </w:r>
      <w:r w:rsidR="00FB2804">
        <w:rPr>
          <w:szCs w:val="26"/>
        </w:rPr>
        <w:t xml:space="preserve"> </w:t>
      </w:r>
      <w:r>
        <w:rPr>
          <w:szCs w:val="26"/>
        </w:rPr>
        <w:t xml:space="preserve">and </w:t>
      </w:r>
      <w:r w:rsidR="002E190D">
        <w:rPr>
          <w:szCs w:val="26"/>
        </w:rPr>
        <w:t xml:space="preserve">adopts Duquesne’s </w:t>
      </w:r>
      <w:r>
        <w:rPr>
          <w:szCs w:val="26"/>
        </w:rPr>
        <w:t xml:space="preserve">recommendations. </w:t>
      </w:r>
    </w:p>
    <w:p w:rsidR="006D6E02" w:rsidRPr="0098410B" w:rsidRDefault="006D6E02" w:rsidP="001B6469">
      <w:pPr>
        <w:pStyle w:val="p3"/>
        <w:tabs>
          <w:tab w:val="clear" w:pos="204"/>
          <w:tab w:val="left" w:pos="720"/>
        </w:tabs>
        <w:jc w:val="left"/>
        <w:rPr>
          <w:szCs w:val="26"/>
        </w:rPr>
      </w:pPr>
    </w:p>
    <w:p w:rsidR="00D05144" w:rsidRPr="0098410B" w:rsidRDefault="00D05144" w:rsidP="00697213">
      <w:pPr>
        <w:pStyle w:val="Heading2"/>
        <w:ind w:left="720"/>
        <w:jc w:val="left"/>
      </w:pPr>
      <w:bookmarkStart w:id="89" w:name="_Toc364755758"/>
      <w:bookmarkStart w:id="90" w:name="_Toc394648173"/>
      <w:bookmarkStart w:id="91" w:name="_Toc396910602"/>
      <w:bookmarkStart w:id="92" w:name="_Toc405802387"/>
      <w:bookmarkStart w:id="93" w:name="_Toc405884717"/>
      <w:r w:rsidRPr="0098410B">
        <w:t>Existing Residential EE&amp;C Measure Protocols and Processes</w:t>
      </w:r>
      <w:bookmarkEnd w:id="89"/>
      <w:bookmarkEnd w:id="90"/>
      <w:bookmarkEnd w:id="91"/>
      <w:bookmarkEnd w:id="92"/>
      <w:bookmarkEnd w:id="93"/>
    </w:p>
    <w:p w:rsidR="00D05144" w:rsidRPr="0098410B" w:rsidRDefault="00D05144" w:rsidP="001B6469">
      <w:pPr>
        <w:jc w:val="left"/>
        <w:rPr>
          <w:b/>
          <w:szCs w:val="26"/>
        </w:rPr>
      </w:pPr>
    </w:p>
    <w:p w:rsidR="00D05144" w:rsidRPr="0098410B" w:rsidRDefault="00D05144" w:rsidP="001B6469">
      <w:pPr>
        <w:ind w:firstLine="720"/>
        <w:jc w:val="left"/>
        <w:rPr>
          <w:b/>
          <w:szCs w:val="26"/>
        </w:rPr>
      </w:pPr>
      <w:r w:rsidRPr="0098410B">
        <w:rPr>
          <w:szCs w:val="26"/>
        </w:rPr>
        <w:t xml:space="preserve">The following sections describe clarifications and modifications to </w:t>
      </w:r>
      <w:r w:rsidR="002E190D">
        <w:rPr>
          <w:szCs w:val="26"/>
        </w:rPr>
        <w:t xml:space="preserve">existing </w:t>
      </w:r>
      <w:r w:rsidRPr="0098410B">
        <w:rPr>
          <w:szCs w:val="26"/>
        </w:rPr>
        <w:t>residential measure protocols:</w:t>
      </w:r>
    </w:p>
    <w:p w:rsidR="00D05144" w:rsidRPr="00097C7B" w:rsidRDefault="00D05144" w:rsidP="001B6469">
      <w:pPr>
        <w:tabs>
          <w:tab w:val="left" w:pos="720"/>
          <w:tab w:val="left" w:pos="5174"/>
        </w:tabs>
        <w:jc w:val="left"/>
      </w:pPr>
      <w:bookmarkStart w:id="94" w:name="_Toc394648174"/>
      <w:r>
        <w:tab/>
      </w:r>
    </w:p>
    <w:p w:rsidR="004513D4" w:rsidRPr="0098410B" w:rsidRDefault="00774691" w:rsidP="001B6469">
      <w:pPr>
        <w:pStyle w:val="Heading3"/>
        <w:numPr>
          <w:ilvl w:val="0"/>
          <w:numId w:val="0"/>
        </w:numPr>
        <w:ind w:left="720"/>
      </w:pPr>
      <w:bookmarkStart w:id="95" w:name="_Toc405802388"/>
      <w:bookmarkStart w:id="96" w:name="_Toc405884718"/>
      <w:bookmarkStart w:id="97" w:name="_Toc396910603"/>
      <w:r>
        <w:t>1</w:t>
      </w:r>
      <w:r w:rsidR="004513D4">
        <w:t>.</w:t>
      </w:r>
      <w:r w:rsidR="004513D4">
        <w:tab/>
        <w:t>Section 2.1.1 – E</w:t>
      </w:r>
      <w:r w:rsidR="004513D4" w:rsidRPr="0098410B">
        <w:t>NERGY STAR Lighting</w:t>
      </w:r>
      <w:r w:rsidR="00B04FF3" w:rsidRPr="00940C4F">
        <w:rPr>
          <w:rStyle w:val="FootnoteReference"/>
          <w:b w:val="0"/>
        </w:rPr>
        <w:footnoteReference w:id="78"/>
      </w:r>
      <w:bookmarkEnd w:id="95"/>
      <w:bookmarkEnd w:id="96"/>
    </w:p>
    <w:p w:rsidR="004513D4" w:rsidRPr="0098410B" w:rsidRDefault="004513D4" w:rsidP="001B6469">
      <w:pPr>
        <w:pStyle w:val="BodyTextIndent3"/>
        <w:spacing w:after="0" w:line="360" w:lineRule="auto"/>
        <w:jc w:val="left"/>
        <w:rPr>
          <w:rFonts w:ascii="Times New Roman" w:hAnsi="Times New Roman"/>
          <w:sz w:val="26"/>
          <w:szCs w:val="26"/>
        </w:rPr>
      </w:pPr>
    </w:p>
    <w:p w:rsidR="004513D4" w:rsidRPr="0098410B" w:rsidRDefault="004513D4" w:rsidP="001B6469">
      <w:pPr>
        <w:ind w:firstLine="720"/>
        <w:jc w:val="left"/>
        <w:rPr>
          <w:szCs w:val="26"/>
        </w:rPr>
      </w:pPr>
      <w:r w:rsidRPr="0098410B">
        <w:rPr>
          <w:szCs w:val="26"/>
        </w:rPr>
        <w:t xml:space="preserve">In </w:t>
      </w:r>
      <w:r>
        <w:rPr>
          <w:szCs w:val="26"/>
        </w:rPr>
        <w:t>the</w:t>
      </w:r>
      <w:r w:rsidRPr="0098410B">
        <w:rPr>
          <w:szCs w:val="26"/>
        </w:rPr>
        <w:t xml:space="preserve"> 2014 TRM Final Order, the Commis</w:t>
      </w:r>
      <w:r w:rsidR="00075230">
        <w:rPr>
          <w:szCs w:val="26"/>
        </w:rPr>
        <w:t>sion noted that the 2014 TRM had</w:t>
      </w:r>
      <w:r w:rsidRPr="0098410B">
        <w:rPr>
          <w:szCs w:val="26"/>
        </w:rPr>
        <w:t xml:space="preserve"> been updated to clarify that any bulbs outside the lumen bins presented are exempt from</w:t>
      </w:r>
      <w:r>
        <w:rPr>
          <w:szCs w:val="26"/>
        </w:rPr>
        <w:t xml:space="preserve"> the Energy Independence and Safety Act of 2007 (</w:t>
      </w:r>
      <w:r w:rsidRPr="0098410B">
        <w:rPr>
          <w:szCs w:val="26"/>
        </w:rPr>
        <w:t>EISA</w:t>
      </w:r>
      <w:r>
        <w:rPr>
          <w:szCs w:val="26"/>
        </w:rPr>
        <w:t>)</w:t>
      </w:r>
      <w:r>
        <w:rPr>
          <w:rStyle w:val="FootnoteReference"/>
          <w:szCs w:val="26"/>
        </w:rPr>
        <w:footnoteReference w:id="79"/>
      </w:r>
      <w:r w:rsidRPr="0098410B">
        <w:rPr>
          <w:szCs w:val="26"/>
        </w:rPr>
        <w:t xml:space="preserve"> standards and should use the manufacturer-rated incandescent equivalent wattage.</w:t>
      </w:r>
      <w:r w:rsidRPr="0098410B">
        <w:rPr>
          <w:rStyle w:val="FootnoteReference"/>
          <w:szCs w:val="26"/>
        </w:rPr>
        <w:footnoteReference w:id="80"/>
      </w:r>
      <w:r w:rsidR="00F975B6">
        <w:rPr>
          <w:szCs w:val="26"/>
        </w:rPr>
        <w:t xml:space="preserve"> </w:t>
      </w:r>
      <w:r w:rsidR="00075230">
        <w:rPr>
          <w:szCs w:val="26"/>
        </w:rPr>
        <w:t xml:space="preserve"> </w:t>
      </w:r>
      <w:r>
        <w:rPr>
          <w:szCs w:val="26"/>
        </w:rPr>
        <w:t>The Commission proposed</w:t>
      </w:r>
      <w:r w:rsidRPr="0098410B">
        <w:rPr>
          <w:szCs w:val="26"/>
        </w:rPr>
        <w:t xml:space="preserve"> to augment this language to include</w:t>
      </w:r>
      <w:r>
        <w:rPr>
          <w:szCs w:val="26"/>
        </w:rPr>
        <w:t xml:space="preserve"> the following in Section 2.1.1 – ENERGY STAR Lighting: Variable Input Values</w:t>
      </w:r>
      <w:r w:rsidRPr="0098410B">
        <w:rPr>
          <w:szCs w:val="26"/>
        </w:rPr>
        <w:t>:</w:t>
      </w:r>
    </w:p>
    <w:p w:rsidR="004513D4" w:rsidRPr="0098410B" w:rsidRDefault="004513D4" w:rsidP="001B6469">
      <w:pPr>
        <w:spacing w:line="240" w:lineRule="auto"/>
        <w:ind w:left="720" w:right="720"/>
        <w:jc w:val="left"/>
        <w:rPr>
          <w:szCs w:val="26"/>
        </w:rPr>
      </w:pPr>
      <w:r w:rsidRPr="0098410B">
        <w:rPr>
          <w:szCs w:val="26"/>
        </w:rPr>
        <w:lastRenderedPageBreak/>
        <w:t>For bulbs that do not fall within EISA regulations, such as exempt bulbs and bulbs with lumens greater than 2,600, the manufacturer rated equivalent wattage should be used as the baseline. The manufacturer rated wattage can vary by bulb type, but is usually clearly labeled on the bulb package. Note the EISA 2007 standards apply to general service incandescent lamps.  A complete list of the 22 incandescent lamps exempt from EISA 2007 is listed in the United States Department of Energy Impact of EISA 2007 on General Service Incandescent Lamps: FACT SHEET.</w:t>
      </w:r>
      <w:r w:rsidRPr="0098410B">
        <w:rPr>
          <w:szCs w:val="26"/>
          <w:vertAlign w:val="superscript"/>
        </w:rPr>
        <w:footnoteReference w:id="81"/>
      </w:r>
      <w:r w:rsidRPr="0098410B">
        <w:rPr>
          <w:szCs w:val="26"/>
        </w:rPr>
        <w:t xml:space="preserve"> </w:t>
      </w:r>
    </w:p>
    <w:p w:rsidR="004513D4" w:rsidRPr="0098410B" w:rsidRDefault="004513D4" w:rsidP="001B6469">
      <w:pPr>
        <w:jc w:val="left"/>
      </w:pPr>
    </w:p>
    <w:p w:rsidR="004513D4" w:rsidRDefault="00075230" w:rsidP="001B6469">
      <w:pPr>
        <w:jc w:val="left"/>
        <w:rPr>
          <w:szCs w:val="26"/>
        </w:rPr>
      </w:pPr>
      <w:r>
        <w:rPr>
          <w:szCs w:val="26"/>
        </w:rPr>
        <w:tab/>
      </w:r>
      <w:r>
        <w:rPr>
          <w:szCs w:val="26"/>
        </w:rPr>
        <w:tab/>
      </w:r>
      <w:r>
        <w:rPr>
          <w:b/>
          <w:szCs w:val="26"/>
        </w:rPr>
        <w:t>a</w:t>
      </w:r>
      <w:r w:rsidR="004513D4">
        <w:rPr>
          <w:b/>
          <w:szCs w:val="26"/>
        </w:rPr>
        <w:t>.</w:t>
      </w:r>
      <w:r w:rsidR="004513D4">
        <w:rPr>
          <w:b/>
          <w:szCs w:val="26"/>
        </w:rPr>
        <w:tab/>
        <w:t>Comments</w:t>
      </w:r>
    </w:p>
    <w:p w:rsidR="004513D4" w:rsidRDefault="004513D4" w:rsidP="001B6469">
      <w:pPr>
        <w:jc w:val="left"/>
      </w:pPr>
    </w:p>
    <w:p w:rsidR="004513D4" w:rsidRDefault="004513D4" w:rsidP="001B6469">
      <w:pPr>
        <w:jc w:val="left"/>
      </w:pPr>
      <w:r>
        <w:tab/>
      </w:r>
      <w:r w:rsidR="00075230">
        <w:t>PPL recommends</w:t>
      </w:r>
      <w:r>
        <w:t xml:space="preserve"> adding the subscript </w:t>
      </w:r>
      <w:r w:rsidR="00075230">
        <w:t>LED [light-emitting diode]</w:t>
      </w:r>
      <w:r>
        <w:t xml:space="preserve"> to the ENERGY STAR Indoor LED Fixture algorithm. </w:t>
      </w:r>
      <w:r w:rsidR="00075230">
        <w:t xml:space="preserve"> </w:t>
      </w:r>
      <w:r>
        <w:t>Second, PPL reque</w:t>
      </w:r>
      <w:r w:rsidR="00075230">
        <w:t>sts</w:t>
      </w:r>
      <w:r>
        <w:t xml:space="preserve"> cl</w:t>
      </w:r>
      <w:r w:rsidR="00075230">
        <w:t xml:space="preserve">arification on the language </w:t>
      </w:r>
      <w:r>
        <w:t xml:space="preserve">that pertains to bulbs with wattages that fall outside of the EISA regulations guidance </w:t>
      </w:r>
      <w:r w:rsidR="002E190D">
        <w:t>as the</w:t>
      </w:r>
      <w:r>
        <w:t xml:space="preserve"> language may be confused with the directive to use Table 2-3</w:t>
      </w:r>
      <w:r w:rsidR="00075230" w:rsidRPr="00492DF4">
        <w:t xml:space="preserve"> for Specialty Lamps</w:t>
      </w:r>
      <w:r>
        <w:t xml:space="preserve"> for exempt specialty bulbs. </w:t>
      </w:r>
      <w:r w:rsidR="00075230">
        <w:t xml:space="preserve"> Third, </w:t>
      </w:r>
      <w:r>
        <w:t xml:space="preserve">PPL requests clarification on how to treat candelabra bulbs when determining wattage. </w:t>
      </w:r>
      <w:r w:rsidR="00075230">
        <w:t xml:space="preserve"> Lastly, PPL recommends</w:t>
      </w:r>
      <w:r>
        <w:t xml:space="preserve"> updating the source for EISA information.</w:t>
      </w:r>
      <w:r>
        <w:rPr>
          <w:rStyle w:val="FootnoteReference"/>
        </w:rPr>
        <w:footnoteReference w:id="82"/>
      </w:r>
    </w:p>
    <w:p w:rsidR="004513D4" w:rsidRDefault="004513D4" w:rsidP="001B6469">
      <w:pPr>
        <w:jc w:val="left"/>
      </w:pPr>
    </w:p>
    <w:p w:rsidR="002E190D" w:rsidRDefault="004513D4" w:rsidP="001B6469">
      <w:pPr>
        <w:jc w:val="left"/>
      </w:pPr>
      <w:r>
        <w:tab/>
        <w:t>PECO request</w:t>
      </w:r>
      <w:r w:rsidR="00FD321F">
        <w:t>s</w:t>
      </w:r>
      <w:r>
        <w:t xml:space="preserve"> that a source be provided in order to reference the baseline shift in footnote 28. </w:t>
      </w:r>
      <w:r w:rsidR="00FD321F">
        <w:t xml:space="preserve"> </w:t>
      </w:r>
      <w:r w:rsidR="001902A5">
        <w:t>Next, PECO recommends</w:t>
      </w:r>
      <w:r>
        <w:t xml:space="preserve"> that the measure life for an LED be changed from 14.7 to 15 years. </w:t>
      </w:r>
      <w:r w:rsidR="001902A5">
        <w:t xml:space="preserve"> Additionally, PECO proposes</w:t>
      </w:r>
      <w:r>
        <w:t xml:space="preserve"> that the</w:t>
      </w:r>
      <w:r w:rsidR="001902A5">
        <w:t xml:space="preserve"> in-service rate (</w:t>
      </w:r>
      <w:r>
        <w:t>ISR</w:t>
      </w:r>
      <w:r w:rsidR="001902A5">
        <w:t>)</w:t>
      </w:r>
      <w:r>
        <w:t xml:space="preserve"> factor for LED bulbs be independent of the ISR factor for</w:t>
      </w:r>
      <w:r w:rsidR="001902A5">
        <w:t xml:space="preserve"> compact fluorescent light bulbs (</w:t>
      </w:r>
      <w:r>
        <w:t>CFLs</w:t>
      </w:r>
      <w:r w:rsidR="001902A5">
        <w:t>),</w:t>
      </w:r>
      <w:r>
        <w:t xml:space="preserve"> as they are currently similar but will likely be different in future evaluation findings. </w:t>
      </w:r>
      <w:r w:rsidR="001902A5">
        <w:t xml:space="preserve"> </w:t>
      </w:r>
      <w:r>
        <w:t>PECO further recommend</w:t>
      </w:r>
      <w:r w:rsidR="001902A5">
        <w:t>s</w:t>
      </w:r>
      <w:r>
        <w:t xml:space="preserve"> adding a separate ISR for bulbs in direct install programs, as well as bulbs included in giveaway </w:t>
      </w:r>
      <w:r w:rsidR="00A900F6">
        <w:t>kits</w:t>
      </w:r>
      <w:r>
        <w:t xml:space="preserve">. </w:t>
      </w:r>
      <w:r w:rsidR="001902A5">
        <w:t xml:space="preserve"> PECO requests</w:t>
      </w:r>
      <w:r>
        <w:t xml:space="preserve"> </w:t>
      </w:r>
      <w:r w:rsidR="001902A5">
        <w:t>the addition of</w:t>
      </w:r>
      <w:r>
        <w:t xml:space="preserve"> more options</w:t>
      </w:r>
      <w:r w:rsidR="001902A5">
        <w:t>, besides CFLs,</w:t>
      </w:r>
      <w:r>
        <w:t xml:space="preserve"> to the hours of use (HOU) variables available for bulb types and a more </w:t>
      </w:r>
      <w:r>
        <w:lastRenderedPageBreak/>
        <w:t xml:space="preserve">customized designation for each bulb type. </w:t>
      </w:r>
      <w:r w:rsidR="001902A5">
        <w:t xml:space="preserve"> </w:t>
      </w:r>
      <w:r>
        <w:t xml:space="preserve">PECO </w:t>
      </w:r>
      <w:r w:rsidR="001902A5">
        <w:t>suggests</w:t>
      </w:r>
      <w:r>
        <w:t xml:space="preserve"> that an EDC data gathering option be added to the lighting </w:t>
      </w:r>
      <w:r w:rsidR="001902A5">
        <w:t>coincidence factor variable in T</w:t>
      </w:r>
      <w:r>
        <w:t xml:space="preserve">able 2-1 </w:t>
      </w:r>
      <w:r w:rsidR="002E190D">
        <w:t xml:space="preserve">referencing </w:t>
      </w:r>
      <w:r>
        <w:t xml:space="preserve">an internal evaluation of other residential lighting load shapes that </w:t>
      </w:r>
      <w:r w:rsidR="00B50702">
        <w:t>it has</w:t>
      </w:r>
      <w:r>
        <w:t xml:space="preserve"> determined to be more reliable. </w:t>
      </w:r>
      <w:r w:rsidR="00B50702">
        <w:t xml:space="preserve"> </w:t>
      </w:r>
    </w:p>
    <w:p w:rsidR="002E190D" w:rsidRDefault="002E190D" w:rsidP="001B6469">
      <w:pPr>
        <w:jc w:val="left"/>
      </w:pPr>
    </w:p>
    <w:p w:rsidR="004513D4" w:rsidRDefault="00B50702" w:rsidP="00B3731D">
      <w:pPr>
        <w:ind w:firstLine="720"/>
        <w:jc w:val="left"/>
      </w:pPr>
      <w:r>
        <w:t>PECO requests</w:t>
      </w:r>
      <w:r w:rsidR="004513D4">
        <w:t xml:space="preserve"> that language be added to the TRM that explains the assumption of bulb leakage out of the utility territory being equal to leakage into the territory. </w:t>
      </w:r>
      <w:r w:rsidR="00B96CD6">
        <w:t xml:space="preserve"> </w:t>
      </w:r>
      <w:r w:rsidR="004513D4">
        <w:t xml:space="preserve">PECO </w:t>
      </w:r>
      <w:r w:rsidR="00B96CD6">
        <w:t>suggests</w:t>
      </w:r>
      <w:r w:rsidR="004513D4">
        <w:t xml:space="preserve"> that </w:t>
      </w:r>
      <w:r w:rsidR="00B96CD6">
        <w:t>T</w:t>
      </w:r>
      <w:r w:rsidR="004513D4">
        <w:t>able 2-4</w:t>
      </w:r>
      <w:r w:rsidR="00B96CD6">
        <w:t xml:space="preserve"> </w:t>
      </w:r>
      <w:r w:rsidR="004513D4">
        <w:t xml:space="preserve">be updated to a more comprehensive table to include a larger range of wattages and lumens. </w:t>
      </w:r>
      <w:r w:rsidR="00B96CD6">
        <w:t xml:space="preserve"> </w:t>
      </w:r>
      <w:r w:rsidR="004513D4">
        <w:t>PECO submits that the interactive effect</w:t>
      </w:r>
      <w:r w:rsidR="00B96CD6">
        <w:t xml:space="preserve"> (IE)</w:t>
      </w:r>
      <w:r w:rsidR="004513D4">
        <w:t xml:space="preserve"> values in </w:t>
      </w:r>
      <w:r w:rsidR="00B96CD6">
        <w:t>Table</w:t>
      </w:r>
      <w:r w:rsidR="004513D4">
        <w:t xml:space="preserve"> 2-5 and </w:t>
      </w:r>
      <w:r w:rsidR="00B96CD6">
        <w:t xml:space="preserve">Table </w:t>
      </w:r>
      <w:r w:rsidR="004513D4">
        <w:t>2-6 are not as accurate as the recent analysis performed by the evaluator and</w:t>
      </w:r>
      <w:r w:rsidR="003A03BA">
        <w:t xml:space="preserve"> the BEopt simulation software.  Therefore, PECO </w:t>
      </w:r>
      <w:r w:rsidR="004513D4">
        <w:t>request</w:t>
      </w:r>
      <w:r w:rsidR="003A03BA">
        <w:t xml:space="preserve">s </w:t>
      </w:r>
      <w:r w:rsidR="004513D4">
        <w:t>that the tables be updated with these specific IE values.</w:t>
      </w:r>
      <w:r w:rsidR="003A03BA">
        <w:t xml:space="preserve"> </w:t>
      </w:r>
      <w:r w:rsidR="004513D4">
        <w:t xml:space="preserve"> Finally, PECO requests clarification on the discount rate underlying Source 2.</w:t>
      </w:r>
      <w:r w:rsidR="004513D4">
        <w:rPr>
          <w:rStyle w:val="FootnoteReference"/>
        </w:rPr>
        <w:footnoteReference w:id="83"/>
      </w:r>
      <w:r w:rsidR="004513D4">
        <w:t xml:space="preserve"> </w:t>
      </w:r>
    </w:p>
    <w:p w:rsidR="004513D4" w:rsidRDefault="004513D4" w:rsidP="001B6469">
      <w:pPr>
        <w:jc w:val="left"/>
      </w:pPr>
    </w:p>
    <w:p w:rsidR="004513D4" w:rsidRDefault="004513D4" w:rsidP="001B6469">
      <w:pPr>
        <w:jc w:val="left"/>
      </w:pPr>
      <w:r>
        <w:tab/>
        <w:t>FirstEnergy supports the use of unified ISRs</w:t>
      </w:r>
      <w:r w:rsidR="002168E8">
        <w:t xml:space="preserve"> and IEs</w:t>
      </w:r>
      <w:r>
        <w:t xml:space="preserve"> for LED and CFL bulbs. </w:t>
      </w:r>
      <w:r w:rsidR="002168E8">
        <w:t xml:space="preserve"> First</w:t>
      </w:r>
      <w:r>
        <w:t xml:space="preserve">Energy further comments that there are no studies being reviewed by the </w:t>
      </w:r>
      <w:r w:rsidR="002168E8">
        <w:t xml:space="preserve">PEG </w:t>
      </w:r>
      <w:r>
        <w:t>that support different ISRs for LEDs or CFLs.</w:t>
      </w:r>
      <w:r w:rsidR="002168E8">
        <w:t xml:space="preserve">  First</w:t>
      </w:r>
      <w:r>
        <w:t xml:space="preserve">Energy submits that the use of any specific ISR should be supported by an ISR growth curve that accounts for long-term equivalent savings as opposed to the first-year savings with only initial ISRs. </w:t>
      </w:r>
      <w:r w:rsidR="002168E8">
        <w:t xml:space="preserve"> It</w:t>
      </w:r>
      <w:r>
        <w:t xml:space="preserve"> requests that the Commission approve the continued use of the same default ISR based on the premise that there is no supported convention for adapting first-year evaluation findings to long-term equivalents. </w:t>
      </w:r>
      <w:r w:rsidR="002168E8">
        <w:t xml:space="preserve"> </w:t>
      </w:r>
      <w:r>
        <w:t>FirstEnergy recommends that the Commission encourage the use of evaluated results and review the issue for inclusion in the 2016 TRM.</w:t>
      </w:r>
      <w:r>
        <w:rPr>
          <w:rStyle w:val="FootnoteReference"/>
        </w:rPr>
        <w:footnoteReference w:id="84"/>
      </w:r>
    </w:p>
    <w:p w:rsidR="00D571BB" w:rsidRDefault="00D571BB" w:rsidP="001B6469">
      <w:pPr>
        <w:jc w:val="left"/>
      </w:pPr>
    </w:p>
    <w:p w:rsidR="004513D4" w:rsidRDefault="004513D4" w:rsidP="001B6469">
      <w:pPr>
        <w:jc w:val="left"/>
      </w:pPr>
      <w:r>
        <w:tab/>
        <w:t>With regards to PECO</w:t>
      </w:r>
      <w:r w:rsidR="008D2418">
        <w:t>’s request</w:t>
      </w:r>
      <w:r>
        <w:t xml:space="preserve"> that </w:t>
      </w:r>
      <w:r w:rsidR="008D2418">
        <w:t>Table 2-5 and Table 2-6</w:t>
      </w:r>
      <w:r>
        <w:t xml:space="preserve"> be modified to account for PECO-specific i</w:t>
      </w:r>
      <w:r w:rsidR="008D2418">
        <w:t>nteractive effect values, First</w:t>
      </w:r>
      <w:r>
        <w:t>Energy stat</w:t>
      </w:r>
      <w:r w:rsidR="008D2418">
        <w:t>es</w:t>
      </w:r>
      <w:r>
        <w:t xml:space="preserve"> that the use of </w:t>
      </w:r>
      <w:r>
        <w:lastRenderedPageBreak/>
        <w:t xml:space="preserve">REM/Rate modeling is </w:t>
      </w:r>
      <w:r w:rsidR="008D2418">
        <w:t>insufficient for</w:t>
      </w:r>
      <w:r>
        <w:t xml:space="preserve"> use as a basis for supporting th</w:t>
      </w:r>
      <w:r w:rsidR="008D2418">
        <w:t>os</w:t>
      </w:r>
      <w:r>
        <w:t xml:space="preserve">e </w:t>
      </w:r>
      <w:r w:rsidR="008D2418">
        <w:t>tables</w:t>
      </w:r>
      <w:r>
        <w:t xml:space="preserve"> containing EDC</w:t>
      </w:r>
      <w:r w:rsidR="008D2418">
        <w:t>-</w:t>
      </w:r>
      <w:r>
        <w:t>specific values.</w:t>
      </w:r>
      <w:r w:rsidR="008D2418">
        <w:t xml:space="preserve">  First</w:t>
      </w:r>
      <w:r>
        <w:t xml:space="preserve">Energy recommends common variables be used for the </w:t>
      </w:r>
      <w:r w:rsidR="008D2418">
        <w:t>IEs</w:t>
      </w:r>
      <w:r>
        <w:t xml:space="preserve"> and demand effects expressed in the algorithms.</w:t>
      </w:r>
      <w:r>
        <w:rPr>
          <w:rStyle w:val="FootnoteReference"/>
        </w:rPr>
        <w:footnoteReference w:id="85"/>
      </w:r>
    </w:p>
    <w:p w:rsidR="00BB450B" w:rsidRDefault="00BB450B" w:rsidP="001B6469">
      <w:pPr>
        <w:jc w:val="left"/>
      </w:pPr>
    </w:p>
    <w:p w:rsidR="004513D4" w:rsidRDefault="004513D4" w:rsidP="001B6469">
      <w:pPr>
        <w:jc w:val="left"/>
        <w:rPr>
          <w:b/>
          <w:szCs w:val="26"/>
        </w:rPr>
      </w:pPr>
      <w:r>
        <w:rPr>
          <w:szCs w:val="26"/>
        </w:rPr>
        <w:tab/>
      </w:r>
      <w:r>
        <w:rPr>
          <w:szCs w:val="26"/>
        </w:rPr>
        <w:tab/>
      </w:r>
      <w:r w:rsidR="008D2418">
        <w:rPr>
          <w:b/>
          <w:szCs w:val="26"/>
        </w:rPr>
        <w:t>b</w:t>
      </w:r>
      <w:r>
        <w:rPr>
          <w:b/>
          <w:szCs w:val="26"/>
        </w:rPr>
        <w:t>.</w:t>
      </w:r>
      <w:r>
        <w:rPr>
          <w:b/>
          <w:szCs w:val="26"/>
        </w:rPr>
        <w:tab/>
        <w:t>Disposition</w:t>
      </w:r>
    </w:p>
    <w:p w:rsidR="004513D4" w:rsidRPr="00BC7E3B" w:rsidRDefault="004513D4" w:rsidP="001B6469">
      <w:pPr>
        <w:jc w:val="left"/>
        <w:rPr>
          <w:szCs w:val="26"/>
        </w:rPr>
      </w:pPr>
    </w:p>
    <w:p w:rsidR="00186F18" w:rsidRDefault="004513D4" w:rsidP="001B6469">
      <w:pPr>
        <w:jc w:val="left"/>
      </w:pPr>
      <w:r>
        <w:tab/>
      </w:r>
      <w:r w:rsidR="007601D9">
        <w:t>The</w:t>
      </w:r>
      <w:r>
        <w:t xml:space="preserve"> Commission would like to clarify that the</w:t>
      </w:r>
      <w:r w:rsidR="00186F18">
        <w:t xml:space="preserve"> manufacturer-</w:t>
      </w:r>
      <w:r w:rsidRPr="00F50214">
        <w:t>rated equivalent sho</w:t>
      </w:r>
      <w:r w:rsidR="00186F18">
        <w:t>uld be the same as column C in T</w:t>
      </w:r>
      <w:r w:rsidRPr="00F50214">
        <w:t xml:space="preserve">able 2-3 for exempt specialty bulbs. </w:t>
      </w:r>
      <w:r w:rsidR="00186F18">
        <w:t xml:space="preserve"> </w:t>
      </w:r>
      <w:r>
        <w:t>The EDC</w:t>
      </w:r>
      <w:r w:rsidRPr="00F50214">
        <w:t xml:space="preserve"> can either find the manufacturer wattage on the bulb package </w:t>
      </w:r>
      <w:r w:rsidR="00186F18">
        <w:t>or use the</w:t>
      </w:r>
      <w:r w:rsidRPr="00F50214">
        <w:t xml:space="preserve"> chart</w:t>
      </w:r>
      <w:r>
        <w:t xml:space="preserve"> in </w:t>
      </w:r>
      <w:r w:rsidR="00186F18">
        <w:t>Table 2-3</w:t>
      </w:r>
      <w:r w:rsidRPr="00F50214">
        <w:t xml:space="preserve">. </w:t>
      </w:r>
      <w:r w:rsidR="00186F18">
        <w:t xml:space="preserve"> </w:t>
      </w:r>
      <w:r w:rsidRPr="00F50214">
        <w:t xml:space="preserve">The </w:t>
      </w:r>
      <w:r w:rsidR="00C15426">
        <w:t xml:space="preserve">Table 2-3 </w:t>
      </w:r>
      <w:r w:rsidRPr="00F50214">
        <w:t>chart</w:t>
      </w:r>
      <w:r w:rsidR="00186F18">
        <w:t xml:space="preserve"> was taken from the ENERGY STAR-</w:t>
      </w:r>
      <w:r w:rsidRPr="00F50214">
        <w:t>required ma</w:t>
      </w:r>
      <w:r w:rsidR="00186F18">
        <w:t>nufacturer-</w:t>
      </w:r>
      <w:r w:rsidRPr="00F50214">
        <w:t>rated equivalent values and</w:t>
      </w:r>
      <w:r w:rsidR="00186F18">
        <w:t>,</w:t>
      </w:r>
      <w:r w:rsidRPr="00F50214">
        <w:t xml:space="preserve"> therefore</w:t>
      </w:r>
      <w:r w:rsidR="00186F18">
        <w:t>,</w:t>
      </w:r>
      <w:r w:rsidRPr="00F50214">
        <w:t xml:space="preserve"> should be the same as what is </w:t>
      </w:r>
      <w:r>
        <w:t xml:space="preserve">listed on the package for these bulbs. </w:t>
      </w:r>
      <w:r w:rsidR="00186F18">
        <w:t xml:space="preserve"> </w:t>
      </w:r>
    </w:p>
    <w:p w:rsidR="00186F18" w:rsidRDefault="00186F18" w:rsidP="001B6469">
      <w:pPr>
        <w:jc w:val="left"/>
      </w:pPr>
    </w:p>
    <w:p w:rsidR="004513D4" w:rsidRDefault="00186F18" w:rsidP="001B6469">
      <w:pPr>
        <w:jc w:val="left"/>
      </w:pPr>
      <w:r>
        <w:tab/>
        <w:t>Regarding PPL’s request for</w:t>
      </w:r>
      <w:r w:rsidR="004513D4">
        <w:t xml:space="preserve"> classification of the candelabra bulb, the Commission will clarify in footnote 34 that the charts are based on bulb shape and that the candelabra is classified as a general service bulb. </w:t>
      </w:r>
      <w:r>
        <w:t xml:space="preserve"> Additionally</w:t>
      </w:r>
      <w:r w:rsidR="004513D4">
        <w:t xml:space="preserve">, the Commission </w:t>
      </w:r>
      <w:r>
        <w:t>has updated</w:t>
      </w:r>
      <w:r w:rsidR="004513D4">
        <w:t xml:space="preserve"> the source link for EISA 2007 information in the TRM. </w:t>
      </w:r>
    </w:p>
    <w:p w:rsidR="004513D4" w:rsidRDefault="004513D4" w:rsidP="001B6469">
      <w:pPr>
        <w:jc w:val="left"/>
      </w:pPr>
    </w:p>
    <w:p w:rsidR="00186F18" w:rsidRDefault="00186F18">
      <w:pPr>
        <w:jc w:val="left"/>
      </w:pPr>
      <w:r>
        <w:tab/>
        <w:t xml:space="preserve">The </w:t>
      </w:r>
      <w:r w:rsidR="004513D4">
        <w:t>Commission agrees</w:t>
      </w:r>
      <w:r>
        <w:t xml:space="preserve"> with PECO’s request</w:t>
      </w:r>
      <w:r w:rsidR="004513D4">
        <w:t xml:space="preserve"> to add</w:t>
      </w:r>
      <w:r>
        <w:t xml:space="preserve"> to footnote 28</w:t>
      </w:r>
      <w:r w:rsidR="004513D4">
        <w:t xml:space="preserve"> background information on the baseline shift as well as adjust the measure life for an LED up to 15 years.</w:t>
      </w:r>
      <w:r>
        <w:t xml:space="preserve">  </w:t>
      </w:r>
      <w:r w:rsidR="004513D4">
        <w:t>Co</w:t>
      </w:r>
      <w:r>
        <w:t>ncerning PECO’s request to add</w:t>
      </w:r>
      <w:r w:rsidR="004513D4">
        <w:t xml:space="preserve"> a separate ISR for direct install programs, the Commission directs the EDC</w:t>
      </w:r>
      <w:r>
        <w:t>s</w:t>
      </w:r>
      <w:r w:rsidR="004513D4">
        <w:t xml:space="preserve"> to footnote 32 that reinforces the option of data gathering for direct install, giveaway and efficiency kits. </w:t>
      </w:r>
      <w:r>
        <w:t xml:space="preserve"> </w:t>
      </w:r>
    </w:p>
    <w:p w:rsidR="00186F18" w:rsidRDefault="00186F18" w:rsidP="001B6469">
      <w:pPr>
        <w:jc w:val="left"/>
      </w:pPr>
    </w:p>
    <w:p w:rsidR="004513D4" w:rsidRDefault="00186F18" w:rsidP="001B6469">
      <w:pPr>
        <w:jc w:val="left"/>
      </w:pPr>
      <w:r>
        <w:tab/>
        <w:t xml:space="preserve">The </w:t>
      </w:r>
      <w:r w:rsidR="004513D4">
        <w:t xml:space="preserve">Commission rejects </w:t>
      </w:r>
      <w:r>
        <w:t>PECO’s</w:t>
      </w:r>
      <w:r w:rsidR="004513D4">
        <w:t xml:space="preserve"> request to allow for EDC data gathering </w:t>
      </w:r>
      <w:r>
        <w:t xml:space="preserve">for the CF </w:t>
      </w:r>
      <w:r w:rsidR="004513D4">
        <w:t xml:space="preserve">and further clarifies that the new </w:t>
      </w:r>
      <w:r>
        <w:t>CF</w:t>
      </w:r>
      <w:r w:rsidR="004513D4">
        <w:t xml:space="preserve"> is based on the new peak PJM d</w:t>
      </w:r>
      <w:r>
        <w:t>efinition as designated in the Section 1.</w:t>
      </w:r>
      <w:r w:rsidR="004513D4">
        <w:t>3</w:t>
      </w:r>
      <w:r>
        <w:t xml:space="preserve"> – Definitions of the TRM.  I</w:t>
      </w:r>
      <w:r w:rsidR="004513D4" w:rsidRPr="00B0602F">
        <w:t xml:space="preserve">n response to the request to </w:t>
      </w:r>
      <w:r w:rsidR="004513D4" w:rsidRPr="00B0602F">
        <w:lastRenderedPageBreak/>
        <w:t xml:space="preserve">modify the </w:t>
      </w:r>
      <w:r>
        <w:t>HOU</w:t>
      </w:r>
      <w:r w:rsidR="004513D4" w:rsidRPr="00B0602F">
        <w:t xml:space="preserve"> definitions, the HOU</w:t>
      </w:r>
      <w:r w:rsidR="00C15426">
        <w:t>s</w:t>
      </w:r>
      <w:r w:rsidR="004513D4" w:rsidRPr="00B0602F">
        <w:t xml:space="preserve"> for the 2015 TRM have consistent values for LEDs and CFLs, </w:t>
      </w:r>
      <w:r w:rsidR="004513D4">
        <w:t xml:space="preserve">so the Commission </w:t>
      </w:r>
      <w:r w:rsidR="004513D4" w:rsidRPr="00B0602F">
        <w:t xml:space="preserve">will </w:t>
      </w:r>
      <w:r w:rsidR="004513D4">
        <w:t xml:space="preserve">modify </w:t>
      </w:r>
      <w:r w:rsidR="004513D4" w:rsidRPr="00B0602F">
        <w:t>this variable to HOU-</w:t>
      </w:r>
      <w:r w:rsidR="004513D4" w:rsidRPr="00126500">
        <w:rPr>
          <w:vertAlign w:val="subscript"/>
        </w:rPr>
        <w:t>EFFBULB</w:t>
      </w:r>
      <w:r w:rsidR="004513D4" w:rsidRPr="00B0602F">
        <w:t>.</w:t>
      </w:r>
      <w:r w:rsidR="004513D4">
        <w:t xml:space="preserve"> </w:t>
      </w:r>
      <w:r w:rsidR="00667B2F">
        <w:t xml:space="preserve"> </w:t>
      </w:r>
      <w:r w:rsidR="004513D4" w:rsidRPr="00B0602F">
        <w:t>Ho</w:t>
      </w:r>
      <w:r w:rsidR="004513D4">
        <w:t>wever, as LEDs gain more promine</w:t>
      </w:r>
      <w:r w:rsidR="004513D4" w:rsidRPr="00B0602F">
        <w:t>nce among</w:t>
      </w:r>
      <w:r w:rsidR="004513D4">
        <w:t xml:space="preserve"> EDC programs and additional re</w:t>
      </w:r>
      <w:r w:rsidR="004513D4" w:rsidRPr="00B0602F">
        <w:t>search is conducted on this technology, future TRMs may include differing values for LED and CF</w:t>
      </w:r>
      <w:r w:rsidR="004513D4">
        <w:t xml:space="preserve">L technologies. </w:t>
      </w:r>
      <w:r w:rsidR="00667B2F">
        <w:t xml:space="preserve"> </w:t>
      </w:r>
      <w:r w:rsidR="004513D4">
        <w:t>Additionally, the Commission has</w:t>
      </w:r>
      <w:r w:rsidR="004513D4" w:rsidRPr="00B0602F">
        <w:t xml:space="preserve"> chan</w:t>
      </w:r>
      <w:r w:rsidR="00667B2F">
        <w:t>ged the HOU variables to be HOU</w:t>
      </w:r>
      <w:r w:rsidR="001777B3">
        <w:t xml:space="preserve"> with a subscript for the technology</w:t>
      </w:r>
      <w:r w:rsidR="004513D4" w:rsidRPr="00B0602F">
        <w:t xml:space="preserve">, </w:t>
      </w:r>
      <w:r w:rsidR="004513D4">
        <w:t>as recommended</w:t>
      </w:r>
      <w:r w:rsidR="004513D4" w:rsidRPr="00B0602F">
        <w:t>.</w:t>
      </w:r>
    </w:p>
    <w:p w:rsidR="00A3244B" w:rsidRDefault="00A3244B" w:rsidP="001B6469">
      <w:pPr>
        <w:jc w:val="left"/>
      </w:pPr>
    </w:p>
    <w:p w:rsidR="004513D4" w:rsidRDefault="0080448E" w:rsidP="001B6469">
      <w:pPr>
        <w:ind w:firstLine="720"/>
        <w:jc w:val="left"/>
      </w:pPr>
      <w:r>
        <w:t>The</w:t>
      </w:r>
      <w:r w:rsidR="004513D4">
        <w:t xml:space="preserve"> Commission reject</w:t>
      </w:r>
      <w:r>
        <w:t>s the proposed modification to T</w:t>
      </w:r>
      <w:r w:rsidR="004513D4">
        <w:t>able 2-4 as t</w:t>
      </w:r>
      <w:r w:rsidR="004513D4" w:rsidRPr="005637B4">
        <w:t>he tables provided are consistent with the E</w:t>
      </w:r>
      <w:r w:rsidR="004513D4">
        <w:t>NERG</w:t>
      </w:r>
      <w:r>
        <w:t>Y</w:t>
      </w:r>
      <w:r w:rsidR="004513D4">
        <w:t xml:space="preserve"> STAR</w:t>
      </w:r>
      <w:r>
        <w:t>-</w:t>
      </w:r>
      <w:r w:rsidR="004513D4" w:rsidRPr="005637B4">
        <w:t>mandated equivalent wattages, which are</w:t>
      </w:r>
      <w:r w:rsidR="004513D4">
        <w:t xml:space="preserve"> required to be advertised on the</w:t>
      </w:r>
      <w:r w:rsidR="004513D4" w:rsidRPr="005637B4">
        <w:t xml:space="preserve"> bulb packages. </w:t>
      </w:r>
      <w:r>
        <w:t xml:space="preserve"> </w:t>
      </w:r>
      <w:r w:rsidR="004513D4" w:rsidRPr="005637B4">
        <w:t xml:space="preserve">We </w:t>
      </w:r>
      <w:r>
        <w:t>believe that</w:t>
      </w:r>
      <w:r w:rsidR="004513D4" w:rsidRPr="005637B4">
        <w:t xml:space="preserve"> this is the information that customers will use to compare new technologies to legacy incandescent technologies and</w:t>
      </w:r>
      <w:r>
        <w:t>,</w:t>
      </w:r>
      <w:r w:rsidR="004513D4" w:rsidRPr="005637B4">
        <w:t xml:space="preserve"> therefore</w:t>
      </w:r>
      <w:r>
        <w:t>,</w:t>
      </w:r>
      <w:r w:rsidR="004513D4" w:rsidRPr="005637B4">
        <w:t xml:space="preserve"> the best bins to establish baseline wattages. </w:t>
      </w:r>
      <w:r>
        <w:t xml:space="preserve"> </w:t>
      </w:r>
      <w:r w:rsidR="004513D4" w:rsidRPr="005637B4">
        <w:t xml:space="preserve">Bulbs outside of these </w:t>
      </w:r>
      <w:r>
        <w:t>ranges can use the manufacturer-</w:t>
      </w:r>
      <w:r w:rsidR="004513D4" w:rsidRPr="005637B4">
        <w:t>equivalent wattage.</w:t>
      </w:r>
      <w:r>
        <w:t xml:space="preserve"> </w:t>
      </w:r>
      <w:r w:rsidR="004513D4" w:rsidRPr="005637B4">
        <w:t xml:space="preserve"> We do agree, however, that the reflector categories and baseline wattages are changing rapidly as new products come on the market</w:t>
      </w:r>
      <w:r>
        <w:t xml:space="preserve">.  As such, we direct the SWE to monitor such changes and provide recommendations, as necessary, during </w:t>
      </w:r>
      <w:r w:rsidR="00C15426">
        <w:t>future</w:t>
      </w:r>
      <w:r>
        <w:t xml:space="preserve"> TRM update</w:t>
      </w:r>
      <w:r w:rsidR="00C15426">
        <w:t>s</w:t>
      </w:r>
      <w:r>
        <w:t>.</w:t>
      </w:r>
      <w:r w:rsidR="00425331">
        <w:t xml:space="preserve"> </w:t>
      </w:r>
      <w:r w:rsidR="00425331" w:rsidRPr="00425331">
        <w:rPr>
          <w:szCs w:val="26"/>
        </w:rPr>
        <w:t xml:space="preserve"> </w:t>
      </w:r>
      <w:r w:rsidR="00425331">
        <w:rPr>
          <w:szCs w:val="26"/>
        </w:rPr>
        <w:t>If it deems it appropriate, the SWE</w:t>
      </w:r>
      <w:r w:rsidR="002A1F37">
        <w:rPr>
          <w:szCs w:val="26"/>
        </w:rPr>
        <w:t xml:space="preserve"> </w:t>
      </w:r>
      <w:r w:rsidR="00425331">
        <w:rPr>
          <w:szCs w:val="26"/>
        </w:rPr>
        <w:t>may collaborate with the PEG</w:t>
      </w:r>
      <w:r w:rsidR="002A1F37">
        <w:rPr>
          <w:szCs w:val="26"/>
        </w:rPr>
        <w:t xml:space="preserve"> to develop recommendations</w:t>
      </w:r>
      <w:r w:rsidR="00425331">
        <w:rPr>
          <w:szCs w:val="26"/>
        </w:rPr>
        <w:t>.</w:t>
      </w:r>
    </w:p>
    <w:p w:rsidR="00D571BB" w:rsidRDefault="00D571BB" w:rsidP="001B6469">
      <w:pPr>
        <w:ind w:firstLine="720"/>
        <w:jc w:val="left"/>
      </w:pPr>
    </w:p>
    <w:p w:rsidR="004513D4" w:rsidRDefault="004513D4" w:rsidP="001B6469">
      <w:pPr>
        <w:jc w:val="left"/>
      </w:pPr>
      <w:r>
        <w:tab/>
        <w:t xml:space="preserve">With regards to the modifications proposed </w:t>
      </w:r>
      <w:r w:rsidR="00180706">
        <w:t>for Table 2-5 and Table 2-6</w:t>
      </w:r>
      <w:r>
        <w:t xml:space="preserve">, the Commission accepts the values submitted by PECO for the </w:t>
      </w:r>
      <w:r w:rsidR="00180706">
        <w:t>IEs</w:t>
      </w:r>
      <w:r>
        <w:t xml:space="preserve"> and has adjusted </w:t>
      </w:r>
      <w:r w:rsidR="00180706">
        <w:t>Table 2-5 and removed</w:t>
      </w:r>
      <w:r>
        <w:t xml:space="preserve"> </w:t>
      </w:r>
      <w:r w:rsidR="00180706">
        <w:t>Table 2-6</w:t>
      </w:r>
      <w:r>
        <w:t xml:space="preserve">. </w:t>
      </w:r>
    </w:p>
    <w:p w:rsidR="004513D4" w:rsidRDefault="004513D4" w:rsidP="001B6469">
      <w:pPr>
        <w:jc w:val="left"/>
      </w:pPr>
    </w:p>
    <w:p w:rsidR="004513D4" w:rsidRPr="002E4D7D" w:rsidRDefault="004513D4" w:rsidP="001B6469">
      <w:pPr>
        <w:jc w:val="left"/>
      </w:pPr>
      <w:r>
        <w:tab/>
        <w:t>The Commission agrees with FirstEnergy that further research is needed to a</w:t>
      </w:r>
      <w:r w:rsidR="00BA3293">
        <w:t xml:space="preserve">dapt a first year ISR to a long-term ISR.  Therefore, we direct the SWE to examine this issue and provide recommendations, as necessary, during the 2016 TRM update. </w:t>
      </w:r>
      <w:r>
        <w:t xml:space="preserve"> </w:t>
      </w:r>
      <w:r w:rsidR="00425331">
        <w:rPr>
          <w:szCs w:val="26"/>
        </w:rPr>
        <w:t xml:space="preserve">If it deems it appropriate, the SWE may collaborate with the PEG.  </w:t>
      </w:r>
      <w:r w:rsidRPr="00664F45">
        <w:t>Because the ISR and IE for the 2015 TRM have consistent values for LEDs and CFLs, we will change this variable to ISR-</w:t>
      </w:r>
      <w:r w:rsidRPr="00126500">
        <w:rPr>
          <w:vertAlign w:val="subscript"/>
        </w:rPr>
        <w:t>EFFBULB</w:t>
      </w:r>
      <w:r w:rsidRPr="00664F45">
        <w:t xml:space="preserve"> and IE</w:t>
      </w:r>
      <w:r w:rsidRPr="00126500">
        <w:rPr>
          <w:vertAlign w:val="subscript"/>
        </w:rPr>
        <w:t>EFFBULB</w:t>
      </w:r>
      <w:r w:rsidRPr="00664F45">
        <w:t>.</w:t>
      </w:r>
      <w:r>
        <w:t xml:space="preserve"> </w:t>
      </w:r>
      <w:r w:rsidR="00BA3293">
        <w:t xml:space="preserve"> </w:t>
      </w:r>
      <w:r w:rsidRPr="00664F45">
        <w:t>Ho</w:t>
      </w:r>
      <w:r w:rsidR="00BA3293">
        <w:t>wever, a</w:t>
      </w:r>
      <w:r>
        <w:t>s LEDs gain more promine</w:t>
      </w:r>
      <w:r w:rsidRPr="00664F45">
        <w:t>nce among</w:t>
      </w:r>
      <w:r>
        <w:t xml:space="preserve"> EDC programs and additional re</w:t>
      </w:r>
      <w:r w:rsidRPr="00664F45">
        <w:t xml:space="preserve">search is conducted on this technology, future TRMs may </w:t>
      </w:r>
      <w:r w:rsidRPr="00664F45">
        <w:lastRenderedPageBreak/>
        <w:t xml:space="preserve">include differing values for LED and CFL technologies. </w:t>
      </w:r>
      <w:r w:rsidR="00BA3293">
        <w:t xml:space="preserve"> We would like to n</w:t>
      </w:r>
      <w:r w:rsidRPr="00664F45">
        <w:t>ote that the ISR is not an open variable for upstream delivery mechanisms.</w:t>
      </w:r>
    </w:p>
    <w:p w:rsidR="00BB450B" w:rsidRPr="002E4D7D" w:rsidRDefault="00BB450B" w:rsidP="001B6469">
      <w:pPr>
        <w:jc w:val="left"/>
      </w:pPr>
    </w:p>
    <w:p w:rsidR="004513D4" w:rsidRDefault="004513D4" w:rsidP="001B6469">
      <w:pPr>
        <w:pStyle w:val="Heading3"/>
        <w:numPr>
          <w:ilvl w:val="0"/>
          <w:numId w:val="17"/>
        </w:numPr>
        <w:ind w:left="720" w:firstLine="0"/>
      </w:pPr>
      <w:bookmarkStart w:id="98" w:name="_Toc405802389"/>
      <w:bookmarkStart w:id="99" w:name="_Toc405884719"/>
      <w:r w:rsidRPr="00027C18">
        <w:t>Section 2.1.2 – Residential Occupancy Sensors</w:t>
      </w:r>
      <w:r w:rsidR="00B04FF3" w:rsidRPr="00AB23EB">
        <w:rPr>
          <w:rStyle w:val="FootnoteReference"/>
          <w:b w:val="0"/>
        </w:rPr>
        <w:footnoteReference w:id="86"/>
      </w:r>
      <w:bookmarkEnd w:id="98"/>
      <w:bookmarkEnd w:id="99"/>
    </w:p>
    <w:p w:rsidR="004513D4" w:rsidRDefault="004513D4" w:rsidP="001B6469">
      <w:pPr>
        <w:jc w:val="left"/>
      </w:pPr>
    </w:p>
    <w:p w:rsidR="00AB23EB" w:rsidRDefault="008A151D" w:rsidP="00AB23EB">
      <w:pPr>
        <w:ind w:firstLine="720"/>
        <w:jc w:val="left"/>
        <w:rPr>
          <w:szCs w:val="26"/>
        </w:rPr>
      </w:pPr>
      <w:r>
        <w:rPr>
          <w:szCs w:val="26"/>
        </w:rPr>
        <w:t>The Commission did not propose</w:t>
      </w:r>
      <w:r w:rsidR="004513D4">
        <w:rPr>
          <w:szCs w:val="26"/>
        </w:rPr>
        <w:t xml:space="preserve"> modifications to the Residential Occupancy Sensor measure. </w:t>
      </w:r>
      <w:r w:rsidR="00AB23EB">
        <w:rPr>
          <w:szCs w:val="26"/>
        </w:rPr>
        <w:t xml:space="preserve"> </w:t>
      </w:r>
      <w:r w:rsidR="004513D4">
        <w:rPr>
          <w:szCs w:val="26"/>
        </w:rPr>
        <w:t>However, comments were received and are addres</w:t>
      </w:r>
      <w:r w:rsidR="00AB23EB">
        <w:rPr>
          <w:szCs w:val="26"/>
        </w:rPr>
        <w:t>sed below.</w:t>
      </w:r>
    </w:p>
    <w:p w:rsidR="00AB23EB" w:rsidRDefault="00AB23EB" w:rsidP="00AB23EB">
      <w:pPr>
        <w:ind w:firstLine="720"/>
        <w:jc w:val="left"/>
        <w:rPr>
          <w:szCs w:val="26"/>
        </w:rPr>
      </w:pPr>
    </w:p>
    <w:p w:rsidR="004513D4" w:rsidRDefault="00AB23EB" w:rsidP="00AB23EB">
      <w:pPr>
        <w:ind w:firstLine="720"/>
        <w:jc w:val="left"/>
        <w:rPr>
          <w:szCs w:val="26"/>
        </w:rPr>
      </w:pPr>
      <w:r>
        <w:rPr>
          <w:szCs w:val="26"/>
        </w:rPr>
        <w:tab/>
      </w:r>
      <w:r>
        <w:rPr>
          <w:b/>
          <w:szCs w:val="26"/>
        </w:rPr>
        <w:t>a</w:t>
      </w:r>
      <w:r w:rsidR="004513D4">
        <w:rPr>
          <w:b/>
          <w:szCs w:val="26"/>
        </w:rPr>
        <w:t>.</w:t>
      </w:r>
      <w:r w:rsidR="004513D4">
        <w:rPr>
          <w:b/>
          <w:szCs w:val="26"/>
        </w:rPr>
        <w:tab/>
        <w:t>Comments</w:t>
      </w:r>
    </w:p>
    <w:p w:rsidR="004513D4" w:rsidRDefault="004513D4" w:rsidP="001B6469">
      <w:pPr>
        <w:ind w:firstLine="720"/>
        <w:jc w:val="left"/>
        <w:rPr>
          <w:szCs w:val="26"/>
        </w:rPr>
      </w:pPr>
    </w:p>
    <w:p w:rsidR="004513D4" w:rsidRDefault="00AB23EB" w:rsidP="001B6469">
      <w:pPr>
        <w:ind w:firstLine="720"/>
        <w:jc w:val="left"/>
        <w:rPr>
          <w:szCs w:val="26"/>
        </w:rPr>
      </w:pPr>
      <w:r>
        <w:rPr>
          <w:szCs w:val="26"/>
        </w:rPr>
        <w:t>PECO comments</w:t>
      </w:r>
      <w:r w:rsidR="004513D4">
        <w:rPr>
          <w:szCs w:val="26"/>
        </w:rPr>
        <w:t xml:space="preserve"> that the </w:t>
      </w:r>
      <w:r>
        <w:rPr>
          <w:szCs w:val="26"/>
        </w:rPr>
        <w:t>IE</w:t>
      </w:r>
      <w:r w:rsidR="004513D4">
        <w:rPr>
          <w:szCs w:val="26"/>
        </w:rPr>
        <w:t xml:space="preserve"> factor used in </w:t>
      </w:r>
      <w:r>
        <w:rPr>
          <w:szCs w:val="26"/>
        </w:rPr>
        <w:t>Section 2.1.1 – ENERG</w:t>
      </w:r>
      <w:r w:rsidR="004513D4">
        <w:rPr>
          <w:szCs w:val="26"/>
        </w:rPr>
        <w:t>Y STAR Lighting should be included in the savings algorithms for t</w:t>
      </w:r>
      <w:r>
        <w:rPr>
          <w:szCs w:val="26"/>
        </w:rPr>
        <w:t>his measure</w:t>
      </w:r>
      <w:r w:rsidR="004513D4">
        <w:rPr>
          <w:szCs w:val="26"/>
        </w:rPr>
        <w:t>.</w:t>
      </w:r>
      <w:r w:rsidR="004513D4">
        <w:rPr>
          <w:rStyle w:val="FootnoteReference"/>
          <w:szCs w:val="26"/>
        </w:rPr>
        <w:footnoteReference w:id="87"/>
      </w:r>
    </w:p>
    <w:p w:rsidR="004513D4" w:rsidRDefault="004513D4" w:rsidP="001B6469">
      <w:pPr>
        <w:ind w:firstLine="720"/>
        <w:jc w:val="left"/>
        <w:rPr>
          <w:szCs w:val="26"/>
        </w:rPr>
      </w:pPr>
    </w:p>
    <w:p w:rsidR="004513D4" w:rsidRDefault="00AB23EB" w:rsidP="001B6469">
      <w:pPr>
        <w:ind w:firstLine="720"/>
        <w:jc w:val="left"/>
        <w:rPr>
          <w:szCs w:val="26"/>
        </w:rPr>
      </w:pPr>
      <w:r>
        <w:rPr>
          <w:szCs w:val="26"/>
        </w:rPr>
        <w:tab/>
      </w:r>
      <w:r>
        <w:rPr>
          <w:b/>
          <w:szCs w:val="26"/>
        </w:rPr>
        <w:t>b</w:t>
      </w:r>
      <w:r w:rsidR="004513D4">
        <w:rPr>
          <w:b/>
          <w:szCs w:val="26"/>
        </w:rPr>
        <w:t>.</w:t>
      </w:r>
      <w:r w:rsidR="004513D4">
        <w:rPr>
          <w:b/>
          <w:szCs w:val="26"/>
        </w:rPr>
        <w:tab/>
        <w:t>Disposition</w:t>
      </w:r>
    </w:p>
    <w:p w:rsidR="004513D4" w:rsidRDefault="004513D4" w:rsidP="001B6469">
      <w:pPr>
        <w:jc w:val="left"/>
      </w:pPr>
    </w:p>
    <w:p w:rsidR="004513D4" w:rsidRDefault="004513D4" w:rsidP="001B6469">
      <w:pPr>
        <w:jc w:val="left"/>
      </w:pPr>
      <w:r>
        <w:tab/>
        <w:t>The Commission rejects the proposed modification to the measure as a</w:t>
      </w:r>
      <w:r w:rsidRPr="00311B8F">
        <w:t xml:space="preserve">ny </w:t>
      </w:r>
      <w:r w:rsidR="006D6AAF">
        <w:t>IEs</w:t>
      </w:r>
      <w:r w:rsidRPr="00311B8F">
        <w:t xml:space="preserve"> due to occupancy sensors are from reduced hours, not reduced wattage, and would require assumptions regarding the reduced wattage. </w:t>
      </w:r>
      <w:r w:rsidR="006D6AAF">
        <w:t xml:space="preserve"> </w:t>
      </w:r>
      <w:r w:rsidRPr="00311B8F">
        <w:t>Given the uncertainty regarding the reduced wattage</w:t>
      </w:r>
      <w:r>
        <w:t>,</w:t>
      </w:r>
      <w:r w:rsidRPr="00311B8F">
        <w:t xml:space="preserve"> </w:t>
      </w:r>
      <w:r w:rsidR="006D6AAF">
        <w:t>IEs</w:t>
      </w:r>
      <w:r w:rsidRPr="00311B8F">
        <w:t xml:space="preserve"> for occupancy sensors has not been included.</w:t>
      </w:r>
    </w:p>
    <w:p w:rsidR="00B119EF" w:rsidRDefault="00B119EF" w:rsidP="00B119EF">
      <w:pPr>
        <w:pStyle w:val="Heading3"/>
        <w:numPr>
          <w:ilvl w:val="0"/>
          <w:numId w:val="0"/>
        </w:numPr>
        <w:ind w:left="1260"/>
        <w:rPr>
          <w:b w:val="0"/>
          <w:szCs w:val="20"/>
        </w:rPr>
      </w:pPr>
    </w:p>
    <w:p w:rsidR="00A3244B" w:rsidRDefault="00A3244B">
      <w:pPr>
        <w:overflowPunct/>
        <w:autoSpaceDE/>
        <w:autoSpaceDN/>
        <w:adjustRightInd/>
        <w:spacing w:line="240" w:lineRule="auto"/>
        <w:jc w:val="left"/>
        <w:rPr>
          <w:b/>
        </w:rPr>
      </w:pPr>
      <w:bookmarkStart w:id="100" w:name="_Toc405802390"/>
      <w:bookmarkStart w:id="101" w:name="_Toc405884720"/>
      <w:r>
        <w:br w:type="page"/>
      </w:r>
    </w:p>
    <w:p w:rsidR="004513D4" w:rsidRDefault="00B119EF" w:rsidP="00B119EF">
      <w:pPr>
        <w:pStyle w:val="Heading3"/>
        <w:numPr>
          <w:ilvl w:val="0"/>
          <w:numId w:val="0"/>
        </w:numPr>
        <w:ind w:left="1260" w:hanging="540"/>
      </w:pPr>
      <w:r>
        <w:rPr>
          <w:szCs w:val="20"/>
        </w:rPr>
        <w:lastRenderedPageBreak/>
        <w:t>3.</w:t>
      </w:r>
      <w:r>
        <w:rPr>
          <w:szCs w:val="20"/>
        </w:rPr>
        <w:tab/>
      </w:r>
      <w:r w:rsidR="004513D4" w:rsidRPr="005C3374">
        <w:t>Section 2.1.3 – Electroluminescent Nightlight</w:t>
      </w:r>
      <w:r w:rsidR="00AC31F6" w:rsidRPr="006D6AAF">
        <w:rPr>
          <w:rStyle w:val="FootnoteReference"/>
          <w:b w:val="0"/>
        </w:rPr>
        <w:footnoteReference w:id="88"/>
      </w:r>
      <w:r w:rsidR="004513D4" w:rsidRPr="005C3374">
        <w:t xml:space="preserve"> </w:t>
      </w:r>
      <w:r>
        <w:t>and Section 2.1.4 - LED Nightlight</w:t>
      </w:r>
      <w:r w:rsidRPr="00AB1C31">
        <w:rPr>
          <w:rStyle w:val="FootnoteReference"/>
          <w:b w:val="0"/>
        </w:rPr>
        <w:footnoteReference w:id="89"/>
      </w:r>
      <w:bookmarkEnd w:id="100"/>
      <w:bookmarkEnd w:id="101"/>
    </w:p>
    <w:p w:rsidR="004513D4" w:rsidRPr="005C3374" w:rsidRDefault="004513D4" w:rsidP="001B6469">
      <w:pPr>
        <w:jc w:val="left"/>
      </w:pPr>
    </w:p>
    <w:p w:rsidR="006D6AAF" w:rsidRDefault="008A151D" w:rsidP="006D6AAF">
      <w:pPr>
        <w:ind w:firstLine="720"/>
        <w:jc w:val="left"/>
        <w:rPr>
          <w:szCs w:val="26"/>
        </w:rPr>
      </w:pPr>
      <w:r>
        <w:rPr>
          <w:szCs w:val="26"/>
        </w:rPr>
        <w:t>The Commission did not propose</w:t>
      </w:r>
      <w:r w:rsidR="004513D4" w:rsidRPr="005C3374">
        <w:rPr>
          <w:szCs w:val="26"/>
        </w:rPr>
        <w:t xml:space="preserve"> modifications to </w:t>
      </w:r>
      <w:r w:rsidR="00A7418A">
        <w:rPr>
          <w:szCs w:val="26"/>
        </w:rPr>
        <w:t>these</w:t>
      </w:r>
      <w:r w:rsidR="004513D4" w:rsidRPr="005C3374">
        <w:rPr>
          <w:szCs w:val="26"/>
        </w:rPr>
        <w:t xml:space="preserve"> measure</w:t>
      </w:r>
      <w:r w:rsidR="00B119EF">
        <w:rPr>
          <w:szCs w:val="26"/>
        </w:rPr>
        <w:t>s</w:t>
      </w:r>
      <w:r w:rsidR="004513D4" w:rsidRPr="005C3374">
        <w:rPr>
          <w:szCs w:val="26"/>
        </w:rPr>
        <w:t xml:space="preserve">. </w:t>
      </w:r>
      <w:r w:rsidR="006D6AAF">
        <w:rPr>
          <w:szCs w:val="26"/>
        </w:rPr>
        <w:t xml:space="preserve"> </w:t>
      </w:r>
      <w:r w:rsidR="004513D4" w:rsidRPr="005C3374">
        <w:rPr>
          <w:szCs w:val="26"/>
        </w:rPr>
        <w:t>However, comments were received</w:t>
      </w:r>
      <w:r w:rsidR="00B119EF">
        <w:rPr>
          <w:szCs w:val="26"/>
        </w:rPr>
        <w:t xml:space="preserve"> for both</w:t>
      </w:r>
      <w:r w:rsidR="004513D4" w:rsidRPr="005C3374">
        <w:rPr>
          <w:szCs w:val="26"/>
        </w:rPr>
        <w:t xml:space="preserve"> and are </w:t>
      </w:r>
      <w:r w:rsidR="006D6AAF">
        <w:rPr>
          <w:szCs w:val="26"/>
        </w:rPr>
        <w:t>addressed below.</w:t>
      </w:r>
    </w:p>
    <w:p w:rsidR="006D6AAF" w:rsidRDefault="006D6AAF" w:rsidP="006D6AAF">
      <w:pPr>
        <w:ind w:firstLine="720"/>
        <w:jc w:val="left"/>
        <w:rPr>
          <w:szCs w:val="26"/>
        </w:rPr>
      </w:pPr>
    </w:p>
    <w:p w:rsidR="004513D4" w:rsidRPr="005C3374" w:rsidRDefault="006D6AAF" w:rsidP="006D6AAF">
      <w:pPr>
        <w:ind w:firstLine="720"/>
        <w:jc w:val="left"/>
        <w:rPr>
          <w:szCs w:val="26"/>
        </w:rPr>
      </w:pPr>
      <w:r>
        <w:rPr>
          <w:szCs w:val="26"/>
        </w:rPr>
        <w:tab/>
      </w:r>
      <w:r>
        <w:rPr>
          <w:b/>
          <w:szCs w:val="26"/>
        </w:rPr>
        <w:t>a</w:t>
      </w:r>
      <w:r w:rsidR="004513D4" w:rsidRPr="005C3374">
        <w:rPr>
          <w:b/>
          <w:szCs w:val="26"/>
        </w:rPr>
        <w:t>.</w:t>
      </w:r>
      <w:r w:rsidR="004513D4" w:rsidRPr="005C3374">
        <w:rPr>
          <w:b/>
          <w:szCs w:val="26"/>
        </w:rPr>
        <w:tab/>
        <w:t>Comments</w:t>
      </w:r>
    </w:p>
    <w:p w:rsidR="004513D4" w:rsidRPr="005C3374" w:rsidRDefault="004513D4" w:rsidP="001B6469">
      <w:pPr>
        <w:ind w:firstLine="720"/>
        <w:jc w:val="left"/>
        <w:rPr>
          <w:szCs w:val="26"/>
        </w:rPr>
      </w:pPr>
    </w:p>
    <w:p w:rsidR="004513D4" w:rsidRPr="005C3374" w:rsidRDefault="004513D4" w:rsidP="001B6469">
      <w:pPr>
        <w:ind w:firstLine="720"/>
        <w:jc w:val="left"/>
        <w:rPr>
          <w:szCs w:val="26"/>
        </w:rPr>
      </w:pPr>
      <w:r w:rsidRPr="005C3374">
        <w:rPr>
          <w:szCs w:val="26"/>
        </w:rPr>
        <w:t xml:space="preserve">PECO </w:t>
      </w:r>
      <w:r w:rsidR="006D6AAF">
        <w:rPr>
          <w:szCs w:val="26"/>
        </w:rPr>
        <w:t>states</w:t>
      </w:r>
      <w:r w:rsidRPr="005C3374">
        <w:rPr>
          <w:szCs w:val="26"/>
        </w:rPr>
        <w:t xml:space="preserve"> that the </w:t>
      </w:r>
      <w:r w:rsidR="006D6AAF">
        <w:rPr>
          <w:szCs w:val="26"/>
        </w:rPr>
        <w:t>ISR</w:t>
      </w:r>
      <w:r w:rsidRPr="005C3374">
        <w:rPr>
          <w:szCs w:val="26"/>
        </w:rPr>
        <w:t xml:space="preserve"> of nightlights has not been shown to equate to the </w:t>
      </w:r>
      <w:r w:rsidR="006D6AAF">
        <w:rPr>
          <w:szCs w:val="26"/>
        </w:rPr>
        <w:t xml:space="preserve">ISR </w:t>
      </w:r>
      <w:r w:rsidRPr="005C3374">
        <w:rPr>
          <w:szCs w:val="26"/>
        </w:rPr>
        <w:t>of CFLs as it is currently reflecting, approximately 97%.</w:t>
      </w:r>
      <w:r w:rsidR="006D6AAF">
        <w:rPr>
          <w:szCs w:val="26"/>
        </w:rPr>
        <w:t xml:space="preserve"> </w:t>
      </w:r>
      <w:r w:rsidRPr="005C3374">
        <w:rPr>
          <w:szCs w:val="26"/>
        </w:rPr>
        <w:t xml:space="preserve"> In the absence of better data, PECO recommends an ISR of between 60% and 85% and refers to school giveaway kits. </w:t>
      </w:r>
      <w:r w:rsidR="006D6AAF">
        <w:rPr>
          <w:szCs w:val="26"/>
        </w:rPr>
        <w:t xml:space="preserve"> </w:t>
      </w:r>
      <w:r w:rsidRPr="005C3374">
        <w:rPr>
          <w:szCs w:val="26"/>
        </w:rPr>
        <w:t xml:space="preserve">PECO further recommends that EDC data gathering be applied as the open variable for </w:t>
      </w:r>
      <w:r w:rsidR="006D6AAF">
        <w:rPr>
          <w:szCs w:val="26"/>
        </w:rPr>
        <w:t xml:space="preserve">the </w:t>
      </w:r>
      <w:r w:rsidRPr="005C3374">
        <w:rPr>
          <w:szCs w:val="26"/>
        </w:rPr>
        <w:t>ISR</w:t>
      </w:r>
      <w:r w:rsidR="00034EAE">
        <w:rPr>
          <w:szCs w:val="26"/>
        </w:rPr>
        <w:t xml:space="preserve"> for these measures</w:t>
      </w:r>
      <w:r w:rsidRPr="005C3374">
        <w:rPr>
          <w:szCs w:val="26"/>
        </w:rPr>
        <w:t>.</w:t>
      </w:r>
      <w:r w:rsidRPr="005C3374">
        <w:rPr>
          <w:szCs w:val="26"/>
          <w:vertAlign w:val="superscript"/>
        </w:rPr>
        <w:footnoteReference w:id="90"/>
      </w:r>
      <w:r w:rsidRPr="005C3374">
        <w:rPr>
          <w:szCs w:val="26"/>
        </w:rPr>
        <w:t xml:space="preserve"> </w:t>
      </w:r>
    </w:p>
    <w:p w:rsidR="004513D4" w:rsidRPr="005C3374" w:rsidRDefault="004513D4" w:rsidP="001B6469">
      <w:pPr>
        <w:ind w:firstLine="720"/>
        <w:jc w:val="left"/>
        <w:rPr>
          <w:szCs w:val="26"/>
        </w:rPr>
      </w:pPr>
    </w:p>
    <w:p w:rsidR="004513D4" w:rsidRPr="005C3374" w:rsidRDefault="006D6AAF" w:rsidP="001B6469">
      <w:pPr>
        <w:ind w:firstLine="720"/>
        <w:jc w:val="left"/>
        <w:rPr>
          <w:szCs w:val="26"/>
        </w:rPr>
      </w:pPr>
      <w:r>
        <w:rPr>
          <w:szCs w:val="26"/>
        </w:rPr>
        <w:tab/>
      </w:r>
      <w:r>
        <w:rPr>
          <w:b/>
          <w:szCs w:val="26"/>
        </w:rPr>
        <w:t>b</w:t>
      </w:r>
      <w:r w:rsidR="004513D4" w:rsidRPr="005C3374">
        <w:rPr>
          <w:b/>
          <w:szCs w:val="26"/>
        </w:rPr>
        <w:t>.</w:t>
      </w:r>
      <w:r w:rsidR="004513D4" w:rsidRPr="005C3374">
        <w:rPr>
          <w:b/>
          <w:szCs w:val="26"/>
        </w:rPr>
        <w:tab/>
        <w:t>Disposition</w:t>
      </w:r>
    </w:p>
    <w:p w:rsidR="004513D4" w:rsidRPr="005C3374" w:rsidRDefault="004513D4" w:rsidP="001B6469">
      <w:pPr>
        <w:jc w:val="left"/>
      </w:pPr>
    </w:p>
    <w:p w:rsidR="004513D4" w:rsidRDefault="004513D4" w:rsidP="00034EAE">
      <w:pPr>
        <w:jc w:val="left"/>
      </w:pPr>
      <w:r w:rsidRPr="005C3374">
        <w:tab/>
        <w:t>The Commission rejects the proposed modification to the measure</w:t>
      </w:r>
      <w:r w:rsidR="00034EAE">
        <w:t>s</w:t>
      </w:r>
      <w:r w:rsidRPr="005C3374">
        <w:t xml:space="preserve"> as the ISR of nightlights in a school kit is not comparable to those in an upstream or rebate program. </w:t>
      </w:r>
      <w:r w:rsidR="006D6AAF">
        <w:t xml:space="preserve"> </w:t>
      </w:r>
      <w:r w:rsidRPr="005C3374">
        <w:t xml:space="preserve">In lieu of better data, </w:t>
      </w:r>
      <w:r w:rsidR="006D6AAF">
        <w:t>the current ISR for nightlights</w:t>
      </w:r>
      <w:r w:rsidR="00034EAE">
        <w:t xml:space="preserve"> in both measures</w:t>
      </w:r>
      <w:r w:rsidR="006D6AAF">
        <w:t xml:space="preserve"> will remain</w:t>
      </w:r>
      <w:r w:rsidRPr="005C3374">
        <w:t xml:space="preserve">. </w:t>
      </w:r>
      <w:r w:rsidR="006D6AAF">
        <w:t xml:space="preserve"> </w:t>
      </w:r>
      <w:r w:rsidRPr="005C3374">
        <w:t xml:space="preserve">EDC data gathering </w:t>
      </w:r>
      <w:r w:rsidR="006D6AAF">
        <w:t>has been included as an option</w:t>
      </w:r>
      <w:r w:rsidRPr="005C3374">
        <w:t xml:space="preserve"> for this input</w:t>
      </w:r>
      <w:r w:rsidR="00034EAE">
        <w:t xml:space="preserve"> in both measures</w:t>
      </w:r>
      <w:r w:rsidRPr="005C3374">
        <w:t>.</w:t>
      </w:r>
    </w:p>
    <w:p w:rsidR="004513D4" w:rsidRPr="00F00020" w:rsidRDefault="004513D4" w:rsidP="001B6469">
      <w:pPr>
        <w:jc w:val="left"/>
      </w:pPr>
    </w:p>
    <w:p w:rsidR="00A3244B" w:rsidRDefault="00A3244B">
      <w:pPr>
        <w:overflowPunct/>
        <w:autoSpaceDE/>
        <w:autoSpaceDN/>
        <w:adjustRightInd/>
        <w:spacing w:line="240" w:lineRule="auto"/>
        <w:jc w:val="left"/>
        <w:rPr>
          <w:b/>
          <w:szCs w:val="26"/>
        </w:rPr>
      </w:pPr>
      <w:bookmarkStart w:id="102" w:name="_Toc405802391"/>
      <w:bookmarkStart w:id="103" w:name="_Toc405884721"/>
      <w:r>
        <w:br w:type="page"/>
      </w:r>
    </w:p>
    <w:p w:rsidR="004513D4" w:rsidRDefault="00034EAE" w:rsidP="001B6469">
      <w:pPr>
        <w:pStyle w:val="Heading3"/>
        <w:numPr>
          <w:ilvl w:val="0"/>
          <w:numId w:val="0"/>
        </w:numPr>
        <w:ind w:left="720"/>
      </w:pPr>
      <w:r>
        <w:lastRenderedPageBreak/>
        <w:t>4</w:t>
      </w:r>
      <w:r w:rsidR="004513D4">
        <w:t xml:space="preserve">. </w:t>
      </w:r>
      <w:r w:rsidR="004513D4">
        <w:tab/>
      </w:r>
      <w:r w:rsidR="004513D4" w:rsidRPr="00E96464">
        <w:t>Section 2.1.5 – Holiday Lights</w:t>
      </w:r>
      <w:r w:rsidR="00087AF2" w:rsidRPr="00034EAE">
        <w:rPr>
          <w:rStyle w:val="FootnoteReference"/>
          <w:b w:val="0"/>
        </w:rPr>
        <w:footnoteReference w:id="91"/>
      </w:r>
      <w:bookmarkEnd w:id="102"/>
      <w:bookmarkEnd w:id="103"/>
    </w:p>
    <w:p w:rsidR="00C61852" w:rsidRPr="00C61852" w:rsidRDefault="00C61852" w:rsidP="001B6469">
      <w:pPr>
        <w:jc w:val="left"/>
      </w:pPr>
    </w:p>
    <w:p w:rsidR="004513D4" w:rsidRDefault="00B14B74" w:rsidP="001B6469">
      <w:pPr>
        <w:ind w:firstLine="720"/>
        <w:jc w:val="left"/>
        <w:rPr>
          <w:szCs w:val="26"/>
        </w:rPr>
      </w:pPr>
      <w:r w:rsidRPr="008A151D">
        <w:rPr>
          <w:szCs w:val="26"/>
        </w:rPr>
        <w:t xml:space="preserve">The </w:t>
      </w:r>
      <w:r w:rsidR="008A151D" w:rsidRPr="008A151D">
        <w:rPr>
          <w:szCs w:val="26"/>
        </w:rPr>
        <w:t>Commission did not propose modifications to</w:t>
      </w:r>
      <w:r w:rsidRPr="008A151D">
        <w:rPr>
          <w:szCs w:val="26"/>
        </w:rPr>
        <w:t xml:space="preserve"> </w:t>
      </w:r>
      <w:r w:rsidR="00A7418A">
        <w:rPr>
          <w:szCs w:val="26"/>
        </w:rPr>
        <w:t>this</w:t>
      </w:r>
      <w:r w:rsidRPr="008A151D">
        <w:rPr>
          <w:szCs w:val="26"/>
        </w:rPr>
        <w:t xml:space="preserve"> measure protocol. </w:t>
      </w:r>
      <w:r w:rsidR="008A151D" w:rsidRPr="008A151D">
        <w:rPr>
          <w:szCs w:val="26"/>
        </w:rPr>
        <w:t xml:space="preserve"> </w:t>
      </w:r>
      <w:r w:rsidRPr="008A151D">
        <w:rPr>
          <w:szCs w:val="26"/>
        </w:rPr>
        <w:t>However, comments were received and are addressed below.</w:t>
      </w:r>
    </w:p>
    <w:p w:rsidR="00C61852" w:rsidRPr="00622A27" w:rsidRDefault="00C61852" w:rsidP="001B6469">
      <w:pPr>
        <w:jc w:val="left"/>
      </w:pPr>
    </w:p>
    <w:p w:rsidR="004513D4" w:rsidRDefault="00712632" w:rsidP="001B6469">
      <w:pPr>
        <w:widowControl w:val="0"/>
        <w:tabs>
          <w:tab w:val="left" w:pos="720"/>
        </w:tabs>
        <w:overflowPunct/>
        <w:jc w:val="left"/>
        <w:rPr>
          <w:b/>
          <w:szCs w:val="26"/>
        </w:rPr>
      </w:pPr>
      <w:r>
        <w:rPr>
          <w:b/>
          <w:szCs w:val="26"/>
        </w:rPr>
        <w:tab/>
      </w:r>
      <w:r>
        <w:rPr>
          <w:b/>
          <w:szCs w:val="26"/>
        </w:rPr>
        <w:tab/>
        <w:t>a</w:t>
      </w:r>
      <w:r w:rsidR="004513D4">
        <w:rPr>
          <w:b/>
          <w:szCs w:val="26"/>
        </w:rPr>
        <w:t>.</w:t>
      </w:r>
      <w:r w:rsidR="004513D4">
        <w:rPr>
          <w:b/>
          <w:szCs w:val="26"/>
        </w:rPr>
        <w:tab/>
        <w:t>Comments</w:t>
      </w:r>
    </w:p>
    <w:p w:rsidR="004513D4" w:rsidRDefault="004513D4" w:rsidP="001B6469">
      <w:pPr>
        <w:widowControl w:val="0"/>
        <w:tabs>
          <w:tab w:val="left" w:pos="720"/>
        </w:tabs>
        <w:overflowPunct/>
        <w:jc w:val="left"/>
        <w:rPr>
          <w:b/>
          <w:szCs w:val="26"/>
        </w:rPr>
      </w:pPr>
    </w:p>
    <w:p w:rsidR="004513D4" w:rsidRDefault="004513D4" w:rsidP="001B6469">
      <w:pPr>
        <w:ind w:firstLine="720"/>
        <w:jc w:val="left"/>
        <w:textAlignment w:val="baseline"/>
        <w:rPr>
          <w:szCs w:val="26"/>
        </w:rPr>
      </w:pPr>
      <w:r w:rsidRPr="00E96464">
        <w:rPr>
          <w:szCs w:val="26"/>
        </w:rPr>
        <w:t xml:space="preserve">PECO notes that </w:t>
      </w:r>
      <w:r w:rsidR="00712632">
        <w:rPr>
          <w:szCs w:val="26"/>
        </w:rPr>
        <w:t>p</w:t>
      </w:r>
      <w:r w:rsidR="00712632" w:rsidRPr="00712632">
        <w:rPr>
          <w:szCs w:val="26"/>
        </w:rPr>
        <w:t>ercentage</w:t>
      </w:r>
      <w:r w:rsidR="00712632">
        <w:rPr>
          <w:szCs w:val="26"/>
        </w:rPr>
        <w:t>s</w:t>
      </w:r>
      <w:r w:rsidR="00712632" w:rsidRPr="00712632">
        <w:rPr>
          <w:szCs w:val="26"/>
        </w:rPr>
        <w:t xml:space="preserve"> o</w:t>
      </w:r>
      <w:r w:rsidR="00712632">
        <w:rPr>
          <w:szCs w:val="26"/>
        </w:rPr>
        <w:t>f holiday lights that are miniature (</w:t>
      </w:r>
      <w:r w:rsidRPr="00E96464">
        <w:rPr>
          <w:szCs w:val="26"/>
        </w:rPr>
        <w:t>W</w:t>
      </w:r>
      <w:r w:rsidRPr="00712632">
        <w:rPr>
          <w:szCs w:val="26"/>
          <w:vertAlign w:val="subscript"/>
        </w:rPr>
        <w:t>mini</w:t>
      </w:r>
      <w:r w:rsidR="00712632">
        <w:rPr>
          <w:szCs w:val="26"/>
        </w:rPr>
        <w:t>),</w:t>
      </w:r>
      <w:r w:rsidRPr="00E96464">
        <w:rPr>
          <w:szCs w:val="26"/>
        </w:rPr>
        <w:t xml:space="preserve"> </w:t>
      </w:r>
      <w:r w:rsidR="00712632">
        <w:rPr>
          <w:szCs w:val="26"/>
        </w:rPr>
        <w:t>C7 (</w:t>
      </w:r>
      <w:r w:rsidRPr="00E96464">
        <w:rPr>
          <w:szCs w:val="26"/>
        </w:rPr>
        <w:t>W</w:t>
      </w:r>
      <w:r w:rsidRPr="00712632">
        <w:rPr>
          <w:szCs w:val="26"/>
          <w:vertAlign w:val="subscript"/>
        </w:rPr>
        <w:t>C7</w:t>
      </w:r>
      <w:r w:rsidR="00712632">
        <w:rPr>
          <w:szCs w:val="26"/>
        </w:rPr>
        <w:t>)</w:t>
      </w:r>
      <w:r w:rsidRPr="00E96464">
        <w:rPr>
          <w:szCs w:val="26"/>
        </w:rPr>
        <w:t xml:space="preserve"> and </w:t>
      </w:r>
      <w:r w:rsidR="00712632">
        <w:rPr>
          <w:szCs w:val="26"/>
        </w:rPr>
        <w:t>C9 (</w:t>
      </w:r>
      <w:r w:rsidRPr="00E96464">
        <w:rPr>
          <w:szCs w:val="26"/>
        </w:rPr>
        <w:t>W</w:t>
      </w:r>
      <w:r w:rsidRPr="00712632">
        <w:rPr>
          <w:szCs w:val="26"/>
          <w:vertAlign w:val="subscript"/>
        </w:rPr>
        <w:t>C9</w:t>
      </w:r>
      <w:r w:rsidR="00712632">
        <w:rPr>
          <w:szCs w:val="26"/>
        </w:rPr>
        <w:t>)</w:t>
      </w:r>
      <w:r w:rsidRPr="00E96464">
        <w:rPr>
          <w:szCs w:val="26"/>
        </w:rPr>
        <w:t xml:space="preserve"> are explained as key assumptions, but they </w:t>
      </w:r>
      <w:r w:rsidR="00712632">
        <w:rPr>
          <w:szCs w:val="26"/>
        </w:rPr>
        <w:t xml:space="preserve">do not appear in the algorithms.  PECO suggests clarification regarding </w:t>
      </w:r>
      <w:r w:rsidRPr="00E96464">
        <w:rPr>
          <w:szCs w:val="26"/>
        </w:rPr>
        <w:t xml:space="preserve">their significance and use. </w:t>
      </w:r>
      <w:r w:rsidR="00712632">
        <w:rPr>
          <w:szCs w:val="26"/>
        </w:rPr>
        <w:t xml:space="preserve"> It</w:t>
      </w:r>
      <w:r w:rsidRPr="00E96464">
        <w:rPr>
          <w:szCs w:val="26"/>
        </w:rPr>
        <w:t xml:space="preserve"> also note</w:t>
      </w:r>
      <w:r w:rsidR="00712632">
        <w:rPr>
          <w:szCs w:val="26"/>
        </w:rPr>
        <w:t>s</w:t>
      </w:r>
      <w:r w:rsidRPr="00E96464">
        <w:rPr>
          <w:szCs w:val="26"/>
        </w:rPr>
        <w:t xml:space="preserve"> that for the </w:t>
      </w:r>
      <w:r w:rsidR="00712632">
        <w:rPr>
          <w:szCs w:val="26"/>
        </w:rPr>
        <w:t>number of bulbs per strand (#</w:t>
      </w:r>
      <w:r w:rsidR="00712632">
        <w:rPr>
          <w:szCs w:val="26"/>
          <w:vertAlign w:val="subscript"/>
        </w:rPr>
        <w:t>Bulbs</w:t>
      </w:r>
      <w:r w:rsidR="00712632">
        <w:rPr>
          <w:szCs w:val="26"/>
        </w:rPr>
        <w:t xml:space="preserve">) </w:t>
      </w:r>
      <w:r w:rsidRPr="00E96464">
        <w:rPr>
          <w:szCs w:val="26"/>
        </w:rPr>
        <w:t>variable, using the “bulbs/strand” unit as written in the protocol leaves “bulbs” a</w:t>
      </w:r>
      <w:r w:rsidR="005E08F8">
        <w:rPr>
          <w:szCs w:val="26"/>
        </w:rPr>
        <w:t xml:space="preserve">s a unit in the final result. </w:t>
      </w:r>
      <w:r w:rsidR="00712632">
        <w:rPr>
          <w:szCs w:val="26"/>
        </w:rPr>
        <w:t xml:space="preserve"> PECO</w:t>
      </w:r>
      <w:r w:rsidRPr="00E96464">
        <w:rPr>
          <w:szCs w:val="26"/>
        </w:rPr>
        <w:t xml:space="preserve"> recommend</w:t>
      </w:r>
      <w:r w:rsidR="00712632">
        <w:rPr>
          <w:szCs w:val="26"/>
        </w:rPr>
        <w:t>s that</w:t>
      </w:r>
      <w:r w:rsidRPr="00E96464">
        <w:rPr>
          <w:szCs w:val="26"/>
        </w:rPr>
        <w:t xml:space="preserve"> the units on all of the wattage variables be changed to “Watts/bulb.” </w:t>
      </w:r>
      <w:r w:rsidR="00712632">
        <w:rPr>
          <w:szCs w:val="26"/>
        </w:rPr>
        <w:t xml:space="preserve"> </w:t>
      </w:r>
      <w:r w:rsidRPr="00E96464">
        <w:rPr>
          <w:szCs w:val="26"/>
        </w:rPr>
        <w:t>This will make the units of the algorithm come out as kWh or kW savings per package rather than “k</w:t>
      </w:r>
      <w:r w:rsidR="00DC760D">
        <w:rPr>
          <w:szCs w:val="26"/>
        </w:rPr>
        <w:t>Wh or kW savings*Bulb/package.”</w:t>
      </w:r>
      <w:r w:rsidR="00DC760D">
        <w:rPr>
          <w:rStyle w:val="FootnoteReference"/>
          <w:szCs w:val="26"/>
        </w:rPr>
        <w:footnoteReference w:id="92"/>
      </w:r>
    </w:p>
    <w:p w:rsidR="00712632" w:rsidRPr="00E96464" w:rsidRDefault="00712632" w:rsidP="001B6469">
      <w:pPr>
        <w:ind w:firstLine="720"/>
        <w:jc w:val="left"/>
        <w:textAlignment w:val="baseline"/>
        <w:rPr>
          <w:szCs w:val="26"/>
        </w:rPr>
      </w:pPr>
    </w:p>
    <w:p w:rsidR="004513D4" w:rsidRPr="00E96464" w:rsidRDefault="004513D4" w:rsidP="001B6469">
      <w:pPr>
        <w:ind w:firstLine="720"/>
        <w:jc w:val="left"/>
        <w:textAlignment w:val="baseline"/>
        <w:rPr>
          <w:szCs w:val="26"/>
        </w:rPr>
      </w:pPr>
      <w:r w:rsidRPr="00E96464">
        <w:rPr>
          <w:szCs w:val="26"/>
        </w:rPr>
        <w:t>Additionally, PECO states that for the</w:t>
      </w:r>
      <w:r w:rsidR="00DC760D" w:rsidRPr="00DC760D">
        <w:t xml:space="preserve"> </w:t>
      </w:r>
      <w:r w:rsidR="00DC760D">
        <w:t>n</w:t>
      </w:r>
      <w:r w:rsidR="00DC760D" w:rsidRPr="00EC11F2">
        <w:t>umber of strands of lights</w:t>
      </w:r>
      <w:r w:rsidR="00DC760D">
        <w:t xml:space="preserve"> per package</w:t>
      </w:r>
      <w:r w:rsidR="00DC760D">
        <w:rPr>
          <w:szCs w:val="26"/>
        </w:rPr>
        <w:t xml:space="preserve"> (#</w:t>
      </w:r>
      <w:r w:rsidR="00DC760D" w:rsidRPr="00DC760D">
        <w:rPr>
          <w:szCs w:val="26"/>
          <w:vertAlign w:val="subscript"/>
        </w:rPr>
        <w:t>Strands</w:t>
      </w:r>
      <w:r w:rsidR="00DC760D">
        <w:rPr>
          <w:szCs w:val="26"/>
        </w:rPr>
        <w:t>)</w:t>
      </w:r>
      <w:r w:rsidRPr="00E96464">
        <w:rPr>
          <w:szCs w:val="26"/>
        </w:rPr>
        <w:t xml:space="preserve"> variable, using the “strands/package” unit as written in the protocol leaves “package” as a unit in the final result.</w:t>
      </w:r>
      <w:r w:rsidR="00DC760D">
        <w:rPr>
          <w:szCs w:val="26"/>
        </w:rPr>
        <w:t xml:space="preserve"> </w:t>
      </w:r>
      <w:r w:rsidRPr="00E96464">
        <w:rPr>
          <w:szCs w:val="26"/>
        </w:rPr>
        <w:t xml:space="preserve"> There is no other reference to “packages” in the protocol. </w:t>
      </w:r>
      <w:r w:rsidR="00DC760D">
        <w:rPr>
          <w:szCs w:val="26"/>
        </w:rPr>
        <w:t xml:space="preserve"> </w:t>
      </w:r>
      <w:r w:rsidRPr="00E96464">
        <w:rPr>
          <w:szCs w:val="26"/>
        </w:rPr>
        <w:t xml:space="preserve">The protocol should </w:t>
      </w:r>
      <w:r w:rsidR="00DC760D">
        <w:rPr>
          <w:szCs w:val="26"/>
        </w:rPr>
        <w:t>be clarified so</w:t>
      </w:r>
      <w:r w:rsidRPr="00E96464">
        <w:rPr>
          <w:szCs w:val="26"/>
        </w:rPr>
        <w:t xml:space="preserve"> that the algorithm is used to calculate savings per package.</w:t>
      </w:r>
      <w:r w:rsidR="00DC760D">
        <w:rPr>
          <w:rStyle w:val="FootnoteReference"/>
          <w:szCs w:val="26"/>
        </w:rPr>
        <w:footnoteReference w:id="93"/>
      </w:r>
      <w:r w:rsidR="002A1F37">
        <w:rPr>
          <w:szCs w:val="26"/>
        </w:rPr>
        <w:t xml:space="preserve">  </w:t>
      </w:r>
      <w:r w:rsidR="00C61852">
        <w:rPr>
          <w:szCs w:val="26"/>
        </w:rPr>
        <w:t>Finally</w:t>
      </w:r>
      <w:r w:rsidRPr="00E96464">
        <w:rPr>
          <w:szCs w:val="26"/>
        </w:rPr>
        <w:t xml:space="preserve">, PECO notes the assumptions listed as Source 3 are </w:t>
      </w:r>
      <w:r w:rsidR="00DC760D">
        <w:rPr>
          <w:szCs w:val="26"/>
        </w:rPr>
        <w:t>important</w:t>
      </w:r>
      <w:r w:rsidRPr="00E96464">
        <w:rPr>
          <w:szCs w:val="26"/>
        </w:rPr>
        <w:t xml:space="preserve"> to the savings algorithms and are a duplicate of the “Key assumptions” listed in the “Algorithms” section. The assumptions are listed in Sources, but they do not cite a source.</w:t>
      </w:r>
      <w:r w:rsidR="00B14B74">
        <w:rPr>
          <w:rStyle w:val="FootnoteReference"/>
          <w:szCs w:val="26"/>
        </w:rPr>
        <w:footnoteReference w:id="94"/>
      </w:r>
    </w:p>
    <w:p w:rsidR="004513D4" w:rsidRDefault="004513D4" w:rsidP="001B6469">
      <w:pPr>
        <w:widowControl w:val="0"/>
        <w:tabs>
          <w:tab w:val="left" w:pos="720"/>
        </w:tabs>
        <w:overflowPunct/>
        <w:jc w:val="left"/>
        <w:rPr>
          <w:szCs w:val="26"/>
        </w:rPr>
      </w:pPr>
    </w:p>
    <w:p w:rsidR="004513D4" w:rsidRDefault="00DC760D" w:rsidP="001B6469">
      <w:pPr>
        <w:widowControl w:val="0"/>
        <w:tabs>
          <w:tab w:val="left" w:pos="720"/>
        </w:tabs>
        <w:overflowPunct/>
        <w:jc w:val="left"/>
        <w:rPr>
          <w:b/>
          <w:szCs w:val="26"/>
        </w:rPr>
      </w:pPr>
      <w:r>
        <w:rPr>
          <w:szCs w:val="26"/>
        </w:rPr>
        <w:lastRenderedPageBreak/>
        <w:tab/>
      </w:r>
      <w:r>
        <w:rPr>
          <w:szCs w:val="26"/>
        </w:rPr>
        <w:tab/>
      </w:r>
      <w:r>
        <w:rPr>
          <w:b/>
          <w:szCs w:val="26"/>
        </w:rPr>
        <w:t>b</w:t>
      </w:r>
      <w:r w:rsidR="004513D4">
        <w:rPr>
          <w:b/>
          <w:szCs w:val="26"/>
        </w:rPr>
        <w:t>.</w:t>
      </w:r>
      <w:r w:rsidR="004513D4">
        <w:rPr>
          <w:b/>
          <w:szCs w:val="26"/>
        </w:rPr>
        <w:tab/>
        <w:t>Disposition</w:t>
      </w:r>
    </w:p>
    <w:p w:rsidR="004513D4" w:rsidRDefault="004513D4" w:rsidP="001B6469">
      <w:pPr>
        <w:widowControl w:val="0"/>
        <w:tabs>
          <w:tab w:val="left" w:pos="720"/>
        </w:tabs>
        <w:overflowPunct/>
        <w:jc w:val="left"/>
        <w:rPr>
          <w:szCs w:val="26"/>
        </w:rPr>
      </w:pPr>
    </w:p>
    <w:p w:rsidR="004513D4" w:rsidRDefault="004513D4" w:rsidP="004D6C6D">
      <w:pPr>
        <w:ind w:firstLine="720"/>
        <w:jc w:val="left"/>
        <w:textAlignment w:val="baseline"/>
        <w:rPr>
          <w:szCs w:val="26"/>
        </w:rPr>
      </w:pPr>
      <w:r>
        <w:rPr>
          <w:szCs w:val="26"/>
        </w:rPr>
        <w:t>The C</w:t>
      </w:r>
      <w:r w:rsidRPr="00E96464">
        <w:rPr>
          <w:szCs w:val="26"/>
        </w:rPr>
        <w:t>ommission</w:t>
      </w:r>
      <w:r w:rsidR="00814983">
        <w:rPr>
          <w:szCs w:val="26"/>
        </w:rPr>
        <w:t xml:space="preserve"> has added an additional algorithm and language to the protocol to clarify the application of the </w:t>
      </w:r>
      <w:r w:rsidRPr="00E96464">
        <w:rPr>
          <w:szCs w:val="26"/>
        </w:rPr>
        <w:t>W</w:t>
      </w:r>
      <w:r w:rsidRPr="00814983">
        <w:rPr>
          <w:szCs w:val="26"/>
          <w:vertAlign w:val="subscript"/>
        </w:rPr>
        <w:t>mini</w:t>
      </w:r>
      <w:r w:rsidRPr="00E96464">
        <w:rPr>
          <w:szCs w:val="26"/>
        </w:rPr>
        <w:t>, W</w:t>
      </w:r>
      <w:r w:rsidRPr="00814983">
        <w:rPr>
          <w:szCs w:val="26"/>
          <w:vertAlign w:val="subscript"/>
        </w:rPr>
        <w:t>C7</w:t>
      </w:r>
      <w:r w:rsidRPr="00E96464">
        <w:rPr>
          <w:szCs w:val="26"/>
        </w:rPr>
        <w:t xml:space="preserve"> and W</w:t>
      </w:r>
      <w:r w:rsidRPr="00814983">
        <w:rPr>
          <w:szCs w:val="26"/>
          <w:vertAlign w:val="subscript"/>
        </w:rPr>
        <w:t>C9</w:t>
      </w:r>
      <w:r w:rsidRPr="00E96464">
        <w:rPr>
          <w:szCs w:val="26"/>
        </w:rPr>
        <w:t xml:space="preserve"> </w:t>
      </w:r>
      <w:r w:rsidR="00814983">
        <w:rPr>
          <w:szCs w:val="26"/>
        </w:rPr>
        <w:t>inputs</w:t>
      </w:r>
      <w:r w:rsidRPr="00E96464">
        <w:rPr>
          <w:szCs w:val="26"/>
        </w:rPr>
        <w:t xml:space="preserve">. </w:t>
      </w:r>
      <w:r w:rsidR="00814983">
        <w:rPr>
          <w:szCs w:val="26"/>
        </w:rPr>
        <w:t xml:space="preserve"> </w:t>
      </w:r>
      <w:r>
        <w:rPr>
          <w:szCs w:val="26"/>
        </w:rPr>
        <w:t>The C</w:t>
      </w:r>
      <w:r w:rsidRPr="00E96464">
        <w:rPr>
          <w:szCs w:val="26"/>
        </w:rPr>
        <w:t xml:space="preserve">ommission also agrees that “Watts” should be “Watts/bulb” for all the bulb units and an additional statement has been added to clarify that the algorithms yield kWh savings results </w:t>
      </w:r>
      <w:r w:rsidRPr="00E96464">
        <w:rPr>
          <w:i/>
          <w:szCs w:val="26"/>
        </w:rPr>
        <w:t>per package</w:t>
      </w:r>
      <w:r w:rsidRPr="00E96464">
        <w:rPr>
          <w:szCs w:val="26"/>
        </w:rPr>
        <w:t xml:space="preserve"> (kWh/yr per packa</w:t>
      </w:r>
      <w:r w:rsidR="009E4690">
        <w:rPr>
          <w:szCs w:val="26"/>
        </w:rPr>
        <w:t xml:space="preserve">ge of LED holiday lights). </w:t>
      </w:r>
      <w:r w:rsidR="00814983">
        <w:rPr>
          <w:szCs w:val="26"/>
        </w:rPr>
        <w:t xml:space="preserve"> </w:t>
      </w:r>
      <w:r w:rsidR="009E4690">
        <w:rPr>
          <w:szCs w:val="26"/>
        </w:rPr>
        <w:t>The C</w:t>
      </w:r>
      <w:r w:rsidRPr="00E96464">
        <w:rPr>
          <w:szCs w:val="26"/>
        </w:rPr>
        <w:t xml:space="preserve">ommission agrees that source 3 is a copied version of assumptions from earlier in the protocol and has replaced </w:t>
      </w:r>
      <w:r w:rsidR="00814983">
        <w:rPr>
          <w:szCs w:val="26"/>
        </w:rPr>
        <w:t>it</w:t>
      </w:r>
      <w:r w:rsidRPr="00E96464">
        <w:rPr>
          <w:szCs w:val="26"/>
        </w:rPr>
        <w:t xml:space="preserve"> with an updated source</w:t>
      </w:r>
      <w:r w:rsidR="00814983">
        <w:rPr>
          <w:szCs w:val="26"/>
        </w:rPr>
        <w:t>,</w:t>
      </w:r>
      <w:r w:rsidRPr="00E96464">
        <w:rPr>
          <w:szCs w:val="26"/>
        </w:rPr>
        <w:t xml:space="preserve"> as well as updated the default #</w:t>
      </w:r>
      <w:r w:rsidR="00814983">
        <w:rPr>
          <w:szCs w:val="26"/>
          <w:vertAlign w:val="subscript"/>
        </w:rPr>
        <w:t>B</w:t>
      </w:r>
      <w:r w:rsidRPr="00814983">
        <w:rPr>
          <w:szCs w:val="26"/>
          <w:vertAlign w:val="subscript"/>
        </w:rPr>
        <w:t>ulbs</w:t>
      </w:r>
      <w:r w:rsidRPr="00E96464">
        <w:rPr>
          <w:szCs w:val="26"/>
        </w:rPr>
        <w:t xml:space="preserve"> </w:t>
      </w:r>
      <w:r w:rsidR="00814983">
        <w:rPr>
          <w:szCs w:val="26"/>
        </w:rPr>
        <w:t xml:space="preserve">from 25 to </w:t>
      </w:r>
      <w:r w:rsidR="003E750C">
        <w:rPr>
          <w:szCs w:val="26"/>
        </w:rPr>
        <w:t>50</w:t>
      </w:r>
      <w:r w:rsidRPr="00E96464">
        <w:rPr>
          <w:szCs w:val="26"/>
        </w:rPr>
        <w:t xml:space="preserve">. </w:t>
      </w:r>
      <w:r w:rsidR="00814983">
        <w:rPr>
          <w:szCs w:val="26"/>
        </w:rPr>
        <w:t xml:space="preserve"> Fifty </w:t>
      </w:r>
      <w:r w:rsidRPr="00E96464">
        <w:rPr>
          <w:szCs w:val="26"/>
        </w:rPr>
        <w:t>bulbs/strand was typical when surveying Home Depot, Target and Walmart</w:t>
      </w:r>
      <w:r w:rsidR="00814983">
        <w:rPr>
          <w:szCs w:val="26"/>
        </w:rPr>
        <w:t>,</w:t>
      </w:r>
      <w:r w:rsidRPr="00E96464">
        <w:rPr>
          <w:szCs w:val="26"/>
        </w:rPr>
        <w:t xml:space="preserve"> whereas 25 bulbs/strand was for specialty large bulbs</w:t>
      </w:r>
      <w:r w:rsidR="003E750C">
        <w:rPr>
          <w:szCs w:val="26"/>
        </w:rPr>
        <w:t xml:space="preserve"> only</w:t>
      </w:r>
      <w:r w:rsidRPr="00E96464">
        <w:rPr>
          <w:szCs w:val="26"/>
        </w:rPr>
        <w:t>.</w:t>
      </w:r>
    </w:p>
    <w:p w:rsidR="00A3244B" w:rsidRPr="00E96464" w:rsidRDefault="00A3244B" w:rsidP="004D6C6D">
      <w:pPr>
        <w:ind w:firstLine="720"/>
        <w:jc w:val="left"/>
        <w:textAlignment w:val="baseline"/>
        <w:rPr>
          <w:szCs w:val="26"/>
        </w:rPr>
      </w:pPr>
    </w:p>
    <w:p w:rsidR="00D05144" w:rsidRPr="0098410B" w:rsidRDefault="00814983" w:rsidP="001B6469">
      <w:pPr>
        <w:pStyle w:val="Heading3"/>
        <w:numPr>
          <w:ilvl w:val="0"/>
          <w:numId w:val="0"/>
        </w:numPr>
        <w:ind w:left="720"/>
      </w:pPr>
      <w:bookmarkStart w:id="104" w:name="_Toc405802392"/>
      <w:bookmarkStart w:id="105" w:name="_Toc405884722"/>
      <w:r>
        <w:t>5</w:t>
      </w:r>
      <w:r w:rsidR="00D05144">
        <w:t>.</w:t>
      </w:r>
      <w:r w:rsidR="00D05144">
        <w:tab/>
        <w:t>Section 2.2.1 – Elec</w:t>
      </w:r>
      <w:r w:rsidR="00D05144" w:rsidRPr="0098410B">
        <w:t>tric HVAC</w:t>
      </w:r>
      <w:bookmarkEnd w:id="97"/>
      <w:bookmarkEnd w:id="104"/>
      <w:bookmarkEnd w:id="105"/>
      <w:r w:rsidR="00D05144" w:rsidRPr="0098410B">
        <w:t xml:space="preserve"> </w:t>
      </w:r>
      <w:bookmarkEnd w:id="94"/>
    </w:p>
    <w:p w:rsidR="00D05144" w:rsidRPr="0098410B" w:rsidRDefault="00D05144" w:rsidP="001B6469">
      <w:pPr>
        <w:jc w:val="left"/>
        <w:rPr>
          <w:szCs w:val="26"/>
        </w:rPr>
      </w:pPr>
      <w:r w:rsidRPr="0098410B">
        <w:rPr>
          <w:szCs w:val="26"/>
        </w:rPr>
        <w:tab/>
      </w:r>
    </w:p>
    <w:p w:rsidR="00D05144" w:rsidRDefault="00D05144" w:rsidP="001B6469">
      <w:pPr>
        <w:tabs>
          <w:tab w:val="left" w:pos="720"/>
          <w:tab w:val="left" w:pos="810"/>
          <w:tab w:val="left" w:pos="1350"/>
          <w:tab w:val="left" w:pos="1890"/>
          <w:tab w:val="left" w:pos="7362"/>
          <w:tab w:val="left" w:pos="7650"/>
        </w:tabs>
        <w:ind w:firstLine="720"/>
        <w:jc w:val="left"/>
        <w:rPr>
          <w:szCs w:val="26"/>
        </w:rPr>
      </w:pPr>
      <w:r w:rsidRPr="0098410B">
        <w:rPr>
          <w:szCs w:val="26"/>
        </w:rPr>
        <w:tab/>
        <w:t>In its 2014 TRM Final Order, the Commission directed the PEG to consider a modification to the value used for Heating Seasonal Performance Factor for maintenance</w:t>
      </w:r>
      <w:r>
        <w:rPr>
          <w:szCs w:val="26"/>
        </w:rPr>
        <w:t xml:space="preserve"> (</w:t>
      </w:r>
      <w:r w:rsidRPr="0098410B">
        <w:rPr>
          <w:szCs w:val="26"/>
        </w:rPr>
        <w:t>HSPF</w:t>
      </w:r>
      <w:r w:rsidRPr="0098410B">
        <w:rPr>
          <w:szCs w:val="26"/>
          <w:vertAlign w:val="subscript"/>
        </w:rPr>
        <w:t>m</w:t>
      </w:r>
      <w:r>
        <w:rPr>
          <w:szCs w:val="26"/>
        </w:rPr>
        <w:t>)</w:t>
      </w:r>
      <w:r w:rsidRPr="0098410B">
        <w:rPr>
          <w:szCs w:val="26"/>
        </w:rPr>
        <w:t xml:space="preserve"> of </w:t>
      </w:r>
      <w:r>
        <w:rPr>
          <w:szCs w:val="26"/>
        </w:rPr>
        <w:t>ASHPs</w:t>
      </w:r>
      <w:r w:rsidRPr="0098410B">
        <w:rPr>
          <w:szCs w:val="26"/>
        </w:rPr>
        <w:t xml:space="preserve"> receiving maintenance.</w:t>
      </w:r>
      <w:r w:rsidRPr="0098410B">
        <w:rPr>
          <w:rStyle w:val="FootnoteReference"/>
          <w:szCs w:val="26"/>
        </w:rPr>
        <w:footnoteReference w:id="95"/>
      </w:r>
      <w:r w:rsidRPr="0098410B">
        <w:rPr>
          <w:szCs w:val="26"/>
        </w:rPr>
        <w:t xml:space="preserve"> </w:t>
      </w:r>
      <w:r>
        <w:rPr>
          <w:szCs w:val="26"/>
        </w:rPr>
        <w:t xml:space="preserve"> We</w:t>
      </w:r>
      <w:r w:rsidRPr="0098410B">
        <w:rPr>
          <w:szCs w:val="26"/>
        </w:rPr>
        <w:t xml:space="preserve"> propose</w:t>
      </w:r>
      <w:r w:rsidR="00BC7E3B">
        <w:rPr>
          <w:szCs w:val="26"/>
        </w:rPr>
        <w:t>d</w:t>
      </w:r>
      <w:r>
        <w:rPr>
          <w:szCs w:val="26"/>
        </w:rPr>
        <w:t xml:space="preserve"> including the option</w:t>
      </w:r>
      <w:r w:rsidRPr="0098410B">
        <w:rPr>
          <w:szCs w:val="26"/>
        </w:rPr>
        <w:t xml:space="preserve"> of EDC Data Gathering</w:t>
      </w:r>
      <w:r>
        <w:rPr>
          <w:szCs w:val="26"/>
        </w:rPr>
        <w:t xml:space="preserve"> to this measure to allow for EDC-specific information to be used in lieu of the default value provided by the TRM.  </w:t>
      </w:r>
      <w:r w:rsidRPr="0098410B">
        <w:rPr>
          <w:szCs w:val="26"/>
        </w:rPr>
        <w:t xml:space="preserve">Additionally, </w:t>
      </w:r>
      <w:r>
        <w:rPr>
          <w:szCs w:val="26"/>
        </w:rPr>
        <w:t>we propose</w:t>
      </w:r>
      <w:r w:rsidR="00BC7E3B">
        <w:rPr>
          <w:szCs w:val="26"/>
        </w:rPr>
        <w:t>d</w:t>
      </w:r>
      <w:r>
        <w:rPr>
          <w:szCs w:val="26"/>
        </w:rPr>
        <w:t xml:space="preserve"> to update </w:t>
      </w:r>
      <w:r w:rsidRPr="0098410B">
        <w:rPr>
          <w:szCs w:val="26"/>
        </w:rPr>
        <w:t>the value of HSPF</w:t>
      </w:r>
      <w:r w:rsidRPr="0098410B">
        <w:rPr>
          <w:szCs w:val="26"/>
          <w:vertAlign w:val="subscript"/>
        </w:rPr>
        <w:t>m</w:t>
      </w:r>
      <w:r>
        <w:rPr>
          <w:szCs w:val="26"/>
        </w:rPr>
        <w:t xml:space="preserve"> f</w:t>
      </w:r>
      <w:r w:rsidRPr="0098410B">
        <w:rPr>
          <w:szCs w:val="26"/>
        </w:rPr>
        <w:t>rom 6.8 to 6.9 in accordance with the adjustment to the</w:t>
      </w:r>
      <w:r w:rsidRPr="00FB0524">
        <w:t xml:space="preserve"> </w:t>
      </w:r>
      <w:r w:rsidRPr="0098410B">
        <w:rPr>
          <w:szCs w:val="26"/>
        </w:rPr>
        <w:t>HSPF</w:t>
      </w:r>
      <w:r w:rsidRPr="0098410B">
        <w:rPr>
          <w:szCs w:val="26"/>
          <w:vertAlign w:val="subscript"/>
        </w:rPr>
        <w:t>b</w:t>
      </w:r>
      <w:r>
        <w:rPr>
          <w:szCs w:val="26"/>
        </w:rPr>
        <w:t>,</w:t>
      </w:r>
      <w:r w:rsidRPr="0098410B">
        <w:rPr>
          <w:szCs w:val="26"/>
        </w:rPr>
        <w:t xml:space="preserve">. </w:t>
      </w:r>
      <w:r w:rsidR="00491752">
        <w:rPr>
          <w:szCs w:val="26"/>
        </w:rPr>
        <w:t xml:space="preserve"> </w:t>
      </w:r>
      <w:r w:rsidR="00BE1AC3">
        <w:rPr>
          <w:szCs w:val="26"/>
        </w:rPr>
        <w:t>The Commission</w:t>
      </w:r>
      <w:r w:rsidR="009023DE">
        <w:rPr>
          <w:szCs w:val="26"/>
        </w:rPr>
        <w:t xml:space="preserve"> also</w:t>
      </w:r>
      <w:r w:rsidR="00BE1AC3">
        <w:rPr>
          <w:szCs w:val="26"/>
        </w:rPr>
        <w:t xml:space="preserve"> proposed an</w:t>
      </w:r>
      <w:r w:rsidRPr="001B675C">
        <w:rPr>
          <w:szCs w:val="26"/>
        </w:rPr>
        <w:t xml:space="preserve"> update</w:t>
      </w:r>
      <w:r w:rsidR="00BE1AC3">
        <w:rPr>
          <w:szCs w:val="26"/>
        </w:rPr>
        <w:t xml:space="preserve"> to</w:t>
      </w:r>
      <w:r w:rsidRPr="001B675C">
        <w:rPr>
          <w:szCs w:val="26"/>
        </w:rPr>
        <w:t xml:space="preserve"> the baseline HSPF</w:t>
      </w:r>
      <w:r w:rsidRPr="001B675C">
        <w:rPr>
          <w:szCs w:val="26"/>
          <w:vertAlign w:val="subscript"/>
        </w:rPr>
        <w:t>b</w:t>
      </w:r>
      <w:r w:rsidRPr="001B675C">
        <w:rPr>
          <w:szCs w:val="26"/>
        </w:rPr>
        <w:t xml:space="preserve"> to include a default HSPF</w:t>
      </w:r>
      <w:r>
        <w:rPr>
          <w:szCs w:val="26"/>
        </w:rPr>
        <w:t xml:space="preserve"> value</w:t>
      </w:r>
      <w:r w:rsidRPr="001B675C">
        <w:rPr>
          <w:szCs w:val="26"/>
        </w:rPr>
        <w:t xml:space="preserve"> of 6.9 for Early Replacement measures.  </w:t>
      </w:r>
    </w:p>
    <w:p w:rsidR="00BE1AC3" w:rsidRDefault="00BE1AC3" w:rsidP="001B6469">
      <w:pPr>
        <w:tabs>
          <w:tab w:val="left" w:pos="720"/>
          <w:tab w:val="left" w:pos="810"/>
          <w:tab w:val="left" w:pos="1350"/>
          <w:tab w:val="left" w:pos="1890"/>
          <w:tab w:val="left" w:pos="7362"/>
          <w:tab w:val="left" w:pos="7650"/>
        </w:tabs>
        <w:ind w:firstLine="720"/>
        <w:jc w:val="left"/>
        <w:rPr>
          <w:szCs w:val="26"/>
        </w:rPr>
      </w:pPr>
    </w:p>
    <w:p w:rsidR="005F668E" w:rsidRPr="009023DE" w:rsidRDefault="005F668E" w:rsidP="009023DE">
      <w:pPr>
        <w:jc w:val="left"/>
        <w:rPr>
          <w:b/>
          <w:szCs w:val="26"/>
        </w:rPr>
      </w:pPr>
      <w:r>
        <w:rPr>
          <w:szCs w:val="26"/>
        </w:rPr>
        <w:tab/>
      </w:r>
      <w:r>
        <w:rPr>
          <w:szCs w:val="26"/>
        </w:rPr>
        <w:tab/>
      </w:r>
      <w:r w:rsidR="009023DE">
        <w:rPr>
          <w:b/>
          <w:szCs w:val="26"/>
        </w:rPr>
        <w:t>a.</w:t>
      </w:r>
      <w:r w:rsidR="009023DE">
        <w:rPr>
          <w:b/>
          <w:szCs w:val="26"/>
        </w:rPr>
        <w:tab/>
        <w:t>Comments</w:t>
      </w:r>
    </w:p>
    <w:p w:rsidR="000C1B07" w:rsidRDefault="000C1B07" w:rsidP="001B6469">
      <w:pPr>
        <w:tabs>
          <w:tab w:val="left" w:pos="-3060"/>
        </w:tabs>
        <w:ind w:firstLine="720"/>
        <w:jc w:val="left"/>
        <w:rPr>
          <w:szCs w:val="26"/>
        </w:rPr>
      </w:pPr>
    </w:p>
    <w:p w:rsidR="000C1B07" w:rsidRDefault="00E73A52" w:rsidP="001B6469">
      <w:pPr>
        <w:tabs>
          <w:tab w:val="left" w:pos="-3060"/>
        </w:tabs>
        <w:ind w:firstLine="720"/>
        <w:jc w:val="left"/>
        <w:rPr>
          <w:szCs w:val="26"/>
        </w:rPr>
      </w:pPr>
      <w:r>
        <w:rPr>
          <w:szCs w:val="26"/>
        </w:rPr>
        <w:t>PPL requests</w:t>
      </w:r>
      <w:r w:rsidR="000C1B07">
        <w:rPr>
          <w:szCs w:val="26"/>
        </w:rPr>
        <w:t xml:space="preserve"> clarification on whether there will be a statewide definition of the term “early retirement</w:t>
      </w:r>
      <w:r>
        <w:rPr>
          <w:szCs w:val="26"/>
        </w:rPr>
        <w:t>,</w:t>
      </w:r>
      <w:r w:rsidR="000C1B07">
        <w:rPr>
          <w:szCs w:val="26"/>
        </w:rPr>
        <w:t xml:space="preserve">” </w:t>
      </w:r>
      <w:r w:rsidR="00491752">
        <w:rPr>
          <w:szCs w:val="26"/>
        </w:rPr>
        <w:t xml:space="preserve">noting </w:t>
      </w:r>
      <w:r w:rsidR="000C1B07">
        <w:rPr>
          <w:szCs w:val="26"/>
        </w:rPr>
        <w:t>that contractors may have different definitions</w:t>
      </w:r>
      <w:r>
        <w:rPr>
          <w:szCs w:val="26"/>
        </w:rPr>
        <w:t xml:space="preserve"> which</w:t>
      </w:r>
      <w:r w:rsidR="000C1B07">
        <w:rPr>
          <w:szCs w:val="26"/>
        </w:rPr>
        <w:t xml:space="preserve"> may </w:t>
      </w:r>
      <w:r w:rsidR="000C1B07">
        <w:rPr>
          <w:szCs w:val="26"/>
        </w:rPr>
        <w:lastRenderedPageBreak/>
        <w:t xml:space="preserve">affect the algorithms chosen. </w:t>
      </w:r>
      <w:r>
        <w:rPr>
          <w:szCs w:val="26"/>
        </w:rPr>
        <w:t xml:space="preserve"> </w:t>
      </w:r>
      <w:r w:rsidR="000C1B07">
        <w:rPr>
          <w:szCs w:val="26"/>
        </w:rPr>
        <w:t>PPL further requests clarification of whether the EER</w:t>
      </w:r>
      <w:r w:rsidR="000C1B07">
        <w:rPr>
          <w:szCs w:val="26"/>
          <w:vertAlign w:val="subscript"/>
        </w:rPr>
        <w:t xml:space="preserve">b </w:t>
      </w:r>
      <w:r w:rsidR="000C1B07">
        <w:rPr>
          <w:szCs w:val="26"/>
        </w:rPr>
        <w:t>and</w:t>
      </w:r>
      <w:r>
        <w:rPr>
          <w:szCs w:val="26"/>
        </w:rPr>
        <w:t xml:space="preserve"> the</w:t>
      </w:r>
      <w:r w:rsidRPr="00E73A52">
        <w:rPr>
          <w:rFonts w:cs="Arial"/>
          <w:szCs w:val="18"/>
        </w:rPr>
        <w:t xml:space="preserve"> </w:t>
      </w:r>
      <w:r>
        <w:rPr>
          <w:rFonts w:cs="Arial"/>
          <w:szCs w:val="18"/>
        </w:rPr>
        <w:t>e</w:t>
      </w:r>
      <w:r w:rsidRPr="00B138D4">
        <w:rPr>
          <w:rFonts w:cs="Arial"/>
          <w:szCs w:val="18"/>
        </w:rPr>
        <w:t xml:space="preserve">nergy </w:t>
      </w:r>
      <w:r>
        <w:rPr>
          <w:rFonts w:cs="Arial"/>
          <w:szCs w:val="18"/>
        </w:rPr>
        <w:t>e</w:t>
      </w:r>
      <w:r w:rsidRPr="00B138D4">
        <w:rPr>
          <w:rFonts w:cs="Arial"/>
          <w:szCs w:val="18"/>
        </w:rPr>
        <w:t xml:space="preserve">fficiency </w:t>
      </w:r>
      <w:r>
        <w:rPr>
          <w:rFonts w:cs="Arial"/>
          <w:szCs w:val="18"/>
        </w:rPr>
        <w:t>r</w:t>
      </w:r>
      <w:r w:rsidRPr="00B138D4">
        <w:rPr>
          <w:rFonts w:cs="Arial"/>
          <w:szCs w:val="18"/>
        </w:rPr>
        <w:t>atio of the unit being installed</w:t>
      </w:r>
      <w:r w:rsidR="000C1B07">
        <w:rPr>
          <w:szCs w:val="26"/>
        </w:rPr>
        <w:t xml:space="preserve"> </w:t>
      </w:r>
      <w:r>
        <w:rPr>
          <w:szCs w:val="26"/>
        </w:rPr>
        <w:t>(</w:t>
      </w:r>
      <w:r w:rsidR="000C1B07">
        <w:rPr>
          <w:szCs w:val="26"/>
        </w:rPr>
        <w:t>EER</w:t>
      </w:r>
      <w:r>
        <w:rPr>
          <w:szCs w:val="26"/>
          <w:vertAlign w:val="subscript"/>
        </w:rPr>
        <w:t>e</w:t>
      </w:r>
      <w:r>
        <w:rPr>
          <w:szCs w:val="26"/>
        </w:rPr>
        <w:t>) will be adjusted for ASHP</w:t>
      </w:r>
      <w:r w:rsidR="000C1B07">
        <w:rPr>
          <w:szCs w:val="26"/>
        </w:rPr>
        <w:t xml:space="preserve">s to account for the change in SEER. </w:t>
      </w:r>
      <w:r>
        <w:rPr>
          <w:szCs w:val="26"/>
        </w:rPr>
        <w:t xml:space="preserve"> </w:t>
      </w:r>
      <w:r w:rsidR="000C1B07">
        <w:rPr>
          <w:szCs w:val="26"/>
        </w:rPr>
        <w:t xml:space="preserve">Finally, PPL requests a </w:t>
      </w:r>
      <w:r>
        <w:rPr>
          <w:szCs w:val="26"/>
        </w:rPr>
        <w:t>reformatting</w:t>
      </w:r>
      <w:r w:rsidR="000C1B07">
        <w:rPr>
          <w:szCs w:val="26"/>
        </w:rPr>
        <w:t xml:space="preserve"> of the.</w:t>
      </w:r>
      <w:r w:rsidR="000C1B07">
        <w:rPr>
          <w:rStyle w:val="FootnoteReference"/>
          <w:szCs w:val="26"/>
        </w:rPr>
        <w:footnoteReference w:id="96"/>
      </w:r>
    </w:p>
    <w:p w:rsidR="000C1B07" w:rsidRDefault="000C1B07" w:rsidP="001B6469">
      <w:pPr>
        <w:tabs>
          <w:tab w:val="left" w:pos="-3060"/>
        </w:tabs>
        <w:ind w:firstLine="720"/>
        <w:jc w:val="left"/>
        <w:rPr>
          <w:szCs w:val="26"/>
        </w:rPr>
      </w:pPr>
    </w:p>
    <w:p w:rsidR="000C1B07" w:rsidRDefault="000C1B07" w:rsidP="001B6469">
      <w:pPr>
        <w:tabs>
          <w:tab w:val="left" w:pos="-3060"/>
        </w:tabs>
        <w:ind w:firstLine="720"/>
        <w:jc w:val="left"/>
        <w:rPr>
          <w:szCs w:val="26"/>
        </w:rPr>
      </w:pPr>
      <w:r>
        <w:rPr>
          <w:szCs w:val="26"/>
        </w:rPr>
        <w:t xml:space="preserve">PECO </w:t>
      </w:r>
      <w:r w:rsidR="001A6DDF">
        <w:rPr>
          <w:szCs w:val="26"/>
        </w:rPr>
        <w:t>requests the</w:t>
      </w:r>
      <w:r>
        <w:rPr>
          <w:szCs w:val="26"/>
        </w:rPr>
        <w:t xml:space="preserve"> formatting of measure components including </w:t>
      </w:r>
      <w:r w:rsidR="001A6DDF">
        <w:rPr>
          <w:rFonts w:cs="Arial"/>
          <w:szCs w:val="18"/>
        </w:rPr>
        <w:t>t</w:t>
      </w:r>
      <w:r w:rsidR="001A6DDF" w:rsidRPr="00B138D4">
        <w:rPr>
          <w:rFonts w:cs="Arial"/>
          <w:szCs w:val="18"/>
        </w:rPr>
        <w:t>he cooling capacity of the central air conditioner or heat pump being installed</w:t>
      </w:r>
      <w:r w:rsidR="001A6DDF">
        <w:rPr>
          <w:szCs w:val="26"/>
        </w:rPr>
        <w:t xml:space="preserve"> (</w:t>
      </w:r>
      <w:r>
        <w:rPr>
          <w:szCs w:val="26"/>
        </w:rPr>
        <w:t>CAPY</w:t>
      </w:r>
      <w:r w:rsidR="001A6DDF" w:rsidRPr="001A6DDF">
        <w:rPr>
          <w:szCs w:val="26"/>
          <w:vertAlign w:val="subscript"/>
        </w:rPr>
        <w:t>cool</w:t>
      </w:r>
      <w:r w:rsidR="001A6DDF">
        <w:rPr>
          <w:szCs w:val="26"/>
        </w:rPr>
        <w:t>)</w:t>
      </w:r>
      <w:r w:rsidR="00E82C9C">
        <w:rPr>
          <w:szCs w:val="26"/>
        </w:rPr>
        <w:t>;</w:t>
      </w:r>
      <w:r>
        <w:rPr>
          <w:szCs w:val="26"/>
        </w:rPr>
        <w:t xml:space="preserve"> </w:t>
      </w:r>
      <w:r w:rsidR="001A6DDF">
        <w:rPr>
          <w:rFonts w:cs="Arial"/>
          <w:szCs w:val="18"/>
        </w:rPr>
        <w:t>t</w:t>
      </w:r>
      <w:r w:rsidR="001A6DDF" w:rsidRPr="00B138D4">
        <w:rPr>
          <w:rFonts w:cs="Arial"/>
          <w:szCs w:val="18"/>
        </w:rPr>
        <w:t>he heating capacity of the central air conditioner or heat pump being installed</w:t>
      </w:r>
      <w:r w:rsidR="00E82C9C">
        <w:rPr>
          <w:rFonts w:cs="Arial"/>
          <w:szCs w:val="18"/>
        </w:rPr>
        <w:t xml:space="preserve"> </w:t>
      </w:r>
      <w:r w:rsidR="00E82C9C">
        <w:rPr>
          <w:szCs w:val="26"/>
        </w:rPr>
        <w:t>(CAPY</w:t>
      </w:r>
      <w:r w:rsidR="00E82C9C">
        <w:rPr>
          <w:szCs w:val="26"/>
          <w:vertAlign w:val="subscript"/>
        </w:rPr>
        <w:t>heat</w:t>
      </w:r>
      <w:r w:rsidR="00E82C9C">
        <w:rPr>
          <w:szCs w:val="26"/>
        </w:rPr>
        <w:t xml:space="preserve">); </w:t>
      </w:r>
      <w:r>
        <w:rPr>
          <w:szCs w:val="26"/>
        </w:rPr>
        <w:t>SEER</w:t>
      </w:r>
      <w:r>
        <w:rPr>
          <w:szCs w:val="26"/>
          <w:vertAlign w:val="subscript"/>
        </w:rPr>
        <w:t>b</w:t>
      </w:r>
      <w:r w:rsidR="00E82C9C">
        <w:rPr>
          <w:szCs w:val="26"/>
          <w:vertAlign w:val="subscript"/>
        </w:rPr>
        <w:t>;</w:t>
      </w:r>
      <w:r>
        <w:rPr>
          <w:szCs w:val="26"/>
        </w:rPr>
        <w:t xml:space="preserve"> and C</w:t>
      </w:r>
      <w:r w:rsidR="00E82C9C">
        <w:rPr>
          <w:szCs w:val="26"/>
        </w:rPr>
        <w:t>F, as well as source references</w:t>
      </w:r>
      <w:r>
        <w:rPr>
          <w:szCs w:val="26"/>
        </w:rPr>
        <w:t xml:space="preserve">. </w:t>
      </w:r>
      <w:r w:rsidR="00E82C9C">
        <w:rPr>
          <w:szCs w:val="26"/>
        </w:rPr>
        <w:t xml:space="preserve"> Further, PECO requests</w:t>
      </w:r>
      <w:r>
        <w:rPr>
          <w:szCs w:val="26"/>
        </w:rPr>
        <w:t xml:space="preserve"> clarification to the SEER</w:t>
      </w:r>
      <w:r w:rsidRPr="00126500">
        <w:rPr>
          <w:szCs w:val="26"/>
          <w:vertAlign w:val="subscript"/>
        </w:rPr>
        <w:t>b</w:t>
      </w:r>
      <w:r>
        <w:rPr>
          <w:szCs w:val="26"/>
          <w:vertAlign w:val="subscript"/>
        </w:rPr>
        <w:t xml:space="preserve"> </w:t>
      </w:r>
      <w:r>
        <w:rPr>
          <w:szCs w:val="26"/>
        </w:rPr>
        <w:t xml:space="preserve">definition to include the values for single or split package designations. </w:t>
      </w:r>
      <w:r w:rsidR="00E82C9C">
        <w:rPr>
          <w:szCs w:val="26"/>
        </w:rPr>
        <w:t xml:space="preserve"> </w:t>
      </w:r>
      <w:r>
        <w:rPr>
          <w:szCs w:val="26"/>
        </w:rPr>
        <w:t>In addition, PECO comment</w:t>
      </w:r>
      <w:r w:rsidR="00E82C9C">
        <w:rPr>
          <w:szCs w:val="26"/>
        </w:rPr>
        <w:t>s</w:t>
      </w:r>
      <w:r>
        <w:rPr>
          <w:szCs w:val="26"/>
        </w:rPr>
        <w:t xml:space="preserve"> that the </w:t>
      </w:r>
      <w:r w:rsidR="00E82C9C">
        <w:rPr>
          <w:rFonts w:cs="Arial"/>
          <w:szCs w:val="18"/>
        </w:rPr>
        <w:t>a</w:t>
      </w:r>
      <w:r w:rsidR="00E82C9C" w:rsidRPr="00B138D4">
        <w:rPr>
          <w:rFonts w:cs="Arial"/>
          <w:szCs w:val="18"/>
        </w:rPr>
        <w:t>ssumed peak-demand savings per furnace high efficiency fan</w:t>
      </w:r>
      <w:r w:rsidR="00E82C9C">
        <w:rPr>
          <w:szCs w:val="26"/>
        </w:rPr>
        <w:t xml:space="preserve"> (</w:t>
      </w:r>
      <w:r>
        <w:rPr>
          <w:szCs w:val="26"/>
        </w:rPr>
        <w:t>PDFS</w:t>
      </w:r>
      <w:r w:rsidR="00E82C9C">
        <w:rPr>
          <w:szCs w:val="26"/>
        </w:rPr>
        <w:t>)</w:t>
      </w:r>
      <w:r>
        <w:rPr>
          <w:szCs w:val="26"/>
        </w:rPr>
        <w:t xml:space="preserve"> is calculated incorrectly according to Source 18.</w:t>
      </w:r>
      <w:r>
        <w:rPr>
          <w:rStyle w:val="FootnoteReference"/>
          <w:szCs w:val="26"/>
        </w:rPr>
        <w:footnoteReference w:id="97"/>
      </w:r>
    </w:p>
    <w:p w:rsidR="000C1B07" w:rsidRDefault="000C1B07" w:rsidP="001B6469">
      <w:pPr>
        <w:tabs>
          <w:tab w:val="left" w:pos="-3060"/>
        </w:tabs>
        <w:ind w:firstLine="720"/>
        <w:jc w:val="left"/>
        <w:rPr>
          <w:szCs w:val="26"/>
        </w:rPr>
      </w:pPr>
    </w:p>
    <w:p w:rsidR="000C1B07" w:rsidRPr="007A6495" w:rsidRDefault="001A6DDF" w:rsidP="001B6469">
      <w:pPr>
        <w:tabs>
          <w:tab w:val="left" w:pos="-3060"/>
        </w:tabs>
        <w:ind w:firstLine="720"/>
        <w:jc w:val="left"/>
        <w:rPr>
          <w:szCs w:val="26"/>
        </w:rPr>
      </w:pPr>
      <w:r>
        <w:rPr>
          <w:b/>
          <w:szCs w:val="26"/>
        </w:rPr>
        <w:tab/>
        <w:t>b</w:t>
      </w:r>
      <w:r w:rsidR="000C1B07">
        <w:rPr>
          <w:b/>
          <w:szCs w:val="26"/>
        </w:rPr>
        <w:t>.</w:t>
      </w:r>
      <w:r w:rsidR="000C1B07">
        <w:rPr>
          <w:b/>
          <w:szCs w:val="26"/>
        </w:rPr>
        <w:tab/>
        <w:t>Disposition</w:t>
      </w:r>
    </w:p>
    <w:p w:rsidR="000C1B07" w:rsidRDefault="000C1B07" w:rsidP="001B6469">
      <w:pPr>
        <w:tabs>
          <w:tab w:val="left" w:pos="-3060"/>
        </w:tabs>
        <w:ind w:firstLine="720"/>
        <w:jc w:val="left"/>
        <w:rPr>
          <w:szCs w:val="26"/>
        </w:rPr>
      </w:pPr>
    </w:p>
    <w:p w:rsidR="000C1B07" w:rsidRDefault="000C1B07" w:rsidP="001B6469">
      <w:pPr>
        <w:tabs>
          <w:tab w:val="left" w:pos="-3060"/>
        </w:tabs>
        <w:ind w:firstLine="720"/>
        <w:jc w:val="left"/>
        <w:rPr>
          <w:szCs w:val="26"/>
        </w:rPr>
      </w:pPr>
      <w:r>
        <w:rPr>
          <w:szCs w:val="26"/>
        </w:rPr>
        <w:t xml:space="preserve">The Commission advises PPL that the definition of “early retirement” is included in the </w:t>
      </w:r>
      <w:r w:rsidR="00631772">
        <w:rPr>
          <w:szCs w:val="26"/>
        </w:rPr>
        <w:t>Section 1.3 - Definitions</w:t>
      </w:r>
      <w:r w:rsidR="0006264C">
        <w:rPr>
          <w:szCs w:val="26"/>
        </w:rPr>
        <w:t xml:space="preserve"> and will not be modified.</w:t>
      </w:r>
      <w:r w:rsidR="00631772">
        <w:rPr>
          <w:szCs w:val="26"/>
        </w:rPr>
        <w:t xml:space="preserve">  We agree</w:t>
      </w:r>
      <w:r>
        <w:rPr>
          <w:szCs w:val="26"/>
        </w:rPr>
        <w:t xml:space="preserve"> with PPL’s request to </w:t>
      </w:r>
      <w:r w:rsidR="00631772">
        <w:rPr>
          <w:szCs w:val="26"/>
        </w:rPr>
        <w:t>clarify the EER values for ASHP</w:t>
      </w:r>
      <w:r>
        <w:rPr>
          <w:szCs w:val="26"/>
        </w:rPr>
        <w:t xml:space="preserve">s and </w:t>
      </w:r>
      <w:r w:rsidR="00631772">
        <w:rPr>
          <w:szCs w:val="26"/>
        </w:rPr>
        <w:t>have</w:t>
      </w:r>
      <w:r>
        <w:rPr>
          <w:szCs w:val="26"/>
        </w:rPr>
        <w:t xml:space="preserve"> adjusted the va</w:t>
      </w:r>
      <w:r w:rsidR="0006264C">
        <w:rPr>
          <w:szCs w:val="26"/>
        </w:rPr>
        <w:t xml:space="preserve">lues in the </w:t>
      </w:r>
      <w:r w:rsidR="00631772">
        <w:rPr>
          <w:szCs w:val="26"/>
        </w:rPr>
        <w:t>T</w:t>
      </w:r>
      <w:r w:rsidR="0006264C">
        <w:rPr>
          <w:szCs w:val="26"/>
        </w:rPr>
        <w:t xml:space="preserve">able 2-11. </w:t>
      </w:r>
      <w:r w:rsidR="00631772">
        <w:rPr>
          <w:szCs w:val="26"/>
        </w:rPr>
        <w:t xml:space="preserve"> </w:t>
      </w:r>
      <w:r>
        <w:rPr>
          <w:szCs w:val="26"/>
        </w:rPr>
        <w:t xml:space="preserve">Further, the Commission agrees with PECO’s request to reformat certain measure components for clarity and </w:t>
      </w:r>
      <w:r w:rsidR="00631772">
        <w:rPr>
          <w:szCs w:val="26"/>
        </w:rPr>
        <w:t xml:space="preserve">to </w:t>
      </w:r>
      <w:r>
        <w:rPr>
          <w:szCs w:val="26"/>
        </w:rPr>
        <w:t>update sources, as well as</w:t>
      </w:r>
      <w:r w:rsidR="00631772">
        <w:rPr>
          <w:szCs w:val="26"/>
        </w:rPr>
        <w:t xml:space="preserve"> to</w:t>
      </w:r>
      <w:r>
        <w:rPr>
          <w:szCs w:val="26"/>
        </w:rPr>
        <w:t xml:space="preserve"> clarify the SEER</w:t>
      </w:r>
      <w:r w:rsidRPr="00126500">
        <w:rPr>
          <w:szCs w:val="26"/>
          <w:vertAlign w:val="subscript"/>
        </w:rPr>
        <w:t>b</w:t>
      </w:r>
      <w:r>
        <w:rPr>
          <w:szCs w:val="26"/>
        </w:rPr>
        <w:t xml:space="preserve"> f</w:t>
      </w:r>
      <w:r w:rsidR="00631772">
        <w:rPr>
          <w:szCs w:val="26"/>
        </w:rPr>
        <w:t xml:space="preserve">or packaged or split systems.  </w:t>
      </w:r>
      <w:r w:rsidR="00207C18">
        <w:rPr>
          <w:szCs w:val="26"/>
        </w:rPr>
        <w:t>Lastly</w:t>
      </w:r>
      <w:r>
        <w:rPr>
          <w:szCs w:val="26"/>
        </w:rPr>
        <w:t>, the Commission agrees with PECO’s comment to corre</w:t>
      </w:r>
      <w:r w:rsidR="00207C18">
        <w:rPr>
          <w:szCs w:val="26"/>
        </w:rPr>
        <w:t>ct the PDFS value.</w:t>
      </w:r>
    </w:p>
    <w:p w:rsidR="001863EC" w:rsidRPr="00AC6135" w:rsidRDefault="001863EC" w:rsidP="001B6469">
      <w:pPr>
        <w:ind w:firstLine="720"/>
        <w:jc w:val="left"/>
        <w:rPr>
          <w:szCs w:val="26"/>
        </w:rPr>
      </w:pPr>
      <w:bookmarkStart w:id="106" w:name="_Toc394648177"/>
      <w:bookmarkStart w:id="107" w:name="_Toc396910605"/>
    </w:p>
    <w:p w:rsidR="001863EC" w:rsidRPr="00566371" w:rsidRDefault="0043466B" w:rsidP="006F0617">
      <w:pPr>
        <w:pStyle w:val="Heading3"/>
        <w:numPr>
          <w:ilvl w:val="0"/>
          <w:numId w:val="0"/>
        </w:numPr>
        <w:ind w:left="1440" w:hanging="720"/>
      </w:pPr>
      <w:bookmarkStart w:id="108" w:name="_Toc405802393"/>
      <w:bookmarkStart w:id="109" w:name="_Toc405884723"/>
      <w:r>
        <w:t>6</w:t>
      </w:r>
      <w:r w:rsidR="006F0617">
        <w:t>.</w:t>
      </w:r>
      <w:r w:rsidR="006F0617">
        <w:tab/>
      </w:r>
      <w:r w:rsidR="001863EC">
        <w:t>Section 2.2.3 – Ductless Mini-S</w:t>
      </w:r>
      <w:r w:rsidR="001863EC" w:rsidRPr="00566371">
        <w:t>plit Heat Pumps</w:t>
      </w:r>
      <w:bookmarkEnd w:id="108"/>
      <w:bookmarkEnd w:id="109"/>
    </w:p>
    <w:p w:rsidR="001863EC" w:rsidRPr="00566371" w:rsidRDefault="001863EC" w:rsidP="001B6469">
      <w:pPr>
        <w:pStyle w:val="BodyTextIndent3"/>
        <w:spacing w:after="0" w:line="360" w:lineRule="auto"/>
        <w:jc w:val="left"/>
        <w:rPr>
          <w:rFonts w:ascii="Times New Roman" w:hAnsi="Times New Roman"/>
          <w:sz w:val="26"/>
          <w:szCs w:val="26"/>
        </w:rPr>
      </w:pPr>
    </w:p>
    <w:p w:rsidR="001863EC" w:rsidRDefault="001863EC" w:rsidP="001B6469">
      <w:pPr>
        <w:ind w:firstLine="720"/>
        <w:jc w:val="left"/>
        <w:rPr>
          <w:szCs w:val="26"/>
        </w:rPr>
      </w:pPr>
      <w:r w:rsidRPr="00566371">
        <w:rPr>
          <w:szCs w:val="26"/>
        </w:rPr>
        <w:t>The Commission propose</w:t>
      </w:r>
      <w:r>
        <w:rPr>
          <w:szCs w:val="26"/>
        </w:rPr>
        <w:t>d</w:t>
      </w:r>
      <w:r w:rsidRPr="00566371">
        <w:rPr>
          <w:szCs w:val="26"/>
        </w:rPr>
        <w:t xml:space="preserve"> revising the algorithms </w:t>
      </w:r>
      <w:r>
        <w:rPr>
          <w:szCs w:val="26"/>
        </w:rPr>
        <w:t xml:space="preserve">for Section 2.2.3 – Ductless Mini-Split Heat Pumps </w:t>
      </w:r>
      <w:r w:rsidRPr="00566371">
        <w:rPr>
          <w:szCs w:val="26"/>
        </w:rPr>
        <w:t>based on data showing that the 2014 TRM algorithms under-</w:t>
      </w:r>
      <w:r w:rsidRPr="00566371">
        <w:rPr>
          <w:szCs w:val="26"/>
        </w:rPr>
        <w:lastRenderedPageBreak/>
        <w:t>estimated savings.</w:t>
      </w:r>
      <w:r w:rsidRPr="00566371">
        <w:rPr>
          <w:rStyle w:val="FootnoteReference"/>
          <w:szCs w:val="26"/>
        </w:rPr>
        <w:footnoteReference w:id="98"/>
      </w:r>
      <w:r w:rsidRPr="00566371">
        <w:rPr>
          <w:szCs w:val="26"/>
        </w:rPr>
        <w:t xml:space="preserve">  We propose</w:t>
      </w:r>
      <w:r>
        <w:rPr>
          <w:szCs w:val="26"/>
        </w:rPr>
        <w:t>d</w:t>
      </w:r>
      <w:r w:rsidRPr="00566371">
        <w:rPr>
          <w:szCs w:val="26"/>
        </w:rPr>
        <w:t xml:space="preserve"> removing the Load Factor (LF) and instead, in certain cases, apply an Oversize Factor (OF) to the baseline capacity to account for the fact that </w:t>
      </w:r>
      <w:r>
        <w:rPr>
          <w:szCs w:val="26"/>
        </w:rPr>
        <w:t>central AC and ASHP</w:t>
      </w:r>
      <w:r w:rsidRPr="00566371">
        <w:rPr>
          <w:szCs w:val="26"/>
        </w:rPr>
        <w:t xml:space="preserve"> systems are typically oversized.</w:t>
      </w:r>
      <w:r w:rsidRPr="00566371">
        <w:rPr>
          <w:rStyle w:val="FootnoteReference"/>
          <w:szCs w:val="26"/>
        </w:rPr>
        <w:footnoteReference w:id="99"/>
      </w:r>
      <w:r w:rsidRPr="00566371">
        <w:rPr>
          <w:szCs w:val="26"/>
        </w:rPr>
        <w:t xml:space="preserve"> </w:t>
      </w:r>
      <w:r>
        <w:rPr>
          <w:szCs w:val="26"/>
        </w:rPr>
        <w:t xml:space="preserve"> </w:t>
      </w:r>
      <w:r w:rsidRPr="00566371">
        <w:rPr>
          <w:szCs w:val="26"/>
        </w:rPr>
        <w:t>A ductless system is assumed to</w:t>
      </w:r>
      <w:r>
        <w:rPr>
          <w:szCs w:val="26"/>
        </w:rPr>
        <w:t xml:space="preserve"> be either properly sized or sized to </w:t>
      </w:r>
      <w:r w:rsidRPr="00566371">
        <w:rPr>
          <w:szCs w:val="26"/>
        </w:rPr>
        <w:t xml:space="preserve">offset some portion of the central system’s load. </w:t>
      </w:r>
      <w:r>
        <w:rPr>
          <w:szCs w:val="26"/>
        </w:rPr>
        <w:t xml:space="preserve"> </w:t>
      </w:r>
      <w:r w:rsidRPr="00566371">
        <w:rPr>
          <w:szCs w:val="26"/>
        </w:rPr>
        <w:t xml:space="preserve">Additionally, the </w:t>
      </w:r>
      <w:r>
        <w:rPr>
          <w:szCs w:val="26"/>
        </w:rPr>
        <w:t>Commission proposed applying,</w:t>
      </w:r>
      <w:r w:rsidRPr="00566371">
        <w:rPr>
          <w:szCs w:val="26"/>
        </w:rPr>
        <w:t xml:space="preserve"> in instances where the baseline is a ducted system,</w:t>
      </w:r>
      <w:r>
        <w:rPr>
          <w:szCs w:val="26"/>
        </w:rPr>
        <w:t xml:space="preserve"> a </w:t>
      </w:r>
      <w:r w:rsidRPr="00566371">
        <w:rPr>
          <w:szCs w:val="26"/>
        </w:rPr>
        <w:t>Duct Loss Factor (DLF) of 1.1</w:t>
      </w:r>
      <w:r>
        <w:rPr>
          <w:szCs w:val="26"/>
        </w:rPr>
        <w:t xml:space="preserve">5 to the baseline energy usage </w:t>
      </w:r>
      <w:r w:rsidRPr="00566371">
        <w:rPr>
          <w:szCs w:val="26"/>
        </w:rPr>
        <w:t>to account for the fact that approximately 15% of the energy is lost to leakage and conduction through the ductwork.</w:t>
      </w:r>
      <w:r w:rsidRPr="00566371">
        <w:rPr>
          <w:rStyle w:val="FootnoteReference"/>
          <w:szCs w:val="26"/>
        </w:rPr>
        <w:footnoteReference w:id="100"/>
      </w:r>
      <w:r>
        <w:rPr>
          <w:szCs w:val="26"/>
        </w:rPr>
        <w:t xml:space="preserve">  </w:t>
      </w:r>
      <w:r w:rsidRPr="0098410B">
        <w:rPr>
          <w:szCs w:val="26"/>
        </w:rPr>
        <w:t>In a</w:t>
      </w:r>
      <w:r>
        <w:rPr>
          <w:szCs w:val="26"/>
        </w:rPr>
        <w:t>ddition, the Commission proposed</w:t>
      </w:r>
      <w:r w:rsidRPr="0098410B">
        <w:rPr>
          <w:szCs w:val="26"/>
        </w:rPr>
        <w:t xml:space="preserve"> revising the multi-zone algorithms to allow different baselines for each zone, if applicable.</w:t>
      </w:r>
    </w:p>
    <w:p w:rsidR="001863EC" w:rsidRDefault="001863EC" w:rsidP="001B6469">
      <w:pPr>
        <w:jc w:val="left"/>
        <w:rPr>
          <w:szCs w:val="26"/>
        </w:rPr>
      </w:pPr>
    </w:p>
    <w:p w:rsidR="001863EC" w:rsidRDefault="006F0617" w:rsidP="001B6469">
      <w:pPr>
        <w:jc w:val="left"/>
        <w:rPr>
          <w:szCs w:val="26"/>
        </w:rPr>
      </w:pPr>
      <w:r>
        <w:rPr>
          <w:szCs w:val="26"/>
        </w:rPr>
        <w:tab/>
      </w:r>
      <w:r>
        <w:rPr>
          <w:szCs w:val="26"/>
        </w:rPr>
        <w:tab/>
      </w:r>
      <w:r>
        <w:rPr>
          <w:b/>
          <w:szCs w:val="26"/>
        </w:rPr>
        <w:t>a</w:t>
      </w:r>
      <w:r w:rsidR="001863EC">
        <w:rPr>
          <w:b/>
          <w:szCs w:val="26"/>
        </w:rPr>
        <w:t>.</w:t>
      </w:r>
      <w:r w:rsidR="001863EC">
        <w:rPr>
          <w:b/>
          <w:szCs w:val="26"/>
        </w:rPr>
        <w:tab/>
        <w:t>Comments</w:t>
      </w:r>
    </w:p>
    <w:p w:rsidR="001863EC" w:rsidRDefault="001863EC" w:rsidP="001B6469">
      <w:pPr>
        <w:jc w:val="left"/>
        <w:rPr>
          <w:szCs w:val="26"/>
        </w:rPr>
      </w:pPr>
    </w:p>
    <w:p w:rsidR="001863EC" w:rsidRDefault="001863EC" w:rsidP="001B6469">
      <w:pPr>
        <w:ind w:firstLine="720"/>
        <w:jc w:val="left"/>
        <w:rPr>
          <w:szCs w:val="26"/>
        </w:rPr>
      </w:pPr>
      <w:r>
        <w:rPr>
          <w:szCs w:val="26"/>
        </w:rPr>
        <w:t>PECO comments that the source for</w:t>
      </w:r>
      <w:r w:rsidR="006F0617">
        <w:rPr>
          <w:szCs w:val="26"/>
        </w:rPr>
        <w:t xml:space="preserve"> the duct leakage factor (</w:t>
      </w:r>
      <w:r>
        <w:rPr>
          <w:szCs w:val="26"/>
        </w:rPr>
        <w:t>DLF</w:t>
      </w:r>
      <w:r w:rsidR="006F0617">
        <w:rPr>
          <w:szCs w:val="26"/>
        </w:rPr>
        <w:t>)</w:t>
      </w:r>
      <w:r>
        <w:rPr>
          <w:szCs w:val="26"/>
        </w:rPr>
        <w:t xml:space="preserve"> should be added. </w:t>
      </w:r>
      <w:r w:rsidR="006F0617">
        <w:rPr>
          <w:szCs w:val="26"/>
        </w:rPr>
        <w:t xml:space="preserve"> </w:t>
      </w:r>
      <w:r>
        <w:rPr>
          <w:szCs w:val="26"/>
        </w:rPr>
        <w:t>PECO also comments that t</w:t>
      </w:r>
      <w:r w:rsidRPr="000E5BEC">
        <w:rPr>
          <w:szCs w:val="26"/>
        </w:rPr>
        <w:t>he text in Source 4 is incomplete and recommend</w:t>
      </w:r>
      <w:r>
        <w:rPr>
          <w:szCs w:val="26"/>
        </w:rPr>
        <w:t>s</w:t>
      </w:r>
      <w:r w:rsidRPr="000E5BEC">
        <w:rPr>
          <w:szCs w:val="26"/>
        </w:rPr>
        <w:t xml:space="preserve"> </w:t>
      </w:r>
      <w:r>
        <w:rPr>
          <w:szCs w:val="26"/>
        </w:rPr>
        <w:t>more detail.</w:t>
      </w:r>
      <w:r w:rsidR="00524FD6">
        <w:rPr>
          <w:rStyle w:val="FootnoteReference"/>
          <w:szCs w:val="26"/>
        </w:rPr>
        <w:footnoteReference w:id="101"/>
      </w:r>
      <w:r w:rsidR="00491752">
        <w:rPr>
          <w:szCs w:val="26"/>
        </w:rPr>
        <w:t xml:space="preserve">  </w:t>
      </w:r>
      <w:r>
        <w:rPr>
          <w:szCs w:val="26"/>
        </w:rPr>
        <w:t>Mitsubishi Electric suggests making the measure life 18 years.</w:t>
      </w:r>
      <w:r w:rsidR="00524FD6">
        <w:rPr>
          <w:rStyle w:val="FootnoteReference"/>
          <w:szCs w:val="26"/>
        </w:rPr>
        <w:footnoteReference w:id="102"/>
      </w:r>
    </w:p>
    <w:p w:rsidR="001863EC" w:rsidRDefault="001863EC" w:rsidP="001B6469">
      <w:pPr>
        <w:tabs>
          <w:tab w:val="left" w:pos="-3060"/>
        </w:tabs>
        <w:jc w:val="left"/>
        <w:rPr>
          <w:szCs w:val="26"/>
        </w:rPr>
      </w:pPr>
    </w:p>
    <w:p w:rsidR="001863EC" w:rsidRDefault="006F0617" w:rsidP="001B6469">
      <w:pPr>
        <w:tabs>
          <w:tab w:val="left" w:pos="-3060"/>
        </w:tabs>
        <w:ind w:firstLine="720"/>
        <w:jc w:val="left"/>
        <w:rPr>
          <w:b/>
          <w:szCs w:val="26"/>
        </w:rPr>
      </w:pPr>
      <w:r>
        <w:rPr>
          <w:szCs w:val="26"/>
        </w:rPr>
        <w:tab/>
      </w:r>
      <w:r>
        <w:rPr>
          <w:b/>
          <w:szCs w:val="26"/>
        </w:rPr>
        <w:t>b</w:t>
      </w:r>
      <w:r w:rsidR="001863EC">
        <w:rPr>
          <w:b/>
          <w:szCs w:val="26"/>
        </w:rPr>
        <w:t>.</w:t>
      </w:r>
      <w:r w:rsidR="001863EC">
        <w:rPr>
          <w:b/>
          <w:szCs w:val="26"/>
        </w:rPr>
        <w:tab/>
        <w:t>Disposition</w:t>
      </w:r>
    </w:p>
    <w:p w:rsidR="001863EC" w:rsidRDefault="001863EC" w:rsidP="001B6469">
      <w:pPr>
        <w:tabs>
          <w:tab w:val="left" w:pos="-3060"/>
        </w:tabs>
        <w:ind w:firstLine="720"/>
        <w:jc w:val="left"/>
        <w:rPr>
          <w:szCs w:val="26"/>
        </w:rPr>
      </w:pPr>
    </w:p>
    <w:p w:rsidR="001863EC" w:rsidRDefault="001863EC" w:rsidP="001B6469">
      <w:pPr>
        <w:ind w:firstLine="720"/>
        <w:jc w:val="left"/>
        <w:rPr>
          <w:szCs w:val="26"/>
        </w:rPr>
      </w:pPr>
      <w:r>
        <w:rPr>
          <w:szCs w:val="26"/>
        </w:rPr>
        <w:t xml:space="preserve">The Commission </w:t>
      </w:r>
      <w:r w:rsidR="006F0617">
        <w:rPr>
          <w:szCs w:val="26"/>
        </w:rPr>
        <w:t>has added a source for the DLF</w:t>
      </w:r>
      <w:r>
        <w:rPr>
          <w:szCs w:val="26"/>
        </w:rPr>
        <w:t>. The Commission also agrees that Source 4 is confusing and has</w:t>
      </w:r>
      <w:r w:rsidR="005E08F8">
        <w:rPr>
          <w:szCs w:val="26"/>
        </w:rPr>
        <w:t xml:space="preserve"> added clarification</w:t>
      </w:r>
      <w:r>
        <w:rPr>
          <w:szCs w:val="26"/>
        </w:rPr>
        <w:t>.</w:t>
      </w:r>
      <w:r w:rsidR="00D42D52">
        <w:rPr>
          <w:szCs w:val="26"/>
        </w:rPr>
        <w:t xml:space="preserve">  </w:t>
      </w:r>
      <w:r>
        <w:rPr>
          <w:szCs w:val="26"/>
        </w:rPr>
        <w:t>The Commissio</w:t>
      </w:r>
      <w:r w:rsidR="005E08F8">
        <w:rPr>
          <w:szCs w:val="26"/>
        </w:rPr>
        <w:t xml:space="preserve">n rejects </w:t>
      </w:r>
      <w:r w:rsidR="005E08F8">
        <w:rPr>
          <w:szCs w:val="26"/>
        </w:rPr>
        <w:lastRenderedPageBreak/>
        <w:t>Mitsubishi</w:t>
      </w:r>
      <w:r w:rsidR="00FB3771">
        <w:rPr>
          <w:szCs w:val="26"/>
        </w:rPr>
        <w:t xml:space="preserve"> Electric</w:t>
      </w:r>
      <w:r w:rsidR="005E08F8">
        <w:rPr>
          <w:szCs w:val="26"/>
        </w:rPr>
        <w:t>’s suggestion since</w:t>
      </w:r>
      <w:r>
        <w:rPr>
          <w:szCs w:val="26"/>
        </w:rPr>
        <w:t xml:space="preserve"> the maximum measure life allowed under Act 129 is 15 years.</w:t>
      </w:r>
      <w:r w:rsidR="006F0617">
        <w:rPr>
          <w:rStyle w:val="FootnoteReference"/>
          <w:szCs w:val="26"/>
        </w:rPr>
        <w:footnoteReference w:id="103"/>
      </w:r>
    </w:p>
    <w:p w:rsidR="001863EC" w:rsidRPr="0098410B" w:rsidRDefault="001863EC" w:rsidP="001B6469">
      <w:pPr>
        <w:pStyle w:val="BodyTextIndent3"/>
        <w:spacing w:after="0" w:line="360" w:lineRule="auto"/>
        <w:jc w:val="left"/>
        <w:rPr>
          <w:rFonts w:ascii="Times New Roman" w:hAnsi="Times New Roman"/>
          <w:sz w:val="26"/>
          <w:szCs w:val="26"/>
        </w:rPr>
      </w:pPr>
    </w:p>
    <w:p w:rsidR="001863EC" w:rsidRPr="0098410B" w:rsidRDefault="009C0282" w:rsidP="009C0282">
      <w:pPr>
        <w:pStyle w:val="Heading3"/>
        <w:numPr>
          <w:ilvl w:val="0"/>
          <w:numId w:val="0"/>
        </w:numPr>
        <w:ind w:left="1440" w:hanging="720"/>
      </w:pPr>
      <w:bookmarkStart w:id="110" w:name="_Toc405802394"/>
      <w:bookmarkStart w:id="111" w:name="_Toc405884724"/>
      <w:r>
        <w:t>7.</w:t>
      </w:r>
      <w:r>
        <w:tab/>
      </w:r>
      <w:r w:rsidR="001863EC">
        <w:t xml:space="preserve">Section 2.2.5 – Room </w:t>
      </w:r>
      <w:r w:rsidR="001863EC" w:rsidRPr="0098410B">
        <w:t>AC (RAC) Retirement</w:t>
      </w:r>
      <w:r w:rsidR="00AF4370" w:rsidRPr="009C0282">
        <w:rPr>
          <w:rStyle w:val="FootnoteReference"/>
          <w:b w:val="0"/>
        </w:rPr>
        <w:footnoteReference w:id="104"/>
      </w:r>
      <w:bookmarkEnd w:id="110"/>
      <w:bookmarkEnd w:id="111"/>
    </w:p>
    <w:p w:rsidR="001863EC" w:rsidRPr="0098410B" w:rsidRDefault="001863EC" w:rsidP="001B6469">
      <w:pPr>
        <w:pStyle w:val="BodyTextIndent3"/>
        <w:spacing w:after="0" w:line="360" w:lineRule="auto"/>
        <w:jc w:val="left"/>
        <w:rPr>
          <w:rFonts w:ascii="Times New Roman" w:hAnsi="Times New Roman"/>
          <w:sz w:val="26"/>
          <w:szCs w:val="26"/>
        </w:rPr>
      </w:pPr>
    </w:p>
    <w:p w:rsidR="001863EC" w:rsidRDefault="009C0282" w:rsidP="001B6469">
      <w:pPr>
        <w:ind w:firstLine="720"/>
        <w:jc w:val="left"/>
        <w:rPr>
          <w:szCs w:val="26"/>
        </w:rPr>
      </w:pPr>
      <w:r>
        <w:rPr>
          <w:szCs w:val="26"/>
        </w:rPr>
        <w:t>New f</w:t>
      </w:r>
      <w:r w:rsidR="001863EC" w:rsidRPr="003378E3">
        <w:rPr>
          <w:szCs w:val="26"/>
        </w:rPr>
        <w:t xml:space="preserve">ederal </w:t>
      </w:r>
      <w:r>
        <w:rPr>
          <w:szCs w:val="26"/>
        </w:rPr>
        <w:t>s</w:t>
      </w:r>
      <w:r w:rsidR="001863EC" w:rsidRPr="003378E3">
        <w:rPr>
          <w:szCs w:val="26"/>
        </w:rPr>
        <w:t xml:space="preserve">tandards for </w:t>
      </w:r>
      <w:r>
        <w:rPr>
          <w:szCs w:val="26"/>
        </w:rPr>
        <w:t xml:space="preserve">room air conditioners (RACs) </w:t>
      </w:r>
      <w:r w:rsidR="00D42D52">
        <w:rPr>
          <w:szCs w:val="26"/>
        </w:rPr>
        <w:t>took</w:t>
      </w:r>
      <w:r w:rsidR="00D42D52" w:rsidRPr="003378E3">
        <w:rPr>
          <w:szCs w:val="26"/>
        </w:rPr>
        <w:t xml:space="preserve"> </w:t>
      </w:r>
      <w:r w:rsidR="001863EC" w:rsidRPr="003378E3">
        <w:rPr>
          <w:szCs w:val="26"/>
        </w:rPr>
        <w:t>effect June 1, 2014, but as of July 31, 2014, no new ENERGY STAR specifications have been pr</w:t>
      </w:r>
      <w:r w:rsidR="001863EC">
        <w:rPr>
          <w:szCs w:val="26"/>
        </w:rPr>
        <w:t>oposed.  The Commission proposed</w:t>
      </w:r>
      <w:r w:rsidR="001863EC" w:rsidRPr="003378E3">
        <w:rPr>
          <w:szCs w:val="26"/>
        </w:rPr>
        <w:t xml:space="preserve"> </w:t>
      </w:r>
      <w:r w:rsidR="001863EC">
        <w:rPr>
          <w:szCs w:val="26"/>
        </w:rPr>
        <w:t>an</w:t>
      </w:r>
      <w:r w:rsidR="001863EC" w:rsidRPr="003378E3">
        <w:rPr>
          <w:szCs w:val="26"/>
        </w:rPr>
        <w:t xml:space="preserve"> update</w:t>
      </w:r>
      <w:r w:rsidR="001863EC">
        <w:rPr>
          <w:szCs w:val="26"/>
        </w:rPr>
        <w:t xml:space="preserve"> to</w:t>
      </w:r>
      <w:r w:rsidR="001863EC" w:rsidRPr="003378E3">
        <w:rPr>
          <w:szCs w:val="26"/>
        </w:rPr>
        <w:t xml:space="preserve"> the default savings for ENERGY S</w:t>
      </w:r>
      <w:r w:rsidR="001863EC">
        <w:rPr>
          <w:szCs w:val="26"/>
        </w:rPr>
        <w:t xml:space="preserve">TAR </w:t>
      </w:r>
      <w:r>
        <w:rPr>
          <w:szCs w:val="26"/>
        </w:rPr>
        <w:t xml:space="preserve">RACs </w:t>
      </w:r>
      <w:r w:rsidR="001863EC">
        <w:rPr>
          <w:szCs w:val="26"/>
        </w:rPr>
        <w:t>to those provided in the</w:t>
      </w:r>
      <w:r w:rsidR="001863EC" w:rsidRPr="003378E3">
        <w:rPr>
          <w:szCs w:val="26"/>
        </w:rPr>
        <w:t xml:space="preserve"> ENERGY STAR Version 3.1 standard, assuming a capacity of 8,000 </w:t>
      </w:r>
      <w:r>
        <w:rPr>
          <w:szCs w:val="26"/>
        </w:rPr>
        <w:t>British thermal units per hour (</w:t>
      </w:r>
      <w:r w:rsidR="001863EC" w:rsidRPr="003378E3">
        <w:rPr>
          <w:szCs w:val="26"/>
        </w:rPr>
        <w:t>Btuh</w:t>
      </w:r>
      <w:r>
        <w:rPr>
          <w:szCs w:val="26"/>
        </w:rPr>
        <w:t>)</w:t>
      </w:r>
      <w:r w:rsidR="001863EC" w:rsidRPr="003378E3">
        <w:rPr>
          <w:szCs w:val="26"/>
        </w:rPr>
        <w:t xml:space="preserve"> from the 2014 Residential Baseline Study.  Since the combined energy efficiency ratio metric (CEER) is used as the metric in both of the new standards, </w:t>
      </w:r>
      <w:r w:rsidR="00D42D52">
        <w:rPr>
          <w:szCs w:val="26"/>
        </w:rPr>
        <w:t>which</w:t>
      </w:r>
      <w:r w:rsidR="00D42D52" w:rsidRPr="003378E3">
        <w:rPr>
          <w:szCs w:val="26"/>
        </w:rPr>
        <w:t xml:space="preserve"> </w:t>
      </w:r>
      <w:r w:rsidR="001863EC">
        <w:rPr>
          <w:szCs w:val="26"/>
        </w:rPr>
        <w:t>would</w:t>
      </w:r>
      <w:r w:rsidR="001863EC" w:rsidRPr="003378E3">
        <w:rPr>
          <w:szCs w:val="26"/>
        </w:rPr>
        <w:t xml:space="preserve"> be incorporated into the measure for the “After RUL years” savings calculations.</w:t>
      </w:r>
      <w:r w:rsidR="001863EC" w:rsidRPr="0098410B">
        <w:rPr>
          <w:szCs w:val="26"/>
        </w:rPr>
        <w:t xml:space="preserve">  </w:t>
      </w:r>
    </w:p>
    <w:p w:rsidR="001863EC" w:rsidRDefault="001863EC" w:rsidP="001B6469">
      <w:pPr>
        <w:ind w:firstLine="720"/>
        <w:jc w:val="left"/>
        <w:rPr>
          <w:szCs w:val="26"/>
        </w:rPr>
      </w:pPr>
    </w:p>
    <w:p w:rsidR="001863EC" w:rsidRDefault="009C0282" w:rsidP="001B6469">
      <w:pPr>
        <w:widowControl w:val="0"/>
        <w:tabs>
          <w:tab w:val="left" w:pos="720"/>
        </w:tabs>
        <w:overflowPunct/>
        <w:jc w:val="left"/>
        <w:rPr>
          <w:b/>
          <w:szCs w:val="26"/>
        </w:rPr>
      </w:pPr>
      <w:r>
        <w:rPr>
          <w:b/>
          <w:szCs w:val="26"/>
        </w:rPr>
        <w:tab/>
      </w:r>
      <w:r>
        <w:rPr>
          <w:b/>
          <w:szCs w:val="26"/>
        </w:rPr>
        <w:tab/>
        <w:t>a</w:t>
      </w:r>
      <w:r w:rsidR="001863EC">
        <w:rPr>
          <w:b/>
          <w:szCs w:val="26"/>
        </w:rPr>
        <w:t>.</w:t>
      </w:r>
      <w:r w:rsidR="001863EC">
        <w:rPr>
          <w:b/>
          <w:szCs w:val="26"/>
        </w:rPr>
        <w:tab/>
        <w:t>Comments</w:t>
      </w:r>
    </w:p>
    <w:p w:rsidR="005F0389" w:rsidRDefault="005F0389" w:rsidP="001B6469">
      <w:pPr>
        <w:widowControl w:val="0"/>
        <w:tabs>
          <w:tab w:val="left" w:pos="720"/>
        </w:tabs>
        <w:overflowPunct/>
        <w:jc w:val="left"/>
        <w:rPr>
          <w:szCs w:val="26"/>
        </w:rPr>
      </w:pPr>
    </w:p>
    <w:p w:rsidR="001863EC" w:rsidRDefault="001863EC" w:rsidP="001B6469">
      <w:pPr>
        <w:ind w:firstLine="720"/>
        <w:jc w:val="left"/>
        <w:rPr>
          <w:szCs w:val="26"/>
        </w:rPr>
      </w:pPr>
      <w:r w:rsidRPr="00E374CE">
        <w:rPr>
          <w:szCs w:val="26"/>
        </w:rPr>
        <w:t>PPL recommends adding a definition for the term EER</w:t>
      </w:r>
      <w:r w:rsidRPr="009C0282">
        <w:rPr>
          <w:szCs w:val="26"/>
          <w:vertAlign w:val="subscript"/>
        </w:rPr>
        <w:t>ee</w:t>
      </w:r>
      <w:r w:rsidRPr="00E374CE">
        <w:rPr>
          <w:szCs w:val="26"/>
        </w:rPr>
        <w:t xml:space="preserve"> to Table 2-27 because it appears in the Algorithms section</w:t>
      </w:r>
      <w:r w:rsidR="009C0282">
        <w:rPr>
          <w:szCs w:val="26"/>
        </w:rPr>
        <w:t>.  F</w:t>
      </w:r>
      <w:r w:rsidRPr="00E374CE">
        <w:rPr>
          <w:szCs w:val="26"/>
        </w:rPr>
        <w:t>urther, in Table 2-28, the values for Energy Impact (kWh) do not appear to be updated in accordance with variable updates in Table 2-27.</w:t>
      </w:r>
      <w:r w:rsidR="0041527D">
        <w:rPr>
          <w:rStyle w:val="FootnoteReference"/>
          <w:szCs w:val="26"/>
        </w:rPr>
        <w:footnoteReference w:id="105"/>
      </w:r>
      <w:r w:rsidRPr="00E374CE">
        <w:rPr>
          <w:szCs w:val="26"/>
        </w:rPr>
        <w:t xml:space="preserve"> </w:t>
      </w:r>
    </w:p>
    <w:p w:rsidR="009C0282" w:rsidRDefault="009C0282" w:rsidP="001B6469">
      <w:pPr>
        <w:ind w:firstLine="720"/>
        <w:jc w:val="left"/>
        <w:rPr>
          <w:szCs w:val="26"/>
        </w:rPr>
      </w:pPr>
    </w:p>
    <w:p w:rsidR="001863EC" w:rsidRDefault="001863EC" w:rsidP="001B6469">
      <w:pPr>
        <w:ind w:firstLine="720"/>
        <w:jc w:val="left"/>
        <w:rPr>
          <w:szCs w:val="26"/>
        </w:rPr>
      </w:pPr>
      <w:r>
        <w:rPr>
          <w:szCs w:val="26"/>
        </w:rPr>
        <w:t>PECO states that</w:t>
      </w:r>
      <w:r w:rsidR="009C0282">
        <w:rPr>
          <w:szCs w:val="26"/>
        </w:rPr>
        <w:t xml:space="preserve"> t</w:t>
      </w:r>
      <w:r w:rsidR="009C0282" w:rsidRPr="009C0282">
        <w:rPr>
          <w:szCs w:val="26"/>
        </w:rPr>
        <w:t xml:space="preserve">he </w:t>
      </w:r>
      <w:r w:rsidR="009C0282">
        <w:rPr>
          <w:szCs w:val="26"/>
        </w:rPr>
        <w:t>energy e</w:t>
      </w:r>
      <w:r w:rsidR="009C0282" w:rsidRPr="009C0282">
        <w:rPr>
          <w:szCs w:val="26"/>
        </w:rPr>
        <w:t xml:space="preserve">fficiency </w:t>
      </w:r>
      <w:r w:rsidR="009C0282">
        <w:rPr>
          <w:szCs w:val="26"/>
        </w:rPr>
        <w:t>r</w:t>
      </w:r>
      <w:r w:rsidR="009C0282" w:rsidRPr="009C0282">
        <w:rPr>
          <w:szCs w:val="26"/>
        </w:rPr>
        <w:t>atio of a</w:t>
      </w:r>
      <w:r w:rsidR="009C0282">
        <w:rPr>
          <w:szCs w:val="26"/>
        </w:rPr>
        <w:t>n</w:t>
      </w:r>
      <w:r w:rsidR="009C0282" w:rsidRPr="009C0282">
        <w:rPr>
          <w:szCs w:val="26"/>
        </w:rPr>
        <w:t xml:space="preserve"> RAC that just meets the minimum federal appliance standard efficiency</w:t>
      </w:r>
      <w:r>
        <w:rPr>
          <w:szCs w:val="26"/>
        </w:rPr>
        <w:t xml:space="preserve"> </w:t>
      </w:r>
      <w:r w:rsidR="009C0282">
        <w:rPr>
          <w:szCs w:val="26"/>
        </w:rPr>
        <w:t>(</w:t>
      </w:r>
      <w:r w:rsidRPr="00E374CE">
        <w:rPr>
          <w:szCs w:val="26"/>
        </w:rPr>
        <w:t>CEER</w:t>
      </w:r>
      <w:r w:rsidRPr="00126500">
        <w:rPr>
          <w:szCs w:val="26"/>
          <w:vertAlign w:val="subscript"/>
        </w:rPr>
        <w:t>base</w:t>
      </w:r>
      <w:r w:rsidR="009C0282">
        <w:rPr>
          <w:szCs w:val="26"/>
        </w:rPr>
        <w:t>)</w:t>
      </w:r>
      <w:r w:rsidRPr="00E374CE">
        <w:rPr>
          <w:szCs w:val="26"/>
        </w:rPr>
        <w:t xml:space="preserve"> and</w:t>
      </w:r>
      <w:r w:rsidR="009C0282">
        <w:rPr>
          <w:szCs w:val="26"/>
        </w:rPr>
        <w:t xml:space="preserve"> t</w:t>
      </w:r>
      <w:r w:rsidR="009C0282" w:rsidRPr="009C0282">
        <w:rPr>
          <w:szCs w:val="26"/>
        </w:rPr>
        <w:t xml:space="preserve">he </w:t>
      </w:r>
      <w:r w:rsidR="009C0282">
        <w:rPr>
          <w:szCs w:val="26"/>
        </w:rPr>
        <w:t>energy efficiency ratio for an ENERGY STAR RAC (</w:t>
      </w:r>
      <w:r w:rsidRPr="00E374CE">
        <w:rPr>
          <w:szCs w:val="26"/>
        </w:rPr>
        <w:t>CEER</w:t>
      </w:r>
      <w:r w:rsidRPr="00126500">
        <w:rPr>
          <w:szCs w:val="26"/>
          <w:vertAlign w:val="subscript"/>
        </w:rPr>
        <w:t>ee</w:t>
      </w:r>
      <w:r w:rsidR="009C0282">
        <w:rPr>
          <w:szCs w:val="26"/>
        </w:rPr>
        <w:t>)</w:t>
      </w:r>
      <w:r w:rsidRPr="00E374CE">
        <w:rPr>
          <w:szCs w:val="26"/>
        </w:rPr>
        <w:t xml:space="preserve"> should be renamed as “Combined Energy Efficiency Ratio” instead of “Energy Efficiency Ratio</w:t>
      </w:r>
      <w:r w:rsidR="009C0282">
        <w:rPr>
          <w:szCs w:val="26"/>
        </w:rPr>
        <w:t>.</w:t>
      </w:r>
      <w:r w:rsidRPr="00E374CE">
        <w:rPr>
          <w:szCs w:val="26"/>
        </w:rPr>
        <w:t>”</w:t>
      </w:r>
      <w:r w:rsidR="0041527D">
        <w:rPr>
          <w:rStyle w:val="FootnoteReference"/>
          <w:szCs w:val="26"/>
        </w:rPr>
        <w:footnoteReference w:id="106"/>
      </w:r>
    </w:p>
    <w:p w:rsidR="00D571BB" w:rsidRDefault="00D571BB" w:rsidP="001B6469">
      <w:pPr>
        <w:ind w:firstLine="720"/>
        <w:jc w:val="left"/>
        <w:rPr>
          <w:szCs w:val="26"/>
        </w:rPr>
      </w:pPr>
    </w:p>
    <w:p w:rsidR="001863EC" w:rsidRPr="00E374CE" w:rsidRDefault="009C0282" w:rsidP="001B6469">
      <w:pPr>
        <w:ind w:firstLine="720"/>
        <w:jc w:val="left"/>
        <w:rPr>
          <w:szCs w:val="26"/>
        </w:rPr>
      </w:pPr>
      <w:r w:rsidRPr="000D4928">
        <w:rPr>
          <w:szCs w:val="26"/>
        </w:rPr>
        <w:lastRenderedPageBreak/>
        <w:t>First</w:t>
      </w:r>
      <w:r w:rsidR="001863EC" w:rsidRPr="000D4928">
        <w:rPr>
          <w:szCs w:val="26"/>
        </w:rPr>
        <w:t xml:space="preserve">Energy points out that the Demand Impact in Table 2-28 should be updated based on the new </w:t>
      </w:r>
      <w:r w:rsidR="000D4928">
        <w:rPr>
          <w:szCs w:val="26"/>
        </w:rPr>
        <w:t>CF</w:t>
      </w:r>
      <w:r w:rsidR="001863EC" w:rsidRPr="000D4928">
        <w:rPr>
          <w:szCs w:val="26"/>
        </w:rPr>
        <w:t xml:space="preserve"> and that reference to the old </w:t>
      </w:r>
      <w:r w:rsidR="000D4928">
        <w:rPr>
          <w:szCs w:val="26"/>
        </w:rPr>
        <w:t>CF</w:t>
      </w:r>
      <w:r w:rsidR="001863EC" w:rsidRPr="000D4928">
        <w:rPr>
          <w:szCs w:val="26"/>
        </w:rPr>
        <w:t xml:space="preserve"> should be removed from the definition of </w:t>
      </w:r>
      <w:r w:rsidR="000D4928">
        <w:rPr>
          <w:szCs w:val="26"/>
        </w:rPr>
        <w:t>demand CF (</w:t>
      </w:r>
      <w:r w:rsidR="001863EC" w:rsidRPr="000D4928">
        <w:rPr>
          <w:szCs w:val="26"/>
        </w:rPr>
        <w:t>CF</w:t>
      </w:r>
      <w:r w:rsidR="001863EC" w:rsidRPr="000D4928">
        <w:rPr>
          <w:szCs w:val="26"/>
          <w:vertAlign w:val="subscript"/>
        </w:rPr>
        <w:t>rac</w:t>
      </w:r>
      <w:r w:rsidR="000D4928">
        <w:rPr>
          <w:szCs w:val="26"/>
        </w:rPr>
        <w:t>)</w:t>
      </w:r>
      <w:r w:rsidR="001863EC" w:rsidRPr="000D4928">
        <w:rPr>
          <w:szCs w:val="26"/>
        </w:rPr>
        <w:t>.</w:t>
      </w:r>
      <w:r w:rsidR="0041527D" w:rsidRPr="000D4928">
        <w:rPr>
          <w:rStyle w:val="FootnoteReference"/>
          <w:szCs w:val="26"/>
        </w:rPr>
        <w:footnoteReference w:id="107"/>
      </w:r>
    </w:p>
    <w:p w:rsidR="001863EC" w:rsidRDefault="001863EC" w:rsidP="001B6469">
      <w:pPr>
        <w:jc w:val="left"/>
        <w:rPr>
          <w:szCs w:val="26"/>
        </w:rPr>
      </w:pPr>
    </w:p>
    <w:p w:rsidR="001863EC" w:rsidRDefault="000D4928" w:rsidP="001B6469">
      <w:pPr>
        <w:jc w:val="left"/>
        <w:rPr>
          <w:b/>
          <w:szCs w:val="26"/>
        </w:rPr>
      </w:pPr>
      <w:r>
        <w:rPr>
          <w:szCs w:val="26"/>
        </w:rPr>
        <w:tab/>
      </w:r>
      <w:r>
        <w:rPr>
          <w:szCs w:val="26"/>
        </w:rPr>
        <w:tab/>
      </w:r>
      <w:r>
        <w:rPr>
          <w:b/>
          <w:szCs w:val="26"/>
        </w:rPr>
        <w:t>b</w:t>
      </w:r>
      <w:r w:rsidR="001863EC">
        <w:rPr>
          <w:b/>
          <w:szCs w:val="26"/>
        </w:rPr>
        <w:t>.</w:t>
      </w:r>
      <w:r w:rsidR="001863EC">
        <w:rPr>
          <w:b/>
          <w:szCs w:val="26"/>
        </w:rPr>
        <w:tab/>
        <w:t>Disposition</w:t>
      </w:r>
    </w:p>
    <w:p w:rsidR="001863EC" w:rsidRPr="00AC6135" w:rsidRDefault="001863EC" w:rsidP="001B6469">
      <w:pPr>
        <w:jc w:val="left"/>
        <w:rPr>
          <w:szCs w:val="26"/>
        </w:rPr>
      </w:pPr>
    </w:p>
    <w:p w:rsidR="001863EC" w:rsidRDefault="001863EC" w:rsidP="000D4928">
      <w:pPr>
        <w:ind w:firstLine="720"/>
        <w:jc w:val="left"/>
        <w:rPr>
          <w:szCs w:val="26"/>
        </w:rPr>
      </w:pPr>
      <w:r>
        <w:rPr>
          <w:szCs w:val="26"/>
        </w:rPr>
        <w:t xml:space="preserve">The Commission </w:t>
      </w:r>
      <w:r w:rsidR="000D4928">
        <w:rPr>
          <w:szCs w:val="26"/>
        </w:rPr>
        <w:t>agrees with the changes proposed by PPL, PECO and FirstEnergy and has updated the TRM accordingly.</w:t>
      </w:r>
    </w:p>
    <w:p w:rsidR="001863EC" w:rsidRPr="00614B18" w:rsidRDefault="001863EC" w:rsidP="00B3731D">
      <w:pPr>
        <w:pStyle w:val="BodyTextIndent3"/>
        <w:spacing w:after="0" w:line="360" w:lineRule="auto"/>
        <w:ind w:left="86" w:firstLine="634"/>
        <w:jc w:val="left"/>
      </w:pPr>
    </w:p>
    <w:p w:rsidR="001863EC" w:rsidRDefault="00B3731D" w:rsidP="001B6469">
      <w:pPr>
        <w:pStyle w:val="Heading3"/>
        <w:numPr>
          <w:ilvl w:val="0"/>
          <w:numId w:val="0"/>
        </w:numPr>
        <w:ind w:left="720"/>
      </w:pPr>
      <w:bookmarkStart w:id="112" w:name="_Toc405802396"/>
      <w:bookmarkStart w:id="113" w:name="_Toc405884725"/>
      <w:r>
        <w:t>8</w:t>
      </w:r>
      <w:r w:rsidR="001863EC">
        <w:t>.</w:t>
      </w:r>
      <w:r w:rsidR="001863EC">
        <w:tab/>
      </w:r>
      <w:r w:rsidR="001863EC" w:rsidRPr="00235AAE">
        <w:t>Section 2.2.7 – Furnace Whistle</w:t>
      </w:r>
      <w:bookmarkEnd w:id="112"/>
      <w:bookmarkEnd w:id="113"/>
    </w:p>
    <w:p w:rsidR="001863EC" w:rsidRDefault="001863EC" w:rsidP="001B6469">
      <w:pPr>
        <w:jc w:val="left"/>
        <w:rPr>
          <w:szCs w:val="26"/>
        </w:rPr>
      </w:pPr>
    </w:p>
    <w:p w:rsidR="001863EC" w:rsidRPr="00235AAE" w:rsidRDefault="001863EC" w:rsidP="001B6469">
      <w:pPr>
        <w:ind w:firstLine="720"/>
        <w:jc w:val="left"/>
      </w:pPr>
      <w:r w:rsidRPr="00235AAE">
        <w:rPr>
          <w:szCs w:val="26"/>
        </w:rPr>
        <w:t xml:space="preserve">The </w:t>
      </w:r>
      <w:r w:rsidR="008A151D">
        <w:rPr>
          <w:szCs w:val="26"/>
        </w:rPr>
        <w:t>Commission did not propose changes to</w:t>
      </w:r>
      <w:r w:rsidRPr="00235AAE">
        <w:rPr>
          <w:szCs w:val="26"/>
        </w:rPr>
        <w:t xml:space="preserve"> </w:t>
      </w:r>
      <w:r w:rsidR="00A7418A">
        <w:rPr>
          <w:szCs w:val="26"/>
        </w:rPr>
        <w:t>this</w:t>
      </w:r>
      <w:r w:rsidRPr="00235AAE">
        <w:rPr>
          <w:szCs w:val="26"/>
        </w:rPr>
        <w:t xml:space="preserve"> measure protocol. </w:t>
      </w:r>
      <w:r w:rsidR="00F06C9E">
        <w:rPr>
          <w:szCs w:val="26"/>
        </w:rPr>
        <w:t xml:space="preserve"> </w:t>
      </w:r>
      <w:r w:rsidRPr="00235AAE">
        <w:rPr>
          <w:szCs w:val="26"/>
        </w:rPr>
        <w:t>However, comments were received and are addressed below.</w:t>
      </w:r>
    </w:p>
    <w:p w:rsidR="001863EC" w:rsidRDefault="001863EC" w:rsidP="001B6469">
      <w:pPr>
        <w:widowControl w:val="0"/>
        <w:tabs>
          <w:tab w:val="left" w:pos="720"/>
        </w:tabs>
        <w:overflowPunct/>
        <w:jc w:val="left"/>
        <w:rPr>
          <w:szCs w:val="26"/>
        </w:rPr>
      </w:pPr>
    </w:p>
    <w:p w:rsidR="001863EC" w:rsidRDefault="00F06C9E" w:rsidP="001B6469">
      <w:pPr>
        <w:widowControl w:val="0"/>
        <w:tabs>
          <w:tab w:val="left" w:pos="720"/>
        </w:tabs>
        <w:overflowPunct/>
        <w:jc w:val="left"/>
        <w:rPr>
          <w:b/>
          <w:szCs w:val="26"/>
        </w:rPr>
      </w:pPr>
      <w:r>
        <w:rPr>
          <w:b/>
          <w:szCs w:val="26"/>
        </w:rPr>
        <w:tab/>
      </w:r>
      <w:r>
        <w:rPr>
          <w:b/>
          <w:szCs w:val="26"/>
        </w:rPr>
        <w:tab/>
        <w:t>a</w:t>
      </w:r>
      <w:r w:rsidR="001863EC">
        <w:rPr>
          <w:b/>
          <w:szCs w:val="26"/>
        </w:rPr>
        <w:t>.</w:t>
      </w:r>
      <w:r w:rsidR="001863EC">
        <w:rPr>
          <w:b/>
          <w:szCs w:val="26"/>
        </w:rPr>
        <w:tab/>
        <w:t>Comments</w:t>
      </w:r>
    </w:p>
    <w:p w:rsidR="001863EC" w:rsidRDefault="001863EC" w:rsidP="001B6469">
      <w:pPr>
        <w:widowControl w:val="0"/>
        <w:tabs>
          <w:tab w:val="left" w:pos="720"/>
        </w:tabs>
        <w:overflowPunct/>
        <w:jc w:val="left"/>
        <w:rPr>
          <w:szCs w:val="26"/>
        </w:rPr>
      </w:pPr>
    </w:p>
    <w:p w:rsidR="001863EC" w:rsidRDefault="001863EC" w:rsidP="001B6469">
      <w:pPr>
        <w:widowControl w:val="0"/>
        <w:tabs>
          <w:tab w:val="left" w:pos="720"/>
        </w:tabs>
        <w:overflowPunct/>
        <w:jc w:val="left"/>
      </w:pPr>
      <w:r>
        <w:tab/>
      </w:r>
      <w:r w:rsidRPr="000E6AA5">
        <w:t xml:space="preserve">PPL recommends adding an EDC Data Gathering option for the </w:t>
      </w:r>
      <w:r w:rsidR="00F06C9E">
        <w:t xml:space="preserve">ISR </w:t>
      </w:r>
      <w:r w:rsidRPr="000E6AA5">
        <w:t>variable, with the option to use the default value</w:t>
      </w:r>
      <w:r>
        <w:t xml:space="preserve"> similar to</w:t>
      </w:r>
      <w:r w:rsidRPr="000E6AA5">
        <w:t xml:space="preserve"> other kit measures.</w:t>
      </w:r>
      <w:r>
        <w:t xml:space="preserve"> </w:t>
      </w:r>
      <w:r w:rsidR="00F06C9E">
        <w:t xml:space="preserve"> </w:t>
      </w:r>
      <w:r>
        <w:t xml:space="preserve">They also note that </w:t>
      </w:r>
      <w:r w:rsidRPr="002211BC">
        <w:t>in the Default Sa</w:t>
      </w:r>
      <w:r>
        <w:t xml:space="preserve">vings section, the values for </w:t>
      </w:r>
      <w:r w:rsidRPr="002211BC">
        <w:t>kW</w:t>
      </w:r>
      <w:r w:rsidRPr="00F06C9E">
        <w:rPr>
          <w:vertAlign w:val="subscript"/>
        </w:rPr>
        <w:t>peak</w:t>
      </w:r>
      <w:r w:rsidRPr="002211BC">
        <w:t xml:space="preserve"> below each table should be updated.</w:t>
      </w:r>
      <w:r w:rsidR="0023061E">
        <w:rPr>
          <w:rStyle w:val="FootnoteReference"/>
        </w:rPr>
        <w:footnoteReference w:id="108"/>
      </w:r>
    </w:p>
    <w:p w:rsidR="001863EC" w:rsidRDefault="001863EC" w:rsidP="001B6469">
      <w:pPr>
        <w:widowControl w:val="0"/>
        <w:tabs>
          <w:tab w:val="left" w:pos="720"/>
        </w:tabs>
        <w:overflowPunct/>
        <w:jc w:val="left"/>
        <w:rPr>
          <w:szCs w:val="26"/>
        </w:rPr>
      </w:pPr>
    </w:p>
    <w:p w:rsidR="001863EC" w:rsidRDefault="00F06C9E" w:rsidP="001B6469">
      <w:pPr>
        <w:widowControl w:val="0"/>
        <w:tabs>
          <w:tab w:val="left" w:pos="720"/>
        </w:tabs>
        <w:overflowPunct/>
        <w:jc w:val="left"/>
        <w:rPr>
          <w:b/>
          <w:szCs w:val="26"/>
        </w:rPr>
      </w:pPr>
      <w:r>
        <w:rPr>
          <w:szCs w:val="26"/>
        </w:rPr>
        <w:tab/>
      </w:r>
      <w:r>
        <w:rPr>
          <w:szCs w:val="26"/>
        </w:rPr>
        <w:tab/>
      </w:r>
      <w:r>
        <w:rPr>
          <w:b/>
          <w:szCs w:val="26"/>
        </w:rPr>
        <w:t>b</w:t>
      </w:r>
      <w:r w:rsidR="001863EC">
        <w:rPr>
          <w:b/>
          <w:szCs w:val="26"/>
        </w:rPr>
        <w:t>.</w:t>
      </w:r>
      <w:r w:rsidR="001863EC">
        <w:rPr>
          <w:b/>
          <w:szCs w:val="26"/>
        </w:rPr>
        <w:tab/>
        <w:t>Disposition</w:t>
      </w:r>
    </w:p>
    <w:p w:rsidR="001863EC" w:rsidRDefault="001863EC" w:rsidP="001B6469">
      <w:pPr>
        <w:widowControl w:val="0"/>
        <w:tabs>
          <w:tab w:val="left" w:pos="720"/>
        </w:tabs>
        <w:overflowPunct/>
        <w:jc w:val="left"/>
        <w:rPr>
          <w:szCs w:val="26"/>
        </w:rPr>
      </w:pPr>
    </w:p>
    <w:p w:rsidR="001863EC" w:rsidRPr="00235AAE" w:rsidRDefault="001863EC" w:rsidP="001B6469">
      <w:pPr>
        <w:ind w:firstLine="720"/>
        <w:jc w:val="left"/>
      </w:pPr>
      <w:r w:rsidRPr="00235AAE">
        <w:t xml:space="preserve">The Commission agrees </w:t>
      </w:r>
      <w:r w:rsidR="00053035">
        <w:t xml:space="preserve">with </w:t>
      </w:r>
      <w:r w:rsidR="00DE4088">
        <w:t>PPL</w:t>
      </w:r>
      <w:r w:rsidR="00053035">
        <w:t xml:space="preserve"> </w:t>
      </w:r>
      <w:r w:rsidR="00DE4088">
        <w:t>and has updated the</w:t>
      </w:r>
      <w:r w:rsidR="00053035">
        <w:t xml:space="preserve"> TRM accordingly.</w:t>
      </w:r>
    </w:p>
    <w:p w:rsidR="001863EC" w:rsidRDefault="001863EC" w:rsidP="001B6469">
      <w:pPr>
        <w:jc w:val="left"/>
      </w:pPr>
    </w:p>
    <w:p w:rsidR="00A3244B" w:rsidRDefault="00A3244B" w:rsidP="001B6469">
      <w:pPr>
        <w:jc w:val="left"/>
      </w:pPr>
    </w:p>
    <w:p w:rsidR="00A3244B" w:rsidRPr="00F339F4" w:rsidRDefault="00A3244B" w:rsidP="001B6469">
      <w:pPr>
        <w:jc w:val="left"/>
      </w:pPr>
    </w:p>
    <w:p w:rsidR="002D2DD6" w:rsidRPr="00432C9F" w:rsidRDefault="00B3731D" w:rsidP="001B6469">
      <w:pPr>
        <w:pStyle w:val="Heading3"/>
        <w:numPr>
          <w:ilvl w:val="0"/>
          <w:numId w:val="0"/>
        </w:numPr>
        <w:ind w:left="720"/>
      </w:pPr>
      <w:bookmarkStart w:id="114" w:name="_Toc405802397"/>
      <w:bookmarkStart w:id="115" w:name="_Toc405884726"/>
      <w:r>
        <w:lastRenderedPageBreak/>
        <w:t>9</w:t>
      </w:r>
      <w:r w:rsidR="002D2DD6">
        <w:t>.</w:t>
      </w:r>
      <w:r w:rsidR="002D2DD6">
        <w:tab/>
        <w:t xml:space="preserve">Section 2.3.2 – Heat </w:t>
      </w:r>
      <w:r w:rsidR="002D2DD6" w:rsidRPr="00432C9F">
        <w:t>Pump Water Heaters</w:t>
      </w:r>
      <w:bookmarkEnd w:id="114"/>
      <w:bookmarkEnd w:id="115"/>
    </w:p>
    <w:p w:rsidR="002D2DD6" w:rsidRPr="00432C9F" w:rsidRDefault="002D2DD6" w:rsidP="001B6469">
      <w:pPr>
        <w:jc w:val="left"/>
        <w:rPr>
          <w:szCs w:val="26"/>
        </w:rPr>
      </w:pPr>
      <w:r w:rsidRPr="00432C9F">
        <w:rPr>
          <w:szCs w:val="26"/>
        </w:rPr>
        <w:tab/>
      </w:r>
    </w:p>
    <w:p w:rsidR="002D2DD6" w:rsidRDefault="002D2DD6" w:rsidP="001B6469">
      <w:pPr>
        <w:ind w:firstLine="720"/>
        <w:jc w:val="left"/>
        <w:rPr>
          <w:szCs w:val="26"/>
        </w:rPr>
      </w:pPr>
      <w:r w:rsidRPr="00432C9F">
        <w:rPr>
          <w:szCs w:val="26"/>
        </w:rPr>
        <w:t xml:space="preserve">In </w:t>
      </w:r>
      <w:r>
        <w:rPr>
          <w:szCs w:val="26"/>
        </w:rPr>
        <w:t>the</w:t>
      </w:r>
      <w:r w:rsidRPr="00432C9F">
        <w:rPr>
          <w:szCs w:val="26"/>
        </w:rPr>
        <w:t xml:space="preserve"> 2014 TRM Final Order, the Commission directed the PEG to investigate the effect that installation location has on heat pump water heater (HPWH) performance.</w:t>
      </w:r>
      <w:r>
        <w:rPr>
          <w:rStyle w:val="FootnoteReference"/>
          <w:szCs w:val="26"/>
        </w:rPr>
        <w:footnoteReference w:id="109"/>
      </w:r>
      <w:r w:rsidRPr="00432C9F">
        <w:rPr>
          <w:szCs w:val="26"/>
        </w:rPr>
        <w:t xml:space="preserve">  Based on a review of several studies, the Commission propose</w:t>
      </w:r>
      <w:r>
        <w:rPr>
          <w:szCs w:val="26"/>
        </w:rPr>
        <w:t>d</w:t>
      </w:r>
      <w:r w:rsidRPr="00432C9F">
        <w:rPr>
          <w:szCs w:val="26"/>
        </w:rPr>
        <w:t xml:space="preserve"> the revision of the existing </w:t>
      </w:r>
      <w:r>
        <w:rPr>
          <w:szCs w:val="26"/>
        </w:rPr>
        <w:t>coefficient of performance</w:t>
      </w:r>
      <w:r w:rsidRPr="00432C9F">
        <w:rPr>
          <w:szCs w:val="26"/>
        </w:rPr>
        <w:t xml:space="preserve"> de-rating factor (F</w:t>
      </w:r>
      <w:r w:rsidRPr="00432C9F">
        <w:rPr>
          <w:szCs w:val="26"/>
          <w:vertAlign w:val="subscript"/>
        </w:rPr>
        <w:t>derate</w:t>
      </w:r>
      <w:r w:rsidRPr="00432C9F">
        <w:rPr>
          <w:szCs w:val="26"/>
        </w:rPr>
        <w:t>) to be location-dependent.</w:t>
      </w:r>
      <w:r>
        <w:rPr>
          <w:szCs w:val="26"/>
        </w:rPr>
        <w:t xml:space="preserve"> </w:t>
      </w:r>
      <w:r w:rsidRPr="00432C9F">
        <w:rPr>
          <w:szCs w:val="26"/>
        </w:rPr>
        <w:t xml:space="preserve"> New F</w:t>
      </w:r>
      <w:r w:rsidRPr="00432C9F">
        <w:rPr>
          <w:szCs w:val="26"/>
          <w:vertAlign w:val="subscript"/>
        </w:rPr>
        <w:t>derate</w:t>
      </w:r>
      <w:r w:rsidRPr="00432C9F">
        <w:rPr>
          <w:szCs w:val="26"/>
        </w:rPr>
        <w:t xml:space="preserve"> values have been adapted from a 2013 NEEA HPWH field study</w:t>
      </w:r>
      <w:r>
        <w:rPr>
          <w:szCs w:val="26"/>
        </w:rPr>
        <w:t>,</w:t>
      </w:r>
      <w:r w:rsidRPr="00432C9F">
        <w:rPr>
          <w:szCs w:val="26"/>
          <w:vertAlign w:val="superscript"/>
        </w:rPr>
        <w:footnoteReference w:id="110"/>
      </w:r>
      <w:r w:rsidRPr="00432C9F">
        <w:rPr>
          <w:szCs w:val="26"/>
        </w:rPr>
        <w:t xml:space="preserve"> which calculated the effective </w:t>
      </w:r>
      <w:r>
        <w:rPr>
          <w:szCs w:val="26"/>
        </w:rPr>
        <w:t>energy factor</w:t>
      </w:r>
      <w:r w:rsidRPr="00432C9F">
        <w:rPr>
          <w:szCs w:val="26"/>
        </w:rPr>
        <w:t xml:space="preserve"> in various installation locations.</w:t>
      </w:r>
      <w:r w:rsidR="00DE43DC">
        <w:rPr>
          <w:szCs w:val="26"/>
        </w:rPr>
        <w:t xml:space="preserve"> </w:t>
      </w:r>
      <w:r w:rsidRPr="00432C9F">
        <w:rPr>
          <w:szCs w:val="26"/>
        </w:rPr>
        <w:t xml:space="preserve"> The results used are for “Heating Zone 1</w:t>
      </w:r>
      <w:r>
        <w:rPr>
          <w:szCs w:val="26"/>
        </w:rPr>
        <w:t>,</w:t>
      </w:r>
      <w:r w:rsidRPr="00432C9F">
        <w:rPr>
          <w:szCs w:val="26"/>
        </w:rPr>
        <w:t>” which is comprised of Olympia, Wa</w:t>
      </w:r>
      <w:r>
        <w:rPr>
          <w:szCs w:val="26"/>
        </w:rPr>
        <w:t xml:space="preserve">shington and Portland, Oregon </w:t>
      </w:r>
      <w:r w:rsidRPr="00432C9F">
        <w:rPr>
          <w:szCs w:val="26"/>
        </w:rPr>
        <w:t>and have average dry</w:t>
      </w:r>
      <w:r>
        <w:rPr>
          <w:szCs w:val="26"/>
        </w:rPr>
        <w:t xml:space="preserve"> (DB)</w:t>
      </w:r>
      <w:r w:rsidRPr="00432C9F">
        <w:rPr>
          <w:szCs w:val="26"/>
        </w:rPr>
        <w:t xml:space="preserve"> and wet bulb</w:t>
      </w:r>
      <w:r>
        <w:rPr>
          <w:szCs w:val="26"/>
        </w:rPr>
        <w:t xml:space="preserve"> (WB)</w:t>
      </w:r>
      <w:r w:rsidRPr="00432C9F">
        <w:rPr>
          <w:szCs w:val="26"/>
        </w:rPr>
        <w:t xml:space="preserve"> temperatures comparable to Pennsylvania.</w:t>
      </w:r>
      <w:r w:rsidRPr="00432C9F">
        <w:rPr>
          <w:szCs w:val="26"/>
          <w:vertAlign w:val="superscript"/>
        </w:rPr>
        <w:footnoteReference w:id="111"/>
      </w:r>
      <w:r>
        <w:rPr>
          <w:szCs w:val="26"/>
        </w:rPr>
        <w:t xml:space="preserve"> </w:t>
      </w:r>
      <w:r w:rsidR="00DE43DC">
        <w:rPr>
          <w:szCs w:val="26"/>
        </w:rPr>
        <w:t xml:space="preserve"> </w:t>
      </w:r>
      <w:r>
        <w:rPr>
          <w:szCs w:val="26"/>
        </w:rPr>
        <w:t>The Commission proposed these same updates for Section 2.3.5</w:t>
      </w:r>
      <w:r w:rsidRPr="00B37F5A">
        <w:rPr>
          <w:szCs w:val="26"/>
        </w:rPr>
        <w:t xml:space="preserve"> – </w:t>
      </w:r>
      <w:r>
        <w:rPr>
          <w:szCs w:val="26"/>
        </w:rPr>
        <w:t xml:space="preserve">Fuel Switching: </w:t>
      </w:r>
      <w:r w:rsidRPr="00B37F5A">
        <w:rPr>
          <w:szCs w:val="26"/>
        </w:rPr>
        <w:t>Heat Pump Water Heater to Fossil Fuel Water Heater</w:t>
      </w:r>
      <w:r>
        <w:rPr>
          <w:szCs w:val="26"/>
        </w:rPr>
        <w:t>.</w:t>
      </w:r>
    </w:p>
    <w:p w:rsidR="002D2DD6" w:rsidRDefault="002D2DD6" w:rsidP="001B6469">
      <w:pPr>
        <w:ind w:firstLine="720"/>
        <w:jc w:val="left"/>
        <w:rPr>
          <w:szCs w:val="26"/>
        </w:rPr>
      </w:pPr>
    </w:p>
    <w:p w:rsidR="002D2DD6" w:rsidRDefault="00DE43DC" w:rsidP="001B6469">
      <w:pPr>
        <w:ind w:firstLine="720"/>
        <w:jc w:val="left"/>
        <w:rPr>
          <w:b/>
          <w:szCs w:val="26"/>
        </w:rPr>
      </w:pPr>
      <w:r>
        <w:rPr>
          <w:szCs w:val="26"/>
        </w:rPr>
        <w:tab/>
      </w:r>
      <w:r>
        <w:rPr>
          <w:b/>
          <w:szCs w:val="26"/>
        </w:rPr>
        <w:t>a</w:t>
      </w:r>
      <w:r w:rsidR="002D2DD6">
        <w:rPr>
          <w:b/>
          <w:szCs w:val="26"/>
        </w:rPr>
        <w:t>.</w:t>
      </w:r>
      <w:r w:rsidR="002D2DD6">
        <w:rPr>
          <w:b/>
          <w:szCs w:val="26"/>
        </w:rPr>
        <w:tab/>
        <w:t>Comments</w:t>
      </w:r>
    </w:p>
    <w:p w:rsidR="002D2DD6" w:rsidRDefault="002D2DD6" w:rsidP="001B6469">
      <w:pPr>
        <w:jc w:val="left"/>
        <w:rPr>
          <w:szCs w:val="26"/>
        </w:rPr>
      </w:pPr>
    </w:p>
    <w:p w:rsidR="002D2DD6" w:rsidRDefault="002D2DD6" w:rsidP="001B6469">
      <w:pPr>
        <w:ind w:firstLine="720"/>
        <w:jc w:val="left"/>
        <w:rPr>
          <w:szCs w:val="26"/>
        </w:rPr>
      </w:pPr>
      <w:r>
        <w:rPr>
          <w:szCs w:val="26"/>
        </w:rPr>
        <w:t xml:space="preserve">PPL </w:t>
      </w:r>
      <w:r w:rsidRPr="001F4A90">
        <w:rPr>
          <w:szCs w:val="26"/>
        </w:rPr>
        <w:t xml:space="preserve">recommends clarifying that the first algorithm shown in the Algorithms section applies only </w:t>
      </w:r>
      <w:r w:rsidR="00DE43DC">
        <w:rPr>
          <w:szCs w:val="26"/>
        </w:rPr>
        <w:t>if the HPWH</w:t>
      </w:r>
      <w:r w:rsidRPr="001F4A90">
        <w:rPr>
          <w:szCs w:val="26"/>
        </w:rPr>
        <w:t xml:space="preserve"> is installed in a location inside </w:t>
      </w:r>
      <w:r w:rsidR="00DE43DC">
        <w:rPr>
          <w:szCs w:val="26"/>
        </w:rPr>
        <w:t xml:space="preserve">the </w:t>
      </w:r>
      <w:r w:rsidRPr="001F4A90">
        <w:rPr>
          <w:szCs w:val="26"/>
        </w:rPr>
        <w:t xml:space="preserve">conditioned space. </w:t>
      </w:r>
      <w:r w:rsidR="00DE43DC">
        <w:rPr>
          <w:szCs w:val="26"/>
        </w:rPr>
        <w:t xml:space="preserve"> </w:t>
      </w:r>
      <w:r w:rsidRPr="001F4A90">
        <w:rPr>
          <w:szCs w:val="26"/>
        </w:rPr>
        <w:t>Otherwise, the alternative algorithms in the Default Savings sectio</w:t>
      </w:r>
      <w:r w:rsidR="00896388">
        <w:rPr>
          <w:szCs w:val="26"/>
        </w:rPr>
        <w:t xml:space="preserve">n must be used. </w:t>
      </w:r>
      <w:r w:rsidR="00DE43DC">
        <w:rPr>
          <w:szCs w:val="26"/>
        </w:rPr>
        <w:t xml:space="preserve"> </w:t>
      </w:r>
      <w:r w:rsidR="00896388">
        <w:rPr>
          <w:szCs w:val="26"/>
        </w:rPr>
        <w:t xml:space="preserve">Additionally, </w:t>
      </w:r>
      <w:r w:rsidR="00A900F6" w:rsidRPr="001F4A90">
        <w:rPr>
          <w:szCs w:val="26"/>
        </w:rPr>
        <w:t>for the alternative algorithms in the Default</w:t>
      </w:r>
      <w:r w:rsidRPr="001F4A90">
        <w:rPr>
          <w:szCs w:val="26"/>
        </w:rPr>
        <w:t xml:space="preserve"> </w:t>
      </w:r>
      <w:r w:rsidR="00A900F6" w:rsidRPr="001F4A90">
        <w:rPr>
          <w:szCs w:val="26"/>
        </w:rPr>
        <w:t>Savings section</w:t>
      </w:r>
      <w:r w:rsidR="00896388">
        <w:rPr>
          <w:szCs w:val="26"/>
        </w:rPr>
        <w:t>,</w:t>
      </w:r>
      <w:r w:rsidRPr="001F4A90">
        <w:rPr>
          <w:szCs w:val="26"/>
        </w:rPr>
        <w:t xml:space="preserve"> </w:t>
      </w:r>
      <w:r>
        <w:rPr>
          <w:szCs w:val="26"/>
        </w:rPr>
        <w:t xml:space="preserve">PPL </w:t>
      </w:r>
      <w:r w:rsidR="00DE43DC">
        <w:rPr>
          <w:szCs w:val="26"/>
        </w:rPr>
        <w:t xml:space="preserve">requests clarification regarding </w:t>
      </w:r>
      <w:r w:rsidRPr="001F4A90">
        <w:rPr>
          <w:szCs w:val="26"/>
        </w:rPr>
        <w:t xml:space="preserve">whether garages and basements fall into </w:t>
      </w:r>
      <w:r w:rsidR="00DE4088">
        <w:rPr>
          <w:szCs w:val="26"/>
        </w:rPr>
        <w:t>the</w:t>
      </w:r>
      <w:r w:rsidR="00DE4088" w:rsidRPr="001F4A90">
        <w:rPr>
          <w:szCs w:val="26"/>
        </w:rPr>
        <w:t xml:space="preserve"> </w:t>
      </w:r>
      <w:r w:rsidRPr="001F4A90">
        <w:rPr>
          <w:szCs w:val="26"/>
        </w:rPr>
        <w:t>category of "not located inside conditioned space."</w:t>
      </w:r>
      <w:r w:rsidR="0023061E">
        <w:rPr>
          <w:rStyle w:val="FootnoteReference"/>
          <w:szCs w:val="26"/>
        </w:rPr>
        <w:footnoteReference w:id="112"/>
      </w:r>
    </w:p>
    <w:p w:rsidR="00D571BB" w:rsidRDefault="00D571BB" w:rsidP="001B6469">
      <w:pPr>
        <w:ind w:firstLine="720"/>
        <w:jc w:val="left"/>
        <w:rPr>
          <w:szCs w:val="26"/>
        </w:rPr>
      </w:pPr>
    </w:p>
    <w:p w:rsidR="002D2DD6" w:rsidRDefault="00DE43DC" w:rsidP="001B6469">
      <w:pPr>
        <w:ind w:firstLine="720"/>
        <w:jc w:val="left"/>
        <w:rPr>
          <w:szCs w:val="26"/>
        </w:rPr>
      </w:pPr>
      <w:r>
        <w:rPr>
          <w:szCs w:val="26"/>
        </w:rPr>
        <w:lastRenderedPageBreak/>
        <w:t>First</w:t>
      </w:r>
      <w:r w:rsidR="002D2DD6">
        <w:rPr>
          <w:szCs w:val="26"/>
        </w:rPr>
        <w:t>Energy comments that</w:t>
      </w:r>
      <w:r>
        <w:rPr>
          <w:szCs w:val="26"/>
        </w:rPr>
        <w:t>,</w:t>
      </w:r>
      <w:r w:rsidR="002D2DD6">
        <w:rPr>
          <w:szCs w:val="26"/>
        </w:rPr>
        <w:t xml:space="preserve"> w</w:t>
      </w:r>
      <w:r w:rsidR="002D2DD6" w:rsidRPr="00767DAD">
        <w:rPr>
          <w:szCs w:val="26"/>
        </w:rPr>
        <w:t>hile the enhanced detail related to</w:t>
      </w:r>
      <w:r>
        <w:rPr>
          <w:szCs w:val="26"/>
        </w:rPr>
        <w:t xml:space="preserve"> IEs </w:t>
      </w:r>
      <w:r w:rsidR="002D2DD6" w:rsidRPr="00767DAD">
        <w:rPr>
          <w:szCs w:val="26"/>
        </w:rPr>
        <w:t xml:space="preserve">for </w:t>
      </w:r>
      <w:r>
        <w:rPr>
          <w:szCs w:val="26"/>
        </w:rPr>
        <w:t xml:space="preserve">HPWHs </w:t>
      </w:r>
      <w:r w:rsidR="002D2DD6" w:rsidRPr="00767DAD">
        <w:rPr>
          <w:szCs w:val="26"/>
        </w:rPr>
        <w:t xml:space="preserve">upgrades engineering considerations, it will significantly increase evaluation costs </w:t>
      </w:r>
      <w:r>
        <w:rPr>
          <w:szCs w:val="26"/>
        </w:rPr>
        <w:t>while providing</w:t>
      </w:r>
      <w:r w:rsidR="002D2DD6" w:rsidRPr="00767DAD">
        <w:rPr>
          <w:szCs w:val="26"/>
        </w:rPr>
        <w:t xml:space="preserve"> </w:t>
      </w:r>
      <w:r>
        <w:rPr>
          <w:szCs w:val="26"/>
        </w:rPr>
        <w:t xml:space="preserve">little additional accuracy </w:t>
      </w:r>
      <w:r w:rsidR="002D2DD6" w:rsidRPr="00767DAD">
        <w:rPr>
          <w:szCs w:val="26"/>
        </w:rPr>
        <w:t>given the minimal penetration</w:t>
      </w:r>
      <w:r>
        <w:rPr>
          <w:szCs w:val="26"/>
        </w:rPr>
        <w:t>,</w:t>
      </w:r>
      <w:r w:rsidR="002D2DD6" w:rsidRPr="00767DAD">
        <w:rPr>
          <w:szCs w:val="26"/>
        </w:rPr>
        <w:t xml:space="preserve"> to date</w:t>
      </w:r>
      <w:r>
        <w:rPr>
          <w:szCs w:val="26"/>
        </w:rPr>
        <w:t>,</w:t>
      </w:r>
      <w:r w:rsidR="002D2DD6" w:rsidRPr="00767DAD">
        <w:rPr>
          <w:szCs w:val="26"/>
        </w:rPr>
        <w:t xml:space="preserve"> for that measure</w:t>
      </w:r>
      <w:r>
        <w:rPr>
          <w:szCs w:val="26"/>
        </w:rPr>
        <w:t>.  FirstEnergy</w:t>
      </w:r>
      <w:r w:rsidR="002D2DD6">
        <w:rPr>
          <w:szCs w:val="26"/>
        </w:rPr>
        <w:t xml:space="preserve"> suggests waiting until there is further penetration of the measure to include </w:t>
      </w:r>
      <w:r>
        <w:rPr>
          <w:szCs w:val="26"/>
        </w:rPr>
        <w:t>such information</w:t>
      </w:r>
      <w:r w:rsidR="00DE4088">
        <w:rPr>
          <w:szCs w:val="26"/>
        </w:rPr>
        <w:t xml:space="preserve"> in the TRM</w:t>
      </w:r>
      <w:r w:rsidR="002D2DD6">
        <w:rPr>
          <w:szCs w:val="26"/>
        </w:rPr>
        <w:t>.</w:t>
      </w:r>
      <w:r w:rsidR="0023061E">
        <w:rPr>
          <w:rStyle w:val="FootnoteReference"/>
          <w:szCs w:val="26"/>
        </w:rPr>
        <w:footnoteReference w:id="113"/>
      </w:r>
    </w:p>
    <w:p w:rsidR="002D2DD6" w:rsidRDefault="002D2DD6" w:rsidP="001B6469">
      <w:pPr>
        <w:jc w:val="left"/>
        <w:rPr>
          <w:szCs w:val="26"/>
        </w:rPr>
      </w:pPr>
    </w:p>
    <w:p w:rsidR="002D2DD6" w:rsidRDefault="00DE43DC" w:rsidP="001B6469">
      <w:pPr>
        <w:ind w:firstLine="720"/>
        <w:jc w:val="left"/>
        <w:rPr>
          <w:b/>
          <w:szCs w:val="26"/>
        </w:rPr>
      </w:pPr>
      <w:r>
        <w:rPr>
          <w:szCs w:val="26"/>
        </w:rPr>
        <w:tab/>
      </w:r>
      <w:r>
        <w:rPr>
          <w:b/>
          <w:szCs w:val="26"/>
        </w:rPr>
        <w:t>b</w:t>
      </w:r>
      <w:r w:rsidR="002D2DD6">
        <w:rPr>
          <w:b/>
          <w:szCs w:val="26"/>
        </w:rPr>
        <w:t>.</w:t>
      </w:r>
      <w:r w:rsidR="002D2DD6">
        <w:rPr>
          <w:b/>
          <w:szCs w:val="26"/>
        </w:rPr>
        <w:tab/>
        <w:t>Disposition</w:t>
      </w:r>
    </w:p>
    <w:p w:rsidR="002D2DD6" w:rsidRDefault="002D2DD6" w:rsidP="001B6469">
      <w:pPr>
        <w:ind w:firstLine="720"/>
        <w:jc w:val="left"/>
        <w:rPr>
          <w:szCs w:val="26"/>
        </w:rPr>
      </w:pPr>
    </w:p>
    <w:p w:rsidR="002D2DD6" w:rsidRPr="00BF1A02" w:rsidRDefault="002D2DD6" w:rsidP="001B6469">
      <w:pPr>
        <w:ind w:firstLine="720"/>
        <w:jc w:val="left"/>
        <w:rPr>
          <w:szCs w:val="26"/>
        </w:rPr>
      </w:pPr>
      <w:r>
        <w:rPr>
          <w:szCs w:val="26"/>
        </w:rPr>
        <w:tab/>
        <w:t xml:space="preserve">The Commission agrees with PPL and has </w:t>
      </w:r>
      <w:r w:rsidR="00266316">
        <w:rPr>
          <w:szCs w:val="26"/>
        </w:rPr>
        <w:t>clarified when IEs are to be applied</w:t>
      </w:r>
      <w:r>
        <w:rPr>
          <w:szCs w:val="26"/>
        </w:rPr>
        <w:t>.</w:t>
      </w:r>
      <w:r w:rsidR="00266316">
        <w:rPr>
          <w:szCs w:val="26"/>
        </w:rPr>
        <w:t xml:space="preserve"> </w:t>
      </w:r>
      <w:r>
        <w:rPr>
          <w:szCs w:val="26"/>
        </w:rPr>
        <w:t xml:space="preserve"> The Commission also agrees that it is unclear whether basement</w:t>
      </w:r>
      <w:r w:rsidR="00266316">
        <w:rPr>
          <w:szCs w:val="26"/>
        </w:rPr>
        <w:t>s</w:t>
      </w:r>
      <w:r>
        <w:rPr>
          <w:szCs w:val="26"/>
        </w:rPr>
        <w:t xml:space="preserve"> and garage</w:t>
      </w:r>
      <w:r w:rsidR="00266316">
        <w:rPr>
          <w:szCs w:val="26"/>
        </w:rPr>
        <w:t>s</w:t>
      </w:r>
      <w:r>
        <w:rPr>
          <w:szCs w:val="26"/>
        </w:rPr>
        <w:t xml:space="preserve"> </w:t>
      </w:r>
      <w:r w:rsidR="00266316">
        <w:rPr>
          <w:szCs w:val="26"/>
        </w:rPr>
        <w:t>are</w:t>
      </w:r>
      <w:r>
        <w:rPr>
          <w:szCs w:val="26"/>
        </w:rPr>
        <w:t xml:space="preserve"> </w:t>
      </w:r>
      <w:r w:rsidR="00266316">
        <w:rPr>
          <w:szCs w:val="26"/>
        </w:rPr>
        <w:t>considered “</w:t>
      </w:r>
      <w:r>
        <w:rPr>
          <w:szCs w:val="26"/>
        </w:rPr>
        <w:t>conditioned</w:t>
      </w:r>
      <w:r w:rsidR="00266316">
        <w:rPr>
          <w:szCs w:val="26"/>
        </w:rPr>
        <w:t>”</w:t>
      </w:r>
      <w:r>
        <w:rPr>
          <w:szCs w:val="26"/>
        </w:rPr>
        <w:t xml:space="preserve"> and has re-labeled the corresponding installation locations as “Unconditioned Garage” and “Unconditioned Basement</w:t>
      </w:r>
      <w:r w:rsidR="00266316">
        <w:rPr>
          <w:szCs w:val="26"/>
        </w:rPr>
        <w:t>.</w:t>
      </w:r>
      <w:r>
        <w:rPr>
          <w:szCs w:val="26"/>
        </w:rPr>
        <w:t xml:space="preserve">” </w:t>
      </w:r>
      <w:r w:rsidR="00DE4088">
        <w:rPr>
          <w:szCs w:val="26"/>
        </w:rPr>
        <w:t xml:space="preserve"> </w:t>
      </w:r>
      <w:r w:rsidR="00266316">
        <w:rPr>
          <w:szCs w:val="26"/>
        </w:rPr>
        <w:t>The Commission rejects First</w:t>
      </w:r>
      <w:r>
        <w:rPr>
          <w:szCs w:val="26"/>
        </w:rPr>
        <w:t>Energy’s suggestion</w:t>
      </w:r>
      <w:r w:rsidR="00266316">
        <w:rPr>
          <w:szCs w:val="26"/>
        </w:rPr>
        <w:t>,</w:t>
      </w:r>
      <w:r>
        <w:rPr>
          <w:szCs w:val="26"/>
        </w:rPr>
        <w:t xml:space="preserve"> as this addition </w:t>
      </w:r>
      <w:r w:rsidR="004A39D8">
        <w:rPr>
          <w:szCs w:val="26"/>
        </w:rPr>
        <w:t xml:space="preserve">will </w:t>
      </w:r>
      <w:r>
        <w:rPr>
          <w:szCs w:val="26"/>
        </w:rPr>
        <w:t xml:space="preserve">more accurately </w:t>
      </w:r>
      <w:r w:rsidR="004A39D8">
        <w:rPr>
          <w:szCs w:val="26"/>
        </w:rPr>
        <w:t xml:space="preserve">capture </w:t>
      </w:r>
      <w:r>
        <w:rPr>
          <w:szCs w:val="26"/>
        </w:rPr>
        <w:t>the re</w:t>
      </w:r>
      <w:r w:rsidR="00266316">
        <w:rPr>
          <w:szCs w:val="26"/>
        </w:rPr>
        <w:t>al-</w:t>
      </w:r>
      <w:r>
        <w:rPr>
          <w:szCs w:val="26"/>
        </w:rPr>
        <w:t xml:space="preserve">world kWh and kW savings. </w:t>
      </w:r>
    </w:p>
    <w:p w:rsidR="002D2DD6" w:rsidRPr="0098410B" w:rsidRDefault="002D2DD6" w:rsidP="001B6469">
      <w:pPr>
        <w:ind w:firstLine="720"/>
        <w:jc w:val="left"/>
        <w:textAlignment w:val="baseline"/>
        <w:rPr>
          <w:szCs w:val="26"/>
        </w:rPr>
      </w:pPr>
    </w:p>
    <w:p w:rsidR="002D2DD6" w:rsidRPr="0098410B" w:rsidRDefault="00B3731D" w:rsidP="00B3731D">
      <w:pPr>
        <w:pStyle w:val="Heading3"/>
        <w:numPr>
          <w:ilvl w:val="0"/>
          <w:numId w:val="0"/>
        </w:numPr>
        <w:ind w:left="1440" w:hanging="720"/>
      </w:pPr>
      <w:bookmarkStart w:id="116" w:name="_Toc405802398"/>
      <w:bookmarkStart w:id="117" w:name="_Toc405884727"/>
      <w:r>
        <w:t>10.</w:t>
      </w:r>
      <w:r>
        <w:tab/>
      </w:r>
      <w:r w:rsidR="002D2DD6">
        <w:t>Section 2.4.1 – ENERGY S</w:t>
      </w:r>
      <w:r w:rsidR="002D2DD6" w:rsidRPr="0098410B">
        <w:t>TAR Refrigerator</w:t>
      </w:r>
      <w:r w:rsidR="002D2DD6">
        <w:t>s</w:t>
      </w:r>
      <w:r w:rsidR="00960B69" w:rsidRPr="006C6351">
        <w:rPr>
          <w:rStyle w:val="FootnoteReference"/>
          <w:b w:val="0"/>
        </w:rPr>
        <w:footnoteReference w:id="114"/>
      </w:r>
      <w:bookmarkEnd w:id="116"/>
      <w:bookmarkEnd w:id="117"/>
    </w:p>
    <w:p w:rsidR="002D2DD6" w:rsidRPr="0098410B" w:rsidRDefault="002D2DD6" w:rsidP="001B6469">
      <w:pPr>
        <w:jc w:val="left"/>
        <w:rPr>
          <w:szCs w:val="26"/>
        </w:rPr>
      </w:pPr>
    </w:p>
    <w:p w:rsidR="002D2DD6" w:rsidRDefault="002D2DD6" w:rsidP="001B6469">
      <w:pPr>
        <w:ind w:firstLine="720"/>
        <w:jc w:val="left"/>
        <w:rPr>
          <w:szCs w:val="26"/>
        </w:rPr>
      </w:pPr>
      <w:r>
        <w:rPr>
          <w:szCs w:val="26"/>
        </w:rPr>
        <w:t>The Commission proposed</w:t>
      </w:r>
      <w:r w:rsidRPr="0098410B">
        <w:rPr>
          <w:szCs w:val="26"/>
        </w:rPr>
        <w:t xml:space="preserve"> updating</w:t>
      </w:r>
      <w:r>
        <w:rPr>
          <w:szCs w:val="26"/>
        </w:rPr>
        <w:t xml:space="preserve"> </w:t>
      </w:r>
      <w:r w:rsidRPr="0098410B">
        <w:rPr>
          <w:szCs w:val="26"/>
        </w:rPr>
        <w:t>the default Annual Energy Consumption values</w:t>
      </w:r>
      <w:r>
        <w:rPr>
          <w:szCs w:val="26"/>
        </w:rPr>
        <w:t xml:space="preserve"> in Section 2.4.1 – ENERGY STAR Refrigerators</w:t>
      </w:r>
      <w:r w:rsidRPr="0098410B">
        <w:rPr>
          <w:szCs w:val="26"/>
        </w:rPr>
        <w:t xml:space="preserve"> based on the new Federal</w:t>
      </w:r>
      <w:r w:rsidRPr="0098410B">
        <w:rPr>
          <w:rStyle w:val="FootnoteReference"/>
          <w:szCs w:val="26"/>
        </w:rPr>
        <w:footnoteReference w:id="115"/>
      </w:r>
      <w:r w:rsidRPr="0098410B">
        <w:rPr>
          <w:szCs w:val="26"/>
        </w:rPr>
        <w:t xml:space="preserve"> and ENERGY STAR</w:t>
      </w:r>
      <w:r w:rsidRPr="0098410B">
        <w:rPr>
          <w:rStyle w:val="FootnoteReference"/>
          <w:szCs w:val="26"/>
        </w:rPr>
        <w:footnoteReference w:id="116"/>
      </w:r>
      <w:r w:rsidRPr="0098410B">
        <w:rPr>
          <w:szCs w:val="26"/>
        </w:rPr>
        <w:t xml:space="preserve"> standards that </w:t>
      </w:r>
      <w:r>
        <w:rPr>
          <w:szCs w:val="26"/>
        </w:rPr>
        <w:t>become</w:t>
      </w:r>
      <w:r w:rsidRPr="0098410B">
        <w:rPr>
          <w:szCs w:val="26"/>
        </w:rPr>
        <w:t xml:space="preserve"> effective </w:t>
      </w:r>
      <w:r>
        <w:rPr>
          <w:szCs w:val="26"/>
        </w:rPr>
        <w:t>September 14, 2014</w:t>
      </w:r>
      <w:r w:rsidR="00896388">
        <w:rPr>
          <w:szCs w:val="26"/>
        </w:rPr>
        <w:t>.</w:t>
      </w:r>
      <w:r w:rsidR="006C6351">
        <w:rPr>
          <w:szCs w:val="26"/>
        </w:rPr>
        <w:t xml:space="preserve"> </w:t>
      </w:r>
      <w:r>
        <w:rPr>
          <w:szCs w:val="26"/>
        </w:rPr>
        <w:t xml:space="preserve"> </w:t>
      </w:r>
      <w:r w:rsidRPr="0098410B">
        <w:rPr>
          <w:szCs w:val="26"/>
        </w:rPr>
        <w:t>These are a series of formulas giving</w:t>
      </w:r>
      <w:r>
        <w:rPr>
          <w:szCs w:val="26"/>
        </w:rPr>
        <w:t xml:space="preserve"> the number of</w:t>
      </w:r>
      <w:r w:rsidRPr="0098410B">
        <w:rPr>
          <w:szCs w:val="26"/>
        </w:rPr>
        <w:t xml:space="preserve"> kWh</w:t>
      </w:r>
      <w:r>
        <w:rPr>
          <w:szCs w:val="26"/>
        </w:rPr>
        <w:t xml:space="preserve"> per </w:t>
      </w:r>
      <w:r w:rsidRPr="0098410B">
        <w:rPr>
          <w:szCs w:val="26"/>
        </w:rPr>
        <w:t>y</w:t>
      </w:r>
      <w:r>
        <w:rPr>
          <w:szCs w:val="26"/>
        </w:rPr>
        <w:t>ear</w:t>
      </w:r>
      <w:r w:rsidRPr="0098410B">
        <w:rPr>
          <w:szCs w:val="26"/>
        </w:rPr>
        <w:t>, provided a known configuration and refrigerator volume</w:t>
      </w:r>
      <w:r w:rsidR="00896388">
        <w:rPr>
          <w:szCs w:val="26"/>
        </w:rPr>
        <w:t>.</w:t>
      </w:r>
      <w:r>
        <w:rPr>
          <w:szCs w:val="26"/>
        </w:rPr>
        <w:t xml:space="preserve"> </w:t>
      </w:r>
      <w:r w:rsidR="006C6351">
        <w:rPr>
          <w:szCs w:val="26"/>
        </w:rPr>
        <w:t xml:space="preserve"> </w:t>
      </w:r>
      <w:r w:rsidRPr="0098410B">
        <w:rPr>
          <w:szCs w:val="26"/>
        </w:rPr>
        <w:t xml:space="preserve">Additionally, </w:t>
      </w:r>
      <w:r>
        <w:rPr>
          <w:szCs w:val="26"/>
        </w:rPr>
        <w:t xml:space="preserve">we proposed updating </w:t>
      </w:r>
      <w:r w:rsidRPr="0098410B">
        <w:rPr>
          <w:szCs w:val="26"/>
        </w:rPr>
        <w:t xml:space="preserve">the ENERGY STAR Most </w:t>
      </w:r>
      <w:r w:rsidRPr="0098410B">
        <w:rPr>
          <w:szCs w:val="26"/>
        </w:rPr>
        <w:lastRenderedPageBreak/>
        <w:t>Efficient annual energy usage values based on the Most Efficient Version 5.0 ENERGY STAR criteria.</w:t>
      </w:r>
      <w:r w:rsidRPr="0098410B">
        <w:rPr>
          <w:rStyle w:val="FootnoteReference"/>
          <w:szCs w:val="26"/>
        </w:rPr>
        <w:footnoteReference w:id="117"/>
      </w:r>
    </w:p>
    <w:p w:rsidR="002D2DD6" w:rsidRDefault="002D2DD6" w:rsidP="001B6469">
      <w:pPr>
        <w:ind w:firstLine="720"/>
        <w:jc w:val="left"/>
        <w:rPr>
          <w:szCs w:val="26"/>
        </w:rPr>
      </w:pPr>
    </w:p>
    <w:p w:rsidR="002D2DD6" w:rsidRDefault="002D2DD6" w:rsidP="001B6469">
      <w:pPr>
        <w:ind w:firstLine="720"/>
        <w:jc w:val="left"/>
        <w:rPr>
          <w:b/>
          <w:szCs w:val="26"/>
        </w:rPr>
      </w:pPr>
      <w:r>
        <w:rPr>
          <w:szCs w:val="26"/>
        </w:rPr>
        <w:tab/>
      </w:r>
      <w:r w:rsidR="006C6351">
        <w:rPr>
          <w:b/>
          <w:szCs w:val="26"/>
        </w:rPr>
        <w:t>a</w:t>
      </w:r>
      <w:r>
        <w:rPr>
          <w:b/>
          <w:szCs w:val="26"/>
        </w:rPr>
        <w:t>.</w:t>
      </w:r>
      <w:r>
        <w:rPr>
          <w:b/>
          <w:szCs w:val="26"/>
        </w:rPr>
        <w:tab/>
        <w:t>Comments</w:t>
      </w:r>
    </w:p>
    <w:p w:rsidR="002D2DD6" w:rsidRDefault="002D2DD6" w:rsidP="001B6469">
      <w:pPr>
        <w:ind w:firstLine="720"/>
        <w:jc w:val="left"/>
        <w:rPr>
          <w:szCs w:val="26"/>
        </w:rPr>
      </w:pPr>
    </w:p>
    <w:p w:rsidR="002D2DD6" w:rsidRDefault="002D2DD6" w:rsidP="001B6469">
      <w:pPr>
        <w:ind w:firstLine="720"/>
        <w:jc w:val="left"/>
        <w:rPr>
          <w:szCs w:val="26"/>
        </w:rPr>
      </w:pPr>
      <w:r>
        <w:rPr>
          <w:szCs w:val="26"/>
        </w:rPr>
        <w:t>PECO states that t</w:t>
      </w:r>
      <w:r w:rsidRPr="00804595">
        <w:rPr>
          <w:szCs w:val="26"/>
        </w:rPr>
        <w:t xml:space="preserve">he numbers </w:t>
      </w:r>
      <w:r w:rsidR="006C6351">
        <w:rPr>
          <w:szCs w:val="26"/>
        </w:rPr>
        <w:t>for the</w:t>
      </w:r>
      <w:r w:rsidRPr="00804595">
        <w:rPr>
          <w:szCs w:val="26"/>
        </w:rPr>
        <w:t xml:space="preserve"> models in column “Refrigerator Category” of</w:t>
      </w:r>
      <w:r>
        <w:rPr>
          <w:szCs w:val="26"/>
        </w:rPr>
        <w:t xml:space="preserve"> Table 2-70 may be confusing and</w:t>
      </w:r>
      <w:r w:rsidRPr="00804595">
        <w:rPr>
          <w:szCs w:val="26"/>
        </w:rPr>
        <w:t xml:space="preserve"> recommend</w:t>
      </w:r>
      <w:r w:rsidR="006C6351">
        <w:rPr>
          <w:szCs w:val="26"/>
        </w:rPr>
        <w:t>s that</w:t>
      </w:r>
      <w:r w:rsidRPr="00804595">
        <w:rPr>
          <w:szCs w:val="26"/>
        </w:rPr>
        <w:t xml:space="preserve"> they be deleted or that a clarifying note be added before the table.</w:t>
      </w:r>
      <w:r>
        <w:rPr>
          <w:szCs w:val="26"/>
        </w:rPr>
        <w:t xml:space="preserve"> </w:t>
      </w:r>
      <w:r w:rsidR="006C6351">
        <w:rPr>
          <w:szCs w:val="26"/>
        </w:rPr>
        <w:t xml:space="preserve"> </w:t>
      </w:r>
      <w:r>
        <w:rPr>
          <w:szCs w:val="26"/>
        </w:rPr>
        <w:t>PECO also notes that the title of the “Deemed”</w:t>
      </w:r>
      <w:r w:rsidRPr="00804595">
        <w:rPr>
          <w:szCs w:val="26"/>
        </w:rPr>
        <w:t xml:space="preserve"> sub-section </w:t>
      </w:r>
      <w:r w:rsidR="00F623E2">
        <w:rPr>
          <w:szCs w:val="26"/>
        </w:rPr>
        <w:t>is confusing</w:t>
      </w:r>
      <w:r w:rsidRPr="00804595">
        <w:rPr>
          <w:szCs w:val="26"/>
        </w:rPr>
        <w:t>.</w:t>
      </w:r>
      <w:r w:rsidR="0073265B">
        <w:rPr>
          <w:rStyle w:val="FootnoteReference"/>
          <w:szCs w:val="26"/>
        </w:rPr>
        <w:footnoteReference w:id="118"/>
      </w:r>
    </w:p>
    <w:p w:rsidR="002D2DD6" w:rsidRDefault="002D2DD6" w:rsidP="001B6469">
      <w:pPr>
        <w:jc w:val="left"/>
        <w:rPr>
          <w:szCs w:val="26"/>
        </w:rPr>
      </w:pPr>
    </w:p>
    <w:p w:rsidR="002D2DD6" w:rsidRDefault="002D2DD6" w:rsidP="001B6469">
      <w:pPr>
        <w:ind w:firstLine="720"/>
        <w:jc w:val="left"/>
        <w:rPr>
          <w:b/>
          <w:szCs w:val="26"/>
        </w:rPr>
      </w:pPr>
      <w:r>
        <w:rPr>
          <w:szCs w:val="26"/>
        </w:rPr>
        <w:tab/>
      </w:r>
      <w:r w:rsidR="006C6351">
        <w:rPr>
          <w:b/>
          <w:szCs w:val="26"/>
        </w:rPr>
        <w:t>b</w:t>
      </w:r>
      <w:r>
        <w:rPr>
          <w:b/>
          <w:szCs w:val="26"/>
        </w:rPr>
        <w:t>.</w:t>
      </w:r>
      <w:r>
        <w:rPr>
          <w:b/>
          <w:szCs w:val="26"/>
        </w:rPr>
        <w:tab/>
        <w:t>Disposition</w:t>
      </w:r>
    </w:p>
    <w:p w:rsidR="002D2DD6" w:rsidRDefault="002D2DD6" w:rsidP="001B6469">
      <w:pPr>
        <w:ind w:firstLine="720"/>
        <w:jc w:val="left"/>
        <w:rPr>
          <w:szCs w:val="26"/>
        </w:rPr>
      </w:pPr>
    </w:p>
    <w:p w:rsidR="002D2DD6" w:rsidRDefault="002D2DD6" w:rsidP="00E46FE4">
      <w:pPr>
        <w:ind w:firstLine="720"/>
        <w:jc w:val="left"/>
        <w:rPr>
          <w:szCs w:val="26"/>
        </w:rPr>
      </w:pPr>
      <w:r>
        <w:rPr>
          <w:szCs w:val="26"/>
        </w:rPr>
        <w:t>The Commission agrees that t</w:t>
      </w:r>
      <w:r w:rsidR="006C6351">
        <w:rPr>
          <w:szCs w:val="26"/>
        </w:rPr>
        <w:t>he purpose of the numbering in T</w:t>
      </w:r>
      <w:r>
        <w:rPr>
          <w:szCs w:val="26"/>
        </w:rPr>
        <w:t xml:space="preserve">able 2-70 may be confusing and has added </w:t>
      </w:r>
      <w:r w:rsidR="00F623E2">
        <w:rPr>
          <w:szCs w:val="26"/>
        </w:rPr>
        <w:t>a clarifying footnote</w:t>
      </w:r>
      <w:r w:rsidRPr="00804595">
        <w:rPr>
          <w:szCs w:val="26"/>
        </w:rPr>
        <w:t>.</w:t>
      </w:r>
      <w:r w:rsidR="00F623E2">
        <w:rPr>
          <w:szCs w:val="26"/>
        </w:rPr>
        <w:t xml:space="preserve">  </w:t>
      </w:r>
      <w:r>
        <w:rPr>
          <w:szCs w:val="26"/>
        </w:rPr>
        <w:t>The Commission agrees that the title of the “Deemed” section may be misleading and has changed it to “Default</w:t>
      </w:r>
      <w:r w:rsidR="00E46FE4">
        <w:rPr>
          <w:szCs w:val="26"/>
        </w:rPr>
        <w:t>.”</w:t>
      </w:r>
    </w:p>
    <w:p w:rsidR="00E46FE4" w:rsidRPr="00336A2E" w:rsidRDefault="00E46FE4" w:rsidP="00E46FE4">
      <w:pPr>
        <w:ind w:firstLine="720"/>
        <w:jc w:val="left"/>
        <w:rPr>
          <w:szCs w:val="26"/>
        </w:rPr>
      </w:pPr>
    </w:p>
    <w:p w:rsidR="002D2DD6" w:rsidRPr="0098410B" w:rsidRDefault="002D2DD6" w:rsidP="00E46FE4">
      <w:pPr>
        <w:pStyle w:val="Heading3"/>
        <w:numPr>
          <w:ilvl w:val="0"/>
          <w:numId w:val="45"/>
        </w:numPr>
        <w:ind w:hanging="720"/>
      </w:pPr>
      <w:bookmarkStart w:id="118" w:name="_Toc405802399"/>
      <w:bookmarkStart w:id="119" w:name="_Toc405884728"/>
      <w:r>
        <w:t xml:space="preserve">Section 2.4.2 – ENERGY </w:t>
      </w:r>
      <w:r w:rsidRPr="0098410B">
        <w:t>STAR Freezer</w:t>
      </w:r>
      <w:r>
        <w:t>s</w:t>
      </w:r>
      <w:r w:rsidR="00743320" w:rsidRPr="00E46FE4">
        <w:rPr>
          <w:rStyle w:val="FootnoteReference"/>
          <w:b w:val="0"/>
        </w:rPr>
        <w:footnoteReference w:id="119"/>
      </w:r>
      <w:bookmarkEnd w:id="118"/>
      <w:bookmarkEnd w:id="119"/>
    </w:p>
    <w:p w:rsidR="002D2DD6" w:rsidRPr="0098410B" w:rsidRDefault="002D2DD6" w:rsidP="001B6469">
      <w:pPr>
        <w:ind w:firstLine="720"/>
        <w:jc w:val="left"/>
        <w:rPr>
          <w:szCs w:val="26"/>
        </w:rPr>
      </w:pPr>
    </w:p>
    <w:p w:rsidR="002D2DD6" w:rsidRDefault="002D2DD6" w:rsidP="001B6469">
      <w:pPr>
        <w:ind w:firstLine="720"/>
        <w:jc w:val="left"/>
        <w:rPr>
          <w:szCs w:val="26"/>
        </w:rPr>
      </w:pPr>
      <w:r w:rsidRPr="0098410B">
        <w:rPr>
          <w:szCs w:val="26"/>
        </w:rPr>
        <w:t>The Commission propose</w:t>
      </w:r>
      <w:r>
        <w:rPr>
          <w:szCs w:val="26"/>
        </w:rPr>
        <w:t>d</w:t>
      </w:r>
      <w:r w:rsidRPr="0098410B">
        <w:rPr>
          <w:szCs w:val="26"/>
        </w:rPr>
        <w:t xml:space="preserve"> updating the default Annual Energy Consumption values based on the new Federal</w:t>
      </w:r>
      <w:r w:rsidRPr="0098410B">
        <w:rPr>
          <w:rStyle w:val="FootnoteReference"/>
          <w:szCs w:val="26"/>
        </w:rPr>
        <w:footnoteReference w:id="120"/>
      </w:r>
      <w:r w:rsidRPr="0098410B">
        <w:rPr>
          <w:szCs w:val="26"/>
        </w:rPr>
        <w:t xml:space="preserve"> and ENERGY STAR</w:t>
      </w:r>
      <w:r w:rsidRPr="0098410B">
        <w:rPr>
          <w:rStyle w:val="FootnoteReference"/>
          <w:szCs w:val="26"/>
        </w:rPr>
        <w:footnoteReference w:id="121"/>
      </w:r>
      <w:r w:rsidRPr="0098410B">
        <w:rPr>
          <w:szCs w:val="26"/>
        </w:rPr>
        <w:t xml:space="preserve"> standards that </w:t>
      </w:r>
      <w:r>
        <w:rPr>
          <w:szCs w:val="26"/>
        </w:rPr>
        <w:t>become effective September 14, 2014</w:t>
      </w:r>
      <w:r w:rsidR="00896388">
        <w:rPr>
          <w:szCs w:val="26"/>
        </w:rPr>
        <w:t>.</w:t>
      </w:r>
      <w:r w:rsidR="00E46FE4">
        <w:rPr>
          <w:szCs w:val="26"/>
        </w:rPr>
        <w:t xml:space="preserve"> </w:t>
      </w:r>
      <w:r>
        <w:rPr>
          <w:szCs w:val="26"/>
        </w:rPr>
        <w:t xml:space="preserve"> </w:t>
      </w:r>
      <w:r w:rsidRPr="0098410B">
        <w:rPr>
          <w:szCs w:val="26"/>
        </w:rPr>
        <w:t xml:space="preserve">These are a series of formulas giving </w:t>
      </w:r>
      <w:r>
        <w:rPr>
          <w:szCs w:val="26"/>
        </w:rPr>
        <w:t xml:space="preserve">the number of kWh </w:t>
      </w:r>
      <w:r>
        <w:rPr>
          <w:szCs w:val="26"/>
        </w:rPr>
        <w:lastRenderedPageBreak/>
        <w:t>per year</w:t>
      </w:r>
      <w:r w:rsidRPr="0098410B">
        <w:rPr>
          <w:szCs w:val="26"/>
        </w:rPr>
        <w:t>, provided a known configuration and refrigerator volume</w:t>
      </w:r>
      <w:r w:rsidR="00896388">
        <w:rPr>
          <w:szCs w:val="26"/>
        </w:rPr>
        <w:t>.</w:t>
      </w:r>
      <w:r w:rsidR="00E46FE4">
        <w:rPr>
          <w:szCs w:val="26"/>
        </w:rPr>
        <w:t xml:space="preserve"> </w:t>
      </w:r>
      <w:r>
        <w:rPr>
          <w:szCs w:val="26"/>
        </w:rPr>
        <w:t xml:space="preserve"> </w:t>
      </w:r>
      <w:r w:rsidRPr="0098410B">
        <w:rPr>
          <w:szCs w:val="26"/>
        </w:rPr>
        <w:t xml:space="preserve">Additionally, </w:t>
      </w:r>
      <w:r>
        <w:rPr>
          <w:szCs w:val="26"/>
        </w:rPr>
        <w:t xml:space="preserve">we proposed updating </w:t>
      </w:r>
      <w:r w:rsidRPr="0098410B">
        <w:rPr>
          <w:szCs w:val="26"/>
        </w:rPr>
        <w:t>the ENERGY STAR Most Efficient annual energy usage values based on the Most Efficient Version 5.0 ENERGY STAR criteria.</w:t>
      </w:r>
      <w:r w:rsidRPr="0098410B">
        <w:rPr>
          <w:rStyle w:val="FootnoteReference"/>
          <w:szCs w:val="26"/>
        </w:rPr>
        <w:footnoteReference w:id="122"/>
      </w:r>
    </w:p>
    <w:p w:rsidR="002D2DD6" w:rsidRDefault="002D2DD6" w:rsidP="001B6469">
      <w:pPr>
        <w:ind w:firstLine="720"/>
        <w:jc w:val="left"/>
        <w:rPr>
          <w:szCs w:val="26"/>
        </w:rPr>
      </w:pPr>
    </w:p>
    <w:p w:rsidR="002D2DD6" w:rsidRDefault="00E46FE4" w:rsidP="001B6469">
      <w:pPr>
        <w:ind w:firstLine="720"/>
        <w:jc w:val="left"/>
        <w:rPr>
          <w:b/>
          <w:szCs w:val="26"/>
        </w:rPr>
      </w:pPr>
      <w:r>
        <w:rPr>
          <w:szCs w:val="26"/>
        </w:rPr>
        <w:tab/>
      </w:r>
      <w:r>
        <w:rPr>
          <w:b/>
          <w:szCs w:val="26"/>
        </w:rPr>
        <w:t>a</w:t>
      </w:r>
      <w:r w:rsidR="002D2DD6">
        <w:rPr>
          <w:b/>
          <w:szCs w:val="26"/>
        </w:rPr>
        <w:t>.</w:t>
      </w:r>
      <w:r w:rsidR="002D2DD6">
        <w:rPr>
          <w:b/>
          <w:szCs w:val="26"/>
        </w:rPr>
        <w:tab/>
        <w:t>Comments</w:t>
      </w:r>
    </w:p>
    <w:p w:rsidR="002D2DD6" w:rsidRDefault="002D2DD6" w:rsidP="001B6469">
      <w:pPr>
        <w:ind w:firstLine="720"/>
        <w:jc w:val="left"/>
        <w:rPr>
          <w:szCs w:val="26"/>
        </w:rPr>
      </w:pPr>
    </w:p>
    <w:p w:rsidR="002D2DD6" w:rsidRDefault="002D2DD6" w:rsidP="001B6469">
      <w:pPr>
        <w:ind w:firstLine="720"/>
        <w:jc w:val="left"/>
        <w:rPr>
          <w:szCs w:val="26"/>
        </w:rPr>
      </w:pPr>
      <w:r>
        <w:rPr>
          <w:szCs w:val="26"/>
        </w:rPr>
        <w:t>PECO notes that t</w:t>
      </w:r>
      <w:r w:rsidRPr="00804595">
        <w:rPr>
          <w:szCs w:val="26"/>
        </w:rPr>
        <w:t>he numbers used to list models in column “</w:t>
      </w:r>
      <w:r>
        <w:rPr>
          <w:szCs w:val="26"/>
        </w:rPr>
        <w:t>Freeze</w:t>
      </w:r>
      <w:r w:rsidRPr="00804595">
        <w:rPr>
          <w:szCs w:val="26"/>
        </w:rPr>
        <w:t>r Category” of</w:t>
      </w:r>
      <w:r>
        <w:rPr>
          <w:szCs w:val="26"/>
        </w:rPr>
        <w:t xml:space="preserve"> Table 2-74 may be confusing and</w:t>
      </w:r>
      <w:r w:rsidRPr="00804595">
        <w:rPr>
          <w:szCs w:val="26"/>
        </w:rPr>
        <w:t xml:space="preserve"> recommend</w:t>
      </w:r>
      <w:r w:rsidR="00E46FE4">
        <w:rPr>
          <w:szCs w:val="26"/>
        </w:rPr>
        <w:t>s</w:t>
      </w:r>
      <w:r w:rsidRPr="00804595">
        <w:rPr>
          <w:szCs w:val="26"/>
        </w:rPr>
        <w:t xml:space="preserve"> that a clarifying note be added.</w:t>
      </w:r>
      <w:r w:rsidR="00D1748D">
        <w:rPr>
          <w:rStyle w:val="FootnoteReference"/>
          <w:szCs w:val="26"/>
        </w:rPr>
        <w:footnoteReference w:id="123"/>
      </w:r>
    </w:p>
    <w:p w:rsidR="002D2DD6" w:rsidRDefault="002D2DD6" w:rsidP="001B6469">
      <w:pPr>
        <w:ind w:firstLine="720"/>
        <w:jc w:val="left"/>
        <w:rPr>
          <w:szCs w:val="26"/>
        </w:rPr>
      </w:pPr>
    </w:p>
    <w:p w:rsidR="002D2DD6" w:rsidRDefault="00E46FE4" w:rsidP="001B6469">
      <w:pPr>
        <w:ind w:firstLine="720"/>
        <w:jc w:val="left"/>
        <w:rPr>
          <w:b/>
          <w:szCs w:val="26"/>
        </w:rPr>
      </w:pPr>
      <w:r>
        <w:rPr>
          <w:szCs w:val="26"/>
        </w:rPr>
        <w:tab/>
      </w:r>
      <w:r>
        <w:rPr>
          <w:b/>
          <w:szCs w:val="26"/>
        </w:rPr>
        <w:t>b.</w:t>
      </w:r>
      <w:r w:rsidR="002D2DD6">
        <w:rPr>
          <w:b/>
          <w:szCs w:val="26"/>
        </w:rPr>
        <w:tab/>
        <w:t>Disposition</w:t>
      </w:r>
    </w:p>
    <w:p w:rsidR="002D2DD6" w:rsidRDefault="002D2DD6" w:rsidP="001B6469">
      <w:pPr>
        <w:ind w:firstLine="720"/>
        <w:jc w:val="left"/>
        <w:rPr>
          <w:szCs w:val="26"/>
        </w:rPr>
      </w:pPr>
    </w:p>
    <w:p w:rsidR="002D2DD6" w:rsidRDefault="002D2DD6" w:rsidP="001B6469">
      <w:pPr>
        <w:ind w:firstLine="720"/>
        <w:jc w:val="left"/>
        <w:rPr>
          <w:szCs w:val="26"/>
        </w:rPr>
      </w:pPr>
      <w:r>
        <w:rPr>
          <w:szCs w:val="26"/>
        </w:rPr>
        <w:t xml:space="preserve">The Commission agrees </w:t>
      </w:r>
      <w:r w:rsidR="00194A64">
        <w:rPr>
          <w:szCs w:val="26"/>
        </w:rPr>
        <w:t xml:space="preserve">with PECO’s suggestions </w:t>
      </w:r>
      <w:r>
        <w:rPr>
          <w:szCs w:val="26"/>
        </w:rPr>
        <w:t xml:space="preserve">and </w:t>
      </w:r>
      <w:r w:rsidR="00E46FE4">
        <w:rPr>
          <w:szCs w:val="26"/>
        </w:rPr>
        <w:t>has</w:t>
      </w:r>
      <w:r>
        <w:rPr>
          <w:szCs w:val="26"/>
        </w:rPr>
        <w:t xml:space="preserve"> added </w:t>
      </w:r>
      <w:r w:rsidR="00F623E2">
        <w:rPr>
          <w:szCs w:val="26"/>
        </w:rPr>
        <w:t>a clarifying note</w:t>
      </w:r>
      <w:r w:rsidRPr="009F0B8D">
        <w:rPr>
          <w:szCs w:val="26"/>
        </w:rPr>
        <w:t>.</w:t>
      </w:r>
    </w:p>
    <w:p w:rsidR="002D2DD6" w:rsidRPr="0098410B" w:rsidRDefault="002D2DD6" w:rsidP="001B6469">
      <w:pPr>
        <w:jc w:val="left"/>
        <w:rPr>
          <w:szCs w:val="26"/>
        </w:rPr>
      </w:pPr>
    </w:p>
    <w:p w:rsidR="002D2DD6" w:rsidRPr="0098410B" w:rsidRDefault="002D2DD6" w:rsidP="00A95717">
      <w:pPr>
        <w:pStyle w:val="Heading3"/>
        <w:numPr>
          <w:ilvl w:val="0"/>
          <w:numId w:val="45"/>
        </w:numPr>
        <w:tabs>
          <w:tab w:val="clear" w:pos="720"/>
        </w:tabs>
        <w:ind w:hanging="720"/>
      </w:pPr>
      <w:bookmarkStart w:id="120" w:name="_Toc405802400"/>
      <w:bookmarkStart w:id="121" w:name="_Toc405884729"/>
      <w:r>
        <w:t>Section 2.4.3 – Refrigerator/</w:t>
      </w:r>
      <w:r w:rsidRPr="0098410B">
        <w:t>Freezer Recycling with and without Replacement</w:t>
      </w:r>
      <w:r w:rsidR="00743320" w:rsidRPr="00194A64">
        <w:rPr>
          <w:rStyle w:val="FootnoteReference"/>
          <w:b w:val="0"/>
        </w:rPr>
        <w:footnoteReference w:id="124"/>
      </w:r>
      <w:bookmarkEnd w:id="120"/>
      <w:bookmarkEnd w:id="121"/>
    </w:p>
    <w:p w:rsidR="002D2DD6" w:rsidRPr="0098410B" w:rsidRDefault="002D2DD6" w:rsidP="001B6469">
      <w:pPr>
        <w:jc w:val="left"/>
        <w:rPr>
          <w:szCs w:val="26"/>
        </w:rPr>
      </w:pPr>
    </w:p>
    <w:p w:rsidR="002D2DD6" w:rsidRDefault="002D2DD6" w:rsidP="001B6469">
      <w:pPr>
        <w:ind w:firstLine="720"/>
        <w:jc w:val="left"/>
        <w:rPr>
          <w:szCs w:val="26"/>
        </w:rPr>
      </w:pPr>
      <w:r>
        <w:rPr>
          <w:szCs w:val="26"/>
        </w:rPr>
        <w:t>T</w:t>
      </w:r>
      <w:r w:rsidRPr="0098410B">
        <w:rPr>
          <w:szCs w:val="26"/>
        </w:rPr>
        <w:t>he Commission propose</w:t>
      </w:r>
      <w:r>
        <w:rPr>
          <w:szCs w:val="26"/>
        </w:rPr>
        <w:t>d</w:t>
      </w:r>
      <w:r w:rsidRPr="0098410B">
        <w:rPr>
          <w:szCs w:val="26"/>
        </w:rPr>
        <w:t xml:space="preserve"> updating the REPLACEMENTUEC values</w:t>
      </w:r>
      <w:r>
        <w:rPr>
          <w:szCs w:val="26"/>
        </w:rPr>
        <w:t xml:space="preserve"> in Section 2.4.3 – Refrigerator/Freezer Recycling with and without Replacement,</w:t>
      </w:r>
      <w:r w:rsidRPr="0098410B">
        <w:rPr>
          <w:szCs w:val="26"/>
        </w:rPr>
        <w:t xml:space="preserve"> based on the updated ENERGY STAR Appliance saving</w:t>
      </w:r>
      <w:r>
        <w:rPr>
          <w:szCs w:val="26"/>
        </w:rPr>
        <w:t>s calculator, last modified in May</w:t>
      </w:r>
      <w:r w:rsidRPr="0098410B">
        <w:rPr>
          <w:szCs w:val="26"/>
        </w:rPr>
        <w:t xml:space="preserve"> 2014. </w:t>
      </w:r>
      <w:r>
        <w:rPr>
          <w:szCs w:val="26"/>
        </w:rPr>
        <w:t xml:space="preserve"> </w:t>
      </w:r>
      <w:r w:rsidRPr="0098410B">
        <w:rPr>
          <w:szCs w:val="26"/>
        </w:rPr>
        <w:t xml:space="preserve">Each </w:t>
      </w:r>
      <w:r>
        <w:rPr>
          <w:szCs w:val="26"/>
        </w:rPr>
        <w:t>new value is an average of the six</w:t>
      </w:r>
      <w:r w:rsidRPr="0098410B">
        <w:rPr>
          <w:szCs w:val="26"/>
        </w:rPr>
        <w:t xml:space="preserve"> options provided in the appliance savings calculator. </w:t>
      </w:r>
      <w:r>
        <w:rPr>
          <w:szCs w:val="26"/>
        </w:rPr>
        <w:t xml:space="preserve"> </w:t>
      </w:r>
    </w:p>
    <w:p w:rsidR="002D2DD6" w:rsidRDefault="002D2DD6" w:rsidP="001B6469">
      <w:pPr>
        <w:ind w:firstLine="720"/>
        <w:jc w:val="left"/>
        <w:rPr>
          <w:szCs w:val="26"/>
        </w:rPr>
      </w:pPr>
    </w:p>
    <w:p w:rsidR="00A3244B" w:rsidRDefault="00A3244B" w:rsidP="001B6469">
      <w:pPr>
        <w:ind w:firstLine="720"/>
        <w:jc w:val="left"/>
        <w:rPr>
          <w:szCs w:val="26"/>
        </w:rPr>
      </w:pPr>
    </w:p>
    <w:p w:rsidR="00A3244B" w:rsidRDefault="00A3244B" w:rsidP="001B6469">
      <w:pPr>
        <w:ind w:firstLine="720"/>
        <w:jc w:val="left"/>
        <w:rPr>
          <w:szCs w:val="26"/>
        </w:rPr>
      </w:pPr>
    </w:p>
    <w:p w:rsidR="00A3244B" w:rsidRDefault="00A3244B" w:rsidP="001B6469">
      <w:pPr>
        <w:ind w:firstLine="720"/>
        <w:jc w:val="left"/>
        <w:rPr>
          <w:szCs w:val="26"/>
        </w:rPr>
      </w:pPr>
    </w:p>
    <w:p w:rsidR="002D2DD6" w:rsidRDefault="002D2DD6" w:rsidP="001B6469">
      <w:pPr>
        <w:ind w:firstLine="720"/>
        <w:jc w:val="left"/>
        <w:rPr>
          <w:szCs w:val="26"/>
        </w:rPr>
      </w:pPr>
      <w:r>
        <w:rPr>
          <w:szCs w:val="26"/>
        </w:rPr>
        <w:lastRenderedPageBreak/>
        <w:tab/>
      </w:r>
      <w:r w:rsidR="00D51FE2">
        <w:rPr>
          <w:b/>
          <w:szCs w:val="26"/>
        </w:rPr>
        <w:t>a</w:t>
      </w:r>
      <w:r>
        <w:rPr>
          <w:b/>
          <w:szCs w:val="26"/>
        </w:rPr>
        <w:t>.</w:t>
      </w:r>
      <w:r>
        <w:rPr>
          <w:b/>
          <w:szCs w:val="26"/>
        </w:rPr>
        <w:tab/>
        <w:t>Comments</w:t>
      </w:r>
    </w:p>
    <w:p w:rsidR="002D2DD6" w:rsidRDefault="002D2DD6" w:rsidP="001B6469">
      <w:pPr>
        <w:ind w:firstLine="720"/>
        <w:jc w:val="left"/>
        <w:rPr>
          <w:szCs w:val="26"/>
        </w:rPr>
      </w:pPr>
    </w:p>
    <w:p w:rsidR="00D80DBE" w:rsidRDefault="00D51FE2" w:rsidP="001B6469">
      <w:pPr>
        <w:ind w:firstLine="720"/>
        <w:jc w:val="left"/>
        <w:rPr>
          <w:szCs w:val="26"/>
        </w:rPr>
      </w:pPr>
      <w:r>
        <w:rPr>
          <w:szCs w:val="26"/>
        </w:rPr>
        <w:t>PPL, PECO</w:t>
      </w:r>
      <w:r w:rsidR="00D80DBE">
        <w:rPr>
          <w:szCs w:val="26"/>
        </w:rPr>
        <w:t xml:space="preserve"> and Duquesne </w:t>
      </w:r>
      <w:r>
        <w:rPr>
          <w:szCs w:val="26"/>
        </w:rPr>
        <w:t>believe that</w:t>
      </w:r>
      <w:r w:rsidR="00D80DBE">
        <w:rPr>
          <w:szCs w:val="26"/>
        </w:rPr>
        <w:t xml:space="preserve"> the protocol should be updated to fully comply with the </w:t>
      </w:r>
      <w:r>
        <w:rPr>
          <w:szCs w:val="26"/>
        </w:rPr>
        <w:t>Uniform Methods Project (UMP)</w:t>
      </w:r>
      <w:r w:rsidR="00D80DBE">
        <w:rPr>
          <w:szCs w:val="26"/>
        </w:rPr>
        <w:t xml:space="preserve"> Refrigerator Recycling Protocol.</w:t>
      </w:r>
      <w:r>
        <w:rPr>
          <w:szCs w:val="26"/>
        </w:rPr>
        <w:t xml:space="preserve"> </w:t>
      </w:r>
      <w:r w:rsidR="00D80DBE">
        <w:rPr>
          <w:szCs w:val="26"/>
        </w:rPr>
        <w:t xml:space="preserve"> Additionally, the method for determining part-use factors should be updated to the UMP as well.</w:t>
      </w:r>
      <w:r w:rsidR="00D80DBE" w:rsidRPr="00D51FE2">
        <w:rPr>
          <w:rStyle w:val="FootnoteReference"/>
          <w:szCs w:val="26"/>
        </w:rPr>
        <w:footnoteReference w:id="125"/>
      </w:r>
      <w:r w:rsidR="00F623E2" w:rsidRPr="00D51FE2" w:rsidDel="00F623E2">
        <w:rPr>
          <w:rStyle w:val="FootnoteReference"/>
          <w:szCs w:val="26"/>
        </w:rPr>
        <w:t xml:space="preserve"> </w:t>
      </w:r>
      <w:r>
        <w:rPr>
          <w:szCs w:val="26"/>
        </w:rPr>
        <w:t xml:space="preserve">  </w:t>
      </w:r>
      <w:r w:rsidR="00D80DBE">
        <w:rPr>
          <w:szCs w:val="26"/>
        </w:rPr>
        <w:t>PPL also recommends updating the default values for each EDC using PY5 data.</w:t>
      </w:r>
      <w:r>
        <w:rPr>
          <w:rStyle w:val="FootnoteReference"/>
          <w:szCs w:val="26"/>
        </w:rPr>
        <w:footnoteReference w:id="126"/>
      </w:r>
    </w:p>
    <w:p w:rsidR="00BB450B" w:rsidRDefault="00BB450B">
      <w:pPr>
        <w:overflowPunct/>
        <w:autoSpaceDE/>
        <w:autoSpaceDN/>
        <w:adjustRightInd/>
        <w:spacing w:line="240" w:lineRule="auto"/>
        <w:jc w:val="left"/>
        <w:rPr>
          <w:szCs w:val="26"/>
        </w:rPr>
      </w:pPr>
    </w:p>
    <w:p w:rsidR="002D2DD6" w:rsidRDefault="002D2DD6" w:rsidP="001B6469">
      <w:pPr>
        <w:ind w:firstLine="720"/>
        <w:jc w:val="left"/>
        <w:rPr>
          <w:b/>
          <w:szCs w:val="26"/>
        </w:rPr>
      </w:pPr>
      <w:r>
        <w:rPr>
          <w:szCs w:val="26"/>
        </w:rPr>
        <w:tab/>
      </w:r>
      <w:r w:rsidR="00D51FE2">
        <w:rPr>
          <w:b/>
          <w:szCs w:val="26"/>
        </w:rPr>
        <w:t>b.</w:t>
      </w:r>
      <w:r>
        <w:rPr>
          <w:b/>
          <w:szCs w:val="26"/>
        </w:rPr>
        <w:tab/>
        <w:t>Disposition</w:t>
      </w:r>
    </w:p>
    <w:p w:rsidR="00D51FE2" w:rsidRDefault="00D51FE2" w:rsidP="001B6469">
      <w:pPr>
        <w:ind w:firstLine="720"/>
        <w:jc w:val="left"/>
        <w:rPr>
          <w:szCs w:val="26"/>
        </w:rPr>
      </w:pPr>
    </w:p>
    <w:p w:rsidR="002D2DD6" w:rsidRDefault="00D80DBE" w:rsidP="002C3BBF">
      <w:pPr>
        <w:ind w:firstLine="720"/>
        <w:jc w:val="left"/>
        <w:rPr>
          <w:szCs w:val="26"/>
        </w:rPr>
      </w:pPr>
      <w:r>
        <w:rPr>
          <w:szCs w:val="26"/>
        </w:rPr>
        <w:t xml:space="preserve">The Commission agrees that this measure should be updated to fully correspond to the UMP Refrigerator Recycling Protocol. </w:t>
      </w:r>
      <w:r w:rsidR="00D51FE2">
        <w:rPr>
          <w:szCs w:val="26"/>
        </w:rPr>
        <w:t xml:space="preserve"> </w:t>
      </w:r>
      <w:r>
        <w:rPr>
          <w:szCs w:val="26"/>
        </w:rPr>
        <w:t xml:space="preserve">As a result, the 2015 TRM has been updated to fully comply with Chapter 7: Refrigerator </w:t>
      </w:r>
      <w:r w:rsidRPr="00A83F9D">
        <w:rPr>
          <w:szCs w:val="26"/>
        </w:rPr>
        <w:t>Recycling Evaluation Protocol</w:t>
      </w:r>
      <w:r>
        <w:rPr>
          <w:szCs w:val="26"/>
        </w:rPr>
        <w:t xml:space="preserve"> of the Uniform Methods Project, published April 2013. </w:t>
      </w:r>
      <w:r w:rsidR="00D51FE2">
        <w:rPr>
          <w:szCs w:val="26"/>
        </w:rPr>
        <w:t xml:space="preserve"> </w:t>
      </w:r>
      <w:r>
        <w:rPr>
          <w:szCs w:val="26"/>
        </w:rPr>
        <w:t>The net savings</w:t>
      </w:r>
      <w:r w:rsidR="00D51FE2">
        <w:rPr>
          <w:szCs w:val="26"/>
        </w:rPr>
        <w:t xml:space="preserve"> and the part-use factor</w:t>
      </w:r>
      <w:r>
        <w:rPr>
          <w:szCs w:val="26"/>
        </w:rPr>
        <w:t xml:space="preserve"> </w:t>
      </w:r>
      <w:r w:rsidR="00D51FE2">
        <w:rPr>
          <w:szCs w:val="26"/>
        </w:rPr>
        <w:t>are</w:t>
      </w:r>
      <w:r>
        <w:rPr>
          <w:szCs w:val="26"/>
        </w:rPr>
        <w:t xml:space="preserve"> now evaluated according to the </w:t>
      </w:r>
      <w:r w:rsidR="00D51FE2">
        <w:rPr>
          <w:szCs w:val="26"/>
        </w:rPr>
        <w:t>UMP.  We also agree</w:t>
      </w:r>
      <w:r>
        <w:rPr>
          <w:szCs w:val="26"/>
        </w:rPr>
        <w:t xml:space="preserve"> that the default values should be re-calculated using PY5 data and </w:t>
      </w:r>
      <w:r w:rsidR="00F623E2">
        <w:rPr>
          <w:szCs w:val="26"/>
        </w:rPr>
        <w:t xml:space="preserve">have </w:t>
      </w:r>
      <w:r w:rsidR="00D51FE2">
        <w:rPr>
          <w:szCs w:val="26"/>
        </w:rPr>
        <w:t>updated the TRM accordingly</w:t>
      </w:r>
      <w:r>
        <w:rPr>
          <w:szCs w:val="26"/>
        </w:rPr>
        <w:t>.</w:t>
      </w:r>
    </w:p>
    <w:p w:rsidR="002D2DD6" w:rsidRPr="0098410B" w:rsidRDefault="002D2DD6" w:rsidP="001B6469">
      <w:pPr>
        <w:widowControl w:val="0"/>
        <w:overflowPunct/>
        <w:jc w:val="left"/>
        <w:rPr>
          <w:b/>
          <w:szCs w:val="26"/>
        </w:rPr>
      </w:pPr>
    </w:p>
    <w:p w:rsidR="00561AED" w:rsidRPr="0098410B" w:rsidRDefault="00561AED" w:rsidP="00E46FE4">
      <w:pPr>
        <w:pStyle w:val="Heading3"/>
        <w:numPr>
          <w:ilvl w:val="0"/>
          <w:numId w:val="45"/>
        </w:numPr>
        <w:ind w:left="720" w:firstLine="0"/>
      </w:pPr>
      <w:bookmarkStart w:id="122" w:name="_Toc405802401"/>
      <w:bookmarkStart w:id="123" w:name="_Toc405884730"/>
      <w:r>
        <w:t>Section 2.4.9 – ENERGY S</w:t>
      </w:r>
      <w:r w:rsidRPr="0098410B">
        <w:t>TAR Water Coolers</w:t>
      </w:r>
      <w:r w:rsidR="009A77B9" w:rsidRPr="002C3BBF">
        <w:rPr>
          <w:rStyle w:val="FootnoteReference"/>
          <w:b w:val="0"/>
        </w:rPr>
        <w:footnoteReference w:id="127"/>
      </w:r>
      <w:bookmarkEnd w:id="122"/>
      <w:bookmarkEnd w:id="123"/>
    </w:p>
    <w:p w:rsidR="00561AED" w:rsidRPr="0098410B" w:rsidRDefault="00561AED" w:rsidP="001B6469">
      <w:pPr>
        <w:jc w:val="left"/>
        <w:rPr>
          <w:szCs w:val="26"/>
        </w:rPr>
      </w:pPr>
    </w:p>
    <w:p w:rsidR="00561AED" w:rsidRDefault="00561AED" w:rsidP="001B6469">
      <w:pPr>
        <w:ind w:firstLine="720"/>
        <w:jc w:val="left"/>
        <w:rPr>
          <w:szCs w:val="26"/>
        </w:rPr>
      </w:pPr>
      <w:r w:rsidRPr="0098410B">
        <w:rPr>
          <w:szCs w:val="26"/>
        </w:rPr>
        <w:t>To better accommodate the new ENERGY STAR requirements and to be more consistent with other algorithms throughout the TRM, the Commission propose</w:t>
      </w:r>
      <w:r>
        <w:rPr>
          <w:szCs w:val="26"/>
        </w:rPr>
        <w:t>d</w:t>
      </w:r>
      <w:r w:rsidRPr="0098410B">
        <w:rPr>
          <w:szCs w:val="26"/>
        </w:rPr>
        <w:t xml:space="preserve"> revising the algorithm to be a difference of a base value and an ENERGY STAR value r</w:t>
      </w:r>
      <w:r w:rsidR="00896388">
        <w:rPr>
          <w:szCs w:val="26"/>
        </w:rPr>
        <w:t xml:space="preserve">ather than </w:t>
      </w:r>
      <w:r w:rsidR="002C3BBF">
        <w:rPr>
          <w:szCs w:val="26"/>
        </w:rPr>
        <w:t>simply</w:t>
      </w:r>
      <w:r w:rsidR="00896388">
        <w:rPr>
          <w:szCs w:val="26"/>
        </w:rPr>
        <w:t xml:space="preserve"> a deemed value.</w:t>
      </w:r>
      <w:r w:rsidR="002C3BBF">
        <w:rPr>
          <w:szCs w:val="26"/>
        </w:rPr>
        <w:t xml:space="preserve"> </w:t>
      </w:r>
      <w:r>
        <w:rPr>
          <w:szCs w:val="26"/>
        </w:rPr>
        <w:t xml:space="preserve"> </w:t>
      </w:r>
    </w:p>
    <w:p w:rsidR="00561AED" w:rsidRDefault="00561AED" w:rsidP="001B6469">
      <w:pPr>
        <w:ind w:firstLine="720"/>
        <w:jc w:val="left"/>
        <w:rPr>
          <w:szCs w:val="26"/>
        </w:rPr>
      </w:pPr>
    </w:p>
    <w:p w:rsidR="00A3244B" w:rsidRDefault="00A3244B" w:rsidP="001B6469">
      <w:pPr>
        <w:ind w:firstLine="720"/>
        <w:jc w:val="left"/>
        <w:rPr>
          <w:szCs w:val="26"/>
        </w:rPr>
      </w:pPr>
    </w:p>
    <w:p w:rsidR="00A3244B" w:rsidRDefault="00A3244B" w:rsidP="001B6469">
      <w:pPr>
        <w:ind w:firstLine="720"/>
        <w:jc w:val="left"/>
        <w:rPr>
          <w:szCs w:val="26"/>
        </w:rPr>
      </w:pPr>
    </w:p>
    <w:p w:rsidR="00561AED" w:rsidRDefault="002C3BBF" w:rsidP="001B6469">
      <w:pPr>
        <w:ind w:firstLine="720"/>
        <w:jc w:val="left"/>
        <w:rPr>
          <w:b/>
          <w:szCs w:val="26"/>
        </w:rPr>
      </w:pPr>
      <w:r>
        <w:rPr>
          <w:szCs w:val="26"/>
        </w:rPr>
        <w:lastRenderedPageBreak/>
        <w:tab/>
      </w:r>
      <w:r>
        <w:rPr>
          <w:b/>
          <w:szCs w:val="26"/>
        </w:rPr>
        <w:t>a</w:t>
      </w:r>
      <w:r w:rsidR="00561AED">
        <w:rPr>
          <w:b/>
          <w:szCs w:val="26"/>
        </w:rPr>
        <w:t>.</w:t>
      </w:r>
      <w:r w:rsidR="00561AED">
        <w:rPr>
          <w:b/>
          <w:szCs w:val="26"/>
        </w:rPr>
        <w:tab/>
        <w:t>Comments</w:t>
      </w:r>
    </w:p>
    <w:p w:rsidR="00561AED" w:rsidRDefault="00561AED" w:rsidP="001B6469">
      <w:pPr>
        <w:ind w:firstLine="720"/>
        <w:jc w:val="left"/>
        <w:rPr>
          <w:b/>
          <w:szCs w:val="26"/>
        </w:rPr>
      </w:pPr>
    </w:p>
    <w:p w:rsidR="00561AED" w:rsidRPr="00AC6135" w:rsidRDefault="00561AED" w:rsidP="001B6469">
      <w:pPr>
        <w:ind w:firstLine="720"/>
        <w:jc w:val="left"/>
        <w:rPr>
          <w:szCs w:val="26"/>
        </w:rPr>
      </w:pPr>
      <w:r>
        <w:rPr>
          <w:szCs w:val="26"/>
        </w:rPr>
        <w:t xml:space="preserve">PECO states that </w:t>
      </w:r>
      <w:r w:rsidRPr="00AB2EF8">
        <w:rPr>
          <w:szCs w:val="26"/>
        </w:rPr>
        <w:t>Source 3 refers to assumptions state</w:t>
      </w:r>
      <w:r>
        <w:rPr>
          <w:szCs w:val="26"/>
        </w:rPr>
        <w:t>d in a separate TRM protocol and</w:t>
      </w:r>
      <w:r w:rsidRPr="00AB2EF8">
        <w:rPr>
          <w:szCs w:val="26"/>
        </w:rPr>
        <w:t xml:space="preserve"> recommend</w:t>
      </w:r>
      <w:r>
        <w:rPr>
          <w:szCs w:val="26"/>
        </w:rPr>
        <w:t>s</w:t>
      </w:r>
      <w:r w:rsidRPr="00AB2EF8">
        <w:rPr>
          <w:szCs w:val="26"/>
        </w:rPr>
        <w:t xml:space="preserve"> that more details be added to Source 3 so all of the relevant information is contained within this protocol.</w:t>
      </w:r>
      <w:r w:rsidR="00D1748D">
        <w:rPr>
          <w:rStyle w:val="FootnoteReference"/>
          <w:szCs w:val="26"/>
        </w:rPr>
        <w:footnoteReference w:id="128"/>
      </w:r>
    </w:p>
    <w:p w:rsidR="00561AED" w:rsidRDefault="00561AED" w:rsidP="001B6469">
      <w:pPr>
        <w:ind w:firstLine="720"/>
        <w:jc w:val="left"/>
        <w:rPr>
          <w:b/>
          <w:szCs w:val="26"/>
        </w:rPr>
      </w:pPr>
    </w:p>
    <w:p w:rsidR="00561AED" w:rsidRDefault="002C3BBF" w:rsidP="001B6469">
      <w:pPr>
        <w:ind w:firstLine="720"/>
        <w:jc w:val="left"/>
        <w:rPr>
          <w:b/>
          <w:szCs w:val="26"/>
        </w:rPr>
      </w:pPr>
      <w:r>
        <w:rPr>
          <w:b/>
          <w:szCs w:val="26"/>
        </w:rPr>
        <w:tab/>
        <w:t>b</w:t>
      </w:r>
      <w:r w:rsidR="00561AED">
        <w:rPr>
          <w:b/>
          <w:szCs w:val="26"/>
        </w:rPr>
        <w:t>.</w:t>
      </w:r>
      <w:r w:rsidR="00561AED">
        <w:rPr>
          <w:b/>
          <w:szCs w:val="26"/>
        </w:rPr>
        <w:tab/>
        <w:t>Disposition</w:t>
      </w:r>
    </w:p>
    <w:p w:rsidR="00561AED" w:rsidRDefault="00561AED" w:rsidP="001B6469">
      <w:pPr>
        <w:ind w:firstLine="720"/>
        <w:jc w:val="left"/>
        <w:rPr>
          <w:szCs w:val="26"/>
        </w:rPr>
      </w:pPr>
    </w:p>
    <w:p w:rsidR="00561AED" w:rsidRDefault="00561AED" w:rsidP="001B6469">
      <w:pPr>
        <w:ind w:firstLine="720"/>
        <w:jc w:val="left"/>
        <w:rPr>
          <w:szCs w:val="26"/>
        </w:rPr>
      </w:pPr>
      <w:r>
        <w:rPr>
          <w:szCs w:val="26"/>
        </w:rPr>
        <w:t xml:space="preserve">The Commission agrees </w:t>
      </w:r>
      <w:r w:rsidR="002C3BBF">
        <w:rPr>
          <w:szCs w:val="26"/>
        </w:rPr>
        <w:t xml:space="preserve">with PECO’s recommendations </w:t>
      </w:r>
      <w:r>
        <w:rPr>
          <w:szCs w:val="26"/>
        </w:rPr>
        <w:t xml:space="preserve">and has updated the source with the root source from the ENERGY STAR Refrigerator protocol. </w:t>
      </w:r>
      <w:r w:rsidR="002C3BBF">
        <w:rPr>
          <w:szCs w:val="26"/>
        </w:rPr>
        <w:t xml:space="preserve"> </w:t>
      </w:r>
      <w:r>
        <w:rPr>
          <w:szCs w:val="26"/>
        </w:rPr>
        <w:t>However, the assumptions and</w:t>
      </w:r>
      <w:r w:rsidR="002C3BBF">
        <w:rPr>
          <w:szCs w:val="26"/>
        </w:rPr>
        <w:t xml:space="preserve"> the energy-to-demand factor</w:t>
      </w:r>
      <w:r>
        <w:rPr>
          <w:szCs w:val="26"/>
        </w:rPr>
        <w:t xml:space="preserve"> </w:t>
      </w:r>
      <w:r w:rsidR="002C3BBF">
        <w:rPr>
          <w:szCs w:val="26"/>
        </w:rPr>
        <w:t>(</w:t>
      </w:r>
      <w:r>
        <w:rPr>
          <w:szCs w:val="26"/>
        </w:rPr>
        <w:t>ETDF</w:t>
      </w:r>
      <w:r w:rsidR="002C3BBF">
        <w:rPr>
          <w:szCs w:val="26"/>
        </w:rPr>
        <w:t>)</w:t>
      </w:r>
      <w:r>
        <w:rPr>
          <w:szCs w:val="26"/>
        </w:rPr>
        <w:t xml:space="preserve"> in the ENERGY STAR Refrigerator protocol have been updated; therefore</w:t>
      </w:r>
      <w:r w:rsidR="002C3BBF">
        <w:rPr>
          <w:szCs w:val="26"/>
        </w:rPr>
        <w:t>,</w:t>
      </w:r>
      <w:r>
        <w:rPr>
          <w:szCs w:val="26"/>
        </w:rPr>
        <w:t xml:space="preserve"> the Commission has updated the Peak Demand savings equation to include the new ETDF used in the ENERGY STAR Refrigerator protocol.</w:t>
      </w:r>
    </w:p>
    <w:p w:rsidR="00561AED" w:rsidRDefault="00561AED" w:rsidP="001B6469">
      <w:pPr>
        <w:ind w:firstLine="720"/>
        <w:jc w:val="left"/>
        <w:rPr>
          <w:szCs w:val="26"/>
        </w:rPr>
      </w:pPr>
    </w:p>
    <w:p w:rsidR="00561AED" w:rsidRPr="0098410B" w:rsidRDefault="00A05047" w:rsidP="001B6469">
      <w:pPr>
        <w:pStyle w:val="Heading3"/>
        <w:numPr>
          <w:ilvl w:val="0"/>
          <w:numId w:val="0"/>
        </w:numPr>
        <w:ind w:left="720"/>
      </w:pPr>
      <w:bookmarkStart w:id="124" w:name="_Toc405802402"/>
      <w:bookmarkStart w:id="125" w:name="_Toc405884731"/>
      <w:r>
        <w:t>14</w:t>
      </w:r>
      <w:r w:rsidR="00572F66">
        <w:t>.</w:t>
      </w:r>
      <w:r w:rsidR="00561AED">
        <w:tab/>
        <w:t xml:space="preserve">Section 2.5.3 – Smart </w:t>
      </w:r>
      <w:r w:rsidR="00561AED" w:rsidRPr="0098410B">
        <w:t>Strip Plug Outlets</w:t>
      </w:r>
      <w:r w:rsidR="00C37C01" w:rsidRPr="002C3BBF">
        <w:rPr>
          <w:rStyle w:val="FootnoteReference"/>
          <w:b w:val="0"/>
        </w:rPr>
        <w:footnoteReference w:id="129"/>
      </w:r>
      <w:bookmarkEnd w:id="124"/>
      <w:bookmarkEnd w:id="125"/>
      <w:r w:rsidR="00561AED" w:rsidRPr="0098410B">
        <w:tab/>
        <w:t xml:space="preserve"> </w:t>
      </w:r>
    </w:p>
    <w:p w:rsidR="00561AED" w:rsidRPr="0098410B" w:rsidRDefault="00561AED" w:rsidP="001B6469">
      <w:pPr>
        <w:jc w:val="left"/>
        <w:rPr>
          <w:szCs w:val="26"/>
        </w:rPr>
      </w:pPr>
    </w:p>
    <w:p w:rsidR="00561AED" w:rsidRDefault="00561AED" w:rsidP="001B6469">
      <w:pPr>
        <w:ind w:firstLine="720"/>
        <w:jc w:val="left"/>
        <w:rPr>
          <w:szCs w:val="26"/>
        </w:rPr>
      </w:pPr>
      <w:r w:rsidRPr="0098410B">
        <w:rPr>
          <w:szCs w:val="26"/>
        </w:rPr>
        <w:t>The Commission propose</w:t>
      </w:r>
      <w:r>
        <w:rPr>
          <w:szCs w:val="26"/>
        </w:rPr>
        <w:t>d</w:t>
      </w:r>
      <w:r w:rsidRPr="0098410B">
        <w:rPr>
          <w:szCs w:val="26"/>
        </w:rPr>
        <w:t xml:space="preserve"> updating the deemed kW</w:t>
      </w:r>
      <w:r w:rsidRPr="0098410B">
        <w:rPr>
          <w:szCs w:val="26"/>
          <w:vertAlign w:val="subscript"/>
        </w:rPr>
        <w:t>peak</w:t>
      </w:r>
      <w:r w:rsidRPr="0098410B">
        <w:rPr>
          <w:szCs w:val="26"/>
        </w:rPr>
        <w:t xml:space="preserve"> savings</w:t>
      </w:r>
      <w:r>
        <w:rPr>
          <w:szCs w:val="26"/>
        </w:rPr>
        <w:t xml:space="preserve"> for Section 2.5.3 – Smart Strip Plug Outlets</w:t>
      </w:r>
      <w:r w:rsidRPr="0098410B">
        <w:rPr>
          <w:szCs w:val="26"/>
        </w:rPr>
        <w:t xml:space="preserve"> based on the new </w:t>
      </w:r>
      <w:r w:rsidR="002C3BBF">
        <w:rPr>
          <w:szCs w:val="26"/>
        </w:rPr>
        <w:t>CFs being updated within this TRM update</w:t>
      </w:r>
      <w:r w:rsidRPr="0098410B">
        <w:rPr>
          <w:szCs w:val="26"/>
        </w:rPr>
        <w:t xml:space="preserve">. </w:t>
      </w:r>
      <w:r>
        <w:rPr>
          <w:szCs w:val="26"/>
        </w:rPr>
        <w:t xml:space="preserve"> </w:t>
      </w:r>
    </w:p>
    <w:p w:rsidR="00561AED" w:rsidRDefault="00561AED" w:rsidP="001B6469">
      <w:pPr>
        <w:ind w:firstLine="720"/>
        <w:jc w:val="left"/>
        <w:rPr>
          <w:szCs w:val="26"/>
        </w:rPr>
      </w:pPr>
    </w:p>
    <w:p w:rsidR="00561AED" w:rsidRDefault="00561AED" w:rsidP="001B6469">
      <w:pPr>
        <w:ind w:firstLine="720"/>
        <w:jc w:val="left"/>
        <w:rPr>
          <w:b/>
          <w:szCs w:val="26"/>
        </w:rPr>
      </w:pPr>
      <w:r>
        <w:rPr>
          <w:szCs w:val="26"/>
        </w:rPr>
        <w:tab/>
      </w:r>
      <w:r w:rsidR="002C3BBF">
        <w:rPr>
          <w:b/>
          <w:szCs w:val="26"/>
        </w:rPr>
        <w:t>a</w:t>
      </w:r>
      <w:r>
        <w:rPr>
          <w:b/>
          <w:szCs w:val="26"/>
        </w:rPr>
        <w:t>.</w:t>
      </w:r>
      <w:r>
        <w:rPr>
          <w:b/>
          <w:szCs w:val="26"/>
        </w:rPr>
        <w:tab/>
        <w:t>Comments</w:t>
      </w:r>
    </w:p>
    <w:p w:rsidR="00561AED" w:rsidRDefault="00561AED" w:rsidP="001B6469">
      <w:pPr>
        <w:ind w:firstLine="720"/>
        <w:jc w:val="left"/>
        <w:rPr>
          <w:szCs w:val="26"/>
        </w:rPr>
      </w:pPr>
    </w:p>
    <w:p w:rsidR="00B3731D" w:rsidRDefault="00561AED" w:rsidP="001B6469">
      <w:pPr>
        <w:ind w:firstLine="720"/>
        <w:jc w:val="left"/>
        <w:rPr>
          <w:szCs w:val="26"/>
        </w:rPr>
      </w:pPr>
      <w:r>
        <w:rPr>
          <w:szCs w:val="26"/>
        </w:rPr>
        <w:t>PPL recommends adding an ISR</w:t>
      </w:r>
      <w:r w:rsidR="001537BC">
        <w:rPr>
          <w:szCs w:val="26"/>
        </w:rPr>
        <w:t xml:space="preserve"> </w:t>
      </w:r>
      <w:r>
        <w:rPr>
          <w:szCs w:val="26"/>
        </w:rPr>
        <w:t xml:space="preserve">variable to the algorithms </w:t>
      </w:r>
      <w:r w:rsidR="001537BC">
        <w:rPr>
          <w:szCs w:val="26"/>
        </w:rPr>
        <w:t xml:space="preserve">in order </w:t>
      </w:r>
      <w:r>
        <w:rPr>
          <w:szCs w:val="26"/>
        </w:rPr>
        <w:t>to be consistent with other kit measures.</w:t>
      </w:r>
      <w:r w:rsidR="003D271D">
        <w:rPr>
          <w:rStyle w:val="FootnoteReference"/>
          <w:szCs w:val="26"/>
        </w:rPr>
        <w:footnoteReference w:id="130"/>
      </w:r>
      <w:r w:rsidR="007A04D2">
        <w:rPr>
          <w:szCs w:val="26"/>
        </w:rPr>
        <w:t xml:space="preserve">  </w:t>
      </w:r>
      <w:r>
        <w:rPr>
          <w:szCs w:val="26"/>
        </w:rPr>
        <w:tab/>
      </w:r>
    </w:p>
    <w:p w:rsidR="00B3731D" w:rsidRDefault="00B3731D" w:rsidP="001B6469">
      <w:pPr>
        <w:ind w:firstLine="720"/>
        <w:jc w:val="left"/>
        <w:rPr>
          <w:szCs w:val="26"/>
        </w:rPr>
      </w:pPr>
    </w:p>
    <w:p w:rsidR="00561AED" w:rsidRDefault="00B3731D" w:rsidP="001B6469">
      <w:pPr>
        <w:ind w:firstLine="720"/>
        <w:jc w:val="left"/>
        <w:rPr>
          <w:b/>
          <w:szCs w:val="26"/>
        </w:rPr>
      </w:pPr>
      <w:r>
        <w:rPr>
          <w:szCs w:val="26"/>
        </w:rPr>
        <w:lastRenderedPageBreak/>
        <w:tab/>
      </w:r>
      <w:r w:rsidR="00B47D75">
        <w:rPr>
          <w:b/>
          <w:szCs w:val="26"/>
        </w:rPr>
        <w:t>b</w:t>
      </w:r>
      <w:r w:rsidR="00561AED">
        <w:rPr>
          <w:b/>
          <w:szCs w:val="26"/>
        </w:rPr>
        <w:t>.</w:t>
      </w:r>
      <w:r w:rsidR="00561AED">
        <w:rPr>
          <w:b/>
          <w:szCs w:val="26"/>
        </w:rPr>
        <w:tab/>
        <w:t>Disposition</w:t>
      </w:r>
    </w:p>
    <w:p w:rsidR="00561AED" w:rsidRDefault="00561AED" w:rsidP="001B6469">
      <w:pPr>
        <w:ind w:firstLine="720"/>
        <w:jc w:val="left"/>
        <w:rPr>
          <w:szCs w:val="26"/>
        </w:rPr>
      </w:pPr>
    </w:p>
    <w:p w:rsidR="00BA0C31" w:rsidRDefault="00561AED" w:rsidP="00B47D75">
      <w:pPr>
        <w:ind w:firstLine="720"/>
        <w:jc w:val="left"/>
        <w:rPr>
          <w:szCs w:val="26"/>
        </w:rPr>
      </w:pPr>
      <w:r>
        <w:rPr>
          <w:szCs w:val="26"/>
        </w:rPr>
        <w:t xml:space="preserve">The Commission </w:t>
      </w:r>
      <w:r w:rsidR="00B47D75">
        <w:rPr>
          <w:szCs w:val="26"/>
        </w:rPr>
        <w:t xml:space="preserve">agrees with the suggestion provided </w:t>
      </w:r>
      <w:r w:rsidR="007A04D2">
        <w:rPr>
          <w:szCs w:val="26"/>
        </w:rPr>
        <w:t xml:space="preserve">by </w:t>
      </w:r>
      <w:r w:rsidR="00B3731D">
        <w:rPr>
          <w:szCs w:val="26"/>
        </w:rPr>
        <w:t xml:space="preserve">PPL </w:t>
      </w:r>
      <w:r w:rsidR="00B47D75">
        <w:rPr>
          <w:szCs w:val="26"/>
        </w:rPr>
        <w:t>and has updated the TRM accordingly.</w:t>
      </w:r>
    </w:p>
    <w:p w:rsidR="00561AED" w:rsidRPr="0098410B" w:rsidRDefault="00561AED" w:rsidP="001B6469">
      <w:pPr>
        <w:jc w:val="left"/>
        <w:rPr>
          <w:szCs w:val="26"/>
        </w:rPr>
      </w:pPr>
    </w:p>
    <w:p w:rsidR="00561AED" w:rsidRDefault="00A05047" w:rsidP="00A05047">
      <w:pPr>
        <w:pStyle w:val="Heading3"/>
        <w:numPr>
          <w:ilvl w:val="0"/>
          <w:numId w:val="0"/>
        </w:numPr>
        <w:ind w:left="1440" w:hanging="720"/>
      </w:pPr>
      <w:bookmarkStart w:id="126" w:name="_Toc405802404"/>
      <w:bookmarkStart w:id="127" w:name="_Toc405884732"/>
      <w:r>
        <w:t>15.</w:t>
      </w:r>
      <w:r>
        <w:tab/>
      </w:r>
      <w:r w:rsidR="00162B42">
        <w:t>Section 2.6.3</w:t>
      </w:r>
      <w:r w:rsidR="00561AED" w:rsidRPr="00FB2038">
        <w:t xml:space="preserve"> – Residential New Construction</w:t>
      </w:r>
      <w:bookmarkEnd w:id="126"/>
      <w:bookmarkEnd w:id="127"/>
    </w:p>
    <w:p w:rsidR="00561AED" w:rsidRPr="00FB2038" w:rsidRDefault="00561AED" w:rsidP="001B6469">
      <w:pPr>
        <w:jc w:val="left"/>
      </w:pPr>
    </w:p>
    <w:p w:rsidR="00561AED" w:rsidRPr="00FB2038" w:rsidRDefault="00561AED" w:rsidP="001B6469">
      <w:pPr>
        <w:ind w:firstLine="720"/>
        <w:jc w:val="left"/>
        <w:rPr>
          <w:szCs w:val="26"/>
        </w:rPr>
      </w:pPr>
      <w:r w:rsidRPr="00FB2038">
        <w:rPr>
          <w:szCs w:val="26"/>
        </w:rPr>
        <w:t xml:space="preserve">The </w:t>
      </w:r>
      <w:r w:rsidR="008A151D">
        <w:rPr>
          <w:szCs w:val="26"/>
        </w:rPr>
        <w:t>Commission did not propose</w:t>
      </w:r>
      <w:r w:rsidRPr="00FB2038">
        <w:rPr>
          <w:szCs w:val="26"/>
        </w:rPr>
        <w:t xml:space="preserve"> modifications to </w:t>
      </w:r>
      <w:r w:rsidR="00D87D53">
        <w:rPr>
          <w:szCs w:val="26"/>
        </w:rPr>
        <w:t>this</w:t>
      </w:r>
      <w:r w:rsidRPr="00FB2038">
        <w:rPr>
          <w:szCs w:val="26"/>
        </w:rPr>
        <w:t xml:space="preserve"> measure. </w:t>
      </w:r>
      <w:r w:rsidR="00813FD8">
        <w:rPr>
          <w:szCs w:val="26"/>
        </w:rPr>
        <w:t xml:space="preserve"> </w:t>
      </w:r>
      <w:r w:rsidRPr="00FB2038">
        <w:rPr>
          <w:szCs w:val="26"/>
        </w:rPr>
        <w:t>However, comments were received and are addressed below.</w:t>
      </w:r>
    </w:p>
    <w:p w:rsidR="00BB450B" w:rsidRPr="00FB2038" w:rsidRDefault="00BB450B" w:rsidP="001B6469">
      <w:pPr>
        <w:jc w:val="left"/>
        <w:rPr>
          <w:szCs w:val="26"/>
        </w:rPr>
      </w:pPr>
    </w:p>
    <w:p w:rsidR="00561AED" w:rsidRPr="00FB2038" w:rsidRDefault="00813FD8" w:rsidP="001B6469">
      <w:pPr>
        <w:ind w:firstLine="720"/>
        <w:jc w:val="left"/>
        <w:rPr>
          <w:szCs w:val="26"/>
        </w:rPr>
      </w:pPr>
      <w:r>
        <w:rPr>
          <w:szCs w:val="26"/>
        </w:rPr>
        <w:tab/>
      </w:r>
      <w:r>
        <w:rPr>
          <w:b/>
          <w:szCs w:val="26"/>
        </w:rPr>
        <w:t>a</w:t>
      </w:r>
      <w:r w:rsidR="00561AED" w:rsidRPr="00FB2038">
        <w:rPr>
          <w:b/>
          <w:szCs w:val="26"/>
        </w:rPr>
        <w:t>.</w:t>
      </w:r>
      <w:r w:rsidR="00561AED" w:rsidRPr="00FB2038">
        <w:rPr>
          <w:b/>
          <w:szCs w:val="26"/>
        </w:rPr>
        <w:tab/>
        <w:t>Comments</w:t>
      </w:r>
    </w:p>
    <w:p w:rsidR="00561AED" w:rsidRPr="00FB2038" w:rsidRDefault="00561AED" w:rsidP="001B6469">
      <w:pPr>
        <w:ind w:firstLine="720"/>
        <w:jc w:val="left"/>
        <w:rPr>
          <w:szCs w:val="26"/>
        </w:rPr>
      </w:pPr>
    </w:p>
    <w:p w:rsidR="00561AED" w:rsidRPr="00FB2038" w:rsidRDefault="00561AED" w:rsidP="001B6469">
      <w:pPr>
        <w:widowControl w:val="0"/>
        <w:overflowPunct/>
        <w:ind w:firstLine="720"/>
        <w:jc w:val="left"/>
        <w:rPr>
          <w:szCs w:val="26"/>
        </w:rPr>
      </w:pPr>
      <w:r w:rsidRPr="00FB2038">
        <w:rPr>
          <w:szCs w:val="26"/>
        </w:rPr>
        <w:t xml:space="preserve">PPL </w:t>
      </w:r>
      <w:r w:rsidR="00813FD8">
        <w:rPr>
          <w:szCs w:val="26"/>
        </w:rPr>
        <w:t>states</w:t>
      </w:r>
      <w:r w:rsidRPr="00FB2038">
        <w:rPr>
          <w:szCs w:val="26"/>
        </w:rPr>
        <w:t xml:space="preserve"> that the SEER of the baseline unit for ASHP, SEER</w:t>
      </w:r>
      <w:r w:rsidRPr="00FB2038">
        <w:rPr>
          <w:szCs w:val="26"/>
          <w:vertAlign w:val="subscript"/>
        </w:rPr>
        <w:t xml:space="preserve">b, </w:t>
      </w:r>
      <w:r w:rsidRPr="00FB2038">
        <w:rPr>
          <w:szCs w:val="26"/>
        </w:rPr>
        <w:t>should be updated to account for a federal code change</w:t>
      </w:r>
      <w:r w:rsidR="00813FD8">
        <w:rPr>
          <w:szCs w:val="26"/>
        </w:rPr>
        <w:t>, effective January 1, 2015</w:t>
      </w:r>
      <w:r w:rsidRPr="00FB2038">
        <w:rPr>
          <w:szCs w:val="26"/>
        </w:rPr>
        <w:t>.</w:t>
      </w:r>
      <w:r w:rsidRPr="00FB2038">
        <w:rPr>
          <w:szCs w:val="26"/>
          <w:vertAlign w:val="superscript"/>
        </w:rPr>
        <w:footnoteReference w:id="131"/>
      </w:r>
      <w:r w:rsidRPr="00FB2038">
        <w:rPr>
          <w:szCs w:val="26"/>
        </w:rPr>
        <w:t xml:space="preserve">  </w:t>
      </w:r>
    </w:p>
    <w:p w:rsidR="00561AED" w:rsidRPr="00FB2038" w:rsidRDefault="00561AED" w:rsidP="001B6469">
      <w:pPr>
        <w:ind w:firstLine="720"/>
        <w:jc w:val="left"/>
        <w:rPr>
          <w:szCs w:val="26"/>
        </w:rPr>
      </w:pPr>
    </w:p>
    <w:p w:rsidR="00561AED" w:rsidRPr="00FB2038" w:rsidRDefault="00813FD8" w:rsidP="001B6469">
      <w:pPr>
        <w:ind w:firstLine="720"/>
        <w:jc w:val="left"/>
        <w:rPr>
          <w:szCs w:val="26"/>
        </w:rPr>
      </w:pPr>
      <w:r>
        <w:rPr>
          <w:szCs w:val="26"/>
        </w:rPr>
        <w:tab/>
      </w:r>
      <w:r>
        <w:rPr>
          <w:b/>
          <w:szCs w:val="26"/>
        </w:rPr>
        <w:t>b</w:t>
      </w:r>
      <w:r w:rsidR="00561AED" w:rsidRPr="00FB2038">
        <w:rPr>
          <w:b/>
          <w:szCs w:val="26"/>
        </w:rPr>
        <w:t>.</w:t>
      </w:r>
      <w:r w:rsidR="00561AED" w:rsidRPr="00FB2038">
        <w:rPr>
          <w:b/>
          <w:szCs w:val="26"/>
        </w:rPr>
        <w:tab/>
        <w:t>Disposition</w:t>
      </w:r>
    </w:p>
    <w:p w:rsidR="00561AED" w:rsidRPr="00FB2038" w:rsidRDefault="00561AED" w:rsidP="001B6469">
      <w:pPr>
        <w:ind w:firstLine="720"/>
        <w:jc w:val="left"/>
        <w:rPr>
          <w:szCs w:val="26"/>
        </w:rPr>
      </w:pPr>
    </w:p>
    <w:p w:rsidR="00561AED" w:rsidRPr="00FB2038" w:rsidRDefault="00561AED" w:rsidP="001B6469">
      <w:pPr>
        <w:widowControl w:val="0"/>
        <w:overflowPunct/>
        <w:ind w:firstLine="720"/>
        <w:jc w:val="left"/>
        <w:rPr>
          <w:szCs w:val="26"/>
        </w:rPr>
      </w:pPr>
      <w:r w:rsidRPr="00FB2038">
        <w:rPr>
          <w:szCs w:val="26"/>
        </w:rPr>
        <w:t xml:space="preserve">The Commission </w:t>
      </w:r>
      <w:r w:rsidRPr="002C1F33">
        <w:rPr>
          <w:szCs w:val="26"/>
        </w:rPr>
        <w:t>agrees</w:t>
      </w:r>
      <w:r w:rsidR="00813FD8">
        <w:rPr>
          <w:szCs w:val="26"/>
        </w:rPr>
        <w:t xml:space="preserve"> </w:t>
      </w:r>
      <w:r w:rsidRPr="00FB2038">
        <w:rPr>
          <w:szCs w:val="26"/>
        </w:rPr>
        <w:t xml:space="preserve">and has adjusted the baseline SEER and all values. </w:t>
      </w:r>
    </w:p>
    <w:bookmarkEnd w:id="106"/>
    <w:bookmarkEnd w:id="107"/>
    <w:p w:rsidR="00D05144" w:rsidRPr="00843821" w:rsidRDefault="00D05144" w:rsidP="001B6469">
      <w:pPr>
        <w:ind w:firstLine="720"/>
        <w:jc w:val="left"/>
        <w:rPr>
          <w:szCs w:val="26"/>
        </w:rPr>
      </w:pPr>
    </w:p>
    <w:p w:rsidR="00561AED" w:rsidRDefault="00561AED" w:rsidP="00A910D9">
      <w:pPr>
        <w:pStyle w:val="Heading3"/>
        <w:numPr>
          <w:ilvl w:val="0"/>
          <w:numId w:val="46"/>
        </w:numPr>
        <w:ind w:left="1440" w:hanging="720"/>
      </w:pPr>
      <w:bookmarkStart w:id="128" w:name="_Toc405802405"/>
      <w:bookmarkStart w:id="129" w:name="_Toc405884733"/>
      <w:bookmarkStart w:id="130" w:name="_Toc394648198"/>
      <w:bookmarkStart w:id="131" w:name="_Toc396910617"/>
      <w:r w:rsidRPr="00B272F7">
        <w:t>Section 2.7.1 – Pool Pump Load Shifting</w:t>
      </w:r>
      <w:r w:rsidR="00F115A6" w:rsidRPr="00A910D9">
        <w:rPr>
          <w:rStyle w:val="FootnoteReference"/>
          <w:b w:val="0"/>
        </w:rPr>
        <w:footnoteReference w:id="132"/>
      </w:r>
      <w:bookmarkEnd w:id="128"/>
      <w:bookmarkEnd w:id="129"/>
    </w:p>
    <w:p w:rsidR="00561AED" w:rsidRDefault="00561AED" w:rsidP="001B6469">
      <w:pPr>
        <w:jc w:val="left"/>
      </w:pPr>
    </w:p>
    <w:p w:rsidR="00561AED" w:rsidRDefault="00561AED" w:rsidP="001B6469">
      <w:pPr>
        <w:ind w:firstLine="720"/>
        <w:jc w:val="left"/>
        <w:rPr>
          <w:szCs w:val="26"/>
        </w:rPr>
      </w:pPr>
      <w:r>
        <w:rPr>
          <w:szCs w:val="26"/>
        </w:rPr>
        <w:t xml:space="preserve">The </w:t>
      </w:r>
      <w:r w:rsidR="008A151D">
        <w:rPr>
          <w:szCs w:val="26"/>
        </w:rPr>
        <w:t>Commission did not propose modifications to</w:t>
      </w:r>
      <w:r>
        <w:rPr>
          <w:szCs w:val="26"/>
        </w:rPr>
        <w:t xml:space="preserve"> </w:t>
      </w:r>
      <w:r w:rsidR="00D87D53">
        <w:rPr>
          <w:szCs w:val="26"/>
        </w:rPr>
        <w:t>this</w:t>
      </w:r>
      <w:r>
        <w:rPr>
          <w:szCs w:val="26"/>
        </w:rPr>
        <w:t xml:space="preserve"> measure protocol.</w:t>
      </w:r>
      <w:r w:rsidR="00A910D9">
        <w:rPr>
          <w:szCs w:val="26"/>
        </w:rPr>
        <w:t xml:space="preserve"> </w:t>
      </w:r>
      <w:r>
        <w:rPr>
          <w:szCs w:val="26"/>
        </w:rPr>
        <w:t xml:space="preserve"> However, comments were received and are addressed below.</w:t>
      </w:r>
    </w:p>
    <w:p w:rsidR="00561AED" w:rsidRDefault="00561AED" w:rsidP="001B6469">
      <w:pPr>
        <w:jc w:val="left"/>
      </w:pPr>
    </w:p>
    <w:p w:rsidR="00A3244B" w:rsidRDefault="00A3244B" w:rsidP="001B6469">
      <w:pPr>
        <w:jc w:val="left"/>
      </w:pPr>
    </w:p>
    <w:p w:rsidR="00A3244B" w:rsidRDefault="00A3244B" w:rsidP="001B6469">
      <w:pPr>
        <w:jc w:val="left"/>
      </w:pPr>
    </w:p>
    <w:p w:rsidR="00561AED" w:rsidRDefault="00A910D9" w:rsidP="001B6469">
      <w:pPr>
        <w:widowControl w:val="0"/>
        <w:tabs>
          <w:tab w:val="left" w:pos="720"/>
        </w:tabs>
        <w:overflowPunct/>
        <w:jc w:val="left"/>
        <w:rPr>
          <w:b/>
          <w:szCs w:val="26"/>
        </w:rPr>
      </w:pPr>
      <w:r>
        <w:rPr>
          <w:b/>
          <w:szCs w:val="26"/>
        </w:rPr>
        <w:lastRenderedPageBreak/>
        <w:tab/>
      </w:r>
      <w:r>
        <w:rPr>
          <w:b/>
          <w:szCs w:val="26"/>
        </w:rPr>
        <w:tab/>
        <w:t>a</w:t>
      </w:r>
      <w:r w:rsidR="00561AED">
        <w:rPr>
          <w:b/>
          <w:szCs w:val="26"/>
        </w:rPr>
        <w:t>.</w:t>
      </w:r>
      <w:r w:rsidR="00561AED">
        <w:rPr>
          <w:b/>
          <w:szCs w:val="26"/>
        </w:rPr>
        <w:tab/>
        <w:t>Comments</w:t>
      </w:r>
    </w:p>
    <w:p w:rsidR="00561AED" w:rsidRDefault="00561AED" w:rsidP="001B6469">
      <w:pPr>
        <w:widowControl w:val="0"/>
        <w:tabs>
          <w:tab w:val="left" w:pos="720"/>
        </w:tabs>
        <w:overflowPunct/>
        <w:jc w:val="left"/>
        <w:rPr>
          <w:b/>
          <w:szCs w:val="26"/>
        </w:rPr>
      </w:pPr>
    </w:p>
    <w:p w:rsidR="00561AED" w:rsidRDefault="00F67AC1" w:rsidP="001B6469">
      <w:pPr>
        <w:widowControl w:val="0"/>
        <w:tabs>
          <w:tab w:val="left" w:pos="720"/>
        </w:tabs>
        <w:overflowPunct/>
        <w:jc w:val="left"/>
        <w:rPr>
          <w:szCs w:val="26"/>
        </w:rPr>
      </w:pPr>
      <w:r>
        <w:rPr>
          <w:szCs w:val="26"/>
        </w:rPr>
        <w:tab/>
      </w:r>
      <w:r w:rsidR="004618BA">
        <w:rPr>
          <w:szCs w:val="26"/>
        </w:rPr>
        <w:t>PPL recommends</w:t>
      </w:r>
      <w:r w:rsidR="004618BA" w:rsidRPr="004618BA">
        <w:rPr>
          <w:szCs w:val="26"/>
        </w:rPr>
        <w:t xml:space="preserve"> updating the default value for the electric demand of single speed pump</w:t>
      </w:r>
      <w:r w:rsidR="00A910D9">
        <w:rPr>
          <w:szCs w:val="26"/>
        </w:rPr>
        <w:t xml:space="preserve"> at a given flow rate (kW</w:t>
      </w:r>
      <w:r w:rsidR="00A910D9" w:rsidRPr="00A910D9">
        <w:rPr>
          <w:szCs w:val="26"/>
          <w:vertAlign w:val="subscript"/>
        </w:rPr>
        <w:t>pump</w:t>
      </w:r>
      <w:r w:rsidR="004618BA" w:rsidRPr="004618BA">
        <w:rPr>
          <w:szCs w:val="26"/>
        </w:rPr>
        <w:t xml:space="preserve">). </w:t>
      </w:r>
      <w:r w:rsidR="00A910D9">
        <w:rPr>
          <w:szCs w:val="26"/>
        </w:rPr>
        <w:t xml:space="preserve"> </w:t>
      </w:r>
      <w:r w:rsidR="004618BA" w:rsidRPr="004618BA">
        <w:rPr>
          <w:szCs w:val="26"/>
        </w:rPr>
        <w:t>This value is based on</w:t>
      </w:r>
      <w:r w:rsidR="00A910D9">
        <w:rPr>
          <w:szCs w:val="26"/>
        </w:rPr>
        <w:t xml:space="preserve"> the</w:t>
      </w:r>
      <w:r w:rsidR="004618BA" w:rsidRPr="004618BA">
        <w:rPr>
          <w:szCs w:val="26"/>
        </w:rPr>
        <w:t xml:space="preserve"> Calif</w:t>
      </w:r>
      <w:r w:rsidR="00A910D9">
        <w:rPr>
          <w:szCs w:val="26"/>
        </w:rPr>
        <w:t>ornia Energy Commission's (CEC) 2008 Appliance Database; however,</w:t>
      </w:r>
      <w:r w:rsidR="004618BA" w:rsidRPr="004618BA">
        <w:rPr>
          <w:szCs w:val="26"/>
        </w:rPr>
        <w:t xml:space="preserve"> a more recent dataset exists</w:t>
      </w:r>
      <w:r w:rsidR="004618BA">
        <w:rPr>
          <w:szCs w:val="26"/>
        </w:rPr>
        <w:t>.</w:t>
      </w:r>
      <w:r w:rsidR="004618BA">
        <w:rPr>
          <w:rStyle w:val="FootnoteReference"/>
          <w:szCs w:val="26"/>
        </w:rPr>
        <w:footnoteReference w:id="133"/>
      </w:r>
    </w:p>
    <w:p w:rsidR="00B37A7A" w:rsidRDefault="00B37A7A" w:rsidP="001B6469">
      <w:pPr>
        <w:widowControl w:val="0"/>
        <w:tabs>
          <w:tab w:val="left" w:pos="720"/>
        </w:tabs>
        <w:overflowPunct/>
        <w:jc w:val="left"/>
        <w:rPr>
          <w:b/>
          <w:szCs w:val="26"/>
        </w:rPr>
      </w:pPr>
    </w:p>
    <w:p w:rsidR="00561AED" w:rsidRDefault="00A910D9" w:rsidP="001B6469">
      <w:pPr>
        <w:widowControl w:val="0"/>
        <w:tabs>
          <w:tab w:val="left" w:pos="720"/>
        </w:tabs>
        <w:overflowPunct/>
        <w:jc w:val="left"/>
        <w:rPr>
          <w:b/>
          <w:szCs w:val="26"/>
        </w:rPr>
      </w:pPr>
      <w:r>
        <w:rPr>
          <w:szCs w:val="26"/>
        </w:rPr>
        <w:tab/>
      </w:r>
      <w:r>
        <w:rPr>
          <w:szCs w:val="26"/>
        </w:rPr>
        <w:tab/>
      </w:r>
      <w:r>
        <w:rPr>
          <w:b/>
          <w:szCs w:val="26"/>
        </w:rPr>
        <w:t>b</w:t>
      </w:r>
      <w:r w:rsidR="00561AED">
        <w:rPr>
          <w:b/>
          <w:szCs w:val="26"/>
        </w:rPr>
        <w:t>.</w:t>
      </w:r>
      <w:r w:rsidR="00561AED">
        <w:rPr>
          <w:b/>
          <w:szCs w:val="26"/>
        </w:rPr>
        <w:tab/>
        <w:t>Disposition</w:t>
      </w:r>
    </w:p>
    <w:p w:rsidR="00561AED" w:rsidRDefault="00561AED" w:rsidP="001B6469">
      <w:pPr>
        <w:widowControl w:val="0"/>
        <w:tabs>
          <w:tab w:val="left" w:pos="720"/>
        </w:tabs>
        <w:overflowPunct/>
        <w:jc w:val="left"/>
        <w:rPr>
          <w:szCs w:val="26"/>
        </w:rPr>
      </w:pPr>
    </w:p>
    <w:p w:rsidR="00561AED" w:rsidRDefault="00561AED" w:rsidP="001B6469">
      <w:pPr>
        <w:ind w:firstLine="720"/>
        <w:jc w:val="left"/>
        <w:rPr>
          <w:szCs w:val="26"/>
        </w:rPr>
      </w:pPr>
      <w:r w:rsidRPr="004618BA">
        <w:rPr>
          <w:szCs w:val="26"/>
        </w:rPr>
        <w:t>The Commission</w:t>
      </w:r>
      <w:r>
        <w:rPr>
          <w:szCs w:val="26"/>
        </w:rPr>
        <w:t xml:space="preserve"> </w:t>
      </w:r>
      <w:r w:rsidR="00A910D9">
        <w:rPr>
          <w:szCs w:val="26"/>
        </w:rPr>
        <w:t>disagrees with PPL’s request</w:t>
      </w:r>
      <w:r w:rsidR="004618BA">
        <w:rPr>
          <w:szCs w:val="26"/>
        </w:rPr>
        <w:t xml:space="preserve"> as the more recent dataset only includes models which meet the cur</w:t>
      </w:r>
      <w:r w:rsidR="00BC7106">
        <w:rPr>
          <w:szCs w:val="26"/>
        </w:rPr>
        <w:t>rent efficiency standards.  Th</w:t>
      </w:r>
      <w:r w:rsidR="004618BA">
        <w:rPr>
          <w:szCs w:val="26"/>
        </w:rPr>
        <w:t>e default values for kW</w:t>
      </w:r>
      <w:r w:rsidR="004618BA">
        <w:rPr>
          <w:szCs w:val="26"/>
          <w:vertAlign w:val="subscript"/>
        </w:rPr>
        <w:t>pump</w:t>
      </w:r>
      <w:r w:rsidR="004618BA">
        <w:rPr>
          <w:szCs w:val="26"/>
        </w:rPr>
        <w:t xml:space="preserve"> are supposed to represent existing equipment, not new equipment. </w:t>
      </w:r>
      <w:r w:rsidR="00BC7106">
        <w:rPr>
          <w:szCs w:val="26"/>
        </w:rPr>
        <w:t xml:space="preserve"> </w:t>
      </w:r>
      <w:r w:rsidR="004618BA">
        <w:rPr>
          <w:szCs w:val="26"/>
        </w:rPr>
        <w:t>Additionally, the newer dataset only includes pumps with nameplate horsepower up to 0.90, which would greatly restrict the default values offered</w:t>
      </w:r>
      <w:r w:rsidR="009F550A">
        <w:rPr>
          <w:szCs w:val="26"/>
        </w:rPr>
        <w:t xml:space="preserve"> and would be a less realistic representation</w:t>
      </w:r>
      <w:r w:rsidR="004618BA">
        <w:rPr>
          <w:szCs w:val="26"/>
        </w:rPr>
        <w:t xml:space="preserve">. </w:t>
      </w:r>
      <w:r w:rsidR="00BC7106">
        <w:rPr>
          <w:szCs w:val="26"/>
        </w:rPr>
        <w:t xml:space="preserve"> </w:t>
      </w:r>
      <w:r w:rsidR="00DA418F">
        <w:rPr>
          <w:szCs w:val="26"/>
        </w:rPr>
        <w:t xml:space="preserve">The Commission directs the </w:t>
      </w:r>
      <w:r w:rsidR="00BC7106">
        <w:rPr>
          <w:szCs w:val="26"/>
        </w:rPr>
        <w:t>SWE</w:t>
      </w:r>
      <w:r w:rsidR="00DA418F">
        <w:rPr>
          <w:szCs w:val="26"/>
        </w:rPr>
        <w:t xml:space="preserve"> to </w:t>
      </w:r>
      <w:r w:rsidR="00581686">
        <w:rPr>
          <w:szCs w:val="26"/>
        </w:rPr>
        <w:t xml:space="preserve">further explore </w:t>
      </w:r>
      <w:r w:rsidR="009F550A">
        <w:rPr>
          <w:szCs w:val="26"/>
        </w:rPr>
        <w:t xml:space="preserve">these default values and </w:t>
      </w:r>
      <w:r w:rsidR="00BC7106">
        <w:rPr>
          <w:szCs w:val="26"/>
        </w:rPr>
        <w:t>the potential applicability of</w:t>
      </w:r>
      <w:r w:rsidR="009F550A">
        <w:rPr>
          <w:szCs w:val="26"/>
        </w:rPr>
        <w:t xml:space="preserve"> EDC data from previous evaluations to calculate them.</w:t>
      </w:r>
      <w:r w:rsidR="00BC7106">
        <w:rPr>
          <w:szCs w:val="26"/>
        </w:rPr>
        <w:t xml:space="preserve">  The SWE should provide recommendations on this issue for the 2016 TRM update.</w:t>
      </w:r>
      <w:r w:rsidR="00425331">
        <w:rPr>
          <w:szCs w:val="26"/>
        </w:rPr>
        <w:t xml:space="preserve">  If it deems it appropriate, the SWE</w:t>
      </w:r>
      <w:r w:rsidR="005D07F3">
        <w:rPr>
          <w:szCs w:val="26"/>
        </w:rPr>
        <w:t xml:space="preserve"> </w:t>
      </w:r>
      <w:r w:rsidR="00425331">
        <w:rPr>
          <w:szCs w:val="26"/>
        </w:rPr>
        <w:t>may collaborate with the PEG</w:t>
      </w:r>
      <w:r w:rsidR="005D07F3">
        <w:rPr>
          <w:szCs w:val="26"/>
        </w:rPr>
        <w:t xml:space="preserve"> in developing a recommendation</w:t>
      </w:r>
      <w:r w:rsidR="00425331">
        <w:rPr>
          <w:szCs w:val="26"/>
        </w:rPr>
        <w:t>.</w:t>
      </w:r>
    </w:p>
    <w:p w:rsidR="00CD665C" w:rsidRPr="002279C5" w:rsidRDefault="00CD665C" w:rsidP="001B6469">
      <w:pPr>
        <w:jc w:val="left"/>
      </w:pPr>
    </w:p>
    <w:p w:rsidR="00D05144" w:rsidRPr="0098410B" w:rsidRDefault="00D05144" w:rsidP="00A95717">
      <w:pPr>
        <w:pStyle w:val="Heading3"/>
        <w:numPr>
          <w:ilvl w:val="0"/>
          <w:numId w:val="46"/>
        </w:numPr>
        <w:tabs>
          <w:tab w:val="clear" w:pos="720"/>
        </w:tabs>
        <w:ind w:left="1440" w:hanging="720"/>
      </w:pPr>
      <w:bookmarkStart w:id="132" w:name="_Toc405802406"/>
      <w:bookmarkStart w:id="133" w:name="_Toc405884734"/>
      <w:r>
        <w:t xml:space="preserve">Section 2.7.2 – Variable </w:t>
      </w:r>
      <w:r w:rsidRPr="0098410B">
        <w:t>Speed Pool Pumps</w:t>
      </w:r>
      <w:bookmarkEnd w:id="130"/>
      <w:r>
        <w:t xml:space="preserve"> (with Load Shifting Option)</w:t>
      </w:r>
      <w:bookmarkEnd w:id="131"/>
      <w:r w:rsidR="005D1EC8" w:rsidRPr="00FC60C8">
        <w:rPr>
          <w:rStyle w:val="FootnoteReference"/>
          <w:b w:val="0"/>
        </w:rPr>
        <w:footnoteReference w:id="134"/>
      </w:r>
      <w:bookmarkEnd w:id="132"/>
      <w:bookmarkEnd w:id="133"/>
    </w:p>
    <w:p w:rsidR="00D05144" w:rsidRPr="0098410B" w:rsidRDefault="00D05144" w:rsidP="001B6469">
      <w:pPr>
        <w:pStyle w:val="BodyTextIndent3"/>
        <w:spacing w:after="0" w:line="360" w:lineRule="auto"/>
        <w:ind w:left="0" w:firstLine="720"/>
        <w:jc w:val="left"/>
        <w:rPr>
          <w:rFonts w:ascii="Times New Roman" w:hAnsi="Times New Roman"/>
          <w:sz w:val="26"/>
          <w:szCs w:val="26"/>
        </w:rPr>
      </w:pPr>
    </w:p>
    <w:p w:rsidR="00D05144" w:rsidRDefault="00D05144" w:rsidP="001B6469">
      <w:pPr>
        <w:pStyle w:val="BodyTextIndent3"/>
        <w:spacing w:after="0" w:line="360" w:lineRule="auto"/>
        <w:ind w:left="0" w:firstLine="720"/>
        <w:jc w:val="left"/>
        <w:rPr>
          <w:rFonts w:ascii="Times New Roman" w:hAnsi="Times New Roman"/>
          <w:sz w:val="26"/>
          <w:szCs w:val="26"/>
        </w:rPr>
      </w:pPr>
      <w:r w:rsidRPr="0098410B">
        <w:rPr>
          <w:rFonts w:ascii="Times New Roman" w:hAnsi="Times New Roman"/>
          <w:sz w:val="26"/>
          <w:szCs w:val="26"/>
        </w:rPr>
        <w:t xml:space="preserve">In </w:t>
      </w:r>
      <w:r>
        <w:rPr>
          <w:rFonts w:ascii="Times New Roman" w:hAnsi="Times New Roman"/>
          <w:sz w:val="26"/>
          <w:szCs w:val="26"/>
        </w:rPr>
        <w:t>the</w:t>
      </w:r>
      <w:r w:rsidRPr="0098410B">
        <w:rPr>
          <w:rFonts w:ascii="Times New Roman" w:hAnsi="Times New Roman"/>
          <w:sz w:val="26"/>
          <w:szCs w:val="26"/>
        </w:rPr>
        <w:t xml:space="preserve"> 2014 TRM Final Order</w:t>
      </w:r>
      <w:r>
        <w:rPr>
          <w:rFonts w:ascii="Times New Roman" w:hAnsi="Times New Roman"/>
          <w:sz w:val="26"/>
          <w:szCs w:val="26"/>
        </w:rPr>
        <w:t>,</w:t>
      </w:r>
      <w:r w:rsidRPr="0098410B">
        <w:rPr>
          <w:rFonts w:ascii="Times New Roman" w:hAnsi="Times New Roman"/>
          <w:sz w:val="26"/>
          <w:szCs w:val="26"/>
        </w:rPr>
        <w:t xml:space="preserve"> the Commission directed the PEG to research</w:t>
      </w:r>
      <w:r>
        <w:rPr>
          <w:rFonts w:ascii="Times New Roman" w:hAnsi="Times New Roman"/>
          <w:sz w:val="26"/>
          <w:szCs w:val="26"/>
        </w:rPr>
        <w:t xml:space="preserve"> </w:t>
      </w:r>
      <w:r w:rsidRPr="0098410B">
        <w:rPr>
          <w:rFonts w:ascii="Times New Roman" w:hAnsi="Times New Roman"/>
          <w:sz w:val="26"/>
          <w:szCs w:val="26"/>
        </w:rPr>
        <w:t>variable speed pool pump operating modes and consider factoring this variable into the algorithms</w:t>
      </w:r>
      <w:r>
        <w:rPr>
          <w:rFonts w:ascii="Times New Roman" w:hAnsi="Times New Roman"/>
          <w:sz w:val="26"/>
          <w:szCs w:val="26"/>
        </w:rPr>
        <w:t xml:space="preserve"> in Section 2.7.2 – Variable Speed Pool Pumps (with Load Shifting Option)</w:t>
      </w:r>
      <w:r w:rsidRPr="0098410B">
        <w:rPr>
          <w:rFonts w:ascii="Times New Roman" w:hAnsi="Times New Roman"/>
          <w:sz w:val="26"/>
          <w:szCs w:val="26"/>
        </w:rPr>
        <w:t>.</w:t>
      </w:r>
      <w:r>
        <w:rPr>
          <w:rStyle w:val="FootnoteReference"/>
          <w:sz w:val="26"/>
          <w:szCs w:val="26"/>
        </w:rPr>
        <w:footnoteReference w:id="135"/>
      </w:r>
      <w:r w:rsidRPr="0098410B">
        <w:rPr>
          <w:rFonts w:ascii="Times New Roman" w:hAnsi="Times New Roman"/>
          <w:sz w:val="26"/>
          <w:szCs w:val="26"/>
        </w:rPr>
        <w:t xml:space="preserve"> </w:t>
      </w:r>
      <w:r>
        <w:rPr>
          <w:rFonts w:ascii="Times New Roman" w:hAnsi="Times New Roman"/>
          <w:sz w:val="26"/>
          <w:szCs w:val="26"/>
        </w:rPr>
        <w:t xml:space="preserve"> </w:t>
      </w:r>
      <w:r w:rsidRPr="0098410B">
        <w:rPr>
          <w:rFonts w:ascii="Times New Roman" w:hAnsi="Times New Roman"/>
          <w:sz w:val="26"/>
          <w:szCs w:val="26"/>
        </w:rPr>
        <w:lastRenderedPageBreak/>
        <w:t>After review, the Commission propose</w:t>
      </w:r>
      <w:r w:rsidR="001126FF">
        <w:rPr>
          <w:rFonts w:ascii="Times New Roman" w:hAnsi="Times New Roman"/>
          <w:sz w:val="26"/>
          <w:szCs w:val="26"/>
        </w:rPr>
        <w:t>d</w:t>
      </w:r>
      <w:r w:rsidRPr="0098410B">
        <w:rPr>
          <w:rFonts w:ascii="Times New Roman" w:hAnsi="Times New Roman"/>
          <w:sz w:val="26"/>
          <w:szCs w:val="26"/>
        </w:rPr>
        <w:t xml:space="preserve"> breaking </w:t>
      </w:r>
      <w:r w:rsidR="0036507D">
        <w:rPr>
          <w:rFonts w:ascii="Times New Roman" w:hAnsi="Times New Roman"/>
          <w:sz w:val="26"/>
          <w:szCs w:val="26"/>
        </w:rPr>
        <w:t xml:space="preserve">down </w:t>
      </w:r>
      <w:r>
        <w:rPr>
          <w:rFonts w:ascii="Times New Roman" w:hAnsi="Times New Roman"/>
          <w:sz w:val="26"/>
          <w:szCs w:val="26"/>
        </w:rPr>
        <w:t>the electric demand of variable frequency drive pump</w:t>
      </w:r>
      <w:r w:rsidR="0036507D">
        <w:rPr>
          <w:rFonts w:ascii="Times New Roman" w:hAnsi="Times New Roman"/>
          <w:sz w:val="26"/>
          <w:szCs w:val="26"/>
        </w:rPr>
        <w:t>s</w:t>
      </w:r>
      <w:r>
        <w:rPr>
          <w:rFonts w:ascii="Times New Roman" w:hAnsi="Times New Roman"/>
          <w:sz w:val="26"/>
          <w:szCs w:val="26"/>
        </w:rPr>
        <w:t xml:space="preserve"> at a given flow rate variable (</w:t>
      </w:r>
      <w:r w:rsidRPr="0098410B">
        <w:rPr>
          <w:rFonts w:ascii="Times New Roman" w:hAnsi="Times New Roman"/>
          <w:sz w:val="26"/>
          <w:szCs w:val="26"/>
        </w:rPr>
        <w:t>kW</w:t>
      </w:r>
      <w:r w:rsidRPr="0098410B">
        <w:rPr>
          <w:rFonts w:ascii="Times New Roman" w:hAnsi="Times New Roman"/>
          <w:sz w:val="26"/>
          <w:szCs w:val="26"/>
          <w:vertAlign w:val="subscript"/>
        </w:rPr>
        <w:t>VFD</w:t>
      </w:r>
      <w:r>
        <w:rPr>
          <w:rFonts w:ascii="Times New Roman" w:hAnsi="Times New Roman"/>
          <w:sz w:val="26"/>
          <w:szCs w:val="26"/>
        </w:rPr>
        <w:t>)</w:t>
      </w:r>
      <w:r w:rsidRPr="0098410B">
        <w:rPr>
          <w:rFonts w:ascii="Times New Roman" w:hAnsi="Times New Roman"/>
          <w:sz w:val="26"/>
          <w:szCs w:val="26"/>
        </w:rPr>
        <w:t xml:space="preserve"> into </w:t>
      </w:r>
      <w:r>
        <w:rPr>
          <w:rFonts w:ascii="Times New Roman" w:hAnsi="Times New Roman"/>
          <w:sz w:val="26"/>
          <w:szCs w:val="26"/>
        </w:rPr>
        <w:t>the e</w:t>
      </w:r>
      <w:r w:rsidRPr="001366FB">
        <w:rPr>
          <w:rFonts w:ascii="Times New Roman" w:hAnsi="Times New Roman"/>
          <w:sz w:val="26"/>
          <w:szCs w:val="26"/>
        </w:rPr>
        <w:t>lectric demand of variable frequency drive</w:t>
      </w:r>
      <w:r>
        <w:rPr>
          <w:rFonts w:ascii="Times New Roman" w:hAnsi="Times New Roman"/>
          <w:sz w:val="26"/>
          <w:szCs w:val="26"/>
        </w:rPr>
        <w:t xml:space="preserve"> (VFD)</w:t>
      </w:r>
      <w:r w:rsidRPr="001366FB">
        <w:rPr>
          <w:rFonts w:ascii="Times New Roman" w:hAnsi="Times New Roman"/>
          <w:sz w:val="26"/>
          <w:szCs w:val="26"/>
        </w:rPr>
        <w:t xml:space="preserve"> pump</w:t>
      </w:r>
      <w:r w:rsidR="0036507D">
        <w:rPr>
          <w:rFonts w:ascii="Times New Roman" w:hAnsi="Times New Roman"/>
          <w:sz w:val="26"/>
          <w:szCs w:val="26"/>
        </w:rPr>
        <w:t>s</w:t>
      </w:r>
      <w:r w:rsidRPr="001366FB">
        <w:rPr>
          <w:rFonts w:ascii="Times New Roman" w:hAnsi="Times New Roman"/>
          <w:sz w:val="26"/>
          <w:szCs w:val="26"/>
        </w:rPr>
        <w:t xml:space="preserve"> during cleaning mode </w:t>
      </w:r>
      <w:r>
        <w:rPr>
          <w:rFonts w:ascii="Times New Roman" w:hAnsi="Times New Roman"/>
          <w:sz w:val="26"/>
          <w:szCs w:val="26"/>
        </w:rPr>
        <w:t>(</w:t>
      </w:r>
      <w:r w:rsidRPr="0098410B">
        <w:rPr>
          <w:rFonts w:ascii="Times New Roman" w:hAnsi="Times New Roman"/>
          <w:sz w:val="26"/>
          <w:szCs w:val="26"/>
        </w:rPr>
        <w:t>kW</w:t>
      </w:r>
      <w:r w:rsidRPr="0098410B">
        <w:rPr>
          <w:rFonts w:ascii="Times New Roman" w:hAnsi="Times New Roman"/>
          <w:sz w:val="26"/>
          <w:szCs w:val="26"/>
          <w:vertAlign w:val="subscript"/>
        </w:rPr>
        <w:t>VFD,clean</w:t>
      </w:r>
      <w:r>
        <w:rPr>
          <w:rFonts w:ascii="Times New Roman" w:hAnsi="Times New Roman"/>
          <w:sz w:val="26"/>
          <w:szCs w:val="26"/>
        </w:rPr>
        <w:t>)</w:t>
      </w:r>
      <w:r w:rsidRPr="0098410B">
        <w:rPr>
          <w:rFonts w:ascii="Times New Roman" w:hAnsi="Times New Roman"/>
          <w:sz w:val="26"/>
          <w:szCs w:val="26"/>
        </w:rPr>
        <w:t xml:space="preserve"> and </w:t>
      </w:r>
      <w:r w:rsidRPr="001366FB">
        <w:rPr>
          <w:rFonts w:ascii="Times New Roman" w:hAnsi="Times New Roman"/>
          <w:sz w:val="26"/>
          <w:szCs w:val="26"/>
        </w:rPr>
        <w:t xml:space="preserve">during filtration mode </w:t>
      </w:r>
      <w:r>
        <w:rPr>
          <w:rFonts w:ascii="Times New Roman" w:hAnsi="Times New Roman"/>
          <w:sz w:val="26"/>
          <w:szCs w:val="26"/>
        </w:rPr>
        <w:t>(</w:t>
      </w:r>
      <w:r w:rsidRPr="0098410B">
        <w:rPr>
          <w:rFonts w:ascii="Times New Roman" w:hAnsi="Times New Roman"/>
          <w:sz w:val="26"/>
          <w:szCs w:val="26"/>
        </w:rPr>
        <w:t>kW</w:t>
      </w:r>
      <w:r w:rsidRPr="0098410B">
        <w:rPr>
          <w:rFonts w:ascii="Times New Roman" w:hAnsi="Times New Roman"/>
          <w:sz w:val="26"/>
          <w:szCs w:val="26"/>
          <w:vertAlign w:val="subscript"/>
        </w:rPr>
        <w:t>VFD, filter</w:t>
      </w:r>
      <w:r w:rsidR="00896388">
        <w:rPr>
          <w:rFonts w:ascii="Times New Roman" w:hAnsi="Times New Roman"/>
          <w:sz w:val="26"/>
          <w:szCs w:val="26"/>
        </w:rPr>
        <w:t>).</w:t>
      </w:r>
      <w:r>
        <w:rPr>
          <w:rFonts w:ascii="Times New Roman" w:hAnsi="Times New Roman"/>
          <w:sz w:val="26"/>
          <w:szCs w:val="26"/>
        </w:rPr>
        <w:t xml:space="preserve"> </w:t>
      </w:r>
      <w:r w:rsidR="0036507D">
        <w:rPr>
          <w:rFonts w:ascii="Times New Roman" w:hAnsi="Times New Roman"/>
          <w:sz w:val="26"/>
          <w:szCs w:val="26"/>
        </w:rPr>
        <w:t xml:space="preserve"> </w:t>
      </w:r>
      <w:r>
        <w:rPr>
          <w:rFonts w:ascii="Times New Roman" w:hAnsi="Times New Roman"/>
          <w:sz w:val="26"/>
          <w:szCs w:val="26"/>
        </w:rPr>
        <w:t>Additionally, we propose</w:t>
      </w:r>
      <w:r w:rsidR="001126FF">
        <w:rPr>
          <w:rFonts w:ascii="Times New Roman" w:hAnsi="Times New Roman"/>
          <w:sz w:val="26"/>
          <w:szCs w:val="26"/>
        </w:rPr>
        <w:t>d</w:t>
      </w:r>
      <w:r>
        <w:rPr>
          <w:rFonts w:ascii="Times New Roman" w:hAnsi="Times New Roman"/>
          <w:sz w:val="26"/>
          <w:szCs w:val="26"/>
        </w:rPr>
        <w:t xml:space="preserve"> breaking</w:t>
      </w:r>
      <w:r w:rsidR="0036507D">
        <w:rPr>
          <w:rFonts w:ascii="Times New Roman" w:hAnsi="Times New Roman"/>
          <w:sz w:val="26"/>
          <w:szCs w:val="26"/>
        </w:rPr>
        <w:t xml:space="preserve"> down</w:t>
      </w:r>
      <w:r>
        <w:rPr>
          <w:rFonts w:ascii="Times New Roman" w:hAnsi="Times New Roman"/>
          <w:sz w:val="26"/>
          <w:szCs w:val="26"/>
        </w:rPr>
        <w:t xml:space="preserve"> the hours of operation per day for a VFD pump (H</w:t>
      </w:r>
      <w:r w:rsidRPr="001366FB">
        <w:rPr>
          <w:rFonts w:ascii="Times New Roman" w:hAnsi="Times New Roman"/>
          <w:sz w:val="26"/>
          <w:szCs w:val="26"/>
          <w:vertAlign w:val="subscript"/>
        </w:rPr>
        <w:t>VFD</w:t>
      </w:r>
      <w:r>
        <w:rPr>
          <w:rFonts w:ascii="Times New Roman" w:hAnsi="Times New Roman"/>
          <w:sz w:val="26"/>
          <w:szCs w:val="26"/>
        </w:rPr>
        <w:t xml:space="preserve">) </w:t>
      </w:r>
      <w:r w:rsidRPr="0098410B">
        <w:rPr>
          <w:rFonts w:ascii="Times New Roman" w:hAnsi="Times New Roman"/>
          <w:sz w:val="26"/>
          <w:szCs w:val="26"/>
        </w:rPr>
        <w:t>into</w:t>
      </w:r>
      <w:r>
        <w:rPr>
          <w:rFonts w:ascii="Times New Roman" w:hAnsi="Times New Roman"/>
          <w:sz w:val="26"/>
          <w:szCs w:val="26"/>
        </w:rPr>
        <w:t xml:space="preserve"> the h</w:t>
      </w:r>
      <w:r w:rsidRPr="001366FB">
        <w:rPr>
          <w:rFonts w:ascii="Times New Roman" w:hAnsi="Times New Roman"/>
          <w:sz w:val="26"/>
          <w:szCs w:val="26"/>
        </w:rPr>
        <w:t xml:space="preserve">ours of operation per day for </w:t>
      </w:r>
      <w:r>
        <w:rPr>
          <w:rFonts w:ascii="Times New Roman" w:hAnsi="Times New Roman"/>
          <w:sz w:val="26"/>
          <w:szCs w:val="26"/>
        </w:rPr>
        <w:t>a VFD</w:t>
      </w:r>
      <w:r w:rsidRPr="001366FB">
        <w:rPr>
          <w:rFonts w:ascii="Times New Roman" w:hAnsi="Times New Roman"/>
          <w:sz w:val="26"/>
          <w:szCs w:val="26"/>
        </w:rPr>
        <w:t xml:space="preserve"> </w:t>
      </w:r>
      <w:r>
        <w:rPr>
          <w:rFonts w:ascii="Times New Roman" w:hAnsi="Times New Roman"/>
          <w:sz w:val="26"/>
          <w:szCs w:val="26"/>
        </w:rPr>
        <w:t>p</w:t>
      </w:r>
      <w:r w:rsidRPr="001366FB">
        <w:rPr>
          <w:rFonts w:ascii="Times New Roman" w:hAnsi="Times New Roman"/>
          <w:sz w:val="26"/>
          <w:szCs w:val="26"/>
        </w:rPr>
        <w:t>ump on cleaning mode</w:t>
      </w:r>
      <w:r>
        <w:rPr>
          <w:rFonts w:ascii="Times New Roman" w:hAnsi="Times New Roman"/>
          <w:sz w:val="26"/>
          <w:szCs w:val="26"/>
        </w:rPr>
        <w:t xml:space="preserve"> (</w:t>
      </w:r>
      <w:r w:rsidRPr="0098410B">
        <w:rPr>
          <w:rFonts w:ascii="Times New Roman" w:hAnsi="Times New Roman"/>
          <w:sz w:val="26"/>
          <w:szCs w:val="26"/>
        </w:rPr>
        <w:t>HOU</w:t>
      </w:r>
      <w:r w:rsidRPr="0098410B">
        <w:rPr>
          <w:rFonts w:ascii="Times New Roman" w:hAnsi="Times New Roman"/>
          <w:sz w:val="26"/>
          <w:szCs w:val="26"/>
          <w:vertAlign w:val="subscript"/>
        </w:rPr>
        <w:t>VFD,clean</w:t>
      </w:r>
      <w:r>
        <w:rPr>
          <w:rFonts w:ascii="Times New Roman" w:hAnsi="Times New Roman"/>
          <w:sz w:val="26"/>
          <w:szCs w:val="26"/>
        </w:rPr>
        <w:t>)</w:t>
      </w:r>
      <w:r w:rsidRPr="0098410B">
        <w:rPr>
          <w:rFonts w:ascii="Times New Roman" w:hAnsi="Times New Roman"/>
          <w:sz w:val="26"/>
          <w:szCs w:val="26"/>
        </w:rPr>
        <w:t xml:space="preserve"> and</w:t>
      </w:r>
      <w:r>
        <w:rPr>
          <w:rFonts w:ascii="Times New Roman" w:hAnsi="Times New Roman"/>
          <w:sz w:val="26"/>
          <w:szCs w:val="26"/>
        </w:rPr>
        <w:t xml:space="preserve"> </w:t>
      </w:r>
      <w:r w:rsidRPr="001366FB">
        <w:rPr>
          <w:rFonts w:ascii="Times New Roman" w:hAnsi="Times New Roman"/>
          <w:sz w:val="26"/>
          <w:szCs w:val="26"/>
        </w:rPr>
        <w:t xml:space="preserve"> filtration mode</w:t>
      </w:r>
      <w:r>
        <w:rPr>
          <w:rFonts w:ascii="Times New Roman" w:hAnsi="Times New Roman"/>
          <w:sz w:val="26"/>
          <w:szCs w:val="26"/>
        </w:rPr>
        <w:t xml:space="preserve"> (</w:t>
      </w:r>
      <w:r w:rsidRPr="0098410B">
        <w:rPr>
          <w:rFonts w:ascii="Times New Roman" w:hAnsi="Times New Roman"/>
          <w:sz w:val="26"/>
          <w:szCs w:val="26"/>
        </w:rPr>
        <w:t>HOU</w:t>
      </w:r>
      <w:r w:rsidRPr="0098410B">
        <w:rPr>
          <w:rFonts w:ascii="Times New Roman" w:hAnsi="Times New Roman"/>
          <w:sz w:val="26"/>
          <w:szCs w:val="26"/>
          <w:vertAlign w:val="subscript"/>
        </w:rPr>
        <w:t>VFD, filter</w:t>
      </w:r>
      <w:r>
        <w:rPr>
          <w:rFonts w:ascii="Times New Roman" w:hAnsi="Times New Roman"/>
          <w:sz w:val="26"/>
          <w:szCs w:val="26"/>
        </w:rPr>
        <w:t xml:space="preserve">). </w:t>
      </w:r>
      <w:r w:rsidR="0036507D">
        <w:rPr>
          <w:rFonts w:ascii="Times New Roman" w:hAnsi="Times New Roman"/>
          <w:sz w:val="26"/>
          <w:szCs w:val="26"/>
        </w:rPr>
        <w:t xml:space="preserve"> </w:t>
      </w:r>
      <w:r>
        <w:rPr>
          <w:rFonts w:ascii="Times New Roman" w:hAnsi="Times New Roman"/>
          <w:sz w:val="26"/>
          <w:szCs w:val="26"/>
        </w:rPr>
        <w:t>These proposals</w:t>
      </w:r>
      <w:r w:rsidRPr="0098410B">
        <w:rPr>
          <w:rFonts w:ascii="Times New Roman" w:hAnsi="Times New Roman"/>
          <w:sz w:val="26"/>
          <w:szCs w:val="26"/>
        </w:rPr>
        <w:t xml:space="preserve"> account</w:t>
      </w:r>
      <w:r w:rsidR="001126FF">
        <w:rPr>
          <w:rFonts w:ascii="Times New Roman" w:hAnsi="Times New Roman"/>
          <w:sz w:val="26"/>
          <w:szCs w:val="26"/>
        </w:rPr>
        <w:t>ed</w:t>
      </w:r>
      <w:r w:rsidRPr="0098410B">
        <w:rPr>
          <w:rFonts w:ascii="Times New Roman" w:hAnsi="Times New Roman"/>
          <w:sz w:val="26"/>
          <w:szCs w:val="26"/>
        </w:rPr>
        <w:t xml:space="preserve"> for the fact that variable speed pool pumps usually have multiple operating modes tha</w:t>
      </w:r>
      <w:r w:rsidR="00896388">
        <w:rPr>
          <w:rFonts w:ascii="Times New Roman" w:hAnsi="Times New Roman"/>
          <w:sz w:val="26"/>
          <w:szCs w:val="26"/>
        </w:rPr>
        <w:t>t each run at different speeds.</w:t>
      </w:r>
      <w:r w:rsidR="0036507D">
        <w:rPr>
          <w:rFonts w:ascii="Times New Roman" w:hAnsi="Times New Roman"/>
          <w:sz w:val="26"/>
          <w:szCs w:val="26"/>
        </w:rPr>
        <w:t xml:space="preserve"> </w:t>
      </w:r>
      <w:r>
        <w:rPr>
          <w:rFonts w:ascii="Times New Roman" w:hAnsi="Times New Roman"/>
          <w:sz w:val="26"/>
          <w:szCs w:val="26"/>
        </w:rPr>
        <w:t xml:space="preserve"> </w:t>
      </w:r>
      <w:r w:rsidRPr="0098410B">
        <w:rPr>
          <w:rFonts w:ascii="Times New Roman" w:hAnsi="Times New Roman"/>
          <w:sz w:val="26"/>
          <w:szCs w:val="26"/>
        </w:rPr>
        <w:t>In addition, the Commission propose</w:t>
      </w:r>
      <w:r w:rsidR="001126FF">
        <w:rPr>
          <w:rFonts w:ascii="Times New Roman" w:hAnsi="Times New Roman"/>
          <w:sz w:val="26"/>
          <w:szCs w:val="26"/>
        </w:rPr>
        <w:t>d</w:t>
      </w:r>
      <w:r w:rsidRPr="0098410B">
        <w:rPr>
          <w:rFonts w:ascii="Times New Roman" w:hAnsi="Times New Roman"/>
          <w:sz w:val="26"/>
          <w:szCs w:val="26"/>
        </w:rPr>
        <w:t xml:space="preserve"> breaking out kW</w:t>
      </w:r>
      <w:r w:rsidRPr="0098410B">
        <w:rPr>
          <w:rFonts w:ascii="Times New Roman" w:hAnsi="Times New Roman"/>
          <w:sz w:val="26"/>
          <w:szCs w:val="26"/>
          <w:vertAlign w:val="subscript"/>
        </w:rPr>
        <w:t>VFD</w:t>
      </w:r>
      <w:r w:rsidRPr="0098410B">
        <w:rPr>
          <w:rFonts w:ascii="Times New Roman" w:hAnsi="Times New Roman"/>
          <w:sz w:val="26"/>
          <w:szCs w:val="26"/>
        </w:rPr>
        <w:t xml:space="preserve"> into kW</w:t>
      </w:r>
      <w:r w:rsidRPr="0098410B">
        <w:rPr>
          <w:rFonts w:ascii="Times New Roman" w:hAnsi="Times New Roman"/>
          <w:sz w:val="26"/>
          <w:szCs w:val="26"/>
          <w:vertAlign w:val="subscript"/>
        </w:rPr>
        <w:t>VFD,clean</w:t>
      </w:r>
      <w:r w:rsidRPr="0098410B">
        <w:rPr>
          <w:rFonts w:ascii="Times New Roman" w:hAnsi="Times New Roman"/>
          <w:sz w:val="26"/>
          <w:szCs w:val="26"/>
        </w:rPr>
        <w:t xml:space="preserve"> and kW</w:t>
      </w:r>
      <w:r w:rsidRPr="0098410B">
        <w:rPr>
          <w:rFonts w:ascii="Times New Roman" w:hAnsi="Times New Roman"/>
          <w:sz w:val="26"/>
          <w:szCs w:val="26"/>
          <w:vertAlign w:val="subscript"/>
        </w:rPr>
        <w:t>VFD, filter</w:t>
      </w:r>
      <w:r w:rsidRPr="0098410B">
        <w:rPr>
          <w:rFonts w:ascii="Times New Roman" w:hAnsi="Times New Roman"/>
          <w:sz w:val="26"/>
          <w:szCs w:val="26"/>
        </w:rPr>
        <w:t xml:space="preserve"> in the </w:t>
      </w:r>
      <w:r>
        <w:rPr>
          <w:rFonts w:ascii="Times New Roman" w:hAnsi="Times New Roman"/>
          <w:sz w:val="26"/>
          <w:szCs w:val="26"/>
        </w:rPr>
        <w:t>Δ</w:t>
      </w:r>
      <w:r w:rsidRPr="0098410B">
        <w:rPr>
          <w:rFonts w:ascii="Times New Roman" w:hAnsi="Times New Roman"/>
          <w:sz w:val="26"/>
          <w:szCs w:val="26"/>
        </w:rPr>
        <w:t>kW</w:t>
      </w:r>
      <w:r w:rsidRPr="0098410B">
        <w:rPr>
          <w:rFonts w:ascii="Times New Roman" w:hAnsi="Times New Roman"/>
          <w:sz w:val="26"/>
          <w:szCs w:val="26"/>
          <w:vertAlign w:val="subscript"/>
        </w:rPr>
        <w:t>peak</w:t>
      </w:r>
      <w:r w:rsidRPr="0098410B">
        <w:rPr>
          <w:rFonts w:ascii="Times New Roman" w:hAnsi="Times New Roman"/>
          <w:sz w:val="26"/>
          <w:szCs w:val="26"/>
        </w:rPr>
        <w:t xml:space="preserve"> algorithm</w:t>
      </w:r>
      <w:r>
        <w:rPr>
          <w:rFonts w:ascii="Times New Roman" w:hAnsi="Times New Roman"/>
          <w:sz w:val="26"/>
          <w:szCs w:val="26"/>
        </w:rPr>
        <w:t>,</w:t>
      </w:r>
      <w:r w:rsidRPr="0098410B">
        <w:rPr>
          <w:rFonts w:ascii="Times New Roman" w:hAnsi="Times New Roman"/>
          <w:sz w:val="26"/>
          <w:szCs w:val="26"/>
        </w:rPr>
        <w:t xml:space="preserve"> where each is multiplied by the ratio of time it is used during the PJM peak.</w:t>
      </w:r>
    </w:p>
    <w:p w:rsidR="00A3244B" w:rsidRDefault="00A3244B" w:rsidP="001B6469">
      <w:pPr>
        <w:pStyle w:val="BodyTextIndent3"/>
        <w:spacing w:after="0" w:line="360" w:lineRule="auto"/>
        <w:ind w:left="0" w:firstLine="720"/>
        <w:jc w:val="left"/>
        <w:rPr>
          <w:rFonts w:ascii="Times New Roman" w:hAnsi="Times New Roman"/>
          <w:sz w:val="26"/>
          <w:szCs w:val="26"/>
        </w:rPr>
      </w:pPr>
    </w:p>
    <w:p w:rsidR="001126FF" w:rsidRDefault="001126FF" w:rsidP="001B6469">
      <w:pPr>
        <w:pStyle w:val="BodyTextIndent3"/>
        <w:spacing w:after="0" w:line="360" w:lineRule="auto"/>
        <w:ind w:left="0" w:firstLine="720"/>
        <w:jc w:val="left"/>
        <w:rPr>
          <w:rFonts w:ascii="Times New Roman" w:hAnsi="Times New Roman"/>
          <w:b/>
          <w:sz w:val="26"/>
          <w:szCs w:val="26"/>
        </w:rPr>
      </w:pPr>
      <w:r>
        <w:rPr>
          <w:rFonts w:ascii="Times New Roman" w:hAnsi="Times New Roman"/>
          <w:sz w:val="26"/>
          <w:szCs w:val="26"/>
        </w:rPr>
        <w:tab/>
      </w:r>
      <w:r w:rsidR="0036507D">
        <w:rPr>
          <w:rFonts w:ascii="Times New Roman" w:hAnsi="Times New Roman"/>
          <w:b/>
          <w:sz w:val="26"/>
          <w:szCs w:val="26"/>
        </w:rPr>
        <w:t>a</w:t>
      </w:r>
      <w:r>
        <w:rPr>
          <w:rFonts w:ascii="Times New Roman" w:hAnsi="Times New Roman"/>
          <w:b/>
          <w:sz w:val="26"/>
          <w:szCs w:val="26"/>
        </w:rPr>
        <w:t>.</w:t>
      </w:r>
      <w:r>
        <w:rPr>
          <w:rFonts w:ascii="Times New Roman" w:hAnsi="Times New Roman"/>
          <w:b/>
          <w:sz w:val="26"/>
          <w:szCs w:val="26"/>
        </w:rPr>
        <w:tab/>
        <w:t>Comments</w:t>
      </w:r>
    </w:p>
    <w:p w:rsidR="00F67AC1" w:rsidRDefault="00F67AC1" w:rsidP="001B6469">
      <w:pPr>
        <w:pStyle w:val="BodyTextIndent3"/>
        <w:spacing w:after="0" w:line="360" w:lineRule="auto"/>
        <w:ind w:left="0" w:firstLine="720"/>
        <w:jc w:val="left"/>
        <w:rPr>
          <w:rFonts w:ascii="Times New Roman" w:hAnsi="Times New Roman"/>
          <w:sz w:val="26"/>
          <w:szCs w:val="26"/>
        </w:rPr>
      </w:pPr>
    </w:p>
    <w:p w:rsidR="001126FF" w:rsidRDefault="00186DF8" w:rsidP="0036507D">
      <w:pPr>
        <w:pStyle w:val="BodyTextIndent3"/>
        <w:spacing w:after="0" w:line="360" w:lineRule="auto"/>
        <w:ind w:left="0" w:firstLine="720"/>
        <w:jc w:val="left"/>
        <w:rPr>
          <w:rFonts w:ascii="Times New Roman" w:hAnsi="Times New Roman"/>
          <w:sz w:val="26"/>
          <w:szCs w:val="26"/>
        </w:rPr>
      </w:pPr>
      <w:r>
        <w:rPr>
          <w:rFonts w:ascii="Times New Roman" w:hAnsi="Times New Roman"/>
          <w:sz w:val="26"/>
          <w:szCs w:val="26"/>
        </w:rPr>
        <w:t xml:space="preserve">PPL </w:t>
      </w:r>
      <w:r w:rsidRPr="00186DF8">
        <w:rPr>
          <w:rFonts w:ascii="Times New Roman" w:hAnsi="Times New Roman"/>
          <w:sz w:val="26"/>
          <w:szCs w:val="26"/>
        </w:rPr>
        <w:t>recommends revising the kWh terms to "kWh/yr" for both the base and VFD variables</w:t>
      </w:r>
      <w:r>
        <w:rPr>
          <w:rFonts w:ascii="Times New Roman" w:hAnsi="Times New Roman"/>
          <w:sz w:val="26"/>
          <w:szCs w:val="26"/>
        </w:rPr>
        <w:t>.</w:t>
      </w:r>
      <w:r w:rsidR="00BE31FA">
        <w:rPr>
          <w:rFonts w:ascii="Times New Roman" w:hAnsi="Times New Roman"/>
          <w:sz w:val="26"/>
          <w:szCs w:val="26"/>
        </w:rPr>
        <w:t xml:space="preserve"> </w:t>
      </w:r>
      <w:r w:rsidR="0036507D">
        <w:rPr>
          <w:rFonts w:ascii="Times New Roman" w:hAnsi="Times New Roman"/>
          <w:sz w:val="26"/>
          <w:szCs w:val="26"/>
        </w:rPr>
        <w:t xml:space="preserve"> </w:t>
      </w:r>
      <w:r w:rsidR="00BE31FA">
        <w:rPr>
          <w:rFonts w:ascii="Times New Roman" w:hAnsi="Times New Roman"/>
          <w:sz w:val="26"/>
          <w:szCs w:val="26"/>
        </w:rPr>
        <w:t xml:space="preserve">PPL also </w:t>
      </w:r>
      <w:r w:rsidR="00BE31FA" w:rsidRPr="00BE31FA">
        <w:rPr>
          <w:rFonts w:ascii="Times New Roman" w:hAnsi="Times New Roman"/>
          <w:sz w:val="26"/>
          <w:szCs w:val="26"/>
        </w:rPr>
        <w:t>recommends updating</w:t>
      </w:r>
      <w:r w:rsidR="00BE31FA">
        <w:rPr>
          <w:rFonts w:ascii="Times New Roman" w:hAnsi="Times New Roman"/>
          <w:sz w:val="26"/>
          <w:szCs w:val="26"/>
        </w:rPr>
        <w:t xml:space="preserve"> the default values for </w:t>
      </w:r>
      <w:r w:rsidR="00BE31FA" w:rsidRPr="0098410B">
        <w:rPr>
          <w:rFonts w:ascii="Times New Roman" w:hAnsi="Times New Roman"/>
          <w:sz w:val="26"/>
          <w:szCs w:val="26"/>
        </w:rPr>
        <w:t>HOU</w:t>
      </w:r>
      <w:r w:rsidR="00BE31FA" w:rsidRPr="0098410B">
        <w:rPr>
          <w:rFonts w:ascii="Times New Roman" w:hAnsi="Times New Roman"/>
          <w:sz w:val="26"/>
          <w:szCs w:val="26"/>
          <w:vertAlign w:val="subscript"/>
        </w:rPr>
        <w:t>VFD,clean</w:t>
      </w:r>
      <w:r w:rsidR="00BE31FA">
        <w:rPr>
          <w:rFonts w:ascii="Times New Roman" w:hAnsi="Times New Roman"/>
          <w:sz w:val="26"/>
          <w:szCs w:val="26"/>
        </w:rPr>
        <w:t xml:space="preserve">, </w:t>
      </w:r>
      <w:r w:rsidR="00BE31FA" w:rsidRPr="0098410B">
        <w:rPr>
          <w:rFonts w:ascii="Times New Roman" w:hAnsi="Times New Roman"/>
          <w:sz w:val="26"/>
          <w:szCs w:val="26"/>
        </w:rPr>
        <w:t>HOU</w:t>
      </w:r>
      <w:r w:rsidR="00BE31FA">
        <w:rPr>
          <w:rFonts w:ascii="Times New Roman" w:hAnsi="Times New Roman"/>
          <w:sz w:val="26"/>
          <w:szCs w:val="26"/>
          <w:vertAlign w:val="subscript"/>
        </w:rPr>
        <w:t>VFD,filter</w:t>
      </w:r>
      <w:r w:rsidR="00BE31FA">
        <w:rPr>
          <w:rFonts w:ascii="Times New Roman" w:hAnsi="Times New Roman"/>
          <w:sz w:val="26"/>
          <w:szCs w:val="26"/>
        </w:rPr>
        <w:t xml:space="preserve">, </w:t>
      </w:r>
      <w:r w:rsidR="00BE31FA" w:rsidRPr="0098410B">
        <w:rPr>
          <w:rFonts w:ascii="Times New Roman" w:hAnsi="Times New Roman"/>
          <w:sz w:val="26"/>
          <w:szCs w:val="26"/>
        </w:rPr>
        <w:t>HOU</w:t>
      </w:r>
      <w:r w:rsidR="00BE31FA">
        <w:rPr>
          <w:rFonts w:ascii="Times New Roman" w:hAnsi="Times New Roman"/>
          <w:sz w:val="26"/>
          <w:szCs w:val="26"/>
          <w:vertAlign w:val="subscript"/>
        </w:rPr>
        <w:t>SS</w:t>
      </w:r>
      <w:r w:rsidR="00BE31FA">
        <w:rPr>
          <w:rFonts w:ascii="Times New Roman" w:hAnsi="Times New Roman"/>
          <w:sz w:val="26"/>
          <w:szCs w:val="26"/>
        </w:rPr>
        <w:t xml:space="preserve">, </w:t>
      </w:r>
      <w:r w:rsidR="00BE31FA" w:rsidRPr="0098410B">
        <w:rPr>
          <w:rFonts w:ascii="Times New Roman" w:hAnsi="Times New Roman"/>
          <w:sz w:val="26"/>
          <w:szCs w:val="26"/>
        </w:rPr>
        <w:t>kW</w:t>
      </w:r>
      <w:r w:rsidR="00BE31FA" w:rsidRPr="0098410B">
        <w:rPr>
          <w:rFonts w:ascii="Times New Roman" w:hAnsi="Times New Roman"/>
          <w:sz w:val="26"/>
          <w:szCs w:val="26"/>
          <w:vertAlign w:val="subscript"/>
        </w:rPr>
        <w:t>VFD,clean</w:t>
      </w:r>
      <w:r w:rsidR="00BE31FA">
        <w:rPr>
          <w:rFonts w:ascii="Times New Roman" w:hAnsi="Times New Roman"/>
          <w:sz w:val="26"/>
          <w:szCs w:val="26"/>
        </w:rPr>
        <w:t xml:space="preserve">, </w:t>
      </w:r>
      <w:r w:rsidR="0036507D">
        <w:rPr>
          <w:rFonts w:ascii="Times New Roman" w:hAnsi="Times New Roman"/>
          <w:sz w:val="26"/>
          <w:szCs w:val="26"/>
        </w:rPr>
        <w:t xml:space="preserve">and </w:t>
      </w:r>
      <w:r w:rsidR="00BE31FA" w:rsidRPr="0098410B">
        <w:rPr>
          <w:rFonts w:ascii="Times New Roman" w:hAnsi="Times New Roman"/>
          <w:sz w:val="26"/>
          <w:szCs w:val="26"/>
        </w:rPr>
        <w:t>kW</w:t>
      </w:r>
      <w:r w:rsidR="00BE31FA" w:rsidRPr="0098410B">
        <w:rPr>
          <w:rFonts w:ascii="Times New Roman" w:hAnsi="Times New Roman"/>
          <w:sz w:val="26"/>
          <w:szCs w:val="26"/>
          <w:vertAlign w:val="subscript"/>
        </w:rPr>
        <w:t>VFD, filter</w:t>
      </w:r>
      <w:r w:rsidR="00BE31FA">
        <w:rPr>
          <w:rFonts w:ascii="Times New Roman" w:hAnsi="Times New Roman"/>
          <w:sz w:val="26"/>
          <w:szCs w:val="26"/>
        </w:rPr>
        <w:t xml:space="preserve"> </w:t>
      </w:r>
      <w:r w:rsidR="00BE31FA" w:rsidRPr="00BE31FA">
        <w:rPr>
          <w:rFonts w:ascii="Times New Roman" w:hAnsi="Times New Roman"/>
          <w:sz w:val="26"/>
          <w:szCs w:val="26"/>
        </w:rPr>
        <w:t>with EDC data collected in previous evaluations</w:t>
      </w:r>
      <w:r w:rsidR="00BE31FA">
        <w:rPr>
          <w:rFonts w:ascii="Times New Roman" w:hAnsi="Times New Roman"/>
          <w:sz w:val="26"/>
          <w:szCs w:val="26"/>
        </w:rPr>
        <w:t>.</w:t>
      </w:r>
      <w:r w:rsidR="0036507D">
        <w:rPr>
          <w:rFonts w:ascii="Times New Roman" w:hAnsi="Times New Roman"/>
          <w:sz w:val="26"/>
          <w:szCs w:val="26"/>
        </w:rPr>
        <w:t xml:space="preserve">  </w:t>
      </w:r>
      <w:r w:rsidR="00D9257A">
        <w:rPr>
          <w:rFonts w:ascii="Times New Roman" w:hAnsi="Times New Roman"/>
          <w:sz w:val="26"/>
          <w:szCs w:val="26"/>
        </w:rPr>
        <w:t xml:space="preserve">PPL states that the sources for </w:t>
      </w:r>
      <w:r w:rsidR="00D9257A" w:rsidRPr="0098410B">
        <w:rPr>
          <w:rFonts w:ascii="Times New Roman" w:hAnsi="Times New Roman"/>
          <w:sz w:val="26"/>
          <w:szCs w:val="26"/>
        </w:rPr>
        <w:t>HOU</w:t>
      </w:r>
      <w:r w:rsidR="00D9257A" w:rsidRPr="0098410B">
        <w:rPr>
          <w:rFonts w:ascii="Times New Roman" w:hAnsi="Times New Roman"/>
          <w:sz w:val="26"/>
          <w:szCs w:val="26"/>
          <w:vertAlign w:val="subscript"/>
        </w:rPr>
        <w:t>VFD,clean</w:t>
      </w:r>
      <w:r w:rsidR="00D9257A">
        <w:rPr>
          <w:rFonts w:ascii="Times New Roman" w:hAnsi="Times New Roman"/>
          <w:sz w:val="26"/>
          <w:szCs w:val="26"/>
        </w:rPr>
        <w:t xml:space="preserve">, </w:t>
      </w:r>
      <w:r w:rsidR="00D9257A" w:rsidRPr="0098410B">
        <w:rPr>
          <w:rFonts w:ascii="Times New Roman" w:hAnsi="Times New Roman"/>
          <w:sz w:val="26"/>
          <w:szCs w:val="26"/>
        </w:rPr>
        <w:t>HOU</w:t>
      </w:r>
      <w:r w:rsidR="00D9257A">
        <w:rPr>
          <w:rFonts w:ascii="Times New Roman" w:hAnsi="Times New Roman"/>
          <w:sz w:val="26"/>
          <w:szCs w:val="26"/>
          <w:vertAlign w:val="subscript"/>
        </w:rPr>
        <w:t>peak</w:t>
      </w:r>
      <w:r w:rsidR="00D9257A" w:rsidRPr="0098410B">
        <w:rPr>
          <w:rFonts w:ascii="Times New Roman" w:hAnsi="Times New Roman"/>
          <w:sz w:val="26"/>
          <w:szCs w:val="26"/>
          <w:vertAlign w:val="subscript"/>
        </w:rPr>
        <w:t>,clean</w:t>
      </w:r>
      <w:r w:rsidR="00D9257A">
        <w:rPr>
          <w:rFonts w:ascii="Times New Roman" w:hAnsi="Times New Roman"/>
          <w:sz w:val="26"/>
          <w:szCs w:val="26"/>
        </w:rPr>
        <w:t xml:space="preserve">, and </w:t>
      </w:r>
      <w:r w:rsidR="00D9257A" w:rsidRPr="0098410B">
        <w:rPr>
          <w:rFonts w:ascii="Times New Roman" w:hAnsi="Times New Roman"/>
          <w:sz w:val="26"/>
          <w:szCs w:val="26"/>
        </w:rPr>
        <w:t>HOU</w:t>
      </w:r>
      <w:r w:rsidR="00D9257A">
        <w:rPr>
          <w:rFonts w:ascii="Times New Roman" w:hAnsi="Times New Roman"/>
          <w:sz w:val="26"/>
          <w:szCs w:val="26"/>
          <w:vertAlign w:val="subscript"/>
        </w:rPr>
        <w:t>peak</w:t>
      </w:r>
      <w:r w:rsidR="00D9257A" w:rsidRPr="0098410B">
        <w:rPr>
          <w:rFonts w:ascii="Times New Roman" w:hAnsi="Times New Roman"/>
          <w:sz w:val="26"/>
          <w:szCs w:val="26"/>
          <w:vertAlign w:val="subscript"/>
        </w:rPr>
        <w:t>,</w:t>
      </w:r>
      <w:r w:rsidR="00D9257A">
        <w:rPr>
          <w:rFonts w:ascii="Times New Roman" w:hAnsi="Times New Roman"/>
          <w:sz w:val="26"/>
          <w:szCs w:val="26"/>
          <w:vertAlign w:val="subscript"/>
        </w:rPr>
        <w:t>filter</w:t>
      </w:r>
      <w:r w:rsidR="0036507D">
        <w:rPr>
          <w:rFonts w:ascii="Times New Roman" w:hAnsi="Times New Roman"/>
          <w:sz w:val="26"/>
          <w:szCs w:val="26"/>
        </w:rPr>
        <w:t xml:space="preserve"> are missing.  </w:t>
      </w:r>
      <w:r w:rsidR="009D24D4">
        <w:rPr>
          <w:rFonts w:ascii="Times New Roman" w:hAnsi="Times New Roman"/>
          <w:sz w:val="26"/>
          <w:szCs w:val="26"/>
        </w:rPr>
        <w:t xml:space="preserve">PPL recommends updating the default values for </w:t>
      </w:r>
      <w:r w:rsidR="009D24D4" w:rsidRPr="009D24D4">
        <w:rPr>
          <w:rFonts w:ascii="Times New Roman" w:hAnsi="Times New Roman"/>
          <w:sz w:val="26"/>
          <w:szCs w:val="26"/>
        </w:rPr>
        <w:t>kW</w:t>
      </w:r>
      <w:r w:rsidR="009D24D4" w:rsidRPr="009D24D4">
        <w:rPr>
          <w:rFonts w:ascii="Times New Roman" w:hAnsi="Times New Roman"/>
          <w:sz w:val="26"/>
          <w:szCs w:val="26"/>
          <w:vertAlign w:val="subscript"/>
        </w:rPr>
        <w:t>SS</w:t>
      </w:r>
      <w:r w:rsidR="009D24D4" w:rsidRPr="009D24D4">
        <w:rPr>
          <w:rFonts w:ascii="Times New Roman" w:hAnsi="Times New Roman"/>
          <w:sz w:val="26"/>
          <w:szCs w:val="26"/>
        </w:rPr>
        <w:t xml:space="preserve"> </w:t>
      </w:r>
      <w:r w:rsidR="009D24D4">
        <w:rPr>
          <w:rFonts w:ascii="Times New Roman" w:hAnsi="Times New Roman"/>
          <w:sz w:val="26"/>
          <w:szCs w:val="26"/>
        </w:rPr>
        <w:t xml:space="preserve">as the current value is based on CEC2008, </w:t>
      </w:r>
      <w:r w:rsidR="005D07F3">
        <w:rPr>
          <w:rFonts w:ascii="Times New Roman" w:hAnsi="Times New Roman"/>
          <w:sz w:val="26"/>
          <w:szCs w:val="26"/>
        </w:rPr>
        <w:t xml:space="preserve">when </w:t>
      </w:r>
      <w:r w:rsidR="009D24D4" w:rsidRPr="009D24D4">
        <w:rPr>
          <w:rFonts w:ascii="Times New Roman" w:hAnsi="Times New Roman"/>
          <w:sz w:val="26"/>
          <w:szCs w:val="26"/>
        </w:rPr>
        <w:t>a more recent dataset exists.</w:t>
      </w:r>
      <w:r w:rsidR="00D1748D">
        <w:rPr>
          <w:rStyle w:val="FootnoteReference"/>
          <w:sz w:val="26"/>
          <w:szCs w:val="26"/>
        </w:rPr>
        <w:footnoteReference w:id="136"/>
      </w:r>
    </w:p>
    <w:p w:rsidR="001126FF" w:rsidRDefault="001126FF" w:rsidP="001B6469">
      <w:pPr>
        <w:pStyle w:val="BodyTextIndent3"/>
        <w:spacing w:after="0" w:line="360" w:lineRule="auto"/>
        <w:ind w:left="0" w:firstLine="720"/>
        <w:jc w:val="left"/>
        <w:rPr>
          <w:rFonts w:ascii="Times New Roman" w:hAnsi="Times New Roman"/>
          <w:sz w:val="26"/>
          <w:szCs w:val="26"/>
        </w:rPr>
      </w:pPr>
    </w:p>
    <w:p w:rsidR="001126FF" w:rsidRDefault="001126FF" w:rsidP="001B6469">
      <w:pPr>
        <w:pStyle w:val="BodyTextIndent3"/>
        <w:spacing w:after="0" w:line="360" w:lineRule="auto"/>
        <w:ind w:left="0" w:firstLine="720"/>
        <w:jc w:val="left"/>
        <w:rPr>
          <w:rFonts w:ascii="Times New Roman" w:hAnsi="Times New Roman"/>
          <w:b/>
          <w:sz w:val="26"/>
          <w:szCs w:val="26"/>
        </w:rPr>
      </w:pPr>
      <w:r>
        <w:rPr>
          <w:rFonts w:ascii="Times New Roman" w:hAnsi="Times New Roman"/>
          <w:sz w:val="26"/>
          <w:szCs w:val="26"/>
        </w:rPr>
        <w:tab/>
      </w:r>
      <w:r w:rsidR="0036507D">
        <w:rPr>
          <w:rFonts w:ascii="Times New Roman" w:hAnsi="Times New Roman"/>
          <w:b/>
          <w:sz w:val="26"/>
          <w:szCs w:val="26"/>
        </w:rPr>
        <w:t>b</w:t>
      </w:r>
      <w:r>
        <w:rPr>
          <w:rFonts w:ascii="Times New Roman" w:hAnsi="Times New Roman"/>
          <w:b/>
          <w:sz w:val="26"/>
          <w:szCs w:val="26"/>
        </w:rPr>
        <w:t>.</w:t>
      </w:r>
      <w:r>
        <w:rPr>
          <w:rFonts w:ascii="Times New Roman" w:hAnsi="Times New Roman"/>
          <w:b/>
          <w:sz w:val="26"/>
          <w:szCs w:val="26"/>
        </w:rPr>
        <w:tab/>
        <w:t>Disposition</w:t>
      </w:r>
    </w:p>
    <w:p w:rsidR="00F67AC1" w:rsidRDefault="00F67AC1" w:rsidP="001B6469">
      <w:pPr>
        <w:pStyle w:val="BodyTextIndent3"/>
        <w:spacing w:after="0" w:line="360" w:lineRule="auto"/>
        <w:ind w:left="0" w:firstLine="720"/>
        <w:jc w:val="left"/>
        <w:rPr>
          <w:rFonts w:ascii="Times New Roman" w:hAnsi="Times New Roman"/>
          <w:sz w:val="26"/>
          <w:szCs w:val="26"/>
        </w:rPr>
      </w:pPr>
    </w:p>
    <w:p w:rsidR="001126FF" w:rsidRPr="00D9257A" w:rsidRDefault="00186DF8" w:rsidP="001B6469">
      <w:pPr>
        <w:pStyle w:val="BodyTextIndent3"/>
        <w:spacing w:after="0" w:line="360" w:lineRule="auto"/>
        <w:ind w:left="0" w:firstLine="720"/>
        <w:jc w:val="left"/>
        <w:rPr>
          <w:rFonts w:ascii="Times New Roman" w:hAnsi="Times New Roman"/>
          <w:sz w:val="26"/>
          <w:szCs w:val="26"/>
        </w:rPr>
      </w:pPr>
      <w:r w:rsidRPr="00F46959">
        <w:rPr>
          <w:rFonts w:ascii="Times New Roman" w:hAnsi="Times New Roman"/>
          <w:sz w:val="26"/>
          <w:szCs w:val="26"/>
        </w:rPr>
        <w:t>The Commission agrees that the kWh</w:t>
      </w:r>
      <w:r w:rsidRPr="00F46959">
        <w:rPr>
          <w:rFonts w:ascii="Times New Roman" w:hAnsi="Times New Roman"/>
          <w:sz w:val="26"/>
          <w:szCs w:val="26"/>
          <w:vertAlign w:val="subscript"/>
        </w:rPr>
        <w:t>base</w:t>
      </w:r>
      <w:r w:rsidRPr="00F46959">
        <w:rPr>
          <w:rFonts w:ascii="Times New Roman" w:hAnsi="Times New Roman"/>
          <w:sz w:val="26"/>
          <w:szCs w:val="26"/>
        </w:rPr>
        <w:t xml:space="preserve"> and kWh</w:t>
      </w:r>
      <w:r w:rsidRPr="00F46959">
        <w:rPr>
          <w:rFonts w:ascii="Times New Roman" w:hAnsi="Times New Roman"/>
          <w:sz w:val="26"/>
          <w:szCs w:val="26"/>
          <w:vertAlign w:val="subscript"/>
        </w:rPr>
        <w:t>VFD</w:t>
      </w:r>
      <w:r w:rsidRPr="00F46959">
        <w:rPr>
          <w:rFonts w:ascii="Times New Roman" w:hAnsi="Times New Roman"/>
          <w:sz w:val="26"/>
          <w:szCs w:val="26"/>
        </w:rPr>
        <w:t xml:space="preserve"> should be labeled kWh/yr</w:t>
      </w:r>
      <w:r w:rsidRPr="00F46959">
        <w:rPr>
          <w:rFonts w:ascii="Times New Roman" w:hAnsi="Times New Roman"/>
          <w:sz w:val="26"/>
          <w:szCs w:val="26"/>
          <w:vertAlign w:val="subscript"/>
        </w:rPr>
        <w:t>base</w:t>
      </w:r>
      <w:r w:rsidRPr="00F46959">
        <w:rPr>
          <w:rFonts w:ascii="Times New Roman" w:hAnsi="Times New Roman"/>
          <w:sz w:val="26"/>
          <w:szCs w:val="26"/>
        </w:rPr>
        <w:t xml:space="preserve"> and kWh/yr</w:t>
      </w:r>
      <w:r w:rsidRPr="00F46959">
        <w:rPr>
          <w:rFonts w:ascii="Times New Roman" w:hAnsi="Times New Roman"/>
          <w:sz w:val="26"/>
          <w:szCs w:val="26"/>
          <w:vertAlign w:val="subscript"/>
        </w:rPr>
        <w:t>VFD</w:t>
      </w:r>
      <w:r w:rsidRPr="00F46959">
        <w:rPr>
          <w:rFonts w:ascii="Times New Roman" w:hAnsi="Times New Roman"/>
          <w:sz w:val="26"/>
          <w:szCs w:val="26"/>
        </w:rPr>
        <w:t xml:space="preserve"> and has adopted the suggested changes.</w:t>
      </w:r>
      <w:r w:rsidR="00242258" w:rsidRPr="00F46959">
        <w:rPr>
          <w:rFonts w:ascii="Times New Roman" w:hAnsi="Times New Roman"/>
          <w:sz w:val="26"/>
          <w:szCs w:val="26"/>
        </w:rPr>
        <w:t xml:space="preserve"> </w:t>
      </w:r>
      <w:r w:rsidR="0083540E" w:rsidRPr="00F46959">
        <w:rPr>
          <w:rFonts w:ascii="Times New Roman" w:hAnsi="Times New Roman"/>
          <w:sz w:val="26"/>
          <w:szCs w:val="26"/>
        </w:rPr>
        <w:t xml:space="preserve"> </w:t>
      </w:r>
      <w:r w:rsidR="005D07F3">
        <w:rPr>
          <w:rFonts w:ascii="Times New Roman" w:hAnsi="Times New Roman"/>
          <w:sz w:val="26"/>
          <w:szCs w:val="26"/>
        </w:rPr>
        <w:t xml:space="preserve">The Commission has also added, per PPL’s request, sources and assumptions behind the </w:t>
      </w:r>
      <w:r w:rsidR="005D07F3" w:rsidRPr="0098410B">
        <w:rPr>
          <w:rFonts w:ascii="Times New Roman" w:hAnsi="Times New Roman"/>
          <w:sz w:val="26"/>
          <w:szCs w:val="26"/>
        </w:rPr>
        <w:t>HOU</w:t>
      </w:r>
      <w:r w:rsidR="005D07F3" w:rsidRPr="0098410B">
        <w:rPr>
          <w:rFonts w:ascii="Times New Roman" w:hAnsi="Times New Roman"/>
          <w:sz w:val="26"/>
          <w:szCs w:val="26"/>
          <w:vertAlign w:val="subscript"/>
        </w:rPr>
        <w:t>VFD,clean</w:t>
      </w:r>
      <w:r w:rsidR="005D07F3">
        <w:rPr>
          <w:rFonts w:ascii="Times New Roman" w:hAnsi="Times New Roman"/>
          <w:sz w:val="26"/>
          <w:szCs w:val="26"/>
        </w:rPr>
        <w:t xml:space="preserve">, </w:t>
      </w:r>
      <w:r w:rsidR="005D07F3" w:rsidRPr="0098410B">
        <w:rPr>
          <w:rFonts w:ascii="Times New Roman" w:hAnsi="Times New Roman"/>
          <w:sz w:val="26"/>
          <w:szCs w:val="26"/>
        </w:rPr>
        <w:t>HOU</w:t>
      </w:r>
      <w:r w:rsidR="005D07F3">
        <w:rPr>
          <w:rFonts w:ascii="Times New Roman" w:hAnsi="Times New Roman"/>
          <w:sz w:val="26"/>
          <w:szCs w:val="26"/>
          <w:vertAlign w:val="subscript"/>
        </w:rPr>
        <w:t>peak</w:t>
      </w:r>
      <w:r w:rsidR="005D07F3" w:rsidRPr="0098410B">
        <w:rPr>
          <w:rFonts w:ascii="Times New Roman" w:hAnsi="Times New Roman"/>
          <w:sz w:val="26"/>
          <w:szCs w:val="26"/>
          <w:vertAlign w:val="subscript"/>
        </w:rPr>
        <w:t>,clean</w:t>
      </w:r>
      <w:r w:rsidR="005D07F3">
        <w:rPr>
          <w:rFonts w:ascii="Times New Roman" w:hAnsi="Times New Roman"/>
          <w:sz w:val="26"/>
          <w:szCs w:val="26"/>
        </w:rPr>
        <w:t xml:space="preserve"> and </w:t>
      </w:r>
      <w:r w:rsidR="005D07F3" w:rsidRPr="0098410B">
        <w:rPr>
          <w:rFonts w:ascii="Times New Roman" w:hAnsi="Times New Roman"/>
          <w:sz w:val="26"/>
          <w:szCs w:val="26"/>
        </w:rPr>
        <w:t>HOU</w:t>
      </w:r>
      <w:r w:rsidR="005D07F3">
        <w:rPr>
          <w:rFonts w:ascii="Times New Roman" w:hAnsi="Times New Roman"/>
          <w:sz w:val="26"/>
          <w:szCs w:val="26"/>
          <w:vertAlign w:val="subscript"/>
        </w:rPr>
        <w:t>peak</w:t>
      </w:r>
      <w:r w:rsidR="005D07F3" w:rsidRPr="0098410B">
        <w:rPr>
          <w:rFonts w:ascii="Times New Roman" w:hAnsi="Times New Roman"/>
          <w:sz w:val="26"/>
          <w:szCs w:val="26"/>
          <w:vertAlign w:val="subscript"/>
        </w:rPr>
        <w:t>,</w:t>
      </w:r>
      <w:r w:rsidR="005D07F3">
        <w:rPr>
          <w:rFonts w:ascii="Times New Roman" w:hAnsi="Times New Roman"/>
          <w:sz w:val="26"/>
          <w:szCs w:val="26"/>
          <w:vertAlign w:val="subscript"/>
        </w:rPr>
        <w:t>filter</w:t>
      </w:r>
      <w:r w:rsidR="005D07F3">
        <w:rPr>
          <w:rFonts w:ascii="Times New Roman" w:hAnsi="Times New Roman"/>
          <w:sz w:val="26"/>
          <w:szCs w:val="26"/>
        </w:rPr>
        <w:t xml:space="preserve"> variables.  </w:t>
      </w:r>
      <w:r w:rsidR="00242258" w:rsidRPr="00F46959">
        <w:rPr>
          <w:rFonts w:ascii="Times New Roman" w:hAnsi="Times New Roman"/>
          <w:sz w:val="26"/>
          <w:szCs w:val="26"/>
        </w:rPr>
        <w:t xml:space="preserve">The Commission </w:t>
      </w:r>
      <w:r w:rsidR="0083540E" w:rsidRPr="00F46959">
        <w:rPr>
          <w:rFonts w:ascii="Times New Roman" w:hAnsi="Times New Roman"/>
          <w:sz w:val="26"/>
          <w:szCs w:val="26"/>
        </w:rPr>
        <w:t xml:space="preserve">also </w:t>
      </w:r>
      <w:r w:rsidR="00242258" w:rsidRPr="00F46959">
        <w:rPr>
          <w:rFonts w:ascii="Times New Roman" w:hAnsi="Times New Roman"/>
          <w:sz w:val="26"/>
          <w:szCs w:val="26"/>
        </w:rPr>
        <w:t xml:space="preserve">agrees </w:t>
      </w:r>
      <w:r w:rsidR="0083540E" w:rsidRPr="00F46959">
        <w:rPr>
          <w:rFonts w:ascii="Times New Roman" w:hAnsi="Times New Roman"/>
          <w:sz w:val="26"/>
          <w:szCs w:val="26"/>
        </w:rPr>
        <w:t xml:space="preserve">that the use of </w:t>
      </w:r>
      <w:r w:rsidR="00242258" w:rsidRPr="00F46959">
        <w:rPr>
          <w:rFonts w:ascii="Times New Roman" w:hAnsi="Times New Roman"/>
          <w:sz w:val="26"/>
          <w:szCs w:val="26"/>
        </w:rPr>
        <w:t>default val</w:t>
      </w:r>
      <w:r w:rsidR="0083540E" w:rsidRPr="00F46959">
        <w:rPr>
          <w:rFonts w:ascii="Times New Roman" w:hAnsi="Times New Roman"/>
          <w:sz w:val="26"/>
          <w:szCs w:val="26"/>
        </w:rPr>
        <w:t>ues based on previous EDC Data c</w:t>
      </w:r>
      <w:r w:rsidR="00242258" w:rsidRPr="00F46959">
        <w:rPr>
          <w:rFonts w:ascii="Times New Roman" w:hAnsi="Times New Roman"/>
          <w:sz w:val="26"/>
          <w:szCs w:val="26"/>
        </w:rPr>
        <w:t>ollection</w:t>
      </w:r>
      <w:r w:rsidR="0083540E" w:rsidRPr="00F46959">
        <w:rPr>
          <w:rFonts w:ascii="Times New Roman" w:hAnsi="Times New Roman"/>
          <w:sz w:val="26"/>
          <w:szCs w:val="26"/>
        </w:rPr>
        <w:t xml:space="preserve"> may be appropriate.  Therefore, we direct the SWE </w:t>
      </w:r>
      <w:r w:rsidR="00242258" w:rsidRPr="00F46959">
        <w:rPr>
          <w:rFonts w:ascii="Times New Roman" w:hAnsi="Times New Roman"/>
          <w:sz w:val="26"/>
          <w:szCs w:val="26"/>
        </w:rPr>
        <w:t xml:space="preserve">to </w:t>
      </w:r>
      <w:r w:rsidR="00242258" w:rsidRPr="00F46959">
        <w:rPr>
          <w:rFonts w:ascii="Times New Roman" w:hAnsi="Times New Roman"/>
          <w:sz w:val="26"/>
          <w:szCs w:val="26"/>
        </w:rPr>
        <w:lastRenderedPageBreak/>
        <w:t>investigate this matter</w:t>
      </w:r>
      <w:r w:rsidR="002F3256" w:rsidRPr="00F46959">
        <w:rPr>
          <w:rFonts w:ascii="Times New Roman" w:hAnsi="Times New Roman"/>
          <w:sz w:val="26"/>
          <w:szCs w:val="26"/>
        </w:rPr>
        <w:t xml:space="preserve"> further</w:t>
      </w:r>
      <w:r w:rsidR="00242258" w:rsidRPr="00F46959">
        <w:rPr>
          <w:rFonts w:ascii="Times New Roman" w:hAnsi="Times New Roman"/>
          <w:sz w:val="26"/>
          <w:szCs w:val="26"/>
        </w:rPr>
        <w:t xml:space="preserve"> and</w:t>
      </w:r>
      <w:r w:rsidR="0083540E" w:rsidRPr="00F46959">
        <w:rPr>
          <w:rFonts w:ascii="Times New Roman" w:hAnsi="Times New Roman"/>
          <w:sz w:val="26"/>
          <w:szCs w:val="26"/>
        </w:rPr>
        <w:t xml:space="preserve"> provide recommendations for the Commission’s consideration during the 2016 TRM update</w:t>
      </w:r>
      <w:r w:rsidR="00242258" w:rsidRPr="00F46959">
        <w:rPr>
          <w:rFonts w:ascii="Times New Roman" w:hAnsi="Times New Roman"/>
          <w:sz w:val="26"/>
          <w:szCs w:val="26"/>
        </w:rPr>
        <w:t>.</w:t>
      </w:r>
      <w:r w:rsidR="00F46959">
        <w:rPr>
          <w:rFonts w:ascii="Times New Roman" w:hAnsi="Times New Roman"/>
          <w:sz w:val="26"/>
          <w:szCs w:val="26"/>
        </w:rPr>
        <w:t xml:space="preserve">  </w:t>
      </w:r>
      <w:r w:rsidR="005D07F3" w:rsidRPr="00B3731D">
        <w:rPr>
          <w:rFonts w:ascii="Times New Roman" w:hAnsi="Times New Roman"/>
          <w:sz w:val="26"/>
          <w:szCs w:val="26"/>
        </w:rPr>
        <w:t>If it deems it appropriate, the SWE may collaborate with the PEG in developing a recommendation.</w:t>
      </w:r>
      <w:r w:rsidR="005D07F3">
        <w:rPr>
          <w:rFonts w:ascii="Times New Roman" w:hAnsi="Times New Roman"/>
          <w:sz w:val="26"/>
          <w:szCs w:val="26"/>
        </w:rPr>
        <w:t xml:space="preserve">  </w:t>
      </w:r>
    </w:p>
    <w:p w:rsidR="00B0407E" w:rsidRDefault="00B0407E" w:rsidP="001B6469">
      <w:pPr>
        <w:ind w:firstLine="720"/>
        <w:jc w:val="left"/>
        <w:rPr>
          <w:szCs w:val="26"/>
        </w:rPr>
      </w:pPr>
    </w:p>
    <w:p w:rsidR="00A96303" w:rsidRDefault="009D24D4" w:rsidP="00A96303">
      <w:pPr>
        <w:ind w:firstLine="720"/>
        <w:jc w:val="left"/>
        <w:rPr>
          <w:szCs w:val="26"/>
        </w:rPr>
      </w:pPr>
      <w:r w:rsidRPr="00A96303">
        <w:rPr>
          <w:szCs w:val="26"/>
        </w:rPr>
        <w:t>The Commission disagrees with the suggestion to update the default values for kWss, as the more recent dataset only includes models which meet the current efficiency standards and the default values for kW</w:t>
      </w:r>
      <w:r w:rsidR="008A32D8" w:rsidRPr="00A96303">
        <w:rPr>
          <w:szCs w:val="26"/>
          <w:vertAlign w:val="subscript"/>
        </w:rPr>
        <w:t>SS</w:t>
      </w:r>
      <w:r w:rsidR="002F3256" w:rsidRPr="00A96303">
        <w:rPr>
          <w:szCs w:val="26"/>
        </w:rPr>
        <w:t xml:space="preserve"> are intended</w:t>
      </w:r>
      <w:r w:rsidRPr="00A96303">
        <w:rPr>
          <w:szCs w:val="26"/>
        </w:rPr>
        <w:t xml:space="preserve"> to represent existing equipment, not new equipment. </w:t>
      </w:r>
      <w:r w:rsidR="00A96303" w:rsidRPr="00A96303">
        <w:rPr>
          <w:szCs w:val="26"/>
        </w:rPr>
        <w:t xml:space="preserve"> </w:t>
      </w:r>
      <w:r w:rsidRPr="00A96303">
        <w:rPr>
          <w:szCs w:val="26"/>
        </w:rPr>
        <w:t xml:space="preserve">Additionally, the newer dataset only includes pumps with nameplate horsepower up to 0.90, which would greatly restrict the default values offered and would be a less realistic representation. </w:t>
      </w:r>
      <w:r w:rsidR="00A96303" w:rsidRPr="00A96303">
        <w:rPr>
          <w:szCs w:val="26"/>
        </w:rPr>
        <w:t xml:space="preserve"> The Commission directs the SWE to further explore these default values and the potential applicability of EDC data from previous evaluations to calculate them.  The SWE should provide recommendations on this issue for the 2016 TRM update.  </w:t>
      </w:r>
      <w:r w:rsidR="005D07F3" w:rsidRPr="004E6DA5">
        <w:rPr>
          <w:szCs w:val="26"/>
        </w:rPr>
        <w:t>If it deems it appropriate, the SWE may collaborate with the PEG in developing a recommendation.</w:t>
      </w:r>
    </w:p>
    <w:p w:rsidR="00B272F7" w:rsidRPr="00AC5F7F" w:rsidRDefault="00B272F7" w:rsidP="001B6469">
      <w:pPr>
        <w:jc w:val="left"/>
      </w:pPr>
      <w:bookmarkStart w:id="134" w:name="_Toc364755773"/>
      <w:bookmarkStart w:id="135" w:name="_Toc394648207"/>
      <w:bookmarkStart w:id="136" w:name="_Toc396910624"/>
    </w:p>
    <w:p w:rsidR="00D05144" w:rsidRPr="00122C64" w:rsidRDefault="00D05144" w:rsidP="00971480">
      <w:pPr>
        <w:pStyle w:val="Heading2"/>
        <w:ind w:left="720"/>
        <w:jc w:val="left"/>
      </w:pPr>
      <w:bookmarkStart w:id="137" w:name="_Toc405802407"/>
      <w:bookmarkStart w:id="138" w:name="_Toc405884735"/>
      <w:r w:rsidRPr="00122C64">
        <w:t>Commercial and Industrial EE&amp;C Measure Protocols</w:t>
      </w:r>
      <w:bookmarkEnd w:id="134"/>
      <w:bookmarkEnd w:id="135"/>
      <w:bookmarkEnd w:id="136"/>
      <w:bookmarkEnd w:id="137"/>
      <w:bookmarkEnd w:id="138"/>
      <w:r w:rsidRPr="00122C64">
        <w:t xml:space="preserve"> </w:t>
      </w:r>
    </w:p>
    <w:bookmarkEnd w:id="51"/>
    <w:p w:rsidR="00D05144" w:rsidRPr="00122C64" w:rsidRDefault="00D05144" w:rsidP="001B6469">
      <w:pPr>
        <w:pStyle w:val="p3"/>
        <w:tabs>
          <w:tab w:val="clear" w:pos="204"/>
          <w:tab w:val="left" w:pos="720"/>
        </w:tabs>
        <w:jc w:val="left"/>
        <w:rPr>
          <w:szCs w:val="26"/>
        </w:rPr>
      </w:pPr>
    </w:p>
    <w:p w:rsidR="00D05144" w:rsidRPr="00122C64" w:rsidRDefault="00D05144" w:rsidP="001B6469">
      <w:pPr>
        <w:pStyle w:val="p3"/>
        <w:tabs>
          <w:tab w:val="clear" w:pos="204"/>
          <w:tab w:val="left" w:pos="720"/>
        </w:tabs>
        <w:jc w:val="left"/>
        <w:rPr>
          <w:szCs w:val="26"/>
        </w:rPr>
      </w:pPr>
      <w:r w:rsidRPr="00122C64">
        <w:rPr>
          <w:szCs w:val="26"/>
        </w:rPr>
        <w:tab/>
        <w:t xml:space="preserve">The following sections describe </w:t>
      </w:r>
      <w:r w:rsidR="00D87D53">
        <w:rPr>
          <w:szCs w:val="26"/>
        </w:rPr>
        <w:t>changes</w:t>
      </w:r>
      <w:r w:rsidRPr="00122C64">
        <w:rPr>
          <w:szCs w:val="26"/>
        </w:rPr>
        <w:t xml:space="preserve"> to the C&amp;I measure protocols:</w:t>
      </w:r>
    </w:p>
    <w:p w:rsidR="00A3244B" w:rsidRDefault="00A3244B">
      <w:pPr>
        <w:overflowPunct/>
        <w:autoSpaceDE/>
        <w:autoSpaceDN/>
        <w:adjustRightInd/>
        <w:spacing w:line="240" w:lineRule="auto"/>
        <w:jc w:val="left"/>
        <w:rPr>
          <w:b/>
          <w:szCs w:val="26"/>
        </w:rPr>
      </w:pPr>
      <w:bookmarkStart w:id="139" w:name="_Toc394648208"/>
      <w:bookmarkStart w:id="140" w:name="_Toc396910625"/>
      <w:bookmarkStart w:id="141" w:name="_Toc405802408"/>
      <w:bookmarkStart w:id="142" w:name="_Toc405884736"/>
    </w:p>
    <w:p w:rsidR="00D05144" w:rsidRPr="0098410B" w:rsidRDefault="00D05144" w:rsidP="00BF52F3">
      <w:pPr>
        <w:pStyle w:val="Heading3"/>
        <w:numPr>
          <w:ilvl w:val="0"/>
          <w:numId w:val="0"/>
        </w:numPr>
        <w:ind w:left="720"/>
      </w:pPr>
      <w:r>
        <w:t>1.</w:t>
      </w:r>
      <w:r>
        <w:tab/>
      </w:r>
      <w:r w:rsidRPr="00122C64">
        <w:t>Section 3.1 – Lighting</w:t>
      </w:r>
      <w:bookmarkEnd w:id="139"/>
      <w:bookmarkEnd w:id="140"/>
      <w:r w:rsidR="00385A1B" w:rsidRPr="00BF52F3">
        <w:rPr>
          <w:rStyle w:val="FootnoteReference"/>
          <w:b w:val="0"/>
        </w:rPr>
        <w:footnoteReference w:id="137"/>
      </w:r>
      <w:bookmarkEnd w:id="141"/>
      <w:bookmarkEnd w:id="142"/>
      <w:r w:rsidRPr="00122C64">
        <w:tab/>
      </w:r>
      <w:r w:rsidRPr="00122C64">
        <w:br/>
      </w:r>
      <w:r w:rsidRPr="00122C64">
        <w:tab/>
      </w:r>
    </w:p>
    <w:p w:rsidR="00D05144" w:rsidRPr="0098410B" w:rsidRDefault="00BF52F3" w:rsidP="00A95717">
      <w:pPr>
        <w:pStyle w:val="Heading4"/>
      </w:pPr>
      <w:r>
        <w:rPr>
          <w:rStyle w:val="Heading4Char"/>
          <w:b/>
        </w:rPr>
        <w:t>a.</w:t>
      </w:r>
      <w:r w:rsidR="00543598">
        <w:rPr>
          <w:rStyle w:val="Heading4Char"/>
          <w:b/>
        </w:rPr>
        <w:tab/>
      </w:r>
      <w:r w:rsidR="00D05144">
        <w:rPr>
          <w:rStyle w:val="Heading4Char"/>
          <w:b/>
        </w:rPr>
        <w:t>Section 3.1.2 – New Construction Lighting: Hours of Use, Coincidence Factor and Savings Factor</w:t>
      </w:r>
    </w:p>
    <w:p w:rsidR="00D05144" w:rsidRPr="0098410B" w:rsidRDefault="00D05144" w:rsidP="001B6469">
      <w:pPr>
        <w:widowControl w:val="0"/>
        <w:tabs>
          <w:tab w:val="left" w:pos="204"/>
          <w:tab w:val="left" w:pos="720"/>
        </w:tabs>
        <w:overflowPunct/>
        <w:jc w:val="left"/>
        <w:rPr>
          <w:szCs w:val="26"/>
        </w:rPr>
      </w:pPr>
      <w:r w:rsidRPr="0098410B">
        <w:rPr>
          <w:szCs w:val="26"/>
        </w:rPr>
        <w:tab/>
      </w:r>
      <w:r w:rsidRPr="0098410B">
        <w:rPr>
          <w:szCs w:val="26"/>
        </w:rPr>
        <w:tab/>
      </w:r>
    </w:p>
    <w:p w:rsidR="00D05144" w:rsidRPr="0098410B" w:rsidRDefault="00D05144" w:rsidP="001B6469">
      <w:pPr>
        <w:widowControl w:val="0"/>
        <w:tabs>
          <w:tab w:val="left" w:pos="204"/>
          <w:tab w:val="left" w:pos="720"/>
        </w:tabs>
        <w:overflowPunct/>
        <w:jc w:val="left"/>
        <w:rPr>
          <w:szCs w:val="26"/>
        </w:rPr>
      </w:pPr>
      <w:r w:rsidRPr="0098410B">
        <w:rPr>
          <w:szCs w:val="26"/>
        </w:rPr>
        <w:tab/>
      </w:r>
      <w:r w:rsidRPr="0098410B">
        <w:rPr>
          <w:szCs w:val="26"/>
        </w:rPr>
        <w:tab/>
      </w:r>
      <w:r w:rsidR="00A33EDD">
        <w:rPr>
          <w:szCs w:val="26"/>
        </w:rPr>
        <w:t>In the Tentative Order, t</w:t>
      </w:r>
      <w:r w:rsidRPr="006256D1">
        <w:rPr>
          <w:szCs w:val="26"/>
        </w:rPr>
        <w:t>he Commission propose</w:t>
      </w:r>
      <w:r w:rsidR="009B0D21">
        <w:rPr>
          <w:szCs w:val="26"/>
        </w:rPr>
        <w:t>d</w:t>
      </w:r>
      <w:r w:rsidR="007B039A">
        <w:rPr>
          <w:szCs w:val="26"/>
        </w:rPr>
        <w:t xml:space="preserve"> the addition of </w:t>
      </w:r>
      <w:r w:rsidRPr="006256D1">
        <w:rPr>
          <w:szCs w:val="26"/>
        </w:rPr>
        <w:t>a separate HOU and CF table</w:t>
      </w:r>
      <w:r>
        <w:rPr>
          <w:szCs w:val="26"/>
        </w:rPr>
        <w:t>,</w:t>
      </w:r>
      <w:r w:rsidRPr="006256D1">
        <w:rPr>
          <w:szCs w:val="26"/>
        </w:rPr>
        <w:t xml:space="preserve"> and a Savings Factor (SVG) table for new construction lighting.</w:t>
      </w:r>
      <w:r>
        <w:rPr>
          <w:rStyle w:val="FootnoteReference"/>
          <w:szCs w:val="26"/>
        </w:rPr>
        <w:footnoteReference w:id="138"/>
      </w:r>
      <w:r w:rsidRPr="006256D1">
        <w:rPr>
          <w:szCs w:val="26"/>
        </w:rPr>
        <w:t xml:space="preserve"> </w:t>
      </w:r>
      <w:r w:rsidR="00BF52F3">
        <w:rPr>
          <w:szCs w:val="26"/>
        </w:rPr>
        <w:t xml:space="preserve"> </w:t>
      </w:r>
      <w:r w:rsidRPr="006256D1">
        <w:rPr>
          <w:szCs w:val="26"/>
        </w:rPr>
        <w:lastRenderedPageBreak/>
        <w:t>Because Table 3-9 of the 2014 TRM lists 24% as the SVG for both time clocks and occupancy sensors, the Commission recommend</w:t>
      </w:r>
      <w:r w:rsidR="007B039A">
        <w:rPr>
          <w:szCs w:val="26"/>
        </w:rPr>
        <w:t>ed</w:t>
      </w:r>
      <w:r w:rsidRPr="006256D1">
        <w:rPr>
          <w:szCs w:val="26"/>
        </w:rPr>
        <w:t xml:space="preserve"> applying an SVG factor of 24% to the current HOU table for spaces where ASHRAE 90.1-2007</w:t>
      </w:r>
      <w:r w:rsidRPr="006256D1">
        <w:rPr>
          <w:rStyle w:val="FootnoteReference"/>
          <w:szCs w:val="26"/>
        </w:rPr>
        <w:footnoteReference w:id="139"/>
      </w:r>
      <w:r w:rsidRPr="006256D1">
        <w:rPr>
          <w:szCs w:val="26"/>
        </w:rPr>
        <w:t xml:space="preserve"> requires the installation of lighting controls. </w:t>
      </w:r>
      <w:r w:rsidR="00BF52F3">
        <w:rPr>
          <w:szCs w:val="26"/>
        </w:rPr>
        <w:t xml:space="preserve"> </w:t>
      </w:r>
      <w:r w:rsidRPr="006256D1">
        <w:rPr>
          <w:szCs w:val="26"/>
        </w:rPr>
        <w:t xml:space="preserve">Similarly, the Commission </w:t>
      </w:r>
      <w:r w:rsidR="007B039A">
        <w:rPr>
          <w:szCs w:val="26"/>
        </w:rPr>
        <w:t>proposed</w:t>
      </w:r>
      <w:r w:rsidRPr="006256D1">
        <w:rPr>
          <w:szCs w:val="26"/>
        </w:rPr>
        <w:t xml:space="preserve"> modifications to the CF values from Table 3-6 that are used to calculate demand savings from new construction lighting.</w:t>
      </w:r>
      <w:r w:rsidRPr="0098410B">
        <w:rPr>
          <w:szCs w:val="26"/>
        </w:rPr>
        <w:t xml:space="preserve"> </w:t>
      </w:r>
    </w:p>
    <w:p w:rsidR="00BB450B" w:rsidRPr="0098410B" w:rsidRDefault="00BB450B" w:rsidP="001B6469">
      <w:pPr>
        <w:widowControl w:val="0"/>
        <w:tabs>
          <w:tab w:val="left" w:pos="204"/>
          <w:tab w:val="left" w:pos="720"/>
        </w:tabs>
        <w:overflowPunct/>
        <w:jc w:val="left"/>
        <w:rPr>
          <w:szCs w:val="26"/>
        </w:rPr>
      </w:pPr>
    </w:p>
    <w:p w:rsidR="00D05144" w:rsidRDefault="00D05144" w:rsidP="001B6469">
      <w:pPr>
        <w:widowControl w:val="0"/>
        <w:overflowPunct/>
        <w:jc w:val="left"/>
        <w:rPr>
          <w:szCs w:val="26"/>
        </w:rPr>
      </w:pPr>
      <w:r w:rsidRPr="0098410B">
        <w:rPr>
          <w:szCs w:val="26"/>
        </w:rPr>
        <w:tab/>
        <w:t>For additional controls above code (dimmers, wireless on-off switches, bi-level switches, etc.)</w:t>
      </w:r>
      <w:r>
        <w:rPr>
          <w:szCs w:val="26"/>
        </w:rPr>
        <w:t>,</w:t>
      </w:r>
      <w:r w:rsidRPr="0098410B">
        <w:rPr>
          <w:szCs w:val="26"/>
        </w:rPr>
        <w:t xml:space="preserve"> the Commission </w:t>
      </w:r>
      <w:r w:rsidR="007B039A">
        <w:rPr>
          <w:szCs w:val="26"/>
        </w:rPr>
        <w:t>proposed</w:t>
      </w:r>
      <w:r w:rsidRPr="0098410B">
        <w:rPr>
          <w:szCs w:val="26"/>
        </w:rPr>
        <w:t xml:space="preserve"> using the new construction SVG of 10% provided in Table G3.2 of the ASHRAE 90.1 standard.</w:t>
      </w:r>
      <w:r w:rsidR="00BF52F3">
        <w:rPr>
          <w:szCs w:val="26"/>
        </w:rPr>
        <w:t xml:space="preserve"> </w:t>
      </w:r>
      <w:r w:rsidRPr="0098410B">
        <w:rPr>
          <w:szCs w:val="26"/>
        </w:rPr>
        <w:t xml:space="preserve"> </w:t>
      </w:r>
      <w:r w:rsidR="007B039A">
        <w:rPr>
          <w:szCs w:val="26"/>
        </w:rPr>
        <w:t>The Commission suggested</w:t>
      </w:r>
      <w:r w:rsidRPr="0098410B">
        <w:rPr>
          <w:szCs w:val="26"/>
        </w:rPr>
        <w:t xml:space="preserve"> removing the SVG term from the algorithm used to calculate new construction demand savings because savings from incremental lighting controls are expected to produce savings primarily during off-peak hours. </w:t>
      </w:r>
      <w:r w:rsidR="00BF52F3">
        <w:rPr>
          <w:szCs w:val="26"/>
        </w:rPr>
        <w:t xml:space="preserve"> </w:t>
      </w:r>
      <w:r w:rsidRPr="0098410B">
        <w:rPr>
          <w:szCs w:val="26"/>
        </w:rPr>
        <w:t>The Commission also propose</w:t>
      </w:r>
      <w:r w:rsidR="007B039A">
        <w:rPr>
          <w:szCs w:val="26"/>
        </w:rPr>
        <w:t>d</w:t>
      </w:r>
      <w:r w:rsidRPr="0098410B">
        <w:rPr>
          <w:szCs w:val="26"/>
        </w:rPr>
        <w:t xml:space="preserve"> removing the distinction between projects with a change in connected load above and below 20 kW</w:t>
      </w:r>
      <w:r>
        <w:rPr>
          <w:szCs w:val="26"/>
        </w:rPr>
        <w:t>.</w:t>
      </w:r>
    </w:p>
    <w:p w:rsidR="007B039A" w:rsidRDefault="007B039A" w:rsidP="001B6469">
      <w:pPr>
        <w:widowControl w:val="0"/>
        <w:overflowPunct/>
        <w:jc w:val="left"/>
        <w:rPr>
          <w:szCs w:val="26"/>
        </w:rPr>
      </w:pPr>
    </w:p>
    <w:p w:rsidR="007B039A" w:rsidRDefault="007B039A" w:rsidP="001B6469">
      <w:pPr>
        <w:widowControl w:val="0"/>
        <w:overflowPunct/>
        <w:jc w:val="left"/>
        <w:rPr>
          <w:b/>
          <w:szCs w:val="26"/>
        </w:rPr>
      </w:pPr>
      <w:r>
        <w:rPr>
          <w:szCs w:val="26"/>
        </w:rPr>
        <w:tab/>
      </w:r>
      <w:r>
        <w:rPr>
          <w:szCs w:val="26"/>
        </w:rPr>
        <w:tab/>
      </w:r>
      <w:r>
        <w:rPr>
          <w:szCs w:val="26"/>
        </w:rPr>
        <w:tab/>
      </w:r>
      <w:r>
        <w:rPr>
          <w:b/>
          <w:szCs w:val="26"/>
        </w:rPr>
        <w:t>i.</w:t>
      </w:r>
      <w:r>
        <w:rPr>
          <w:b/>
          <w:szCs w:val="26"/>
        </w:rPr>
        <w:tab/>
        <w:t>Comments</w:t>
      </w:r>
    </w:p>
    <w:p w:rsidR="00660043" w:rsidRDefault="00660043" w:rsidP="001B6469">
      <w:pPr>
        <w:widowControl w:val="0"/>
        <w:overflowPunct/>
        <w:jc w:val="left"/>
        <w:rPr>
          <w:szCs w:val="26"/>
        </w:rPr>
      </w:pPr>
    </w:p>
    <w:p w:rsidR="00A33EDD" w:rsidRDefault="00A33EDD" w:rsidP="001B6469">
      <w:pPr>
        <w:widowControl w:val="0"/>
        <w:overflowPunct/>
        <w:ind w:firstLine="720"/>
        <w:jc w:val="left"/>
        <w:rPr>
          <w:szCs w:val="26"/>
        </w:rPr>
      </w:pPr>
      <w:r>
        <w:rPr>
          <w:szCs w:val="26"/>
        </w:rPr>
        <w:t xml:space="preserve">FirstEnergy recommends </w:t>
      </w:r>
      <w:r w:rsidR="00276B09">
        <w:rPr>
          <w:szCs w:val="26"/>
        </w:rPr>
        <w:t>allowing</w:t>
      </w:r>
      <w:r>
        <w:rPr>
          <w:szCs w:val="26"/>
        </w:rPr>
        <w:t xml:space="preserve"> other methods of calculating savings associated with controls in new construction buildings</w:t>
      </w:r>
      <w:r w:rsidR="00276B09">
        <w:rPr>
          <w:szCs w:val="26"/>
        </w:rPr>
        <w:t>,</w:t>
      </w:r>
      <w:r>
        <w:rPr>
          <w:szCs w:val="26"/>
        </w:rPr>
        <w:t xml:space="preserve"> </w:t>
      </w:r>
      <w:r w:rsidR="00276B09">
        <w:rPr>
          <w:szCs w:val="26"/>
        </w:rPr>
        <w:t>provided</w:t>
      </w:r>
      <w:r>
        <w:rPr>
          <w:szCs w:val="26"/>
        </w:rPr>
        <w:t xml:space="preserve"> the code r</w:t>
      </w:r>
      <w:r w:rsidR="00A7779E">
        <w:rPr>
          <w:szCs w:val="26"/>
        </w:rPr>
        <w:t xml:space="preserve">equirements are reflected in </w:t>
      </w:r>
      <w:r w:rsidR="00A7779E" w:rsidRPr="00A7779E">
        <w:rPr>
          <w:i/>
          <w:szCs w:val="26"/>
        </w:rPr>
        <w:t>ex-</w:t>
      </w:r>
      <w:r w:rsidRPr="00A7779E">
        <w:rPr>
          <w:i/>
          <w:szCs w:val="26"/>
        </w:rPr>
        <w:t>ante</w:t>
      </w:r>
      <w:r>
        <w:rPr>
          <w:szCs w:val="26"/>
        </w:rPr>
        <w:t xml:space="preserve"> calculations. </w:t>
      </w:r>
      <w:r w:rsidR="00A7779E">
        <w:rPr>
          <w:szCs w:val="26"/>
        </w:rPr>
        <w:t xml:space="preserve"> Additionally</w:t>
      </w:r>
      <w:r>
        <w:rPr>
          <w:szCs w:val="26"/>
        </w:rPr>
        <w:t xml:space="preserve">, FirstEnergy states that the 24% adjustment to reflect new building code requirements is too aggressive for entire buildings </w:t>
      </w:r>
      <w:r w:rsidR="00A7779E">
        <w:rPr>
          <w:szCs w:val="26"/>
        </w:rPr>
        <w:t>as</w:t>
      </w:r>
      <w:r>
        <w:rPr>
          <w:szCs w:val="26"/>
        </w:rPr>
        <w:t xml:space="preserve"> ASHRAE 90.1-2007 requires automatic lighting shutoff in three space types and excludes 24/7 spaces.</w:t>
      </w:r>
      <w:r>
        <w:rPr>
          <w:rStyle w:val="FootnoteReference"/>
          <w:szCs w:val="26"/>
        </w:rPr>
        <w:footnoteReference w:id="140"/>
      </w:r>
      <w:r w:rsidR="00A7779E">
        <w:rPr>
          <w:szCs w:val="26"/>
        </w:rPr>
        <w:t xml:space="preserve"> </w:t>
      </w:r>
      <w:r>
        <w:rPr>
          <w:szCs w:val="26"/>
        </w:rPr>
        <w:t xml:space="preserve"> D</w:t>
      </w:r>
      <w:r w:rsidRPr="00395B5E">
        <w:rPr>
          <w:szCs w:val="26"/>
        </w:rPr>
        <w:t>uquesne</w:t>
      </w:r>
      <w:r>
        <w:rPr>
          <w:szCs w:val="26"/>
        </w:rPr>
        <w:t xml:space="preserve"> also comments that the proposed methodology exceeds the applicable federal standard and recommends retaining the 2014 TRM approach to HOU and controls for new construction lighting.</w:t>
      </w:r>
      <w:r>
        <w:rPr>
          <w:rStyle w:val="FootnoteReference"/>
          <w:szCs w:val="26"/>
        </w:rPr>
        <w:footnoteReference w:id="141"/>
      </w:r>
      <w:r>
        <w:rPr>
          <w:szCs w:val="26"/>
        </w:rPr>
        <w:t xml:space="preserve"> </w:t>
      </w:r>
    </w:p>
    <w:p w:rsidR="00A33EDD" w:rsidRDefault="00A33EDD" w:rsidP="001B6469">
      <w:pPr>
        <w:widowControl w:val="0"/>
        <w:overflowPunct/>
        <w:jc w:val="left"/>
        <w:rPr>
          <w:szCs w:val="26"/>
        </w:rPr>
      </w:pPr>
      <w:r>
        <w:rPr>
          <w:szCs w:val="26"/>
        </w:rPr>
        <w:t xml:space="preserve"> </w:t>
      </w:r>
    </w:p>
    <w:p w:rsidR="00337857" w:rsidRDefault="00A33EDD" w:rsidP="001B6469">
      <w:pPr>
        <w:widowControl w:val="0"/>
        <w:overflowPunct/>
        <w:jc w:val="left"/>
        <w:rPr>
          <w:szCs w:val="26"/>
        </w:rPr>
      </w:pPr>
      <w:r>
        <w:rPr>
          <w:szCs w:val="26"/>
        </w:rPr>
        <w:lastRenderedPageBreak/>
        <w:tab/>
        <w:t>PECO states that</w:t>
      </w:r>
      <w:r w:rsidR="00A7779E">
        <w:rPr>
          <w:szCs w:val="26"/>
        </w:rPr>
        <w:t>,</w:t>
      </w:r>
      <w:r>
        <w:rPr>
          <w:szCs w:val="26"/>
        </w:rPr>
        <w:t xml:space="preserve"> by adjusting the HOU by 24% and reducing the savings factors for all control types by 24%, the savings are underestimated.</w:t>
      </w:r>
      <w:r w:rsidR="00A7779E">
        <w:rPr>
          <w:szCs w:val="26"/>
        </w:rPr>
        <w:t xml:space="preserve"> </w:t>
      </w:r>
      <w:r>
        <w:rPr>
          <w:szCs w:val="26"/>
        </w:rPr>
        <w:t xml:space="preserve"> PECO recommends leaving the HOU unadjusted and instead modify the savings algorithms to include a base case SVG of 24%.</w:t>
      </w:r>
      <w:r>
        <w:rPr>
          <w:rStyle w:val="FootnoteReference"/>
          <w:szCs w:val="26"/>
        </w:rPr>
        <w:footnoteReference w:id="142"/>
      </w:r>
      <w:r>
        <w:rPr>
          <w:szCs w:val="26"/>
        </w:rPr>
        <w:t xml:space="preserve"> </w:t>
      </w:r>
    </w:p>
    <w:p w:rsidR="00BB450B" w:rsidRDefault="00BB450B" w:rsidP="001B6469">
      <w:pPr>
        <w:widowControl w:val="0"/>
        <w:overflowPunct/>
        <w:jc w:val="left"/>
        <w:rPr>
          <w:szCs w:val="26"/>
        </w:rPr>
      </w:pPr>
    </w:p>
    <w:p w:rsidR="007B039A" w:rsidRPr="00B3731D" w:rsidRDefault="007B039A" w:rsidP="001B6469">
      <w:pPr>
        <w:widowControl w:val="0"/>
        <w:overflowPunct/>
        <w:jc w:val="left"/>
        <w:rPr>
          <w:szCs w:val="26"/>
        </w:rPr>
      </w:pPr>
      <w:r>
        <w:rPr>
          <w:szCs w:val="26"/>
        </w:rPr>
        <w:tab/>
      </w:r>
      <w:r>
        <w:rPr>
          <w:szCs w:val="26"/>
        </w:rPr>
        <w:tab/>
      </w:r>
      <w:r>
        <w:rPr>
          <w:szCs w:val="26"/>
        </w:rPr>
        <w:tab/>
      </w:r>
      <w:r w:rsidRPr="00B3731D">
        <w:rPr>
          <w:b/>
          <w:szCs w:val="26"/>
        </w:rPr>
        <w:t>ii.</w:t>
      </w:r>
      <w:r w:rsidRPr="00B3731D">
        <w:rPr>
          <w:b/>
          <w:szCs w:val="26"/>
        </w:rPr>
        <w:tab/>
        <w:t>Disposition</w:t>
      </w:r>
    </w:p>
    <w:p w:rsidR="007B039A" w:rsidRPr="00B3731D" w:rsidRDefault="007B039A" w:rsidP="001B6469">
      <w:pPr>
        <w:widowControl w:val="0"/>
        <w:overflowPunct/>
        <w:jc w:val="left"/>
        <w:rPr>
          <w:szCs w:val="26"/>
        </w:rPr>
      </w:pPr>
    </w:p>
    <w:p w:rsidR="00337857" w:rsidRDefault="001262EE" w:rsidP="001B6469">
      <w:pPr>
        <w:widowControl w:val="0"/>
        <w:overflowPunct/>
        <w:jc w:val="left"/>
        <w:rPr>
          <w:szCs w:val="26"/>
        </w:rPr>
      </w:pPr>
      <w:r w:rsidRPr="00B3731D">
        <w:rPr>
          <w:szCs w:val="26"/>
        </w:rPr>
        <w:tab/>
      </w:r>
      <w:r w:rsidR="0062772C" w:rsidRPr="00B3731D">
        <w:rPr>
          <w:szCs w:val="26"/>
        </w:rPr>
        <w:t>The Commission recognizes the feedback provided by FirstEnergy, Duquesne and PECO and agrees that the use of the 24% adjustment for all room types may not be appropriate.  We believe this issue requires further research.  Therefore, we direct the SWE to perform further review of the ASHRAE standard; any other applicable codes, standards, TRMs, etc.; and any Pennsylvania-specific metering studies and provide recommendations to the Commission for the 2016 TRM update.  The 2015 TRM has been updated to reflect the values utilized in the 2014 TRM.</w:t>
      </w:r>
    </w:p>
    <w:p w:rsidR="00A3244B" w:rsidRPr="0098410B" w:rsidRDefault="00A3244B" w:rsidP="001B6469">
      <w:pPr>
        <w:widowControl w:val="0"/>
        <w:tabs>
          <w:tab w:val="left" w:pos="204"/>
          <w:tab w:val="left" w:pos="720"/>
        </w:tabs>
        <w:overflowPunct/>
        <w:jc w:val="left"/>
        <w:rPr>
          <w:szCs w:val="26"/>
        </w:rPr>
      </w:pPr>
    </w:p>
    <w:p w:rsidR="00D05144" w:rsidRPr="0098410B" w:rsidRDefault="0074147A" w:rsidP="00A95717">
      <w:pPr>
        <w:pStyle w:val="Heading4"/>
      </w:pPr>
      <w:r>
        <w:t>b.</w:t>
      </w:r>
      <w:r w:rsidR="00543598">
        <w:tab/>
      </w:r>
      <w:r w:rsidR="00D05144" w:rsidRPr="0098410B">
        <w:t>Source Updates</w:t>
      </w:r>
      <w:r w:rsidR="00D05144" w:rsidRPr="0098410B">
        <w:br/>
      </w:r>
    </w:p>
    <w:p w:rsidR="00D05144" w:rsidRDefault="00D05144" w:rsidP="001B6469">
      <w:pPr>
        <w:widowControl w:val="0"/>
        <w:tabs>
          <w:tab w:val="left" w:pos="204"/>
          <w:tab w:val="left" w:pos="720"/>
        </w:tabs>
        <w:overflowPunct/>
        <w:jc w:val="left"/>
        <w:rPr>
          <w:szCs w:val="26"/>
        </w:rPr>
      </w:pPr>
      <w:r w:rsidRPr="0098410B">
        <w:rPr>
          <w:szCs w:val="26"/>
        </w:rPr>
        <w:tab/>
      </w:r>
      <w:r w:rsidRPr="0098410B">
        <w:rPr>
          <w:szCs w:val="26"/>
        </w:rPr>
        <w:tab/>
      </w:r>
      <w:r w:rsidR="00A33EDD">
        <w:rPr>
          <w:szCs w:val="26"/>
        </w:rPr>
        <w:t>In the Tentative Order, t</w:t>
      </w:r>
      <w:r w:rsidRPr="0098410B">
        <w:rPr>
          <w:szCs w:val="26"/>
        </w:rPr>
        <w:t>he Commission propose</w:t>
      </w:r>
      <w:r w:rsidR="007B039A">
        <w:rPr>
          <w:szCs w:val="26"/>
        </w:rPr>
        <w:t>d</w:t>
      </w:r>
      <w:r w:rsidRPr="0098410B">
        <w:rPr>
          <w:szCs w:val="26"/>
        </w:rPr>
        <w:t xml:space="preserve"> using the </w:t>
      </w:r>
      <w:r>
        <w:rPr>
          <w:szCs w:val="26"/>
        </w:rPr>
        <w:t>Measure Life Study</w:t>
      </w:r>
      <w:r w:rsidRPr="0098410B">
        <w:rPr>
          <w:szCs w:val="26"/>
          <w:vertAlign w:val="superscript"/>
        </w:rPr>
        <w:footnoteReference w:id="143"/>
      </w:r>
      <w:r w:rsidRPr="0098410B">
        <w:rPr>
          <w:szCs w:val="26"/>
        </w:rPr>
        <w:t xml:space="preserve"> as the source for </w:t>
      </w:r>
      <w:r>
        <w:rPr>
          <w:szCs w:val="26"/>
        </w:rPr>
        <w:t>a measure life of 13 years for</w:t>
      </w:r>
      <w:r w:rsidRPr="0098410B">
        <w:rPr>
          <w:szCs w:val="26"/>
        </w:rPr>
        <w:t xml:space="preserve"> lighting fixture improvement</w:t>
      </w:r>
      <w:r>
        <w:rPr>
          <w:szCs w:val="26"/>
        </w:rPr>
        <w:t>s</w:t>
      </w:r>
      <w:r w:rsidRPr="0098410B">
        <w:rPr>
          <w:szCs w:val="26"/>
        </w:rPr>
        <w:t xml:space="preserve"> and </w:t>
      </w:r>
      <w:r>
        <w:rPr>
          <w:szCs w:val="26"/>
        </w:rPr>
        <w:t xml:space="preserve">a measure life of 15 years for </w:t>
      </w:r>
      <w:r w:rsidRPr="0098410B">
        <w:rPr>
          <w:szCs w:val="26"/>
        </w:rPr>
        <w:t xml:space="preserve">new construction measures. </w:t>
      </w:r>
      <w:r w:rsidR="007B49D5">
        <w:rPr>
          <w:szCs w:val="26"/>
        </w:rPr>
        <w:t xml:space="preserve"> </w:t>
      </w:r>
      <w:r w:rsidRPr="0098410B">
        <w:rPr>
          <w:szCs w:val="26"/>
        </w:rPr>
        <w:t>The Com</w:t>
      </w:r>
      <w:r>
        <w:rPr>
          <w:szCs w:val="26"/>
        </w:rPr>
        <w:t>mission also suggest</w:t>
      </w:r>
      <w:r w:rsidR="007B039A">
        <w:rPr>
          <w:szCs w:val="26"/>
        </w:rPr>
        <w:t>ed</w:t>
      </w:r>
      <w:r>
        <w:rPr>
          <w:szCs w:val="26"/>
        </w:rPr>
        <w:t xml:space="preserve"> using GDS’s Measure Life Report</w:t>
      </w:r>
      <w:r w:rsidRPr="0098410B">
        <w:rPr>
          <w:szCs w:val="26"/>
          <w:vertAlign w:val="superscript"/>
        </w:rPr>
        <w:footnoteReference w:id="144"/>
      </w:r>
      <w:r w:rsidRPr="0098410B">
        <w:rPr>
          <w:szCs w:val="26"/>
        </w:rPr>
        <w:t xml:space="preserve"> as the source for </w:t>
      </w:r>
      <w:r>
        <w:rPr>
          <w:szCs w:val="26"/>
        </w:rPr>
        <w:t>a</w:t>
      </w:r>
      <w:r w:rsidRPr="0098410B">
        <w:rPr>
          <w:szCs w:val="26"/>
        </w:rPr>
        <w:t xml:space="preserve"> measure life of </w:t>
      </w:r>
      <w:r>
        <w:rPr>
          <w:szCs w:val="26"/>
        </w:rPr>
        <w:t xml:space="preserve">ten years for </w:t>
      </w:r>
      <w:r w:rsidRPr="0098410B">
        <w:rPr>
          <w:szCs w:val="26"/>
        </w:rPr>
        <w:t xml:space="preserve">traffic lights. </w:t>
      </w:r>
      <w:r w:rsidR="007B49D5">
        <w:rPr>
          <w:szCs w:val="26"/>
        </w:rPr>
        <w:t xml:space="preserve"> </w:t>
      </w:r>
      <w:r w:rsidRPr="0098410B">
        <w:rPr>
          <w:szCs w:val="26"/>
        </w:rPr>
        <w:t>Finally, the Commiss</w:t>
      </w:r>
      <w:r>
        <w:rPr>
          <w:szCs w:val="26"/>
        </w:rPr>
        <w:t>ion propose</w:t>
      </w:r>
      <w:r w:rsidR="007B039A">
        <w:rPr>
          <w:szCs w:val="26"/>
        </w:rPr>
        <w:t>d</w:t>
      </w:r>
      <w:r>
        <w:rPr>
          <w:szCs w:val="26"/>
        </w:rPr>
        <w:t xml:space="preserve"> using DEER 2008’s </w:t>
      </w:r>
      <w:r w:rsidRPr="0098410B">
        <w:rPr>
          <w:szCs w:val="26"/>
        </w:rPr>
        <w:t xml:space="preserve">Effective Useful </w:t>
      </w:r>
      <w:r w:rsidRPr="0098410B">
        <w:rPr>
          <w:szCs w:val="26"/>
        </w:rPr>
        <w:lastRenderedPageBreak/>
        <w:t>Life</w:t>
      </w:r>
      <w:r>
        <w:rPr>
          <w:rStyle w:val="FootnoteReference"/>
          <w:szCs w:val="26"/>
        </w:rPr>
        <w:footnoteReference w:id="145"/>
      </w:r>
      <w:r w:rsidRPr="0098410B">
        <w:rPr>
          <w:szCs w:val="26"/>
        </w:rPr>
        <w:t xml:space="preserve"> as a source for </w:t>
      </w:r>
      <w:r>
        <w:rPr>
          <w:szCs w:val="26"/>
        </w:rPr>
        <w:t>a</w:t>
      </w:r>
      <w:r w:rsidRPr="0098410B">
        <w:rPr>
          <w:szCs w:val="26"/>
        </w:rPr>
        <w:t xml:space="preserve"> measure life</w:t>
      </w:r>
      <w:r>
        <w:rPr>
          <w:szCs w:val="26"/>
        </w:rPr>
        <w:t xml:space="preserve"> of eight years</w:t>
      </w:r>
      <w:r w:rsidRPr="0098410B">
        <w:rPr>
          <w:szCs w:val="26"/>
        </w:rPr>
        <w:t xml:space="preserve"> for lighting controls and </w:t>
      </w:r>
      <w:r>
        <w:rPr>
          <w:szCs w:val="26"/>
        </w:rPr>
        <w:t xml:space="preserve">a measure life of 16 years for </w:t>
      </w:r>
      <w:r w:rsidRPr="0098410B">
        <w:rPr>
          <w:szCs w:val="26"/>
        </w:rPr>
        <w:t>LED exit signs.</w:t>
      </w:r>
    </w:p>
    <w:p w:rsidR="00BB450B" w:rsidRDefault="00BB450B" w:rsidP="001B6469">
      <w:pPr>
        <w:widowControl w:val="0"/>
        <w:tabs>
          <w:tab w:val="left" w:pos="204"/>
          <w:tab w:val="left" w:pos="720"/>
        </w:tabs>
        <w:overflowPunct/>
        <w:jc w:val="left"/>
        <w:rPr>
          <w:szCs w:val="26"/>
        </w:rPr>
      </w:pPr>
    </w:p>
    <w:p w:rsidR="007B039A" w:rsidRDefault="007B039A" w:rsidP="001B6469">
      <w:pPr>
        <w:widowControl w:val="0"/>
        <w:tabs>
          <w:tab w:val="left" w:pos="204"/>
          <w:tab w:val="left" w:pos="720"/>
        </w:tabs>
        <w:overflowPunct/>
        <w:jc w:val="left"/>
        <w:rPr>
          <w:szCs w:val="26"/>
        </w:rPr>
      </w:pPr>
      <w:r>
        <w:rPr>
          <w:szCs w:val="26"/>
        </w:rPr>
        <w:tab/>
      </w:r>
      <w:r>
        <w:rPr>
          <w:szCs w:val="26"/>
        </w:rPr>
        <w:tab/>
      </w:r>
      <w:r>
        <w:rPr>
          <w:szCs w:val="26"/>
        </w:rPr>
        <w:tab/>
      </w:r>
      <w:r>
        <w:rPr>
          <w:szCs w:val="26"/>
        </w:rPr>
        <w:tab/>
      </w:r>
      <w:r>
        <w:rPr>
          <w:b/>
          <w:szCs w:val="26"/>
        </w:rPr>
        <w:t>i.</w:t>
      </w:r>
      <w:r>
        <w:rPr>
          <w:b/>
          <w:szCs w:val="26"/>
        </w:rPr>
        <w:tab/>
        <w:t>Comments</w:t>
      </w:r>
    </w:p>
    <w:p w:rsidR="007B039A" w:rsidRDefault="007B039A" w:rsidP="001B6469">
      <w:pPr>
        <w:widowControl w:val="0"/>
        <w:tabs>
          <w:tab w:val="left" w:pos="204"/>
          <w:tab w:val="left" w:pos="720"/>
        </w:tabs>
        <w:overflowPunct/>
        <w:jc w:val="left"/>
        <w:rPr>
          <w:szCs w:val="26"/>
        </w:rPr>
      </w:pPr>
    </w:p>
    <w:p w:rsidR="007B039A" w:rsidRDefault="00A33EDD" w:rsidP="001B6469">
      <w:pPr>
        <w:widowControl w:val="0"/>
        <w:tabs>
          <w:tab w:val="left" w:pos="204"/>
          <w:tab w:val="left" w:pos="720"/>
        </w:tabs>
        <w:overflowPunct/>
        <w:jc w:val="left"/>
        <w:rPr>
          <w:szCs w:val="26"/>
        </w:rPr>
      </w:pPr>
      <w:r>
        <w:rPr>
          <w:szCs w:val="26"/>
        </w:rPr>
        <w:tab/>
      </w:r>
      <w:r>
        <w:rPr>
          <w:szCs w:val="26"/>
        </w:rPr>
        <w:tab/>
        <w:t xml:space="preserve">Duquesne notes that the basis of distinction between the measure life of 13 years for retrofit lighting and 15 years for new construction is unclear. </w:t>
      </w:r>
      <w:r w:rsidR="007B49D5">
        <w:rPr>
          <w:szCs w:val="26"/>
        </w:rPr>
        <w:t xml:space="preserve"> </w:t>
      </w:r>
      <w:r>
        <w:rPr>
          <w:szCs w:val="26"/>
        </w:rPr>
        <w:t xml:space="preserve">If there is a distinction, </w:t>
      </w:r>
      <w:r w:rsidR="007B49D5">
        <w:rPr>
          <w:szCs w:val="26"/>
        </w:rPr>
        <w:t xml:space="preserve">Duquesne avers that </w:t>
      </w:r>
      <w:r>
        <w:rPr>
          <w:szCs w:val="26"/>
        </w:rPr>
        <w:t xml:space="preserve">it would likely not account for the market and customer implications of assigning different measure lives to otherwise identical installations. </w:t>
      </w:r>
      <w:r w:rsidR="007B49D5">
        <w:rPr>
          <w:szCs w:val="26"/>
        </w:rPr>
        <w:t xml:space="preserve"> </w:t>
      </w:r>
      <w:r>
        <w:rPr>
          <w:szCs w:val="26"/>
        </w:rPr>
        <w:t>Duquesne states that</w:t>
      </w:r>
      <w:r w:rsidR="007B49D5">
        <w:rPr>
          <w:szCs w:val="26"/>
        </w:rPr>
        <w:t>,</w:t>
      </w:r>
      <w:r>
        <w:rPr>
          <w:szCs w:val="26"/>
        </w:rPr>
        <w:t xml:space="preserve"> from a customer’s perspective, differing measure lives may be confusing and perhaps frustrating.</w:t>
      </w:r>
      <w:r w:rsidR="007B49D5">
        <w:rPr>
          <w:szCs w:val="26"/>
        </w:rPr>
        <w:t xml:space="preserve"> </w:t>
      </w:r>
      <w:r>
        <w:rPr>
          <w:szCs w:val="26"/>
        </w:rPr>
        <w:t xml:space="preserve"> In addition, Duquesne </w:t>
      </w:r>
      <w:r w:rsidR="007B49D5">
        <w:rPr>
          <w:szCs w:val="26"/>
        </w:rPr>
        <w:t xml:space="preserve">opines that it </w:t>
      </w:r>
      <w:r>
        <w:rPr>
          <w:szCs w:val="26"/>
        </w:rPr>
        <w:t>would have to make an extensive tracking system mod</w:t>
      </w:r>
      <w:r w:rsidR="007B49D5">
        <w:rPr>
          <w:szCs w:val="26"/>
        </w:rPr>
        <w:t>ification to account for the two-</w:t>
      </w:r>
      <w:r>
        <w:rPr>
          <w:szCs w:val="26"/>
        </w:rPr>
        <w:t xml:space="preserve">year measure life difference. </w:t>
      </w:r>
      <w:r w:rsidR="007B49D5">
        <w:rPr>
          <w:szCs w:val="26"/>
        </w:rPr>
        <w:t xml:space="preserve"> </w:t>
      </w:r>
      <w:r w:rsidRPr="00171FB3">
        <w:rPr>
          <w:szCs w:val="26"/>
        </w:rPr>
        <w:t>Therefore, Duquesne recommends using a consistent 15</w:t>
      </w:r>
      <w:r w:rsidR="007B49D5">
        <w:rPr>
          <w:szCs w:val="26"/>
        </w:rPr>
        <w:t>-</w:t>
      </w:r>
      <w:r w:rsidRPr="00171FB3">
        <w:rPr>
          <w:szCs w:val="26"/>
        </w:rPr>
        <w:t>year measure life for commercial and</w:t>
      </w:r>
      <w:r w:rsidR="003862D9">
        <w:rPr>
          <w:szCs w:val="26"/>
        </w:rPr>
        <w:t xml:space="preserve"> industrial</w:t>
      </w:r>
      <w:r w:rsidRPr="00171FB3">
        <w:rPr>
          <w:szCs w:val="26"/>
        </w:rPr>
        <w:t xml:space="preserve"> lighting.</w:t>
      </w:r>
      <w:r>
        <w:rPr>
          <w:rStyle w:val="FootnoteReference"/>
          <w:szCs w:val="26"/>
        </w:rPr>
        <w:footnoteReference w:id="146"/>
      </w:r>
    </w:p>
    <w:p w:rsidR="00D87D53" w:rsidRDefault="00D87D53" w:rsidP="001B6469">
      <w:pPr>
        <w:widowControl w:val="0"/>
        <w:tabs>
          <w:tab w:val="left" w:pos="204"/>
          <w:tab w:val="left" w:pos="720"/>
        </w:tabs>
        <w:overflowPunct/>
        <w:jc w:val="left"/>
        <w:rPr>
          <w:szCs w:val="26"/>
        </w:rPr>
      </w:pPr>
    </w:p>
    <w:p w:rsidR="007B039A" w:rsidRDefault="007B039A" w:rsidP="001B6469">
      <w:pPr>
        <w:widowControl w:val="0"/>
        <w:tabs>
          <w:tab w:val="left" w:pos="204"/>
          <w:tab w:val="left" w:pos="720"/>
        </w:tabs>
        <w:overflowPunct/>
        <w:jc w:val="left"/>
        <w:rPr>
          <w:szCs w:val="26"/>
        </w:rPr>
      </w:pPr>
      <w:r>
        <w:rPr>
          <w:szCs w:val="26"/>
        </w:rPr>
        <w:tab/>
      </w:r>
      <w:r>
        <w:rPr>
          <w:szCs w:val="26"/>
        </w:rPr>
        <w:tab/>
      </w:r>
      <w:r>
        <w:rPr>
          <w:szCs w:val="26"/>
        </w:rPr>
        <w:tab/>
      </w:r>
      <w:r>
        <w:rPr>
          <w:szCs w:val="26"/>
        </w:rPr>
        <w:tab/>
      </w:r>
      <w:r>
        <w:rPr>
          <w:b/>
          <w:szCs w:val="26"/>
        </w:rPr>
        <w:t>ii.</w:t>
      </w:r>
      <w:r>
        <w:rPr>
          <w:b/>
          <w:szCs w:val="26"/>
        </w:rPr>
        <w:tab/>
        <w:t>Disposition</w:t>
      </w:r>
    </w:p>
    <w:p w:rsidR="007B039A" w:rsidRDefault="007B039A" w:rsidP="001B6469">
      <w:pPr>
        <w:widowControl w:val="0"/>
        <w:tabs>
          <w:tab w:val="left" w:pos="204"/>
          <w:tab w:val="left" w:pos="720"/>
        </w:tabs>
        <w:overflowPunct/>
        <w:jc w:val="left"/>
        <w:rPr>
          <w:szCs w:val="26"/>
        </w:rPr>
      </w:pPr>
    </w:p>
    <w:p w:rsidR="00A33EDD" w:rsidRDefault="00A33EDD" w:rsidP="001B6469">
      <w:pPr>
        <w:widowControl w:val="0"/>
        <w:tabs>
          <w:tab w:val="left" w:pos="204"/>
          <w:tab w:val="left" w:pos="720"/>
        </w:tabs>
        <w:overflowPunct/>
        <w:jc w:val="left"/>
        <w:rPr>
          <w:szCs w:val="26"/>
        </w:rPr>
      </w:pPr>
      <w:r>
        <w:rPr>
          <w:szCs w:val="26"/>
        </w:rPr>
        <w:tab/>
      </w:r>
      <w:r>
        <w:rPr>
          <w:szCs w:val="26"/>
        </w:rPr>
        <w:tab/>
        <w:t xml:space="preserve">The Commission rejects Duquesne’s </w:t>
      </w:r>
      <w:r w:rsidR="008950D2">
        <w:rPr>
          <w:szCs w:val="26"/>
        </w:rPr>
        <w:t>recommendation</w:t>
      </w:r>
      <w:r>
        <w:rPr>
          <w:szCs w:val="26"/>
        </w:rPr>
        <w:t xml:space="preserve"> to use a measure life of 15 years for all commercial and industrial lighting protocols.</w:t>
      </w:r>
      <w:r w:rsidR="00E75B52">
        <w:rPr>
          <w:szCs w:val="26"/>
        </w:rPr>
        <w:t xml:space="preserve"> </w:t>
      </w:r>
      <w:r w:rsidR="007B49D5">
        <w:rPr>
          <w:szCs w:val="26"/>
        </w:rPr>
        <w:t xml:space="preserve"> </w:t>
      </w:r>
      <w:r w:rsidR="00E52F2F">
        <w:rPr>
          <w:szCs w:val="26"/>
        </w:rPr>
        <w:t>These values</w:t>
      </w:r>
      <w:r w:rsidR="007B49D5">
        <w:rPr>
          <w:szCs w:val="26"/>
        </w:rPr>
        <w:t xml:space="preserve"> proposed by the Commission </w:t>
      </w:r>
      <w:r w:rsidR="00E52F2F">
        <w:rPr>
          <w:szCs w:val="26"/>
        </w:rPr>
        <w:t xml:space="preserve">are widely accepted in other </w:t>
      </w:r>
      <w:r w:rsidR="007B49D5">
        <w:rPr>
          <w:szCs w:val="26"/>
        </w:rPr>
        <w:t>jurisdictions,</w:t>
      </w:r>
      <w:r w:rsidR="00E52F2F">
        <w:rPr>
          <w:szCs w:val="26"/>
        </w:rPr>
        <w:t xml:space="preserve"> such as Massachusetts, Rhode Island, </w:t>
      </w:r>
      <w:r w:rsidR="00F937AE">
        <w:rPr>
          <w:szCs w:val="26"/>
        </w:rPr>
        <w:t xml:space="preserve">and Connecticut. </w:t>
      </w:r>
      <w:r w:rsidR="007B49D5">
        <w:rPr>
          <w:szCs w:val="26"/>
        </w:rPr>
        <w:t xml:space="preserve"> </w:t>
      </w:r>
      <w:r w:rsidR="008950D2">
        <w:rPr>
          <w:szCs w:val="26"/>
        </w:rPr>
        <w:t xml:space="preserve">Therefore the Commission adopts the proposed measure lives for the 2015 TRM. </w:t>
      </w:r>
    </w:p>
    <w:p w:rsidR="00660043" w:rsidRDefault="00660043" w:rsidP="001B6469">
      <w:pPr>
        <w:widowControl w:val="0"/>
        <w:tabs>
          <w:tab w:val="left" w:pos="204"/>
          <w:tab w:val="left" w:pos="720"/>
        </w:tabs>
        <w:overflowPunct/>
        <w:jc w:val="left"/>
        <w:rPr>
          <w:szCs w:val="26"/>
        </w:rPr>
      </w:pPr>
    </w:p>
    <w:p w:rsidR="00D87D53" w:rsidRDefault="00D87D53">
      <w:pPr>
        <w:overflowPunct/>
        <w:autoSpaceDE/>
        <w:autoSpaceDN/>
        <w:adjustRightInd/>
        <w:spacing w:line="240" w:lineRule="auto"/>
        <w:jc w:val="left"/>
        <w:rPr>
          <w:b/>
          <w:szCs w:val="26"/>
        </w:rPr>
      </w:pPr>
      <w:r>
        <w:br w:type="page"/>
      </w:r>
    </w:p>
    <w:p w:rsidR="00A33EDD" w:rsidRDefault="0074147A" w:rsidP="00A95717">
      <w:pPr>
        <w:pStyle w:val="Heading4"/>
      </w:pPr>
      <w:r>
        <w:lastRenderedPageBreak/>
        <w:t>c</w:t>
      </w:r>
      <w:r w:rsidR="00543598">
        <w:t>.</w:t>
      </w:r>
      <w:r w:rsidR="00543598">
        <w:tab/>
      </w:r>
      <w:r w:rsidR="00A33EDD">
        <w:t xml:space="preserve">Lighting HOU and CF </w:t>
      </w:r>
    </w:p>
    <w:p w:rsidR="00A33EDD" w:rsidRDefault="00A33EDD" w:rsidP="001B6469">
      <w:pPr>
        <w:widowControl w:val="0"/>
        <w:tabs>
          <w:tab w:val="left" w:pos="204"/>
          <w:tab w:val="left" w:pos="720"/>
        </w:tabs>
        <w:overflowPunct/>
        <w:jc w:val="left"/>
        <w:rPr>
          <w:szCs w:val="26"/>
        </w:rPr>
      </w:pPr>
    </w:p>
    <w:p w:rsidR="00A33EDD" w:rsidRDefault="00A33EDD" w:rsidP="001B6469">
      <w:pPr>
        <w:widowControl w:val="0"/>
        <w:tabs>
          <w:tab w:val="left" w:pos="204"/>
          <w:tab w:val="left" w:pos="720"/>
        </w:tabs>
        <w:overflowPunct/>
        <w:jc w:val="left"/>
        <w:rPr>
          <w:szCs w:val="26"/>
        </w:rPr>
      </w:pPr>
      <w:r>
        <w:rPr>
          <w:szCs w:val="26"/>
        </w:rPr>
        <w:tab/>
      </w:r>
      <w:r>
        <w:rPr>
          <w:szCs w:val="26"/>
        </w:rPr>
        <w:tab/>
        <w:t xml:space="preserve">The </w:t>
      </w:r>
      <w:r w:rsidR="008A151D">
        <w:rPr>
          <w:szCs w:val="26"/>
        </w:rPr>
        <w:t>Commission did not propose changes to the</w:t>
      </w:r>
      <w:r>
        <w:rPr>
          <w:szCs w:val="26"/>
        </w:rPr>
        <w:t xml:space="preserve"> lighting HOU and CF for the lighting fixture improvements and new construction lighting protocol. </w:t>
      </w:r>
      <w:r w:rsidR="007B49D5">
        <w:rPr>
          <w:szCs w:val="26"/>
        </w:rPr>
        <w:t xml:space="preserve"> </w:t>
      </w:r>
      <w:r>
        <w:rPr>
          <w:szCs w:val="26"/>
        </w:rPr>
        <w:t xml:space="preserve">However, comments were received and are addressed below. </w:t>
      </w:r>
    </w:p>
    <w:p w:rsidR="00A33EDD" w:rsidRPr="00A33EDD" w:rsidRDefault="00A33EDD" w:rsidP="001B6469">
      <w:pPr>
        <w:pStyle w:val="BodyTextIndent3"/>
        <w:jc w:val="left"/>
      </w:pPr>
    </w:p>
    <w:p w:rsidR="00A33EDD" w:rsidRDefault="00A33EDD" w:rsidP="001B6469">
      <w:pPr>
        <w:widowControl w:val="0"/>
        <w:tabs>
          <w:tab w:val="left" w:pos="-3060"/>
        </w:tabs>
        <w:overflowPunct/>
        <w:jc w:val="left"/>
        <w:rPr>
          <w:szCs w:val="26"/>
        </w:rPr>
      </w:pPr>
      <w:r>
        <w:rPr>
          <w:szCs w:val="26"/>
        </w:rPr>
        <w:tab/>
      </w:r>
      <w:r>
        <w:rPr>
          <w:szCs w:val="26"/>
        </w:rPr>
        <w:tab/>
      </w:r>
      <w:r>
        <w:rPr>
          <w:szCs w:val="26"/>
        </w:rPr>
        <w:tab/>
      </w:r>
      <w:r>
        <w:rPr>
          <w:b/>
          <w:szCs w:val="26"/>
        </w:rPr>
        <w:t>i.</w:t>
      </w:r>
      <w:r>
        <w:rPr>
          <w:b/>
          <w:szCs w:val="26"/>
        </w:rPr>
        <w:tab/>
        <w:t>Comments</w:t>
      </w:r>
    </w:p>
    <w:p w:rsidR="00A33EDD" w:rsidRDefault="00A33EDD" w:rsidP="001B6469">
      <w:pPr>
        <w:widowControl w:val="0"/>
        <w:tabs>
          <w:tab w:val="left" w:pos="-3060"/>
        </w:tabs>
        <w:overflowPunct/>
        <w:jc w:val="left"/>
        <w:rPr>
          <w:szCs w:val="26"/>
        </w:rPr>
      </w:pPr>
      <w:r>
        <w:rPr>
          <w:szCs w:val="26"/>
        </w:rPr>
        <w:tab/>
      </w:r>
    </w:p>
    <w:p w:rsidR="00A33EDD" w:rsidRDefault="00A33EDD" w:rsidP="006D7511">
      <w:pPr>
        <w:widowControl w:val="0"/>
        <w:tabs>
          <w:tab w:val="left" w:pos="-3060"/>
        </w:tabs>
        <w:overflowPunct/>
        <w:jc w:val="left"/>
        <w:rPr>
          <w:szCs w:val="26"/>
        </w:rPr>
      </w:pPr>
      <w:r>
        <w:rPr>
          <w:szCs w:val="26"/>
        </w:rPr>
        <w:tab/>
        <w:t>FirstEnergy recommend</w:t>
      </w:r>
      <w:r w:rsidR="007B49D5">
        <w:rPr>
          <w:szCs w:val="26"/>
        </w:rPr>
        <w:t>s</w:t>
      </w:r>
      <w:r>
        <w:rPr>
          <w:szCs w:val="26"/>
        </w:rPr>
        <w:t xml:space="preserve"> adopting the most current</w:t>
      </w:r>
      <w:r w:rsidR="007B49D5">
        <w:rPr>
          <w:szCs w:val="26"/>
        </w:rPr>
        <w:t xml:space="preserve"> Mid-</w:t>
      </w:r>
      <w:r>
        <w:rPr>
          <w:szCs w:val="26"/>
        </w:rPr>
        <w:t xml:space="preserve">Atlantic TRM (version 4) HOU and CF values for building types. </w:t>
      </w:r>
      <w:r w:rsidR="007B49D5">
        <w:rPr>
          <w:szCs w:val="26"/>
        </w:rPr>
        <w:t xml:space="preserve"> </w:t>
      </w:r>
      <w:r>
        <w:rPr>
          <w:szCs w:val="26"/>
        </w:rPr>
        <w:t>FirstEnergy notes that</w:t>
      </w:r>
      <w:r w:rsidR="007B49D5">
        <w:rPr>
          <w:szCs w:val="26"/>
        </w:rPr>
        <w:t>,</w:t>
      </w:r>
      <w:r>
        <w:rPr>
          <w:szCs w:val="26"/>
        </w:rPr>
        <w:t xml:space="preserve"> while in practice these values generally apply to smaller projects</w:t>
      </w:r>
      <w:r w:rsidR="007B49D5">
        <w:rPr>
          <w:szCs w:val="26"/>
        </w:rPr>
        <w:t>,</w:t>
      </w:r>
      <w:r>
        <w:rPr>
          <w:szCs w:val="26"/>
        </w:rPr>
        <w:t xml:space="preserve"> given the current thresholds for site-specific data collection, the impact could result in understatement of savings for smaller projects.</w:t>
      </w:r>
      <w:r>
        <w:rPr>
          <w:rStyle w:val="FootnoteReference"/>
          <w:szCs w:val="26"/>
        </w:rPr>
        <w:footnoteReference w:id="147"/>
      </w:r>
      <w:r>
        <w:rPr>
          <w:szCs w:val="26"/>
        </w:rPr>
        <w:t xml:space="preserve">  </w:t>
      </w:r>
      <w:r w:rsidRPr="00DE7B21">
        <w:rPr>
          <w:szCs w:val="26"/>
        </w:rPr>
        <w:t xml:space="preserve">PPL requests clarification on the usage groups and annual </w:t>
      </w:r>
      <w:r w:rsidR="008950D2" w:rsidRPr="00DE7B21">
        <w:rPr>
          <w:szCs w:val="26"/>
        </w:rPr>
        <w:t>HOU</w:t>
      </w:r>
      <w:r w:rsidRPr="00DE7B21">
        <w:rPr>
          <w:szCs w:val="26"/>
        </w:rPr>
        <w:t xml:space="preserve"> of projects with connecte</w:t>
      </w:r>
      <w:r w:rsidR="00B3731D">
        <w:rPr>
          <w:szCs w:val="26"/>
        </w:rPr>
        <w:t>d load savings less than 20 kW.</w:t>
      </w:r>
      <w:r>
        <w:rPr>
          <w:rStyle w:val="FootnoteReference"/>
          <w:szCs w:val="26"/>
        </w:rPr>
        <w:footnoteReference w:id="148"/>
      </w:r>
      <w:r>
        <w:rPr>
          <w:szCs w:val="26"/>
        </w:rPr>
        <w:t xml:space="preserve">   </w:t>
      </w:r>
    </w:p>
    <w:p w:rsidR="00A3244B" w:rsidRDefault="00A3244B">
      <w:pPr>
        <w:overflowPunct/>
        <w:autoSpaceDE/>
        <w:autoSpaceDN/>
        <w:adjustRightInd/>
        <w:spacing w:line="240" w:lineRule="auto"/>
        <w:jc w:val="left"/>
        <w:rPr>
          <w:szCs w:val="26"/>
        </w:rPr>
      </w:pPr>
    </w:p>
    <w:p w:rsidR="00A33EDD" w:rsidRDefault="00A33EDD" w:rsidP="001B6469">
      <w:pPr>
        <w:widowControl w:val="0"/>
        <w:tabs>
          <w:tab w:val="left" w:pos="-3060"/>
        </w:tabs>
        <w:overflowPunct/>
        <w:jc w:val="left"/>
        <w:rPr>
          <w:szCs w:val="26"/>
        </w:rPr>
      </w:pPr>
      <w:r>
        <w:rPr>
          <w:szCs w:val="26"/>
        </w:rPr>
        <w:tab/>
      </w:r>
      <w:r>
        <w:rPr>
          <w:szCs w:val="26"/>
        </w:rPr>
        <w:tab/>
      </w:r>
      <w:r>
        <w:rPr>
          <w:szCs w:val="26"/>
        </w:rPr>
        <w:tab/>
      </w:r>
      <w:r>
        <w:rPr>
          <w:b/>
          <w:szCs w:val="26"/>
        </w:rPr>
        <w:t>ii.</w:t>
      </w:r>
      <w:r>
        <w:rPr>
          <w:b/>
          <w:szCs w:val="26"/>
        </w:rPr>
        <w:tab/>
        <w:t>Disposition</w:t>
      </w:r>
    </w:p>
    <w:p w:rsidR="00A33EDD" w:rsidRDefault="00A33EDD" w:rsidP="001B6469">
      <w:pPr>
        <w:widowControl w:val="0"/>
        <w:tabs>
          <w:tab w:val="left" w:pos="-3060"/>
        </w:tabs>
        <w:overflowPunct/>
        <w:jc w:val="left"/>
        <w:rPr>
          <w:szCs w:val="26"/>
        </w:rPr>
      </w:pPr>
    </w:p>
    <w:p w:rsidR="00A33EDD" w:rsidRDefault="00A33EDD" w:rsidP="001B6469">
      <w:pPr>
        <w:widowControl w:val="0"/>
        <w:tabs>
          <w:tab w:val="left" w:pos="-3060"/>
        </w:tabs>
        <w:overflowPunct/>
        <w:jc w:val="left"/>
        <w:rPr>
          <w:szCs w:val="26"/>
        </w:rPr>
      </w:pPr>
      <w:r>
        <w:rPr>
          <w:szCs w:val="26"/>
        </w:rPr>
        <w:tab/>
        <w:t xml:space="preserve">The Commission acknowledges that updating the HOU and CF values </w:t>
      </w:r>
      <w:r w:rsidR="004D5473">
        <w:rPr>
          <w:szCs w:val="26"/>
        </w:rPr>
        <w:t>may</w:t>
      </w:r>
      <w:r>
        <w:rPr>
          <w:szCs w:val="26"/>
        </w:rPr>
        <w:t xml:space="preserve"> increase the accuracy of savings assumptions. </w:t>
      </w:r>
      <w:r w:rsidR="004D5473">
        <w:rPr>
          <w:szCs w:val="26"/>
        </w:rPr>
        <w:t xml:space="preserve"> </w:t>
      </w:r>
      <w:r>
        <w:rPr>
          <w:szCs w:val="26"/>
        </w:rPr>
        <w:t>However, these updates are substantial and</w:t>
      </w:r>
      <w:r w:rsidR="004D5473">
        <w:rPr>
          <w:szCs w:val="26"/>
        </w:rPr>
        <w:t xml:space="preserve"> may cause customer confusion.  Additionally, they may</w:t>
      </w:r>
      <w:r>
        <w:rPr>
          <w:szCs w:val="26"/>
        </w:rPr>
        <w:t xml:space="preserve"> require extensive changes to </w:t>
      </w:r>
      <w:r w:rsidR="004D5473">
        <w:rPr>
          <w:szCs w:val="26"/>
        </w:rPr>
        <w:t>EDC</w:t>
      </w:r>
      <w:r>
        <w:rPr>
          <w:szCs w:val="26"/>
        </w:rPr>
        <w:t xml:space="preserve"> tracking systems, </w:t>
      </w:r>
      <w:r w:rsidR="004D5473">
        <w:rPr>
          <w:szCs w:val="26"/>
        </w:rPr>
        <w:t>CSP</w:t>
      </w:r>
      <w:r>
        <w:rPr>
          <w:szCs w:val="26"/>
        </w:rPr>
        <w:t xml:space="preserve"> cont</w:t>
      </w:r>
      <w:r w:rsidR="004D5473">
        <w:rPr>
          <w:szCs w:val="26"/>
        </w:rPr>
        <w:t>racts, rebate application forms and other processes</w:t>
      </w:r>
      <w:r>
        <w:rPr>
          <w:szCs w:val="26"/>
        </w:rPr>
        <w:t xml:space="preserve">. </w:t>
      </w:r>
      <w:r w:rsidR="004D5473">
        <w:rPr>
          <w:szCs w:val="26"/>
        </w:rPr>
        <w:t xml:space="preserve"> Lastly, as the results from Pennsylvania-specific metering studies will be available during the 2016 TRM update</w:t>
      </w:r>
      <w:r>
        <w:rPr>
          <w:szCs w:val="26"/>
        </w:rPr>
        <w:t xml:space="preserve">, the Commission </w:t>
      </w:r>
      <w:r w:rsidR="00C66F88">
        <w:rPr>
          <w:szCs w:val="26"/>
        </w:rPr>
        <w:t>will not amend the values proposed</w:t>
      </w:r>
      <w:r>
        <w:rPr>
          <w:szCs w:val="26"/>
        </w:rPr>
        <w:t>.</w:t>
      </w:r>
      <w:r w:rsidR="00C66F88">
        <w:rPr>
          <w:szCs w:val="26"/>
        </w:rPr>
        <w:t xml:space="preserve">  </w:t>
      </w:r>
      <w:r w:rsidR="006D7511">
        <w:rPr>
          <w:szCs w:val="26"/>
        </w:rPr>
        <w:t>W</w:t>
      </w:r>
      <w:r w:rsidR="00C66F88">
        <w:rPr>
          <w:szCs w:val="26"/>
        </w:rPr>
        <w:t>e</w:t>
      </w:r>
      <w:r w:rsidR="006D7511">
        <w:rPr>
          <w:szCs w:val="26"/>
        </w:rPr>
        <w:t xml:space="preserve"> will, however,</w:t>
      </w:r>
      <w:r w:rsidR="00C66F88">
        <w:rPr>
          <w:szCs w:val="26"/>
        </w:rPr>
        <w:t xml:space="preserve"> direct the SWE to review this issue, as well as the results of Pennsylvania-specific studies, and provide recommendations during the 2016 TRM update.  </w:t>
      </w:r>
      <w:r w:rsidR="006D7511" w:rsidRPr="004E6DA5">
        <w:rPr>
          <w:szCs w:val="26"/>
        </w:rPr>
        <w:t>If it deems it appropriate, the SWE may collaborate with the PEG in developing a recommendation.</w:t>
      </w:r>
    </w:p>
    <w:p w:rsidR="00A33EDD" w:rsidRDefault="00A33EDD" w:rsidP="001B6469">
      <w:pPr>
        <w:widowControl w:val="0"/>
        <w:tabs>
          <w:tab w:val="left" w:pos="-3060"/>
        </w:tabs>
        <w:overflowPunct/>
        <w:jc w:val="left"/>
        <w:rPr>
          <w:szCs w:val="26"/>
        </w:rPr>
      </w:pPr>
      <w:r>
        <w:rPr>
          <w:szCs w:val="26"/>
        </w:rPr>
        <w:lastRenderedPageBreak/>
        <w:tab/>
      </w:r>
      <w:r w:rsidR="00B740BF">
        <w:rPr>
          <w:szCs w:val="26"/>
        </w:rPr>
        <w:t>Regarding PPL’s request for clarification</w:t>
      </w:r>
      <w:r>
        <w:rPr>
          <w:szCs w:val="26"/>
        </w:rPr>
        <w:t xml:space="preserve">, the Commission would like to </w:t>
      </w:r>
      <w:r w:rsidR="00B740BF">
        <w:rPr>
          <w:szCs w:val="26"/>
        </w:rPr>
        <w:t>note</w:t>
      </w:r>
      <w:r>
        <w:rPr>
          <w:szCs w:val="26"/>
        </w:rPr>
        <w:t xml:space="preserve"> that</w:t>
      </w:r>
      <w:r w:rsidR="00941014">
        <w:rPr>
          <w:szCs w:val="26"/>
        </w:rPr>
        <w:t xml:space="preserve"> </w:t>
      </w:r>
      <w:r w:rsidR="000E2437">
        <w:rPr>
          <w:szCs w:val="26"/>
        </w:rPr>
        <w:t>an</w:t>
      </w:r>
      <w:r w:rsidR="00941014">
        <w:rPr>
          <w:szCs w:val="26"/>
        </w:rPr>
        <w:t xml:space="preserve"> </w:t>
      </w:r>
      <w:r w:rsidR="000F55FF">
        <w:rPr>
          <w:szCs w:val="26"/>
        </w:rPr>
        <w:t>EDC</w:t>
      </w:r>
      <w:r w:rsidR="00941014">
        <w:rPr>
          <w:szCs w:val="26"/>
        </w:rPr>
        <w:t xml:space="preserve"> </w:t>
      </w:r>
      <w:r w:rsidR="000E2437">
        <w:rPr>
          <w:szCs w:val="26"/>
        </w:rPr>
        <w:t xml:space="preserve">has two options </w:t>
      </w:r>
      <w:r w:rsidR="00B740BF">
        <w:rPr>
          <w:szCs w:val="26"/>
        </w:rPr>
        <w:t>for</w:t>
      </w:r>
      <w:r w:rsidR="000E2437">
        <w:rPr>
          <w:szCs w:val="26"/>
        </w:rPr>
        <w:t xml:space="preserve"> calculat</w:t>
      </w:r>
      <w:r w:rsidR="00B740BF">
        <w:rPr>
          <w:szCs w:val="26"/>
        </w:rPr>
        <w:t>ing</w:t>
      </w:r>
      <w:r w:rsidR="000E2437">
        <w:rPr>
          <w:szCs w:val="26"/>
        </w:rPr>
        <w:t xml:space="preserve"> lighting savings for</w:t>
      </w:r>
      <w:r w:rsidR="00941014">
        <w:rPr>
          <w:szCs w:val="26"/>
        </w:rPr>
        <w:t xml:space="preserve"> </w:t>
      </w:r>
      <w:r w:rsidR="000E2437">
        <w:rPr>
          <w:szCs w:val="26"/>
        </w:rPr>
        <w:t>project</w:t>
      </w:r>
      <w:r w:rsidR="007E1016">
        <w:rPr>
          <w:szCs w:val="26"/>
        </w:rPr>
        <w:t>s</w:t>
      </w:r>
      <w:r w:rsidR="000E2437">
        <w:rPr>
          <w:szCs w:val="26"/>
        </w:rPr>
        <w:t xml:space="preserve"> in </w:t>
      </w:r>
      <w:r w:rsidR="00941014">
        <w:rPr>
          <w:szCs w:val="26"/>
        </w:rPr>
        <w:t>facilit</w:t>
      </w:r>
      <w:r w:rsidR="000E2437">
        <w:rPr>
          <w:szCs w:val="26"/>
        </w:rPr>
        <w:t>ie</w:t>
      </w:r>
      <w:r w:rsidR="00941014">
        <w:rPr>
          <w:szCs w:val="26"/>
        </w:rPr>
        <w:t xml:space="preserve">s </w:t>
      </w:r>
      <w:r w:rsidR="000E2437">
        <w:rPr>
          <w:szCs w:val="26"/>
        </w:rPr>
        <w:t xml:space="preserve">where the </w:t>
      </w:r>
      <w:r w:rsidR="00941014">
        <w:rPr>
          <w:szCs w:val="26"/>
        </w:rPr>
        <w:t>actual lighting hours deviate by m</w:t>
      </w:r>
      <w:r w:rsidR="000F55FF">
        <w:rPr>
          <w:szCs w:val="26"/>
        </w:rPr>
        <w:t>ore than 10% from default hours</w:t>
      </w:r>
      <w:r w:rsidR="000E2437">
        <w:rPr>
          <w:szCs w:val="26"/>
        </w:rPr>
        <w:t xml:space="preserve">. </w:t>
      </w:r>
      <w:r w:rsidR="00B740BF">
        <w:rPr>
          <w:szCs w:val="26"/>
        </w:rPr>
        <w:t xml:space="preserve"> </w:t>
      </w:r>
      <w:r w:rsidR="000E2437">
        <w:rPr>
          <w:szCs w:val="26"/>
        </w:rPr>
        <w:t>One option is to use the</w:t>
      </w:r>
      <w:r w:rsidR="000F55FF">
        <w:rPr>
          <w:szCs w:val="26"/>
        </w:rPr>
        <w:t xml:space="preserve"> </w:t>
      </w:r>
      <w:r w:rsidR="009B00FB">
        <w:rPr>
          <w:szCs w:val="26"/>
        </w:rPr>
        <w:t xml:space="preserve">HOU values from </w:t>
      </w:r>
      <w:r w:rsidR="000F55FF">
        <w:rPr>
          <w:szCs w:val="26"/>
        </w:rPr>
        <w:t>the</w:t>
      </w:r>
      <w:r w:rsidR="009B00FB">
        <w:rPr>
          <w:szCs w:val="26"/>
        </w:rPr>
        <w:t xml:space="preserve"> “other” category</w:t>
      </w:r>
      <w:r w:rsidR="000E2437">
        <w:rPr>
          <w:szCs w:val="26"/>
        </w:rPr>
        <w:t>.</w:t>
      </w:r>
      <w:r w:rsidR="00B740BF">
        <w:rPr>
          <w:szCs w:val="26"/>
        </w:rPr>
        <w:t xml:space="preserve"> </w:t>
      </w:r>
      <w:r w:rsidR="006D7511">
        <w:rPr>
          <w:szCs w:val="26"/>
        </w:rPr>
        <w:t xml:space="preserve"> </w:t>
      </w:r>
      <w:r w:rsidR="000E2437">
        <w:rPr>
          <w:szCs w:val="26"/>
        </w:rPr>
        <w:t>The other option is</w:t>
      </w:r>
      <w:r w:rsidR="009B00FB">
        <w:rPr>
          <w:szCs w:val="26"/>
        </w:rPr>
        <w:t xml:space="preserve"> to use the facility’s act</w:t>
      </w:r>
      <w:r w:rsidR="000E2437">
        <w:rPr>
          <w:szCs w:val="26"/>
        </w:rPr>
        <w:t>ual lighting hours</w:t>
      </w:r>
      <w:r w:rsidR="00B740BF">
        <w:rPr>
          <w:szCs w:val="26"/>
        </w:rPr>
        <w:t>,</w:t>
      </w:r>
      <w:r w:rsidR="000E2437">
        <w:rPr>
          <w:szCs w:val="26"/>
        </w:rPr>
        <w:t xml:space="preserve"> as collected through posted hours, interviews or logging. </w:t>
      </w:r>
      <w:r w:rsidR="00B740BF">
        <w:rPr>
          <w:szCs w:val="26"/>
        </w:rPr>
        <w:t xml:space="preserve"> However, s</w:t>
      </w:r>
      <w:r w:rsidR="000E2437">
        <w:rPr>
          <w:szCs w:val="26"/>
        </w:rPr>
        <w:t xml:space="preserve">electing the option on a project-by-project basis is unacceptable. </w:t>
      </w:r>
      <w:r w:rsidR="00B740BF">
        <w:rPr>
          <w:szCs w:val="26"/>
        </w:rPr>
        <w:t xml:space="preserve"> </w:t>
      </w:r>
      <w:r w:rsidR="000E2437">
        <w:rPr>
          <w:szCs w:val="26"/>
        </w:rPr>
        <w:t>An EDC should select one method</w:t>
      </w:r>
      <w:r w:rsidR="00B740BF">
        <w:rPr>
          <w:szCs w:val="26"/>
        </w:rPr>
        <w:t xml:space="preserve"> for the program year</w:t>
      </w:r>
      <w:r w:rsidR="000E2437">
        <w:rPr>
          <w:szCs w:val="26"/>
        </w:rPr>
        <w:t xml:space="preserve"> and apply it consistently to all projects</w:t>
      </w:r>
      <w:r w:rsidR="00B740BF" w:rsidRPr="00B740BF">
        <w:rPr>
          <w:szCs w:val="26"/>
        </w:rPr>
        <w:t xml:space="preserve"> </w:t>
      </w:r>
      <w:r w:rsidR="00B740BF">
        <w:rPr>
          <w:szCs w:val="26"/>
        </w:rPr>
        <w:t>where actual facility lighting hours deviate by more than 10% from default hours</w:t>
      </w:r>
      <w:r w:rsidR="000E2437">
        <w:rPr>
          <w:szCs w:val="26"/>
        </w:rPr>
        <w:t>.</w:t>
      </w:r>
    </w:p>
    <w:p w:rsidR="000F55FF" w:rsidRPr="00A33EDD" w:rsidRDefault="000F55FF" w:rsidP="001B6469">
      <w:pPr>
        <w:widowControl w:val="0"/>
        <w:tabs>
          <w:tab w:val="left" w:pos="-3060"/>
        </w:tabs>
        <w:overflowPunct/>
        <w:jc w:val="left"/>
        <w:rPr>
          <w:szCs w:val="26"/>
        </w:rPr>
      </w:pPr>
    </w:p>
    <w:p w:rsidR="00A33EDD" w:rsidRDefault="0074147A" w:rsidP="00A95717">
      <w:pPr>
        <w:pStyle w:val="Heading4"/>
      </w:pPr>
      <w:r>
        <w:t>d</w:t>
      </w:r>
      <w:r w:rsidR="00543598">
        <w:t>.</w:t>
      </w:r>
      <w:r w:rsidR="00543598">
        <w:tab/>
      </w:r>
      <w:r w:rsidR="00A33EDD" w:rsidRPr="00A33EDD">
        <w:t>Lighting Controls</w:t>
      </w:r>
    </w:p>
    <w:p w:rsidR="00A33EDD" w:rsidRDefault="00A33EDD" w:rsidP="001B6469">
      <w:pPr>
        <w:widowControl w:val="0"/>
        <w:tabs>
          <w:tab w:val="left" w:pos="204"/>
          <w:tab w:val="left" w:pos="720"/>
        </w:tabs>
        <w:overflowPunct/>
        <w:jc w:val="left"/>
        <w:rPr>
          <w:szCs w:val="26"/>
        </w:rPr>
      </w:pPr>
    </w:p>
    <w:p w:rsidR="00A33EDD" w:rsidRDefault="00A33EDD" w:rsidP="001B6469">
      <w:pPr>
        <w:widowControl w:val="0"/>
        <w:tabs>
          <w:tab w:val="left" w:pos="204"/>
          <w:tab w:val="left" w:pos="720"/>
        </w:tabs>
        <w:overflowPunct/>
        <w:jc w:val="left"/>
        <w:rPr>
          <w:szCs w:val="26"/>
        </w:rPr>
      </w:pPr>
      <w:r>
        <w:rPr>
          <w:szCs w:val="26"/>
        </w:rPr>
        <w:tab/>
      </w:r>
      <w:r>
        <w:rPr>
          <w:szCs w:val="26"/>
        </w:rPr>
        <w:tab/>
        <w:t xml:space="preserve">The </w:t>
      </w:r>
      <w:r w:rsidR="008A151D">
        <w:rPr>
          <w:szCs w:val="26"/>
        </w:rPr>
        <w:t>Commission did not propose changes to the</w:t>
      </w:r>
      <w:r>
        <w:rPr>
          <w:szCs w:val="26"/>
        </w:rPr>
        <w:t xml:space="preserve"> default values for lighting control types. </w:t>
      </w:r>
      <w:r w:rsidR="0074147A">
        <w:rPr>
          <w:szCs w:val="26"/>
        </w:rPr>
        <w:t xml:space="preserve"> </w:t>
      </w:r>
      <w:r>
        <w:rPr>
          <w:szCs w:val="26"/>
        </w:rPr>
        <w:t xml:space="preserve">However, comments were received and are addressed below. </w:t>
      </w:r>
    </w:p>
    <w:p w:rsidR="00A3244B" w:rsidRDefault="00A3244B">
      <w:pPr>
        <w:overflowPunct/>
        <w:autoSpaceDE/>
        <w:autoSpaceDN/>
        <w:adjustRightInd/>
        <w:spacing w:line="240" w:lineRule="auto"/>
        <w:jc w:val="left"/>
        <w:rPr>
          <w:szCs w:val="26"/>
        </w:rPr>
      </w:pPr>
    </w:p>
    <w:p w:rsidR="00A33EDD" w:rsidRDefault="00A33EDD" w:rsidP="001B6469">
      <w:pPr>
        <w:widowControl w:val="0"/>
        <w:tabs>
          <w:tab w:val="left" w:pos="-3060"/>
        </w:tabs>
        <w:overflowPunct/>
        <w:jc w:val="left"/>
        <w:rPr>
          <w:szCs w:val="26"/>
        </w:rPr>
      </w:pPr>
      <w:r>
        <w:rPr>
          <w:szCs w:val="26"/>
        </w:rPr>
        <w:tab/>
      </w:r>
      <w:r>
        <w:rPr>
          <w:szCs w:val="26"/>
        </w:rPr>
        <w:tab/>
      </w:r>
      <w:r>
        <w:rPr>
          <w:szCs w:val="26"/>
        </w:rPr>
        <w:tab/>
      </w:r>
      <w:r>
        <w:rPr>
          <w:b/>
          <w:szCs w:val="26"/>
        </w:rPr>
        <w:t>i.</w:t>
      </w:r>
      <w:r>
        <w:rPr>
          <w:b/>
          <w:szCs w:val="26"/>
        </w:rPr>
        <w:tab/>
        <w:t>Comments</w:t>
      </w:r>
    </w:p>
    <w:p w:rsidR="00A33EDD" w:rsidRDefault="00A33EDD" w:rsidP="001B6469">
      <w:pPr>
        <w:widowControl w:val="0"/>
        <w:tabs>
          <w:tab w:val="left" w:pos="-3060"/>
        </w:tabs>
        <w:overflowPunct/>
        <w:jc w:val="left"/>
        <w:rPr>
          <w:szCs w:val="26"/>
        </w:rPr>
      </w:pPr>
    </w:p>
    <w:p w:rsidR="00A33EDD" w:rsidRDefault="00A33EDD" w:rsidP="001B6469">
      <w:pPr>
        <w:widowControl w:val="0"/>
        <w:tabs>
          <w:tab w:val="left" w:pos="-3060"/>
        </w:tabs>
        <w:overflowPunct/>
        <w:jc w:val="left"/>
        <w:rPr>
          <w:szCs w:val="26"/>
        </w:rPr>
      </w:pPr>
      <w:r>
        <w:rPr>
          <w:szCs w:val="26"/>
        </w:rPr>
        <w:tab/>
        <w:t>PECO recommends removing the default controlled kW values listed in Table 3-14</w:t>
      </w:r>
      <w:r w:rsidR="001832BB">
        <w:rPr>
          <w:rStyle w:val="FootnoteReference"/>
          <w:szCs w:val="26"/>
        </w:rPr>
        <w:t xml:space="preserve"> </w:t>
      </w:r>
      <w:r>
        <w:rPr>
          <w:szCs w:val="26"/>
        </w:rPr>
        <w:t xml:space="preserve">for three lighting control types given that all lighting control projects are required to fill out the Appendix C tables. </w:t>
      </w:r>
      <w:r w:rsidR="001832BB">
        <w:rPr>
          <w:szCs w:val="26"/>
        </w:rPr>
        <w:t xml:space="preserve"> </w:t>
      </w:r>
      <w:r>
        <w:rPr>
          <w:szCs w:val="26"/>
        </w:rPr>
        <w:t>PECO also notes that the date in Source 3 should be “2013</w:t>
      </w:r>
      <w:r w:rsidR="001832BB">
        <w:rPr>
          <w:szCs w:val="26"/>
        </w:rPr>
        <w:t>.</w:t>
      </w:r>
      <w:r>
        <w:rPr>
          <w:szCs w:val="26"/>
        </w:rPr>
        <w:t>”</w:t>
      </w:r>
      <w:r w:rsidR="00286A59">
        <w:rPr>
          <w:rStyle w:val="FootnoteReference"/>
          <w:szCs w:val="26"/>
        </w:rPr>
        <w:footnoteReference w:id="149"/>
      </w:r>
    </w:p>
    <w:p w:rsidR="00A33EDD" w:rsidRDefault="00A33EDD" w:rsidP="001B6469">
      <w:pPr>
        <w:widowControl w:val="0"/>
        <w:tabs>
          <w:tab w:val="left" w:pos="-3060"/>
        </w:tabs>
        <w:overflowPunct/>
        <w:jc w:val="left"/>
        <w:rPr>
          <w:szCs w:val="26"/>
        </w:rPr>
      </w:pPr>
    </w:p>
    <w:p w:rsidR="00A33EDD" w:rsidRDefault="00A33EDD" w:rsidP="001B6469">
      <w:pPr>
        <w:widowControl w:val="0"/>
        <w:tabs>
          <w:tab w:val="left" w:pos="-3060"/>
        </w:tabs>
        <w:overflowPunct/>
        <w:jc w:val="left"/>
        <w:rPr>
          <w:szCs w:val="26"/>
        </w:rPr>
      </w:pPr>
      <w:r>
        <w:rPr>
          <w:szCs w:val="26"/>
        </w:rPr>
        <w:tab/>
      </w:r>
      <w:r>
        <w:rPr>
          <w:szCs w:val="26"/>
        </w:rPr>
        <w:tab/>
      </w:r>
      <w:r>
        <w:rPr>
          <w:szCs w:val="26"/>
        </w:rPr>
        <w:tab/>
      </w:r>
      <w:r>
        <w:rPr>
          <w:b/>
          <w:szCs w:val="26"/>
        </w:rPr>
        <w:t>ii.</w:t>
      </w:r>
      <w:r>
        <w:rPr>
          <w:b/>
          <w:szCs w:val="26"/>
        </w:rPr>
        <w:tab/>
        <w:t>Disposition</w:t>
      </w:r>
    </w:p>
    <w:p w:rsidR="00A33EDD" w:rsidRDefault="00A33EDD" w:rsidP="001B6469">
      <w:pPr>
        <w:widowControl w:val="0"/>
        <w:tabs>
          <w:tab w:val="left" w:pos="204"/>
          <w:tab w:val="left" w:pos="720"/>
        </w:tabs>
        <w:overflowPunct/>
        <w:jc w:val="left"/>
        <w:rPr>
          <w:szCs w:val="26"/>
        </w:rPr>
      </w:pPr>
    </w:p>
    <w:p w:rsidR="00A33EDD" w:rsidRDefault="00A33EDD" w:rsidP="001B6469">
      <w:pPr>
        <w:widowControl w:val="0"/>
        <w:tabs>
          <w:tab w:val="left" w:pos="204"/>
          <w:tab w:val="left" w:pos="720"/>
        </w:tabs>
        <w:overflowPunct/>
        <w:jc w:val="left"/>
        <w:rPr>
          <w:szCs w:val="26"/>
        </w:rPr>
      </w:pPr>
      <w:r>
        <w:rPr>
          <w:szCs w:val="26"/>
        </w:rPr>
        <w:tab/>
      </w:r>
      <w:r>
        <w:rPr>
          <w:szCs w:val="26"/>
        </w:rPr>
        <w:tab/>
        <w:t>The Commission agrees with PECO’s recommendation to remove the default values from the 2015 TRM</w:t>
      </w:r>
      <w:r w:rsidR="009F5985">
        <w:rPr>
          <w:szCs w:val="26"/>
        </w:rPr>
        <w:t xml:space="preserve"> and has updated the TRM accordingly</w:t>
      </w:r>
      <w:r>
        <w:rPr>
          <w:szCs w:val="26"/>
        </w:rPr>
        <w:t xml:space="preserve">. </w:t>
      </w:r>
      <w:r w:rsidR="009F5985">
        <w:rPr>
          <w:szCs w:val="26"/>
        </w:rPr>
        <w:t xml:space="preserve"> </w:t>
      </w:r>
      <w:r>
        <w:rPr>
          <w:szCs w:val="26"/>
        </w:rPr>
        <w:t xml:space="preserve">Since the default values reference Source 3, the source </w:t>
      </w:r>
      <w:r w:rsidR="009F5985">
        <w:rPr>
          <w:szCs w:val="26"/>
        </w:rPr>
        <w:t>has been removed, as well.</w:t>
      </w:r>
    </w:p>
    <w:p w:rsidR="00A33EDD" w:rsidRDefault="00A33EDD" w:rsidP="001B6469">
      <w:pPr>
        <w:widowControl w:val="0"/>
        <w:tabs>
          <w:tab w:val="left" w:pos="204"/>
          <w:tab w:val="left" w:pos="720"/>
        </w:tabs>
        <w:overflowPunct/>
        <w:jc w:val="left"/>
        <w:rPr>
          <w:szCs w:val="26"/>
        </w:rPr>
      </w:pPr>
    </w:p>
    <w:p w:rsidR="00A33EDD" w:rsidRDefault="009F5985" w:rsidP="00A95717">
      <w:pPr>
        <w:pStyle w:val="Heading4"/>
      </w:pPr>
      <w:r>
        <w:lastRenderedPageBreak/>
        <w:t>e</w:t>
      </w:r>
      <w:r w:rsidR="00543598">
        <w:t>.</w:t>
      </w:r>
      <w:r w:rsidR="00543598">
        <w:tab/>
      </w:r>
      <w:r w:rsidR="00A33EDD" w:rsidRPr="00A33EDD">
        <w:t xml:space="preserve">LED </w:t>
      </w:r>
      <w:r w:rsidR="00A33EDD" w:rsidRPr="00A271F6">
        <w:t>Channel</w:t>
      </w:r>
      <w:r w:rsidR="00A33EDD" w:rsidRPr="00A33EDD">
        <w:t xml:space="preserve"> Signage</w:t>
      </w:r>
    </w:p>
    <w:p w:rsidR="00A33EDD" w:rsidRDefault="00A33EDD" w:rsidP="001B6469">
      <w:pPr>
        <w:widowControl w:val="0"/>
        <w:tabs>
          <w:tab w:val="left" w:pos="-3060"/>
        </w:tabs>
        <w:overflowPunct/>
        <w:jc w:val="left"/>
        <w:rPr>
          <w:szCs w:val="26"/>
        </w:rPr>
      </w:pPr>
    </w:p>
    <w:p w:rsidR="00A33EDD" w:rsidRDefault="00A33EDD" w:rsidP="001B6469">
      <w:pPr>
        <w:widowControl w:val="0"/>
        <w:tabs>
          <w:tab w:val="left" w:pos="-3060"/>
        </w:tabs>
        <w:overflowPunct/>
        <w:jc w:val="left"/>
        <w:rPr>
          <w:szCs w:val="26"/>
        </w:rPr>
      </w:pPr>
      <w:r>
        <w:rPr>
          <w:szCs w:val="26"/>
        </w:rPr>
        <w:tab/>
      </w:r>
      <w:r w:rsidRPr="00572EE8">
        <w:rPr>
          <w:szCs w:val="26"/>
        </w:rPr>
        <w:t xml:space="preserve">The </w:t>
      </w:r>
      <w:r w:rsidR="008A151D">
        <w:rPr>
          <w:szCs w:val="26"/>
        </w:rPr>
        <w:t>Commission did not propose modifications to the</w:t>
      </w:r>
      <w:r>
        <w:rPr>
          <w:szCs w:val="26"/>
        </w:rPr>
        <w:t xml:space="preserve"> description of LED channel signage </w:t>
      </w:r>
      <w:r w:rsidR="005E11FD">
        <w:rPr>
          <w:szCs w:val="26"/>
        </w:rPr>
        <w:t xml:space="preserve">colors. </w:t>
      </w:r>
      <w:r w:rsidR="009F5985">
        <w:rPr>
          <w:szCs w:val="26"/>
        </w:rPr>
        <w:t xml:space="preserve"> </w:t>
      </w:r>
      <w:r w:rsidRPr="00572EE8">
        <w:rPr>
          <w:szCs w:val="26"/>
        </w:rPr>
        <w:t>However, comments were received and are addressed below.</w:t>
      </w:r>
    </w:p>
    <w:p w:rsidR="00D87D53" w:rsidRDefault="00D87D53" w:rsidP="001B6469">
      <w:pPr>
        <w:widowControl w:val="0"/>
        <w:tabs>
          <w:tab w:val="left" w:pos="-3060"/>
        </w:tabs>
        <w:overflowPunct/>
        <w:jc w:val="left"/>
        <w:rPr>
          <w:szCs w:val="26"/>
        </w:rPr>
      </w:pPr>
    </w:p>
    <w:p w:rsidR="00A33EDD" w:rsidRDefault="00A33EDD" w:rsidP="001B6469">
      <w:pPr>
        <w:widowControl w:val="0"/>
        <w:tabs>
          <w:tab w:val="left" w:pos="-3060"/>
        </w:tabs>
        <w:overflowPunct/>
        <w:jc w:val="left"/>
        <w:rPr>
          <w:szCs w:val="26"/>
        </w:rPr>
      </w:pPr>
      <w:r>
        <w:rPr>
          <w:szCs w:val="26"/>
        </w:rPr>
        <w:tab/>
      </w:r>
      <w:r>
        <w:rPr>
          <w:szCs w:val="26"/>
        </w:rPr>
        <w:tab/>
      </w:r>
      <w:r>
        <w:rPr>
          <w:szCs w:val="26"/>
        </w:rPr>
        <w:tab/>
      </w:r>
      <w:r>
        <w:rPr>
          <w:b/>
          <w:szCs w:val="26"/>
        </w:rPr>
        <w:t>i.</w:t>
      </w:r>
      <w:r>
        <w:rPr>
          <w:b/>
          <w:szCs w:val="26"/>
        </w:rPr>
        <w:tab/>
        <w:t>Comments</w:t>
      </w:r>
    </w:p>
    <w:p w:rsidR="00A33EDD" w:rsidRDefault="00A33EDD" w:rsidP="001B6469">
      <w:pPr>
        <w:widowControl w:val="0"/>
        <w:tabs>
          <w:tab w:val="left" w:pos="-3060"/>
        </w:tabs>
        <w:overflowPunct/>
        <w:jc w:val="left"/>
        <w:rPr>
          <w:szCs w:val="26"/>
        </w:rPr>
      </w:pPr>
    </w:p>
    <w:p w:rsidR="00A33EDD" w:rsidRDefault="00A33EDD" w:rsidP="001B6469">
      <w:pPr>
        <w:widowControl w:val="0"/>
        <w:tabs>
          <w:tab w:val="left" w:pos="-3060"/>
        </w:tabs>
        <w:overflowPunct/>
        <w:jc w:val="left"/>
        <w:rPr>
          <w:szCs w:val="26"/>
        </w:rPr>
      </w:pPr>
      <w:r>
        <w:rPr>
          <w:szCs w:val="26"/>
        </w:rPr>
        <w:tab/>
        <w:t xml:space="preserve">PECO requests </w:t>
      </w:r>
      <w:r w:rsidR="00520307">
        <w:rPr>
          <w:szCs w:val="26"/>
        </w:rPr>
        <w:t>an updated</w:t>
      </w:r>
      <w:r>
        <w:rPr>
          <w:szCs w:val="26"/>
        </w:rPr>
        <w:t xml:space="preserve"> description </w:t>
      </w:r>
      <w:r w:rsidR="00520307">
        <w:rPr>
          <w:szCs w:val="26"/>
        </w:rPr>
        <w:t xml:space="preserve">of the </w:t>
      </w:r>
      <w:r>
        <w:rPr>
          <w:szCs w:val="26"/>
        </w:rPr>
        <w:t>LED channel signage colors so that the role of red LEDs is clear.</w:t>
      </w:r>
      <w:r>
        <w:rPr>
          <w:rStyle w:val="FootnoteReference"/>
          <w:szCs w:val="26"/>
        </w:rPr>
        <w:footnoteReference w:id="150"/>
      </w:r>
    </w:p>
    <w:p w:rsidR="00A33EDD" w:rsidRDefault="00A33EDD" w:rsidP="001B6469">
      <w:pPr>
        <w:widowControl w:val="0"/>
        <w:tabs>
          <w:tab w:val="left" w:pos="-3060"/>
        </w:tabs>
        <w:overflowPunct/>
        <w:jc w:val="left"/>
        <w:rPr>
          <w:szCs w:val="26"/>
        </w:rPr>
      </w:pPr>
    </w:p>
    <w:p w:rsidR="00A33EDD" w:rsidRDefault="00A33EDD" w:rsidP="001B6469">
      <w:pPr>
        <w:widowControl w:val="0"/>
        <w:tabs>
          <w:tab w:val="left" w:pos="-3060"/>
        </w:tabs>
        <w:overflowPunct/>
        <w:jc w:val="left"/>
        <w:rPr>
          <w:szCs w:val="26"/>
        </w:rPr>
      </w:pPr>
      <w:r>
        <w:rPr>
          <w:szCs w:val="26"/>
        </w:rPr>
        <w:tab/>
      </w:r>
      <w:r>
        <w:rPr>
          <w:szCs w:val="26"/>
        </w:rPr>
        <w:tab/>
      </w:r>
      <w:r>
        <w:rPr>
          <w:szCs w:val="26"/>
        </w:rPr>
        <w:tab/>
      </w:r>
      <w:r>
        <w:rPr>
          <w:b/>
          <w:szCs w:val="26"/>
        </w:rPr>
        <w:t>ii.</w:t>
      </w:r>
      <w:r>
        <w:rPr>
          <w:b/>
          <w:szCs w:val="26"/>
        </w:rPr>
        <w:tab/>
        <w:t>Disposition</w:t>
      </w:r>
    </w:p>
    <w:p w:rsidR="00A33EDD" w:rsidRDefault="00A33EDD" w:rsidP="001B6469">
      <w:pPr>
        <w:widowControl w:val="0"/>
        <w:tabs>
          <w:tab w:val="left" w:pos="204"/>
          <w:tab w:val="left" w:pos="720"/>
        </w:tabs>
        <w:overflowPunct/>
        <w:jc w:val="left"/>
        <w:rPr>
          <w:szCs w:val="26"/>
        </w:rPr>
      </w:pPr>
      <w:r>
        <w:rPr>
          <w:szCs w:val="26"/>
        </w:rPr>
        <w:tab/>
      </w:r>
      <w:r>
        <w:rPr>
          <w:szCs w:val="26"/>
        </w:rPr>
        <w:tab/>
      </w:r>
    </w:p>
    <w:p w:rsidR="00A33EDD" w:rsidRDefault="00A33EDD" w:rsidP="001B6469">
      <w:pPr>
        <w:widowControl w:val="0"/>
        <w:tabs>
          <w:tab w:val="left" w:pos="204"/>
          <w:tab w:val="left" w:pos="720"/>
        </w:tabs>
        <w:overflowPunct/>
        <w:jc w:val="left"/>
        <w:rPr>
          <w:szCs w:val="26"/>
        </w:rPr>
      </w:pPr>
      <w:r>
        <w:rPr>
          <w:szCs w:val="26"/>
        </w:rPr>
        <w:tab/>
      </w:r>
      <w:r>
        <w:rPr>
          <w:szCs w:val="26"/>
        </w:rPr>
        <w:tab/>
        <w:t>The Commission acknowledges PECO’s request and clarifies that r</w:t>
      </w:r>
      <w:r w:rsidRPr="00B519CA">
        <w:rPr>
          <w:szCs w:val="26"/>
        </w:rPr>
        <w:t xml:space="preserve">ed is the most common color and the most cost-effective to retrofit, currently comprising approximately 80% of the market. </w:t>
      </w:r>
      <w:r w:rsidR="00520307">
        <w:rPr>
          <w:szCs w:val="26"/>
        </w:rPr>
        <w:t xml:space="preserve"> </w:t>
      </w:r>
      <w:r w:rsidRPr="00B519CA">
        <w:rPr>
          <w:szCs w:val="26"/>
        </w:rPr>
        <w:t>Green, blue, yellow and white LEDs are also available, but</w:t>
      </w:r>
      <w:r>
        <w:rPr>
          <w:szCs w:val="26"/>
        </w:rPr>
        <w:t xml:space="preserve"> at a higher cost than red LEDs. </w:t>
      </w:r>
      <w:r w:rsidR="00520307">
        <w:rPr>
          <w:szCs w:val="26"/>
        </w:rPr>
        <w:t xml:space="preserve"> </w:t>
      </w:r>
      <w:r>
        <w:rPr>
          <w:szCs w:val="26"/>
        </w:rPr>
        <w:t xml:space="preserve">The clarification has been added to the 2015 TRM. </w:t>
      </w:r>
    </w:p>
    <w:p w:rsidR="008D0D2B" w:rsidRPr="00A33EDD" w:rsidRDefault="008D0D2B" w:rsidP="001B6469">
      <w:pPr>
        <w:pStyle w:val="BodyTextIndent3"/>
        <w:jc w:val="left"/>
      </w:pPr>
    </w:p>
    <w:p w:rsidR="002B0B09" w:rsidRPr="0098410B" w:rsidRDefault="006922F1" w:rsidP="001B6469">
      <w:pPr>
        <w:pStyle w:val="Heading3"/>
        <w:numPr>
          <w:ilvl w:val="0"/>
          <w:numId w:val="0"/>
        </w:numPr>
        <w:ind w:left="720"/>
      </w:pPr>
      <w:bookmarkStart w:id="143" w:name="_Toc394648210"/>
      <w:bookmarkStart w:id="144" w:name="_Toc396910627"/>
      <w:bookmarkStart w:id="145" w:name="_Toc405802409"/>
      <w:bookmarkStart w:id="146" w:name="_Toc405884737"/>
      <w:bookmarkStart w:id="147" w:name="_Toc394648209"/>
      <w:bookmarkStart w:id="148" w:name="_Toc396910626"/>
      <w:r>
        <w:t>2</w:t>
      </w:r>
      <w:r w:rsidR="002B0B09">
        <w:t>.</w:t>
      </w:r>
      <w:r w:rsidR="002B0B09">
        <w:tab/>
        <w:t xml:space="preserve">Section 3.2.1 – HVAC </w:t>
      </w:r>
      <w:r w:rsidR="002B0B09" w:rsidRPr="0098410B">
        <w:t>Systems</w:t>
      </w:r>
      <w:bookmarkEnd w:id="143"/>
      <w:bookmarkEnd w:id="144"/>
      <w:bookmarkEnd w:id="145"/>
      <w:bookmarkEnd w:id="146"/>
      <w:r w:rsidR="002B0B09" w:rsidRPr="0098410B">
        <w:br/>
      </w:r>
    </w:p>
    <w:p w:rsidR="002B0B09" w:rsidRPr="0098410B" w:rsidRDefault="00520307" w:rsidP="00A95717">
      <w:pPr>
        <w:pStyle w:val="Heading4"/>
      </w:pPr>
      <w:r>
        <w:t>a</w:t>
      </w:r>
      <w:r w:rsidR="002B0B09">
        <w:t>.</w:t>
      </w:r>
      <w:r w:rsidR="002B0B09">
        <w:tab/>
      </w:r>
      <w:r w:rsidR="002B0B09" w:rsidRPr="0098410B">
        <w:t>Code Changes</w:t>
      </w:r>
    </w:p>
    <w:p w:rsidR="002B0B09" w:rsidRPr="0098410B" w:rsidRDefault="002B0B09" w:rsidP="001B6469">
      <w:pPr>
        <w:jc w:val="left"/>
        <w:rPr>
          <w:szCs w:val="26"/>
        </w:rPr>
      </w:pPr>
    </w:p>
    <w:p w:rsidR="002B0B09" w:rsidRDefault="002B0B09" w:rsidP="001B6469">
      <w:pPr>
        <w:widowControl w:val="0"/>
        <w:tabs>
          <w:tab w:val="left" w:pos="204"/>
          <w:tab w:val="left" w:pos="720"/>
        </w:tabs>
        <w:overflowPunct/>
        <w:jc w:val="left"/>
        <w:rPr>
          <w:szCs w:val="26"/>
        </w:rPr>
      </w:pPr>
      <w:r w:rsidRPr="0098410B">
        <w:rPr>
          <w:b/>
          <w:szCs w:val="26"/>
        </w:rPr>
        <w:tab/>
      </w:r>
      <w:r w:rsidRPr="0098410B">
        <w:rPr>
          <w:b/>
          <w:szCs w:val="26"/>
        </w:rPr>
        <w:tab/>
      </w:r>
      <w:r w:rsidRPr="0098410B">
        <w:rPr>
          <w:szCs w:val="26"/>
        </w:rPr>
        <w:t xml:space="preserve">The TRM currently uses </w:t>
      </w:r>
      <w:r>
        <w:rPr>
          <w:szCs w:val="26"/>
        </w:rPr>
        <w:t>International Energy Conservation Code (</w:t>
      </w:r>
      <w:r w:rsidRPr="0098410B">
        <w:rPr>
          <w:szCs w:val="26"/>
        </w:rPr>
        <w:t>IECC</w:t>
      </w:r>
      <w:r>
        <w:rPr>
          <w:szCs w:val="26"/>
        </w:rPr>
        <w:t>)</w:t>
      </w:r>
      <w:r w:rsidRPr="0098410B">
        <w:rPr>
          <w:szCs w:val="26"/>
        </w:rPr>
        <w:t xml:space="preserve"> 2009</w:t>
      </w:r>
      <w:r>
        <w:rPr>
          <w:rStyle w:val="FootnoteReference"/>
          <w:szCs w:val="26"/>
        </w:rPr>
        <w:footnoteReference w:id="151"/>
      </w:r>
      <w:r w:rsidRPr="0098410B">
        <w:rPr>
          <w:szCs w:val="26"/>
        </w:rPr>
        <w:t xml:space="preserve"> for </w:t>
      </w:r>
      <w:r>
        <w:rPr>
          <w:szCs w:val="26"/>
        </w:rPr>
        <w:t xml:space="preserve">HVAC </w:t>
      </w:r>
      <w:r w:rsidRPr="0098410B">
        <w:rPr>
          <w:szCs w:val="26"/>
        </w:rPr>
        <w:t xml:space="preserve">baseline codes unless there are more stringent federal codes. </w:t>
      </w:r>
      <w:r w:rsidR="00520307">
        <w:rPr>
          <w:szCs w:val="26"/>
        </w:rPr>
        <w:t xml:space="preserve"> </w:t>
      </w:r>
      <w:r>
        <w:rPr>
          <w:szCs w:val="26"/>
        </w:rPr>
        <w:t>In the Tentative Order, the Commission proposed revisions to the</w:t>
      </w:r>
      <w:r w:rsidRPr="0098410B">
        <w:rPr>
          <w:szCs w:val="26"/>
        </w:rPr>
        <w:t xml:space="preserve"> TRM to account for federal code changes and to use IECC 2012 where federal codes do not provide a value.</w:t>
      </w:r>
      <w:r>
        <w:rPr>
          <w:szCs w:val="26"/>
        </w:rPr>
        <w:t xml:space="preserve"> </w:t>
      </w:r>
      <w:r w:rsidR="00520307">
        <w:rPr>
          <w:szCs w:val="26"/>
        </w:rPr>
        <w:t xml:space="preserve"> </w:t>
      </w:r>
      <w:r>
        <w:rPr>
          <w:szCs w:val="26"/>
        </w:rPr>
        <w:t>: Section</w:t>
      </w:r>
      <w:r w:rsidR="006D7511">
        <w:rPr>
          <w:szCs w:val="26"/>
        </w:rPr>
        <w:t>s</w:t>
      </w:r>
      <w:r>
        <w:rPr>
          <w:szCs w:val="26"/>
        </w:rPr>
        <w:t xml:space="preserve"> </w:t>
      </w:r>
      <w:r>
        <w:rPr>
          <w:szCs w:val="26"/>
        </w:rPr>
        <w:lastRenderedPageBreak/>
        <w:t xml:space="preserve">3.2.1 – HVAC </w:t>
      </w:r>
      <w:r w:rsidRPr="0098410B">
        <w:rPr>
          <w:szCs w:val="26"/>
        </w:rPr>
        <w:t>Systems</w:t>
      </w:r>
      <w:r>
        <w:rPr>
          <w:szCs w:val="26"/>
        </w:rPr>
        <w:t xml:space="preserve">; 3.2.3 – Water </w:t>
      </w:r>
      <w:r w:rsidRPr="0098410B">
        <w:rPr>
          <w:szCs w:val="26"/>
        </w:rPr>
        <w:t>Source and</w:t>
      </w:r>
      <w:r>
        <w:rPr>
          <w:szCs w:val="26"/>
        </w:rPr>
        <w:t xml:space="preserve"> Geothermal Heat Pumps;</w:t>
      </w:r>
      <w:r>
        <w:rPr>
          <w:rStyle w:val="FootnoteReference"/>
          <w:szCs w:val="26"/>
        </w:rPr>
        <w:footnoteReference w:id="152"/>
      </w:r>
      <w:r>
        <w:rPr>
          <w:szCs w:val="26"/>
        </w:rPr>
        <w:t xml:space="preserve"> and 3.8.1 – Wall and Ceiling Insulation</w:t>
      </w:r>
      <w:r w:rsidR="006D7511">
        <w:rPr>
          <w:szCs w:val="26"/>
        </w:rPr>
        <w:t xml:space="preserve"> were</w:t>
      </w:r>
      <w:r w:rsidR="006D7511" w:rsidRPr="0098410B">
        <w:rPr>
          <w:szCs w:val="26"/>
        </w:rPr>
        <w:t xml:space="preserve"> impact</w:t>
      </w:r>
      <w:r w:rsidR="006D7511">
        <w:rPr>
          <w:szCs w:val="26"/>
        </w:rPr>
        <w:t>ed by these changes</w:t>
      </w:r>
      <w:r>
        <w:rPr>
          <w:szCs w:val="26"/>
        </w:rPr>
        <w:t>.</w:t>
      </w:r>
    </w:p>
    <w:p w:rsidR="00BB450B" w:rsidRDefault="00BB450B" w:rsidP="001B6469">
      <w:pPr>
        <w:widowControl w:val="0"/>
        <w:overflowPunct/>
        <w:ind w:firstLine="720"/>
        <w:jc w:val="left"/>
        <w:rPr>
          <w:szCs w:val="26"/>
        </w:rPr>
      </w:pPr>
    </w:p>
    <w:p w:rsidR="002B0B09" w:rsidRDefault="002B0B09" w:rsidP="001B6469">
      <w:pPr>
        <w:widowControl w:val="0"/>
        <w:overflowPunct/>
        <w:ind w:firstLine="720"/>
        <w:jc w:val="left"/>
        <w:rPr>
          <w:szCs w:val="26"/>
        </w:rPr>
      </w:pPr>
      <w:r>
        <w:rPr>
          <w:szCs w:val="26"/>
        </w:rPr>
        <w:tab/>
      </w:r>
      <w:r>
        <w:rPr>
          <w:szCs w:val="26"/>
        </w:rPr>
        <w:tab/>
      </w:r>
      <w:r>
        <w:rPr>
          <w:b/>
          <w:szCs w:val="26"/>
        </w:rPr>
        <w:t>i.</w:t>
      </w:r>
      <w:r>
        <w:rPr>
          <w:b/>
          <w:szCs w:val="26"/>
        </w:rPr>
        <w:tab/>
        <w:t>Comments</w:t>
      </w:r>
    </w:p>
    <w:p w:rsidR="002B0B09" w:rsidRDefault="002B0B09" w:rsidP="001B6469">
      <w:pPr>
        <w:widowControl w:val="0"/>
        <w:overflowPunct/>
        <w:ind w:firstLine="720"/>
        <w:jc w:val="left"/>
        <w:rPr>
          <w:szCs w:val="26"/>
        </w:rPr>
      </w:pPr>
    </w:p>
    <w:p w:rsidR="002B0B09" w:rsidRDefault="002B0B09" w:rsidP="001B6469">
      <w:pPr>
        <w:widowControl w:val="0"/>
        <w:overflowPunct/>
        <w:ind w:firstLine="720"/>
        <w:jc w:val="left"/>
        <w:rPr>
          <w:szCs w:val="26"/>
        </w:rPr>
      </w:pPr>
      <w:r>
        <w:rPr>
          <w:szCs w:val="26"/>
        </w:rPr>
        <w:t>FirstEnergy notes that the current baselines in Table</w:t>
      </w:r>
      <w:r w:rsidR="006D7511">
        <w:rPr>
          <w:szCs w:val="26"/>
        </w:rPr>
        <w:t>s</w:t>
      </w:r>
      <w:r>
        <w:rPr>
          <w:szCs w:val="26"/>
        </w:rPr>
        <w:t xml:space="preserve"> 3-22</w:t>
      </w:r>
      <w:r w:rsidR="00520307">
        <w:rPr>
          <w:szCs w:val="26"/>
        </w:rPr>
        <w:t xml:space="preserve"> </w:t>
      </w:r>
      <w:r w:rsidR="006D7511">
        <w:rPr>
          <w:szCs w:val="26"/>
        </w:rPr>
        <w:t>and</w:t>
      </w:r>
      <w:r w:rsidR="00520307">
        <w:rPr>
          <w:szCs w:val="26"/>
        </w:rPr>
        <w:t xml:space="preserve"> 3-35 </w:t>
      </w:r>
      <w:r>
        <w:rPr>
          <w:szCs w:val="26"/>
        </w:rPr>
        <w:t xml:space="preserve">do not reflect federal code changes for systems less than 65,000 Btu/h set for January 2015. </w:t>
      </w:r>
      <w:r w:rsidR="00520307">
        <w:rPr>
          <w:szCs w:val="26"/>
        </w:rPr>
        <w:t xml:space="preserve"> </w:t>
      </w:r>
      <w:r>
        <w:rPr>
          <w:szCs w:val="26"/>
        </w:rPr>
        <w:t xml:space="preserve">FirstEnergy states that baselines will increase for </w:t>
      </w:r>
      <w:r w:rsidR="00520307">
        <w:rPr>
          <w:szCs w:val="26"/>
        </w:rPr>
        <w:t>ASHPs</w:t>
      </w:r>
      <w:r>
        <w:rPr>
          <w:szCs w:val="26"/>
        </w:rPr>
        <w:t xml:space="preserve"> from 13 SEER to 14 SEER</w:t>
      </w:r>
      <w:r w:rsidR="00520307">
        <w:rPr>
          <w:szCs w:val="26"/>
        </w:rPr>
        <w:t>,</w:t>
      </w:r>
      <w:r>
        <w:rPr>
          <w:szCs w:val="26"/>
        </w:rPr>
        <w:t xml:space="preserve"> increasing from 7.7 HSPF to 8.2 HSPF.</w:t>
      </w:r>
      <w:r>
        <w:rPr>
          <w:rStyle w:val="FootnoteReference"/>
          <w:szCs w:val="26"/>
        </w:rPr>
        <w:footnoteReference w:id="153"/>
      </w:r>
      <w:r>
        <w:rPr>
          <w:szCs w:val="26"/>
        </w:rPr>
        <w:t xml:space="preserve"> </w:t>
      </w:r>
      <w:r w:rsidR="006D7511">
        <w:rPr>
          <w:szCs w:val="26"/>
        </w:rPr>
        <w:t xml:space="preserve"> </w:t>
      </w:r>
      <w:r>
        <w:rPr>
          <w:szCs w:val="26"/>
        </w:rPr>
        <w:t>PECO recommends including the measure vintage  for Packaged Terminal Systems in Table 3-22.</w:t>
      </w:r>
      <w:r>
        <w:rPr>
          <w:rStyle w:val="FootnoteReference"/>
          <w:szCs w:val="26"/>
        </w:rPr>
        <w:footnoteReference w:id="154"/>
      </w:r>
      <w:r>
        <w:rPr>
          <w:szCs w:val="26"/>
        </w:rPr>
        <w:t xml:space="preserve"> </w:t>
      </w:r>
    </w:p>
    <w:p w:rsidR="00A3244B" w:rsidRDefault="00A3244B">
      <w:pPr>
        <w:overflowPunct/>
        <w:autoSpaceDE/>
        <w:autoSpaceDN/>
        <w:adjustRightInd/>
        <w:spacing w:line="240" w:lineRule="auto"/>
        <w:jc w:val="left"/>
        <w:rPr>
          <w:szCs w:val="26"/>
        </w:rPr>
      </w:pPr>
    </w:p>
    <w:p w:rsidR="002B0B09" w:rsidRPr="00A218CA" w:rsidRDefault="002B0B09" w:rsidP="001B6469">
      <w:pPr>
        <w:widowControl w:val="0"/>
        <w:overflowPunct/>
        <w:ind w:firstLine="720"/>
        <w:jc w:val="left"/>
        <w:rPr>
          <w:szCs w:val="26"/>
        </w:rPr>
      </w:pPr>
      <w:r>
        <w:rPr>
          <w:szCs w:val="26"/>
        </w:rPr>
        <w:tab/>
      </w:r>
      <w:r>
        <w:rPr>
          <w:szCs w:val="26"/>
        </w:rPr>
        <w:tab/>
      </w:r>
      <w:r>
        <w:rPr>
          <w:b/>
          <w:szCs w:val="26"/>
        </w:rPr>
        <w:t>ii.</w:t>
      </w:r>
      <w:r>
        <w:rPr>
          <w:b/>
          <w:szCs w:val="26"/>
        </w:rPr>
        <w:tab/>
        <w:t>Disposition</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3060"/>
        </w:tabs>
        <w:overflowPunct/>
        <w:jc w:val="left"/>
        <w:rPr>
          <w:szCs w:val="26"/>
        </w:rPr>
      </w:pPr>
      <w:r>
        <w:rPr>
          <w:szCs w:val="26"/>
        </w:rPr>
        <w:tab/>
        <w:t>The Commission reviewed the current federal standards for commercial</w:t>
      </w:r>
      <w:r w:rsidR="00E5504C">
        <w:rPr>
          <w:szCs w:val="26"/>
        </w:rPr>
        <w:t xml:space="preserve"> ASHPs</w:t>
      </w:r>
      <w:r>
        <w:rPr>
          <w:szCs w:val="26"/>
        </w:rPr>
        <w:t xml:space="preserve"> and determined that there is no recent code change. </w:t>
      </w:r>
      <w:r w:rsidR="00E5504C">
        <w:rPr>
          <w:szCs w:val="26"/>
        </w:rPr>
        <w:t xml:space="preserve"> </w:t>
      </w:r>
      <w:r>
        <w:rPr>
          <w:szCs w:val="26"/>
        </w:rPr>
        <w:t>The code updates</w:t>
      </w:r>
      <w:r w:rsidR="00E5504C">
        <w:rPr>
          <w:szCs w:val="26"/>
        </w:rPr>
        <w:t xml:space="preserve"> referenced by</w:t>
      </w:r>
      <w:r>
        <w:rPr>
          <w:szCs w:val="26"/>
        </w:rPr>
        <w:t xml:space="preserve"> FirstEnergy only apply to residential heat pumps.</w:t>
      </w:r>
      <w:r w:rsidR="00E5504C">
        <w:rPr>
          <w:szCs w:val="26"/>
        </w:rPr>
        <w:t xml:space="preserve"> </w:t>
      </w:r>
      <w:r>
        <w:rPr>
          <w:szCs w:val="26"/>
        </w:rPr>
        <w:t xml:space="preserve"> Therefore, the baseline values</w:t>
      </w:r>
      <w:r w:rsidR="00E5504C">
        <w:rPr>
          <w:szCs w:val="26"/>
        </w:rPr>
        <w:t xml:space="preserve"> proposed by the Commission </w:t>
      </w:r>
      <w:r>
        <w:rPr>
          <w:szCs w:val="26"/>
        </w:rPr>
        <w:t xml:space="preserve">are compliant with federal </w:t>
      </w:r>
      <w:r w:rsidR="00E82425">
        <w:rPr>
          <w:szCs w:val="26"/>
        </w:rPr>
        <w:t xml:space="preserve">standards </w:t>
      </w:r>
      <w:r>
        <w:rPr>
          <w:szCs w:val="26"/>
        </w:rPr>
        <w:t xml:space="preserve">and will remain unadjusted. </w:t>
      </w:r>
      <w:r w:rsidR="00E5504C">
        <w:rPr>
          <w:szCs w:val="26"/>
        </w:rPr>
        <w:t xml:space="preserve"> </w:t>
      </w:r>
      <w:r>
        <w:rPr>
          <w:szCs w:val="26"/>
        </w:rPr>
        <w:t xml:space="preserve">The Commission will continue to monitor changes in federal standards and propose updates accordingly. </w:t>
      </w:r>
      <w:r w:rsidR="00E5504C">
        <w:rPr>
          <w:szCs w:val="26"/>
        </w:rPr>
        <w:t xml:space="preserve"> </w:t>
      </w:r>
      <w:r>
        <w:rPr>
          <w:szCs w:val="26"/>
        </w:rPr>
        <w:t xml:space="preserve">The Commission also adopts PECO’s recommendation to include measure vintages of Packaged Terminal Systems.  </w:t>
      </w:r>
    </w:p>
    <w:p w:rsidR="002B0B09" w:rsidRPr="0098410B" w:rsidRDefault="002B0B09" w:rsidP="001B6469">
      <w:pPr>
        <w:widowControl w:val="0"/>
        <w:tabs>
          <w:tab w:val="left" w:pos="204"/>
          <w:tab w:val="left" w:pos="720"/>
        </w:tabs>
        <w:overflowPunct/>
        <w:jc w:val="left"/>
        <w:rPr>
          <w:szCs w:val="26"/>
        </w:rPr>
      </w:pPr>
    </w:p>
    <w:p w:rsidR="002B0B09" w:rsidRPr="0098410B" w:rsidRDefault="00E5504C" w:rsidP="00A95717">
      <w:pPr>
        <w:pStyle w:val="Heading4"/>
      </w:pPr>
      <w:r>
        <w:t>b</w:t>
      </w:r>
      <w:r w:rsidR="002B0B09">
        <w:t>.</w:t>
      </w:r>
      <w:r w:rsidR="002B0B09">
        <w:tab/>
      </w:r>
      <w:r w:rsidR="002B0B09" w:rsidRPr="0098410B">
        <w:t xml:space="preserve">Update Heating and Cooling </w:t>
      </w:r>
      <w:r w:rsidR="002B0B09">
        <w:t>EFLH</w:t>
      </w:r>
      <w:r w:rsidR="002B0B09" w:rsidRPr="0098410B">
        <w:br/>
      </w:r>
    </w:p>
    <w:p w:rsidR="002B0B09" w:rsidRDefault="002B0B09" w:rsidP="001B6469">
      <w:pPr>
        <w:widowControl w:val="0"/>
        <w:tabs>
          <w:tab w:val="left" w:pos="0"/>
          <w:tab w:val="left" w:pos="720"/>
        </w:tabs>
        <w:overflowPunct/>
        <w:jc w:val="left"/>
        <w:rPr>
          <w:szCs w:val="26"/>
        </w:rPr>
      </w:pPr>
      <w:r w:rsidRPr="0098410B">
        <w:rPr>
          <w:szCs w:val="26"/>
        </w:rPr>
        <w:tab/>
      </w:r>
      <w:r>
        <w:rPr>
          <w:szCs w:val="26"/>
        </w:rPr>
        <w:t xml:space="preserve">In the </w:t>
      </w:r>
      <w:r w:rsidR="00E82425">
        <w:rPr>
          <w:szCs w:val="26"/>
        </w:rPr>
        <w:t xml:space="preserve">2014 </w:t>
      </w:r>
      <w:r>
        <w:rPr>
          <w:szCs w:val="26"/>
        </w:rPr>
        <w:t xml:space="preserve">TRM update, the Commission directed the SWE to update </w:t>
      </w:r>
      <w:r w:rsidRPr="003B48EC">
        <w:rPr>
          <w:szCs w:val="26"/>
        </w:rPr>
        <w:t xml:space="preserve">cooling and heating EFLH values </w:t>
      </w:r>
      <w:r w:rsidR="00A3244B">
        <w:rPr>
          <w:szCs w:val="26"/>
        </w:rPr>
        <w:t>from</w:t>
      </w:r>
      <w:r w:rsidRPr="003B48EC">
        <w:rPr>
          <w:szCs w:val="26"/>
        </w:rPr>
        <w:t xml:space="preserve"> </w:t>
      </w:r>
      <w:proofErr w:type="spellStart"/>
      <w:r w:rsidRPr="003B48EC">
        <w:rPr>
          <w:szCs w:val="26"/>
        </w:rPr>
        <w:t>eQuest</w:t>
      </w:r>
      <w:proofErr w:type="spellEnd"/>
      <w:r w:rsidRPr="003B48EC">
        <w:rPr>
          <w:szCs w:val="26"/>
        </w:rPr>
        <w:t xml:space="preserve"> simulations.</w:t>
      </w:r>
      <w:r w:rsidR="002C20C0">
        <w:rPr>
          <w:szCs w:val="26"/>
        </w:rPr>
        <w:t xml:space="preserve">  </w:t>
      </w:r>
      <w:r>
        <w:rPr>
          <w:szCs w:val="26"/>
        </w:rPr>
        <w:t>In the Tentative Order, the C</w:t>
      </w:r>
      <w:r w:rsidRPr="002B6C1F">
        <w:rPr>
          <w:szCs w:val="26"/>
        </w:rPr>
        <w:t>ommission propose</w:t>
      </w:r>
      <w:r>
        <w:rPr>
          <w:szCs w:val="26"/>
        </w:rPr>
        <w:t>d</w:t>
      </w:r>
      <w:r w:rsidRPr="002B6C1F">
        <w:rPr>
          <w:szCs w:val="26"/>
        </w:rPr>
        <w:t xml:space="preserve"> adopting new air conditioning and heat pump EFLH values</w:t>
      </w:r>
      <w:r w:rsidRPr="009A3BF3">
        <w:rPr>
          <w:szCs w:val="26"/>
        </w:rPr>
        <w:t xml:space="preserve">. </w:t>
      </w:r>
      <w:r w:rsidR="002C20C0">
        <w:rPr>
          <w:szCs w:val="26"/>
        </w:rPr>
        <w:t xml:space="preserve"> </w:t>
      </w:r>
      <w:r w:rsidRPr="009A3BF3">
        <w:rPr>
          <w:szCs w:val="26"/>
        </w:rPr>
        <w:t xml:space="preserve">The proposed </w:t>
      </w:r>
      <w:r w:rsidRPr="009A3BF3">
        <w:rPr>
          <w:szCs w:val="26"/>
        </w:rPr>
        <w:lastRenderedPageBreak/>
        <w:t>changes also impact the values cross-referenced in the following TRM measures:</w:t>
      </w:r>
    </w:p>
    <w:p w:rsidR="002B0B09" w:rsidRPr="009A3BF3" w:rsidRDefault="002B0B09" w:rsidP="001B6469">
      <w:pPr>
        <w:pStyle w:val="ListParagraph"/>
        <w:widowControl w:val="0"/>
        <w:numPr>
          <w:ilvl w:val="0"/>
          <w:numId w:val="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3.2.3 – Water Source and Geothermal Heat Pumps;</w:t>
      </w:r>
    </w:p>
    <w:p w:rsidR="002B0B09" w:rsidRPr="009A3BF3" w:rsidRDefault="002B0B09" w:rsidP="001B6469">
      <w:pPr>
        <w:pStyle w:val="ListParagraph"/>
        <w:widowControl w:val="0"/>
        <w:numPr>
          <w:ilvl w:val="0"/>
          <w:numId w:val="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3.2.4 – Ductless Mini-Split Heat Pumps – Commercial &lt; 5.4 tons;</w:t>
      </w:r>
      <w:r w:rsidR="00670E1E">
        <w:rPr>
          <w:rStyle w:val="FootnoteReference"/>
        </w:rPr>
        <w:footnoteReference w:id="155"/>
      </w:r>
    </w:p>
    <w:p w:rsidR="002B0B09" w:rsidRPr="009A3BF3" w:rsidRDefault="002B0B09" w:rsidP="001B6469">
      <w:pPr>
        <w:pStyle w:val="ListParagraph"/>
        <w:widowControl w:val="0"/>
        <w:numPr>
          <w:ilvl w:val="0"/>
          <w:numId w:val="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3.2.5 – Fuel Switching: Small Commercial Electric Heat to Natural Gas / Propane / Oil Heat;</w:t>
      </w:r>
      <w:r w:rsidR="00670E1E">
        <w:rPr>
          <w:rStyle w:val="FootnoteReference"/>
        </w:rPr>
        <w:footnoteReference w:id="156"/>
      </w:r>
    </w:p>
    <w:p w:rsidR="00670E1E" w:rsidRPr="00670E1E" w:rsidRDefault="002B0B09" w:rsidP="001B6469">
      <w:pPr>
        <w:pStyle w:val="ListParagraph"/>
        <w:widowControl w:val="0"/>
        <w:numPr>
          <w:ilvl w:val="0"/>
          <w:numId w:val="8"/>
        </w:numPr>
        <w:tabs>
          <w:tab w:val="left" w:pos="-1710"/>
          <w:tab w:val="left" w:pos="0"/>
        </w:tabs>
        <w:overflowPunct/>
        <w:spacing w:after="0" w:line="360" w:lineRule="auto"/>
        <w:ind w:left="1440" w:hanging="720"/>
        <w:jc w:val="left"/>
        <w:rPr>
          <w:rFonts w:ascii="Times New Roman" w:hAnsi="Times New Roman"/>
          <w:sz w:val="26"/>
          <w:szCs w:val="26"/>
        </w:rPr>
      </w:pPr>
      <w:r w:rsidRPr="00670E1E">
        <w:rPr>
          <w:rFonts w:ascii="Times New Roman" w:hAnsi="Times New Roman"/>
          <w:sz w:val="26"/>
          <w:szCs w:val="26"/>
        </w:rPr>
        <w:t>Section 3.2.6 – Small C/I HVAC Refrigerant Charge Correction;</w:t>
      </w:r>
      <w:r w:rsidR="00670E1E">
        <w:rPr>
          <w:rStyle w:val="FootnoteReference"/>
        </w:rPr>
        <w:footnoteReference w:id="157"/>
      </w:r>
    </w:p>
    <w:p w:rsidR="002B0B09" w:rsidRPr="00670E1E" w:rsidRDefault="002B0B09" w:rsidP="001B6469">
      <w:pPr>
        <w:pStyle w:val="ListParagraph"/>
        <w:widowControl w:val="0"/>
        <w:numPr>
          <w:ilvl w:val="0"/>
          <w:numId w:val="8"/>
        </w:numPr>
        <w:tabs>
          <w:tab w:val="left" w:pos="-1710"/>
          <w:tab w:val="left" w:pos="0"/>
        </w:tabs>
        <w:overflowPunct/>
        <w:spacing w:after="0" w:line="360" w:lineRule="auto"/>
        <w:ind w:left="1440" w:hanging="720"/>
        <w:jc w:val="left"/>
        <w:rPr>
          <w:rFonts w:ascii="Times New Roman" w:hAnsi="Times New Roman"/>
          <w:sz w:val="26"/>
          <w:szCs w:val="26"/>
        </w:rPr>
      </w:pPr>
      <w:r w:rsidRPr="00670E1E">
        <w:rPr>
          <w:rFonts w:ascii="Times New Roman" w:hAnsi="Times New Roman"/>
          <w:sz w:val="26"/>
          <w:szCs w:val="26"/>
        </w:rPr>
        <w:t>Section 3.2.7 – ENERGY STAR Room Air Conditioner;</w:t>
      </w:r>
      <w:r w:rsidR="00670E1E">
        <w:rPr>
          <w:rStyle w:val="FootnoteReference"/>
        </w:rPr>
        <w:footnoteReference w:id="158"/>
      </w:r>
      <w:r w:rsidRPr="00670E1E">
        <w:rPr>
          <w:rFonts w:ascii="Times New Roman" w:hAnsi="Times New Roman"/>
          <w:sz w:val="26"/>
          <w:szCs w:val="26"/>
        </w:rPr>
        <w:t xml:space="preserve"> and</w:t>
      </w:r>
    </w:p>
    <w:p w:rsidR="002B0B09" w:rsidRDefault="002B0B09" w:rsidP="001B6469">
      <w:pPr>
        <w:pStyle w:val="ListParagraph"/>
        <w:widowControl w:val="0"/>
        <w:numPr>
          <w:ilvl w:val="0"/>
          <w:numId w:val="8"/>
        </w:numPr>
        <w:tabs>
          <w:tab w:val="left" w:pos="-1710"/>
          <w:tab w:val="left" w:pos="0"/>
        </w:tabs>
        <w:overflowPunct/>
        <w:spacing w:after="0" w:line="360" w:lineRule="auto"/>
        <w:ind w:left="1440" w:hanging="720"/>
        <w:jc w:val="left"/>
        <w:rPr>
          <w:rFonts w:ascii="Times New Roman" w:hAnsi="Times New Roman"/>
          <w:sz w:val="26"/>
          <w:szCs w:val="26"/>
        </w:rPr>
      </w:pPr>
      <w:r w:rsidRPr="009A3BF3">
        <w:rPr>
          <w:rFonts w:ascii="Times New Roman" w:hAnsi="Times New Roman"/>
          <w:sz w:val="26"/>
          <w:szCs w:val="26"/>
        </w:rPr>
        <w:t>Section 3.8.1 – Wall and Ceiling Insulation.</w:t>
      </w:r>
    </w:p>
    <w:p w:rsidR="00D87D53" w:rsidRDefault="00D87D53" w:rsidP="001B6469">
      <w:pPr>
        <w:widowControl w:val="0"/>
        <w:tabs>
          <w:tab w:val="left" w:pos="-1710"/>
          <w:tab w:val="left" w:pos="0"/>
        </w:tabs>
        <w:overflowPunct/>
        <w:jc w:val="left"/>
        <w:rPr>
          <w:szCs w:val="26"/>
        </w:rPr>
      </w:pPr>
    </w:p>
    <w:p w:rsidR="002B0B09" w:rsidRDefault="002B0B09" w:rsidP="001B6469">
      <w:pPr>
        <w:widowControl w:val="0"/>
        <w:tabs>
          <w:tab w:val="left" w:pos="-1710"/>
          <w:tab w:val="left" w:pos="0"/>
        </w:tabs>
        <w:overflowPunct/>
        <w:jc w:val="left"/>
        <w:rPr>
          <w:szCs w:val="26"/>
        </w:rPr>
      </w:pPr>
      <w:r>
        <w:rPr>
          <w:szCs w:val="26"/>
        </w:rPr>
        <w:tab/>
      </w:r>
      <w:r>
        <w:rPr>
          <w:szCs w:val="26"/>
        </w:rPr>
        <w:tab/>
      </w:r>
      <w:r>
        <w:rPr>
          <w:szCs w:val="26"/>
        </w:rPr>
        <w:tab/>
      </w:r>
      <w:r>
        <w:rPr>
          <w:b/>
          <w:szCs w:val="26"/>
        </w:rPr>
        <w:t>i.</w:t>
      </w:r>
      <w:r>
        <w:rPr>
          <w:b/>
          <w:szCs w:val="26"/>
        </w:rPr>
        <w:tab/>
        <w:t>Comments</w:t>
      </w:r>
    </w:p>
    <w:p w:rsidR="002B0B09" w:rsidRDefault="002B0B09" w:rsidP="001B6469">
      <w:pPr>
        <w:widowControl w:val="0"/>
        <w:tabs>
          <w:tab w:val="left" w:pos="-1710"/>
          <w:tab w:val="left" w:pos="0"/>
        </w:tabs>
        <w:overflowPunct/>
        <w:jc w:val="left"/>
        <w:rPr>
          <w:szCs w:val="26"/>
        </w:rPr>
      </w:pPr>
    </w:p>
    <w:p w:rsidR="002B0B09" w:rsidRDefault="002B0B09" w:rsidP="001B6469">
      <w:pPr>
        <w:widowControl w:val="0"/>
        <w:tabs>
          <w:tab w:val="left" w:pos="-1710"/>
          <w:tab w:val="left" w:pos="0"/>
        </w:tabs>
        <w:overflowPunct/>
        <w:jc w:val="left"/>
        <w:rPr>
          <w:szCs w:val="26"/>
        </w:rPr>
      </w:pPr>
      <w:r>
        <w:rPr>
          <w:szCs w:val="26"/>
        </w:rPr>
        <w:tab/>
        <w:t>PPL notes that</w:t>
      </w:r>
      <w:r w:rsidR="00032C76">
        <w:rPr>
          <w:szCs w:val="26"/>
        </w:rPr>
        <w:t>,</w:t>
      </w:r>
      <w:r>
        <w:rPr>
          <w:szCs w:val="26"/>
        </w:rPr>
        <w:t xml:space="preserve"> in Table 3-23 cooling EFLH values are provided for building type “Education-Relocatable Classroom.” </w:t>
      </w:r>
      <w:r w:rsidR="00032C76">
        <w:rPr>
          <w:szCs w:val="26"/>
        </w:rPr>
        <w:t xml:space="preserve"> </w:t>
      </w:r>
      <w:r>
        <w:rPr>
          <w:szCs w:val="26"/>
        </w:rPr>
        <w:t xml:space="preserve">However, this building type does not exist in Table 3-25. </w:t>
      </w:r>
      <w:r w:rsidR="00032C76">
        <w:rPr>
          <w:szCs w:val="26"/>
        </w:rPr>
        <w:t xml:space="preserve"> </w:t>
      </w:r>
      <w:r>
        <w:rPr>
          <w:szCs w:val="26"/>
        </w:rPr>
        <w:t>PPL recommends clarifying whether heating EFLH values are available and update the table as necessary.</w:t>
      </w:r>
      <w:r>
        <w:rPr>
          <w:rStyle w:val="FootnoteReference"/>
          <w:szCs w:val="26"/>
        </w:rPr>
        <w:footnoteReference w:id="159"/>
      </w:r>
      <w:r>
        <w:rPr>
          <w:szCs w:val="26"/>
        </w:rPr>
        <w:t xml:space="preserve">  </w:t>
      </w:r>
    </w:p>
    <w:p w:rsidR="002B0B09" w:rsidRDefault="002B0B09" w:rsidP="001B6469">
      <w:pPr>
        <w:widowControl w:val="0"/>
        <w:tabs>
          <w:tab w:val="left" w:pos="-1710"/>
          <w:tab w:val="left" w:pos="0"/>
        </w:tabs>
        <w:overflowPunct/>
        <w:jc w:val="left"/>
        <w:rPr>
          <w:szCs w:val="26"/>
        </w:rPr>
      </w:pPr>
    </w:p>
    <w:p w:rsidR="002B0B09" w:rsidRDefault="002B0B09" w:rsidP="001B6469">
      <w:pPr>
        <w:widowControl w:val="0"/>
        <w:tabs>
          <w:tab w:val="left" w:pos="-1710"/>
          <w:tab w:val="left" w:pos="0"/>
        </w:tabs>
        <w:overflowPunct/>
        <w:jc w:val="left"/>
        <w:rPr>
          <w:szCs w:val="26"/>
        </w:rPr>
      </w:pPr>
      <w:r>
        <w:rPr>
          <w:szCs w:val="26"/>
        </w:rPr>
        <w:tab/>
      </w:r>
      <w:r>
        <w:rPr>
          <w:szCs w:val="26"/>
        </w:rPr>
        <w:tab/>
      </w:r>
      <w:r>
        <w:rPr>
          <w:szCs w:val="26"/>
        </w:rPr>
        <w:tab/>
      </w:r>
      <w:r>
        <w:rPr>
          <w:b/>
          <w:szCs w:val="26"/>
        </w:rPr>
        <w:t>ii.</w:t>
      </w:r>
      <w:r>
        <w:rPr>
          <w:b/>
          <w:szCs w:val="26"/>
        </w:rPr>
        <w:tab/>
        <w:t>Disposition</w:t>
      </w:r>
    </w:p>
    <w:p w:rsidR="002B0B09" w:rsidRDefault="002B0B09" w:rsidP="001B6469">
      <w:pPr>
        <w:widowControl w:val="0"/>
        <w:tabs>
          <w:tab w:val="left" w:pos="-1710"/>
          <w:tab w:val="left" w:pos="0"/>
        </w:tabs>
        <w:overflowPunct/>
        <w:jc w:val="left"/>
        <w:rPr>
          <w:szCs w:val="26"/>
        </w:rPr>
      </w:pPr>
    </w:p>
    <w:p w:rsidR="002B0B09" w:rsidRDefault="002B0B09" w:rsidP="001B6469">
      <w:pPr>
        <w:widowControl w:val="0"/>
        <w:tabs>
          <w:tab w:val="left" w:pos="-1710"/>
          <w:tab w:val="left" w:pos="0"/>
        </w:tabs>
        <w:overflowPunct/>
        <w:jc w:val="left"/>
        <w:rPr>
          <w:szCs w:val="26"/>
        </w:rPr>
      </w:pPr>
      <w:r>
        <w:rPr>
          <w:szCs w:val="26"/>
        </w:rPr>
        <w:tab/>
        <w:t>The Commission acknowledges PPL’s comment and has added the EFLH values for the Education-Relocatable Classroom building type to Table 3-25.</w:t>
      </w:r>
    </w:p>
    <w:p w:rsidR="00D87D53" w:rsidRDefault="00D87D53" w:rsidP="00DE4154">
      <w:pPr>
        <w:widowControl w:val="0"/>
        <w:tabs>
          <w:tab w:val="left" w:pos="0"/>
          <w:tab w:val="left" w:pos="720"/>
        </w:tabs>
        <w:overflowPunct/>
        <w:jc w:val="left"/>
        <w:rPr>
          <w:szCs w:val="26"/>
        </w:rPr>
      </w:pPr>
    </w:p>
    <w:p w:rsidR="00D87D53" w:rsidRDefault="00D87D53" w:rsidP="00DE4154">
      <w:pPr>
        <w:widowControl w:val="0"/>
        <w:tabs>
          <w:tab w:val="left" w:pos="0"/>
          <w:tab w:val="left" w:pos="720"/>
        </w:tabs>
        <w:overflowPunct/>
        <w:jc w:val="left"/>
        <w:rPr>
          <w:szCs w:val="26"/>
        </w:rPr>
      </w:pPr>
    </w:p>
    <w:p w:rsidR="002B0B09" w:rsidRPr="0098410B" w:rsidRDefault="002B0B09" w:rsidP="00DE4154">
      <w:pPr>
        <w:widowControl w:val="0"/>
        <w:tabs>
          <w:tab w:val="left" w:pos="0"/>
          <w:tab w:val="left" w:pos="720"/>
        </w:tabs>
        <w:overflowPunct/>
        <w:jc w:val="left"/>
        <w:rPr>
          <w:szCs w:val="26"/>
        </w:rPr>
      </w:pPr>
      <w:r w:rsidRPr="009A3BF3">
        <w:rPr>
          <w:szCs w:val="26"/>
        </w:rPr>
        <w:tab/>
      </w:r>
    </w:p>
    <w:p w:rsidR="002B0B09" w:rsidRPr="00121F79" w:rsidRDefault="006922F1" w:rsidP="001B6469">
      <w:pPr>
        <w:pStyle w:val="Heading3"/>
        <w:numPr>
          <w:ilvl w:val="0"/>
          <w:numId w:val="0"/>
        </w:numPr>
        <w:ind w:left="720"/>
      </w:pPr>
      <w:bookmarkStart w:id="149" w:name="_Toc394648211"/>
      <w:bookmarkStart w:id="150" w:name="_Toc396910628"/>
      <w:bookmarkStart w:id="151" w:name="_Toc405802410"/>
      <w:bookmarkStart w:id="152" w:name="_Toc405884738"/>
      <w:r w:rsidRPr="00121F79">
        <w:lastRenderedPageBreak/>
        <w:t>3</w:t>
      </w:r>
      <w:r w:rsidR="002B0B09" w:rsidRPr="00121F79">
        <w:t>.</w:t>
      </w:r>
      <w:r w:rsidR="002B0B09" w:rsidRPr="00121F79">
        <w:tab/>
        <w:t>Section 3.2.2 – Electric Chillers</w:t>
      </w:r>
      <w:bookmarkEnd w:id="149"/>
      <w:bookmarkEnd w:id="150"/>
      <w:r w:rsidR="00385A1B" w:rsidRPr="00121F79">
        <w:rPr>
          <w:rStyle w:val="FootnoteReference"/>
          <w:b w:val="0"/>
        </w:rPr>
        <w:footnoteReference w:id="160"/>
      </w:r>
      <w:bookmarkEnd w:id="151"/>
      <w:bookmarkEnd w:id="152"/>
    </w:p>
    <w:p w:rsidR="002B0B09" w:rsidRPr="00121F79" w:rsidRDefault="002B0B09" w:rsidP="001B6469">
      <w:pPr>
        <w:jc w:val="left"/>
        <w:rPr>
          <w:szCs w:val="26"/>
        </w:rPr>
      </w:pPr>
    </w:p>
    <w:p w:rsidR="002B0B09" w:rsidRPr="00121F79" w:rsidRDefault="002B0B09" w:rsidP="00A95717">
      <w:pPr>
        <w:pStyle w:val="Heading4"/>
      </w:pPr>
      <w:r w:rsidRPr="00121F79">
        <w:t>a.</w:t>
      </w:r>
      <w:r w:rsidRPr="00121F79">
        <w:tab/>
        <w:t>Update EFLH and CF Default Values</w:t>
      </w:r>
    </w:p>
    <w:p w:rsidR="002B0B09" w:rsidRPr="00121F79" w:rsidRDefault="002B0B09" w:rsidP="001B6469">
      <w:pPr>
        <w:jc w:val="left"/>
        <w:rPr>
          <w:szCs w:val="26"/>
        </w:rPr>
      </w:pPr>
    </w:p>
    <w:p w:rsidR="002B0B09" w:rsidRPr="00121F79" w:rsidRDefault="002B0B09" w:rsidP="001B6469">
      <w:pPr>
        <w:widowControl w:val="0"/>
        <w:tabs>
          <w:tab w:val="left" w:pos="0"/>
          <w:tab w:val="left" w:pos="720"/>
        </w:tabs>
        <w:overflowPunct/>
        <w:jc w:val="left"/>
        <w:rPr>
          <w:szCs w:val="26"/>
        </w:rPr>
      </w:pPr>
      <w:r w:rsidRPr="00121F79">
        <w:rPr>
          <w:b/>
          <w:szCs w:val="26"/>
        </w:rPr>
        <w:tab/>
      </w:r>
      <w:r w:rsidRPr="00121F79">
        <w:rPr>
          <w:szCs w:val="26"/>
        </w:rPr>
        <w:t>The SWE used eQuest modeling to determine more accurate and reference city-specific EFLHs and CFs for electric chiller applications.</w:t>
      </w:r>
      <w:r w:rsidR="00736CE2" w:rsidRPr="00121F79">
        <w:rPr>
          <w:szCs w:val="26"/>
        </w:rPr>
        <w:t xml:space="preserve"> </w:t>
      </w:r>
      <w:r w:rsidRPr="00121F79">
        <w:rPr>
          <w:szCs w:val="26"/>
        </w:rPr>
        <w:t xml:space="preserve"> In the Tentative Order, the Commission proposed adopting the updated EFLHs and CFs for the 2015 TRM.</w:t>
      </w:r>
    </w:p>
    <w:p w:rsidR="002B0B09" w:rsidRPr="00121F79" w:rsidRDefault="002B0B09" w:rsidP="001B6469">
      <w:pPr>
        <w:widowControl w:val="0"/>
        <w:tabs>
          <w:tab w:val="left" w:pos="0"/>
          <w:tab w:val="left" w:pos="720"/>
        </w:tabs>
        <w:overflowPunct/>
        <w:jc w:val="left"/>
        <w:rPr>
          <w:szCs w:val="26"/>
        </w:rPr>
      </w:pPr>
    </w:p>
    <w:p w:rsidR="002B0B09" w:rsidRPr="00121F79" w:rsidRDefault="002B0B09" w:rsidP="001B6469">
      <w:pPr>
        <w:widowControl w:val="0"/>
        <w:tabs>
          <w:tab w:val="left" w:pos="0"/>
          <w:tab w:val="left" w:pos="720"/>
        </w:tabs>
        <w:overflowPunct/>
        <w:jc w:val="left"/>
        <w:rPr>
          <w:szCs w:val="26"/>
        </w:rPr>
      </w:pPr>
      <w:r w:rsidRPr="00121F79">
        <w:rPr>
          <w:szCs w:val="26"/>
        </w:rPr>
        <w:tab/>
      </w:r>
      <w:r w:rsidRPr="00121F79">
        <w:rPr>
          <w:szCs w:val="26"/>
        </w:rPr>
        <w:tab/>
      </w:r>
      <w:r w:rsidRPr="00121F79">
        <w:rPr>
          <w:szCs w:val="26"/>
        </w:rPr>
        <w:tab/>
      </w:r>
      <w:r w:rsidRPr="00121F79">
        <w:rPr>
          <w:b/>
          <w:szCs w:val="26"/>
        </w:rPr>
        <w:t>i.</w:t>
      </w:r>
      <w:r w:rsidRPr="00121F79">
        <w:rPr>
          <w:b/>
          <w:szCs w:val="26"/>
        </w:rPr>
        <w:tab/>
        <w:t>Comments</w:t>
      </w:r>
    </w:p>
    <w:p w:rsidR="002B0B09" w:rsidRPr="00121F79" w:rsidRDefault="002B0B09" w:rsidP="001B6469">
      <w:pPr>
        <w:widowControl w:val="0"/>
        <w:tabs>
          <w:tab w:val="left" w:pos="0"/>
          <w:tab w:val="left" w:pos="720"/>
        </w:tabs>
        <w:overflowPunct/>
        <w:jc w:val="left"/>
        <w:rPr>
          <w:szCs w:val="26"/>
        </w:rPr>
      </w:pPr>
    </w:p>
    <w:p w:rsidR="002B0B09" w:rsidRPr="00555676" w:rsidRDefault="002B0B09" w:rsidP="001B6469">
      <w:pPr>
        <w:widowControl w:val="0"/>
        <w:tabs>
          <w:tab w:val="left" w:pos="0"/>
          <w:tab w:val="left" w:pos="720"/>
        </w:tabs>
        <w:overflowPunct/>
        <w:jc w:val="left"/>
        <w:rPr>
          <w:szCs w:val="26"/>
        </w:rPr>
      </w:pPr>
      <w:r w:rsidRPr="00121F79">
        <w:rPr>
          <w:szCs w:val="26"/>
        </w:rPr>
        <w:tab/>
      </w:r>
      <w:r w:rsidRPr="00555676">
        <w:rPr>
          <w:szCs w:val="26"/>
        </w:rPr>
        <w:t xml:space="preserve">Duquesne </w:t>
      </w:r>
      <w:r w:rsidR="00736CE2" w:rsidRPr="00555676">
        <w:rPr>
          <w:szCs w:val="26"/>
        </w:rPr>
        <w:t>avers</w:t>
      </w:r>
      <w:r w:rsidRPr="00555676">
        <w:rPr>
          <w:szCs w:val="26"/>
        </w:rPr>
        <w:t xml:space="preserve"> that the 2014 TRM baseline EFLHs were extremely conservative, technically feasible from an engineering perspective, but very optimistic in terms of how any such baseline mechanism system should be operated. </w:t>
      </w:r>
      <w:r w:rsidR="00736CE2" w:rsidRPr="00555676">
        <w:rPr>
          <w:szCs w:val="26"/>
        </w:rPr>
        <w:t xml:space="preserve"> </w:t>
      </w:r>
      <w:r w:rsidRPr="00555676">
        <w:rPr>
          <w:szCs w:val="26"/>
        </w:rPr>
        <w:t xml:space="preserve">However, </w:t>
      </w:r>
      <w:r w:rsidR="00736CE2" w:rsidRPr="00555676">
        <w:rPr>
          <w:szCs w:val="26"/>
        </w:rPr>
        <w:t xml:space="preserve">Duquesne notes that </w:t>
      </w:r>
      <w:r w:rsidRPr="00555676">
        <w:rPr>
          <w:szCs w:val="26"/>
        </w:rPr>
        <w:t xml:space="preserve">the </w:t>
      </w:r>
      <w:r w:rsidR="00736CE2" w:rsidRPr="00555676">
        <w:rPr>
          <w:szCs w:val="26"/>
        </w:rPr>
        <w:t xml:space="preserve">proposed </w:t>
      </w:r>
      <w:r w:rsidRPr="00555676">
        <w:rPr>
          <w:szCs w:val="26"/>
        </w:rPr>
        <w:t xml:space="preserve">2015 TRM chiller EFLH values for the office building types values are significantly lower. </w:t>
      </w:r>
      <w:r w:rsidR="00736CE2" w:rsidRPr="00555676">
        <w:rPr>
          <w:szCs w:val="26"/>
        </w:rPr>
        <w:t xml:space="preserve"> </w:t>
      </w:r>
      <w:r w:rsidRPr="00555676">
        <w:rPr>
          <w:szCs w:val="26"/>
        </w:rPr>
        <w:t>Duquesne recommends including an appendix with relevant input assumptions or any peer review studies or published studies that might support these reduced values.</w:t>
      </w:r>
      <w:r w:rsidRPr="00555676">
        <w:rPr>
          <w:rStyle w:val="FootnoteReference"/>
          <w:szCs w:val="26"/>
        </w:rPr>
        <w:footnoteReference w:id="161"/>
      </w:r>
      <w:r w:rsidRPr="00555676">
        <w:rPr>
          <w:szCs w:val="26"/>
        </w:rPr>
        <w:t xml:space="preserve"> </w:t>
      </w:r>
    </w:p>
    <w:p w:rsidR="002B0B09" w:rsidRPr="00555676" w:rsidRDefault="002B0B09" w:rsidP="001B6469">
      <w:pPr>
        <w:widowControl w:val="0"/>
        <w:tabs>
          <w:tab w:val="left" w:pos="0"/>
          <w:tab w:val="left" w:pos="720"/>
        </w:tabs>
        <w:overflowPunct/>
        <w:jc w:val="left"/>
        <w:rPr>
          <w:szCs w:val="26"/>
        </w:rPr>
      </w:pPr>
    </w:p>
    <w:p w:rsidR="002B0B09" w:rsidRPr="00555676" w:rsidRDefault="002B0B09" w:rsidP="001B6469">
      <w:pPr>
        <w:widowControl w:val="0"/>
        <w:tabs>
          <w:tab w:val="left" w:pos="0"/>
          <w:tab w:val="left" w:pos="720"/>
        </w:tabs>
        <w:overflowPunct/>
        <w:jc w:val="left"/>
        <w:rPr>
          <w:szCs w:val="26"/>
        </w:rPr>
      </w:pPr>
      <w:r w:rsidRPr="00555676">
        <w:rPr>
          <w:szCs w:val="26"/>
        </w:rPr>
        <w:tab/>
      </w:r>
      <w:r w:rsidRPr="00555676">
        <w:rPr>
          <w:szCs w:val="26"/>
        </w:rPr>
        <w:tab/>
      </w:r>
      <w:r w:rsidRPr="00555676">
        <w:rPr>
          <w:szCs w:val="26"/>
        </w:rPr>
        <w:tab/>
      </w:r>
      <w:r w:rsidRPr="00555676">
        <w:rPr>
          <w:b/>
          <w:szCs w:val="26"/>
        </w:rPr>
        <w:t>ii.</w:t>
      </w:r>
      <w:r w:rsidRPr="00555676">
        <w:rPr>
          <w:b/>
          <w:szCs w:val="26"/>
        </w:rPr>
        <w:tab/>
        <w:t>Disposition</w:t>
      </w:r>
    </w:p>
    <w:p w:rsidR="002B0B09" w:rsidRPr="00555676" w:rsidRDefault="002B0B09" w:rsidP="001B6469">
      <w:pPr>
        <w:widowControl w:val="0"/>
        <w:tabs>
          <w:tab w:val="left" w:pos="0"/>
          <w:tab w:val="left" w:pos="720"/>
        </w:tabs>
        <w:overflowPunct/>
        <w:jc w:val="left"/>
        <w:rPr>
          <w:szCs w:val="26"/>
        </w:rPr>
      </w:pPr>
      <w:r w:rsidRPr="00555676">
        <w:rPr>
          <w:szCs w:val="26"/>
        </w:rPr>
        <w:tab/>
      </w:r>
    </w:p>
    <w:p w:rsidR="00121F79" w:rsidRPr="00555676" w:rsidRDefault="002B0B09" w:rsidP="00121F79">
      <w:pPr>
        <w:widowControl w:val="0"/>
        <w:tabs>
          <w:tab w:val="left" w:pos="0"/>
          <w:tab w:val="left" w:pos="720"/>
        </w:tabs>
        <w:overflowPunct/>
        <w:jc w:val="left"/>
        <w:rPr>
          <w:szCs w:val="26"/>
        </w:rPr>
      </w:pPr>
      <w:r w:rsidRPr="00555676">
        <w:rPr>
          <w:szCs w:val="26"/>
        </w:rPr>
        <w:tab/>
      </w:r>
      <w:r w:rsidR="00121F79" w:rsidRPr="00555676">
        <w:rPr>
          <w:szCs w:val="26"/>
        </w:rPr>
        <w:t xml:space="preserve">The Commission recognizes Duquesne’s concern and </w:t>
      </w:r>
      <w:r w:rsidR="00756BF8" w:rsidRPr="00555676">
        <w:rPr>
          <w:szCs w:val="26"/>
        </w:rPr>
        <w:t>clarifies</w:t>
      </w:r>
      <w:r w:rsidR="00121F79" w:rsidRPr="00555676">
        <w:rPr>
          <w:szCs w:val="26"/>
        </w:rPr>
        <w:t xml:space="preserve"> that, to update the EFLH and CF values, the SWE used available DEER prototypes, updated in September 2013, to model 21 facility types.  The SWE also considered several sets of representative building prototypes; the Department of Energy (DOE) reference buildings, for which there are only three vintage classifications; the 1992 Gas Research Institute prototypes, on which the DOE reference buildings are based and the DEER prototypes.  The DEER </w:t>
      </w:r>
      <w:r w:rsidR="00121F79" w:rsidRPr="00555676">
        <w:rPr>
          <w:szCs w:val="26"/>
        </w:rPr>
        <w:lastRenderedPageBreak/>
        <w:t xml:space="preserve">prototypical buildings offer more diverse facilities, twelve different vintages of each facility, and more HVAC system-type permutations for each facility than the other prototype sets.  Also, there is no known DOE2.2 version of the DOE reference buildings.  </w:t>
      </w:r>
    </w:p>
    <w:p w:rsidR="00121F79" w:rsidRPr="00555676" w:rsidRDefault="00121F79" w:rsidP="00121F79">
      <w:pPr>
        <w:widowControl w:val="0"/>
        <w:tabs>
          <w:tab w:val="left" w:pos="0"/>
          <w:tab w:val="left" w:pos="720"/>
        </w:tabs>
        <w:overflowPunct/>
        <w:jc w:val="left"/>
        <w:rPr>
          <w:szCs w:val="26"/>
        </w:rPr>
      </w:pPr>
    </w:p>
    <w:p w:rsidR="00121F79" w:rsidRPr="00555676" w:rsidRDefault="00121F79" w:rsidP="00121F79">
      <w:pPr>
        <w:widowControl w:val="0"/>
        <w:tabs>
          <w:tab w:val="left" w:pos="0"/>
          <w:tab w:val="left" w:pos="720"/>
        </w:tabs>
        <w:overflowPunct/>
        <w:jc w:val="left"/>
        <w:rPr>
          <w:szCs w:val="26"/>
        </w:rPr>
      </w:pPr>
      <w:r w:rsidRPr="00555676">
        <w:rPr>
          <w:szCs w:val="26"/>
        </w:rPr>
        <w:tab/>
        <w:t xml:space="preserve">The DEER module utilizes building prototype and measure characterization information grouped by building type, vintage and climate zone in its estimation of building energy consumption.  The SWE selected the 1993 to 2001 vintage for all models and kept the building shell, schedules and loads parameters constant while altering the HVAC system type.  Typical meteorological year three weather data for Allentown, Erie, Harrisburg, Philadelphia, Pittsburgh, Scranton and Williamsport were also incorporated to account for differences in climate and to create Pennsylvania-specific building prototypes. </w:t>
      </w:r>
    </w:p>
    <w:p w:rsidR="00121F79" w:rsidRPr="00555676" w:rsidRDefault="00121F79" w:rsidP="00121F79">
      <w:pPr>
        <w:widowControl w:val="0"/>
        <w:tabs>
          <w:tab w:val="left" w:pos="0"/>
          <w:tab w:val="left" w:pos="720"/>
        </w:tabs>
        <w:overflowPunct/>
        <w:jc w:val="left"/>
        <w:rPr>
          <w:szCs w:val="26"/>
        </w:rPr>
      </w:pPr>
      <w:r w:rsidRPr="00555676">
        <w:rPr>
          <w:szCs w:val="26"/>
        </w:rPr>
        <w:tab/>
      </w:r>
      <w:r w:rsidRPr="00555676">
        <w:rPr>
          <w:szCs w:val="26"/>
        </w:rPr>
        <w:tab/>
      </w:r>
    </w:p>
    <w:p w:rsidR="00121F79" w:rsidRDefault="00121F79" w:rsidP="00121F79">
      <w:pPr>
        <w:widowControl w:val="0"/>
        <w:tabs>
          <w:tab w:val="left" w:pos="0"/>
          <w:tab w:val="left" w:pos="720"/>
        </w:tabs>
        <w:overflowPunct/>
        <w:jc w:val="left"/>
        <w:rPr>
          <w:szCs w:val="26"/>
        </w:rPr>
      </w:pPr>
      <w:r w:rsidRPr="00555676">
        <w:rPr>
          <w:szCs w:val="26"/>
        </w:rPr>
        <w:tab/>
        <w:t>The eQuest simulation output files which contain annual hourly energy consumption for HVAC equipment are split into separate profiles for heating and cooling.  The SWE developed a procedure to extract the data and manipulate the hourly data to calculate the EFLHs and CFs for electric chiller applications.</w:t>
      </w:r>
      <w:r>
        <w:rPr>
          <w:szCs w:val="26"/>
        </w:rPr>
        <w:t xml:space="preserve"> </w:t>
      </w:r>
      <w:r w:rsidRPr="00883C35">
        <w:rPr>
          <w:szCs w:val="26"/>
        </w:rPr>
        <w:t xml:space="preserve"> </w:t>
      </w:r>
    </w:p>
    <w:p w:rsidR="00555676" w:rsidRDefault="00555676" w:rsidP="00121F79">
      <w:pPr>
        <w:widowControl w:val="0"/>
        <w:tabs>
          <w:tab w:val="left" w:pos="0"/>
          <w:tab w:val="left" w:pos="720"/>
        </w:tabs>
        <w:overflowPunct/>
        <w:jc w:val="left"/>
        <w:rPr>
          <w:szCs w:val="26"/>
        </w:rPr>
      </w:pPr>
    </w:p>
    <w:p w:rsidR="00555676" w:rsidRPr="00883C35" w:rsidRDefault="00555676" w:rsidP="00121F79">
      <w:pPr>
        <w:widowControl w:val="0"/>
        <w:tabs>
          <w:tab w:val="left" w:pos="0"/>
          <w:tab w:val="left" w:pos="720"/>
        </w:tabs>
        <w:overflowPunct/>
        <w:jc w:val="left"/>
        <w:rPr>
          <w:szCs w:val="26"/>
        </w:rPr>
      </w:pPr>
      <w:r>
        <w:rPr>
          <w:szCs w:val="26"/>
        </w:rPr>
        <w:tab/>
        <w:t>Therefore, we adopt the updates to the EFLHs and CFs as they were proposed.</w:t>
      </w:r>
    </w:p>
    <w:p w:rsidR="002B0B09" w:rsidRDefault="002B0B09" w:rsidP="001B6469">
      <w:pPr>
        <w:widowControl w:val="0"/>
        <w:overflowPunct/>
        <w:ind w:firstLine="720"/>
        <w:jc w:val="left"/>
        <w:rPr>
          <w:szCs w:val="26"/>
        </w:rPr>
      </w:pPr>
    </w:p>
    <w:p w:rsidR="002B0B09" w:rsidRDefault="00DE4154" w:rsidP="00A95717">
      <w:pPr>
        <w:pStyle w:val="Heading4"/>
      </w:pPr>
      <w:r>
        <w:t>b.</w:t>
      </w:r>
      <w:r w:rsidR="002B0B09">
        <w:tab/>
        <w:t>Additional Chiller Protocols</w:t>
      </w:r>
    </w:p>
    <w:p w:rsidR="002B0B09" w:rsidRDefault="002B0B09" w:rsidP="001B6469">
      <w:pPr>
        <w:pStyle w:val="BodyTextIndent3"/>
        <w:jc w:val="left"/>
      </w:pPr>
    </w:p>
    <w:p w:rsidR="002B0B09" w:rsidRDefault="002B0B09" w:rsidP="001B6469">
      <w:pPr>
        <w:ind w:firstLine="720"/>
        <w:jc w:val="left"/>
      </w:pPr>
      <w:r>
        <w:t xml:space="preserve">Additional Chiller protocols were not discussed in the Commission’s Tentative Order. </w:t>
      </w:r>
      <w:r w:rsidR="00736CE2">
        <w:t xml:space="preserve"> </w:t>
      </w:r>
      <w:r>
        <w:t xml:space="preserve">However, comments were </w:t>
      </w:r>
      <w:r w:rsidR="00E82425">
        <w:t>received</w:t>
      </w:r>
      <w:r>
        <w:t xml:space="preserve"> and are addressed below. </w:t>
      </w:r>
    </w:p>
    <w:p w:rsidR="00BB450B" w:rsidRDefault="00BB450B" w:rsidP="001B6469">
      <w:pPr>
        <w:ind w:firstLine="720"/>
        <w:jc w:val="left"/>
      </w:pPr>
    </w:p>
    <w:p w:rsidR="002B0B09" w:rsidRDefault="002B0B09" w:rsidP="001B6469">
      <w:pPr>
        <w:widowControl w:val="0"/>
        <w:overflowPunct/>
        <w:ind w:left="1440" w:firstLine="720"/>
        <w:jc w:val="left"/>
        <w:rPr>
          <w:szCs w:val="26"/>
        </w:rPr>
      </w:pPr>
      <w:r>
        <w:rPr>
          <w:b/>
          <w:szCs w:val="26"/>
        </w:rPr>
        <w:t>i.</w:t>
      </w:r>
      <w:r>
        <w:rPr>
          <w:b/>
          <w:szCs w:val="26"/>
        </w:rPr>
        <w:tab/>
        <w:t>Comments</w:t>
      </w:r>
    </w:p>
    <w:p w:rsidR="002B0B09" w:rsidRDefault="002B0B09" w:rsidP="001B6469">
      <w:pPr>
        <w:widowControl w:val="0"/>
        <w:overflowPunct/>
        <w:ind w:firstLine="720"/>
        <w:jc w:val="left"/>
        <w:rPr>
          <w:szCs w:val="26"/>
        </w:rPr>
      </w:pPr>
    </w:p>
    <w:p w:rsidR="002B0B09" w:rsidRDefault="002B0B09" w:rsidP="001B6469">
      <w:pPr>
        <w:widowControl w:val="0"/>
        <w:overflowPunct/>
        <w:ind w:firstLine="720"/>
        <w:jc w:val="left"/>
        <w:rPr>
          <w:szCs w:val="26"/>
        </w:rPr>
      </w:pPr>
      <w:r>
        <w:rPr>
          <w:szCs w:val="26"/>
        </w:rPr>
        <w:t>Duquesne requests the addition of two measure protocols: 1) VFD Chillers and Adding VFDs to Existing Chillers</w:t>
      </w:r>
      <w:r w:rsidR="00736CE2">
        <w:rPr>
          <w:szCs w:val="26"/>
        </w:rPr>
        <w:t>;</w:t>
      </w:r>
      <w:r>
        <w:rPr>
          <w:szCs w:val="26"/>
        </w:rPr>
        <w:t xml:space="preserve"> and 2) Multi-Chiller Plant Chiller Retrofit. </w:t>
      </w:r>
      <w:r w:rsidR="00736CE2">
        <w:rPr>
          <w:szCs w:val="26"/>
        </w:rPr>
        <w:t xml:space="preserve"> </w:t>
      </w:r>
      <w:r>
        <w:rPr>
          <w:szCs w:val="26"/>
        </w:rPr>
        <w:t xml:space="preserve">Duquesne </w:t>
      </w:r>
      <w:r>
        <w:rPr>
          <w:szCs w:val="26"/>
        </w:rPr>
        <w:lastRenderedPageBreak/>
        <w:t>notes that Section 3.2.2</w:t>
      </w:r>
      <w:r w:rsidR="00736CE2">
        <w:rPr>
          <w:szCs w:val="26"/>
        </w:rPr>
        <w:t xml:space="preserve"> – Electric Chillers</w:t>
      </w:r>
      <w:r>
        <w:rPr>
          <w:szCs w:val="26"/>
        </w:rPr>
        <w:t xml:space="preserve"> utilizes peak load kW per ton and EFLH and therefore does not quantify the savings impacts of a VFD installed on a chiller. </w:t>
      </w:r>
      <w:r w:rsidR="00736CE2">
        <w:rPr>
          <w:szCs w:val="26"/>
        </w:rPr>
        <w:t xml:space="preserve"> </w:t>
      </w:r>
      <w:r>
        <w:rPr>
          <w:szCs w:val="26"/>
        </w:rPr>
        <w:t xml:space="preserve">Duquesne recommends adding a protocol to determine savings for the installation of a new chiller with a VFD or the retrofit of an existing chiller with a VFD. </w:t>
      </w:r>
      <w:r w:rsidR="00736CE2">
        <w:rPr>
          <w:szCs w:val="26"/>
        </w:rPr>
        <w:t xml:space="preserve"> </w:t>
      </w:r>
      <w:r>
        <w:rPr>
          <w:szCs w:val="26"/>
        </w:rPr>
        <w:t>Duquesne also recommends the addition of a protocol to estimate the savings from installing high efficiency electric chillers, with or without VFDs, in a facility that has multiple chillers.</w:t>
      </w:r>
      <w:r>
        <w:rPr>
          <w:rStyle w:val="FootnoteReference"/>
          <w:szCs w:val="26"/>
        </w:rPr>
        <w:footnoteReference w:id="162"/>
      </w:r>
      <w:r>
        <w:rPr>
          <w:szCs w:val="26"/>
        </w:rPr>
        <w:t xml:space="preserve"> </w:t>
      </w:r>
    </w:p>
    <w:p w:rsidR="00A3244B" w:rsidRDefault="00A3244B">
      <w:pPr>
        <w:overflowPunct/>
        <w:autoSpaceDE/>
        <w:autoSpaceDN/>
        <w:adjustRightInd/>
        <w:spacing w:line="240" w:lineRule="auto"/>
        <w:jc w:val="left"/>
        <w:rPr>
          <w:szCs w:val="26"/>
        </w:rPr>
      </w:pPr>
    </w:p>
    <w:p w:rsidR="002B0B09" w:rsidRDefault="002B0B09" w:rsidP="001B6469">
      <w:pPr>
        <w:widowControl w:val="0"/>
        <w:overflowPunct/>
        <w:ind w:firstLine="720"/>
        <w:jc w:val="left"/>
        <w:rPr>
          <w:szCs w:val="26"/>
        </w:rPr>
      </w:pPr>
      <w:r>
        <w:rPr>
          <w:szCs w:val="26"/>
        </w:rPr>
        <w:tab/>
      </w:r>
      <w:r>
        <w:rPr>
          <w:szCs w:val="26"/>
        </w:rPr>
        <w:tab/>
      </w:r>
      <w:r>
        <w:rPr>
          <w:b/>
          <w:szCs w:val="26"/>
        </w:rPr>
        <w:t>ii.</w:t>
      </w:r>
      <w:r>
        <w:rPr>
          <w:b/>
          <w:szCs w:val="26"/>
        </w:rPr>
        <w:tab/>
        <w:t>Disposition</w:t>
      </w:r>
    </w:p>
    <w:p w:rsidR="002B0B09" w:rsidRDefault="002B0B09" w:rsidP="001B6469">
      <w:pPr>
        <w:pStyle w:val="BodyTextIndent3"/>
        <w:jc w:val="left"/>
      </w:pPr>
    </w:p>
    <w:p w:rsidR="00B74082" w:rsidRDefault="002B0B09" w:rsidP="001B6469">
      <w:pPr>
        <w:jc w:val="left"/>
      </w:pPr>
      <w:r>
        <w:tab/>
      </w:r>
      <w:r w:rsidRPr="008C6027">
        <w:t xml:space="preserve">The Commission disagrees with </w:t>
      </w:r>
      <w:r>
        <w:t>Duquesne</w:t>
      </w:r>
      <w:r w:rsidRPr="008C6027">
        <w:t>’s proposed use of full-load efficiencies for the baseline chiller’s efficiency in lieu of</w:t>
      </w:r>
      <w:r w:rsidR="004C2E50">
        <w:t xml:space="preserve"> integrated part load values</w:t>
      </w:r>
      <w:r w:rsidRPr="008C6027">
        <w:t xml:space="preserve"> </w:t>
      </w:r>
      <w:r w:rsidR="004C2E50">
        <w:t>(</w:t>
      </w:r>
      <w:r w:rsidRPr="008C6027">
        <w:t>IPLV</w:t>
      </w:r>
      <w:r w:rsidR="004C2E50">
        <w:t>)</w:t>
      </w:r>
      <w:r w:rsidRPr="008C6027">
        <w:t xml:space="preserve"> for savings calculations as chillers typically are not fully loaded</w:t>
      </w:r>
      <w:r w:rsidR="00E805F3">
        <w:t xml:space="preserve"> the</w:t>
      </w:r>
      <w:r w:rsidRPr="008C6027">
        <w:t xml:space="preserve"> majority of the time. </w:t>
      </w:r>
      <w:r w:rsidR="00E805F3">
        <w:t xml:space="preserve"> </w:t>
      </w:r>
      <w:r w:rsidRPr="008C6027">
        <w:t xml:space="preserve">However, the Commission agrees with </w:t>
      </w:r>
      <w:r>
        <w:t>Duquesne</w:t>
      </w:r>
      <w:r w:rsidRPr="008C6027">
        <w:t xml:space="preserve"> </w:t>
      </w:r>
      <w:r>
        <w:t>on</w:t>
      </w:r>
      <w:r w:rsidRPr="008C6027">
        <w:t xml:space="preserve"> the need to clarify the coverage of the existing protocol and potentially add another protocol. </w:t>
      </w:r>
      <w:r w:rsidR="00E805F3">
        <w:t xml:space="preserve"> </w:t>
      </w:r>
      <w:r w:rsidRPr="008C6027">
        <w:t>The Commission believes that the existing protocol for electric chillers appropriately determines savings for all replace on burnout scenarios (regardless of whether the new chiller has a VFD or not) and early replacement scenarios where the IPLV of both the old and new chillers is known.</w:t>
      </w:r>
      <w:r w:rsidR="00E805F3">
        <w:t xml:space="preserve"> </w:t>
      </w:r>
      <w:r w:rsidRPr="008C6027">
        <w:t xml:space="preserve"> </w:t>
      </w:r>
    </w:p>
    <w:p w:rsidR="00B74082" w:rsidRDefault="00B74082" w:rsidP="001B6469">
      <w:pPr>
        <w:jc w:val="left"/>
      </w:pPr>
    </w:p>
    <w:p w:rsidR="002B0B09" w:rsidRPr="008303FE" w:rsidRDefault="002B0B09" w:rsidP="00756BF8">
      <w:pPr>
        <w:ind w:firstLine="720"/>
        <w:jc w:val="left"/>
      </w:pPr>
      <w:r w:rsidRPr="008C6027">
        <w:t xml:space="preserve">Conversely, the Commission </w:t>
      </w:r>
      <w:r>
        <w:t xml:space="preserve">clarifies </w:t>
      </w:r>
      <w:r w:rsidRPr="008C6027">
        <w:t>that the retrofit scenario where a non-VFD chiller is retrofitted with a VFD, thereby changing the IPLV of the chiller, is not covered in the existing electric chiller protocol.</w:t>
      </w:r>
      <w:r w:rsidR="00E805F3">
        <w:t xml:space="preserve"> </w:t>
      </w:r>
      <w:r w:rsidRPr="008C6027">
        <w:t xml:space="preserve"> In order for the TRM to include such a measure, the impact of adding a VFD to an already installed chiller must be researched. </w:t>
      </w:r>
      <w:r w:rsidR="00E805F3">
        <w:t xml:space="preserve"> </w:t>
      </w:r>
      <w:r w:rsidRPr="008C6027">
        <w:t xml:space="preserve">Therefore, the Commission encourages </w:t>
      </w:r>
      <w:r>
        <w:t>Duquesne</w:t>
      </w:r>
      <w:r w:rsidR="00E805F3">
        <w:t xml:space="preserve"> to submit for the SWE’s review, an interim measure protocol (IMP) </w:t>
      </w:r>
      <w:r w:rsidRPr="008C6027">
        <w:t>that quantifies the impacts</w:t>
      </w:r>
      <w:r w:rsidR="00E805F3">
        <w:t>,</w:t>
      </w:r>
      <w:r w:rsidR="00E805F3" w:rsidRPr="00E805F3">
        <w:t xml:space="preserve"> </w:t>
      </w:r>
      <w:r w:rsidR="00E805F3" w:rsidRPr="008303FE">
        <w:t>based on data from previous projects and other appropriate data sources</w:t>
      </w:r>
      <w:r w:rsidR="00E805F3">
        <w:t>,</w:t>
      </w:r>
      <w:r w:rsidRPr="008C6027">
        <w:t xml:space="preserve"> of adding VFDs to alrea</w:t>
      </w:r>
      <w:r w:rsidR="00E805F3">
        <w:t>dy-</w:t>
      </w:r>
      <w:r>
        <w:t>installed electric chillers</w:t>
      </w:r>
      <w:r w:rsidRPr="008303FE">
        <w:t xml:space="preserve">. </w:t>
      </w:r>
    </w:p>
    <w:p w:rsidR="002B0B09" w:rsidRDefault="002B0B09" w:rsidP="001B6469">
      <w:pPr>
        <w:jc w:val="left"/>
      </w:pPr>
    </w:p>
    <w:p w:rsidR="002B0B09" w:rsidRDefault="002B0B09" w:rsidP="001B6469">
      <w:pPr>
        <w:ind w:firstLine="720"/>
        <w:jc w:val="left"/>
      </w:pPr>
      <w:r>
        <w:lastRenderedPageBreak/>
        <w:t xml:space="preserve">The Commission rejects Duquesne’s suggestion to add </w:t>
      </w:r>
      <w:r w:rsidR="00E805F3">
        <w:t>a m</w:t>
      </w:r>
      <w:r>
        <w:t>ulti-</w:t>
      </w:r>
      <w:r w:rsidR="00E805F3">
        <w:t>c</w:t>
      </w:r>
      <w:r>
        <w:t xml:space="preserve">hiller </w:t>
      </w:r>
      <w:r w:rsidR="00E805F3">
        <w:t>p</w:t>
      </w:r>
      <w:r>
        <w:t xml:space="preserve">lant </w:t>
      </w:r>
      <w:r w:rsidR="00E805F3">
        <w:t>chiller r</w:t>
      </w:r>
      <w:r>
        <w:t xml:space="preserve">etrofit protocol and believes that it should be considered a custom measure. </w:t>
      </w:r>
      <w:r w:rsidR="00E805F3">
        <w:t xml:space="preserve"> </w:t>
      </w:r>
      <w:r>
        <w:t>There are several site-specific factors</w:t>
      </w:r>
      <w:r w:rsidR="00E805F3">
        <w:t>,</w:t>
      </w:r>
      <w:r>
        <w:t xml:space="preserve"> such as geographic and climate conditions, building load characteristics, cooling system con</w:t>
      </w:r>
      <w:r w:rsidR="00E805F3">
        <w:t xml:space="preserve">figuration, hours of operation </w:t>
      </w:r>
      <w:r>
        <w:t>and economizer capabilities that can affect the installation of a chiller in a multi-chiller application.</w:t>
      </w:r>
    </w:p>
    <w:p w:rsidR="00A3244B" w:rsidRDefault="00A3244B">
      <w:pPr>
        <w:overflowPunct/>
        <w:autoSpaceDE/>
        <w:autoSpaceDN/>
        <w:adjustRightInd/>
        <w:spacing w:line="240" w:lineRule="auto"/>
        <w:jc w:val="left"/>
        <w:rPr>
          <w:b/>
          <w:szCs w:val="26"/>
        </w:rPr>
      </w:pPr>
      <w:bookmarkStart w:id="153" w:name="_Toc405802412"/>
      <w:bookmarkStart w:id="154" w:name="_Toc405884739"/>
    </w:p>
    <w:p w:rsidR="002B0B09" w:rsidRPr="00F167A5" w:rsidRDefault="00F344C7" w:rsidP="00F344C7">
      <w:pPr>
        <w:pStyle w:val="Heading3"/>
        <w:numPr>
          <w:ilvl w:val="0"/>
          <w:numId w:val="0"/>
        </w:numPr>
        <w:ind w:left="1440" w:hanging="720"/>
      </w:pPr>
      <w:r>
        <w:t>4.</w:t>
      </w:r>
      <w:r>
        <w:tab/>
      </w:r>
      <w:r w:rsidR="002B0B09" w:rsidRPr="00F167A5">
        <w:t>Section 3.2.4 – Ductless Mini-Split Heat Pumps – Commercial &lt; 5.4 tons</w:t>
      </w:r>
      <w:bookmarkEnd w:id="153"/>
      <w:bookmarkEnd w:id="154"/>
    </w:p>
    <w:p w:rsidR="002B0B09" w:rsidRPr="00F167A5" w:rsidRDefault="002B0B09" w:rsidP="001B6469">
      <w:pPr>
        <w:jc w:val="left"/>
        <w:rPr>
          <w:szCs w:val="26"/>
        </w:rPr>
      </w:pPr>
    </w:p>
    <w:p w:rsidR="002B0B09" w:rsidRPr="0098410B" w:rsidRDefault="002B0B09" w:rsidP="00A95717">
      <w:pPr>
        <w:pStyle w:val="Heading4"/>
      </w:pPr>
      <w:r w:rsidRPr="00F167A5">
        <w:t>a</w:t>
      </w:r>
      <w:r w:rsidR="009E0691">
        <w:t>.</w:t>
      </w:r>
      <w:r>
        <w:tab/>
      </w:r>
      <w:r w:rsidRPr="0098410B">
        <w:t>Algorithm Revision</w:t>
      </w:r>
    </w:p>
    <w:p w:rsidR="002B0B09" w:rsidRPr="0098410B" w:rsidRDefault="002B0B09" w:rsidP="001B6469">
      <w:pPr>
        <w:pStyle w:val="BodyTextIndent3"/>
        <w:spacing w:after="0" w:line="360" w:lineRule="auto"/>
        <w:jc w:val="left"/>
        <w:rPr>
          <w:rFonts w:ascii="Times New Roman" w:hAnsi="Times New Roman"/>
          <w:sz w:val="26"/>
          <w:szCs w:val="26"/>
        </w:rPr>
      </w:pPr>
    </w:p>
    <w:p w:rsidR="002B0B09" w:rsidRDefault="002B0B09" w:rsidP="001B6469">
      <w:pPr>
        <w:ind w:firstLine="720"/>
        <w:jc w:val="left"/>
        <w:rPr>
          <w:szCs w:val="26"/>
        </w:rPr>
      </w:pPr>
      <w:r>
        <w:rPr>
          <w:szCs w:val="26"/>
        </w:rPr>
        <w:t>In the Tentative Order, t</w:t>
      </w:r>
      <w:r w:rsidRPr="0098410B">
        <w:rPr>
          <w:szCs w:val="26"/>
        </w:rPr>
        <w:t>he Commission propose</w:t>
      </w:r>
      <w:r>
        <w:rPr>
          <w:szCs w:val="26"/>
        </w:rPr>
        <w:t>d</w:t>
      </w:r>
      <w:r w:rsidRPr="0098410B">
        <w:rPr>
          <w:szCs w:val="26"/>
        </w:rPr>
        <w:t xml:space="preserve"> revising the energy savings algorithms to remove the Load Factor term.</w:t>
      </w:r>
      <w:r>
        <w:rPr>
          <w:szCs w:val="26"/>
        </w:rPr>
        <w:t xml:space="preserve"> </w:t>
      </w:r>
      <w:r w:rsidR="00FB3771">
        <w:rPr>
          <w:szCs w:val="26"/>
        </w:rPr>
        <w:t xml:space="preserve"> </w:t>
      </w:r>
      <w:r w:rsidRPr="0098410B">
        <w:rPr>
          <w:szCs w:val="26"/>
        </w:rPr>
        <w:t>The eQuest modeling conducted by the SWE to determine the EFLH</w:t>
      </w:r>
      <w:r w:rsidRPr="0098410B">
        <w:rPr>
          <w:szCs w:val="26"/>
          <w:vertAlign w:val="subscript"/>
        </w:rPr>
        <w:t xml:space="preserve">cool </w:t>
      </w:r>
      <w:r w:rsidRPr="0098410B">
        <w:rPr>
          <w:szCs w:val="26"/>
        </w:rPr>
        <w:t>and EFLH</w:t>
      </w:r>
      <w:r w:rsidRPr="0098410B">
        <w:rPr>
          <w:szCs w:val="26"/>
          <w:vertAlign w:val="subscript"/>
        </w:rPr>
        <w:t xml:space="preserve">heat </w:t>
      </w:r>
      <w:r w:rsidRPr="0098410B">
        <w:rPr>
          <w:szCs w:val="26"/>
        </w:rPr>
        <w:t>values for HVAC systems represents the equivalent number of hours the baseline or retrofit system would run at full capacity to satisfy the cooling needs of the space.</w:t>
      </w:r>
      <w:r>
        <w:rPr>
          <w:szCs w:val="26"/>
        </w:rPr>
        <w:t xml:space="preserve"> </w:t>
      </w:r>
      <w:r w:rsidR="00FB3771">
        <w:rPr>
          <w:szCs w:val="26"/>
        </w:rPr>
        <w:t xml:space="preserve"> </w:t>
      </w:r>
      <w:r w:rsidRPr="0098410B">
        <w:rPr>
          <w:szCs w:val="26"/>
        </w:rPr>
        <w:t>The Commission believes that discounting these valu</w:t>
      </w:r>
      <w:r>
        <w:rPr>
          <w:szCs w:val="26"/>
        </w:rPr>
        <w:t>es by a load factor would under</w:t>
      </w:r>
      <w:r w:rsidRPr="0098410B">
        <w:rPr>
          <w:szCs w:val="26"/>
        </w:rPr>
        <w:t>estimate energy savings.</w:t>
      </w:r>
    </w:p>
    <w:p w:rsidR="002B0B09" w:rsidRDefault="002B0B09" w:rsidP="001B6469">
      <w:pPr>
        <w:ind w:firstLine="720"/>
        <w:jc w:val="left"/>
        <w:rPr>
          <w:szCs w:val="26"/>
        </w:rPr>
      </w:pPr>
    </w:p>
    <w:p w:rsidR="002B0B09" w:rsidRPr="00FB3771" w:rsidRDefault="002B0B09" w:rsidP="001B6469">
      <w:pPr>
        <w:ind w:firstLine="720"/>
        <w:jc w:val="left"/>
        <w:rPr>
          <w:b/>
        </w:rPr>
      </w:pPr>
      <w:r>
        <w:rPr>
          <w:szCs w:val="26"/>
        </w:rPr>
        <w:tab/>
      </w:r>
      <w:r>
        <w:rPr>
          <w:szCs w:val="26"/>
        </w:rPr>
        <w:tab/>
      </w:r>
      <w:r w:rsidRPr="00FB3771">
        <w:rPr>
          <w:b/>
          <w:szCs w:val="26"/>
        </w:rPr>
        <w:t>i.</w:t>
      </w:r>
      <w:r w:rsidRPr="00FB3771">
        <w:rPr>
          <w:b/>
          <w:szCs w:val="26"/>
        </w:rPr>
        <w:tab/>
        <w:t>Comments</w:t>
      </w:r>
    </w:p>
    <w:p w:rsidR="002B0B09" w:rsidRPr="00FB3771" w:rsidRDefault="002B0B09" w:rsidP="001B6469">
      <w:pPr>
        <w:ind w:firstLine="720"/>
        <w:jc w:val="left"/>
        <w:rPr>
          <w:b/>
        </w:rPr>
      </w:pPr>
    </w:p>
    <w:p w:rsidR="002B0B09" w:rsidRPr="00BE76D7" w:rsidRDefault="002B0B09" w:rsidP="001B6469">
      <w:pPr>
        <w:ind w:firstLine="720"/>
        <w:jc w:val="left"/>
      </w:pPr>
      <w:r w:rsidRPr="00FB3771">
        <w:t>Mitsubishi Electric comments that</w:t>
      </w:r>
      <w:r w:rsidR="00FB3771" w:rsidRPr="00FB3771">
        <w:t>,</w:t>
      </w:r>
      <w:r w:rsidRPr="00FB3771">
        <w:t xml:space="preserve"> in revising the residential measure algorithms in Section 2.2.3: Ductless Mini-Split Heat Pumps, the Commission has corrected a formula that previously underestimated savings. </w:t>
      </w:r>
      <w:r w:rsidR="00FB3771" w:rsidRPr="00FB3771">
        <w:t xml:space="preserve"> </w:t>
      </w:r>
      <w:r w:rsidRPr="00FB3771">
        <w:t>Mitsubishi Electric feels that some of the same considerations should be made in the Commercial measure, including the addit</w:t>
      </w:r>
      <w:r w:rsidR="00FB3771" w:rsidRPr="00FB3771">
        <w:t>ion of a Duct Loss Factor (DLF)</w:t>
      </w:r>
      <w:r w:rsidRPr="00FB3771">
        <w:t xml:space="preserve"> and an Oversize Factor (OF).</w:t>
      </w:r>
      <w:r w:rsidRPr="00FB3771">
        <w:rPr>
          <w:rStyle w:val="FootnoteReference"/>
        </w:rPr>
        <w:footnoteReference w:id="163"/>
      </w:r>
    </w:p>
    <w:p w:rsidR="002B0B09" w:rsidRDefault="002B0B09" w:rsidP="001B6469">
      <w:pPr>
        <w:ind w:firstLine="720"/>
        <w:jc w:val="left"/>
        <w:rPr>
          <w:b/>
        </w:rPr>
      </w:pPr>
    </w:p>
    <w:p w:rsidR="00D87D53" w:rsidRDefault="00D87D53" w:rsidP="001B6469">
      <w:pPr>
        <w:ind w:firstLine="720"/>
        <w:jc w:val="left"/>
        <w:rPr>
          <w:b/>
        </w:rPr>
      </w:pPr>
    </w:p>
    <w:p w:rsidR="002B0B09" w:rsidRDefault="002B0B09" w:rsidP="001B6469">
      <w:pPr>
        <w:ind w:firstLine="720"/>
        <w:jc w:val="left"/>
      </w:pPr>
      <w:r>
        <w:rPr>
          <w:b/>
        </w:rPr>
        <w:lastRenderedPageBreak/>
        <w:tab/>
      </w:r>
      <w:r>
        <w:rPr>
          <w:b/>
        </w:rPr>
        <w:tab/>
        <w:t>ii.</w:t>
      </w:r>
      <w:r>
        <w:rPr>
          <w:b/>
        </w:rPr>
        <w:tab/>
        <w:t>Disposition</w:t>
      </w:r>
    </w:p>
    <w:p w:rsidR="002B0B09" w:rsidRDefault="002B0B09" w:rsidP="001B6469">
      <w:pPr>
        <w:ind w:firstLine="720"/>
        <w:jc w:val="left"/>
      </w:pPr>
    </w:p>
    <w:p w:rsidR="002B0B09" w:rsidRPr="00BE76D7" w:rsidRDefault="002B0B09" w:rsidP="001B6469">
      <w:pPr>
        <w:ind w:firstLine="720"/>
        <w:jc w:val="left"/>
      </w:pPr>
      <w:r>
        <w:t xml:space="preserve">The Commission rejects Mitsubishi Electric’s </w:t>
      </w:r>
      <w:r w:rsidR="000D41FD">
        <w:t>suggestions</w:t>
      </w:r>
      <w:r>
        <w:t xml:space="preserve">. </w:t>
      </w:r>
      <w:r w:rsidR="000D41FD">
        <w:t xml:space="preserve"> </w:t>
      </w:r>
      <w:r>
        <w:t>The Commission believes that w</w:t>
      </w:r>
      <w:r w:rsidRPr="001900AA">
        <w:t>hile the technology itself may be similar, there is a significant difference in application between residential and</w:t>
      </w:r>
      <w:r w:rsidR="000D41FD">
        <w:t xml:space="preserve"> C&amp;I </w:t>
      </w:r>
      <w:r w:rsidRPr="001900AA">
        <w:t xml:space="preserve">buildings. </w:t>
      </w:r>
      <w:r w:rsidR="000D41FD">
        <w:t xml:space="preserve"> </w:t>
      </w:r>
      <w:r w:rsidRPr="001900AA">
        <w:t>C&amp;I buildings are more heterogeneous and tend to require more site-specific load calculations</w:t>
      </w:r>
      <w:r w:rsidR="00D87D53">
        <w:t xml:space="preserve"> that </w:t>
      </w:r>
      <w:r w:rsidR="000D41FD">
        <w:t>yield more properly-</w:t>
      </w:r>
      <w:r w:rsidRPr="001900AA">
        <w:t xml:space="preserve">sized HVAC systems. </w:t>
      </w:r>
      <w:r w:rsidR="000D41FD">
        <w:t xml:space="preserve"> The Commission sees </w:t>
      </w:r>
      <w:r w:rsidRPr="001900AA">
        <w:t xml:space="preserve">merit in including a duct loss factor for C&amp;I forced air systems. </w:t>
      </w:r>
      <w:r w:rsidR="000D41FD">
        <w:t xml:space="preserve"> </w:t>
      </w:r>
      <w:r w:rsidRPr="001900AA">
        <w:t>However, the heterogeneous nature of C&amp;I buildings would require further investigating and research to determine if standard loss factors can be established.</w:t>
      </w:r>
      <w:r w:rsidR="000D41FD">
        <w:t xml:space="preserve">  Therefore, we direct the SWE to research this issue and provide recommendations, as necessary, during the 2016 TRM update.  </w:t>
      </w:r>
      <w:r w:rsidR="00B74082" w:rsidRPr="004E6DA5">
        <w:rPr>
          <w:szCs w:val="26"/>
        </w:rPr>
        <w:t>If it deems it appropriate, the SWE may collaborate with the PEG in developing a recommendation.</w:t>
      </w:r>
    </w:p>
    <w:p w:rsidR="002B0B09" w:rsidRDefault="002B0B09" w:rsidP="001B6469">
      <w:pPr>
        <w:widowControl w:val="0"/>
        <w:tabs>
          <w:tab w:val="left" w:pos="204"/>
          <w:tab w:val="left" w:pos="720"/>
        </w:tabs>
        <w:overflowPunct/>
        <w:jc w:val="left"/>
        <w:rPr>
          <w:szCs w:val="26"/>
        </w:rPr>
      </w:pPr>
    </w:p>
    <w:p w:rsidR="002B0B09" w:rsidRPr="0098410B" w:rsidRDefault="00F344C7" w:rsidP="00A95717">
      <w:pPr>
        <w:pStyle w:val="Heading4"/>
      </w:pPr>
      <w:r>
        <w:t>b</w:t>
      </w:r>
      <w:r w:rsidR="002B0B09">
        <w:t>.</w:t>
      </w:r>
      <w:r w:rsidR="002B0B09">
        <w:tab/>
        <w:t xml:space="preserve">Code Changes </w:t>
      </w:r>
    </w:p>
    <w:p w:rsidR="002B0B09" w:rsidRDefault="002B0B09" w:rsidP="001B6469">
      <w:pPr>
        <w:widowControl w:val="0"/>
        <w:tabs>
          <w:tab w:val="left" w:pos="204"/>
          <w:tab w:val="left" w:pos="720"/>
        </w:tabs>
        <w:overflowPunct/>
        <w:jc w:val="left"/>
        <w:rPr>
          <w:szCs w:val="26"/>
        </w:rPr>
      </w:pPr>
      <w:r>
        <w:rPr>
          <w:szCs w:val="26"/>
        </w:rPr>
        <w:tab/>
      </w:r>
      <w:r>
        <w:rPr>
          <w:szCs w:val="26"/>
        </w:rPr>
        <w:tab/>
      </w:r>
    </w:p>
    <w:p w:rsidR="002B0B09" w:rsidRDefault="002B0B09" w:rsidP="001B6469">
      <w:pPr>
        <w:widowControl w:val="0"/>
        <w:tabs>
          <w:tab w:val="left" w:pos="204"/>
          <w:tab w:val="left" w:pos="720"/>
        </w:tabs>
        <w:overflowPunct/>
        <w:jc w:val="left"/>
        <w:rPr>
          <w:szCs w:val="26"/>
        </w:rPr>
      </w:pPr>
      <w:r>
        <w:rPr>
          <w:szCs w:val="26"/>
        </w:rPr>
        <w:tab/>
      </w:r>
      <w:r>
        <w:rPr>
          <w:szCs w:val="26"/>
        </w:rPr>
        <w:tab/>
      </w:r>
      <w:r w:rsidR="008A151D">
        <w:rPr>
          <w:szCs w:val="26"/>
        </w:rPr>
        <w:t xml:space="preserve">The Commission did not propose modifications to </w:t>
      </w:r>
      <w:r w:rsidR="00D87D53">
        <w:rPr>
          <w:szCs w:val="26"/>
        </w:rPr>
        <w:t>this</w:t>
      </w:r>
      <w:r>
        <w:rPr>
          <w:szCs w:val="26"/>
        </w:rPr>
        <w:t xml:space="preserve"> protocol.</w:t>
      </w:r>
      <w:r w:rsidRPr="00EC7896">
        <w:rPr>
          <w:szCs w:val="26"/>
        </w:rPr>
        <w:t xml:space="preserve"> </w:t>
      </w:r>
      <w:r w:rsidR="00833503">
        <w:rPr>
          <w:szCs w:val="26"/>
        </w:rPr>
        <w:t xml:space="preserve"> </w:t>
      </w:r>
      <w:r>
        <w:rPr>
          <w:szCs w:val="26"/>
        </w:rPr>
        <w:t>H</w:t>
      </w:r>
      <w:r w:rsidRPr="00EC7896">
        <w:rPr>
          <w:szCs w:val="26"/>
        </w:rPr>
        <w:t xml:space="preserve">owever, </w:t>
      </w:r>
      <w:r>
        <w:rPr>
          <w:szCs w:val="26"/>
        </w:rPr>
        <w:t xml:space="preserve">comments were received </w:t>
      </w:r>
      <w:r w:rsidRPr="00EC7896">
        <w:rPr>
          <w:szCs w:val="26"/>
        </w:rPr>
        <w:t xml:space="preserve">and </w:t>
      </w:r>
      <w:r>
        <w:rPr>
          <w:szCs w:val="26"/>
        </w:rPr>
        <w:t>are</w:t>
      </w:r>
      <w:r w:rsidRPr="00EC7896">
        <w:rPr>
          <w:szCs w:val="26"/>
        </w:rPr>
        <w:t xml:space="preserve"> address</w:t>
      </w:r>
      <w:r>
        <w:rPr>
          <w:szCs w:val="26"/>
        </w:rPr>
        <w:t>ed below</w:t>
      </w:r>
      <w:r w:rsidRPr="00EC7896">
        <w:rPr>
          <w:szCs w:val="26"/>
        </w:rPr>
        <w:t>.</w:t>
      </w:r>
      <w:r w:rsidRPr="0098410B">
        <w:rPr>
          <w:szCs w:val="26"/>
        </w:rPr>
        <w:tab/>
      </w:r>
    </w:p>
    <w:p w:rsidR="00BB450B" w:rsidRDefault="00BB450B">
      <w:pPr>
        <w:overflowPunct/>
        <w:autoSpaceDE/>
        <w:autoSpaceDN/>
        <w:adjustRightInd/>
        <w:spacing w:line="240" w:lineRule="auto"/>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r>
      <w:r>
        <w:rPr>
          <w:szCs w:val="26"/>
        </w:rPr>
        <w:tab/>
      </w:r>
      <w:r>
        <w:rPr>
          <w:szCs w:val="26"/>
        </w:rPr>
        <w:tab/>
        <w:t xml:space="preserve"> </w:t>
      </w:r>
      <w:r>
        <w:rPr>
          <w:b/>
          <w:szCs w:val="26"/>
        </w:rPr>
        <w:t>i.</w:t>
      </w:r>
      <w:r>
        <w:rPr>
          <w:b/>
          <w:szCs w:val="26"/>
        </w:rPr>
        <w:tab/>
        <w:t>Comments</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t>FirstEnergy notes that the current baselines for systems less than 65,000 Btu/h do not reflect upcoming federal code changes.</w:t>
      </w:r>
      <w:r>
        <w:rPr>
          <w:rStyle w:val="FootnoteReference"/>
          <w:szCs w:val="26"/>
        </w:rPr>
        <w:footnoteReference w:id="164"/>
      </w:r>
      <w:r>
        <w:rPr>
          <w:szCs w:val="26"/>
        </w:rPr>
        <w:t xml:space="preserve">  </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r>
      <w:r>
        <w:rPr>
          <w:szCs w:val="26"/>
        </w:rPr>
        <w:tab/>
      </w:r>
      <w:r>
        <w:rPr>
          <w:szCs w:val="26"/>
        </w:rPr>
        <w:tab/>
      </w:r>
      <w:r>
        <w:rPr>
          <w:b/>
          <w:szCs w:val="26"/>
        </w:rPr>
        <w:t>ii.</w:t>
      </w:r>
      <w:r>
        <w:rPr>
          <w:b/>
          <w:szCs w:val="26"/>
        </w:rPr>
        <w:tab/>
        <w:t>Disposition</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3060"/>
        </w:tabs>
        <w:overflowPunct/>
        <w:jc w:val="left"/>
        <w:rPr>
          <w:szCs w:val="26"/>
        </w:rPr>
      </w:pPr>
      <w:r>
        <w:rPr>
          <w:szCs w:val="26"/>
        </w:rPr>
        <w:tab/>
      </w:r>
      <w:r w:rsidRPr="004A44AA">
        <w:rPr>
          <w:szCs w:val="26"/>
        </w:rPr>
        <w:t xml:space="preserve">The Commission reviewed the current federal standards for commercial </w:t>
      </w:r>
      <w:r w:rsidR="004A44AA" w:rsidRPr="004A44AA">
        <w:rPr>
          <w:szCs w:val="26"/>
        </w:rPr>
        <w:t>ASHPs</w:t>
      </w:r>
      <w:r w:rsidRPr="004A44AA">
        <w:rPr>
          <w:szCs w:val="26"/>
        </w:rPr>
        <w:t xml:space="preserve"> and determined that there is no recent code change. </w:t>
      </w:r>
      <w:r w:rsidR="004A44AA" w:rsidRPr="004A44AA">
        <w:rPr>
          <w:szCs w:val="26"/>
        </w:rPr>
        <w:t xml:space="preserve"> </w:t>
      </w:r>
      <w:r w:rsidRPr="004A44AA">
        <w:rPr>
          <w:szCs w:val="26"/>
        </w:rPr>
        <w:t xml:space="preserve">The baseline values in the </w:t>
      </w:r>
      <w:r w:rsidR="004A44AA" w:rsidRPr="004A44AA">
        <w:rPr>
          <w:szCs w:val="26"/>
        </w:rPr>
        <w:t>p</w:t>
      </w:r>
      <w:r w:rsidRPr="004A44AA">
        <w:rPr>
          <w:szCs w:val="26"/>
        </w:rPr>
        <w:t xml:space="preserve">roposed </w:t>
      </w:r>
      <w:r w:rsidRPr="004A44AA">
        <w:rPr>
          <w:szCs w:val="26"/>
        </w:rPr>
        <w:lastRenderedPageBreak/>
        <w:t xml:space="preserve">2015 TRM are compliant with federal </w:t>
      </w:r>
      <w:r w:rsidR="00B74082">
        <w:rPr>
          <w:szCs w:val="26"/>
        </w:rPr>
        <w:t>standards</w:t>
      </w:r>
      <w:r w:rsidR="00B74082" w:rsidRPr="004A44AA">
        <w:rPr>
          <w:szCs w:val="26"/>
        </w:rPr>
        <w:t xml:space="preserve"> </w:t>
      </w:r>
      <w:r w:rsidRPr="004A44AA">
        <w:rPr>
          <w:szCs w:val="26"/>
        </w:rPr>
        <w:t>and therefore will remain unadjusted.</w:t>
      </w:r>
      <w:r w:rsidR="004A44AA" w:rsidRPr="004A44AA">
        <w:rPr>
          <w:szCs w:val="26"/>
        </w:rPr>
        <w:t xml:space="preserve"> </w:t>
      </w:r>
      <w:r w:rsidRPr="004A44AA">
        <w:rPr>
          <w:szCs w:val="26"/>
        </w:rPr>
        <w:t xml:space="preserve"> The Commission will continue to monitor changes in federal standards and propose updates accordingly.</w:t>
      </w:r>
      <w:r>
        <w:rPr>
          <w:szCs w:val="26"/>
        </w:rPr>
        <w:t xml:space="preserve"> </w:t>
      </w:r>
    </w:p>
    <w:p w:rsidR="00EE19EE" w:rsidRDefault="00EE19EE" w:rsidP="001B6469">
      <w:pPr>
        <w:widowControl w:val="0"/>
        <w:tabs>
          <w:tab w:val="left" w:pos="204"/>
          <w:tab w:val="left" w:pos="720"/>
        </w:tabs>
        <w:overflowPunct/>
        <w:jc w:val="left"/>
        <w:rPr>
          <w:szCs w:val="26"/>
        </w:rPr>
      </w:pPr>
    </w:p>
    <w:p w:rsidR="00B508A4" w:rsidRDefault="00F344C7" w:rsidP="00A95717">
      <w:pPr>
        <w:pStyle w:val="Heading3"/>
        <w:numPr>
          <w:ilvl w:val="0"/>
          <w:numId w:val="0"/>
        </w:numPr>
        <w:tabs>
          <w:tab w:val="clear" w:pos="720"/>
        </w:tabs>
        <w:ind w:left="1440" w:hanging="720"/>
      </w:pPr>
      <w:bookmarkStart w:id="155" w:name="_Toc405802414"/>
      <w:bookmarkStart w:id="156" w:name="_Toc405884740"/>
      <w:r>
        <w:t>5</w:t>
      </w:r>
      <w:r w:rsidR="00D05144">
        <w:t>.</w:t>
      </w:r>
      <w:r w:rsidR="00D05144">
        <w:tab/>
        <w:t>Section 3.3.1 – Pre</w:t>
      </w:r>
      <w:r w:rsidR="00D05144" w:rsidRPr="0098410B">
        <w:t>mium Efficiency Motors</w:t>
      </w:r>
      <w:r w:rsidR="00385A1B" w:rsidRPr="00116336">
        <w:rPr>
          <w:rStyle w:val="FootnoteReference"/>
          <w:b w:val="0"/>
        </w:rPr>
        <w:footnoteReference w:id="165"/>
      </w:r>
      <w:r w:rsidR="00D05144" w:rsidRPr="0098410B">
        <w:t xml:space="preserve"> and</w:t>
      </w:r>
      <w:r w:rsidR="00D05144">
        <w:t xml:space="preserve"> Section 3.3.2 – Var</w:t>
      </w:r>
      <w:r w:rsidR="00D05144" w:rsidRPr="0098410B">
        <w:t xml:space="preserve">iable </w:t>
      </w:r>
      <w:r w:rsidR="00D05144" w:rsidRPr="00AE0316">
        <w:t>Frequency Drive</w:t>
      </w:r>
      <w:bookmarkEnd w:id="147"/>
      <w:r w:rsidR="00162B42">
        <w:t xml:space="preserve"> (VFD)</w:t>
      </w:r>
      <w:r w:rsidR="00D05144" w:rsidRPr="00AE0316">
        <w:t xml:space="preserve"> Improvements</w:t>
      </w:r>
      <w:bookmarkEnd w:id="148"/>
      <w:r w:rsidR="00385A1B" w:rsidRPr="00116336">
        <w:rPr>
          <w:rStyle w:val="FootnoteReference"/>
          <w:b w:val="0"/>
        </w:rPr>
        <w:footnoteReference w:id="166"/>
      </w:r>
      <w:bookmarkEnd w:id="155"/>
      <w:bookmarkEnd w:id="156"/>
      <w:r w:rsidR="00D05144" w:rsidRPr="00AE0316">
        <w:tab/>
      </w:r>
      <w:r w:rsidR="00D05144" w:rsidRPr="00AE0316">
        <w:br/>
      </w:r>
      <w:r w:rsidR="00B508A4" w:rsidRPr="0098410B">
        <w:tab/>
      </w:r>
      <w:r w:rsidR="00B508A4" w:rsidRPr="0098410B">
        <w:tab/>
      </w:r>
      <w:r w:rsidR="00B508A4" w:rsidRPr="0098410B">
        <w:tab/>
      </w:r>
      <w:r w:rsidR="00B508A4" w:rsidRPr="0098410B">
        <w:tab/>
      </w:r>
      <w:r w:rsidR="00B508A4" w:rsidRPr="0098410B">
        <w:tab/>
      </w:r>
      <w:r w:rsidR="00B508A4" w:rsidRPr="0098410B">
        <w:tab/>
      </w:r>
    </w:p>
    <w:p w:rsidR="00B508A4" w:rsidRDefault="00B508A4" w:rsidP="001B6469">
      <w:pPr>
        <w:widowControl w:val="0"/>
        <w:tabs>
          <w:tab w:val="left" w:pos="204"/>
          <w:tab w:val="left" w:pos="720"/>
        </w:tabs>
        <w:overflowPunct/>
        <w:jc w:val="left"/>
        <w:rPr>
          <w:szCs w:val="26"/>
        </w:rPr>
      </w:pPr>
      <w:r>
        <w:rPr>
          <w:szCs w:val="26"/>
        </w:rPr>
        <w:tab/>
      </w:r>
      <w:r>
        <w:rPr>
          <w:szCs w:val="26"/>
        </w:rPr>
        <w:tab/>
      </w:r>
      <w:r w:rsidRPr="00116336">
        <w:rPr>
          <w:szCs w:val="26"/>
        </w:rPr>
        <w:t xml:space="preserve">The </w:t>
      </w:r>
      <w:r w:rsidR="008A151D" w:rsidRPr="00116336">
        <w:rPr>
          <w:szCs w:val="26"/>
        </w:rPr>
        <w:t>Commission did not propose changes to the</w:t>
      </w:r>
      <w:r w:rsidRPr="00116336">
        <w:rPr>
          <w:szCs w:val="26"/>
        </w:rPr>
        <w:t xml:space="preserve"> algorithms in the VFD Improvements protocol. </w:t>
      </w:r>
      <w:r w:rsidR="00116336" w:rsidRPr="00116336">
        <w:rPr>
          <w:szCs w:val="26"/>
        </w:rPr>
        <w:t xml:space="preserve"> </w:t>
      </w:r>
      <w:r w:rsidRPr="00116336">
        <w:rPr>
          <w:szCs w:val="26"/>
        </w:rPr>
        <w:t>However, comments were received and are addressed below.</w:t>
      </w:r>
      <w:r w:rsidRPr="0098410B">
        <w:rPr>
          <w:szCs w:val="26"/>
        </w:rPr>
        <w:tab/>
      </w:r>
    </w:p>
    <w:p w:rsidR="00B508A4" w:rsidRDefault="00B508A4" w:rsidP="001B6469">
      <w:pPr>
        <w:widowControl w:val="0"/>
        <w:tabs>
          <w:tab w:val="left" w:pos="204"/>
          <w:tab w:val="left" w:pos="720"/>
        </w:tabs>
        <w:overflowPunct/>
        <w:jc w:val="left"/>
        <w:rPr>
          <w:szCs w:val="26"/>
        </w:rPr>
      </w:pPr>
    </w:p>
    <w:p w:rsidR="00B508A4" w:rsidRDefault="00116336" w:rsidP="001B6469">
      <w:pPr>
        <w:widowControl w:val="0"/>
        <w:overflowPunct/>
        <w:jc w:val="left"/>
        <w:rPr>
          <w:szCs w:val="26"/>
        </w:rPr>
      </w:pPr>
      <w:r>
        <w:rPr>
          <w:szCs w:val="26"/>
        </w:rPr>
        <w:tab/>
      </w:r>
      <w:r>
        <w:rPr>
          <w:szCs w:val="26"/>
        </w:rPr>
        <w:tab/>
      </w:r>
      <w:r>
        <w:rPr>
          <w:b/>
          <w:szCs w:val="26"/>
        </w:rPr>
        <w:t>a</w:t>
      </w:r>
      <w:r w:rsidR="00B508A4">
        <w:rPr>
          <w:b/>
          <w:szCs w:val="26"/>
        </w:rPr>
        <w:t>.</w:t>
      </w:r>
      <w:r w:rsidR="00B508A4">
        <w:rPr>
          <w:b/>
          <w:szCs w:val="26"/>
        </w:rPr>
        <w:tab/>
        <w:t>Comments</w:t>
      </w:r>
    </w:p>
    <w:p w:rsidR="00B508A4" w:rsidRDefault="00B508A4" w:rsidP="001B6469">
      <w:pPr>
        <w:widowControl w:val="0"/>
        <w:overflowPunct/>
        <w:jc w:val="left"/>
        <w:rPr>
          <w:szCs w:val="26"/>
        </w:rPr>
      </w:pPr>
    </w:p>
    <w:p w:rsidR="00B508A4" w:rsidRPr="00116336" w:rsidRDefault="00B508A4" w:rsidP="001B6469">
      <w:pPr>
        <w:widowControl w:val="0"/>
        <w:tabs>
          <w:tab w:val="left" w:pos="-3060"/>
        </w:tabs>
        <w:overflowPunct/>
        <w:jc w:val="left"/>
        <w:rPr>
          <w:szCs w:val="26"/>
        </w:rPr>
      </w:pPr>
      <w:r w:rsidRPr="00116336">
        <w:rPr>
          <w:szCs w:val="26"/>
        </w:rPr>
        <w:tab/>
        <w:t xml:space="preserve">FirstEnergy </w:t>
      </w:r>
      <w:r w:rsidR="00116336" w:rsidRPr="00116336">
        <w:rPr>
          <w:szCs w:val="26"/>
        </w:rPr>
        <w:t>states</w:t>
      </w:r>
      <w:r w:rsidRPr="00116336">
        <w:rPr>
          <w:szCs w:val="26"/>
        </w:rPr>
        <w:t xml:space="preserve"> that the algorithm for VFD savings needs to be corrected to include a 0.745 factor to convert </w:t>
      </w:r>
      <w:r w:rsidR="002B7AB0">
        <w:rPr>
          <w:szCs w:val="26"/>
        </w:rPr>
        <w:t>horsepower</w:t>
      </w:r>
      <w:r w:rsidRPr="00116336">
        <w:rPr>
          <w:szCs w:val="26"/>
        </w:rPr>
        <w:t xml:space="preserve"> to kW.</w:t>
      </w:r>
      <w:r w:rsidRPr="00116336">
        <w:rPr>
          <w:rStyle w:val="FootnoteReference"/>
          <w:szCs w:val="26"/>
        </w:rPr>
        <w:footnoteReference w:id="167"/>
      </w:r>
      <w:r w:rsidRPr="00116336">
        <w:rPr>
          <w:szCs w:val="26"/>
        </w:rPr>
        <w:t xml:space="preserve"> </w:t>
      </w:r>
    </w:p>
    <w:p w:rsidR="00B508A4" w:rsidRDefault="00B508A4" w:rsidP="001B6469">
      <w:pPr>
        <w:widowControl w:val="0"/>
        <w:overflowPunct/>
        <w:jc w:val="left"/>
        <w:rPr>
          <w:szCs w:val="26"/>
        </w:rPr>
      </w:pPr>
    </w:p>
    <w:p w:rsidR="00B508A4" w:rsidRDefault="00116336" w:rsidP="001B6469">
      <w:pPr>
        <w:widowControl w:val="0"/>
        <w:overflowPunct/>
        <w:jc w:val="left"/>
        <w:rPr>
          <w:szCs w:val="26"/>
        </w:rPr>
      </w:pPr>
      <w:r>
        <w:rPr>
          <w:szCs w:val="26"/>
        </w:rPr>
        <w:tab/>
      </w:r>
      <w:r>
        <w:rPr>
          <w:szCs w:val="26"/>
        </w:rPr>
        <w:tab/>
      </w:r>
      <w:r>
        <w:rPr>
          <w:b/>
          <w:szCs w:val="26"/>
        </w:rPr>
        <w:t>b</w:t>
      </w:r>
      <w:r w:rsidR="00B508A4">
        <w:rPr>
          <w:b/>
          <w:szCs w:val="26"/>
        </w:rPr>
        <w:t>.</w:t>
      </w:r>
      <w:r w:rsidR="00B508A4">
        <w:rPr>
          <w:b/>
          <w:szCs w:val="26"/>
        </w:rPr>
        <w:tab/>
        <w:t>Disposition</w:t>
      </w:r>
    </w:p>
    <w:p w:rsidR="00B508A4" w:rsidRDefault="00B508A4" w:rsidP="001B6469">
      <w:pPr>
        <w:widowControl w:val="0"/>
        <w:tabs>
          <w:tab w:val="left" w:pos="204"/>
          <w:tab w:val="left" w:pos="720"/>
        </w:tabs>
        <w:overflowPunct/>
        <w:jc w:val="left"/>
        <w:rPr>
          <w:szCs w:val="26"/>
        </w:rPr>
      </w:pPr>
    </w:p>
    <w:p w:rsidR="00B508A4" w:rsidRPr="00FC1C1C" w:rsidRDefault="00B508A4" w:rsidP="001B6469">
      <w:pPr>
        <w:widowControl w:val="0"/>
        <w:tabs>
          <w:tab w:val="left" w:pos="204"/>
          <w:tab w:val="left" w:pos="720"/>
        </w:tabs>
        <w:overflowPunct/>
        <w:jc w:val="left"/>
        <w:rPr>
          <w:szCs w:val="26"/>
        </w:rPr>
      </w:pPr>
      <w:r>
        <w:rPr>
          <w:szCs w:val="26"/>
        </w:rPr>
        <w:tab/>
      </w:r>
      <w:r>
        <w:rPr>
          <w:szCs w:val="26"/>
        </w:rPr>
        <w:tab/>
      </w:r>
      <w:r w:rsidRPr="002B7AB0">
        <w:rPr>
          <w:szCs w:val="26"/>
        </w:rPr>
        <w:t xml:space="preserve">The Commission </w:t>
      </w:r>
      <w:r w:rsidR="00255E13" w:rsidRPr="002B7AB0">
        <w:rPr>
          <w:szCs w:val="26"/>
        </w:rPr>
        <w:t>rejects</w:t>
      </w:r>
      <w:r w:rsidRPr="002B7AB0">
        <w:rPr>
          <w:szCs w:val="26"/>
        </w:rPr>
        <w:t xml:space="preserve"> FirstEnergy’s comment </w:t>
      </w:r>
      <w:r w:rsidR="00255E13" w:rsidRPr="002B7AB0">
        <w:rPr>
          <w:szCs w:val="26"/>
        </w:rPr>
        <w:t>as the factor is redundant</w:t>
      </w:r>
      <w:r w:rsidR="002B7AB0" w:rsidRPr="002B7AB0">
        <w:rPr>
          <w:szCs w:val="26"/>
        </w:rPr>
        <w:t>.  T</w:t>
      </w:r>
      <w:r w:rsidR="00255E13" w:rsidRPr="002B7AB0">
        <w:rPr>
          <w:szCs w:val="26"/>
        </w:rPr>
        <w:t>he Energy Savings Factor and Demand Savings Factor already acco</w:t>
      </w:r>
      <w:r w:rsidR="000767FA" w:rsidRPr="002B7AB0">
        <w:rPr>
          <w:szCs w:val="26"/>
        </w:rPr>
        <w:t xml:space="preserve">unt for the conversion factor. </w:t>
      </w:r>
      <w:r w:rsidR="002B7AB0">
        <w:rPr>
          <w:szCs w:val="26"/>
        </w:rPr>
        <w:t xml:space="preserve"> </w:t>
      </w:r>
    </w:p>
    <w:p w:rsidR="00B508A4" w:rsidRPr="00FC1C1C" w:rsidRDefault="00B508A4" w:rsidP="001B6469">
      <w:pPr>
        <w:widowControl w:val="0"/>
        <w:tabs>
          <w:tab w:val="left" w:pos="204"/>
          <w:tab w:val="left" w:pos="720"/>
        </w:tabs>
        <w:overflowPunct/>
        <w:jc w:val="left"/>
        <w:rPr>
          <w:szCs w:val="26"/>
        </w:rPr>
      </w:pPr>
    </w:p>
    <w:p w:rsidR="002B0B09" w:rsidRPr="00FC1C1C" w:rsidRDefault="00F344C7" w:rsidP="001B6469">
      <w:pPr>
        <w:pStyle w:val="Heading3"/>
        <w:numPr>
          <w:ilvl w:val="0"/>
          <w:numId w:val="0"/>
        </w:numPr>
        <w:ind w:left="720"/>
      </w:pPr>
      <w:bookmarkStart w:id="157" w:name="_Toc405802415"/>
      <w:bookmarkStart w:id="158" w:name="_Toc405884741"/>
      <w:r>
        <w:t>6</w:t>
      </w:r>
      <w:r w:rsidR="006922F1" w:rsidRPr="00FC1C1C">
        <w:t>.</w:t>
      </w:r>
      <w:r w:rsidR="006922F1" w:rsidRPr="00FC1C1C">
        <w:tab/>
      </w:r>
      <w:r w:rsidR="002B0B09" w:rsidRPr="00FC1C1C">
        <w:t>Section 3.4.1 – Electric Resistance Water Heaters</w:t>
      </w:r>
      <w:bookmarkEnd w:id="157"/>
      <w:bookmarkEnd w:id="158"/>
    </w:p>
    <w:p w:rsidR="002B0B09" w:rsidRPr="00FC1C1C"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sidRPr="00FC1C1C">
        <w:rPr>
          <w:szCs w:val="26"/>
        </w:rPr>
        <w:tab/>
      </w:r>
      <w:r w:rsidRPr="00FC1C1C">
        <w:rPr>
          <w:szCs w:val="26"/>
        </w:rPr>
        <w:tab/>
        <w:t xml:space="preserve">The </w:t>
      </w:r>
      <w:r w:rsidR="008A151D" w:rsidRPr="00FC1C1C">
        <w:rPr>
          <w:szCs w:val="26"/>
        </w:rPr>
        <w:t>Commission did not propose</w:t>
      </w:r>
      <w:r w:rsidR="008A151D">
        <w:rPr>
          <w:szCs w:val="26"/>
        </w:rPr>
        <w:t xml:space="preserve"> changes to the</w:t>
      </w:r>
      <w:r>
        <w:rPr>
          <w:szCs w:val="26"/>
        </w:rPr>
        <w:t xml:space="preserve"> Electric Resistance Water Heaters</w:t>
      </w:r>
      <w:r w:rsidRPr="0081748C">
        <w:rPr>
          <w:szCs w:val="26"/>
        </w:rPr>
        <w:t xml:space="preserve"> measure protocol.</w:t>
      </w:r>
      <w:r w:rsidR="009C4BC6">
        <w:rPr>
          <w:szCs w:val="26"/>
        </w:rPr>
        <w:t xml:space="preserve"> </w:t>
      </w:r>
      <w:r w:rsidRPr="0081748C">
        <w:rPr>
          <w:szCs w:val="26"/>
        </w:rPr>
        <w:t xml:space="preserve"> However, comments were received and are addressed below</w:t>
      </w:r>
      <w:r>
        <w:rPr>
          <w:szCs w:val="26"/>
        </w:rPr>
        <w:t>.</w:t>
      </w:r>
    </w:p>
    <w:p w:rsidR="002B0B09" w:rsidRDefault="002B0B09" w:rsidP="001B6469">
      <w:pPr>
        <w:widowControl w:val="0"/>
        <w:tabs>
          <w:tab w:val="left" w:pos="204"/>
          <w:tab w:val="left" w:pos="720"/>
        </w:tabs>
        <w:overflowPunct/>
        <w:jc w:val="left"/>
        <w:rPr>
          <w:szCs w:val="26"/>
        </w:rPr>
      </w:pPr>
      <w:r>
        <w:rPr>
          <w:b/>
          <w:szCs w:val="26"/>
        </w:rPr>
        <w:lastRenderedPageBreak/>
        <w:tab/>
      </w:r>
      <w:r>
        <w:rPr>
          <w:b/>
          <w:szCs w:val="26"/>
        </w:rPr>
        <w:tab/>
      </w:r>
      <w:r>
        <w:rPr>
          <w:b/>
          <w:szCs w:val="26"/>
        </w:rPr>
        <w:tab/>
      </w:r>
      <w:r w:rsidR="009C4BC6">
        <w:rPr>
          <w:b/>
          <w:szCs w:val="26"/>
        </w:rPr>
        <w:t>a</w:t>
      </w:r>
      <w:r>
        <w:rPr>
          <w:b/>
          <w:szCs w:val="26"/>
        </w:rPr>
        <w:t>.</w:t>
      </w:r>
      <w:r>
        <w:rPr>
          <w:b/>
          <w:szCs w:val="26"/>
        </w:rPr>
        <w:tab/>
        <w:t>Comments</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t xml:space="preserve">PECO recommends expanding this measure to include larger commercial units in food service building types such as restaurants which often use large quantities of hot water. </w:t>
      </w:r>
      <w:r w:rsidR="00040DF5">
        <w:rPr>
          <w:szCs w:val="26"/>
        </w:rPr>
        <w:t xml:space="preserve"> </w:t>
      </w:r>
      <w:r>
        <w:rPr>
          <w:szCs w:val="26"/>
        </w:rPr>
        <w:t xml:space="preserve">PECO also comments that the units in the algorithm for average annual gallons of water are not balanced and suggests including the term 1.0 </w:t>
      </w:r>
      <m:oMath>
        <m:f>
          <m:fPr>
            <m:ctrlPr>
              <w:rPr>
                <w:rFonts w:ascii="Cambria Math" w:hAnsi="Cambria Math"/>
                <w:i/>
                <w:szCs w:val="26"/>
              </w:rPr>
            </m:ctrlPr>
          </m:fPr>
          <m:num>
            <m:r>
              <w:rPr>
                <w:rFonts w:ascii="Cambria Math" w:hAnsi="Cambria Math"/>
                <w:szCs w:val="26"/>
              </w:rPr>
              <m:t>Btu</m:t>
            </m:r>
          </m:num>
          <m:den>
            <m:r>
              <w:rPr>
                <w:rFonts w:ascii="Cambria Math" w:hAnsi="Cambria Math"/>
                <w:szCs w:val="26"/>
              </w:rPr>
              <m:t>lb∙℉</m:t>
            </m:r>
          </m:den>
        </m:f>
      </m:oMath>
      <w:r>
        <w:rPr>
          <w:szCs w:val="26"/>
        </w:rPr>
        <w:t xml:space="preserve">  in the denominator. </w:t>
      </w:r>
      <w:r w:rsidR="00040DF5">
        <w:rPr>
          <w:szCs w:val="26"/>
        </w:rPr>
        <w:t xml:space="preserve"> </w:t>
      </w:r>
      <w:r>
        <w:rPr>
          <w:szCs w:val="26"/>
        </w:rPr>
        <w:t>PECO notes that there is no explanation about the significance of resistive discount factor (RDF) and re</w:t>
      </w:r>
      <w:r w:rsidR="00040DF5">
        <w:rPr>
          <w:szCs w:val="26"/>
        </w:rPr>
        <w:t>commends including a brief one.</w:t>
      </w:r>
      <w:r>
        <w:rPr>
          <w:rStyle w:val="FootnoteReference"/>
          <w:szCs w:val="26"/>
        </w:rPr>
        <w:footnoteReference w:id="168"/>
      </w:r>
    </w:p>
    <w:p w:rsidR="002B0B09" w:rsidRDefault="002B0B09" w:rsidP="001B6469">
      <w:pPr>
        <w:widowControl w:val="0"/>
        <w:tabs>
          <w:tab w:val="left" w:pos="204"/>
          <w:tab w:val="left" w:pos="720"/>
        </w:tabs>
        <w:overflowPunct/>
        <w:jc w:val="left"/>
        <w:rPr>
          <w:szCs w:val="26"/>
        </w:rPr>
      </w:pPr>
      <w:r>
        <w:rPr>
          <w:szCs w:val="26"/>
        </w:rPr>
        <w:tab/>
      </w:r>
      <w:r>
        <w:rPr>
          <w:szCs w:val="26"/>
        </w:rPr>
        <w:tab/>
      </w:r>
    </w:p>
    <w:p w:rsidR="002B0B09" w:rsidRDefault="002B0B09" w:rsidP="001B6469">
      <w:pPr>
        <w:widowControl w:val="0"/>
        <w:tabs>
          <w:tab w:val="left" w:pos="204"/>
          <w:tab w:val="left" w:pos="720"/>
        </w:tabs>
        <w:overflowPunct/>
        <w:jc w:val="left"/>
        <w:rPr>
          <w:szCs w:val="26"/>
        </w:rPr>
      </w:pPr>
      <w:r>
        <w:rPr>
          <w:szCs w:val="26"/>
        </w:rPr>
        <w:tab/>
      </w:r>
      <w:r>
        <w:rPr>
          <w:szCs w:val="26"/>
        </w:rPr>
        <w:tab/>
        <w:t>PPL requests clarification on whether the values in the default savings algorithms in Table 3-70 should be updated to align with the proposed change to the</w:t>
      </w:r>
      <w:r w:rsidR="00040DF5">
        <w:rPr>
          <w:szCs w:val="26"/>
        </w:rPr>
        <w:t xml:space="preserve"> T</w:t>
      </w:r>
      <w:r w:rsidR="00040DF5" w:rsidRPr="00040DF5">
        <w:rPr>
          <w:szCs w:val="26"/>
          <w:vertAlign w:val="subscript"/>
        </w:rPr>
        <w:t>hot</w:t>
      </w:r>
      <w:r>
        <w:rPr>
          <w:szCs w:val="26"/>
        </w:rPr>
        <w:t xml:space="preserve"> variable. </w:t>
      </w:r>
      <w:r w:rsidR="00040DF5">
        <w:rPr>
          <w:szCs w:val="26"/>
        </w:rPr>
        <w:t xml:space="preserve"> </w:t>
      </w:r>
      <w:r>
        <w:rPr>
          <w:szCs w:val="26"/>
        </w:rPr>
        <w:t>PPL also notes the proposed change may affect Section</w:t>
      </w:r>
      <w:r w:rsidR="0087693A">
        <w:rPr>
          <w:szCs w:val="26"/>
        </w:rPr>
        <w:t>s</w:t>
      </w:r>
      <w:r w:rsidR="00040DF5">
        <w:rPr>
          <w:szCs w:val="26"/>
        </w:rPr>
        <w:t xml:space="preserve"> 3.4.2: Heat Pump Water Heaters</w:t>
      </w:r>
      <w:r w:rsidR="0087693A">
        <w:rPr>
          <w:szCs w:val="26"/>
        </w:rPr>
        <w:t>,</w:t>
      </w:r>
      <w:r>
        <w:rPr>
          <w:szCs w:val="26"/>
        </w:rPr>
        <w:t xml:space="preserve"> 3.4.6: Fuel Switching: Electric Resistance W</w:t>
      </w:r>
      <w:r w:rsidR="00040DF5">
        <w:rPr>
          <w:szCs w:val="26"/>
        </w:rPr>
        <w:t>ater Heaters to Gas/Oil/Propane</w:t>
      </w:r>
      <w:r>
        <w:rPr>
          <w:szCs w:val="26"/>
        </w:rPr>
        <w:t xml:space="preserve"> and 3.4.7: Fuel Switching: Heat Pump Water Heaters to Gas/Oil/Propane.</w:t>
      </w:r>
      <w:r>
        <w:rPr>
          <w:rStyle w:val="FootnoteReference"/>
          <w:szCs w:val="26"/>
        </w:rPr>
        <w:footnoteReference w:id="169"/>
      </w:r>
    </w:p>
    <w:p w:rsidR="00EE19EE" w:rsidRPr="00CC42EB" w:rsidRDefault="00EE19EE" w:rsidP="001B6469">
      <w:pPr>
        <w:widowControl w:val="0"/>
        <w:tabs>
          <w:tab w:val="left" w:pos="204"/>
          <w:tab w:val="left" w:pos="720"/>
        </w:tabs>
        <w:overflowPunct/>
        <w:jc w:val="left"/>
      </w:pPr>
    </w:p>
    <w:p w:rsidR="002B0B09" w:rsidRDefault="00040DF5" w:rsidP="001B6469">
      <w:pPr>
        <w:widowControl w:val="0"/>
        <w:tabs>
          <w:tab w:val="left" w:pos="204"/>
          <w:tab w:val="left" w:pos="720"/>
        </w:tabs>
        <w:overflowPunct/>
        <w:jc w:val="left"/>
        <w:rPr>
          <w:szCs w:val="26"/>
        </w:rPr>
      </w:pPr>
      <w:r>
        <w:rPr>
          <w:szCs w:val="26"/>
        </w:rPr>
        <w:tab/>
      </w:r>
      <w:r>
        <w:rPr>
          <w:szCs w:val="26"/>
        </w:rPr>
        <w:tab/>
      </w:r>
      <w:r>
        <w:rPr>
          <w:szCs w:val="26"/>
        </w:rPr>
        <w:tab/>
      </w:r>
      <w:r w:rsidRPr="00040DF5">
        <w:rPr>
          <w:b/>
          <w:szCs w:val="26"/>
        </w:rPr>
        <w:t>b</w:t>
      </w:r>
      <w:r w:rsidR="002B0B09" w:rsidRPr="00040DF5">
        <w:rPr>
          <w:b/>
          <w:szCs w:val="26"/>
        </w:rPr>
        <w:t>.</w:t>
      </w:r>
      <w:r w:rsidR="002B0B09">
        <w:rPr>
          <w:b/>
          <w:szCs w:val="26"/>
        </w:rPr>
        <w:tab/>
        <w:t>Disposition</w:t>
      </w:r>
    </w:p>
    <w:p w:rsidR="002B0B09" w:rsidRDefault="002B0B09" w:rsidP="001B6469">
      <w:pPr>
        <w:widowControl w:val="0"/>
        <w:tabs>
          <w:tab w:val="left" w:pos="204"/>
          <w:tab w:val="left" w:pos="720"/>
        </w:tabs>
        <w:overflowPunct/>
        <w:jc w:val="left"/>
      </w:pPr>
    </w:p>
    <w:p w:rsidR="00DE4292" w:rsidRDefault="002B0B09" w:rsidP="001B6469">
      <w:pPr>
        <w:widowControl w:val="0"/>
        <w:tabs>
          <w:tab w:val="left" w:pos="204"/>
          <w:tab w:val="left" w:pos="720"/>
        </w:tabs>
        <w:overflowPunct/>
        <w:jc w:val="left"/>
      </w:pPr>
      <w:r>
        <w:tab/>
      </w:r>
      <w:r>
        <w:tab/>
      </w:r>
      <w:r w:rsidR="0087693A">
        <w:t>The Commission adopts the proposed changes to the</w:t>
      </w:r>
      <w:r w:rsidR="0087693A">
        <w:rPr>
          <w:szCs w:val="26"/>
        </w:rPr>
        <w:t xml:space="preserve"> algorithm for the average annual gallons of water and has included in the TRM an explanation of the RDF.  In addition, </w:t>
      </w:r>
      <w:r w:rsidR="0087693A">
        <w:t>t</w:t>
      </w:r>
      <w:r>
        <w:t>he Commission agrees with PECO’s recommendation and directs the SWE to review appropriate sources and</w:t>
      </w:r>
      <w:r w:rsidR="00DE4292">
        <w:t xml:space="preserve"> provide recommendations, during the 2016 TRM update, regarding the expansions of</w:t>
      </w:r>
      <w:r>
        <w:t xml:space="preserve"> the measure to include larger co</w:t>
      </w:r>
      <w:r w:rsidR="00DE4292">
        <w:t>mmercial food service buildings</w:t>
      </w:r>
      <w:r>
        <w:t>.</w:t>
      </w:r>
      <w:r w:rsidR="00DE4292">
        <w:t xml:space="preserve">  </w:t>
      </w:r>
      <w:r w:rsidR="0087693A" w:rsidRPr="004E6DA5">
        <w:rPr>
          <w:szCs w:val="26"/>
        </w:rPr>
        <w:t>If it deems it appropriate, the SWE may collaborate with the PEG in developing a recommendation.</w:t>
      </w:r>
    </w:p>
    <w:p w:rsidR="002B0B09" w:rsidRDefault="002B0B09" w:rsidP="001B6469">
      <w:pPr>
        <w:widowControl w:val="0"/>
        <w:tabs>
          <w:tab w:val="left" w:pos="204"/>
          <w:tab w:val="left" w:pos="720"/>
        </w:tabs>
        <w:overflowPunct/>
        <w:jc w:val="left"/>
        <w:rPr>
          <w:szCs w:val="26"/>
        </w:rPr>
      </w:pPr>
    </w:p>
    <w:p w:rsidR="00EE19EE" w:rsidRDefault="00EE19EE"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lastRenderedPageBreak/>
        <w:tab/>
      </w:r>
      <w:r>
        <w:rPr>
          <w:szCs w:val="26"/>
        </w:rPr>
        <w:tab/>
        <w:t>In response to PPL’s comments, the Commission clarifies that the proposed change in the</w:t>
      </w:r>
      <w:r w:rsidR="00C814C8">
        <w:rPr>
          <w:szCs w:val="26"/>
        </w:rPr>
        <w:t xml:space="preserve"> T</w:t>
      </w:r>
      <w:r w:rsidR="00C814C8" w:rsidRPr="00C814C8">
        <w:rPr>
          <w:szCs w:val="26"/>
          <w:vertAlign w:val="subscript"/>
        </w:rPr>
        <w:t>hot</w:t>
      </w:r>
      <w:r w:rsidR="00C814C8">
        <w:rPr>
          <w:szCs w:val="26"/>
        </w:rPr>
        <w:t xml:space="preserve"> </w:t>
      </w:r>
      <w:r>
        <w:rPr>
          <w:szCs w:val="26"/>
        </w:rPr>
        <w:t>variable will not only affect the values in Table 3-70, but it will also require an update to Table 3-67.</w:t>
      </w:r>
      <w:r w:rsidR="0087693A">
        <w:rPr>
          <w:szCs w:val="26"/>
        </w:rPr>
        <w:t xml:space="preserve"> </w:t>
      </w:r>
      <w:r>
        <w:rPr>
          <w:szCs w:val="26"/>
        </w:rPr>
        <w:t xml:space="preserve"> The Commission has </w:t>
      </w:r>
      <w:r w:rsidR="00C814C8">
        <w:rPr>
          <w:szCs w:val="26"/>
        </w:rPr>
        <w:t>updated these two tables and made similar updates to S</w:t>
      </w:r>
      <w:r>
        <w:rPr>
          <w:szCs w:val="26"/>
        </w:rPr>
        <w:t>ections 3.4.2</w:t>
      </w:r>
      <w:r w:rsidR="00C814C8">
        <w:rPr>
          <w:szCs w:val="26"/>
        </w:rPr>
        <w:t xml:space="preserve"> – Heat Pump Water Heaters</w:t>
      </w:r>
      <w:r w:rsidR="00162B42">
        <w:rPr>
          <w:szCs w:val="26"/>
        </w:rPr>
        <w:t>, 3.4.5</w:t>
      </w:r>
      <w:r w:rsidR="00C814C8">
        <w:rPr>
          <w:szCs w:val="26"/>
        </w:rPr>
        <w:t xml:space="preserve"> – Fuel Switching: Electric Resistance Water Heaters to Gas/Oil/Propane and </w:t>
      </w:r>
      <w:r w:rsidR="00162B42">
        <w:rPr>
          <w:szCs w:val="26"/>
        </w:rPr>
        <w:t>3.4.6</w:t>
      </w:r>
      <w:r w:rsidR="00C814C8">
        <w:rPr>
          <w:szCs w:val="26"/>
        </w:rPr>
        <w:t xml:space="preserve"> – Fuel Switching: Heat Pump Water Heaters to Gas/Oil/Propane.</w:t>
      </w:r>
    </w:p>
    <w:p w:rsidR="002B0B09" w:rsidRDefault="002B0B09" w:rsidP="001B6469">
      <w:pPr>
        <w:widowControl w:val="0"/>
        <w:tabs>
          <w:tab w:val="left" w:pos="204"/>
          <w:tab w:val="left" w:pos="720"/>
        </w:tabs>
        <w:overflowPunct/>
        <w:jc w:val="left"/>
      </w:pPr>
    </w:p>
    <w:p w:rsidR="002B0B09" w:rsidRDefault="00F344C7" w:rsidP="00F344C7">
      <w:pPr>
        <w:pStyle w:val="Heading3"/>
        <w:numPr>
          <w:ilvl w:val="0"/>
          <w:numId w:val="0"/>
        </w:numPr>
        <w:ind w:left="1440" w:hanging="720"/>
      </w:pPr>
      <w:bookmarkStart w:id="159" w:name="_Toc405802416"/>
      <w:bookmarkStart w:id="160" w:name="_Toc405884742"/>
      <w:r>
        <w:t>7.</w:t>
      </w:r>
      <w:r>
        <w:tab/>
      </w:r>
      <w:r w:rsidR="002B0B09" w:rsidRPr="00C46EF5">
        <w:t>Section</w:t>
      </w:r>
      <w:r w:rsidR="002B0B09">
        <w:t xml:space="preserve"> 3.4.2 – Heat Pump Water Heaters</w:t>
      </w:r>
      <w:bookmarkEnd w:id="159"/>
      <w:bookmarkEnd w:id="160"/>
    </w:p>
    <w:p w:rsidR="002B0B09" w:rsidRDefault="002B0B09" w:rsidP="001B6469">
      <w:pPr>
        <w:jc w:val="left"/>
        <w:rPr>
          <w:szCs w:val="26"/>
        </w:rPr>
      </w:pPr>
    </w:p>
    <w:p w:rsidR="002B0B09" w:rsidRPr="00582AB5" w:rsidRDefault="002B0B09" w:rsidP="001B6469">
      <w:pPr>
        <w:tabs>
          <w:tab w:val="left" w:pos="0"/>
        </w:tabs>
        <w:jc w:val="left"/>
      </w:pPr>
      <w:r>
        <w:rPr>
          <w:szCs w:val="26"/>
        </w:rPr>
        <w:tab/>
      </w:r>
      <w:r w:rsidRPr="0081748C">
        <w:rPr>
          <w:szCs w:val="26"/>
        </w:rPr>
        <w:t xml:space="preserve">The </w:t>
      </w:r>
      <w:r w:rsidR="008A151D">
        <w:rPr>
          <w:szCs w:val="26"/>
        </w:rPr>
        <w:t>Commission did not propose modifications to the</w:t>
      </w:r>
      <w:r>
        <w:rPr>
          <w:szCs w:val="26"/>
        </w:rPr>
        <w:t xml:space="preserve"> Heat Pump Water Heaters measure </w:t>
      </w:r>
      <w:r w:rsidRPr="0081748C">
        <w:rPr>
          <w:szCs w:val="26"/>
        </w:rPr>
        <w:t xml:space="preserve">protocol. </w:t>
      </w:r>
      <w:r w:rsidR="005C0E65">
        <w:rPr>
          <w:szCs w:val="26"/>
        </w:rPr>
        <w:t xml:space="preserve"> </w:t>
      </w:r>
      <w:r w:rsidRPr="0081748C">
        <w:rPr>
          <w:szCs w:val="26"/>
        </w:rPr>
        <w:t>However, comments were received and are addressed below</w:t>
      </w:r>
      <w:r>
        <w:rPr>
          <w:szCs w:val="26"/>
        </w:rPr>
        <w:t>.</w:t>
      </w:r>
    </w:p>
    <w:p w:rsidR="002B0B09" w:rsidRPr="00582AB5" w:rsidRDefault="002B0B09" w:rsidP="001B6469">
      <w:pPr>
        <w:jc w:val="left"/>
      </w:pPr>
    </w:p>
    <w:p w:rsidR="002B0B09" w:rsidRDefault="005C0E65" w:rsidP="001B6469">
      <w:pPr>
        <w:widowControl w:val="0"/>
        <w:tabs>
          <w:tab w:val="left" w:pos="204"/>
          <w:tab w:val="left" w:pos="720"/>
        </w:tabs>
        <w:overflowPunct/>
        <w:jc w:val="left"/>
        <w:rPr>
          <w:szCs w:val="26"/>
        </w:rPr>
      </w:pPr>
      <w:r>
        <w:rPr>
          <w:szCs w:val="26"/>
        </w:rPr>
        <w:tab/>
      </w:r>
      <w:r>
        <w:rPr>
          <w:szCs w:val="26"/>
        </w:rPr>
        <w:tab/>
      </w:r>
      <w:r>
        <w:rPr>
          <w:szCs w:val="26"/>
        </w:rPr>
        <w:tab/>
      </w:r>
      <w:r>
        <w:rPr>
          <w:b/>
          <w:szCs w:val="26"/>
        </w:rPr>
        <w:t>a</w:t>
      </w:r>
      <w:r w:rsidR="002B0B09">
        <w:rPr>
          <w:b/>
          <w:szCs w:val="26"/>
        </w:rPr>
        <w:t>.</w:t>
      </w:r>
      <w:r w:rsidR="002B0B09">
        <w:rPr>
          <w:b/>
          <w:szCs w:val="26"/>
        </w:rPr>
        <w:tab/>
        <w:t>Comments</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t xml:space="preserve">PECO notes that this measure can be expanded to include larger commercial units in food service building types that often use large quantities of hot water. </w:t>
      </w:r>
      <w:r w:rsidR="005C0E65">
        <w:rPr>
          <w:szCs w:val="26"/>
        </w:rPr>
        <w:t xml:space="preserve"> </w:t>
      </w:r>
      <w:r>
        <w:rPr>
          <w:szCs w:val="26"/>
        </w:rPr>
        <w:t xml:space="preserve">PECO also suggests adding the term 1.0 </w:t>
      </w:r>
      <m:oMath>
        <m:f>
          <m:fPr>
            <m:ctrlPr>
              <w:rPr>
                <w:rFonts w:ascii="Cambria Math" w:hAnsi="Cambria Math"/>
                <w:i/>
                <w:szCs w:val="26"/>
              </w:rPr>
            </m:ctrlPr>
          </m:fPr>
          <m:num>
            <m:r>
              <w:rPr>
                <w:rFonts w:ascii="Cambria Math" w:hAnsi="Cambria Math"/>
                <w:szCs w:val="26"/>
              </w:rPr>
              <m:t>Btu</m:t>
            </m:r>
          </m:num>
          <m:den>
            <m:r>
              <w:rPr>
                <w:rFonts w:ascii="Cambria Math" w:hAnsi="Cambria Math"/>
                <w:szCs w:val="26"/>
              </w:rPr>
              <m:t>lb∙℉</m:t>
            </m:r>
          </m:den>
        </m:f>
      </m:oMath>
      <w:r>
        <w:rPr>
          <w:szCs w:val="26"/>
        </w:rPr>
        <w:t xml:space="preserve">  in the denominator of the average ann</w:t>
      </w:r>
      <w:r w:rsidR="005C0E65">
        <w:rPr>
          <w:szCs w:val="26"/>
        </w:rPr>
        <w:t>ual gallons of water algorithm.</w:t>
      </w:r>
      <w:r w:rsidR="005C0E65">
        <w:rPr>
          <w:rStyle w:val="FootnoteReference"/>
          <w:szCs w:val="26"/>
        </w:rPr>
        <w:footnoteReference w:id="170"/>
      </w:r>
      <w:r w:rsidR="0087693A">
        <w:rPr>
          <w:szCs w:val="26"/>
        </w:rPr>
        <w:t xml:space="preserve">  </w:t>
      </w:r>
      <w:r w:rsidRPr="005C0E65">
        <w:rPr>
          <w:szCs w:val="26"/>
        </w:rPr>
        <w:t>PPL recommends providing a default value for the energy factor of baseline water heater</w:t>
      </w:r>
      <w:r w:rsidR="005C0E65" w:rsidRPr="005C0E65">
        <w:rPr>
          <w:szCs w:val="26"/>
        </w:rPr>
        <w:t xml:space="preserve"> (EF</w:t>
      </w:r>
      <w:r w:rsidR="005C0E65" w:rsidRPr="005C0E65">
        <w:rPr>
          <w:szCs w:val="26"/>
          <w:vertAlign w:val="subscript"/>
        </w:rPr>
        <w:t>base</w:t>
      </w:r>
      <w:r w:rsidRPr="005C0E65">
        <w:rPr>
          <w:szCs w:val="26"/>
        </w:rPr>
        <w:t>) in Table 3-73 for instances where customers do not or cannot provide this information.</w:t>
      </w:r>
      <w:r w:rsidRPr="005C0E65">
        <w:rPr>
          <w:rStyle w:val="FootnoteReference"/>
          <w:szCs w:val="26"/>
        </w:rPr>
        <w:footnoteReference w:id="171"/>
      </w:r>
      <w:r>
        <w:rPr>
          <w:szCs w:val="26"/>
        </w:rPr>
        <w:t xml:space="preserve"> </w:t>
      </w:r>
    </w:p>
    <w:p w:rsidR="002B0B09" w:rsidRDefault="002B0B09" w:rsidP="001B6469">
      <w:pPr>
        <w:widowControl w:val="0"/>
        <w:tabs>
          <w:tab w:val="left" w:pos="204"/>
          <w:tab w:val="left" w:pos="720"/>
        </w:tabs>
        <w:overflowPunct/>
        <w:jc w:val="left"/>
        <w:rPr>
          <w:szCs w:val="26"/>
        </w:rPr>
      </w:pPr>
    </w:p>
    <w:p w:rsidR="002B0B09" w:rsidRDefault="00340CE5" w:rsidP="001B6469">
      <w:pPr>
        <w:widowControl w:val="0"/>
        <w:tabs>
          <w:tab w:val="left" w:pos="204"/>
          <w:tab w:val="left" w:pos="720"/>
        </w:tabs>
        <w:overflowPunct/>
        <w:jc w:val="left"/>
        <w:rPr>
          <w:szCs w:val="26"/>
        </w:rPr>
      </w:pPr>
      <w:r>
        <w:rPr>
          <w:szCs w:val="26"/>
        </w:rPr>
        <w:tab/>
      </w:r>
      <w:r>
        <w:rPr>
          <w:szCs w:val="26"/>
        </w:rPr>
        <w:tab/>
      </w:r>
      <w:r>
        <w:rPr>
          <w:szCs w:val="26"/>
        </w:rPr>
        <w:tab/>
      </w:r>
      <w:r>
        <w:rPr>
          <w:b/>
          <w:szCs w:val="26"/>
        </w:rPr>
        <w:t>b</w:t>
      </w:r>
      <w:r w:rsidR="002B0B09">
        <w:rPr>
          <w:b/>
          <w:szCs w:val="26"/>
        </w:rPr>
        <w:t>.</w:t>
      </w:r>
      <w:r w:rsidR="002B0B09">
        <w:rPr>
          <w:b/>
          <w:szCs w:val="26"/>
        </w:rPr>
        <w:tab/>
        <w:t>Disposition</w:t>
      </w:r>
    </w:p>
    <w:p w:rsidR="002B0B09" w:rsidRDefault="002B0B09" w:rsidP="001B6469">
      <w:pPr>
        <w:widowControl w:val="0"/>
        <w:tabs>
          <w:tab w:val="left" w:pos="204"/>
          <w:tab w:val="left" w:pos="720"/>
        </w:tabs>
        <w:overflowPunct/>
        <w:jc w:val="left"/>
      </w:pPr>
    </w:p>
    <w:p w:rsidR="002B0B09" w:rsidRDefault="002B0B09" w:rsidP="00340CE5">
      <w:pPr>
        <w:widowControl w:val="0"/>
        <w:tabs>
          <w:tab w:val="left" w:pos="204"/>
          <w:tab w:val="left" w:pos="720"/>
        </w:tabs>
        <w:overflowPunct/>
        <w:jc w:val="left"/>
      </w:pPr>
      <w:r>
        <w:tab/>
      </w:r>
      <w:r>
        <w:tab/>
        <w:t xml:space="preserve">The Commission agrees with </w:t>
      </w:r>
      <w:r w:rsidR="00340CE5">
        <w:t>PECO’s suggestions</w:t>
      </w:r>
      <w:r>
        <w:t xml:space="preserve"> and directs the SWE to</w:t>
      </w:r>
      <w:r w:rsidRPr="008D2F3E">
        <w:t xml:space="preserve"> review appropriate sources and</w:t>
      </w:r>
      <w:r w:rsidR="00340CE5">
        <w:t xml:space="preserve"> provide, during the 2016 TRM update, recommendations regarding the</w:t>
      </w:r>
      <w:r w:rsidRPr="008D2F3E">
        <w:t xml:space="preserve"> expan</w:t>
      </w:r>
      <w:r w:rsidR="00340CE5">
        <w:t>sion of</w:t>
      </w:r>
      <w:r w:rsidRPr="008D2F3E">
        <w:t xml:space="preserve"> the measure to include larger commercial food service </w:t>
      </w:r>
      <w:r w:rsidRPr="008D2F3E">
        <w:lastRenderedPageBreak/>
        <w:t>building</w:t>
      </w:r>
      <w:r w:rsidR="00340CE5">
        <w:t>s</w:t>
      </w:r>
      <w:r>
        <w:t xml:space="preserve">. </w:t>
      </w:r>
      <w:r w:rsidR="00340CE5">
        <w:t xml:space="preserve"> </w:t>
      </w:r>
      <w:r>
        <w:t xml:space="preserve">The Commission also adopts </w:t>
      </w:r>
      <w:r w:rsidRPr="00C26539">
        <w:t>the proposed changes to the algorithm for the average annual gallons of water</w:t>
      </w:r>
      <w:r>
        <w:t xml:space="preserve">. </w:t>
      </w:r>
      <w:r w:rsidR="00340CE5">
        <w:t xml:space="preserve"> </w:t>
      </w:r>
      <w:r>
        <w:t xml:space="preserve">Regarding PPL’s comments on default energy factors, the Commission clarifies that the default values are already listed in Table 3-74. </w:t>
      </w:r>
    </w:p>
    <w:p w:rsidR="002B0B09" w:rsidRDefault="002B0B09" w:rsidP="001B6469">
      <w:pPr>
        <w:widowControl w:val="0"/>
        <w:tabs>
          <w:tab w:val="left" w:pos="204"/>
          <w:tab w:val="left" w:pos="720"/>
        </w:tabs>
        <w:overflowPunct/>
        <w:jc w:val="left"/>
      </w:pPr>
    </w:p>
    <w:p w:rsidR="002B0B09" w:rsidRDefault="00F344C7" w:rsidP="00F344C7">
      <w:pPr>
        <w:pStyle w:val="Heading3"/>
        <w:numPr>
          <w:ilvl w:val="0"/>
          <w:numId w:val="0"/>
        </w:numPr>
        <w:tabs>
          <w:tab w:val="clear" w:pos="720"/>
        </w:tabs>
        <w:ind w:left="1440" w:hanging="720"/>
      </w:pPr>
      <w:bookmarkStart w:id="161" w:name="_Toc405802417"/>
      <w:bookmarkStart w:id="162" w:name="_Toc405884743"/>
      <w:r>
        <w:t>8.</w:t>
      </w:r>
      <w:r>
        <w:tab/>
      </w:r>
      <w:r w:rsidR="002B0B09" w:rsidRPr="00C46EF5">
        <w:t>Section</w:t>
      </w:r>
      <w:r w:rsidR="002B0B09">
        <w:t xml:space="preserve"> 3.4.4 – Low </w:t>
      </w:r>
      <w:r w:rsidR="002B0B09" w:rsidRPr="0098410B">
        <w:t>Flow Pre-Rinse Sprayers for Tim</w:t>
      </w:r>
      <w:r w:rsidR="002B0B09">
        <w:t>e of Sale/</w:t>
      </w:r>
      <w:r w:rsidR="002B0B09" w:rsidRPr="0098410B">
        <w:t>Retail Programs</w:t>
      </w:r>
      <w:r w:rsidR="00CC7FE2" w:rsidRPr="00340CE5">
        <w:rPr>
          <w:rStyle w:val="FootnoteReference"/>
          <w:b w:val="0"/>
        </w:rPr>
        <w:footnoteReference w:id="172"/>
      </w:r>
      <w:bookmarkEnd w:id="161"/>
      <w:bookmarkEnd w:id="162"/>
    </w:p>
    <w:p w:rsidR="002B0B09" w:rsidRPr="0098410B"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sidRPr="0098410B">
        <w:rPr>
          <w:szCs w:val="26"/>
        </w:rPr>
        <w:tab/>
      </w:r>
      <w:r w:rsidRPr="0098410B">
        <w:rPr>
          <w:szCs w:val="26"/>
        </w:rPr>
        <w:tab/>
      </w:r>
      <w:r w:rsidRPr="00340CE5">
        <w:rPr>
          <w:szCs w:val="26"/>
        </w:rPr>
        <w:t>In the Tentative Order, the Commission proposed using, in Section 3.4.4 – Low Flow Pre-Rinse Sprayers for Time of Sale/Retail Programs, the Engineering ToolBox</w:t>
      </w:r>
      <w:r w:rsidRPr="00340CE5">
        <w:rPr>
          <w:szCs w:val="26"/>
          <w:vertAlign w:val="superscript"/>
        </w:rPr>
        <w:footnoteReference w:id="173"/>
      </w:r>
      <w:r w:rsidRPr="00340CE5">
        <w:rPr>
          <w:szCs w:val="26"/>
        </w:rPr>
        <w:t xml:space="preserve"> as the source for specific heat of water definition and associated value of 1.0.  The Commission recommended using verification measurements derived from the Impact and Process Evaluation Final Report</w:t>
      </w:r>
      <w:r w:rsidRPr="00340CE5">
        <w:rPr>
          <w:rStyle w:val="FootnoteReference"/>
          <w:szCs w:val="26"/>
        </w:rPr>
        <w:footnoteReference w:id="174"/>
      </w:r>
      <w:r w:rsidRPr="00340CE5">
        <w:rPr>
          <w:szCs w:val="26"/>
        </w:rPr>
        <w:t xml:space="preserve"> as the source for temperatures from spray nozzles.</w:t>
      </w:r>
      <w:r w:rsidRPr="0098410B">
        <w:rPr>
          <w:szCs w:val="26"/>
        </w:rPr>
        <w:t xml:space="preserve"> </w:t>
      </w:r>
    </w:p>
    <w:p w:rsidR="00EE19EE" w:rsidRDefault="00EE19EE" w:rsidP="001B6469">
      <w:pPr>
        <w:widowControl w:val="0"/>
        <w:tabs>
          <w:tab w:val="left" w:pos="204"/>
          <w:tab w:val="left" w:pos="720"/>
        </w:tabs>
        <w:overflowPunct/>
        <w:jc w:val="left"/>
        <w:rPr>
          <w:szCs w:val="26"/>
        </w:rPr>
      </w:pPr>
    </w:p>
    <w:p w:rsidR="002B0B09" w:rsidRDefault="00340CE5" w:rsidP="001B6469">
      <w:pPr>
        <w:widowControl w:val="0"/>
        <w:tabs>
          <w:tab w:val="left" w:pos="204"/>
          <w:tab w:val="left" w:pos="720"/>
        </w:tabs>
        <w:overflowPunct/>
        <w:jc w:val="left"/>
        <w:rPr>
          <w:szCs w:val="26"/>
        </w:rPr>
      </w:pPr>
      <w:r>
        <w:rPr>
          <w:szCs w:val="26"/>
        </w:rPr>
        <w:tab/>
      </w:r>
      <w:r>
        <w:rPr>
          <w:szCs w:val="26"/>
        </w:rPr>
        <w:tab/>
      </w:r>
      <w:r>
        <w:rPr>
          <w:szCs w:val="26"/>
        </w:rPr>
        <w:tab/>
      </w:r>
      <w:r>
        <w:rPr>
          <w:b/>
          <w:szCs w:val="26"/>
        </w:rPr>
        <w:t>a</w:t>
      </w:r>
      <w:r w:rsidR="002B0B09">
        <w:rPr>
          <w:b/>
          <w:szCs w:val="26"/>
        </w:rPr>
        <w:t>.</w:t>
      </w:r>
      <w:r w:rsidR="002B0B09">
        <w:rPr>
          <w:b/>
          <w:szCs w:val="26"/>
        </w:rPr>
        <w:tab/>
        <w:t>Comments</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t xml:space="preserve">PPL notes that Table 3-76 </w:t>
      </w:r>
      <w:r w:rsidR="00B20242">
        <w:rPr>
          <w:szCs w:val="26"/>
        </w:rPr>
        <w:t>provides a fixed value of 125.6</w:t>
      </w:r>
      <w:r>
        <w:rPr>
          <w:rFonts w:ascii="Calibri" w:hAnsi="Calibri"/>
          <w:szCs w:val="26"/>
        </w:rPr>
        <w:t>˚</w:t>
      </w:r>
      <w:r>
        <w:rPr>
          <w:szCs w:val="26"/>
        </w:rPr>
        <w:t>F for the</w:t>
      </w:r>
      <w:r w:rsidR="00B20242">
        <w:rPr>
          <w:szCs w:val="26"/>
        </w:rPr>
        <w:t xml:space="preserve"> T</w:t>
      </w:r>
      <w:r w:rsidR="00B20242" w:rsidRPr="00B20242">
        <w:rPr>
          <w:szCs w:val="26"/>
          <w:vertAlign w:val="subscript"/>
        </w:rPr>
        <w:t>h</w:t>
      </w:r>
      <w:r>
        <w:rPr>
          <w:szCs w:val="26"/>
        </w:rPr>
        <w:t xml:space="preserve"> variable</w:t>
      </w:r>
      <w:r w:rsidR="00B20242">
        <w:rPr>
          <w:szCs w:val="26"/>
        </w:rPr>
        <w:t>,</w:t>
      </w:r>
      <w:r>
        <w:rPr>
          <w:szCs w:val="26"/>
        </w:rPr>
        <w:t xml:space="preserve"> but the Tentative Order states that this variable is 105.6</w:t>
      </w:r>
      <w:r>
        <w:rPr>
          <w:rFonts w:ascii="Calibri" w:hAnsi="Calibri"/>
          <w:szCs w:val="26"/>
        </w:rPr>
        <w:t>˚</w:t>
      </w:r>
      <w:r>
        <w:rPr>
          <w:szCs w:val="26"/>
        </w:rPr>
        <w:t xml:space="preserve">F. </w:t>
      </w:r>
      <w:r w:rsidR="00B20242">
        <w:rPr>
          <w:szCs w:val="26"/>
        </w:rPr>
        <w:t xml:space="preserve"> </w:t>
      </w:r>
      <w:r>
        <w:rPr>
          <w:szCs w:val="26"/>
        </w:rPr>
        <w:t xml:space="preserve">PPL requests that the Commission clarify which value is correct and update the TRM </w:t>
      </w:r>
      <w:r w:rsidR="00B20242">
        <w:rPr>
          <w:szCs w:val="26"/>
        </w:rPr>
        <w:t>as</w:t>
      </w:r>
      <w:r>
        <w:rPr>
          <w:szCs w:val="26"/>
        </w:rPr>
        <w:t xml:space="preserve"> necessary.</w:t>
      </w:r>
      <w:r>
        <w:rPr>
          <w:rStyle w:val="FootnoteReference"/>
          <w:szCs w:val="26"/>
        </w:rPr>
        <w:footnoteReference w:id="175"/>
      </w:r>
      <w:r>
        <w:rPr>
          <w:szCs w:val="26"/>
        </w:rPr>
        <w:t xml:space="preserve"> </w:t>
      </w:r>
      <w:r w:rsidR="0087693A">
        <w:rPr>
          <w:szCs w:val="26"/>
        </w:rPr>
        <w:t xml:space="preserve"> </w:t>
      </w:r>
      <w:r>
        <w:rPr>
          <w:szCs w:val="26"/>
        </w:rPr>
        <w:t xml:space="preserve">PECO notes that the unit for the conversion factor of 3,413 should be corrected to </w:t>
      </w:r>
      <m:oMath>
        <m:f>
          <m:fPr>
            <m:ctrlPr>
              <w:rPr>
                <w:rFonts w:ascii="Cambria Math" w:hAnsi="Cambria Math"/>
                <w:i/>
                <w:szCs w:val="26"/>
              </w:rPr>
            </m:ctrlPr>
          </m:fPr>
          <m:num>
            <m:r>
              <w:rPr>
                <w:rFonts w:ascii="Cambria Math" w:hAnsi="Cambria Math"/>
                <w:szCs w:val="26"/>
              </w:rPr>
              <m:t>Btu</m:t>
            </m:r>
          </m:num>
          <m:den>
            <m:r>
              <w:rPr>
                <w:rFonts w:ascii="Cambria Math" w:hAnsi="Cambria Math"/>
                <w:szCs w:val="26"/>
              </w:rPr>
              <m:t>kWh</m:t>
            </m:r>
          </m:den>
        </m:f>
      </m:oMath>
      <w:r>
        <w:rPr>
          <w:szCs w:val="26"/>
        </w:rPr>
        <w:t xml:space="preserve"> instead of</w:t>
      </w:r>
      <m:oMath>
        <m:r>
          <w:rPr>
            <w:rFonts w:ascii="Cambria Math" w:hAnsi="Cambria Math"/>
            <w:szCs w:val="26"/>
          </w:rPr>
          <m:t xml:space="preserve">  </m:t>
        </m:r>
        <m:f>
          <m:fPr>
            <m:ctrlPr>
              <w:rPr>
                <w:rFonts w:ascii="Cambria Math" w:hAnsi="Cambria Math"/>
                <w:i/>
                <w:szCs w:val="26"/>
              </w:rPr>
            </m:ctrlPr>
          </m:fPr>
          <m:num>
            <m:r>
              <w:rPr>
                <w:rFonts w:ascii="Cambria Math" w:hAnsi="Cambria Math"/>
                <w:szCs w:val="26"/>
              </w:rPr>
              <m:t>Btul</m:t>
            </m:r>
          </m:num>
          <m:den>
            <m:r>
              <w:rPr>
                <w:rFonts w:ascii="Cambria Math" w:hAnsi="Cambria Math"/>
                <w:szCs w:val="26"/>
              </w:rPr>
              <m:t>kWh</m:t>
            </m:r>
          </m:den>
        </m:f>
      </m:oMath>
      <w:r>
        <w:rPr>
          <w:szCs w:val="26"/>
        </w:rPr>
        <w:t xml:space="preserve">. </w:t>
      </w:r>
      <w:r w:rsidR="00B20242">
        <w:rPr>
          <w:szCs w:val="26"/>
        </w:rPr>
        <w:t xml:space="preserve"> </w:t>
      </w:r>
      <w:r>
        <w:rPr>
          <w:szCs w:val="26"/>
        </w:rPr>
        <w:t>PECO also requests the Commission to include a detailed explanation and sources of the parameters used to calculate default savings.</w:t>
      </w:r>
      <w:r>
        <w:rPr>
          <w:rStyle w:val="FootnoteReference"/>
          <w:szCs w:val="26"/>
        </w:rPr>
        <w:footnoteReference w:id="176"/>
      </w:r>
      <w:r>
        <w:rPr>
          <w:szCs w:val="26"/>
        </w:rPr>
        <w:t xml:space="preserve"> </w:t>
      </w:r>
    </w:p>
    <w:p w:rsidR="002B0B09" w:rsidRDefault="00B20242" w:rsidP="001B6469">
      <w:pPr>
        <w:widowControl w:val="0"/>
        <w:tabs>
          <w:tab w:val="left" w:pos="204"/>
          <w:tab w:val="left" w:pos="720"/>
        </w:tabs>
        <w:overflowPunct/>
        <w:jc w:val="left"/>
        <w:rPr>
          <w:szCs w:val="26"/>
        </w:rPr>
      </w:pPr>
      <w:r>
        <w:rPr>
          <w:szCs w:val="26"/>
        </w:rPr>
        <w:lastRenderedPageBreak/>
        <w:tab/>
      </w:r>
      <w:r>
        <w:rPr>
          <w:szCs w:val="26"/>
        </w:rPr>
        <w:tab/>
      </w:r>
      <w:r>
        <w:rPr>
          <w:szCs w:val="26"/>
        </w:rPr>
        <w:tab/>
      </w:r>
      <w:r>
        <w:rPr>
          <w:b/>
          <w:szCs w:val="26"/>
        </w:rPr>
        <w:t>b</w:t>
      </w:r>
      <w:r w:rsidR="002B0B09">
        <w:rPr>
          <w:b/>
          <w:szCs w:val="26"/>
        </w:rPr>
        <w:t>.</w:t>
      </w:r>
      <w:r w:rsidR="002B0B09">
        <w:rPr>
          <w:b/>
          <w:szCs w:val="26"/>
        </w:rPr>
        <w:tab/>
        <w:t>Disposition</w:t>
      </w:r>
    </w:p>
    <w:p w:rsidR="002B0B09" w:rsidRDefault="002B0B09" w:rsidP="001B6469">
      <w:pPr>
        <w:widowControl w:val="0"/>
        <w:tabs>
          <w:tab w:val="left" w:pos="204"/>
          <w:tab w:val="left" w:pos="720"/>
        </w:tabs>
        <w:overflowPunct/>
        <w:jc w:val="left"/>
        <w:rPr>
          <w:szCs w:val="26"/>
        </w:rPr>
      </w:pPr>
    </w:p>
    <w:p w:rsidR="002B0B09" w:rsidRDefault="002B0B09" w:rsidP="00B20242">
      <w:pPr>
        <w:widowControl w:val="0"/>
        <w:tabs>
          <w:tab w:val="left" w:pos="720"/>
        </w:tabs>
        <w:overflowPunct/>
        <w:jc w:val="left"/>
        <w:rPr>
          <w:szCs w:val="26"/>
        </w:rPr>
      </w:pPr>
      <w:r>
        <w:rPr>
          <w:szCs w:val="26"/>
        </w:rPr>
        <w:tab/>
      </w:r>
      <w:r>
        <w:rPr>
          <w:szCs w:val="26"/>
        </w:rPr>
        <w:tab/>
      </w:r>
      <w:r w:rsidR="00B20242">
        <w:rPr>
          <w:szCs w:val="26"/>
        </w:rPr>
        <w:t>The</w:t>
      </w:r>
      <w:r>
        <w:rPr>
          <w:szCs w:val="26"/>
        </w:rPr>
        <w:t xml:space="preserve"> Commission clarifies that the correct value for the hot water temperature variable is 125.6 </w:t>
      </w:r>
      <w:r>
        <w:rPr>
          <w:rFonts w:ascii="Calibri" w:hAnsi="Calibri"/>
          <w:szCs w:val="26"/>
        </w:rPr>
        <w:t>˚</w:t>
      </w:r>
      <w:r>
        <w:rPr>
          <w:szCs w:val="26"/>
        </w:rPr>
        <w:t xml:space="preserve">F. </w:t>
      </w:r>
      <w:r w:rsidR="00B20242">
        <w:rPr>
          <w:szCs w:val="26"/>
        </w:rPr>
        <w:t xml:space="preserve"> </w:t>
      </w:r>
      <w:r>
        <w:rPr>
          <w:szCs w:val="26"/>
        </w:rPr>
        <w:t>The Commission agrees with PECO that the unit for the conversion fac</w:t>
      </w:r>
      <w:r w:rsidR="00B20242">
        <w:rPr>
          <w:szCs w:val="26"/>
        </w:rPr>
        <w:t>tor of 3,413 should be updated.  The TRM has been updated accordingly.</w:t>
      </w:r>
      <w:r w:rsidR="0087693A">
        <w:rPr>
          <w:szCs w:val="26"/>
        </w:rPr>
        <w:t xml:space="preserve">  </w:t>
      </w:r>
      <w:r>
        <w:rPr>
          <w:szCs w:val="26"/>
        </w:rPr>
        <w:t xml:space="preserve">The Commission further notes Table 3-76 already provides the explanation and sources of the savings parameters. </w:t>
      </w:r>
    </w:p>
    <w:p w:rsidR="002B0B09" w:rsidRPr="00E217D0" w:rsidRDefault="002B0B09" w:rsidP="001B6469">
      <w:pPr>
        <w:widowControl w:val="0"/>
        <w:tabs>
          <w:tab w:val="left" w:pos="204"/>
          <w:tab w:val="left" w:pos="720"/>
        </w:tabs>
        <w:overflowPunct/>
        <w:jc w:val="left"/>
        <w:rPr>
          <w:szCs w:val="26"/>
        </w:rPr>
      </w:pPr>
    </w:p>
    <w:p w:rsidR="002B0B09" w:rsidRPr="006100BB" w:rsidRDefault="00F344C7" w:rsidP="00F344C7">
      <w:pPr>
        <w:pStyle w:val="Heading3"/>
        <w:numPr>
          <w:ilvl w:val="0"/>
          <w:numId w:val="0"/>
        </w:numPr>
        <w:tabs>
          <w:tab w:val="clear" w:pos="720"/>
          <w:tab w:val="left" w:pos="204"/>
        </w:tabs>
        <w:ind w:left="1440" w:hanging="720"/>
      </w:pPr>
      <w:bookmarkStart w:id="163" w:name="_Toc405802418"/>
      <w:bookmarkStart w:id="164" w:name="_Toc405884744"/>
      <w:r>
        <w:t>9.</w:t>
      </w:r>
      <w:r>
        <w:tab/>
      </w:r>
      <w:r w:rsidR="002B0B09" w:rsidRPr="006100BB">
        <w:t>Section 3.4.5 – Fuel Switching: Electric Resistance Water Heaters to Gas/Oil/Propane</w:t>
      </w:r>
      <w:r w:rsidR="00764E0A" w:rsidRPr="006100BB">
        <w:rPr>
          <w:rStyle w:val="FootnoteReference"/>
          <w:b w:val="0"/>
        </w:rPr>
        <w:footnoteReference w:id="177"/>
      </w:r>
      <w:bookmarkEnd w:id="163"/>
      <w:bookmarkEnd w:id="164"/>
    </w:p>
    <w:p w:rsidR="002B0B09" w:rsidRPr="00567151" w:rsidRDefault="002B0B09" w:rsidP="001B6469">
      <w:pPr>
        <w:jc w:val="left"/>
      </w:pPr>
    </w:p>
    <w:p w:rsidR="002B0B09" w:rsidRDefault="002B0B09" w:rsidP="001B6469">
      <w:pPr>
        <w:tabs>
          <w:tab w:val="left" w:pos="0"/>
        </w:tabs>
        <w:jc w:val="left"/>
        <w:rPr>
          <w:szCs w:val="26"/>
        </w:rPr>
      </w:pPr>
      <w:r w:rsidRPr="0098410B">
        <w:rPr>
          <w:szCs w:val="26"/>
        </w:rPr>
        <w:tab/>
      </w:r>
      <w:r w:rsidRPr="0081748C">
        <w:rPr>
          <w:szCs w:val="26"/>
        </w:rPr>
        <w:t xml:space="preserve">The </w:t>
      </w:r>
      <w:r w:rsidR="008A151D">
        <w:rPr>
          <w:szCs w:val="26"/>
        </w:rPr>
        <w:t>Commission did not propose modifications to the</w:t>
      </w:r>
      <w:r>
        <w:rPr>
          <w:szCs w:val="26"/>
        </w:rPr>
        <w:t xml:space="preserve"> Fuel Switching: Electric Resistance Water Heaters to Gas/Oil/Propane measure protocol. </w:t>
      </w:r>
      <w:r w:rsidR="00760C5D">
        <w:rPr>
          <w:szCs w:val="26"/>
        </w:rPr>
        <w:t xml:space="preserve"> </w:t>
      </w:r>
      <w:r w:rsidRPr="0081748C">
        <w:rPr>
          <w:szCs w:val="26"/>
        </w:rPr>
        <w:t>However, comments were received and are addressed below</w:t>
      </w:r>
      <w:r>
        <w:rPr>
          <w:szCs w:val="26"/>
        </w:rPr>
        <w:t>.</w:t>
      </w:r>
    </w:p>
    <w:p w:rsidR="00EE19EE" w:rsidRPr="00582AB5" w:rsidRDefault="00EE19EE" w:rsidP="001B6469">
      <w:pPr>
        <w:tabs>
          <w:tab w:val="left" w:pos="0"/>
        </w:tabs>
        <w:jc w:val="left"/>
      </w:pPr>
    </w:p>
    <w:p w:rsidR="002B0B09" w:rsidRDefault="002B0B09" w:rsidP="001B6469">
      <w:pPr>
        <w:widowControl w:val="0"/>
        <w:tabs>
          <w:tab w:val="left" w:pos="204"/>
          <w:tab w:val="left" w:pos="720"/>
        </w:tabs>
        <w:overflowPunct/>
        <w:jc w:val="left"/>
        <w:rPr>
          <w:szCs w:val="26"/>
        </w:rPr>
      </w:pPr>
      <w:r>
        <w:rPr>
          <w:szCs w:val="26"/>
        </w:rPr>
        <w:tab/>
      </w:r>
      <w:r>
        <w:rPr>
          <w:szCs w:val="26"/>
        </w:rPr>
        <w:tab/>
      </w:r>
      <w:r w:rsidR="00760C5D">
        <w:rPr>
          <w:b/>
          <w:szCs w:val="26"/>
        </w:rPr>
        <w:tab/>
        <w:t>a</w:t>
      </w:r>
      <w:r>
        <w:rPr>
          <w:b/>
          <w:szCs w:val="26"/>
        </w:rPr>
        <w:t>.</w:t>
      </w:r>
      <w:r>
        <w:rPr>
          <w:b/>
          <w:szCs w:val="26"/>
        </w:rPr>
        <w:tab/>
        <w:t>Comments</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t xml:space="preserve">PECO requests clarification on the restriction on efficiency of </w:t>
      </w:r>
      <w:r w:rsidR="002A482E">
        <w:rPr>
          <w:szCs w:val="26"/>
        </w:rPr>
        <w:t xml:space="preserve">a </w:t>
      </w:r>
      <w:r>
        <w:rPr>
          <w:szCs w:val="26"/>
        </w:rPr>
        <w:t xml:space="preserve">replaced electric unit. </w:t>
      </w:r>
      <w:r w:rsidR="002A482E">
        <w:rPr>
          <w:szCs w:val="26"/>
        </w:rPr>
        <w:t xml:space="preserve"> </w:t>
      </w:r>
      <w:r>
        <w:rPr>
          <w:szCs w:val="26"/>
        </w:rPr>
        <w:t>If assuming</w:t>
      </w:r>
      <w:r w:rsidR="002A482E">
        <w:rPr>
          <w:szCs w:val="26"/>
        </w:rPr>
        <w:t xml:space="preserve"> a</w:t>
      </w:r>
      <w:r>
        <w:rPr>
          <w:szCs w:val="26"/>
        </w:rPr>
        <w:t xml:space="preserve"> replace-on-burnout</w:t>
      </w:r>
      <w:r w:rsidR="002A482E">
        <w:rPr>
          <w:szCs w:val="26"/>
        </w:rPr>
        <w:t xml:space="preserve"> scenario</w:t>
      </w:r>
      <w:r>
        <w:rPr>
          <w:szCs w:val="26"/>
        </w:rPr>
        <w:t>, baseline consumption can be calculated based on an energy factor of 0.904 regardless of actual old unit efficiency.</w:t>
      </w:r>
      <w:r>
        <w:rPr>
          <w:rStyle w:val="FootnoteReference"/>
          <w:szCs w:val="26"/>
        </w:rPr>
        <w:footnoteReference w:id="178"/>
      </w:r>
      <w:r>
        <w:rPr>
          <w:szCs w:val="26"/>
        </w:rPr>
        <w:t xml:space="preserve"> </w:t>
      </w:r>
    </w:p>
    <w:p w:rsidR="002B0B09" w:rsidRDefault="002B0B09" w:rsidP="001B6469">
      <w:pPr>
        <w:widowControl w:val="0"/>
        <w:tabs>
          <w:tab w:val="left" w:pos="204"/>
          <w:tab w:val="left" w:pos="720"/>
        </w:tabs>
        <w:overflowPunct/>
        <w:jc w:val="left"/>
        <w:rPr>
          <w:szCs w:val="26"/>
        </w:rPr>
      </w:pPr>
    </w:p>
    <w:p w:rsidR="002B0B09" w:rsidRDefault="002A482E" w:rsidP="001B6469">
      <w:pPr>
        <w:widowControl w:val="0"/>
        <w:tabs>
          <w:tab w:val="left" w:pos="204"/>
          <w:tab w:val="left" w:pos="720"/>
        </w:tabs>
        <w:overflowPunct/>
        <w:jc w:val="left"/>
        <w:rPr>
          <w:b/>
          <w:szCs w:val="26"/>
        </w:rPr>
      </w:pPr>
      <w:r>
        <w:rPr>
          <w:szCs w:val="26"/>
        </w:rPr>
        <w:tab/>
      </w:r>
      <w:r>
        <w:rPr>
          <w:szCs w:val="26"/>
        </w:rPr>
        <w:tab/>
      </w:r>
      <w:r>
        <w:rPr>
          <w:szCs w:val="26"/>
        </w:rPr>
        <w:tab/>
      </w:r>
      <w:r>
        <w:rPr>
          <w:b/>
          <w:szCs w:val="26"/>
        </w:rPr>
        <w:t>b</w:t>
      </w:r>
      <w:r w:rsidR="002B0B09">
        <w:rPr>
          <w:b/>
          <w:szCs w:val="26"/>
        </w:rPr>
        <w:t>.</w:t>
      </w:r>
      <w:r w:rsidR="002B0B09">
        <w:rPr>
          <w:b/>
          <w:szCs w:val="26"/>
        </w:rPr>
        <w:tab/>
        <w:t>Disposition</w:t>
      </w:r>
    </w:p>
    <w:p w:rsidR="002B0B09" w:rsidRDefault="002B0B09" w:rsidP="001B6469">
      <w:pPr>
        <w:jc w:val="left"/>
      </w:pPr>
    </w:p>
    <w:p w:rsidR="002B0B09" w:rsidRDefault="002B0B09" w:rsidP="001B6469">
      <w:pPr>
        <w:jc w:val="left"/>
      </w:pPr>
      <w:r>
        <w:tab/>
      </w:r>
      <w:r w:rsidRPr="00DB18B7">
        <w:t xml:space="preserve">The Commission agrees with PECO’s recommendation and has removed the energy factor restriction of the standard electric water heater. </w:t>
      </w:r>
      <w:r w:rsidR="00DB18B7" w:rsidRPr="00DB18B7">
        <w:t xml:space="preserve"> </w:t>
      </w:r>
      <w:r w:rsidRPr="00DB18B7">
        <w:t xml:space="preserve">Similar changes have been </w:t>
      </w:r>
      <w:r w:rsidRPr="00DB18B7">
        <w:lastRenderedPageBreak/>
        <w:t>made to the residential protocol in Section 2.3.4: Fuel Switching: Electric Resistance to Fossil Fuel Water Heater.</w:t>
      </w:r>
    </w:p>
    <w:p w:rsidR="004B6DE4" w:rsidRDefault="002B0B09" w:rsidP="00756BF8">
      <w:pPr>
        <w:jc w:val="left"/>
        <w:rPr>
          <w:szCs w:val="26"/>
        </w:rPr>
      </w:pPr>
      <w:r>
        <w:tab/>
      </w:r>
      <w:r w:rsidR="006263E8">
        <w:rPr>
          <w:szCs w:val="26"/>
        </w:rPr>
        <w:t xml:space="preserve"> </w:t>
      </w:r>
    </w:p>
    <w:p w:rsidR="004B6DE4" w:rsidRDefault="00523E3D" w:rsidP="00A95717">
      <w:pPr>
        <w:pStyle w:val="Heading3"/>
        <w:numPr>
          <w:ilvl w:val="0"/>
          <w:numId w:val="0"/>
        </w:numPr>
        <w:tabs>
          <w:tab w:val="clear" w:pos="720"/>
        </w:tabs>
        <w:ind w:left="1440" w:hanging="720"/>
      </w:pPr>
      <w:bookmarkStart w:id="165" w:name="_Toc405802420"/>
      <w:bookmarkStart w:id="166" w:name="_Toc405884745"/>
      <w:r>
        <w:t>1</w:t>
      </w:r>
      <w:r w:rsidR="00F344C7">
        <w:t>0</w:t>
      </w:r>
      <w:r w:rsidR="0063510A">
        <w:t>.</w:t>
      </w:r>
      <w:r w:rsidR="0063510A">
        <w:tab/>
        <w:t>Section 3.5.2</w:t>
      </w:r>
      <w:r w:rsidR="004B6DE4">
        <w:t xml:space="preserve"> – High-Efficiency Evaporator Fan Motors for </w:t>
      </w:r>
      <w:r w:rsidR="0063510A">
        <w:t>Reach</w:t>
      </w:r>
      <w:r w:rsidR="004B6DE4">
        <w:t>-in Refrigerated Cases</w:t>
      </w:r>
      <w:bookmarkEnd w:id="165"/>
      <w:bookmarkEnd w:id="166"/>
    </w:p>
    <w:p w:rsidR="004B6DE4" w:rsidRPr="0098410B" w:rsidRDefault="004B6DE4" w:rsidP="001B6469">
      <w:pPr>
        <w:widowControl w:val="0"/>
        <w:tabs>
          <w:tab w:val="left" w:pos="204"/>
          <w:tab w:val="left" w:pos="720"/>
        </w:tabs>
        <w:overflowPunct/>
        <w:jc w:val="left"/>
        <w:rPr>
          <w:b/>
          <w:szCs w:val="26"/>
        </w:rPr>
      </w:pPr>
    </w:p>
    <w:p w:rsidR="004B6DE4" w:rsidRDefault="004B6DE4" w:rsidP="001B6469">
      <w:pPr>
        <w:widowControl w:val="0"/>
        <w:overflowPunct/>
        <w:ind w:firstLine="720"/>
        <w:jc w:val="left"/>
        <w:rPr>
          <w:szCs w:val="26"/>
        </w:rPr>
      </w:pPr>
      <w:r w:rsidRPr="00EC7896">
        <w:rPr>
          <w:szCs w:val="26"/>
        </w:rPr>
        <w:t xml:space="preserve">The </w:t>
      </w:r>
      <w:r w:rsidR="008A151D">
        <w:rPr>
          <w:szCs w:val="26"/>
        </w:rPr>
        <w:t>Commission did not propose changes to the</w:t>
      </w:r>
      <w:r>
        <w:rPr>
          <w:szCs w:val="26"/>
        </w:rPr>
        <w:t xml:space="preserve"> High-Efficiency Evaporator Fan Motors for </w:t>
      </w:r>
      <w:r w:rsidR="0063510A">
        <w:rPr>
          <w:szCs w:val="26"/>
        </w:rPr>
        <w:t>Reach</w:t>
      </w:r>
      <w:r>
        <w:rPr>
          <w:szCs w:val="26"/>
        </w:rPr>
        <w:t>-in Refrigerated Cases measure protocol.</w:t>
      </w:r>
      <w:r w:rsidRPr="00EC7896">
        <w:rPr>
          <w:szCs w:val="26"/>
        </w:rPr>
        <w:t xml:space="preserve"> </w:t>
      </w:r>
      <w:r w:rsidR="000420FF">
        <w:rPr>
          <w:szCs w:val="26"/>
        </w:rPr>
        <w:t xml:space="preserve"> </w:t>
      </w:r>
      <w:r>
        <w:rPr>
          <w:szCs w:val="26"/>
        </w:rPr>
        <w:t>H</w:t>
      </w:r>
      <w:r w:rsidRPr="00EC7896">
        <w:rPr>
          <w:szCs w:val="26"/>
        </w:rPr>
        <w:t xml:space="preserve">owever, </w:t>
      </w:r>
      <w:r>
        <w:rPr>
          <w:szCs w:val="26"/>
        </w:rPr>
        <w:t xml:space="preserve">comments were received </w:t>
      </w:r>
      <w:r w:rsidRPr="00EC7896">
        <w:rPr>
          <w:szCs w:val="26"/>
        </w:rPr>
        <w:t xml:space="preserve">and </w:t>
      </w:r>
      <w:r>
        <w:rPr>
          <w:szCs w:val="26"/>
        </w:rPr>
        <w:t>are</w:t>
      </w:r>
      <w:r w:rsidRPr="00EC7896">
        <w:rPr>
          <w:szCs w:val="26"/>
        </w:rPr>
        <w:t xml:space="preserve"> address</w:t>
      </w:r>
      <w:r>
        <w:rPr>
          <w:szCs w:val="26"/>
        </w:rPr>
        <w:t>ed below</w:t>
      </w:r>
      <w:r w:rsidRPr="00EC7896">
        <w:rPr>
          <w:szCs w:val="26"/>
        </w:rPr>
        <w:t>.</w:t>
      </w:r>
    </w:p>
    <w:p w:rsidR="004B6DE4" w:rsidRPr="009074FC" w:rsidRDefault="004B6DE4" w:rsidP="001B6469">
      <w:pPr>
        <w:widowControl w:val="0"/>
        <w:overflowPunct/>
        <w:ind w:firstLine="720"/>
        <w:jc w:val="left"/>
        <w:rPr>
          <w:szCs w:val="26"/>
        </w:rPr>
      </w:pPr>
    </w:p>
    <w:p w:rsidR="004B6DE4" w:rsidRDefault="000420FF" w:rsidP="000420FF">
      <w:pPr>
        <w:widowControl w:val="0"/>
        <w:overflowPunct/>
        <w:ind w:left="720" w:firstLine="720"/>
        <w:jc w:val="left"/>
        <w:rPr>
          <w:szCs w:val="26"/>
        </w:rPr>
      </w:pPr>
      <w:r>
        <w:rPr>
          <w:b/>
          <w:szCs w:val="26"/>
        </w:rPr>
        <w:t>a</w:t>
      </w:r>
      <w:r w:rsidR="004B6DE4">
        <w:rPr>
          <w:b/>
          <w:szCs w:val="26"/>
        </w:rPr>
        <w:t>.</w:t>
      </w:r>
      <w:r w:rsidR="004B6DE4">
        <w:rPr>
          <w:b/>
          <w:szCs w:val="26"/>
        </w:rPr>
        <w:tab/>
        <w:t>Comments</w:t>
      </w:r>
    </w:p>
    <w:p w:rsidR="004B6DE4" w:rsidRDefault="004B6DE4" w:rsidP="001B6469">
      <w:pPr>
        <w:widowControl w:val="0"/>
        <w:overflowPunct/>
        <w:ind w:firstLine="720"/>
        <w:jc w:val="left"/>
        <w:rPr>
          <w:szCs w:val="26"/>
        </w:rPr>
      </w:pPr>
    </w:p>
    <w:p w:rsidR="004B6DE4" w:rsidRDefault="004B6DE4" w:rsidP="001B6469">
      <w:pPr>
        <w:widowControl w:val="0"/>
        <w:overflowPunct/>
        <w:ind w:firstLine="720"/>
        <w:jc w:val="left"/>
        <w:rPr>
          <w:szCs w:val="26"/>
        </w:rPr>
      </w:pPr>
      <w:r>
        <w:rPr>
          <w:szCs w:val="26"/>
        </w:rPr>
        <w:t xml:space="preserve">FirstEnergy </w:t>
      </w:r>
      <w:r w:rsidR="00257A6B">
        <w:rPr>
          <w:szCs w:val="26"/>
        </w:rPr>
        <w:t>recommends</w:t>
      </w:r>
      <w:r w:rsidR="007F4BC4">
        <w:rPr>
          <w:szCs w:val="26"/>
        </w:rPr>
        <w:t xml:space="preserve"> adding a discussion to address the EISA 2007 code relative to electronically commutated motor (ECMs) in walk-in coolers. </w:t>
      </w:r>
      <w:r w:rsidR="007D5721">
        <w:rPr>
          <w:szCs w:val="26"/>
        </w:rPr>
        <w:t xml:space="preserve"> FirstEnergy states that </w:t>
      </w:r>
      <w:r w:rsidR="007F4BC4">
        <w:rPr>
          <w:szCs w:val="26"/>
        </w:rPr>
        <w:t>Section 312 f.1.e of the EI</w:t>
      </w:r>
      <w:r w:rsidR="007D5721">
        <w:rPr>
          <w:szCs w:val="26"/>
        </w:rPr>
        <w:t>S</w:t>
      </w:r>
      <w:r w:rsidR="007F4BC4">
        <w:rPr>
          <w:szCs w:val="26"/>
        </w:rPr>
        <w:t xml:space="preserve">A 2007 Regulation effectively makes ECMs the baseline fan motor type for walk-in coolers for new construction and removes conversion of shaded pole to permanent split capacitor (PSC) motors as a viable measure in new construction applications. </w:t>
      </w:r>
      <w:r w:rsidR="007D5721">
        <w:rPr>
          <w:szCs w:val="26"/>
        </w:rPr>
        <w:t xml:space="preserve"> </w:t>
      </w:r>
      <w:r w:rsidR="007F4BC4">
        <w:rPr>
          <w:szCs w:val="26"/>
        </w:rPr>
        <w:t>As a result, FirstEnergy suggests a discussion on baseline selection in new construction applications and eligibility in retrofit applications.</w:t>
      </w:r>
      <w:r>
        <w:rPr>
          <w:rStyle w:val="FootnoteReference"/>
          <w:szCs w:val="26"/>
        </w:rPr>
        <w:footnoteReference w:id="179"/>
      </w:r>
    </w:p>
    <w:p w:rsidR="004B6DE4" w:rsidRDefault="004B6DE4" w:rsidP="001B6469">
      <w:pPr>
        <w:widowControl w:val="0"/>
        <w:overflowPunct/>
        <w:ind w:firstLine="720"/>
        <w:jc w:val="left"/>
        <w:rPr>
          <w:szCs w:val="26"/>
        </w:rPr>
      </w:pPr>
    </w:p>
    <w:p w:rsidR="004B6DE4" w:rsidRDefault="007D5721" w:rsidP="001B6469">
      <w:pPr>
        <w:widowControl w:val="0"/>
        <w:overflowPunct/>
        <w:ind w:firstLine="720"/>
        <w:jc w:val="left"/>
        <w:rPr>
          <w:szCs w:val="26"/>
        </w:rPr>
      </w:pPr>
      <w:r>
        <w:rPr>
          <w:szCs w:val="26"/>
        </w:rPr>
        <w:tab/>
      </w:r>
      <w:r>
        <w:rPr>
          <w:b/>
          <w:szCs w:val="26"/>
        </w:rPr>
        <w:t>b</w:t>
      </w:r>
      <w:r w:rsidR="004B6DE4">
        <w:rPr>
          <w:b/>
          <w:szCs w:val="26"/>
        </w:rPr>
        <w:t>.</w:t>
      </w:r>
      <w:r w:rsidR="004B6DE4">
        <w:rPr>
          <w:b/>
          <w:szCs w:val="26"/>
        </w:rPr>
        <w:tab/>
        <w:t>Disposition</w:t>
      </w:r>
    </w:p>
    <w:p w:rsidR="00337857" w:rsidRDefault="00D60D7A" w:rsidP="001B6469">
      <w:pPr>
        <w:jc w:val="left"/>
      </w:pPr>
      <w:r>
        <w:tab/>
      </w:r>
    </w:p>
    <w:p w:rsidR="00991018" w:rsidRDefault="00D60D7A" w:rsidP="001B6469">
      <w:pPr>
        <w:ind w:firstLine="720"/>
        <w:jc w:val="left"/>
      </w:pPr>
      <w:r>
        <w:t>The Commis</w:t>
      </w:r>
      <w:r w:rsidR="00740DAB">
        <w:t>sion</w:t>
      </w:r>
      <w:r w:rsidR="00144997">
        <w:t xml:space="preserve"> reviewed</w:t>
      </w:r>
      <w:r w:rsidR="00740DAB">
        <w:t xml:space="preserve"> </w:t>
      </w:r>
      <w:r w:rsidR="00144997" w:rsidRPr="00144997">
        <w:t>Section 312 f.1.e o</w:t>
      </w:r>
      <w:r w:rsidR="00C37254">
        <w:t>f EIS</w:t>
      </w:r>
      <w:r w:rsidR="00144997" w:rsidRPr="00144997">
        <w:t>A 2007</w:t>
      </w:r>
      <w:r w:rsidR="00C37254">
        <w:t xml:space="preserve"> and a guidance document published by DOE</w:t>
      </w:r>
      <w:r w:rsidR="00C37254">
        <w:rPr>
          <w:rStyle w:val="FootnoteReference"/>
        </w:rPr>
        <w:footnoteReference w:id="180"/>
      </w:r>
      <w:r w:rsidR="001E1F22">
        <w:t xml:space="preserve"> on the conservation standards of walk-in coolers and freezers (WICF). </w:t>
      </w:r>
      <w:r w:rsidR="00991018">
        <w:t xml:space="preserve"> </w:t>
      </w:r>
      <w:r w:rsidR="001E1F22">
        <w:t xml:space="preserve">The guidance document states </w:t>
      </w:r>
      <w:r w:rsidR="00991018">
        <w:t>the following:</w:t>
      </w:r>
    </w:p>
    <w:p w:rsidR="00991018" w:rsidRDefault="00991018" w:rsidP="001B6469">
      <w:pPr>
        <w:ind w:firstLine="720"/>
        <w:jc w:val="left"/>
      </w:pPr>
    </w:p>
    <w:p w:rsidR="001E1F22" w:rsidRDefault="001E1F22" w:rsidP="00991018">
      <w:pPr>
        <w:spacing w:line="240" w:lineRule="auto"/>
        <w:ind w:left="720" w:right="720"/>
        <w:jc w:val="left"/>
      </w:pPr>
      <w:r>
        <w:lastRenderedPageBreak/>
        <w:t>A WICF evaporator, manufactured prior to January 1, 2009, requires a replacement fan motor. If the replacement fan motor was manufactured after January 1, 2009 and is going to be used as a replacement for an existing WICF, it must be compliant with the WICF standard. Thus, the motor must be an ECM or a 3-phase motor</w:t>
      </w:r>
      <w:r w:rsidR="00991018">
        <w:t>.</w:t>
      </w:r>
    </w:p>
    <w:p w:rsidR="00ED55B0" w:rsidRDefault="00ED55B0" w:rsidP="001B6469">
      <w:pPr>
        <w:ind w:firstLine="720"/>
        <w:jc w:val="left"/>
      </w:pPr>
    </w:p>
    <w:p w:rsidR="00D60D7A" w:rsidRDefault="00ED55B0" w:rsidP="001B6469">
      <w:pPr>
        <w:ind w:firstLine="720"/>
        <w:jc w:val="left"/>
      </w:pPr>
      <w:r>
        <w:t xml:space="preserve">The Commission notes that replacing an existing shade-pole motor with a PSC motor is no longer an </w:t>
      </w:r>
      <w:r w:rsidR="00C953BC">
        <w:t>applicable</w:t>
      </w:r>
      <w:r>
        <w:t xml:space="preserve"> measure. </w:t>
      </w:r>
      <w:r w:rsidR="00A95717">
        <w:t xml:space="preserve"> </w:t>
      </w:r>
      <w:r>
        <w:t>Therefore, the Commission has removed shaded pole to PSC dee</w:t>
      </w:r>
      <w:r w:rsidR="006263E8">
        <w:t xml:space="preserve">med savings from the 2015 TRM. </w:t>
      </w:r>
      <w:r w:rsidR="00A95717">
        <w:t xml:space="preserve"> </w:t>
      </w:r>
      <w:r>
        <w:t>In addition, the Commission clarifies that</w:t>
      </w:r>
      <w:r w:rsidR="00C953BC">
        <w:t xml:space="preserve"> </w:t>
      </w:r>
      <w:r w:rsidR="00A95717">
        <w:t xml:space="preserve">Section 3.5.2 – </w:t>
      </w:r>
      <w:r w:rsidR="00C953BC">
        <w:rPr>
          <w:szCs w:val="26"/>
        </w:rPr>
        <w:t xml:space="preserve">High-Efficiency Evaporator Fan Motors for Reach-in Refrigerated Cases </w:t>
      </w:r>
      <w:r w:rsidR="00740DAB">
        <w:t>is not applicable for new construction or replace on burnout projects.</w:t>
      </w:r>
      <w:r w:rsidR="00A95717">
        <w:t xml:space="preserve"> </w:t>
      </w:r>
      <w:r w:rsidR="00740DAB">
        <w:t xml:space="preserve"> However, the existing measure will still apply to </w:t>
      </w:r>
      <w:r w:rsidR="00C953BC">
        <w:t>early</w:t>
      </w:r>
      <w:r w:rsidR="00740DAB">
        <w:t xml:space="preserve"> replaceme</w:t>
      </w:r>
      <w:r w:rsidR="00374978">
        <w:t>nt projects where</w:t>
      </w:r>
      <w:r w:rsidR="00740DAB">
        <w:t xml:space="preserve"> PSCs </w:t>
      </w:r>
      <w:r w:rsidR="005F5E6C">
        <w:t xml:space="preserve"> or shaded-pole motors </w:t>
      </w:r>
      <w:r w:rsidR="00740DAB">
        <w:t xml:space="preserve">can be the baseline. </w:t>
      </w:r>
    </w:p>
    <w:p w:rsidR="00BB450B" w:rsidRDefault="00BB450B">
      <w:pPr>
        <w:overflowPunct/>
        <w:autoSpaceDE/>
        <w:autoSpaceDN/>
        <w:adjustRightInd/>
        <w:spacing w:line="240" w:lineRule="auto"/>
        <w:jc w:val="left"/>
        <w:rPr>
          <w:b/>
          <w:szCs w:val="26"/>
        </w:rPr>
      </w:pPr>
      <w:bookmarkStart w:id="167" w:name="_Toc405802421"/>
      <w:bookmarkStart w:id="168" w:name="_Toc405884746"/>
    </w:p>
    <w:p w:rsidR="005346A8" w:rsidRDefault="00523E3D" w:rsidP="00A95717">
      <w:pPr>
        <w:pStyle w:val="Heading3"/>
        <w:numPr>
          <w:ilvl w:val="0"/>
          <w:numId w:val="0"/>
        </w:numPr>
        <w:tabs>
          <w:tab w:val="clear" w:pos="720"/>
        </w:tabs>
        <w:ind w:left="1440" w:hanging="720"/>
      </w:pPr>
      <w:r>
        <w:t>1</w:t>
      </w:r>
      <w:r w:rsidR="00F344C7">
        <w:t>1</w:t>
      </w:r>
      <w:r w:rsidR="005346A8">
        <w:t>.</w:t>
      </w:r>
      <w:r w:rsidR="005346A8">
        <w:tab/>
        <w:t>Section 3.5.3 – High-Efficiency Evaporator Fan Motors for Walk-in Refrigerated Cases</w:t>
      </w:r>
      <w:bookmarkEnd w:id="167"/>
      <w:bookmarkEnd w:id="168"/>
      <w:r w:rsidR="005346A8">
        <w:t xml:space="preserve"> </w:t>
      </w:r>
    </w:p>
    <w:p w:rsidR="005346A8" w:rsidRPr="0098410B" w:rsidRDefault="005346A8" w:rsidP="001B6469">
      <w:pPr>
        <w:widowControl w:val="0"/>
        <w:tabs>
          <w:tab w:val="left" w:pos="204"/>
          <w:tab w:val="left" w:pos="720"/>
        </w:tabs>
        <w:overflowPunct/>
        <w:jc w:val="left"/>
        <w:rPr>
          <w:b/>
          <w:szCs w:val="26"/>
        </w:rPr>
      </w:pPr>
    </w:p>
    <w:p w:rsidR="005346A8" w:rsidRDefault="00BB1F62" w:rsidP="001B6469">
      <w:pPr>
        <w:widowControl w:val="0"/>
        <w:overflowPunct/>
        <w:ind w:firstLine="720"/>
        <w:jc w:val="left"/>
        <w:rPr>
          <w:szCs w:val="26"/>
        </w:rPr>
      </w:pPr>
      <w:r w:rsidRPr="0048210F">
        <w:rPr>
          <w:szCs w:val="26"/>
        </w:rPr>
        <w:t xml:space="preserve">The </w:t>
      </w:r>
      <w:r w:rsidR="008A151D" w:rsidRPr="0048210F">
        <w:rPr>
          <w:szCs w:val="26"/>
        </w:rPr>
        <w:t xml:space="preserve">Commission did not propose modifications to </w:t>
      </w:r>
      <w:r w:rsidR="00EE19EE">
        <w:rPr>
          <w:szCs w:val="26"/>
        </w:rPr>
        <w:t>this</w:t>
      </w:r>
      <w:r w:rsidRPr="0048210F">
        <w:rPr>
          <w:szCs w:val="26"/>
        </w:rPr>
        <w:t xml:space="preserve"> measure protocol. </w:t>
      </w:r>
      <w:r w:rsidR="00A95717" w:rsidRPr="0048210F">
        <w:rPr>
          <w:szCs w:val="26"/>
        </w:rPr>
        <w:t xml:space="preserve"> </w:t>
      </w:r>
      <w:r w:rsidRPr="0048210F">
        <w:rPr>
          <w:szCs w:val="26"/>
        </w:rPr>
        <w:t>However, comments were received and are addressed below.</w:t>
      </w:r>
    </w:p>
    <w:p w:rsidR="00BB1F62" w:rsidRPr="009074FC" w:rsidRDefault="00BB1F62" w:rsidP="001B6469">
      <w:pPr>
        <w:widowControl w:val="0"/>
        <w:overflowPunct/>
        <w:ind w:firstLine="720"/>
        <w:jc w:val="left"/>
        <w:rPr>
          <w:szCs w:val="26"/>
        </w:rPr>
      </w:pPr>
    </w:p>
    <w:p w:rsidR="005346A8" w:rsidRDefault="00A95717" w:rsidP="00A95717">
      <w:pPr>
        <w:widowControl w:val="0"/>
        <w:overflowPunct/>
        <w:ind w:left="720" w:firstLine="720"/>
        <w:jc w:val="left"/>
        <w:rPr>
          <w:szCs w:val="26"/>
        </w:rPr>
      </w:pPr>
      <w:r>
        <w:rPr>
          <w:b/>
          <w:szCs w:val="26"/>
        </w:rPr>
        <w:t>a</w:t>
      </w:r>
      <w:r w:rsidR="005346A8">
        <w:rPr>
          <w:b/>
          <w:szCs w:val="26"/>
        </w:rPr>
        <w:t>.</w:t>
      </w:r>
      <w:r w:rsidR="005346A8">
        <w:rPr>
          <w:b/>
          <w:szCs w:val="26"/>
        </w:rPr>
        <w:tab/>
        <w:t>Comments</w:t>
      </w:r>
    </w:p>
    <w:p w:rsidR="005346A8" w:rsidRDefault="005346A8" w:rsidP="001B6469">
      <w:pPr>
        <w:widowControl w:val="0"/>
        <w:overflowPunct/>
        <w:ind w:firstLine="720"/>
        <w:jc w:val="left"/>
        <w:rPr>
          <w:szCs w:val="26"/>
        </w:rPr>
      </w:pPr>
    </w:p>
    <w:p w:rsidR="005346A8" w:rsidRPr="00756BF8" w:rsidRDefault="006925EB" w:rsidP="001B6469">
      <w:pPr>
        <w:widowControl w:val="0"/>
        <w:overflowPunct/>
        <w:ind w:firstLine="720"/>
        <w:jc w:val="left"/>
        <w:rPr>
          <w:szCs w:val="26"/>
        </w:rPr>
      </w:pPr>
      <w:r>
        <w:rPr>
          <w:szCs w:val="26"/>
        </w:rPr>
        <w:t>FirstEnergy notes that the HOUs for evaporator fan motors are reduced from 8,760 in the 2014 TRM to 8,273</w:t>
      </w:r>
      <w:r w:rsidR="00816954">
        <w:rPr>
          <w:szCs w:val="26"/>
        </w:rPr>
        <w:t>,</w:t>
      </w:r>
      <w:r>
        <w:rPr>
          <w:szCs w:val="26"/>
        </w:rPr>
        <w:t xml:space="preserve"> but</w:t>
      </w:r>
      <w:r w:rsidR="0048210F">
        <w:rPr>
          <w:szCs w:val="26"/>
        </w:rPr>
        <w:t xml:space="preserve"> that</w:t>
      </w:r>
      <w:r>
        <w:rPr>
          <w:szCs w:val="26"/>
        </w:rPr>
        <w:t xml:space="preserve"> the changes are not reflected in Table</w:t>
      </w:r>
      <w:r w:rsidR="00816954">
        <w:rPr>
          <w:szCs w:val="26"/>
        </w:rPr>
        <w:t>s</w:t>
      </w:r>
      <w:r>
        <w:rPr>
          <w:szCs w:val="26"/>
        </w:rPr>
        <w:t xml:space="preserve"> 3-100 </w:t>
      </w:r>
      <w:r w:rsidR="00816954">
        <w:rPr>
          <w:szCs w:val="26"/>
        </w:rPr>
        <w:t xml:space="preserve">or </w:t>
      </w:r>
      <w:r w:rsidR="00D40E34">
        <w:rPr>
          <w:szCs w:val="26"/>
        </w:rPr>
        <w:t>3-101</w:t>
      </w:r>
      <w:r w:rsidR="0048210F">
        <w:rPr>
          <w:szCs w:val="26"/>
        </w:rPr>
        <w:t xml:space="preserve">.  </w:t>
      </w:r>
      <w:r>
        <w:rPr>
          <w:szCs w:val="26"/>
        </w:rPr>
        <w:t>FirstEnergy also comments that the 1-14W motors were eliminated from the deemed savings tables; however, 6</w:t>
      </w:r>
      <w:r w:rsidR="0048210F">
        <w:rPr>
          <w:szCs w:val="26"/>
        </w:rPr>
        <w:t>W</w:t>
      </w:r>
      <w:r>
        <w:rPr>
          <w:szCs w:val="26"/>
        </w:rPr>
        <w:t xml:space="preserve"> and 9W motors are very</w:t>
      </w:r>
      <w:r w:rsidR="0048210F">
        <w:rPr>
          <w:szCs w:val="26"/>
        </w:rPr>
        <w:t xml:space="preserve"> common in reach-in refrigeration</w:t>
      </w:r>
      <w:r>
        <w:rPr>
          <w:szCs w:val="26"/>
        </w:rPr>
        <w:t xml:space="preserve"> </w:t>
      </w:r>
      <w:r w:rsidRPr="00756BF8">
        <w:rPr>
          <w:szCs w:val="26"/>
        </w:rPr>
        <w:t xml:space="preserve">display cases. </w:t>
      </w:r>
      <w:r w:rsidR="0048210F" w:rsidRPr="00756BF8">
        <w:rPr>
          <w:szCs w:val="26"/>
        </w:rPr>
        <w:t xml:space="preserve"> </w:t>
      </w:r>
      <w:r w:rsidRPr="00756BF8">
        <w:rPr>
          <w:szCs w:val="26"/>
        </w:rPr>
        <w:t xml:space="preserve">FirstEnergy recommends reinstating the 1-14W motor categories into </w:t>
      </w:r>
      <w:r w:rsidR="0048210F" w:rsidRPr="00756BF8">
        <w:rPr>
          <w:szCs w:val="26"/>
        </w:rPr>
        <w:t>Table</w:t>
      </w:r>
      <w:r w:rsidR="00816954" w:rsidRPr="00756BF8">
        <w:rPr>
          <w:szCs w:val="26"/>
        </w:rPr>
        <w:t>s</w:t>
      </w:r>
      <w:r w:rsidR="0048210F" w:rsidRPr="00756BF8">
        <w:rPr>
          <w:szCs w:val="26"/>
        </w:rPr>
        <w:t xml:space="preserve"> 3-100 and 3-101</w:t>
      </w:r>
      <w:r w:rsidR="00D40E34" w:rsidRPr="00756BF8">
        <w:rPr>
          <w:szCs w:val="26"/>
        </w:rPr>
        <w:t>.</w:t>
      </w:r>
      <w:r w:rsidR="00D40E34" w:rsidRPr="00756BF8">
        <w:rPr>
          <w:rStyle w:val="FootnoteReference"/>
          <w:szCs w:val="26"/>
        </w:rPr>
        <w:footnoteReference w:id="181"/>
      </w:r>
      <w:r w:rsidR="00D40E34" w:rsidRPr="00756BF8">
        <w:rPr>
          <w:szCs w:val="26"/>
        </w:rPr>
        <w:t xml:space="preserve"> </w:t>
      </w:r>
      <w:r w:rsidR="00816954" w:rsidRPr="00756BF8">
        <w:rPr>
          <w:szCs w:val="26"/>
        </w:rPr>
        <w:t xml:space="preserve"> </w:t>
      </w:r>
    </w:p>
    <w:p w:rsidR="00756BF8" w:rsidRPr="00756BF8" w:rsidRDefault="00756BF8" w:rsidP="001B6469">
      <w:pPr>
        <w:widowControl w:val="0"/>
        <w:overflowPunct/>
        <w:ind w:firstLine="720"/>
        <w:jc w:val="left"/>
        <w:rPr>
          <w:szCs w:val="26"/>
        </w:rPr>
      </w:pPr>
    </w:p>
    <w:p w:rsidR="005346A8" w:rsidRPr="00756BF8" w:rsidRDefault="0048210F" w:rsidP="001B6469">
      <w:pPr>
        <w:widowControl w:val="0"/>
        <w:overflowPunct/>
        <w:ind w:firstLine="720"/>
        <w:jc w:val="left"/>
        <w:rPr>
          <w:szCs w:val="26"/>
        </w:rPr>
      </w:pPr>
      <w:r w:rsidRPr="00756BF8">
        <w:rPr>
          <w:szCs w:val="26"/>
        </w:rPr>
        <w:lastRenderedPageBreak/>
        <w:tab/>
      </w:r>
      <w:r w:rsidRPr="00756BF8">
        <w:rPr>
          <w:b/>
          <w:szCs w:val="26"/>
        </w:rPr>
        <w:t>b</w:t>
      </w:r>
      <w:r w:rsidR="005346A8" w:rsidRPr="00756BF8">
        <w:rPr>
          <w:b/>
          <w:szCs w:val="26"/>
        </w:rPr>
        <w:t>.</w:t>
      </w:r>
      <w:r w:rsidR="005346A8" w:rsidRPr="00756BF8">
        <w:rPr>
          <w:b/>
          <w:szCs w:val="26"/>
        </w:rPr>
        <w:tab/>
        <w:t>Disposition</w:t>
      </w:r>
    </w:p>
    <w:p w:rsidR="005346A8" w:rsidRPr="00756BF8" w:rsidRDefault="005346A8" w:rsidP="001B6469">
      <w:pPr>
        <w:widowControl w:val="0"/>
        <w:overflowPunct/>
        <w:ind w:firstLine="720"/>
        <w:jc w:val="left"/>
        <w:rPr>
          <w:szCs w:val="26"/>
        </w:rPr>
      </w:pPr>
    </w:p>
    <w:p w:rsidR="001D036A" w:rsidRDefault="001D036A" w:rsidP="001D036A">
      <w:pPr>
        <w:widowControl w:val="0"/>
        <w:overflowPunct/>
        <w:ind w:firstLine="720"/>
        <w:jc w:val="left"/>
      </w:pPr>
      <w:r w:rsidRPr="00756BF8">
        <w:t xml:space="preserve">The Commission rejects FirstEnergy’s suggestions.  The Commission notes that the HOUs for evaporator fan motors did not change.  In addition, the Commission reviewed the values in </w:t>
      </w:r>
      <w:r w:rsidRPr="00756BF8">
        <w:rPr>
          <w:szCs w:val="26"/>
        </w:rPr>
        <w:t>Table</w:t>
      </w:r>
      <w:r w:rsidR="00816954" w:rsidRPr="00756BF8">
        <w:rPr>
          <w:szCs w:val="26"/>
        </w:rPr>
        <w:t>s</w:t>
      </w:r>
      <w:r w:rsidRPr="00756BF8">
        <w:rPr>
          <w:szCs w:val="26"/>
        </w:rPr>
        <w:t xml:space="preserve"> 3-100 and 3-101</w:t>
      </w:r>
      <w:r w:rsidRPr="00756BF8">
        <w:t xml:space="preserve"> and concludes that no updates are required.  Similarly, the 1-14W motors were already rem</w:t>
      </w:r>
      <w:r w:rsidR="00C40A6E" w:rsidRPr="00756BF8">
        <w:t xml:space="preserve">oved from the 2013 and 2014 TRMs, </w:t>
      </w:r>
      <w:r w:rsidRPr="00756BF8">
        <w:t xml:space="preserve">because the referenced source </w:t>
      </w:r>
      <w:r w:rsidR="00C40A6E" w:rsidRPr="00756BF8">
        <w:t>was</w:t>
      </w:r>
      <w:r w:rsidRPr="00756BF8">
        <w:t xml:space="preserve"> updated. </w:t>
      </w:r>
      <w:r w:rsidR="00C40A6E" w:rsidRPr="00756BF8">
        <w:t xml:space="preserve"> </w:t>
      </w:r>
      <w:r w:rsidRPr="00756BF8">
        <w:t xml:space="preserve">While the Commission agrees that adding the savings for 1-14W motor </w:t>
      </w:r>
      <w:r w:rsidR="00C40A6E" w:rsidRPr="00756BF8">
        <w:t>may</w:t>
      </w:r>
      <w:r w:rsidRPr="00756BF8">
        <w:t xml:space="preserve"> be beneficial, the Commission </w:t>
      </w:r>
      <w:r w:rsidR="00C40A6E" w:rsidRPr="00756BF8">
        <w:t xml:space="preserve">believes this issue requires further research and, therefore, </w:t>
      </w:r>
      <w:r w:rsidRPr="00756BF8">
        <w:t>directs the S</w:t>
      </w:r>
      <w:r w:rsidR="00C40A6E" w:rsidRPr="00756BF8">
        <w:t xml:space="preserve">WE to develop savings value recommendations for consideration during </w:t>
      </w:r>
      <w:r w:rsidRPr="00756BF8">
        <w:t xml:space="preserve">the 2016 TRM update.  </w:t>
      </w:r>
      <w:r w:rsidR="00816954" w:rsidRPr="00756BF8">
        <w:rPr>
          <w:szCs w:val="26"/>
        </w:rPr>
        <w:t>If it deems it appropriate, the SWE may collaborate with the PEG in developing a recommendation.</w:t>
      </w:r>
      <w:r w:rsidRPr="00756BF8">
        <w:t xml:space="preserve">  </w:t>
      </w:r>
    </w:p>
    <w:p w:rsidR="00B607F8" w:rsidRDefault="00B607F8" w:rsidP="001B6469">
      <w:pPr>
        <w:widowControl w:val="0"/>
        <w:overflowPunct/>
        <w:ind w:firstLine="720"/>
        <w:jc w:val="left"/>
      </w:pPr>
    </w:p>
    <w:p w:rsidR="002B0B09" w:rsidRPr="0081748C" w:rsidRDefault="00F344C7" w:rsidP="00F344C7">
      <w:pPr>
        <w:pStyle w:val="Heading3"/>
        <w:numPr>
          <w:ilvl w:val="0"/>
          <w:numId w:val="0"/>
        </w:numPr>
        <w:ind w:left="1440" w:hanging="720"/>
      </w:pPr>
      <w:bookmarkStart w:id="169" w:name="_Toc405802422"/>
      <w:bookmarkStart w:id="170" w:name="_Toc405884747"/>
      <w:r>
        <w:t>12.</w:t>
      </w:r>
      <w:r>
        <w:tab/>
      </w:r>
      <w:r w:rsidR="002B0B09" w:rsidRPr="00C46EF5">
        <w:t>Section</w:t>
      </w:r>
      <w:r w:rsidR="002B0B09">
        <w:t xml:space="preserve"> 3.5.4 – Controls: Evaporator Fan Controllers</w:t>
      </w:r>
      <w:bookmarkEnd w:id="169"/>
      <w:bookmarkEnd w:id="170"/>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r>
      <w:r w:rsidRPr="0081748C">
        <w:rPr>
          <w:szCs w:val="26"/>
        </w:rPr>
        <w:t xml:space="preserve">The </w:t>
      </w:r>
      <w:r w:rsidR="008A151D">
        <w:rPr>
          <w:szCs w:val="26"/>
        </w:rPr>
        <w:t xml:space="preserve">Commission did not propose modifications to </w:t>
      </w:r>
      <w:r w:rsidR="00D87D53">
        <w:rPr>
          <w:szCs w:val="26"/>
        </w:rPr>
        <w:t>this</w:t>
      </w:r>
      <w:r>
        <w:rPr>
          <w:szCs w:val="26"/>
        </w:rPr>
        <w:t xml:space="preserve"> </w:t>
      </w:r>
      <w:r w:rsidRPr="0081748C">
        <w:rPr>
          <w:szCs w:val="26"/>
        </w:rPr>
        <w:t xml:space="preserve">measure protocol. </w:t>
      </w:r>
      <w:r w:rsidR="00810C72">
        <w:rPr>
          <w:szCs w:val="26"/>
        </w:rPr>
        <w:t xml:space="preserve"> </w:t>
      </w:r>
      <w:r w:rsidRPr="0081748C">
        <w:rPr>
          <w:szCs w:val="26"/>
        </w:rPr>
        <w:t>However, comments were received and are addressed below</w:t>
      </w:r>
      <w:r>
        <w:rPr>
          <w:szCs w:val="26"/>
        </w:rPr>
        <w:t>.</w:t>
      </w:r>
    </w:p>
    <w:p w:rsidR="002B0B09" w:rsidRDefault="002B0B09" w:rsidP="001B6469">
      <w:pPr>
        <w:widowControl w:val="0"/>
        <w:tabs>
          <w:tab w:val="left" w:pos="204"/>
          <w:tab w:val="left" w:pos="720"/>
        </w:tabs>
        <w:overflowPunct/>
        <w:jc w:val="left"/>
        <w:rPr>
          <w:szCs w:val="26"/>
        </w:rPr>
      </w:pPr>
    </w:p>
    <w:p w:rsidR="002B0B09" w:rsidRDefault="00810C72" w:rsidP="001B6469">
      <w:pPr>
        <w:widowControl w:val="0"/>
        <w:tabs>
          <w:tab w:val="left" w:pos="204"/>
          <w:tab w:val="left" w:pos="720"/>
        </w:tabs>
        <w:overflowPunct/>
        <w:jc w:val="left"/>
        <w:rPr>
          <w:szCs w:val="26"/>
        </w:rPr>
      </w:pPr>
      <w:r>
        <w:rPr>
          <w:szCs w:val="26"/>
        </w:rPr>
        <w:tab/>
      </w:r>
      <w:r>
        <w:rPr>
          <w:szCs w:val="26"/>
        </w:rPr>
        <w:tab/>
      </w:r>
      <w:r>
        <w:rPr>
          <w:szCs w:val="26"/>
        </w:rPr>
        <w:tab/>
      </w:r>
      <w:r>
        <w:rPr>
          <w:b/>
          <w:szCs w:val="26"/>
        </w:rPr>
        <w:t>a</w:t>
      </w:r>
      <w:r w:rsidR="002B0B09">
        <w:rPr>
          <w:b/>
          <w:szCs w:val="26"/>
        </w:rPr>
        <w:t>.</w:t>
      </w:r>
      <w:r w:rsidR="002B0B09">
        <w:rPr>
          <w:b/>
          <w:szCs w:val="26"/>
        </w:rPr>
        <w:tab/>
        <w:t>Comments</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t>FirstEnergy not</w:t>
      </w:r>
      <w:r w:rsidR="00810C72">
        <w:rPr>
          <w:szCs w:val="26"/>
        </w:rPr>
        <w:t xml:space="preserve">es that, </w:t>
      </w:r>
      <w:r>
        <w:rPr>
          <w:szCs w:val="26"/>
        </w:rPr>
        <w:t>if the HOU for evaporator fan motors is changed to 8,273 in Section 3.5.3, then it should also be changed for</w:t>
      </w:r>
      <w:r w:rsidR="00810C72">
        <w:rPr>
          <w:szCs w:val="26"/>
        </w:rPr>
        <w:t xml:space="preserve"> Section 3.5.4 for consistency.</w:t>
      </w:r>
      <w:r>
        <w:rPr>
          <w:rStyle w:val="FootnoteReference"/>
          <w:szCs w:val="26"/>
        </w:rPr>
        <w:footnoteReference w:id="182"/>
      </w:r>
    </w:p>
    <w:p w:rsidR="002B0B09" w:rsidRDefault="002B0B09" w:rsidP="001B6469">
      <w:pPr>
        <w:widowControl w:val="0"/>
        <w:tabs>
          <w:tab w:val="left" w:pos="204"/>
          <w:tab w:val="left" w:pos="720"/>
        </w:tabs>
        <w:overflowPunct/>
        <w:jc w:val="left"/>
        <w:rPr>
          <w:szCs w:val="26"/>
        </w:rPr>
      </w:pPr>
    </w:p>
    <w:p w:rsidR="002B0B09" w:rsidRDefault="00810C72" w:rsidP="001B6469">
      <w:pPr>
        <w:widowControl w:val="0"/>
        <w:tabs>
          <w:tab w:val="left" w:pos="204"/>
          <w:tab w:val="left" w:pos="720"/>
        </w:tabs>
        <w:overflowPunct/>
        <w:jc w:val="left"/>
        <w:rPr>
          <w:b/>
          <w:szCs w:val="26"/>
        </w:rPr>
      </w:pPr>
      <w:r>
        <w:rPr>
          <w:szCs w:val="26"/>
        </w:rPr>
        <w:tab/>
      </w:r>
      <w:r>
        <w:rPr>
          <w:szCs w:val="26"/>
        </w:rPr>
        <w:tab/>
      </w:r>
      <w:r>
        <w:rPr>
          <w:szCs w:val="26"/>
        </w:rPr>
        <w:tab/>
      </w:r>
      <w:r>
        <w:rPr>
          <w:b/>
          <w:szCs w:val="26"/>
        </w:rPr>
        <w:t>b</w:t>
      </w:r>
      <w:r w:rsidR="002B0B09">
        <w:rPr>
          <w:b/>
          <w:szCs w:val="26"/>
        </w:rPr>
        <w:t>.</w:t>
      </w:r>
      <w:r w:rsidR="002B0B09">
        <w:rPr>
          <w:b/>
          <w:szCs w:val="26"/>
        </w:rPr>
        <w:tab/>
        <w:t>Disposition</w:t>
      </w:r>
    </w:p>
    <w:p w:rsidR="002B0B09" w:rsidRDefault="002B0B09" w:rsidP="001B6469">
      <w:pPr>
        <w:widowControl w:val="0"/>
        <w:tabs>
          <w:tab w:val="left" w:pos="204"/>
          <w:tab w:val="left" w:pos="720"/>
        </w:tabs>
        <w:overflowPunct/>
        <w:jc w:val="left"/>
        <w:rPr>
          <w:b/>
          <w:szCs w:val="26"/>
        </w:rPr>
      </w:pPr>
    </w:p>
    <w:p w:rsidR="002B0B09" w:rsidRDefault="002B0B09" w:rsidP="001B6469">
      <w:pPr>
        <w:widowControl w:val="0"/>
        <w:tabs>
          <w:tab w:val="left" w:pos="204"/>
          <w:tab w:val="left" w:pos="720"/>
        </w:tabs>
        <w:overflowPunct/>
        <w:jc w:val="left"/>
      </w:pPr>
      <w:r>
        <w:rPr>
          <w:b/>
          <w:szCs w:val="26"/>
        </w:rPr>
        <w:tab/>
      </w:r>
      <w:r>
        <w:rPr>
          <w:b/>
          <w:szCs w:val="26"/>
        </w:rPr>
        <w:tab/>
      </w:r>
      <w:r>
        <w:t xml:space="preserve">The Commission rejects FirstEnergy’s comment because the sources referenced in the two protocols are different. </w:t>
      </w:r>
      <w:r w:rsidR="00810C72">
        <w:t xml:space="preserve"> </w:t>
      </w:r>
      <w:r>
        <w:t xml:space="preserve">  </w:t>
      </w:r>
    </w:p>
    <w:p w:rsidR="00A420EC" w:rsidRDefault="00A420EC" w:rsidP="001B6469">
      <w:pPr>
        <w:widowControl w:val="0"/>
        <w:tabs>
          <w:tab w:val="left" w:pos="204"/>
          <w:tab w:val="left" w:pos="720"/>
        </w:tabs>
        <w:overflowPunct/>
        <w:jc w:val="left"/>
      </w:pPr>
    </w:p>
    <w:p w:rsidR="002B0B09" w:rsidRPr="0081748C" w:rsidRDefault="00F344C7" w:rsidP="00F344C7">
      <w:pPr>
        <w:pStyle w:val="Heading3"/>
        <w:numPr>
          <w:ilvl w:val="0"/>
          <w:numId w:val="0"/>
        </w:numPr>
        <w:tabs>
          <w:tab w:val="clear" w:pos="720"/>
        </w:tabs>
        <w:ind w:left="1440" w:hanging="720"/>
      </w:pPr>
      <w:bookmarkStart w:id="171" w:name="_Toc405802424"/>
      <w:bookmarkStart w:id="172" w:name="_Toc405884748"/>
      <w:r>
        <w:lastRenderedPageBreak/>
        <w:t>13.</w:t>
      </w:r>
      <w:r>
        <w:tab/>
      </w:r>
      <w:r w:rsidR="002B0B09" w:rsidRPr="00C46EF5">
        <w:t>Section</w:t>
      </w:r>
      <w:r w:rsidR="002B0B09">
        <w:t xml:space="preserve"> 3.5.12 – Door Gaskets for Walk-in and Reach-in Coolers and Freezers</w:t>
      </w:r>
      <w:r w:rsidR="00F46D17" w:rsidRPr="003147BA">
        <w:rPr>
          <w:rStyle w:val="FootnoteReference"/>
          <w:b w:val="0"/>
        </w:rPr>
        <w:footnoteReference w:id="183"/>
      </w:r>
      <w:bookmarkEnd w:id="171"/>
      <w:bookmarkEnd w:id="172"/>
      <w:r w:rsidR="002B0B09">
        <w:t xml:space="preserve"> </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r>
      <w:r w:rsidRPr="0081748C">
        <w:rPr>
          <w:szCs w:val="26"/>
        </w:rPr>
        <w:t xml:space="preserve">The </w:t>
      </w:r>
      <w:r w:rsidR="008A151D">
        <w:rPr>
          <w:szCs w:val="26"/>
        </w:rPr>
        <w:t xml:space="preserve">Commission did not propose modifications to the </w:t>
      </w:r>
      <w:r>
        <w:rPr>
          <w:szCs w:val="26"/>
        </w:rPr>
        <w:t xml:space="preserve">Door Gaskets for Walk-in and Reach-in Coolers and Freezers </w:t>
      </w:r>
      <w:r w:rsidRPr="0081748C">
        <w:rPr>
          <w:szCs w:val="26"/>
        </w:rPr>
        <w:t xml:space="preserve">measure protocol. </w:t>
      </w:r>
      <w:r w:rsidR="00E902E6">
        <w:rPr>
          <w:szCs w:val="26"/>
        </w:rPr>
        <w:t xml:space="preserve"> </w:t>
      </w:r>
      <w:r w:rsidRPr="0081748C">
        <w:rPr>
          <w:szCs w:val="26"/>
        </w:rPr>
        <w:t>However, comments were received and are addressed below</w:t>
      </w:r>
      <w:r>
        <w:rPr>
          <w:szCs w:val="26"/>
        </w:rPr>
        <w:t>.</w:t>
      </w:r>
    </w:p>
    <w:p w:rsidR="00162F65" w:rsidRDefault="00162F65" w:rsidP="001B6469">
      <w:pPr>
        <w:widowControl w:val="0"/>
        <w:tabs>
          <w:tab w:val="left" w:pos="204"/>
          <w:tab w:val="left" w:pos="720"/>
        </w:tabs>
        <w:overflowPunct/>
        <w:jc w:val="left"/>
        <w:rPr>
          <w:szCs w:val="26"/>
        </w:rPr>
      </w:pPr>
    </w:p>
    <w:p w:rsidR="002B0B09" w:rsidRDefault="00E902E6" w:rsidP="001B6469">
      <w:pPr>
        <w:widowControl w:val="0"/>
        <w:tabs>
          <w:tab w:val="left" w:pos="204"/>
          <w:tab w:val="left" w:pos="720"/>
        </w:tabs>
        <w:overflowPunct/>
        <w:jc w:val="left"/>
        <w:rPr>
          <w:szCs w:val="26"/>
        </w:rPr>
      </w:pPr>
      <w:r>
        <w:rPr>
          <w:szCs w:val="26"/>
        </w:rPr>
        <w:tab/>
      </w:r>
      <w:r>
        <w:rPr>
          <w:szCs w:val="26"/>
        </w:rPr>
        <w:tab/>
      </w:r>
      <w:r>
        <w:rPr>
          <w:szCs w:val="26"/>
        </w:rPr>
        <w:tab/>
      </w:r>
      <w:r>
        <w:rPr>
          <w:b/>
          <w:szCs w:val="26"/>
        </w:rPr>
        <w:t>a</w:t>
      </w:r>
      <w:r w:rsidR="002B0B09">
        <w:rPr>
          <w:b/>
          <w:szCs w:val="26"/>
        </w:rPr>
        <w:t>.</w:t>
      </w:r>
      <w:r w:rsidR="002B0B09">
        <w:rPr>
          <w:b/>
          <w:szCs w:val="26"/>
        </w:rPr>
        <w:tab/>
        <w:t>Comments</w:t>
      </w:r>
    </w:p>
    <w:p w:rsidR="002B0B09" w:rsidRDefault="002B0B09" w:rsidP="001B6469">
      <w:pPr>
        <w:widowControl w:val="0"/>
        <w:tabs>
          <w:tab w:val="left" w:pos="204"/>
          <w:tab w:val="left" w:pos="720"/>
        </w:tabs>
        <w:overflowPunct/>
        <w:jc w:val="left"/>
        <w:rPr>
          <w:szCs w:val="26"/>
        </w:rPr>
      </w:pPr>
    </w:p>
    <w:p w:rsidR="002B0B09" w:rsidRDefault="002B0B09" w:rsidP="001B6469">
      <w:pPr>
        <w:widowControl w:val="0"/>
        <w:tabs>
          <w:tab w:val="left" w:pos="204"/>
          <w:tab w:val="left" w:pos="720"/>
        </w:tabs>
        <w:overflowPunct/>
        <w:jc w:val="left"/>
        <w:rPr>
          <w:szCs w:val="26"/>
        </w:rPr>
      </w:pPr>
      <w:r>
        <w:rPr>
          <w:szCs w:val="26"/>
        </w:rPr>
        <w:tab/>
      </w:r>
      <w:r>
        <w:rPr>
          <w:szCs w:val="26"/>
        </w:rPr>
        <w:tab/>
        <w:t>FirstEnergy recommends against using the default savings in Table 3-123.</w:t>
      </w:r>
      <w:r w:rsidR="00D70560">
        <w:rPr>
          <w:szCs w:val="26"/>
        </w:rPr>
        <w:t xml:space="preserve"> </w:t>
      </w:r>
      <w:r>
        <w:rPr>
          <w:szCs w:val="26"/>
        </w:rPr>
        <w:t xml:space="preserve"> FirstEnergy notes that its evaluator</w:t>
      </w:r>
      <w:r w:rsidR="00D70560">
        <w:rPr>
          <w:szCs w:val="26"/>
        </w:rPr>
        <w:t xml:space="preserve"> failed</w:t>
      </w:r>
      <w:r>
        <w:rPr>
          <w:szCs w:val="26"/>
        </w:rPr>
        <w:t xml:space="preserve"> to observe any of the savings in retrofit isolation tests and traced gas tests on dozens of refrigerator and freezer cases in 2008. </w:t>
      </w:r>
      <w:r w:rsidR="00D70560">
        <w:rPr>
          <w:szCs w:val="26"/>
        </w:rPr>
        <w:t xml:space="preserve"> The evaluator</w:t>
      </w:r>
      <w:r>
        <w:rPr>
          <w:szCs w:val="26"/>
        </w:rPr>
        <w:t xml:space="preserve"> was only able to observe </w:t>
      </w:r>
      <w:r w:rsidR="00D70560">
        <w:rPr>
          <w:szCs w:val="26"/>
        </w:rPr>
        <w:t>\</w:t>
      </w:r>
      <w:r>
        <w:rPr>
          <w:szCs w:val="26"/>
        </w:rPr>
        <w:t xml:space="preserve"> 91 kWh/foot savings when </w:t>
      </w:r>
      <w:r w:rsidR="00D70560">
        <w:rPr>
          <w:szCs w:val="26"/>
        </w:rPr>
        <w:t>the gaskets were</w:t>
      </w:r>
      <w:r>
        <w:rPr>
          <w:szCs w:val="26"/>
        </w:rPr>
        <w:t xml:space="preserve"> entirely removed from doors. </w:t>
      </w:r>
      <w:r w:rsidR="00D70560">
        <w:rPr>
          <w:szCs w:val="26"/>
        </w:rPr>
        <w:t xml:space="preserve"> </w:t>
      </w:r>
      <w:r>
        <w:rPr>
          <w:szCs w:val="26"/>
        </w:rPr>
        <w:t>The resulting estimate for removed gaskets was approximately 3 kWh/ft for freezers and 1 kWh/ft for coolers.</w:t>
      </w:r>
      <w:r>
        <w:rPr>
          <w:rStyle w:val="FootnoteReference"/>
          <w:szCs w:val="26"/>
        </w:rPr>
        <w:footnoteReference w:id="184"/>
      </w:r>
    </w:p>
    <w:p w:rsidR="002B0B09" w:rsidRDefault="002B0B09" w:rsidP="001B6469">
      <w:pPr>
        <w:widowControl w:val="0"/>
        <w:tabs>
          <w:tab w:val="left" w:pos="204"/>
          <w:tab w:val="left" w:pos="720"/>
        </w:tabs>
        <w:overflowPunct/>
        <w:jc w:val="left"/>
        <w:rPr>
          <w:szCs w:val="26"/>
        </w:rPr>
      </w:pPr>
    </w:p>
    <w:p w:rsidR="002B0B09" w:rsidRDefault="00D70560" w:rsidP="001B6469">
      <w:pPr>
        <w:widowControl w:val="0"/>
        <w:tabs>
          <w:tab w:val="left" w:pos="204"/>
          <w:tab w:val="left" w:pos="720"/>
        </w:tabs>
        <w:overflowPunct/>
        <w:jc w:val="left"/>
        <w:rPr>
          <w:b/>
          <w:szCs w:val="26"/>
        </w:rPr>
      </w:pPr>
      <w:r>
        <w:rPr>
          <w:szCs w:val="26"/>
        </w:rPr>
        <w:tab/>
      </w:r>
      <w:r>
        <w:rPr>
          <w:szCs w:val="26"/>
        </w:rPr>
        <w:tab/>
      </w:r>
      <w:r>
        <w:rPr>
          <w:szCs w:val="26"/>
        </w:rPr>
        <w:tab/>
      </w:r>
      <w:r>
        <w:rPr>
          <w:b/>
          <w:szCs w:val="26"/>
        </w:rPr>
        <w:t>b</w:t>
      </w:r>
      <w:r w:rsidR="002B0B09">
        <w:rPr>
          <w:b/>
          <w:szCs w:val="26"/>
        </w:rPr>
        <w:t>.</w:t>
      </w:r>
      <w:r w:rsidR="002B0B09">
        <w:rPr>
          <w:b/>
          <w:szCs w:val="26"/>
        </w:rPr>
        <w:tab/>
        <w:t>Disposition</w:t>
      </w:r>
    </w:p>
    <w:p w:rsidR="002B0B09" w:rsidRDefault="002B0B09" w:rsidP="001B6469">
      <w:pPr>
        <w:widowControl w:val="0"/>
        <w:tabs>
          <w:tab w:val="left" w:pos="204"/>
          <w:tab w:val="left" w:pos="720"/>
        </w:tabs>
        <w:overflowPunct/>
        <w:jc w:val="left"/>
        <w:rPr>
          <w:b/>
          <w:szCs w:val="26"/>
        </w:rPr>
      </w:pPr>
    </w:p>
    <w:p w:rsidR="002B0B09" w:rsidRDefault="00E17853" w:rsidP="00E17853">
      <w:pPr>
        <w:ind w:firstLine="720"/>
        <w:jc w:val="left"/>
      </w:pPr>
      <w:r>
        <w:t>T</w:t>
      </w:r>
      <w:r w:rsidR="002B0B09">
        <w:t xml:space="preserve">he Commission believes that </w:t>
      </w:r>
      <w:r w:rsidR="002B0B09" w:rsidRPr="00A154F4">
        <w:t xml:space="preserve">this </w:t>
      </w:r>
      <w:r>
        <w:t>issue</w:t>
      </w:r>
      <w:r w:rsidR="002B0B09" w:rsidRPr="00A154F4">
        <w:t xml:space="preserve"> requires further review and direct</w:t>
      </w:r>
      <w:r w:rsidR="002B0B09">
        <w:t>s</w:t>
      </w:r>
      <w:r w:rsidR="002B0B09" w:rsidRPr="00A154F4">
        <w:t xml:space="preserve"> the </w:t>
      </w:r>
      <w:r w:rsidR="0083540E">
        <w:t>SWE</w:t>
      </w:r>
      <w:r w:rsidR="002B0B09" w:rsidRPr="00A154F4">
        <w:t xml:space="preserve"> to </w:t>
      </w:r>
      <w:r w:rsidR="002B0B09">
        <w:t>review the default savings</w:t>
      </w:r>
      <w:r w:rsidR="002B0B09" w:rsidRPr="00A154F4">
        <w:t xml:space="preserve"> and provide recommendations </w:t>
      </w:r>
      <w:r>
        <w:t>during</w:t>
      </w:r>
      <w:r w:rsidR="002B0B09">
        <w:t xml:space="preserve"> the 2016</w:t>
      </w:r>
      <w:r w:rsidR="002B0B09" w:rsidRPr="00A154F4">
        <w:t xml:space="preserve"> TRM updates.</w:t>
      </w:r>
      <w:r>
        <w:t xml:space="preserve">  </w:t>
      </w:r>
      <w:r w:rsidR="00A26060" w:rsidRPr="004E6DA5">
        <w:rPr>
          <w:szCs w:val="26"/>
        </w:rPr>
        <w:t>If it deems it appropriate, the SWE may collaborate with the PEG in developing a recommendation.</w:t>
      </w:r>
    </w:p>
    <w:p w:rsidR="002B0B09" w:rsidRDefault="002B0B09" w:rsidP="001B6469">
      <w:pPr>
        <w:jc w:val="left"/>
      </w:pPr>
    </w:p>
    <w:p w:rsidR="00162F65" w:rsidRDefault="00162F65" w:rsidP="001B6469">
      <w:pPr>
        <w:jc w:val="left"/>
      </w:pPr>
    </w:p>
    <w:p w:rsidR="00162F65" w:rsidRDefault="00162F65" w:rsidP="001B6469">
      <w:pPr>
        <w:jc w:val="left"/>
      </w:pPr>
    </w:p>
    <w:p w:rsidR="00354676" w:rsidRPr="0081748C" w:rsidRDefault="00354676" w:rsidP="00810C72">
      <w:pPr>
        <w:pStyle w:val="Heading3"/>
        <w:numPr>
          <w:ilvl w:val="0"/>
          <w:numId w:val="45"/>
        </w:numPr>
        <w:ind w:left="720" w:firstLine="0"/>
      </w:pPr>
      <w:bookmarkStart w:id="173" w:name="_Toc405802425"/>
      <w:bookmarkStart w:id="174" w:name="_Toc405884749"/>
      <w:r w:rsidRPr="00C46EF5">
        <w:lastRenderedPageBreak/>
        <w:t>Section</w:t>
      </w:r>
      <w:r>
        <w:t xml:space="preserve"> 3.</w:t>
      </w:r>
      <w:r w:rsidR="00CF2A8F">
        <w:t>7</w:t>
      </w:r>
      <w:r>
        <w:t xml:space="preserve">.1 – </w:t>
      </w:r>
      <w:r w:rsidR="00CF2A8F">
        <w:t>High-Efficiency Ice Machines</w:t>
      </w:r>
      <w:bookmarkEnd w:id="173"/>
      <w:bookmarkEnd w:id="174"/>
    </w:p>
    <w:p w:rsidR="00354676" w:rsidRDefault="00354676" w:rsidP="001B6469">
      <w:pPr>
        <w:widowControl w:val="0"/>
        <w:tabs>
          <w:tab w:val="left" w:pos="204"/>
          <w:tab w:val="left" w:pos="720"/>
        </w:tabs>
        <w:overflowPunct/>
        <w:jc w:val="left"/>
        <w:rPr>
          <w:szCs w:val="26"/>
        </w:rPr>
      </w:pPr>
    </w:p>
    <w:p w:rsidR="00354676" w:rsidRDefault="00354676" w:rsidP="001B6469">
      <w:pPr>
        <w:widowControl w:val="0"/>
        <w:tabs>
          <w:tab w:val="left" w:pos="204"/>
          <w:tab w:val="left" w:pos="720"/>
        </w:tabs>
        <w:overflowPunct/>
        <w:jc w:val="left"/>
        <w:rPr>
          <w:szCs w:val="26"/>
        </w:rPr>
      </w:pPr>
      <w:r>
        <w:rPr>
          <w:szCs w:val="26"/>
        </w:rPr>
        <w:tab/>
      </w:r>
      <w:r>
        <w:rPr>
          <w:szCs w:val="26"/>
        </w:rPr>
        <w:tab/>
      </w:r>
      <w:r w:rsidRPr="0081748C">
        <w:rPr>
          <w:szCs w:val="26"/>
        </w:rPr>
        <w:t xml:space="preserve">The </w:t>
      </w:r>
      <w:r w:rsidR="008A151D">
        <w:rPr>
          <w:szCs w:val="26"/>
        </w:rPr>
        <w:t xml:space="preserve">Commission did not propose changes to the </w:t>
      </w:r>
      <w:r w:rsidR="00724BB2">
        <w:rPr>
          <w:szCs w:val="26"/>
        </w:rPr>
        <w:t>High-Efficiency Ice Machine</w:t>
      </w:r>
      <w:r>
        <w:rPr>
          <w:szCs w:val="26"/>
        </w:rPr>
        <w:t xml:space="preserve"> </w:t>
      </w:r>
      <w:r w:rsidR="002940C3">
        <w:rPr>
          <w:szCs w:val="26"/>
        </w:rPr>
        <w:t>measure protocol.</w:t>
      </w:r>
      <w:r w:rsidR="0024687A">
        <w:rPr>
          <w:szCs w:val="26"/>
        </w:rPr>
        <w:t xml:space="preserve">  </w:t>
      </w:r>
      <w:r w:rsidRPr="0081748C">
        <w:rPr>
          <w:szCs w:val="26"/>
        </w:rPr>
        <w:t>However, comments were received and are addressed below</w:t>
      </w:r>
      <w:r>
        <w:rPr>
          <w:szCs w:val="26"/>
        </w:rPr>
        <w:t xml:space="preserve">. </w:t>
      </w:r>
    </w:p>
    <w:p w:rsidR="00354676" w:rsidRDefault="00354676" w:rsidP="001B6469">
      <w:pPr>
        <w:widowControl w:val="0"/>
        <w:tabs>
          <w:tab w:val="left" w:pos="204"/>
          <w:tab w:val="left" w:pos="720"/>
        </w:tabs>
        <w:overflowPunct/>
        <w:jc w:val="left"/>
        <w:rPr>
          <w:szCs w:val="26"/>
        </w:rPr>
      </w:pPr>
    </w:p>
    <w:p w:rsidR="00354676" w:rsidRDefault="00354676" w:rsidP="001B6469">
      <w:pPr>
        <w:widowControl w:val="0"/>
        <w:tabs>
          <w:tab w:val="left" w:pos="204"/>
          <w:tab w:val="left" w:pos="720"/>
        </w:tabs>
        <w:overflowPunct/>
        <w:jc w:val="left"/>
        <w:rPr>
          <w:szCs w:val="26"/>
        </w:rPr>
      </w:pPr>
      <w:r>
        <w:rPr>
          <w:szCs w:val="26"/>
        </w:rPr>
        <w:tab/>
      </w:r>
      <w:r>
        <w:rPr>
          <w:szCs w:val="26"/>
        </w:rPr>
        <w:tab/>
      </w:r>
      <w:r>
        <w:rPr>
          <w:szCs w:val="26"/>
        </w:rPr>
        <w:tab/>
      </w:r>
      <w:r w:rsidR="0024687A">
        <w:rPr>
          <w:b/>
          <w:szCs w:val="26"/>
        </w:rPr>
        <w:t>a</w:t>
      </w:r>
      <w:r>
        <w:rPr>
          <w:b/>
          <w:szCs w:val="26"/>
        </w:rPr>
        <w:t>.</w:t>
      </w:r>
      <w:r>
        <w:rPr>
          <w:b/>
          <w:szCs w:val="26"/>
        </w:rPr>
        <w:tab/>
        <w:t>Comments</w:t>
      </w:r>
    </w:p>
    <w:p w:rsidR="00354676" w:rsidRDefault="00354676" w:rsidP="001B6469">
      <w:pPr>
        <w:widowControl w:val="0"/>
        <w:tabs>
          <w:tab w:val="left" w:pos="204"/>
          <w:tab w:val="left" w:pos="720"/>
        </w:tabs>
        <w:overflowPunct/>
        <w:jc w:val="left"/>
        <w:rPr>
          <w:szCs w:val="26"/>
        </w:rPr>
      </w:pPr>
    </w:p>
    <w:p w:rsidR="0024687A" w:rsidRDefault="00354676" w:rsidP="001B6469">
      <w:pPr>
        <w:widowControl w:val="0"/>
        <w:tabs>
          <w:tab w:val="left" w:pos="204"/>
          <w:tab w:val="left" w:pos="720"/>
        </w:tabs>
        <w:overflowPunct/>
        <w:jc w:val="left"/>
        <w:rPr>
          <w:szCs w:val="26"/>
        </w:rPr>
      </w:pPr>
      <w:r>
        <w:rPr>
          <w:szCs w:val="26"/>
        </w:rPr>
        <w:tab/>
      </w:r>
      <w:r>
        <w:rPr>
          <w:szCs w:val="26"/>
        </w:rPr>
        <w:tab/>
      </w:r>
      <w:r w:rsidR="00AC0882">
        <w:rPr>
          <w:szCs w:val="26"/>
        </w:rPr>
        <w:t xml:space="preserve">PPL requests clarification on the eligibility of ice machines as the current eligibility requirements refers to both the ENERGY STAR efficiency requirements and CEE Tier 2 specifications. </w:t>
      </w:r>
      <w:r w:rsidR="0024687A">
        <w:rPr>
          <w:szCs w:val="26"/>
        </w:rPr>
        <w:t xml:space="preserve"> </w:t>
      </w:r>
      <w:r w:rsidR="00AC0882">
        <w:rPr>
          <w:szCs w:val="26"/>
        </w:rPr>
        <w:t>PPL notes that if referring</w:t>
      </w:r>
      <w:r w:rsidR="008E1144" w:rsidRPr="008E1144">
        <w:rPr>
          <w:szCs w:val="26"/>
        </w:rPr>
        <w:t xml:space="preserve"> to CEE Tier 2 requirements, then the Commission should consider expanding the eligibility requirements to water-cooled machines as well</w:t>
      </w:r>
      <w:r w:rsidR="0024687A">
        <w:rPr>
          <w:szCs w:val="26"/>
        </w:rPr>
        <w:t>,</w:t>
      </w:r>
      <w:r w:rsidR="008E1144" w:rsidRPr="008E1144">
        <w:rPr>
          <w:szCs w:val="26"/>
        </w:rPr>
        <w:t xml:space="preserve"> because unlike </w:t>
      </w:r>
      <w:r w:rsidR="00956B88">
        <w:rPr>
          <w:szCs w:val="26"/>
        </w:rPr>
        <w:t>ENERGY STAR</w:t>
      </w:r>
      <w:r w:rsidR="008E1144" w:rsidRPr="008E1144">
        <w:rPr>
          <w:szCs w:val="26"/>
        </w:rPr>
        <w:t xml:space="preserve"> specifications, the CEE Tier 2 spec</w:t>
      </w:r>
      <w:r w:rsidR="00956B88">
        <w:rPr>
          <w:szCs w:val="26"/>
        </w:rPr>
        <w:t>ification</w:t>
      </w:r>
      <w:r w:rsidR="008E1144" w:rsidRPr="008E1144">
        <w:rPr>
          <w:szCs w:val="26"/>
        </w:rPr>
        <w:t xml:space="preserve">s do not exclude water-cooled equipment. </w:t>
      </w:r>
      <w:r w:rsidR="0024687A">
        <w:rPr>
          <w:szCs w:val="26"/>
        </w:rPr>
        <w:t xml:space="preserve"> </w:t>
      </w:r>
      <w:r w:rsidR="00AC0882">
        <w:rPr>
          <w:szCs w:val="26"/>
        </w:rPr>
        <w:t xml:space="preserve">In addition, PPL recommends changing the baseline equipment to be a unit with efficiency specifications less than or equal to the current federal standard instead of CEE Tier 1. </w:t>
      </w:r>
      <w:r w:rsidR="0024687A">
        <w:rPr>
          <w:szCs w:val="26"/>
        </w:rPr>
        <w:t xml:space="preserve"> </w:t>
      </w:r>
      <w:r w:rsidR="00AC0882">
        <w:rPr>
          <w:szCs w:val="26"/>
        </w:rPr>
        <w:t xml:space="preserve">Furthermore, PPL recommends updating the description in the Algorithm section to remove “machine type” and add “duty cycle.” </w:t>
      </w:r>
      <w:r w:rsidR="0024687A">
        <w:rPr>
          <w:szCs w:val="26"/>
        </w:rPr>
        <w:t xml:space="preserve"> </w:t>
      </w:r>
      <w:r w:rsidR="008E1144" w:rsidRPr="008E1144">
        <w:rPr>
          <w:szCs w:val="26"/>
        </w:rPr>
        <w:t>Lastly, in the Default Savi</w:t>
      </w:r>
      <w:r w:rsidR="0024687A">
        <w:rPr>
          <w:szCs w:val="26"/>
        </w:rPr>
        <w:t>ngs section, the TRM states the following:</w:t>
      </w:r>
    </w:p>
    <w:p w:rsidR="008D2734" w:rsidRDefault="008E1144" w:rsidP="008D2734">
      <w:pPr>
        <w:widowControl w:val="0"/>
        <w:tabs>
          <w:tab w:val="left" w:pos="-1710"/>
        </w:tabs>
        <w:overflowPunct/>
        <w:spacing w:line="240" w:lineRule="auto"/>
        <w:ind w:left="720" w:right="720"/>
        <w:jc w:val="left"/>
        <w:rPr>
          <w:szCs w:val="26"/>
        </w:rPr>
      </w:pPr>
      <w:r w:rsidRPr="008E1144">
        <w:rPr>
          <w:szCs w:val="26"/>
        </w:rPr>
        <w:t>[t]he default energy consumption for the baseline ice machine</w:t>
      </w:r>
      <w:r w:rsidR="0024687A">
        <w:rPr>
          <w:szCs w:val="26"/>
        </w:rPr>
        <w:t xml:space="preserve"> (kWh</w:t>
      </w:r>
      <w:r w:rsidR="0024687A" w:rsidRPr="0024687A">
        <w:rPr>
          <w:szCs w:val="26"/>
          <w:vertAlign w:val="subscript"/>
        </w:rPr>
        <w:t>base</w:t>
      </w:r>
      <w:r w:rsidR="0024687A">
        <w:rPr>
          <w:szCs w:val="26"/>
        </w:rPr>
        <w:t>)</w:t>
      </w:r>
      <w:r w:rsidRPr="008E1144">
        <w:rPr>
          <w:szCs w:val="26"/>
        </w:rPr>
        <w:t xml:space="preserve"> is calculated using the formula for CEE Tier 1 specifications, and the default energy consumption for the high-efficiency ice machine</w:t>
      </w:r>
      <w:r w:rsidR="0024687A">
        <w:rPr>
          <w:szCs w:val="26"/>
        </w:rPr>
        <w:t xml:space="preserve"> (kWh</w:t>
      </w:r>
      <w:r w:rsidR="0024687A" w:rsidRPr="0024687A">
        <w:rPr>
          <w:szCs w:val="26"/>
          <w:vertAlign w:val="subscript"/>
        </w:rPr>
        <w:t>e</w:t>
      </w:r>
      <w:r w:rsidR="0024687A">
        <w:rPr>
          <w:szCs w:val="26"/>
        </w:rPr>
        <w:t>)</w:t>
      </w:r>
      <w:r w:rsidRPr="008E1144">
        <w:rPr>
          <w:szCs w:val="26"/>
        </w:rPr>
        <w:t xml:space="preserve"> is calculated using the formula</w:t>
      </w:r>
      <w:r w:rsidR="008D2734">
        <w:rPr>
          <w:szCs w:val="26"/>
        </w:rPr>
        <w:t xml:space="preserve"> for CEE Tier 2 specifications.</w:t>
      </w:r>
    </w:p>
    <w:p w:rsidR="008D2734" w:rsidRDefault="008D2734" w:rsidP="0024687A">
      <w:pPr>
        <w:widowControl w:val="0"/>
        <w:tabs>
          <w:tab w:val="left" w:pos="-1710"/>
        </w:tabs>
        <w:overflowPunct/>
        <w:jc w:val="left"/>
        <w:rPr>
          <w:szCs w:val="26"/>
        </w:rPr>
      </w:pPr>
    </w:p>
    <w:p w:rsidR="00354676" w:rsidRPr="003C675B" w:rsidRDefault="005C1F80" w:rsidP="0024687A">
      <w:pPr>
        <w:widowControl w:val="0"/>
        <w:tabs>
          <w:tab w:val="left" w:pos="-1710"/>
        </w:tabs>
        <w:overflowPunct/>
        <w:jc w:val="left"/>
        <w:rPr>
          <w:szCs w:val="26"/>
        </w:rPr>
      </w:pPr>
      <w:r>
        <w:rPr>
          <w:szCs w:val="26"/>
        </w:rPr>
        <w:t>PPL notes that</w:t>
      </w:r>
      <w:r w:rsidR="00DA4175">
        <w:rPr>
          <w:szCs w:val="26"/>
        </w:rPr>
        <w:t>,</w:t>
      </w:r>
      <w:r>
        <w:rPr>
          <w:szCs w:val="26"/>
        </w:rPr>
        <w:t xml:space="preserve"> i</w:t>
      </w:r>
      <w:r w:rsidR="008E1144" w:rsidRPr="008E1144">
        <w:rPr>
          <w:szCs w:val="26"/>
        </w:rPr>
        <w:t xml:space="preserve">f the equipment is required to meet </w:t>
      </w:r>
      <w:r w:rsidR="00956B88">
        <w:rPr>
          <w:szCs w:val="26"/>
        </w:rPr>
        <w:t>ENERGY STAR</w:t>
      </w:r>
      <w:r w:rsidR="008E1144" w:rsidRPr="008E1144">
        <w:rPr>
          <w:szCs w:val="26"/>
        </w:rPr>
        <w:t xml:space="preserve"> specifications, and there is no confirmation that the </w:t>
      </w:r>
      <w:r w:rsidR="00956B88">
        <w:rPr>
          <w:szCs w:val="26"/>
        </w:rPr>
        <w:t>ENERGY STAR</w:t>
      </w:r>
      <w:r w:rsidR="008E1144" w:rsidRPr="008E1144">
        <w:rPr>
          <w:szCs w:val="26"/>
        </w:rPr>
        <w:t xml:space="preserve"> specs are equivalent to CEE Tier 2 specs, then this provision must be changed to</w:t>
      </w:r>
      <w:r w:rsidR="00AC0882">
        <w:rPr>
          <w:szCs w:val="26"/>
        </w:rPr>
        <w:t xml:space="preserve"> refer to the </w:t>
      </w:r>
      <w:r w:rsidR="00956B88">
        <w:rPr>
          <w:szCs w:val="26"/>
        </w:rPr>
        <w:t>ENERGY STAR</w:t>
      </w:r>
      <w:r w:rsidR="00AC0882">
        <w:rPr>
          <w:szCs w:val="26"/>
        </w:rPr>
        <w:t xml:space="preserve"> specs</w:t>
      </w:r>
      <w:r w:rsidR="008E1144" w:rsidRPr="008E1144">
        <w:rPr>
          <w:szCs w:val="26"/>
        </w:rPr>
        <w:t>.</w:t>
      </w:r>
      <w:r w:rsidR="00354676">
        <w:rPr>
          <w:rStyle w:val="FootnoteReference"/>
          <w:szCs w:val="26"/>
        </w:rPr>
        <w:footnoteReference w:id="185"/>
      </w:r>
    </w:p>
    <w:p w:rsidR="00354676" w:rsidRDefault="00354676" w:rsidP="001B6469">
      <w:pPr>
        <w:widowControl w:val="0"/>
        <w:tabs>
          <w:tab w:val="left" w:pos="204"/>
          <w:tab w:val="left" w:pos="720"/>
        </w:tabs>
        <w:overflowPunct/>
        <w:jc w:val="left"/>
        <w:rPr>
          <w:szCs w:val="26"/>
        </w:rPr>
      </w:pPr>
    </w:p>
    <w:p w:rsidR="00162F65" w:rsidRDefault="00162F65" w:rsidP="001B6469">
      <w:pPr>
        <w:widowControl w:val="0"/>
        <w:tabs>
          <w:tab w:val="left" w:pos="204"/>
          <w:tab w:val="left" w:pos="720"/>
        </w:tabs>
        <w:overflowPunct/>
        <w:jc w:val="left"/>
        <w:rPr>
          <w:szCs w:val="26"/>
        </w:rPr>
      </w:pPr>
    </w:p>
    <w:p w:rsidR="00354676" w:rsidRDefault="00354676" w:rsidP="001B6469">
      <w:pPr>
        <w:widowControl w:val="0"/>
        <w:tabs>
          <w:tab w:val="left" w:pos="204"/>
          <w:tab w:val="left" w:pos="720"/>
        </w:tabs>
        <w:overflowPunct/>
        <w:jc w:val="left"/>
        <w:rPr>
          <w:b/>
          <w:szCs w:val="26"/>
        </w:rPr>
      </w:pPr>
      <w:r>
        <w:rPr>
          <w:szCs w:val="26"/>
        </w:rPr>
        <w:lastRenderedPageBreak/>
        <w:tab/>
      </w:r>
      <w:r>
        <w:rPr>
          <w:szCs w:val="26"/>
        </w:rPr>
        <w:tab/>
      </w:r>
      <w:r>
        <w:rPr>
          <w:szCs w:val="26"/>
        </w:rPr>
        <w:tab/>
      </w:r>
      <w:r w:rsidR="00DA4175">
        <w:rPr>
          <w:b/>
          <w:szCs w:val="26"/>
        </w:rPr>
        <w:t>b</w:t>
      </w:r>
      <w:r>
        <w:rPr>
          <w:b/>
          <w:szCs w:val="26"/>
        </w:rPr>
        <w:t>.</w:t>
      </w:r>
      <w:r>
        <w:rPr>
          <w:b/>
          <w:szCs w:val="26"/>
        </w:rPr>
        <w:tab/>
        <w:t>Disposition</w:t>
      </w:r>
    </w:p>
    <w:p w:rsidR="00354676" w:rsidRDefault="00354676" w:rsidP="001B6469">
      <w:pPr>
        <w:widowControl w:val="0"/>
        <w:tabs>
          <w:tab w:val="left" w:pos="204"/>
          <w:tab w:val="left" w:pos="720"/>
        </w:tabs>
        <w:overflowPunct/>
        <w:jc w:val="left"/>
        <w:rPr>
          <w:b/>
          <w:szCs w:val="26"/>
        </w:rPr>
      </w:pPr>
    </w:p>
    <w:p w:rsidR="00354676" w:rsidRDefault="00354676" w:rsidP="001B6469">
      <w:pPr>
        <w:jc w:val="left"/>
      </w:pPr>
      <w:r>
        <w:tab/>
        <w:t xml:space="preserve">The Commission </w:t>
      </w:r>
      <w:r w:rsidR="00D57EDA">
        <w:t>recognizes the discrepancies in the eligibility of the baseline and efficient equipment requirements.</w:t>
      </w:r>
      <w:r w:rsidR="00DE0E1B">
        <w:t xml:space="preserve"> </w:t>
      </w:r>
      <w:r w:rsidR="00D57EDA">
        <w:t xml:space="preserve"> The Commission </w:t>
      </w:r>
      <w:r w:rsidR="00DE0E1B">
        <w:t>has clarified</w:t>
      </w:r>
      <w:r w:rsidR="00D57EDA">
        <w:t xml:space="preserve"> in the Eligibility </w:t>
      </w:r>
      <w:r w:rsidR="00DE0E1B">
        <w:t>section that</w:t>
      </w:r>
      <w:r w:rsidR="00D57EDA">
        <w:t xml:space="preserve"> the baseline equipment is a commercial ice machine that meets federal equipment standards and the efficient machine must conform to the minimum ENERGY STAR requirements. </w:t>
      </w:r>
      <w:r w:rsidR="00DE0E1B">
        <w:t xml:space="preserve"> </w:t>
      </w:r>
      <w:r w:rsidR="00D57EDA">
        <w:t>T</w:t>
      </w:r>
      <w:r w:rsidR="00DE0E1B">
        <w:t xml:space="preserve">he Commission agrees with PPL </w:t>
      </w:r>
      <w:r w:rsidR="00D57EDA">
        <w:t>regarding the description in the Algorithm section and has</w:t>
      </w:r>
      <w:r w:rsidR="006F5244">
        <w:t xml:space="preserve"> adopted</w:t>
      </w:r>
      <w:r w:rsidR="00D57EDA">
        <w:t xml:space="preserve"> the recommended language. </w:t>
      </w:r>
      <w:r w:rsidR="00DE0E1B">
        <w:t xml:space="preserve"> </w:t>
      </w:r>
      <w:r w:rsidR="00D57EDA">
        <w:t xml:space="preserve">To reflect the clarification in the Eligibility section, the Commission has adopted two tables that describe the baseline and ENERGY STAR efficiencies. </w:t>
      </w:r>
      <w:r w:rsidR="00DE0E1B">
        <w:t xml:space="preserve"> </w:t>
      </w:r>
      <w:r w:rsidR="00D57EDA">
        <w:t xml:space="preserve">As such, the Default Savings table has been removed from the measure.  </w:t>
      </w:r>
    </w:p>
    <w:p w:rsidR="00B607F8" w:rsidRDefault="00B607F8" w:rsidP="001B6469">
      <w:pPr>
        <w:widowControl w:val="0"/>
        <w:overflowPunct/>
        <w:ind w:firstLine="720"/>
        <w:jc w:val="left"/>
      </w:pPr>
    </w:p>
    <w:p w:rsidR="00B607F8" w:rsidRPr="0081748C" w:rsidRDefault="00B607F8" w:rsidP="00810C72">
      <w:pPr>
        <w:pStyle w:val="Heading3"/>
        <w:numPr>
          <w:ilvl w:val="0"/>
          <w:numId w:val="45"/>
        </w:numPr>
        <w:ind w:left="720" w:firstLine="0"/>
      </w:pPr>
      <w:bookmarkStart w:id="175" w:name="_Toc405802426"/>
      <w:bookmarkStart w:id="176" w:name="_Toc405884750"/>
      <w:r w:rsidRPr="00C46EF5">
        <w:t>Section</w:t>
      </w:r>
      <w:r>
        <w:t xml:space="preserve"> 3.8.1 – Wall and Ceiling Insulation</w:t>
      </w:r>
      <w:bookmarkEnd w:id="175"/>
      <w:bookmarkEnd w:id="176"/>
    </w:p>
    <w:p w:rsidR="00B607F8" w:rsidRDefault="00B607F8" w:rsidP="001B6469">
      <w:pPr>
        <w:widowControl w:val="0"/>
        <w:tabs>
          <w:tab w:val="left" w:pos="204"/>
          <w:tab w:val="left" w:pos="720"/>
        </w:tabs>
        <w:overflowPunct/>
        <w:jc w:val="left"/>
        <w:rPr>
          <w:szCs w:val="26"/>
        </w:rPr>
      </w:pPr>
    </w:p>
    <w:p w:rsidR="00B607F8" w:rsidRDefault="00B607F8" w:rsidP="001B6469">
      <w:pPr>
        <w:widowControl w:val="0"/>
        <w:tabs>
          <w:tab w:val="left" w:pos="204"/>
          <w:tab w:val="left" w:pos="720"/>
        </w:tabs>
        <w:overflowPunct/>
        <w:jc w:val="left"/>
        <w:rPr>
          <w:szCs w:val="26"/>
        </w:rPr>
      </w:pPr>
      <w:r>
        <w:rPr>
          <w:szCs w:val="26"/>
        </w:rPr>
        <w:tab/>
      </w:r>
      <w:r>
        <w:rPr>
          <w:szCs w:val="26"/>
        </w:rPr>
        <w:tab/>
      </w:r>
      <w:r w:rsidRPr="0081748C">
        <w:rPr>
          <w:szCs w:val="26"/>
        </w:rPr>
        <w:t xml:space="preserve">The </w:t>
      </w:r>
      <w:r w:rsidR="008A151D">
        <w:rPr>
          <w:szCs w:val="26"/>
        </w:rPr>
        <w:t xml:space="preserve">Commission did not propose changes to the </w:t>
      </w:r>
      <w:r w:rsidR="003C675B">
        <w:rPr>
          <w:szCs w:val="26"/>
        </w:rPr>
        <w:t>Wall and Ceiling Insulation</w:t>
      </w:r>
      <w:r>
        <w:rPr>
          <w:szCs w:val="26"/>
        </w:rPr>
        <w:t xml:space="preserve"> </w:t>
      </w:r>
      <w:r w:rsidRPr="0081748C">
        <w:rPr>
          <w:szCs w:val="26"/>
        </w:rPr>
        <w:t xml:space="preserve">measure protocol. </w:t>
      </w:r>
      <w:r w:rsidR="00DE0E1B">
        <w:rPr>
          <w:szCs w:val="26"/>
        </w:rPr>
        <w:t xml:space="preserve"> </w:t>
      </w:r>
      <w:r w:rsidRPr="0081748C">
        <w:rPr>
          <w:szCs w:val="26"/>
        </w:rPr>
        <w:t>However, comments were received and are addressed below</w:t>
      </w:r>
      <w:r>
        <w:rPr>
          <w:szCs w:val="26"/>
        </w:rPr>
        <w:t xml:space="preserve">. </w:t>
      </w:r>
    </w:p>
    <w:p w:rsidR="00B607F8" w:rsidRDefault="00B607F8" w:rsidP="001B6469">
      <w:pPr>
        <w:widowControl w:val="0"/>
        <w:tabs>
          <w:tab w:val="left" w:pos="204"/>
          <w:tab w:val="left" w:pos="720"/>
        </w:tabs>
        <w:overflowPunct/>
        <w:jc w:val="left"/>
        <w:rPr>
          <w:szCs w:val="26"/>
        </w:rPr>
      </w:pPr>
    </w:p>
    <w:p w:rsidR="00B607F8" w:rsidRDefault="00B607F8" w:rsidP="001B6469">
      <w:pPr>
        <w:widowControl w:val="0"/>
        <w:tabs>
          <w:tab w:val="left" w:pos="204"/>
          <w:tab w:val="left" w:pos="720"/>
        </w:tabs>
        <w:overflowPunct/>
        <w:jc w:val="left"/>
        <w:rPr>
          <w:szCs w:val="26"/>
        </w:rPr>
      </w:pPr>
      <w:r>
        <w:rPr>
          <w:szCs w:val="26"/>
        </w:rPr>
        <w:tab/>
      </w:r>
      <w:r>
        <w:rPr>
          <w:szCs w:val="26"/>
        </w:rPr>
        <w:tab/>
      </w:r>
      <w:r>
        <w:rPr>
          <w:szCs w:val="26"/>
        </w:rPr>
        <w:tab/>
      </w:r>
      <w:r w:rsidR="00DE0E1B">
        <w:rPr>
          <w:b/>
          <w:szCs w:val="26"/>
        </w:rPr>
        <w:t>a</w:t>
      </w:r>
      <w:r>
        <w:rPr>
          <w:b/>
          <w:szCs w:val="26"/>
        </w:rPr>
        <w:t>.</w:t>
      </w:r>
      <w:r>
        <w:rPr>
          <w:b/>
          <w:szCs w:val="26"/>
        </w:rPr>
        <w:tab/>
        <w:t>Comments</w:t>
      </w:r>
    </w:p>
    <w:p w:rsidR="00B607F8" w:rsidRDefault="00B607F8" w:rsidP="001B6469">
      <w:pPr>
        <w:widowControl w:val="0"/>
        <w:tabs>
          <w:tab w:val="left" w:pos="204"/>
          <w:tab w:val="left" w:pos="720"/>
        </w:tabs>
        <w:overflowPunct/>
        <w:jc w:val="left"/>
        <w:rPr>
          <w:szCs w:val="26"/>
        </w:rPr>
      </w:pPr>
    </w:p>
    <w:p w:rsidR="003C675B" w:rsidRPr="003C675B" w:rsidRDefault="00B607F8" w:rsidP="001B6469">
      <w:pPr>
        <w:widowControl w:val="0"/>
        <w:tabs>
          <w:tab w:val="left" w:pos="204"/>
          <w:tab w:val="left" w:pos="720"/>
        </w:tabs>
        <w:overflowPunct/>
        <w:jc w:val="left"/>
        <w:rPr>
          <w:szCs w:val="26"/>
        </w:rPr>
      </w:pPr>
      <w:r>
        <w:rPr>
          <w:szCs w:val="26"/>
        </w:rPr>
        <w:tab/>
      </w:r>
      <w:r>
        <w:rPr>
          <w:szCs w:val="26"/>
        </w:rPr>
        <w:tab/>
      </w:r>
      <w:r w:rsidR="003C675B">
        <w:rPr>
          <w:szCs w:val="26"/>
        </w:rPr>
        <w:t xml:space="preserve">PECO recommends expanding the definition of the area of insulation installed by </w:t>
      </w:r>
      <w:r w:rsidR="00E61233">
        <w:rPr>
          <w:szCs w:val="26"/>
        </w:rPr>
        <w:t>adding</w:t>
      </w:r>
      <w:r w:rsidR="003C675B">
        <w:rPr>
          <w:szCs w:val="26"/>
        </w:rPr>
        <w:t xml:space="preserve"> the variables</w:t>
      </w:r>
      <w:r w:rsidR="007E61DB">
        <w:rPr>
          <w:szCs w:val="26"/>
        </w:rPr>
        <w:t xml:space="preserve"> </w:t>
      </w:r>
      <w:proofErr w:type="spellStart"/>
      <w:r w:rsidR="007E61DB">
        <w:rPr>
          <w:szCs w:val="26"/>
        </w:rPr>
        <w:t>A</w:t>
      </w:r>
      <w:r w:rsidR="007E61DB" w:rsidRPr="007E61DB">
        <w:rPr>
          <w:szCs w:val="26"/>
          <w:vertAlign w:val="subscript"/>
        </w:rPr>
        <w:t>ceiling</w:t>
      </w:r>
      <w:proofErr w:type="spellEnd"/>
      <w:r w:rsidR="007E61DB">
        <w:rPr>
          <w:szCs w:val="26"/>
        </w:rPr>
        <w:t xml:space="preserve"> and </w:t>
      </w:r>
      <w:proofErr w:type="spellStart"/>
      <w:r w:rsidR="007E61DB">
        <w:rPr>
          <w:szCs w:val="26"/>
        </w:rPr>
        <w:t>A</w:t>
      </w:r>
      <w:r w:rsidR="007E61DB" w:rsidRPr="007E61DB">
        <w:rPr>
          <w:szCs w:val="26"/>
          <w:vertAlign w:val="subscript"/>
        </w:rPr>
        <w:t>wall</w:t>
      </w:r>
      <w:proofErr w:type="spellEnd"/>
      <w:r w:rsidR="007E61DB">
        <w:rPr>
          <w:szCs w:val="26"/>
        </w:rPr>
        <w:t xml:space="preserve"> </w:t>
      </w:r>
      <w:r w:rsidR="00E61233">
        <w:rPr>
          <w:szCs w:val="26"/>
        </w:rPr>
        <w:t xml:space="preserve">to the savings algorithm. </w:t>
      </w:r>
      <w:r w:rsidR="007E61DB">
        <w:rPr>
          <w:szCs w:val="26"/>
        </w:rPr>
        <w:t xml:space="preserve"> </w:t>
      </w:r>
      <w:r w:rsidR="00E61233">
        <w:rPr>
          <w:szCs w:val="26"/>
        </w:rPr>
        <w:t xml:space="preserve">PECO also suggests several </w:t>
      </w:r>
      <w:r w:rsidR="00DD3688">
        <w:rPr>
          <w:szCs w:val="26"/>
        </w:rPr>
        <w:t>updates to the units of the following variables: HDD</w:t>
      </w:r>
      <w:r w:rsidR="007E61DB">
        <w:rPr>
          <w:szCs w:val="26"/>
        </w:rPr>
        <w:t xml:space="preserve"> [heating degree days];</w:t>
      </w:r>
      <w:r w:rsidR="00DD3688">
        <w:rPr>
          <w:szCs w:val="26"/>
        </w:rPr>
        <w:t xml:space="preserve"> CDD</w:t>
      </w:r>
      <w:r w:rsidR="007E61DB">
        <w:rPr>
          <w:szCs w:val="26"/>
        </w:rPr>
        <w:t xml:space="preserve"> [cooling degree days];</w:t>
      </w:r>
      <w:r w:rsidR="00C30352">
        <w:rPr>
          <w:szCs w:val="26"/>
        </w:rPr>
        <w:t xml:space="preserve"> R-value</w:t>
      </w:r>
      <w:r w:rsidR="00DD3688">
        <w:rPr>
          <w:szCs w:val="26"/>
        </w:rPr>
        <w:t xml:space="preserve"> </w:t>
      </w:r>
      <w:r w:rsidR="00785211">
        <w:rPr>
          <w:szCs w:val="26"/>
        </w:rPr>
        <w:t xml:space="preserve">and EFLH. </w:t>
      </w:r>
      <w:r w:rsidR="00C30352">
        <w:rPr>
          <w:szCs w:val="26"/>
        </w:rPr>
        <w:t xml:space="preserve"> </w:t>
      </w:r>
      <w:r w:rsidR="00CF1E9A">
        <w:rPr>
          <w:szCs w:val="26"/>
        </w:rPr>
        <w:t>Finally, PECO notes that t</w:t>
      </w:r>
      <w:r w:rsidR="00CF1E9A" w:rsidRPr="00CF1E9A">
        <w:rPr>
          <w:szCs w:val="26"/>
        </w:rPr>
        <w:t xml:space="preserve">he EER and </w:t>
      </w:r>
      <w:r w:rsidR="000531FD">
        <w:rPr>
          <w:szCs w:val="26"/>
        </w:rPr>
        <w:t>coefficient of performance (COP)</w:t>
      </w:r>
      <w:r w:rsidR="00CF1E9A" w:rsidRPr="00CF1E9A">
        <w:rPr>
          <w:szCs w:val="26"/>
        </w:rPr>
        <w:t xml:space="preserve"> have a high impact o</w:t>
      </w:r>
      <w:r w:rsidR="000531FD">
        <w:rPr>
          <w:szCs w:val="26"/>
        </w:rPr>
        <w:t xml:space="preserve">n the savings </w:t>
      </w:r>
      <w:r w:rsidR="00CF1E9A" w:rsidRPr="00CF1E9A">
        <w:rPr>
          <w:szCs w:val="26"/>
        </w:rPr>
        <w:t xml:space="preserve">and the defaults are minimally code compliant. </w:t>
      </w:r>
      <w:r w:rsidR="000531FD">
        <w:rPr>
          <w:szCs w:val="26"/>
        </w:rPr>
        <w:t xml:space="preserve"> </w:t>
      </w:r>
      <w:r w:rsidR="00CF1E9A">
        <w:rPr>
          <w:szCs w:val="26"/>
        </w:rPr>
        <w:t xml:space="preserve">PECO recommends </w:t>
      </w:r>
      <w:r w:rsidR="000531FD">
        <w:rPr>
          <w:szCs w:val="26"/>
        </w:rPr>
        <w:t>emphasizing that site-</w:t>
      </w:r>
      <w:r w:rsidR="00CF1E9A" w:rsidRPr="00CF1E9A">
        <w:rPr>
          <w:szCs w:val="26"/>
        </w:rPr>
        <w:t xml:space="preserve">specific design values should be used </w:t>
      </w:r>
      <w:r w:rsidR="000531FD">
        <w:rPr>
          <w:szCs w:val="26"/>
        </w:rPr>
        <w:t>in order t</w:t>
      </w:r>
      <w:r w:rsidR="00CF1E9A" w:rsidRPr="00CF1E9A">
        <w:rPr>
          <w:szCs w:val="26"/>
        </w:rPr>
        <w:t>o avoid overestimating the savings.</w:t>
      </w:r>
      <w:r w:rsidR="00B73AAA">
        <w:rPr>
          <w:rStyle w:val="FootnoteReference"/>
          <w:szCs w:val="26"/>
        </w:rPr>
        <w:footnoteReference w:id="186"/>
      </w:r>
    </w:p>
    <w:p w:rsidR="00B607F8" w:rsidRDefault="00B607F8" w:rsidP="001B6469">
      <w:pPr>
        <w:widowControl w:val="0"/>
        <w:tabs>
          <w:tab w:val="left" w:pos="204"/>
          <w:tab w:val="left" w:pos="720"/>
        </w:tabs>
        <w:overflowPunct/>
        <w:jc w:val="left"/>
        <w:rPr>
          <w:szCs w:val="26"/>
        </w:rPr>
      </w:pPr>
    </w:p>
    <w:p w:rsidR="00B607F8" w:rsidRDefault="00B607F8" w:rsidP="001B6469">
      <w:pPr>
        <w:widowControl w:val="0"/>
        <w:tabs>
          <w:tab w:val="left" w:pos="204"/>
          <w:tab w:val="left" w:pos="720"/>
        </w:tabs>
        <w:overflowPunct/>
        <w:jc w:val="left"/>
        <w:rPr>
          <w:b/>
          <w:szCs w:val="26"/>
        </w:rPr>
      </w:pPr>
      <w:r>
        <w:rPr>
          <w:szCs w:val="26"/>
        </w:rPr>
        <w:lastRenderedPageBreak/>
        <w:tab/>
      </w:r>
      <w:r>
        <w:rPr>
          <w:szCs w:val="26"/>
        </w:rPr>
        <w:tab/>
      </w:r>
      <w:r>
        <w:rPr>
          <w:szCs w:val="26"/>
        </w:rPr>
        <w:tab/>
      </w:r>
      <w:r w:rsidR="000531FD">
        <w:rPr>
          <w:b/>
          <w:szCs w:val="26"/>
        </w:rPr>
        <w:t>b</w:t>
      </w:r>
      <w:r>
        <w:rPr>
          <w:b/>
          <w:szCs w:val="26"/>
        </w:rPr>
        <w:t>.</w:t>
      </w:r>
      <w:r>
        <w:rPr>
          <w:b/>
          <w:szCs w:val="26"/>
        </w:rPr>
        <w:tab/>
        <w:t>Disposition</w:t>
      </w:r>
    </w:p>
    <w:p w:rsidR="00B607F8" w:rsidRDefault="00B607F8" w:rsidP="001B6469">
      <w:pPr>
        <w:widowControl w:val="0"/>
        <w:tabs>
          <w:tab w:val="left" w:pos="204"/>
          <w:tab w:val="left" w:pos="720"/>
        </w:tabs>
        <w:overflowPunct/>
        <w:jc w:val="left"/>
        <w:rPr>
          <w:b/>
          <w:szCs w:val="26"/>
        </w:rPr>
      </w:pPr>
    </w:p>
    <w:p w:rsidR="00B607F8" w:rsidRDefault="00B607F8" w:rsidP="001B6469">
      <w:pPr>
        <w:jc w:val="left"/>
      </w:pPr>
      <w:r>
        <w:tab/>
        <w:t xml:space="preserve">The Commission agrees with </w:t>
      </w:r>
      <w:r w:rsidR="000531FD">
        <w:t xml:space="preserve">PECO’s suggestions </w:t>
      </w:r>
      <w:r w:rsidR="00716DC0">
        <w:t xml:space="preserve">and has updated the TRM. </w:t>
      </w:r>
    </w:p>
    <w:p w:rsidR="00BB450B" w:rsidRPr="0098410B" w:rsidRDefault="00BB450B" w:rsidP="001B6469">
      <w:pPr>
        <w:widowControl w:val="0"/>
        <w:tabs>
          <w:tab w:val="left" w:pos="0"/>
          <w:tab w:val="left" w:pos="720"/>
        </w:tabs>
        <w:overflowPunct/>
        <w:jc w:val="left"/>
        <w:rPr>
          <w:szCs w:val="26"/>
        </w:rPr>
      </w:pPr>
    </w:p>
    <w:p w:rsidR="00D05144" w:rsidRPr="0098410B" w:rsidRDefault="00D05144" w:rsidP="00334A83">
      <w:pPr>
        <w:pStyle w:val="Heading2"/>
        <w:ind w:left="720"/>
        <w:jc w:val="left"/>
      </w:pPr>
      <w:bookmarkStart w:id="177" w:name="_Toc394648248"/>
      <w:bookmarkStart w:id="178" w:name="_Toc396910645"/>
      <w:bookmarkStart w:id="179" w:name="_Toc405802433"/>
      <w:bookmarkStart w:id="180" w:name="_Toc405884751"/>
      <w:r>
        <w:t xml:space="preserve">Section 5.5 – Appendix E: </w:t>
      </w:r>
      <w:r w:rsidRPr="0098410B">
        <w:t>Lighting Audit and Design Tool for C</w:t>
      </w:r>
      <w:r>
        <w:t xml:space="preserve">&amp;I </w:t>
      </w:r>
      <w:r w:rsidRPr="0098410B">
        <w:t>New Construction Projects</w:t>
      </w:r>
      <w:bookmarkEnd w:id="177"/>
      <w:bookmarkEnd w:id="178"/>
      <w:bookmarkEnd w:id="179"/>
      <w:bookmarkEnd w:id="180"/>
    </w:p>
    <w:p w:rsidR="00D05144" w:rsidRDefault="00D05144" w:rsidP="001B6469">
      <w:pPr>
        <w:widowControl w:val="0"/>
        <w:tabs>
          <w:tab w:val="left" w:pos="0"/>
          <w:tab w:val="left" w:pos="720"/>
        </w:tabs>
        <w:overflowPunct/>
        <w:jc w:val="left"/>
        <w:rPr>
          <w:szCs w:val="26"/>
        </w:rPr>
      </w:pPr>
    </w:p>
    <w:p w:rsidR="00D05144" w:rsidRDefault="00D05144" w:rsidP="001B6469">
      <w:pPr>
        <w:widowControl w:val="0"/>
        <w:tabs>
          <w:tab w:val="left" w:pos="0"/>
          <w:tab w:val="left" w:pos="720"/>
        </w:tabs>
        <w:overflowPunct/>
        <w:jc w:val="left"/>
        <w:rPr>
          <w:szCs w:val="26"/>
        </w:rPr>
      </w:pPr>
      <w:r w:rsidRPr="0098410B">
        <w:rPr>
          <w:szCs w:val="26"/>
        </w:rPr>
        <w:tab/>
      </w:r>
      <w:r w:rsidR="00D24DEA">
        <w:rPr>
          <w:szCs w:val="26"/>
        </w:rPr>
        <w:t>In the Tentative Order, t</w:t>
      </w:r>
      <w:r w:rsidR="008A0AF2">
        <w:rPr>
          <w:szCs w:val="26"/>
        </w:rPr>
        <w:t>he Commission proposed</w:t>
      </w:r>
      <w:r w:rsidRPr="00341DA1">
        <w:rPr>
          <w:szCs w:val="26"/>
        </w:rPr>
        <w:t xml:space="preserve"> updating Section 5.5 – Appendix E: Lighting Audit and Design Tool for C&amp;I New Construction Projects</w:t>
      </w:r>
      <w:r w:rsidRPr="00341DA1">
        <w:rPr>
          <w:rStyle w:val="FootnoteReference"/>
          <w:szCs w:val="26"/>
        </w:rPr>
        <w:footnoteReference w:id="187"/>
      </w:r>
      <w:r w:rsidRPr="00341DA1">
        <w:rPr>
          <w:szCs w:val="26"/>
        </w:rPr>
        <w:t xml:space="preserve"> to reflect the recommended improvements to the New Construction Lighting protocol.</w:t>
      </w:r>
      <w:r>
        <w:rPr>
          <w:rStyle w:val="FootnoteReference"/>
          <w:szCs w:val="26"/>
        </w:rPr>
        <w:footnoteReference w:id="188"/>
      </w:r>
      <w:r w:rsidRPr="00341DA1">
        <w:rPr>
          <w:szCs w:val="26"/>
        </w:rPr>
        <w:t xml:space="preserve"> </w:t>
      </w:r>
      <w:r>
        <w:rPr>
          <w:szCs w:val="26"/>
        </w:rPr>
        <w:t xml:space="preserve"> </w:t>
      </w:r>
      <w:r w:rsidRPr="00341DA1">
        <w:rPr>
          <w:szCs w:val="26"/>
        </w:rPr>
        <w:t>The major changes include updating the algorithms used to calculate energy savings to include new construction HOU, CF and SVG factors.</w:t>
      </w:r>
    </w:p>
    <w:p w:rsidR="008A0AF2" w:rsidRDefault="008A0AF2" w:rsidP="001B6469">
      <w:pPr>
        <w:widowControl w:val="0"/>
        <w:tabs>
          <w:tab w:val="left" w:pos="0"/>
          <w:tab w:val="left" w:pos="720"/>
        </w:tabs>
        <w:overflowPunct/>
        <w:jc w:val="left"/>
        <w:rPr>
          <w:szCs w:val="26"/>
        </w:rPr>
      </w:pPr>
    </w:p>
    <w:p w:rsidR="00A0410F" w:rsidRDefault="00334A83" w:rsidP="00334A83">
      <w:pPr>
        <w:widowControl w:val="0"/>
        <w:overflowPunct/>
        <w:ind w:firstLine="720"/>
        <w:jc w:val="left"/>
        <w:rPr>
          <w:szCs w:val="26"/>
        </w:rPr>
      </w:pPr>
      <w:r>
        <w:rPr>
          <w:b/>
          <w:szCs w:val="26"/>
        </w:rPr>
        <w:t>1</w:t>
      </w:r>
      <w:r w:rsidR="00A0410F">
        <w:rPr>
          <w:b/>
          <w:szCs w:val="26"/>
        </w:rPr>
        <w:t>.</w:t>
      </w:r>
      <w:r w:rsidR="00A0410F">
        <w:rPr>
          <w:b/>
          <w:szCs w:val="26"/>
        </w:rPr>
        <w:tab/>
        <w:t>Comments</w:t>
      </w:r>
    </w:p>
    <w:p w:rsidR="002A7F2F" w:rsidRDefault="00A0410F" w:rsidP="001B6469">
      <w:pPr>
        <w:widowControl w:val="0"/>
        <w:tabs>
          <w:tab w:val="left" w:pos="204"/>
          <w:tab w:val="left" w:pos="720"/>
        </w:tabs>
        <w:overflowPunct/>
        <w:jc w:val="left"/>
        <w:rPr>
          <w:szCs w:val="26"/>
        </w:rPr>
      </w:pPr>
      <w:r>
        <w:rPr>
          <w:szCs w:val="26"/>
        </w:rPr>
        <w:tab/>
      </w:r>
      <w:r>
        <w:rPr>
          <w:szCs w:val="26"/>
        </w:rPr>
        <w:tab/>
      </w:r>
    </w:p>
    <w:p w:rsidR="00A0410F" w:rsidRDefault="002A7F2F" w:rsidP="001B6469">
      <w:pPr>
        <w:widowControl w:val="0"/>
        <w:tabs>
          <w:tab w:val="left" w:pos="204"/>
          <w:tab w:val="left" w:pos="720"/>
        </w:tabs>
        <w:overflowPunct/>
        <w:jc w:val="left"/>
        <w:rPr>
          <w:szCs w:val="26"/>
        </w:rPr>
      </w:pPr>
      <w:r>
        <w:rPr>
          <w:szCs w:val="26"/>
        </w:rPr>
        <w:tab/>
      </w:r>
      <w:r>
        <w:rPr>
          <w:szCs w:val="26"/>
        </w:rPr>
        <w:tab/>
      </w:r>
      <w:r w:rsidR="00A0410F">
        <w:rPr>
          <w:szCs w:val="26"/>
        </w:rPr>
        <w:t>PPL comments that there is an incon</w:t>
      </w:r>
      <w:r w:rsidR="00334A83">
        <w:rPr>
          <w:szCs w:val="26"/>
        </w:rPr>
        <w:t>sistency between Section 3.1.2 – N</w:t>
      </w:r>
      <w:r w:rsidR="00A0410F">
        <w:rPr>
          <w:szCs w:val="26"/>
        </w:rPr>
        <w:t>ew Construction Lighting and Appendix E</w:t>
      </w:r>
      <w:r w:rsidR="00334A83">
        <w:rPr>
          <w:szCs w:val="26"/>
        </w:rPr>
        <w:t xml:space="preserve"> – Lighting Audit and Design Tool for C&amp;I New Construction Projects</w:t>
      </w:r>
      <w:r w:rsidR="00A0410F">
        <w:rPr>
          <w:szCs w:val="26"/>
        </w:rPr>
        <w:t xml:space="preserve">. </w:t>
      </w:r>
      <w:r w:rsidR="00334A83">
        <w:rPr>
          <w:szCs w:val="26"/>
        </w:rPr>
        <w:t xml:space="preserve"> </w:t>
      </w:r>
      <w:r w:rsidR="00A0410F">
        <w:rPr>
          <w:szCs w:val="26"/>
        </w:rPr>
        <w:t>Section 3.1.2 states that “</w:t>
      </w:r>
      <w:r w:rsidR="00A0410F" w:rsidRPr="00A0410F">
        <w:rPr>
          <w:szCs w:val="26"/>
        </w:rPr>
        <w:t xml:space="preserve">Within a single project, to the extent that there are different control strategies (SVG), hours of use (HOU), coincidence factors (CF) or interactive factors (IF), the ∆kW will be broken out to account for these different factors." </w:t>
      </w:r>
      <w:r w:rsidR="00334A83">
        <w:rPr>
          <w:szCs w:val="26"/>
        </w:rPr>
        <w:t xml:space="preserve"> </w:t>
      </w:r>
      <w:r w:rsidR="00A0410F" w:rsidRPr="00A0410F">
        <w:rPr>
          <w:szCs w:val="26"/>
        </w:rPr>
        <w:t xml:space="preserve">However, Appendix E does not support different hours of use within a single project. </w:t>
      </w:r>
      <w:r w:rsidR="00334A83">
        <w:rPr>
          <w:szCs w:val="26"/>
        </w:rPr>
        <w:t xml:space="preserve"> </w:t>
      </w:r>
      <w:r w:rsidR="00A0410F" w:rsidRPr="00A0410F">
        <w:rPr>
          <w:szCs w:val="26"/>
        </w:rPr>
        <w:t xml:space="preserve">Furthermore, </w:t>
      </w:r>
      <w:r w:rsidR="00A0410F">
        <w:rPr>
          <w:szCs w:val="26"/>
        </w:rPr>
        <w:t xml:space="preserve">PPL states that </w:t>
      </w:r>
      <w:r w:rsidR="00A0410F" w:rsidRPr="00A0410F">
        <w:rPr>
          <w:szCs w:val="26"/>
        </w:rPr>
        <w:t>HOU should be a user populated field in Table B-i on the "Interior Lighting" tab of Appendix E.</w:t>
      </w:r>
      <w:r w:rsidR="00A0410F">
        <w:rPr>
          <w:rStyle w:val="FootnoteReference"/>
          <w:szCs w:val="26"/>
        </w:rPr>
        <w:footnoteReference w:id="189"/>
      </w:r>
    </w:p>
    <w:p w:rsidR="00A0410F" w:rsidRDefault="00A0410F" w:rsidP="001B6469">
      <w:pPr>
        <w:widowControl w:val="0"/>
        <w:tabs>
          <w:tab w:val="left" w:pos="204"/>
          <w:tab w:val="left" w:pos="720"/>
        </w:tabs>
        <w:overflowPunct/>
        <w:jc w:val="left"/>
        <w:rPr>
          <w:szCs w:val="26"/>
        </w:rPr>
      </w:pPr>
    </w:p>
    <w:p w:rsidR="00A420EC" w:rsidRDefault="00A420EC" w:rsidP="001B6469">
      <w:pPr>
        <w:widowControl w:val="0"/>
        <w:tabs>
          <w:tab w:val="left" w:pos="204"/>
          <w:tab w:val="left" w:pos="720"/>
        </w:tabs>
        <w:overflowPunct/>
        <w:jc w:val="left"/>
        <w:rPr>
          <w:szCs w:val="26"/>
        </w:rPr>
      </w:pPr>
    </w:p>
    <w:p w:rsidR="00A0410F" w:rsidRDefault="00334A83" w:rsidP="001B6469">
      <w:pPr>
        <w:widowControl w:val="0"/>
        <w:tabs>
          <w:tab w:val="left" w:pos="204"/>
          <w:tab w:val="left" w:pos="720"/>
        </w:tabs>
        <w:overflowPunct/>
        <w:jc w:val="left"/>
        <w:rPr>
          <w:szCs w:val="26"/>
        </w:rPr>
      </w:pPr>
      <w:r>
        <w:rPr>
          <w:szCs w:val="26"/>
        </w:rPr>
        <w:lastRenderedPageBreak/>
        <w:tab/>
      </w:r>
      <w:r>
        <w:rPr>
          <w:szCs w:val="26"/>
        </w:rPr>
        <w:tab/>
      </w:r>
      <w:r>
        <w:rPr>
          <w:b/>
          <w:szCs w:val="26"/>
        </w:rPr>
        <w:t>2</w:t>
      </w:r>
      <w:r w:rsidR="00A0410F">
        <w:rPr>
          <w:b/>
          <w:szCs w:val="26"/>
        </w:rPr>
        <w:t>.</w:t>
      </w:r>
      <w:r w:rsidR="00A0410F">
        <w:rPr>
          <w:b/>
          <w:szCs w:val="26"/>
        </w:rPr>
        <w:tab/>
        <w:t>Disposition</w:t>
      </w:r>
    </w:p>
    <w:p w:rsidR="008A0AF2" w:rsidRDefault="008A0AF2" w:rsidP="001B6469">
      <w:pPr>
        <w:widowControl w:val="0"/>
        <w:tabs>
          <w:tab w:val="left" w:pos="0"/>
          <w:tab w:val="left" w:pos="720"/>
        </w:tabs>
        <w:overflowPunct/>
        <w:jc w:val="left"/>
        <w:rPr>
          <w:szCs w:val="26"/>
        </w:rPr>
      </w:pPr>
    </w:p>
    <w:p w:rsidR="008A0AF2" w:rsidRDefault="00A0410F" w:rsidP="001B6469">
      <w:pPr>
        <w:widowControl w:val="0"/>
        <w:tabs>
          <w:tab w:val="left" w:pos="0"/>
          <w:tab w:val="left" w:pos="720"/>
        </w:tabs>
        <w:overflowPunct/>
        <w:jc w:val="left"/>
        <w:rPr>
          <w:szCs w:val="26"/>
        </w:rPr>
      </w:pPr>
      <w:r>
        <w:rPr>
          <w:szCs w:val="26"/>
        </w:rPr>
        <w:tab/>
      </w:r>
      <w:r w:rsidRPr="00A0410F">
        <w:rPr>
          <w:szCs w:val="26"/>
        </w:rPr>
        <w:t xml:space="preserve">The Commission recognizes the inconsistency in the language </w:t>
      </w:r>
      <w:r w:rsidR="0012376A">
        <w:rPr>
          <w:szCs w:val="26"/>
        </w:rPr>
        <w:t>referenced</w:t>
      </w:r>
      <w:r w:rsidRPr="00A0410F">
        <w:rPr>
          <w:szCs w:val="26"/>
        </w:rPr>
        <w:t xml:space="preserve"> by </w:t>
      </w:r>
      <w:r>
        <w:rPr>
          <w:szCs w:val="26"/>
        </w:rPr>
        <w:t>PPL</w:t>
      </w:r>
      <w:r w:rsidRPr="00A0410F">
        <w:rPr>
          <w:szCs w:val="26"/>
        </w:rPr>
        <w:t>.</w:t>
      </w:r>
      <w:r w:rsidR="0012376A">
        <w:rPr>
          <w:szCs w:val="26"/>
        </w:rPr>
        <w:t xml:space="preserve"> </w:t>
      </w:r>
      <w:r w:rsidRPr="00A0410F">
        <w:rPr>
          <w:szCs w:val="26"/>
        </w:rPr>
        <w:t xml:space="preserve"> As the Commission does not agree with the notion that the HOU should be a user populated field, the inaccurate language has been removed from the 2015 TRM with no corresponding updates to Appendix E</w:t>
      </w:r>
      <w:r w:rsidR="0012376A">
        <w:rPr>
          <w:szCs w:val="26"/>
        </w:rPr>
        <w:t xml:space="preserve"> required</w:t>
      </w:r>
      <w:r w:rsidRPr="00A0410F">
        <w:rPr>
          <w:szCs w:val="26"/>
        </w:rPr>
        <w:t xml:space="preserve">. </w:t>
      </w:r>
      <w:r w:rsidR="0012376A">
        <w:rPr>
          <w:szCs w:val="26"/>
        </w:rPr>
        <w:t xml:space="preserve"> </w:t>
      </w:r>
      <w:r w:rsidRPr="00A0410F">
        <w:rPr>
          <w:szCs w:val="26"/>
        </w:rPr>
        <w:t xml:space="preserve">The Commission feels this is </w:t>
      </w:r>
      <w:r w:rsidR="00A43585">
        <w:rPr>
          <w:szCs w:val="26"/>
        </w:rPr>
        <w:t xml:space="preserve">accurate </w:t>
      </w:r>
      <w:r w:rsidR="0012376A">
        <w:rPr>
          <w:szCs w:val="26"/>
        </w:rPr>
        <w:t>as building-</w:t>
      </w:r>
      <w:r w:rsidRPr="00A0410F">
        <w:rPr>
          <w:szCs w:val="26"/>
        </w:rPr>
        <w:t>specific operating hours are calculated averages of all space types commonly occurring within a specified building type, with weighting applied in order to account for varying proportions of varying space types.</w:t>
      </w:r>
      <w:r w:rsidR="0012376A">
        <w:rPr>
          <w:szCs w:val="26"/>
        </w:rPr>
        <w:t xml:space="preserve">  </w:t>
      </w:r>
      <w:r w:rsidRPr="00A0410F">
        <w:rPr>
          <w:szCs w:val="26"/>
        </w:rPr>
        <w:t xml:space="preserve">Furthermore, reductions in HOU and CF associated with required occupancy sensors in select areas have also been calculated based on weighted probabilities of given conditions existing within a building type. </w:t>
      </w:r>
      <w:r w:rsidR="0012376A">
        <w:rPr>
          <w:szCs w:val="26"/>
        </w:rPr>
        <w:t xml:space="preserve"> </w:t>
      </w:r>
      <w:r w:rsidR="00A43585">
        <w:rPr>
          <w:szCs w:val="26"/>
        </w:rPr>
        <w:t>Therefore</w:t>
      </w:r>
      <w:r w:rsidRPr="00A0410F">
        <w:rPr>
          <w:szCs w:val="26"/>
        </w:rPr>
        <w:t xml:space="preserve">, the Commission feels that the calculated HOU and CF values accurately depict the average </w:t>
      </w:r>
      <w:r w:rsidRPr="0012376A">
        <w:rPr>
          <w:i/>
          <w:szCs w:val="26"/>
        </w:rPr>
        <w:t>in-situ</w:t>
      </w:r>
      <w:r w:rsidRPr="00A0410F">
        <w:rPr>
          <w:szCs w:val="26"/>
        </w:rPr>
        <w:t xml:space="preserve"> values across a whole building, regardless of how the space types may be configured.</w:t>
      </w:r>
      <w:r w:rsidR="0012376A">
        <w:rPr>
          <w:szCs w:val="26"/>
        </w:rPr>
        <w:t xml:space="preserve"> </w:t>
      </w:r>
      <w:r w:rsidRPr="00A0410F">
        <w:rPr>
          <w:szCs w:val="26"/>
        </w:rPr>
        <w:t xml:space="preserve"> The building type “other” is also available for buildings with considerable deviation from the stipulated values.</w:t>
      </w:r>
    </w:p>
    <w:p w:rsidR="004A195B" w:rsidRDefault="004A195B" w:rsidP="001B6469">
      <w:pPr>
        <w:widowControl w:val="0"/>
        <w:tabs>
          <w:tab w:val="left" w:pos="0"/>
          <w:tab w:val="left" w:pos="720"/>
        </w:tabs>
        <w:overflowPunct/>
        <w:jc w:val="left"/>
        <w:rPr>
          <w:szCs w:val="26"/>
        </w:rPr>
      </w:pPr>
    </w:p>
    <w:p w:rsidR="004A195B" w:rsidRDefault="004A195B" w:rsidP="0012376A">
      <w:pPr>
        <w:pStyle w:val="Heading2"/>
        <w:ind w:left="720"/>
        <w:jc w:val="left"/>
      </w:pPr>
      <w:bookmarkStart w:id="181" w:name="_Toc405802434"/>
      <w:bookmarkStart w:id="182" w:name="_Toc405884752"/>
      <w:r>
        <w:t>Section 5.</w:t>
      </w:r>
      <w:r w:rsidR="005056FB">
        <w:t>6</w:t>
      </w:r>
      <w:r>
        <w:t xml:space="preserve"> – </w:t>
      </w:r>
      <w:r w:rsidRPr="00337857">
        <w:t>Appendix</w:t>
      </w:r>
      <w:r>
        <w:t xml:space="preserve"> F: Eligibility Requirements for Solid State Lighting Products in Commercial and Industrial Applications</w:t>
      </w:r>
      <w:bookmarkEnd w:id="181"/>
      <w:bookmarkEnd w:id="182"/>
    </w:p>
    <w:p w:rsidR="003F6689" w:rsidRDefault="003F6689" w:rsidP="001B6469">
      <w:pPr>
        <w:jc w:val="left"/>
      </w:pPr>
    </w:p>
    <w:p w:rsidR="00C81FC6" w:rsidRDefault="00C81FC6" w:rsidP="001B6469">
      <w:pPr>
        <w:widowControl w:val="0"/>
        <w:tabs>
          <w:tab w:val="left" w:pos="204"/>
          <w:tab w:val="left" w:pos="720"/>
        </w:tabs>
        <w:overflowPunct/>
        <w:jc w:val="left"/>
      </w:pPr>
      <w:r>
        <w:tab/>
      </w:r>
      <w:r>
        <w:tab/>
      </w:r>
      <w:r w:rsidRPr="00C81FC6">
        <w:t xml:space="preserve">The </w:t>
      </w:r>
      <w:r w:rsidR="008A151D">
        <w:rPr>
          <w:szCs w:val="26"/>
        </w:rPr>
        <w:t xml:space="preserve">Commission did not propose changes to the </w:t>
      </w:r>
      <w:r>
        <w:t>eligibility requirements in Appendix F</w:t>
      </w:r>
      <w:r w:rsidR="004B2F49">
        <w:t>.</w:t>
      </w:r>
      <w:r w:rsidR="00163B10">
        <w:t xml:space="preserve"> </w:t>
      </w:r>
      <w:r w:rsidR="0012376A">
        <w:t xml:space="preserve"> </w:t>
      </w:r>
      <w:r w:rsidRPr="00C81FC6">
        <w:t>However, comments were received and are addressed below.</w:t>
      </w:r>
      <w:r w:rsidRPr="00C81FC6">
        <w:tab/>
      </w:r>
      <w:r>
        <w:t xml:space="preserve"> </w:t>
      </w:r>
    </w:p>
    <w:p w:rsidR="00C81FC6" w:rsidRDefault="00C81FC6" w:rsidP="001B6469">
      <w:pPr>
        <w:widowControl w:val="0"/>
        <w:tabs>
          <w:tab w:val="left" w:pos="204"/>
          <w:tab w:val="left" w:pos="720"/>
        </w:tabs>
        <w:overflowPunct/>
        <w:jc w:val="left"/>
        <w:rPr>
          <w:szCs w:val="26"/>
        </w:rPr>
      </w:pPr>
    </w:p>
    <w:p w:rsidR="004A195B" w:rsidRPr="003F6689" w:rsidRDefault="004A195B" w:rsidP="001B6469">
      <w:pPr>
        <w:jc w:val="left"/>
        <w:rPr>
          <w:b/>
        </w:rPr>
      </w:pPr>
      <w:r w:rsidRPr="004A195B">
        <w:rPr>
          <w:b/>
        </w:rPr>
        <w:tab/>
      </w:r>
      <w:r w:rsidR="0012376A">
        <w:rPr>
          <w:b/>
        </w:rPr>
        <w:t>1</w:t>
      </w:r>
      <w:r w:rsidRPr="004A195B">
        <w:rPr>
          <w:b/>
        </w:rPr>
        <w:t>.</w:t>
      </w:r>
      <w:r w:rsidRPr="004A195B">
        <w:rPr>
          <w:b/>
        </w:rPr>
        <w:tab/>
        <w:t>Comments</w:t>
      </w:r>
    </w:p>
    <w:p w:rsidR="004A195B" w:rsidRPr="003F6689" w:rsidRDefault="004A195B" w:rsidP="001B6469">
      <w:pPr>
        <w:widowControl w:val="0"/>
        <w:tabs>
          <w:tab w:val="left" w:pos="204"/>
          <w:tab w:val="left" w:pos="720"/>
        </w:tabs>
        <w:overflowPunct/>
        <w:jc w:val="left"/>
        <w:rPr>
          <w:b/>
          <w:szCs w:val="26"/>
        </w:rPr>
      </w:pPr>
    </w:p>
    <w:p w:rsidR="004A195B" w:rsidRPr="00F57D21" w:rsidRDefault="00F57D21" w:rsidP="001B6469">
      <w:pPr>
        <w:widowControl w:val="0"/>
        <w:tabs>
          <w:tab w:val="left" w:pos="204"/>
          <w:tab w:val="left" w:pos="720"/>
        </w:tabs>
        <w:overflowPunct/>
        <w:jc w:val="left"/>
        <w:rPr>
          <w:szCs w:val="26"/>
        </w:rPr>
      </w:pPr>
      <w:r>
        <w:rPr>
          <w:szCs w:val="26"/>
        </w:rPr>
        <w:tab/>
      </w:r>
      <w:r>
        <w:rPr>
          <w:szCs w:val="26"/>
        </w:rPr>
        <w:tab/>
        <w:t xml:space="preserve">Duquesne </w:t>
      </w:r>
      <w:r w:rsidR="0012376A">
        <w:rPr>
          <w:szCs w:val="26"/>
        </w:rPr>
        <w:t>states</w:t>
      </w:r>
      <w:r>
        <w:rPr>
          <w:szCs w:val="26"/>
        </w:rPr>
        <w:t xml:space="preserve"> that t</w:t>
      </w:r>
      <w:r w:rsidRPr="003F6689">
        <w:rPr>
          <w:szCs w:val="26"/>
        </w:rPr>
        <w:t>he ENERGY STAR specifications found in Appendix F</w:t>
      </w:r>
      <w:r w:rsidR="00962086">
        <w:rPr>
          <w:szCs w:val="26"/>
        </w:rPr>
        <w:t xml:space="preserve"> – Eligibility Requirements for Solid State Lighting Products in Commercial and Industrial Applications of the 2015 TRM</w:t>
      </w:r>
      <w:r w:rsidRPr="003F6689">
        <w:rPr>
          <w:szCs w:val="26"/>
        </w:rPr>
        <w:t xml:space="preserve"> are obsolete and currently under pote</w:t>
      </w:r>
      <w:r>
        <w:rPr>
          <w:szCs w:val="26"/>
        </w:rPr>
        <w:t xml:space="preserve">ntially substantial revisions. </w:t>
      </w:r>
      <w:r w:rsidR="00962086">
        <w:rPr>
          <w:szCs w:val="26"/>
        </w:rPr>
        <w:t xml:space="preserve"> </w:t>
      </w:r>
      <w:r>
        <w:rPr>
          <w:szCs w:val="26"/>
        </w:rPr>
        <w:t>D</w:t>
      </w:r>
      <w:r w:rsidRPr="003F6689">
        <w:rPr>
          <w:szCs w:val="26"/>
        </w:rPr>
        <w:t>uquesne recommends that the TRM use generic references as well since there are often frequent changes to both the specifications and qualified product lists.</w:t>
      </w:r>
      <w:r w:rsidR="00962086">
        <w:rPr>
          <w:szCs w:val="26"/>
        </w:rPr>
        <w:t xml:space="preserve"> </w:t>
      </w:r>
      <w:r w:rsidRPr="003F6689">
        <w:rPr>
          <w:szCs w:val="26"/>
        </w:rPr>
        <w:t xml:space="preserve"> </w:t>
      </w:r>
      <w:r w:rsidRPr="003F6689">
        <w:rPr>
          <w:szCs w:val="26"/>
        </w:rPr>
        <w:lastRenderedPageBreak/>
        <w:t>DesignLights Consortium</w:t>
      </w:r>
      <w:r w:rsidR="00750CE5">
        <w:rPr>
          <w:szCs w:val="26"/>
        </w:rPr>
        <w:t xml:space="preserve"> </w:t>
      </w:r>
      <w:r w:rsidRPr="003F6689">
        <w:rPr>
          <w:szCs w:val="26"/>
        </w:rPr>
        <w:t>uses a dynamic interface where both the specifications and qualified products lists are updated fr</w:t>
      </w:r>
      <w:r w:rsidR="00C81FC6">
        <w:rPr>
          <w:szCs w:val="26"/>
        </w:rPr>
        <w:t xml:space="preserve">equently. </w:t>
      </w:r>
      <w:r w:rsidR="00962086">
        <w:rPr>
          <w:szCs w:val="26"/>
        </w:rPr>
        <w:t xml:space="preserve"> </w:t>
      </w:r>
      <w:r w:rsidRPr="003F6689">
        <w:rPr>
          <w:szCs w:val="26"/>
        </w:rPr>
        <w:t xml:space="preserve">Duquesne recommends that </w:t>
      </w:r>
      <w:r w:rsidR="00962086" w:rsidRPr="003F6689">
        <w:rPr>
          <w:szCs w:val="26"/>
        </w:rPr>
        <w:t>Appendix F</w:t>
      </w:r>
      <w:r w:rsidR="00962086">
        <w:rPr>
          <w:szCs w:val="26"/>
        </w:rPr>
        <w:t xml:space="preserve"> – Eligibility Requirements for Solid State Lighting Products in Commercial and Industrial Applications </w:t>
      </w:r>
      <w:r w:rsidRPr="003F6689">
        <w:rPr>
          <w:szCs w:val="26"/>
        </w:rPr>
        <w:t xml:space="preserve">be redrafted to reflect the current state of ENERGY STAR, </w:t>
      </w:r>
      <w:r w:rsidR="007E2CBA" w:rsidRPr="003F6689">
        <w:rPr>
          <w:szCs w:val="26"/>
        </w:rPr>
        <w:t>DesignLights Consortium</w:t>
      </w:r>
      <w:r w:rsidRPr="003F6689">
        <w:rPr>
          <w:szCs w:val="26"/>
        </w:rPr>
        <w:t xml:space="preserve"> and</w:t>
      </w:r>
      <w:r w:rsidR="00C81FC6" w:rsidRPr="00C81FC6">
        <w:rPr>
          <w:szCs w:val="26"/>
        </w:rPr>
        <w:t xml:space="preserve"> Illuminating Engineering Society of North America </w:t>
      </w:r>
      <w:r w:rsidR="00B5351E">
        <w:rPr>
          <w:szCs w:val="26"/>
        </w:rPr>
        <w:t>(</w:t>
      </w:r>
      <w:r w:rsidRPr="003F6689">
        <w:rPr>
          <w:szCs w:val="26"/>
        </w:rPr>
        <w:t>IESNA</w:t>
      </w:r>
      <w:r w:rsidR="00B5351E">
        <w:rPr>
          <w:szCs w:val="26"/>
        </w:rPr>
        <w:t>)</w:t>
      </w:r>
      <w:r w:rsidRPr="003F6689">
        <w:rPr>
          <w:szCs w:val="26"/>
        </w:rPr>
        <w:t xml:space="preserve"> specifications and standards related to LED lighting.</w:t>
      </w:r>
      <w:r w:rsidR="003F6689">
        <w:rPr>
          <w:rStyle w:val="FootnoteReference"/>
          <w:szCs w:val="26"/>
        </w:rPr>
        <w:footnoteReference w:id="190"/>
      </w:r>
    </w:p>
    <w:p w:rsidR="004A195B" w:rsidRPr="003F6689" w:rsidRDefault="004A195B" w:rsidP="001B6469">
      <w:pPr>
        <w:widowControl w:val="0"/>
        <w:tabs>
          <w:tab w:val="left" w:pos="204"/>
          <w:tab w:val="left" w:pos="720"/>
        </w:tabs>
        <w:overflowPunct/>
        <w:jc w:val="left"/>
        <w:rPr>
          <w:b/>
          <w:szCs w:val="26"/>
        </w:rPr>
      </w:pPr>
    </w:p>
    <w:p w:rsidR="004A195B" w:rsidRPr="003F6689" w:rsidRDefault="005B2CCA" w:rsidP="001B6469">
      <w:pPr>
        <w:jc w:val="left"/>
        <w:rPr>
          <w:b/>
        </w:rPr>
      </w:pPr>
      <w:r>
        <w:rPr>
          <w:b/>
        </w:rPr>
        <w:tab/>
        <w:t>2</w:t>
      </w:r>
      <w:r w:rsidR="004A195B" w:rsidRPr="003F6689">
        <w:rPr>
          <w:b/>
        </w:rPr>
        <w:t>.</w:t>
      </w:r>
      <w:r w:rsidR="004A195B" w:rsidRPr="003F6689">
        <w:rPr>
          <w:b/>
        </w:rPr>
        <w:tab/>
        <w:t>Disposition</w:t>
      </w:r>
    </w:p>
    <w:p w:rsidR="004A195B" w:rsidRPr="004A195B" w:rsidRDefault="004A195B" w:rsidP="001B6469">
      <w:pPr>
        <w:widowControl w:val="0"/>
        <w:tabs>
          <w:tab w:val="left" w:pos="204"/>
          <w:tab w:val="left" w:pos="720"/>
        </w:tabs>
        <w:overflowPunct/>
        <w:jc w:val="left"/>
        <w:rPr>
          <w:b/>
          <w:szCs w:val="26"/>
        </w:rPr>
      </w:pPr>
    </w:p>
    <w:p w:rsidR="004A195B" w:rsidRDefault="00C81FC6" w:rsidP="000C1658">
      <w:pPr>
        <w:jc w:val="left"/>
      </w:pPr>
      <w:r>
        <w:tab/>
      </w:r>
      <w:r w:rsidR="003C675B" w:rsidRPr="003C675B">
        <w:t xml:space="preserve">The Commission believes that Duquesne raises a valid point and has updated </w:t>
      </w:r>
      <w:r w:rsidR="005B2CCA" w:rsidRPr="003F6689">
        <w:rPr>
          <w:szCs w:val="26"/>
        </w:rPr>
        <w:t>Appendix F</w:t>
      </w:r>
      <w:r w:rsidR="005B2CCA">
        <w:rPr>
          <w:szCs w:val="26"/>
        </w:rPr>
        <w:t xml:space="preserve"> – Eligibility Requirements for Solid State Lighting Products in Commercial and Industrial Applications </w:t>
      </w:r>
      <w:r w:rsidR="003C675B" w:rsidRPr="003C675B">
        <w:t xml:space="preserve">accordingly. </w:t>
      </w:r>
      <w:r w:rsidR="005B2CCA">
        <w:t xml:space="preserve"> </w:t>
      </w:r>
      <w:r w:rsidR="003C675B" w:rsidRPr="003C675B">
        <w:t>Details</w:t>
      </w:r>
      <w:r w:rsidR="005B2CCA">
        <w:t xml:space="preserve"> on current specifications of ENERGY STAR</w:t>
      </w:r>
      <w:r w:rsidR="003C675B" w:rsidRPr="003C675B">
        <w:t xml:space="preserve"> and </w:t>
      </w:r>
      <w:r w:rsidR="007E2CBA" w:rsidRPr="003F6689">
        <w:rPr>
          <w:szCs w:val="26"/>
        </w:rPr>
        <w:t>DesignLights Consortium</w:t>
      </w:r>
      <w:r w:rsidR="003C675B" w:rsidRPr="003C675B">
        <w:t xml:space="preserve"> requirements have been removed and replaced with more generic language directing users to the correct sources to find the most current requirements for Solid State Lighting products</w:t>
      </w:r>
      <w:r w:rsidR="00143C69">
        <w:t>.</w:t>
      </w:r>
      <w:r w:rsidR="003C675B" w:rsidRPr="003C675B">
        <w:t xml:space="preserve"> </w:t>
      </w:r>
      <w:r w:rsidR="005B2CCA">
        <w:t xml:space="preserve"> </w:t>
      </w:r>
      <w:r w:rsidR="003C675B" w:rsidRPr="003C675B">
        <w:t>Links to qualified products lists and general qualification requirements in the footnotes have</w:t>
      </w:r>
      <w:r w:rsidR="00143C69">
        <w:t xml:space="preserve"> also</w:t>
      </w:r>
      <w:r w:rsidR="003C675B" w:rsidRPr="003C675B">
        <w:t xml:space="preserve"> been updated.</w:t>
      </w:r>
      <w:r w:rsidR="003C675B">
        <w:t xml:space="preserve"> </w:t>
      </w:r>
    </w:p>
    <w:p w:rsidR="00F344C7" w:rsidRDefault="00F344C7" w:rsidP="000C1658">
      <w:pPr>
        <w:jc w:val="left"/>
      </w:pPr>
    </w:p>
    <w:p w:rsidR="00F344C7" w:rsidRPr="00862F0F" w:rsidRDefault="00F344C7" w:rsidP="00862F0F">
      <w:pPr>
        <w:pStyle w:val="Heading2"/>
        <w:ind w:left="720"/>
      </w:pPr>
      <w:bookmarkStart w:id="183" w:name="_Toc405884753"/>
      <w:r w:rsidRPr="00862F0F">
        <w:t>Application of the TRM</w:t>
      </w:r>
      <w:bookmarkEnd w:id="183"/>
    </w:p>
    <w:p w:rsidR="00F344C7" w:rsidRDefault="00F344C7" w:rsidP="000C1658">
      <w:pPr>
        <w:jc w:val="left"/>
        <w:rPr>
          <w:b/>
        </w:rPr>
      </w:pPr>
    </w:p>
    <w:p w:rsidR="00F344C7" w:rsidRPr="002D1C25" w:rsidRDefault="00F344C7" w:rsidP="00F344C7">
      <w:pPr>
        <w:jc w:val="left"/>
        <w:rPr>
          <w:szCs w:val="26"/>
        </w:rPr>
      </w:pPr>
      <w:r w:rsidRPr="002D1C25">
        <w:rPr>
          <w:szCs w:val="26"/>
        </w:rPr>
        <w:tab/>
        <w:t xml:space="preserve">While </w:t>
      </w:r>
      <w:r w:rsidR="00A420EC">
        <w:rPr>
          <w:szCs w:val="26"/>
        </w:rPr>
        <w:t>we</w:t>
      </w:r>
      <w:r w:rsidRPr="002D1C25">
        <w:rPr>
          <w:szCs w:val="26"/>
        </w:rPr>
        <w:t xml:space="preserve"> did not discuss the </w:t>
      </w:r>
      <w:r w:rsidR="00A420EC">
        <w:rPr>
          <w:szCs w:val="26"/>
        </w:rPr>
        <w:t xml:space="preserve">TRM </w:t>
      </w:r>
      <w:r w:rsidRPr="002D1C25">
        <w:rPr>
          <w:szCs w:val="26"/>
        </w:rPr>
        <w:t xml:space="preserve">annual updating process in detail in its Tentative Order, comments were provided regarding this process and are addressed </w:t>
      </w:r>
      <w:r w:rsidR="00A420EC">
        <w:rPr>
          <w:szCs w:val="26"/>
        </w:rPr>
        <w:t>here</w:t>
      </w:r>
      <w:r w:rsidRPr="002D1C25">
        <w:rPr>
          <w:szCs w:val="26"/>
        </w:rPr>
        <w:t>.</w:t>
      </w:r>
    </w:p>
    <w:p w:rsidR="00F344C7" w:rsidRDefault="00F344C7" w:rsidP="00BD481F">
      <w:pPr>
        <w:jc w:val="left"/>
      </w:pPr>
    </w:p>
    <w:p w:rsidR="00F344C7" w:rsidRDefault="00F344C7" w:rsidP="00BD481F">
      <w:pPr>
        <w:jc w:val="left"/>
      </w:pPr>
      <w:r>
        <w:tab/>
      </w:r>
      <w:r>
        <w:rPr>
          <w:b/>
        </w:rPr>
        <w:t>1.</w:t>
      </w:r>
      <w:r>
        <w:rPr>
          <w:b/>
        </w:rPr>
        <w:tab/>
        <w:t>Comments</w:t>
      </w:r>
    </w:p>
    <w:p w:rsidR="00F344C7" w:rsidRDefault="00F344C7" w:rsidP="00BD481F">
      <w:pPr>
        <w:jc w:val="left"/>
      </w:pPr>
    </w:p>
    <w:p w:rsidR="00BD481F" w:rsidRPr="002D1C25" w:rsidRDefault="00BD481F" w:rsidP="00BD481F">
      <w:pPr>
        <w:jc w:val="left"/>
        <w:rPr>
          <w:szCs w:val="26"/>
        </w:rPr>
      </w:pPr>
      <w:r w:rsidRPr="002D1C25">
        <w:rPr>
          <w:szCs w:val="26"/>
        </w:rPr>
        <w:tab/>
      </w:r>
      <w:r>
        <w:rPr>
          <w:szCs w:val="26"/>
        </w:rPr>
        <w:t xml:space="preserve">PPL notes that while it generally agrees with most of the changes proposed in the 2015 TRM, it maintains its previously presented legal arguments relative to the Commission’s use of the TRM process to modify PPL’s approved EE&amp;C plan and the </w:t>
      </w:r>
      <w:r>
        <w:rPr>
          <w:szCs w:val="26"/>
        </w:rPr>
        <w:lastRenderedPageBreak/>
        <w:t>potential effects that the TRM process could have on its cost and compliance obligations</w:t>
      </w:r>
      <w:r w:rsidRPr="002D1C25">
        <w:rPr>
          <w:szCs w:val="26"/>
        </w:rPr>
        <w:t>.</w:t>
      </w:r>
      <w:r w:rsidRPr="002D1C25">
        <w:rPr>
          <w:szCs w:val="26"/>
          <w:vertAlign w:val="superscript"/>
        </w:rPr>
        <w:footnoteReference w:id="191"/>
      </w:r>
      <w:r w:rsidRPr="002D1C25">
        <w:rPr>
          <w:szCs w:val="26"/>
        </w:rPr>
        <w:t xml:space="preserve"> </w:t>
      </w:r>
      <w:r>
        <w:rPr>
          <w:szCs w:val="26"/>
        </w:rPr>
        <w:t xml:space="preserve"> FirstEnergy asserts that annual changes to the TRM are increasingly incremental in nature and involve costly processes to implement while having modest impacts on reported or evaluated energy and demand reduction impacts.  FirstEnergy recommends that the 2016 TRM be designed to span the entirety of Phase III of Act 129, with any revisions reserved for administrative corrections or addition of measures, asserting that this will reduce implementation costs and regulatory processes related to TRM management</w:t>
      </w:r>
      <w:r w:rsidRPr="002D1C25">
        <w:rPr>
          <w:szCs w:val="26"/>
        </w:rPr>
        <w:t>.</w:t>
      </w:r>
      <w:r w:rsidRPr="002D1C25">
        <w:rPr>
          <w:szCs w:val="26"/>
          <w:vertAlign w:val="superscript"/>
        </w:rPr>
        <w:footnoteReference w:id="192"/>
      </w:r>
    </w:p>
    <w:p w:rsidR="00F344C7" w:rsidRDefault="00F344C7" w:rsidP="000C1658">
      <w:pPr>
        <w:jc w:val="left"/>
      </w:pPr>
    </w:p>
    <w:p w:rsidR="00F344C7" w:rsidRDefault="00F344C7" w:rsidP="000C1658">
      <w:pPr>
        <w:jc w:val="left"/>
      </w:pPr>
      <w:r>
        <w:tab/>
      </w:r>
      <w:r>
        <w:rPr>
          <w:b/>
        </w:rPr>
        <w:t>2.</w:t>
      </w:r>
      <w:r>
        <w:rPr>
          <w:b/>
        </w:rPr>
        <w:tab/>
        <w:t>Disposition</w:t>
      </w:r>
    </w:p>
    <w:p w:rsidR="00F344C7" w:rsidRDefault="00F344C7" w:rsidP="000C1658">
      <w:pPr>
        <w:jc w:val="left"/>
      </w:pPr>
    </w:p>
    <w:p w:rsidR="00BD481F" w:rsidRPr="002D1C25" w:rsidRDefault="00BD481F" w:rsidP="00BD481F">
      <w:pPr>
        <w:ind w:firstLine="720"/>
        <w:jc w:val="left"/>
        <w:rPr>
          <w:szCs w:val="26"/>
        </w:rPr>
      </w:pPr>
      <w:r w:rsidRPr="002D1C25">
        <w:rPr>
          <w:szCs w:val="26"/>
        </w:rPr>
        <w:t xml:space="preserve">Through the entirety of the EE&amp;C Program, the Commission maintained its position that the TRM should be updated annually to reflect not only new protocols, but changes related to federal and state standards, code changes and technological upgrades.  As such, our position has always been that the annual TRM update may include revisions to existing protocols to establish a more accurate reflection of savings values.  </w:t>
      </w:r>
    </w:p>
    <w:p w:rsidR="00BD481F" w:rsidRPr="002D1C25" w:rsidRDefault="00BD481F" w:rsidP="00BD481F">
      <w:pPr>
        <w:jc w:val="left"/>
        <w:rPr>
          <w:szCs w:val="26"/>
        </w:rPr>
      </w:pPr>
    </w:p>
    <w:p w:rsidR="00BD481F" w:rsidRPr="002D1C25" w:rsidRDefault="00BD481F" w:rsidP="00BD481F">
      <w:pPr>
        <w:ind w:firstLine="720"/>
        <w:jc w:val="left"/>
        <w:rPr>
          <w:szCs w:val="26"/>
        </w:rPr>
      </w:pPr>
      <w:r w:rsidRPr="002D1C25">
        <w:rPr>
          <w:szCs w:val="26"/>
        </w:rPr>
        <w:t>As we stated in our prior TRM update orders, “the TRM is merely guidance or a statement of policy that is not binding regulation.”</w:t>
      </w:r>
      <w:r w:rsidRPr="002D1C25">
        <w:rPr>
          <w:szCs w:val="26"/>
          <w:vertAlign w:val="superscript"/>
        </w:rPr>
        <w:footnoteReference w:id="193"/>
      </w:r>
      <w:r w:rsidRPr="002D1C25">
        <w:rPr>
          <w:szCs w:val="26"/>
        </w:rPr>
        <w:t xml:space="preserve">  We continued by stating that</w:t>
      </w:r>
    </w:p>
    <w:p w:rsidR="00BD481F" w:rsidRPr="002D1C25" w:rsidRDefault="00BD481F" w:rsidP="00BD481F">
      <w:pPr>
        <w:spacing w:line="240" w:lineRule="auto"/>
        <w:ind w:left="720" w:right="720"/>
        <w:jc w:val="left"/>
        <w:textAlignment w:val="baseline"/>
        <w:rPr>
          <w:szCs w:val="26"/>
        </w:rPr>
      </w:pPr>
      <w:r w:rsidRPr="002D1C25">
        <w:rPr>
          <w:szCs w:val="26"/>
        </w:rPr>
        <w:t xml:space="preserve">a final determination of an EDC’s EE&amp;C Plan’s energy savings will be determined in an adjudicatory proceeding where the EDC will be afforded the opportunity to present evidence demonstrating what energy savings its plan obtained and the credibility of that evidence.  An EDC is free to use any method to determine the energy savings produced by its plan, in place of the TRM, provided it can support such determinations with substantial credible evidence, if necessary.  Furthermore, by updating the TRM methods and values based on the most recent credible and accurate data and </w:t>
      </w:r>
      <w:r w:rsidRPr="002D1C25">
        <w:rPr>
          <w:szCs w:val="26"/>
        </w:rPr>
        <w:lastRenderedPageBreak/>
        <w:t>facts, as they become known, is likely to reduce challenges to the credibility of the energy savings attributable to the EDCs’ Plans in any future proceeding.</w:t>
      </w:r>
      <w:r w:rsidRPr="002D1C25">
        <w:rPr>
          <w:szCs w:val="26"/>
          <w:vertAlign w:val="superscript"/>
        </w:rPr>
        <w:footnoteReference w:id="194"/>
      </w:r>
      <w:r w:rsidRPr="002D1C25">
        <w:rPr>
          <w:szCs w:val="26"/>
        </w:rPr>
        <w:t xml:space="preserve">  </w:t>
      </w:r>
    </w:p>
    <w:p w:rsidR="00BD481F" w:rsidRPr="002D1C25" w:rsidRDefault="00BD481F" w:rsidP="00BD481F">
      <w:pPr>
        <w:ind w:firstLine="720"/>
        <w:jc w:val="left"/>
        <w:textAlignment w:val="baseline"/>
        <w:rPr>
          <w:szCs w:val="26"/>
        </w:rPr>
      </w:pPr>
    </w:p>
    <w:p w:rsidR="00BD481F" w:rsidRPr="002D1C25" w:rsidRDefault="00BD481F" w:rsidP="00BD481F">
      <w:pPr>
        <w:ind w:firstLine="720"/>
        <w:jc w:val="left"/>
        <w:rPr>
          <w:szCs w:val="26"/>
        </w:rPr>
      </w:pPr>
      <w:r w:rsidRPr="002D1C25">
        <w:rPr>
          <w:szCs w:val="26"/>
        </w:rPr>
        <w:t>We stress again that while the TRM is a tool EDCs can use to estimate the amount of energy savings a program offering can potentially provide to its plan as a whole, the TRM is first and foremost a measurement tool used to determine, in a reasonably cost-effective way, the actual energy savings achieved by specific measures after they have been installed or implemented.</w:t>
      </w:r>
    </w:p>
    <w:p w:rsidR="00BD481F" w:rsidRPr="002D1C25" w:rsidRDefault="00BD481F" w:rsidP="00BD481F">
      <w:pPr>
        <w:ind w:firstLine="720"/>
        <w:jc w:val="left"/>
        <w:rPr>
          <w:szCs w:val="26"/>
        </w:rPr>
      </w:pPr>
    </w:p>
    <w:p w:rsidR="00BD481F" w:rsidRPr="002D1C25" w:rsidRDefault="00BD481F" w:rsidP="00BD481F">
      <w:pPr>
        <w:ind w:firstLine="720"/>
        <w:jc w:val="left"/>
        <w:rPr>
          <w:szCs w:val="26"/>
        </w:rPr>
      </w:pPr>
      <w:r w:rsidRPr="002D1C25">
        <w:rPr>
          <w:szCs w:val="26"/>
        </w:rPr>
        <w:t>The Commission believes it has adequately explained its reasoning in performing annual updates to the TRM in a variety of proceedings, including past TRM updates.</w:t>
      </w:r>
      <w:r w:rsidRPr="002D1C25">
        <w:rPr>
          <w:szCs w:val="26"/>
          <w:vertAlign w:val="superscript"/>
        </w:rPr>
        <w:footnoteReference w:id="195"/>
      </w:r>
      <w:r w:rsidRPr="002D1C25">
        <w:rPr>
          <w:szCs w:val="26"/>
        </w:rPr>
        <w:t xml:space="preserve">  Specifically, in the Phase II Implementation Order, we stated the following:</w:t>
      </w:r>
    </w:p>
    <w:p w:rsidR="00BD481F" w:rsidRPr="002D1C25" w:rsidRDefault="00BD481F" w:rsidP="00BD481F">
      <w:pPr>
        <w:spacing w:line="240" w:lineRule="auto"/>
        <w:ind w:left="720" w:right="720"/>
        <w:jc w:val="left"/>
        <w:rPr>
          <w:szCs w:val="26"/>
        </w:rPr>
      </w:pPr>
      <w:r w:rsidRPr="002D1C25">
        <w:rPr>
          <w:szCs w:val="26"/>
        </w:rPr>
        <w:t>In maintaining up-to-date information, the Commission assures that Act 129 monies collected from ratepayers are reflecting the truest savings possible.  Additionally, while we recognize the concerns expressed by the EDCs regarding compliance, the Commission has not been provided with any arguments as to why updating the TRM any less frequently than annually is beneficial to ratepayers.  To be more specific, the EDCs’ comments focus on the effects the annual TRM updating procedure has on their ability to attain their targets and in no way address the accuracy of the deemed savings values.  We believe the focus should be on providing the most accurate measure of reductions in energy consumption possible and to ensure that Act 129 monies are being spent to acquire real energy savings, not fictitious savings values that only serve to protect the EDCs from potential penalties.</w:t>
      </w:r>
      <w:r w:rsidRPr="002D1C25">
        <w:rPr>
          <w:szCs w:val="26"/>
          <w:vertAlign w:val="superscript"/>
        </w:rPr>
        <w:footnoteReference w:id="196"/>
      </w:r>
    </w:p>
    <w:p w:rsidR="00BD481F" w:rsidRPr="002D1C25" w:rsidRDefault="00BD481F" w:rsidP="00BD481F">
      <w:pPr>
        <w:spacing w:line="240" w:lineRule="auto"/>
        <w:ind w:left="720" w:right="720"/>
        <w:jc w:val="left"/>
        <w:rPr>
          <w:szCs w:val="26"/>
        </w:rPr>
      </w:pPr>
    </w:p>
    <w:p w:rsidR="00BD481F" w:rsidRPr="002D1C25" w:rsidRDefault="00BD481F" w:rsidP="00BD481F">
      <w:pPr>
        <w:ind w:right="720"/>
        <w:jc w:val="left"/>
        <w:rPr>
          <w:szCs w:val="26"/>
        </w:rPr>
      </w:pPr>
      <w:r w:rsidRPr="002D1C25">
        <w:rPr>
          <w:szCs w:val="26"/>
        </w:rPr>
        <w:t>The Commission maintains this position in this proceeding.</w:t>
      </w:r>
    </w:p>
    <w:p w:rsidR="004A195B" w:rsidRDefault="004A195B" w:rsidP="00BD481F">
      <w:pPr>
        <w:jc w:val="left"/>
        <w:rPr>
          <w:b/>
          <w:szCs w:val="26"/>
        </w:rPr>
      </w:pPr>
    </w:p>
    <w:p w:rsidR="002A23FB" w:rsidRPr="000C1658" w:rsidRDefault="002A23FB" w:rsidP="000C1658">
      <w:pPr>
        <w:pStyle w:val="Heading1"/>
        <w:spacing w:before="0" w:after="0" w:line="360" w:lineRule="auto"/>
        <w:jc w:val="center"/>
        <w:rPr>
          <w:rFonts w:ascii="Times New Roman" w:hAnsi="Times New Roman" w:cs="Times New Roman"/>
          <w:sz w:val="26"/>
          <w:szCs w:val="26"/>
        </w:rPr>
      </w:pPr>
      <w:bookmarkStart w:id="184" w:name="_Toc405802435"/>
      <w:bookmarkStart w:id="185" w:name="_Toc405884754"/>
      <w:r w:rsidRPr="000C1658">
        <w:rPr>
          <w:rFonts w:ascii="Times New Roman" w:hAnsi="Times New Roman" w:cs="Times New Roman"/>
          <w:sz w:val="26"/>
          <w:szCs w:val="26"/>
        </w:rPr>
        <w:lastRenderedPageBreak/>
        <w:t>CONCLUSION</w:t>
      </w:r>
      <w:bookmarkEnd w:id="184"/>
      <w:bookmarkEnd w:id="185"/>
    </w:p>
    <w:p w:rsidR="002A23FB" w:rsidRPr="002A23FB" w:rsidRDefault="002A23FB" w:rsidP="000C1658">
      <w:pPr>
        <w:jc w:val="center"/>
        <w:rPr>
          <w:szCs w:val="26"/>
        </w:rPr>
      </w:pPr>
    </w:p>
    <w:bookmarkEnd w:id="21"/>
    <w:bookmarkEnd w:id="22"/>
    <w:p w:rsidR="002A23FB" w:rsidRPr="00EC7896" w:rsidRDefault="002A23FB" w:rsidP="000C1658">
      <w:pPr>
        <w:ind w:firstLine="720"/>
        <w:jc w:val="left"/>
        <w:rPr>
          <w:szCs w:val="26"/>
        </w:rPr>
      </w:pPr>
      <w:r w:rsidRPr="00EC7896">
        <w:rPr>
          <w:szCs w:val="26"/>
        </w:rPr>
        <w:t xml:space="preserve">This </w:t>
      </w:r>
      <w:r w:rsidRPr="005B2CCA">
        <w:rPr>
          <w:szCs w:val="26"/>
        </w:rPr>
        <w:t>Order represents the Commission’s continuing efforts in establishing a comprehensive TRM with a purpose of supporting both the AEPS Act and the EE&amp;C Program provisions of Act 129.  The Commission is referring several of the comments we received to the SWE to consider and provide recommendations for future TRM updates.  As such, Commission staff will provide an update on the final disposition of all such comments in the next TRM update order.  We extend our thanks to all who provided</w:t>
      </w:r>
      <w:r>
        <w:rPr>
          <w:szCs w:val="26"/>
        </w:rPr>
        <w:t xml:space="preserve"> comments; </w:t>
      </w:r>
      <w:r w:rsidRPr="00EC7896">
        <w:rPr>
          <w:b/>
          <w:szCs w:val="26"/>
        </w:rPr>
        <w:t>THEREFORE,</w:t>
      </w:r>
    </w:p>
    <w:p w:rsidR="002A23FB" w:rsidRPr="00EC7896" w:rsidRDefault="002A23FB" w:rsidP="001B6469">
      <w:pPr>
        <w:jc w:val="left"/>
        <w:rPr>
          <w:szCs w:val="26"/>
        </w:rPr>
      </w:pPr>
    </w:p>
    <w:p w:rsidR="002A23FB" w:rsidRPr="00EC7896" w:rsidRDefault="002A23FB" w:rsidP="001B6469">
      <w:pPr>
        <w:jc w:val="left"/>
        <w:rPr>
          <w:b/>
          <w:szCs w:val="26"/>
        </w:rPr>
      </w:pPr>
      <w:r w:rsidRPr="00EC7896">
        <w:rPr>
          <w:szCs w:val="26"/>
        </w:rPr>
        <w:tab/>
      </w:r>
      <w:r w:rsidRPr="00EC7896">
        <w:rPr>
          <w:b/>
          <w:szCs w:val="26"/>
        </w:rPr>
        <w:t>IT IS ORDERED:</w:t>
      </w:r>
    </w:p>
    <w:p w:rsidR="002A23FB" w:rsidRPr="00EC7896" w:rsidRDefault="002A23FB" w:rsidP="001B6469">
      <w:pPr>
        <w:jc w:val="left"/>
        <w:rPr>
          <w:szCs w:val="26"/>
        </w:rPr>
      </w:pPr>
    </w:p>
    <w:p w:rsidR="002A23FB" w:rsidRPr="00EC7896" w:rsidRDefault="002A23FB" w:rsidP="001B6469">
      <w:pPr>
        <w:jc w:val="left"/>
        <w:rPr>
          <w:szCs w:val="26"/>
        </w:rPr>
      </w:pPr>
      <w:r w:rsidRPr="00EC7896">
        <w:rPr>
          <w:szCs w:val="26"/>
        </w:rPr>
        <w:tab/>
        <w:t>1.</w:t>
      </w:r>
      <w:r w:rsidRPr="00EC7896">
        <w:rPr>
          <w:szCs w:val="26"/>
        </w:rPr>
        <w:tab/>
        <w:t>That the 201</w:t>
      </w:r>
      <w:r>
        <w:rPr>
          <w:szCs w:val="26"/>
        </w:rPr>
        <w:t>5</w:t>
      </w:r>
      <w:r w:rsidRPr="00EC7896">
        <w:rPr>
          <w:szCs w:val="26"/>
        </w:rPr>
        <w:t xml:space="preserve"> Technical Reference Manual update, as modified by this Order, is adopted and replaces all prior versions of the Technical Refer</w:t>
      </w:r>
      <w:r>
        <w:rPr>
          <w:szCs w:val="26"/>
        </w:rPr>
        <w:t>ence Manual as of June 1, 2015.</w:t>
      </w:r>
    </w:p>
    <w:p w:rsidR="002A23FB" w:rsidRPr="00EC7896" w:rsidRDefault="002A23FB" w:rsidP="001B6469">
      <w:pPr>
        <w:jc w:val="left"/>
        <w:rPr>
          <w:szCs w:val="26"/>
        </w:rPr>
      </w:pPr>
    </w:p>
    <w:p w:rsidR="002A23FB" w:rsidRPr="00EC7896" w:rsidRDefault="002A23FB" w:rsidP="001B6469">
      <w:pPr>
        <w:jc w:val="left"/>
        <w:rPr>
          <w:szCs w:val="26"/>
        </w:rPr>
      </w:pPr>
      <w:r w:rsidRPr="00EC7896">
        <w:rPr>
          <w:szCs w:val="26"/>
        </w:rPr>
        <w:tab/>
        <w:t>2.</w:t>
      </w:r>
      <w:r w:rsidRPr="00EC7896">
        <w:rPr>
          <w:szCs w:val="26"/>
        </w:rPr>
        <w:tab/>
        <w:t>That a copy of this Order shall be served upon the Office of Consumer Advocate, the Office of Small Business Advocate, the Commission’s Bureau of Investigation and Enforcement, the Pennsylvania Department of Environmental Protection and all parties who filed comments.</w:t>
      </w:r>
    </w:p>
    <w:p w:rsidR="002A23FB" w:rsidRPr="00EC7896" w:rsidRDefault="002A23FB" w:rsidP="001B6469">
      <w:pPr>
        <w:jc w:val="left"/>
        <w:rPr>
          <w:szCs w:val="26"/>
        </w:rPr>
      </w:pPr>
    </w:p>
    <w:p w:rsidR="002A23FB" w:rsidRPr="00EC7896" w:rsidRDefault="002A23FB" w:rsidP="001B6469">
      <w:pPr>
        <w:jc w:val="left"/>
        <w:rPr>
          <w:szCs w:val="26"/>
        </w:rPr>
      </w:pPr>
      <w:r w:rsidRPr="00EC7896">
        <w:rPr>
          <w:szCs w:val="26"/>
        </w:rPr>
        <w:tab/>
        <w:t>3.</w:t>
      </w:r>
      <w:r w:rsidRPr="00EC7896">
        <w:rPr>
          <w:szCs w:val="26"/>
        </w:rPr>
        <w:tab/>
        <w:t xml:space="preserve">That the Secretary shall deposit notice of this Order and </w:t>
      </w:r>
      <w:r w:rsidR="00DB39D7">
        <w:rPr>
          <w:szCs w:val="26"/>
        </w:rPr>
        <w:t xml:space="preserve">the </w:t>
      </w:r>
      <w:r w:rsidRPr="00EC7896">
        <w:rPr>
          <w:szCs w:val="26"/>
        </w:rPr>
        <w:t>201</w:t>
      </w:r>
      <w:r>
        <w:rPr>
          <w:szCs w:val="26"/>
        </w:rPr>
        <w:t>5</w:t>
      </w:r>
      <w:r w:rsidRPr="00EC7896">
        <w:rPr>
          <w:szCs w:val="26"/>
        </w:rPr>
        <w:t xml:space="preserve"> version of the Technical Reference Manual with the Legislative Reference Bureau for publication in the </w:t>
      </w:r>
      <w:r w:rsidRPr="00EC7896">
        <w:rPr>
          <w:i/>
          <w:szCs w:val="26"/>
        </w:rPr>
        <w:t>Pennsylvania Bulletin</w:t>
      </w:r>
      <w:r w:rsidRPr="00EC7896">
        <w:rPr>
          <w:szCs w:val="26"/>
        </w:rPr>
        <w:t>.</w:t>
      </w:r>
    </w:p>
    <w:p w:rsidR="002A23FB" w:rsidRDefault="002A23FB" w:rsidP="001B6469">
      <w:pPr>
        <w:jc w:val="left"/>
        <w:rPr>
          <w:szCs w:val="26"/>
        </w:rPr>
      </w:pPr>
    </w:p>
    <w:p w:rsidR="00BB450B" w:rsidRDefault="00BB450B">
      <w:pPr>
        <w:overflowPunct/>
        <w:autoSpaceDE/>
        <w:autoSpaceDN/>
        <w:adjustRightInd/>
        <w:spacing w:line="240" w:lineRule="auto"/>
        <w:jc w:val="left"/>
        <w:rPr>
          <w:szCs w:val="26"/>
        </w:rPr>
      </w:pPr>
      <w:r>
        <w:rPr>
          <w:szCs w:val="26"/>
        </w:rPr>
        <w:br w:type="page"/>
      </w:r>
    </w:p>
    <w:p w:rsidR="002A23FB" w:rsidRPr="00EC7896" w:rsidRDefault="002A23FB" w:rsidP="001B6469">
      <w:pPr>
        <w:jc w:val="left"/>
        <w:rPr>
          <w:szCs w:val="26"/>
        </w:rPr>
      </w:pPr>
      <w:r>
        <w:rPr>
          <w:szCs w:val="26"/>
        </w:rPr>
        <w:lastRenderedPageBreak/>
        <w:tab/>
        <w:t>4.</w:t>
      </w:r>
      <w:r>
        <w:rPr>
          <w:szCs w:val="26"/>
        </w:rPr>
        <w:tab/>
        <w:t>That this Order and the 2015</w:t>
      </w:r>
      <w:r w:rsidRPr="00EC7896">
        <w:rPr>
          <w:szCs w:val="26"/>
        </w:rPr>
        <w:t xml:space="preserve"> Technical Reference Manual update, as well its appendices b</w:t>
      </w:r>
      <w:r w:rsidR="00DB39D7">
        <w:rPr>
          <w:szCs w:val="26"/>
        </w:rPr>
        <w:t>e</w:t>
      </w:r>
      <w:r w:rsidRPr="00EC7896">
        <w:rPr>
          <w:szCs w:val="26"/>
        </w:rPr>
        <w:t xml:space="preserve"> published on the Commission’s website at </w:t>
      </w:r>
      <w:hyperlink r:id="rId9" w:history="1">
        <w:r w:rsidRPr="00EC7896">
          <w:rPr>
            <w:rStyle w:val="Hyperlink"/>
            <w:szCs w:val="26"/>
          </w:rPr>
          <w:t>http://www.puc.pa.gov/filing_resources/issues_laws_regulations/act_129_information/technical_reference_manual.aspx</w:t>
        </w:r>
      </w:hyperlink>
      <w:r w:rsidRPr="00EC7896">
        <w:rPr>
          <w:szCs w:val="26"/>
        </w:rPr>
        <w:t>.</w:t>
      </w:r>
    </w:p>
    <w:p w:rsidR="002A23FB" w:rsidRPr="00EC7896" w:rsidRDefault="00A65564" w:rsidP="001B6469">
      <w:pPr>
        <w:spacing w:after="120"/>
        <w:jc w:val="left"/>
        <w:rPr>
          <w:szCs w:val="26"/>
        </w:rPr>
      </w:pPr>
      <w:r>
        <w:rPr>
          <w:noProof/>
        </w:rPr>
        <w:drawing>
          <wp:anchor distT="0" distB="0" distL="114300" distR="114300" simplePos="0" relativeHeight="251658240" behindDoc="1" locked="0" layoutInCell="1" allowOverlap="1" wp14:anchorId="7265BCB5" wp14:editId="44056716">
            <wp:simplePos x="0" y="0"/>
            <wp:positionH relativeFrom="column">
              <wp:posOffset>2785110</wp:posOffset>
            </wp:positionH>
            <wp:positionV relativeFrom="paragraph">
              <wp:posOffset>277495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A23FB" w:rsidRPr="00EC7896" w:rsidRDefault="002A23FB" w:rsidP="001B6469">
      <w:pPr>
        <w:pStyle w:val="p17"/>
        <w:ind w:left="5057"/>
        <w:jc w:val="left"/>
        <w:rPr>
          <w:b/>
          <w:bCs/>
          <w:szCs w:val="26"/>
        </w:rPr>
      </w:pPr>
      <w:r w:rsidRPr="00EC7896">
        <w:rPr>
          <w:b/>
          <w:bCs/>
          <w:szCs w:val="26"/>
        </w:rPr>
        <w:t>BY THE COMMISSION</w:t>
      </w:r>
    </w:p>
    <w:p w:rsidR="002A23FB" w:rsidRPr="00EC7896" w:rsidRDefault="002A23FB" w:rsidP="001B6469">
      <w:pPr>
        <w:pStyle w:val="p17"/>
        <w:ind w:left="5057"/>
        <w:jc w:val="left"/>
        <w:rPr>
          <w:b/>
          <w:bCs/>
          <w:szCs w:val="26"/>
        </w:rPr>
      </w:pPr>
    </w:p>
    <w:p w:rsidR="002A23FB" w:rsidRPr="00EC7896" w:rsidRDefault="002A23FB" w:rsidP="001B6469">
      <w:pPr>
        <w:tabs>
          <w:tab w:val="left" w:pos="5057"/>
        </w:tabs>
        <w:jc w:val="left"/>
        <w:rPr>
          <w:bCs/>
          <w:szCs w:val="26"/>
        </w:rPr>
      </w:pPr>
    </w:p>
    <w:p w:rsidR="002A23FB" w:rsidRPr="00EC7896" w:rsidRDefault="002A23FB" w:rsidP="001B6469">
      <w:pPr>
        <w:tabs>
          <w:tab w:val="left" w:pos="5057"/>
        </w:tabs>
        <w:jc w:val="left"/>
        <w:rPr>
          <w:b/>
          <w:bCs/>
          <w:szCs w:val="26"/>
        </w:rPr>
      </w:pPr>
    </w:p>
    <w:p w:rsidR="002A23FB" w:rsidRPr="00EC7896" w:rsidRDefault="002A23FB" w:rsidP="001B6469">
      <w:pPr>
        <w:pStyle w:val="p18"/>
        <w:ind w:left="5062"/>
        <w:jc w:val="left"/>
        <w:rPr>
          <w:szCs w:val="26"/>
        </w:rPr>
      </w:pPr>
      <w:r w:rsidRPr="00EC7896">
        <w:rPr>
          <w:szCs w:val="26"/>
        </w:rPr>
        <w:t>Rosemary Chiavetta</w:t>
      </w:r>
    </w:p>
    <w:p w:rsidR="002A23FB" w:rsidRPr="00EC7896" w:rsidRDefault="002A23FB" w:rsidP="001B6469">
      <w:pPr>
        <w:pStyle w:val="p18"/>
        <w:ind w:left="5062"/>
        <w:jc w:val="left"/>
        <w:rPr>
          <w:szCs w:val="26"/>
        </w:rPr>
      </w:pPr>
      <w:r w:rsidRPr="00EC7896">
        <w:rPr>
          <w:szCs w:val="26"/>
        </w:rPr>
        <w:t>Secretary</w:t>
      </w:r>
    </w:p>
    <w:p w:rsidR="002A23FB" w:rsidRPr="00EC7896" w:rsidRDefault="002A23FB" w:rsidP="001B6469">
      <w:pPr>
        <w:tabs>
          <w:tab w:val="left" w:pos="5062"/>
        </w:tabs>
        <w:jc w:val="left"/>
        <w:rPr>
          <w:szCs w:val="26"/>
        </w:rPr>
      </w:pPr>
    </w:p>
    <w:p w:rsidR="002A23FB" w:rsidRPr="00EC7896" w:rsidRDefault="002A23FB" w:rsidP="001B6469">
      <w:pPr>
        <w:pStyle w:val="p14"/>
        <w:jc w:val="left"/>
        <w:rPr>
          <w:szCs w:val="26"/>
        </w:rPr>
      </w:pPr>
      <w:r w:rsidRPr="00EC7896">
        <w:rPr>
          <w:szCs w:val="26"/>
        </w:rPr>
        <w:t>(SEAL)</w:t>
      </w:r>
    </w:p>
    <w:p w:rsidR="002A23FB" w:rsidRPr="00EC7896" w:rsidRDefault="002A23FB" w:rsidP="001B6469">
      <w:pPr>
        <w:tabs>
          <w:tab w:val="left" w:pos="204"/>
        </w:tabs>
        <w:jc w:val="left"/>
        <w:rPr>
          <w:szCs w:val="26"/>
        </w:rPr>
      </w:pPr>
    </w:p>
    <w:p w:rsidR="002A23FB" w:rsidRPr="00EC7896" w:rsidRDefault="002A23FB" w:rsidP="001B6469">
      <w:pPr>
        <w:pStyle w:val="p14"/>
        <w:jc w:val="left"/>
        <w:rPr>
          <w:szCs w:val="26"/>
        </w:rPr>
      </w:pPr>
      <w:r>
        <w:rPr>
          <w:szCs w:val="26"/>
        </w:rPr>
        <w:t>ORDER ADOPTED:  December 18, 2014</w:t>
      </w:r>
    </w:p>
    <w:p w:rsidR="002A23FB" w:rsidRPr="00EC7896" w:rsidRDefault="002A23FB" w:rsidP="001B6469">
      <w:pPr>
        <w:pStyle w:val="p14"/>
        <w:jc w:val="left"/>
        <w:rPr>
          <w:szCs w:val="26"/>
        </w:rPr>
      </w:pPr>
    </w:p>
    <w:p w:rsidR="002A23FB" w:rsidRPr="00EC7896" w:rsidRDefault="002A23FB" w:rsidP="0064638F">
      <w:pPr>
        <w:pStyle w:val="p14"/>
        <w:jc w:val="left"/>
        <w:rPr>
          <w:b/>
          <w:szCs w:val="26"/>
        </w:rPr>
      </w:pPr>
      <w:r w:rsidRPr="00EC7896">
        <w:rPr>
          <w:szCs w:val="26"/>
        </w:rPr>
        <w:t xml:space="preserve">ORDER ENTERED:  </w:t>
      </w:r>
      <w:r>
        <w:rPr>
          <w:szCs w:val="26"/>
        </w:rPr>
        <w:t xml:space="preserve"> </w:t>
      </w:r>
      <w:r w:rsidR="00A65564">
        <w:rPr>
          <w:szCs w:val="26"/>
        </w:rPr>
        <w:t>December 18, 2014</w:t>
      </w:r>
      <w:bookmarkStart w:id="186" w:name="_GoBack"/>
      <w:bookmarkEnd w:id="186"/>
      <w:r w:rsidRPr="00EC7896">
        <w:rPr>
          <w:b/>
          <w:szCs w:val="26"/>
        </w:rPr>
        <w:tab/>
      </w:r>
      <w:r w:rsidRPr="00EC7896">
        <w:rPr>
          <w:b/>
          <w:szCs w:val="26"/>
        </w:rPr>
        <w:tab/>
      </w:r>
      <w:r w:rsidRPr="00EC7896">
        <w:rPr>
          <w:b/>
          <w:szCs w:val="26"/>
        </w:rPr>
        <w:tab/>
      </w:r>
    </w:p>
    <w:p w:rsidR="00621C57" w:rsidRPr="0098410B" w:rsidRDefault="00621C57" w:rsidP="002A23FB">
      <w:pPr>
        <w:pStyle w:val="Heading1"/>
        <w:spacing w:before="0" w:after="0" w:line="360" w:lineRule="auto"/>
        <w:jc w:val="center"/>
        <w:rPr>
          <w:szCs w:val="26"/>
        </w:rPr>
      </w:pPr>
    </w:p>
    <w:sectPr w:rsidR="00621C57" w:rsidRPr="0098410B" w:rsidSect="009B2FB7">
      <w:footerReference w:type="default" r:id="rId11"/>
      <w:pgSz w:w="12240" w:h="15840"/>
      <w:pgMar w:top="1440" w:right="1440" w:bottom="1440" w:left="1440"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4D2" w:rsidRDefault="003774D2" w:rsidP="00FA4295">
      <w:r>
        <w:separator/>
      </w:r>
    </w:p>
    <w:p w:rsidR="003774D2" w:rsidRDefault="003774D2"/>
  </w:endnote>
  <w:endnote w:type="continuationSeparator" w:id="0">
    <w:p w:rsidR="003774D2" w:rsidRDefault="003774D2" w:rsidP="00FA4295">
      <w:r>
        <w:continuationSeparator/>
      </w:r>
    </w:p>
    <w:p w:rsidR="003774D2" w:rsidRDefault="00377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02" w:rsidRDefault="006D6E02">
    <w:pPr>
      <w:pStyle w:val="Footer"/>
      <w:jc w:val="center"/>
    </w:pPr>
    <w:r>
      <w:fldChar w:fldCharType="begin"/>
    </w:r>
    <w:r>
      <w:instrText xml:space="preserve"> PAGE   \* MERGEFORMAT </w:instrText>
    </w:r>
    <w:r>
      <w:fldChar w:fldCharType="separate"/>
    </w:r>
    <w:r w:rsidR="00A65564">
      <w:rPr>
        <w:noProof/>
      </w:rPr>
      <w:t>82</w:t>
    </w:r>
    <w:r>
      <w:rPr>
        <w:noProof/>
      </w:rPr>
      <w:fldChar w:fldCharType="end"/>
    </w:r>
  </w:p>
  <w:p w:rsidR="006D6E02" w:rsidRDefault="006D6E02">
    <w:pPr>
      <w:pStyle w:val="Footer"/>
    </w:pPr>
  </w:p>
  <w:p w:rsidR="006D6E02" w:rsidRDefault="006D6E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4D2" w:rsidRDefault="003774D2">
      <w:r>
        <w:separator/>
      </w:r>
    </w:p>
  </w:footnote>
  <w:footnote w:type="continuationSeparator" w:id="0">
    <w:p w:rsidR="003774D2" w:rsidRDefault="003774D2">
      <w:r>
        <w:continuationSeparator/>
      </w:r>
    </w:p>
  </w:footnote>
  <w:footnote w:type="continuationNotice" w:id="1">
    <w:p w:rsidR="003774D2" w:rsidRDefault="003774D2">
      <w:pPr>
        <w:spacing w:line="240" w:lineRule="auto"/>
      </w:pPr>
    </w:p>
  </w:footnote>
  <w:footnote w:id="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Order entered on October 3, 2005, at Docket No. M-00051865 (October 3, 2005 Order).</w:t>
      </w:r>
    </w:p>
  </w:footnote>
  <w:footnote w:id="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As of August 11, 2011, the Bureau of CEEP was eliminated and its functions and staff transferred to the newly created Bureau of Technical Utility Services.  </w:t>
      </w:r>
      <w:r w:rsidRPr="00162B42">
        <w:rPr>
          <w:i/>
          <w:szCs w:val="22"/>
        </w:rPr>
        <w:t>See Implementation of Act 129 of 2008; Organization of Bureaus and Offices</w:t>
      </w:r>
      <w:r w:rsidRPr="00162B42">
        <w:rPr>
          <w:szCs w:val="22"/>
        </w:rPr>
        <w:t>, Final Procedural Order, entered August 11, 2011, at Docket No. M-2008-2071852, at 4.</w:t>
      </w:r>
    </w:p>
  </w:footnote>
  <w:footnote w:id="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October 3, 2005 Order at 13.</w:t>
      </w:r>
    </w:p>
  </w:footnote>
  <w:footnote w:id="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Energy Efficiency and Conservation Program </w:t>
      </w:r>
      <w:r w:rsidRPr="00162B42">
        <w:rPr>
          <w:szCs w:val="22"/>
        </w:rPr>
        <w:t xml:space="preserve">Implementation Order, at Docket No. M-2008-2069887, (Phase I Implementation Order), at 13, entered January 16, 2009. </w:t>
      </w:r>
    </w:p>
  </w:footnote>
  <w:footnote w:id="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Id</w:t>
      </w:r>
      <w:r w:rsidRPr="00162B42">
        <w:rPr>
          <w:szCs w:val="22"/>
        </w:rPr>
        <w:t>.</w:t>
      </w:r>
    </w:p>
  </w:footnote>
  <w:footnote w:id="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Implementation of the Alternative Energy Portfolio Standards Act of 2004:  Standards for the Participation of Demand Side Management Resources – Technical Reference Manual </w:t>
      </w:r>
      <w:r w:rsidRPr="00162B42">
        <w:rPr>
          <w:szCs w:val="22"/>
        </w:rPr>
        <w:t>Update Order, at Docket No. M</w:t>
      </w:r>
      <w:r w:rsidRPr="00162B42">
        <w:rPr>
          <w:szCs w:val="22"/>
        </w:rPr>
        <w:noBreakHyphen/>
        <w:t>00051865, (2009 TRM), entered June 1, 2009.</w:t>
      </w:r>
    </w:p>
  </w:footnote>
  <w:footnote w:id="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Id</w:t>
      </w:r>
      <w:r w:rsidRPr="00162B42">
        <w:rPr>
          <w:szCs w:val="22"/>
        </w:rPr>
        <w:t>. at 17 and 18.</w:t>
      </w:r>
    </w:p>
  </w:footnote>
  <w:footnote w:id="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Energy Efficiency and Conservation Program</w:t>
      </w:r>
      <w:r w:rsidRPr="00162B42">
        <w:rPr>
          <w:szCs w:val="22"/>
        </w:rPr>
        <w:t xml:space="preserve"> Implementation Order, at Docket No. M-2012-2289411, (</w:t>
      </w:r>
      <w:r w:rsidRPr="00162B42">
        <w:rPr>
          <w:i/>
          <w:szCs w:val="22"/>
        </w:rPr>
        <w:t>Phase II Implementation Order</w:t>
      </w:r>
      <w:r w:rsidRPr="00162B42">
        <w:rPr>
          <w:szCs w:val="22"/>
        </w:rPr>
        <w:t>), entered August 3, 2012, at 71.</w:t>
      </w:r>
    </w:p>
  </w:footnote>
  <w:footnote w:id="1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Id</w:t>
      </w:r>
      <w:r w:rsidRPr="00162B42">
        <w:rPr>
          <w:szCs w:val="22"/>
        </w:rPr>
        <w:t>. at 75.</w:t>
      </w:r>
    </w:p>
  </w:footnote>
  <w:footnote w:id="1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The PEG is chaired by staff of the Commission’s Bureau of Technical Utility Services and is comprised of representatives from the EDCs and the SWE for the purpose of encouraging discussion of EDC program-specific issues and associated evaluation, measurement and verification.</w:t>
      </w:r>
    </w:p>
  </w:footnote>
  <w:footnote w:id="1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The TWG is chaired by staff of the Commission’s Bureau of Technical Utility Services and is comprised of representatives from the EDCs, the SWE and other interested parties for the purpose of encouraging discussion of the technical issues related to the evaluation, measurement and verification of savings programs to be implemented pursuant to Act 129.</w:t>
      </w:r>
    </w:p>
  </w:footnote>
  <w:footnote w:id="1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The Commission held a TWG meeting on July 11, 2014, to provide stakeholders with the opportunity to review proposed high impact changes to residential, commercial and industrial measures, and also allow for a question and answer session regarding those changes.  Additionally, stakeholders had the opportunity to propose any other changes they would like to have made to the TRM.  </w:t>
      </w:r>
    </w:p>
  </w:footnote>
  <w:footnote w:id="1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Implementation of the Alternative Energy Portfolio Standards Act of 2004:  Standards for the Participation of Demand Side Management Resources – Technical Reference Manual Update</w:t>
      </w:r>
      <w:r w:rsidRPr="00162B42">
        <w:rPr>
          <w:szCs w:val="22"/>
        </w:rPr>
        <w:t xml:space="preserve">, Final Order at Docket No. M-00051865, (2010 TRM), entered June 8, 2010.  </w:t>
      </w:r>
      <w:r w:rsidRPr="00162B42">
        <w:rPr>
          <w:i/>
          <w:szCs w:val="22"/>
        </w:rPr>
        <w:t>Implementation of the Alternative Energy Portfolio Standards Act of 2004:  Standards for the Participation of Demand Side Management Resources – Technical Reference Manual Update</w:t>
      </w:r>
      <w:r w:rsidRPr="00162B42">
        <w:rPr>
          <w:szCs w:val="22"/>
        </w:rPr>
        <w:t xml:space="preserve">, Final Order at Docket No. M-00051865, (2011 TRM), entered February 28, 2011.  </w:t>
      </w:r>
      <w:r w:rsidRPr="00162B42">
        <w:rPr>
          <w:i/>
          <w:szCs w:val="22"/>
        </w:rPr>
        <w:t>Implementation of the Alternative Energy Portfolio Standards Act of 2004:  Standards for the Participation of Demand Side Management Resources – Technical Reference Manual 2012 Update</w:t>
      </w:r>
      <w:r w:rsidRPr="00162B42">
        <w:rPr>
          <w:szCs w:val="22"/>
        </w:rPr>
        <w:t>, Final Order at Docket No. M</w:t>
      </w:r>
      <w:r w:rsidRPr="00162B42">
        <w:rPr>
          <w:szCs w:val="22"/>
        </w:rPr>
        <w:noBreakHyphen/>
        <w:t xml:space="preserve">00051865, (2012 TRM), entered December 16, 2011.  And </w:t>
      </w:r>
      <w:r w:rsidRPr="00162B42">
        <w:rPr>
          <w:i/>
          <w:szCs w:val="22"/>
        </w:rPr>
        <w:t>Implementation of the Alternative Energy Portfolio Standards Act of 2004:  Standards for the Participation of Demand Side Management Resources – Technical Reference Manual 2013 Update</w:t>
      </w:r>
      <w:r w:rsidRPr="00162B42">
        <w:rPr>
          <w:szCs w:val="22"/>
        </w:rPr>
        <w:t xml:space="preserve">, Final Order at Docket No. M-2012-2313373, (2013 TRM), entered December 20, 2012.  </w:t>
      </w:r>
      <w:r w:rsidRPr="00162B42">
        <w:rPr>
          <w:i/>
          <w:szCs w:val="22"/>
        </w:rPr>
        <w:t>See Implementation of Alternative Energy Portfolio Standards Act of 2004: Standards for the Participation of Demand Side Management Resources – Technical Reference Manual 2014 Update</w:t>
      </w:r>
      <w:r w:rsidRPr="00162B42">
        <w:rPr>
          <w:szCs w:val="22"/>
        </w:rPr>
        <w:t>, Final Order at Docket No. M-2012-2313373, (2014 TRM), entered December 19, 2013.</w:t>
      </w:r>
    </w:p>
  </w:footnote>
  <w:footnote w:id="1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A stipulated value for a stipulated variable refers to a single input value to an algorithm.</w:t>
      </w:r>
    </w:p>
  </w:footnote>
  <w:footnote w:id="1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hyperlink r:id="rId1" w:history="1">
        <w:r w:rsidRPr="00162B42">
          <w:rPr>
            <w:rStyle w:val="Hyperlink"/>
            <w:szCs w:val="22"/>
          </w:rPr>
          <w:t>http://energy.gov/node/773531/residential/residential_cac_hp.html</w:t>
        </w:r>
      </w:hyperlink>
      <w:r w:rsidRPr="00162B42">
        <w:rPr>
          <w:szCs w:val="22"/>
        </w:rPr>
        <w:t xml:space="preserve">. </w:t>
      </w:r>
    </w:p>
  </w:footnote>
  <w:footnote w:id="1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hyperlink r:id="rId2" w:history="1">
        <w:r w:rsidRPr="00162B42">
          <w:rPr>
            <w:rStyle w:val="Hyperlink"/>
            <w:szCs w:val="22"/>
          </w:rPr>
          <w:t>https://www.energystar.gov/index.cfm?c=partners.pt_products_and_program_reqs</w:t>
        </w:r>
      </w:hyperlink>
      <w:r w:rsidRPr="00162B42">
        <w:rPr>
          <w:szCs w:val="22"/>
        </w:rPr>
        <w:t xml:space="preserve">. </w:t>
      </w:r>
    </w:p>
  </w:footnote>
  <w:footnote w:id="1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A7418A">
        <w:rPr>
          <w:szCs w:val="22"/>
        </w:rPr>
        <w:t xml:space="preserve">2014 TRM </w:t>
      </w:r>
      <w:r w:rsidRPr="00162B42">
        <w:rPr>
          <w:szCs w:val="22"/>
        </w:rPr>
        <w:t>Section 2.1 – Electric HVAC</w:t>
      </w:r>
      <w:r w:rsidR="00A7418A">
        <w:rPr>
          <w:szCs w:val="22"/>
        </w:rPr>
        <w:t xml:space="preserve"> at</w:t>
      </w:r>
      <w:r w:rsidRPr="00162B42">
        <w:rPr>
          <w:szCs w:val="22"/>
        </w:rPr>
        <w:t xml:space="preserve"> 19.</w:t>
      </w:r>
    </w:p>
  </w:footnote>
  <w:footnote w:id="1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Federal Code of Regulations 10 CFR 430, which may be found at </w:t>
      </w:r>
      <w:hyperlink r:id="rId3" w:history="1">
        <w:r w:rsidRPr="00162B42">
          <w:rPr>
            <w:rStyle w:val="Hyperlink"/>
            <w:szCs w:val="22"/>
          </w:rPr>
          <w:t>http://www1.eere.energy.gov/buildings/appliance_standards/product.aspx/productid/75</w:t>
        </w:r>
      </w:hyperlink>
      <w:r w:rsidRPr="00162B42">
        <w:rPr>
          <w:szCs w:val="22"/>
        </w:rPr>
        <w:t xml:space="preserve">. </w:t>
      </w:r>
    </w:p>
  </w:footnote>
  <w:footnote w:id="2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7418A">
        <w:rPr>
          <w:szCs w:val="22"/>
        </w:rPr>
        <w:t xml:space="preserve">2014 TRM </w:t>
      </w:r>
      <w:r w:rsidRPr="00162B42">
        <w:rPr>
          <w:szCs w:val="22"/>
        </w:rPr>
        <w:t>Section 2.16 – Ductless Mini-Split Heat Pumps</w:t>
      </w:r>
      <w:r w:rsidR="00A7418A">
        <w:rPr>
          <w:szCs w:val="22"/>
        </w:rPr>
        <w:t xml:space="preserve"> at</w:t>
      </w:r>
      <w:r w:rsidRPr="00162B42">
        <w:rPr>
          <w:szCs w:val="22"/>
        </w:rPr>
        <w:t xml:space="preserve"> 81.</w:t>
      </w:r>
    </w:p>
  </w:footnote>
  <w:footnote w:id="2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7418A">
        <w:rPr>
          <w:szCs w:val="22"/>
        </w:rPr>
        <w:t xml:space="preserve">2014 TRM </w:t>
      </w:r>
      <w:r w:rsidRPr="00162B42">
        <w:rPr>
          <w:szCs w:val="22"/>
        </w:rPr>
        <w:t>Section 2.22 – Residential New Construction</w:t>
      </w:r>
      <w:r w:rsidR="00A7418A">
        <w:rPr>
          <w:szCs w:val="22"/>
        </w:rPr>
        <w:t xml:space="preserve"> at</w:t>
      </w:r>
      <w:r w:rsidRPr="00162B42">
        <w:rPr>
          <w:szCs w:val="22"/>
        </w:rPr>
        <w:t xml:space="preserve"> 121.</w:t>
      </w:r>
    </w:p>
  </w:footnote>
  <w:footnote w:id="2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7418A">
        <w:rPr>
          <w:szCs w:val="22"/>
        </w:rPr>
        <w:t xml:space="preserve">2014 TRM </w:t>
      </w:r>
      <w:r w:rsidRPr="00162B42">
        <w:rPr>
          <w:szCs w:val="22"/>
        </w:rPr>
        <w:t>Section 1.7 – Baseline Estimates</w:t>
      </w:r>
      <w:r w:rsidR="00A7418A">
        <w:rPr>
          <w:szCs w:val="22"/>
        </w:rPr>
        <w:t xml:space="preserve"> at</w:t>
      </w:r>
      <w:r w:rsidRPr="00162B42">
        <w:rPr>
          <w:szCs w:val="22"/>
        </w:rPr>
        <w:t xml:space="preserve"> 10.</w:t>
      </w:r>
    </w:p>
  </w:footnote>
  <w:footnote w:id="2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For new Federal standards that become effective on January 1</w:t>
      </w:r>
      <w:r w:rsidRPr="00162B42">
        <w:rPr>
          <w:szCs w:val="22"/>
          <w:vertAlign w:val="superscript"/>
        </w:rPr>
        <w:t>st</w:t>
      </w:r>
      <w:r w:rsidRPr="00162B42">
        <w:rPr>
          <w:szCs w:val="22"/>
        </w:rPr>
        <w:t>, the previous standards are considered to expire on December 31 of the prior calendar year.</w:t>
      </w:r>
    </w:p>
  </w:footnote>
  <w:footnote w:id="2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For new ENERGY STAR product specifications that become effective on January 1</w:t>
      </w:r>
      <w:r w:rsidRPr="00162B42">
        <w:rPr>
          <w:szCs w:val="22"/>
          <w:vertAlign w:val="superscript"/>
        </w:rPr>
        <w:t>st</w:t>
      </w:r>
      <w:r w:rsidRPr="00162B42">
        <w:rPr>
          <w:szCs w:val="22"/>
        </w:rPr>
        <w:t>, the previous specifications are considered to expire on December 31 of the prior calendar year.</w:t>
      </w:r>
    </w:p>
  </w:footnote>
  <w:footnote w:id="2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Duquesne Comments at 4.</w:t>
      </w:r>
    </w:p>
  </w:footnote>
  <w:footnote w:id="2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Duquesne Comments at 2.</w:t>
      </w:r>
    </w:p>
  </w:footnote>
  <w:footnote w:id="2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42 U.S.C.A. § 6295(g)(8).</w:t>
      </w:r>
    </w:p>
  </w:footnote>
  <w:footnote w:id="2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An end-use category describes the categories of equipment that provide a service to an individual or building. </w:t>
      </w:r>
    </w:p>
  </w:footnote>
  <w:footnote w:id="2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The section numbers in this column reflect the section numbers of the proposed 2015 TRM.  However, some of these section numbers have been amended per this Final Order.  </w:t>
      </w:r>
    </w:p>
  </w:footnote>
  <w:footnote w:id="3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4.</w:t>
      </w:r>
    </w:p>
  </w:footnote>
  <w:footnote w:id="3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7418A">
        <w:rPr>
          <w:szCs w:val="22"/>
        </w:rPr>
        <w:t>2014 TRM Section 1.3 – Definitions at</w:t>
      </w:r>
      <w:r w:rsidRPr="00162B42">
        <w:rPr>
          <w:szCs w:val="22"/>
        </w:rPr>
        <w:t xml:space="preserve"> 5.</w:t>
      </w:r>
    </w:p>
  </w:footnote>
  <w:footnote w:id="3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A7418A">
        <w:rPr>
          <w:szCs w:val="22"/>
        </w:rPr>
        <w:t xml:space="preserve">2014 TRM </w:t>
      </w:r>
      <w:r w:rsidRPr="00162B42">
        <w:rPr>
          <w:szCs w:val="22"/>
        </w:rPr>
        <w:t>Section 2.25 – ENERGY STAR Clothes Washers</w:t>
      </w:r>
      <w:r w:rsidR="00A7418A">
        <w:rPr>
          <w:szCs w:val="22"/>
        </w:rPr>
        <w:t xml:space="preserve"> at</w:t>
      </w:r>
      <w:r w:rsidRPr="00162B42">
        <w:rPr>
          <w:szCs w:val="22"/>
        </w:rPr>
        <w:t xml:space="preserve"> 134.</w:t>
      </w:r>
    </w:p>
  </w:footnote>
  <w:footnote w:id="3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7418A">
        <w:rPr>
          <w:szCs w:val="22"/>
        </w:rPr>
        <w:t xml:space="preserve">2014 TRM </w:t>
      </w:r>
      <w:r w:rsidRPr="00162B42">
        <w:rPr>
          <w:szCs w:val="22"/>
        </w:rPr>
        <w:t>Section 2.26 – ENERGY STAR Dishwashers</w:t>
      </w:r>
      <w:r w:rsidR="00A7418A">
        <w:rPr>
          <w:szCs w:val="22"/>
        </w:rPr>
        <w:t xml:space="preserve"> at</w:t>
      </w:r>
      <w:r w:rsidRPr="00162B42">
        <w:rPr>
          <w:szCs w:val="22"/>
        </w:rPr>
        <w:t xml:space="preserve"> 139.</w:t>
      </w:r>
    </w:p>
  </w:footnote>
  <w:footnote w:id="3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7418A">
        <w:rPr>
          <w:szCs w:val="22"/>
        </w:rPr>
        <w:t xml:space="preserve">2014 TRM </w:t>
      </w:r>
      <w:r w:rsidRPr="00162B42">
        <w:rPr>
          <w:szCs w:val="22"/>
        </w:rPr>
        <w:t>Section 2.27 – Dehumidifiers</w:t>
      </w:r>
      <w:r w:rsidR="00A7418A">
        <w:rPr>
          <w:szCs w:val="22"/>
        </w:rPr>
        <w:t xml:space="preserve"> at</w:t>
      </w:r>
      <w:r w:rsidRPr="00162B42">
        <w:rPr>
          <w:szCs w:val="22"/>
        </w:rPr>
        <w:t xml:space="preserve"> 142.</w:t>
      </w:r>
    </w:p>
  </w:footnote>
  <w:footnote w:id="3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7418A">
        <w:rPr>
          <w:szCs w:val="22"/>
        </w:rPr>
        <w:t xml:space="preserve">2014 TRM </w:t>
      </w:r>
      <w:r w:rsidRPr="00162B42">
        <w:rPr>
          <w:szCs w:val="22"/>
        </w:rPr>
        <w:t>Section 2.34 – ENERGY STAR Office Equipment</w:t>
      </w:r>
      <w:r w:rsidR="00A7418A">
        <w:rPr>
          <w:szCs w:val="22"/>
        </w:rPr>
        <w:t xml:space="preserve"> at</w:t>
      </w:r>
      <w:r w:rsidRPr="00162B42">
        <w:rPr>
          <w:szCs w:val="22"/>
        </w:rPr>
        <w:t xml:space="preserve"> 169.</w:t>
      </w:r>
    </w:p>
  </w:footnote>
  <w:footnote w:id="3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6; PECO Comments at 13-15. </w:t>
      </w:r>
    </w:p>
  </w:footnote>
  <w:footnote w:id="3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A7418A">
        <w:rPr>
          <w:szCs w:val="22"/>
        </w:rPr>
        <w:t>2014 TRM Final Order at</w:t>
      </w:r>
      <w:r w:rsidRPr="00162B42">
        <w:rPr>
          <w:szCs w:val="22"/>
        </w:rPr>
        <w:t xml:space="preserve"> 35 and </w:t>
      </w:r>
      <w:r w:rsidRPr="00162B42">
        <w:rPr>
          <w:i/>
          <w:szCs w:val="22"/>
        </w:rPr>
        <w:t>Request for Proposals – Act 129 Statewide Evaluator</w:t>
      </w:r>
      <w:r w:rsidRPr="00162B42">
        <w:rPr>
          <w:szCs w:val="22"/>
        </w:rPr>
        <w:t xml:space="preserve">, RFP-2012-8, Pennsylvania Public Utility Commission – Bureau of Technical Utility Services, (November 30, 2012).  </w:t>
      </w:r>
      <w:r w:rsidRPr="00162B42">
        <w:rPr>
          <w:i/>
          <w:szCs w:val="22"/>
        </w:rPr>
        <w:t>See Energy Efficiency and Conservation Program Final Order</w:t>
      </w:r>
      <w:r w:rsidRPr="00162B42">
        <w:rPr>
          <w:szCs w:val="22"/>
        </w:rPr>
        <w:t xml:space="preserve">, at Docket No. M-2012-2289411, (February 20, 2014).  </w:t>
      </w:r>
      <w:r w:rsidRPr="00162B42">
        <w:rPr>
          <w:i/>
          <w:szCs w:val="22"/>
        </w:rPr>
        <w:t xml:space="preserve">See also the 2014 Pennsylvania Statewide Act 129 Residential Baseline Study </w:t>
      </w:r>
      <w:r w:rsidRPr="00162B42">
        <w:rPr>
          <w:szCs w:val="22"/>
        </w:rPr>
        <w:t>and</w:t>
      </w:r>
      <w:r w:rsidRPr="00162B42">
        <w:rPr>
          <w:i/>
          <w:szCs w:val="22"/>
        </w:rPr>
        <w:t xml:space="preserve"> Pennsylvania Statewide Act 129 2014 Non-Residential End Use &amp; Saturation Study</w:t>
      </w:r>
      <w:r w:rsidRPr="00162B42">
        <w:rPr>
          <w:szCs w:val="22"/>
        </w:rPr>
        <w:t>, submitted to the Pennsylvania Public Utility Commission by GDS Associates,</w:t>
      </w:r>
      <w:r w:rsidRPr="00162B42">
        <w:rPr>
          <w:i/>
          <w:szCs w:val="22"/>
        </w:rPr>
        <w:t xml:space="preserve"> et al.</w:t>
      </w:r>
      <w:r w:rsidRPr="00162B42">
        <w:rPr>
          <w:szCs w:val="22"/>
        </w:rPr>
        <w:t xml:space="preserve"> (2014 Residential Baseline Study) (2014 C&amp;I Baseline Study) Apr. 4, 2014.</w:t>
      </w:r>
    </w:p>
  </w:footnote>
  <w:footnote w:id="3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 xml:space="preserve">2014 TRM </w:t>
      </w:r>
      <w:r w:rsidRPr="00162B42">
        <w:rPr>
          <w:szCs w:val="22"/>
        </w:rPr>
        <w:t>Section 2.1.3 – Electric HVAC: Definition of Terms</w:t>
      </w:r>
      <w:r w:rsidR="00373DE3">
        <w:rPr>
          <w:szCs w:val="22"/>
        </w:rPr>
        <w:t xml:space="preserve"> at</w:t>
      </w:r>
      <w:r w:rsidRPr="00162B42">
        <w:rPr>
          <w:szCs w:val="22"/>
        </w:rPr>
        <w:t xml:space="preserve"> 21.</w:t>
      </w:r>
    </w:p>
  </w:footnote>
  <w:footnote w:id="3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3.27 – Electric Resistance Water Heaters</w:t>
      </w:r>
      <w:r w:rsidR="00A7418A">
        <w:rPr>
          <w:szCs w:val="22"/>
        </w:rPr>
        <w:t xml:space="preserve"> at</w:t>
      </w:r>
      <w:r w:rsidRPr="00162B42">
        <w:rPr>
          <w:szCs w:val="22"/>
        </w:rPr>
        <w:t xml:space="preserve"> 332.</w:t>
      </w:r>
    </w:p>
  </w:footnote>
  <w:footnote w:id="4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3.28 – Heat Pump Water Heaters</w:t>
      </w:r>
      <w:r w:rsidR="00A7418A">
        <w:rPr>
          <w:szCs w:val="22"/>
        </w:rPr>
        <w:t xml:space="preserve"> at</w:t>
      </w:r>
      <w:r w:rsidRPr="00162B42">
        <w:rPr>
          <w:szCs w:val="22"/>
        </w:rPr>
        <w:t xml:space="preserve"> 337.</w:t>
      </w:r>
    </w:p>
  </w:footnote>
  <w:footnote w:id="4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3.38 – Fuel Switching: Heat Pump Water Heaters to Gas/Oil/Propane</w:t>
      </w:r>
      <w:r w:rsidR="00A7418A">
        <w:rPr>
          <w:szCs w:val="22"/>
        </w:rPr>
        <w:t xml:space="preserve"> at</w:t>
      </w:r>
      <w:r w:rsidRPr="00162B42">
        <w:rPr>
          <w:szCs w:val="22"/>
        </w:rPr>
        <w:t xml:space="preserve"> 381.</w:t>
      </w:r>
    </w:p>
  </w:footnote>
  <w:footnote w:id="4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 xml:space="preserve">2014 TRM </w:t>
      </w:r>
      <w:r w:rsidRPr="00162B42">
        <w:rPr>
          <w:szCs w:val="22"/>
        </w:rPr>
        <w:t>Section 2.3 – Efficient Electric Water Heaters</w:t>
      </w:r>
      <w:r w:rsidR="00A7418A">
        <w:rPr>
          <w:szCs w:val="22"/>
        </w:rPr>
        <w:t xml:space="preserve"> at</w:t>
      </w:r>
      <w:r w:rsidRPr="00162B42">
        <w:rPr>
          <w:szCs w:val="22"/>
        </w:rPr>
        <w:t xml:space="preserve"> 30.</w:t>
      </w:r>
    </w:p>
  </w:footnote>
  <w:footnote w:id="4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7 and 8. </w:t>
      </w:r>
    </w:p>
  </w:footnote>
  <w:footnote w:id="4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2.6 – Heat Pump Water Heaters</w:t>
      </w:r>
      <w:r w:rsidR="00373DE3">
        <w:rPr>
          <w:szCs w:val="22"/>
        </w:rPr>
        <w:t xml:space="preserve"> at</w:t>
      </w:r>
      <w:r w:rsidRPr="00162B42">
        <w:rPr>
          <w:szCs w:val="22"/>
        </w:rPr>
        <w:t xml:space="preserve"> 41.</w:t>
      </w:r>
    </w:p>
  </w:footnote>
  <w:footnote w:id="4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2.13 – Solar Water Heaters</w:t>
      </w:r>
      <w:r w:rsidR="00373DE3">
        <w:rPr>
          <w:szCs w:val="22"/>
        </w:rPr>
        <w:t xml:space="preserve"> at</w:t>
      </w:r>
      <w:r w:rsidRPr="00162B42">
        <w:rPr>
          <w:szCs w:val="22"/>
        </w:rPr>
        <w:t xml:space="preserve"> 72.</w:t>
      </w:r>
    </w:p>
  </w:footnote>
  <w:footnote w:id="4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2.17 – DHW Electric to Fossil Fuel Water Heater</w:t>
      </w:r>
      <w:r w:rsidR="00373DE3">
        <w:rPr>
          <w:szCs w:val="22"/>
        </w:rPr>
        <w:t xml:space="preserve"> at</w:t>
      </w:r>
      <w:r w:rsidRPr="00162B42">
        <w:rPr>
          <w:szCs w:val="22"/>
        </w:rPr>
        <w:t xml:space="preserve"> 87.</w:t>
      </w:r>
    </w:p>
  </w:footnote>
  <w:footnote w:id="4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2.18 – Fuel Switching: Heat Pump Water Heater to Fossil Fuel Water Heater</w:t>
      </w:r>
      <w:r w:rsidR="00373DE3">
        <w:rPr>
          <w:szCs w:val="22"/>
        </w:rPr>
        <w:t xml:space="preserve"> at</w:t>
      </w:r>
      <w:r w:rsidRPr="00162B42">
        <w:rPr>
          <w:szCs w:val="22"/>
        </w:rPr>
        <w:t xml:space="preserve"> 93.</w:t>
      </w:r>
    </w:p>
  </w:footnote>
  <w:footnote w:id="4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2.37 – Water Heater Tank Wrap</w:t>
      </w:r>
      <w:r w:rsidR="00373DE3">
        <w:rPr>
          <w:szCs w:val="22"/>
        </w:rPr>
        <w:t xml:space="preserve"> at</w:t>
      </w:r>
      <w:r w:rsidRPr="00162B42">
        <w:rPr>
          <w:szCs w:val="22"/>
        </w:rPr>
        <w:t xml:space="preserve"> 177.</w:t>
      </w:r>
    </w:p>
  </w:footnote>
  <w:footnote w:id="4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2.41 – Water Heater Temperature Setback</w:t>
      </w:r>
      <w:r w:rsidR="00373DE3">
        <w:rPr>
          <w:szCs w:val="22"/>
        </w:rPr>
        <w:t xml:space="preserve"> at</w:t>
      </w:r>
      <w:r w:rsidRPr="00162B42">
        <w:rPr>
          <w:szCs w:val="22"/>
        </w:rPr>
        <w:t xml:space="preserve"> 192.</w:t>
      </w:r>
    </w:p>
  </w:footnote>
  <w:footnote w:id="5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 xml:space="preserve">2014 TRM </w:t>
      </w:r>
      <w:r w:rsidRPr="00162B42">
        <w:rPr>
          <w:szCs w:val="22"/>
        </w:rPr>
        <w:t>Section 3.22 – Refrigeration – Auto Closers</w:t>
      </w:r>
      <w:r w:rsidR="00373DE3">
        <w:rPr>
          <w:szCs w:val="22"/>
        </w:rPr>
        <w:t xml:space="preserve"> at</w:t>
      </w:r>
      <w:r w:rsidRPr="00162B42">
        <w:rPr>
          <w:szCs w:val="22"/>
        </w:rPr>
        <w:t xml:space="preserve"> 315.</w:t>
      </w:r>
    </w:p>
  </w:footnote>
  <w:footnote w:id="5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 xml:space="preserve">2014 TRM </w:t>
      </w:r>
      <w:r w:rsidRPr="00162B42">
        <w:rPr>
          <w:szCs w:val="22"/>
        </w:rPr>
        <w:t>Section 3.24 - Refrigeration – Suction Pipes Insulation for Walk-in Coolers and Freezers</w:t>
      </w:r>
      <w:r w:rsidR="00373DE3">
        <w:rPr>
          <w:szCs w:val="22"/>
        </w:rPr>
        <w:t xml:space="preserve"> at</w:t>
      </w:r>
      <w:r w:rsidRPr="00162B42">
        <w:rPr>
          <w:szCs w:val="22"/>
        </w:rPr>
        <w:t xml:space="preserve"> 319.</w:t>
      </w:r>
    </w:p>
  </w:footnote>
  <w:footnote w:id="5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 xml:space="preserve">2014 TRM </w:t>
      </w:r>
      <w:r w:rsidRPr="00162B42">
        <w:rPr>
          <w:szCs w:val="22"/>
        </w:rPr>
        <w:t>Section 1.17 – Impact of Weather</w:t>
      </w:r>
      <w:r w:rsidR="00373DE3">
        <w:rPr>
          <w:szCs w:val="22"/>
        </w:rPr>
        <w:t xml:space="preserve"> at</w:t>
      </w:r>
      <w:r w:rsidRPr="00162B42">
        <w:rPr>
          <w:szCs w:val="22"/>
        </w:rPr>
        <w:t xml:space="preserve"> 15.</w:t>
      </w:r>
    </w:p>
  </w:footnote>
  <w:footnote w:id="5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1.17 – Impact of Weather</w:t>
      </w:r>
      <w:r w:rsidR="00373DE3">
        <w:rPr>
          <w:szCs w:val="22"/>
        </w:rPr>
        <w:t xml:space="preserve"> at</w:t>
      </w:r>
      <w:r w:rsidRPr="00162B42">
        <w:rPr>
          <w:szCs w:val="22"/>
        </w:rPr>
        <w:t xml:space="preserve"> 15.</w:t>
      </w:r>
    </w:p>
  </w:footnote>
  <w:footnote w:id="5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4.</w:t>
      </w:r>
    </w:p>
  </w:footnote>
  <w:footnote w:id="5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2.5 – Furnace Whistle</w:t>
      </w:r>
      <w:r w:rsidR="00373DE3">
        <w:rPr>
          <w:szCs w:val="22"/>
        </w:rPr>
        <w:t xml:space="preserve"> at</w:t>
      </w:r>
      <w:r w:rsidRPr="00162B42">
        <w:rPr>
          <w:szCs w:val="22"/>
        </w:rPr>
        <w:t xml:space="preserve"> 36.</w:t>
      </w:r>
    </w:p>
  </w:footnote>
  <w:footnote w:id="5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3.5 – HVAC Systems</w:t>
      </w:r>
      <w:r w:rsidR="00373DE3">
        <w:rPr>
          <w:szCs w:val="22"/>
        </w:rPr>
        <w:t xml:space="preserve"> at</w:t>
      </w:r>
      <w:r w:rsidRPr="00162B42">
        <w:rPr>
          <w:szCs w:val="22"/>
        </w:rPr>
        <w:t xml:space="preserve"> 234.</w:t>
      </w:r>
    </w:p>
  </w:footnote>
  <w:footnote w:id="5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 xml:space="preserve">2014 TRM </w:t>
      </w:r>
      <w:r w:rsidRPr="00162B42">
        <w:rPr>
          <w:szCs w:val="22"/>
        </w:rPr>
        <w:t>Section 3.8 – High-Efficiency Refrigeration/Freezer Cases</w:t>
      </w:r>
      <w:r w:rsidR="00373DE3">
        <w:rPr>
          <w:szCs w:val="22"/>
        </w:rPr>
        <w:t xml:space="preserve"> at</w:t>
      </w:r>
      <w:r w:rsidRPr="00162B42">
        <w:rPr>
          <w:szCs w:val="22"/>
        </w:rPr>
        <w:t xml:space="preserve"> 249.</w:t>
      </w:r>
    </w:p>
  </w:footnote>
  <w:footnote w:id="5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3.9 – High-Efficiency Evaporator Fan Motors for Reach-In Refrigerated Cases</w:t>
      </w:r>
      <w:r w:rsidR="00373DE3">
        <w:rPr>
          <w:szCs w:val="22"/>
        </w:rPr>
        <w:t xml:space="preserve"> at</w:t>
      </w:r>
      <w:r w:rsidRPr="00162B42">
        <w:rPr>
          <w:szCs w:val="22"/>
        </w:rPr>
        <w:t xml:space="preserve"> 252.</w:t>
      </w:r>
    </w:p>
  </w:footnote>
  <w:footnote w:id="5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3.10 – High-Efficiency Evaporator Fan Motors for Walk-In Refrigerated Cases</w:t>
      </w:r>
      <w:r w:rsidR="00373DE3">
        <w:rPr>
          <w:szCs w:val="22"/>
        </w:rPr>
        <w:t xml:space="preserve"> at</w:t>
      </w:r>
      <w:r w:rsidRPr="00162B42">
        <w:rPr>
          <w:szCs w:val="22"/>
        </w:rPr>
        <w:t xml:space="preserve"> 258.</w:t>
      </w:r>
    </w:p>
  </w:footnote>
  <w:footnote w:id="6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3.13 – Beverage Machine Controls</w:t>
      </w:r>
      <w:r w:rsidR="00373DE3">
        <w:rPr>
          <w:szCs w:val="22"/>
        </w:rPr>
        <w:t xml:space="preserve"> at</w:t>
      </w:r>
      <w:r w:rsidRPr="00162B42">
        <w:rPr>
          <w:szCs w:val="22"/>
        </w:rPr>
        <w:t xml:space="preserve"> 271.</w:t>
      </w:r>
    </w:p>
  </w:footnote>
  <w:footnote w:id="6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3.14 – High-Efficiency Ice Machines</w:t>
      </w:r>
      <w:r w:rsidR="00373DE3">
        <w:rPr>
          <w:szCs w:val="22"/>
        </w:rPr>
        <w:t xml:space="preserve"> at</w:t>
      </w:r>
      <w:r w:rsidRPr="00162B42">
        <w:rPr>
          <w:szCs w:val="22"/>
        </w:rPr>
        <w:t xml:space="preserve"> 273.</w:t>
      </w:r>
    </w:p>
  </w:footnote>
  <w:footnote w:id="6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3.15 – Wall and Ceiling Insulation</w:t>
      </w:r>
      <w:r w:rsidR="00373DE3">
        <w:rPr>
          <w:szCs w:val="22"/>
        </w:rPr>
        <w:t xml:space="preserve"> at</w:t>
      </w:r>
      <w:r w:rsidRPr="00162B42">
        <w:rPr>
          <w:szCs w:val="22"/>
        </w:rPr>
        <w:t xml:space="preserve"> 276.</w:t>
      </w:r>
    </w:p>
  </w:footnote>
  <w:footnote w:id="6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3.19 – ENERGY STAR Electric Steam Cooker</w:t>
      </w:r>
      <w:r w:rsidR="00373DE3">
        <w:rPr>
          <w:szCs w:val="22"/>
        </w:rPr>
        <w:t xml:space="preserve"> at</w:t>
      </w:r>
      <w:r w:rsidRPr="00162B42">
        <w:rPr>
          <w:szCs w:val="22"/>
        </w:rPr>
        <w:t xml:space="preserve"> 306.</w:t>
      </w:r>
    </w:p>
  </w:footnote>
  <w:footnote w:id="6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3.21 – Office Equipment – Network Power Management Enabling</w:t>
      </w:r>
      <w:r w:rsidR="00373DE3">
        <w:rPr>
          <w:szCs w:val="22"/>
        </w:rPr>
        <w:t xml:space="preserve"> at</w:t>
      </w:r>
      <w:r w:rsidRPr="00162B42">
        <w:rPr>
          <w:szCs w:val="22"/>
        </w:rPr>
        <w:t xml:space="preserve"> 312.</w:t>
      </w:r>
    </w:p>
  </w:footnote>
  <w:footnote w:id="6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 xml:space="preserve">2014 TRM </w:t>
      </w:r>
      <w:r w:rsidRPr="00162B42">
        <w:rPr>
          <w:szCs w:val="22"/>
        </w:rPr>
        <w:t>Section 3.25 – Refrigeration: Evaporator Fan Controllers</w:t>
      </w:r>
      <w:r w:rsidR="00373DE3">
        <w:rPr>
          <w:szCs w:val="22"/>
        </w:rPr>
        <w:t xml:space="preserve"> at</w:t>
      </w:r>
      <w:r w:rsidRPr="00162B42">
        <w:rPr>
          <w:szCs w:val="22"/>
        </w:rPr>
        <w:t xml:space="preserve"> 322.</w:t>
      </w:r>
    </w:p>
  </w:footnote>
  <w:footnote w:id="6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3.26 – ENERGY STAR Clothes Washer</w:t>
      </w:r>
      <w:r w:rsidR="00373DE3">
        <w:rPr>
          <w:szCs w:val="22"/>
        </w:rPr>
        <w:t xml:space="preserve"> at</w:t>
      </w:r>
      <w:r w:rsidRPr="00162B42">
        <w:rPr>
          <w:szCs w:val="22"/>
        </w:rPr>
        <w:t xml:space="preserve"> 325.</w:t>
      </w:r>
    </w:p>
  </w:footnote>
  <w:footnote w:id="6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 xml:space="preserve">Section 4.1 – Automatic </w:t>
      </w:r>
      <w:proofErr w:type="spellStart"/>
      <w:r w:rsidRPr="00162B42">
        <w:rPr>
          <w:szCs w:val="22"/>
        </w:rPr>
        <w:t>Milker</w:t>
      </w:r>
      <w:proofErr w:type="spellEnd"/>
      <w:r w:rsidRPr="00162B42">
        <w:rPr>
          <w:szCs w:val="22"/>
        </w:rPr>
        <w:t xml:space="preserve"> Takeoffs</w:t>
      </w:r>
      <w:r w:rsidR="00373DE3">
        <w:rPr>
          <w:szCs w:val="22"/>
        </w:rPr>
        <w:t xml:space="preserve"> at</w:t>
      </w:r>
      <w:r w:rsidRPr="00162B42">
        <w:rPr>
          <w:szCs w:val="22"/>
        </w:rPr>
        <w:t xml:space="preserve"> 398.</w:t>
      </w:r>
    </w:p>
  </w:footnote>
  <w:footnote w:id="6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 xml:space="preserve">Section 4.4 – Heat </w:t>
      </w:r>
      <w:proofErr w:type="spellStart"/>
      <w:r w:rsidRPr="00162B42">
        <w:rPr>
          <w:szCs w:val="22"/>
        </w:rPr>
        <w:t>Reclaimers</w:t>
      </w:r>
      <w:proofErr w:type="spellEnd"/>
      <w:r w:rsidR="00373DE3">
        <w:rPr>
          <w:szCs w:val="22"/>
        </w:rPr>
        <w:t xml:space="preserve"> at</w:t>
      </w:r>
      <w:r w:rsidRPr="00162B42">
        <w:rPr>
          <w:szCs w:val="22"/>
        </w:rPr>
        <w:t xml:space="preserve"> 409.</w:t>
      </w:r>
    </w:p>
  </w:footnote>
  <w:footnote w:id="6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 xml:space="preserve">Section 4.6 – Livestock </w:t>
      </w:r>
      <w:proofErr w:type="spellStart"/>
      <w:r w:rsidRPr="00162B42">
        <w:rPr>
          <w:szCs w:val="22"/>
        </w:rPr>
        <w:t>Waterer</w:t>
      </w:r>
      <w:proofErr w:type="spellEnd"/>
      <w:r w:rsidR="00373DE3">
        <w:rPr>
          <w:szCs w:val="22"/>
        </w:rPr>
        <w:t xml:space="preserve"> at</w:t>
      </w:r>
      <w:r w:rsidRPr="00162B42">
        <w:rPr>
          <w:szCs w:val="22"/>
        </w:rPr>
        <w:t xml:space="preserve"> 415.</w:t>
      </w:r>
    </w:p>
  </w:footnote>
  <w:footnote w:id="7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13 and 15.</w:t>
      </w:r>
    </w:p>
  </w:footnote>
  <w:footnote w:id="7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3.</w:t>
      </w:r>
    </w:p>
  </w:footnote>
  <w:footnote w:id="7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 xml:space="preserve">Section 1.2.4 - Applicability of the TRM for Estimating </w:t>
      </w:r>
      <w:r w:rsidRPr="00162B42">
        <w:rPr>
          <w:i/>
          <w:szCs w:val="22"/>
        </w:rPr>
        <w:t>Ex Ante</w:t>
      </w:r>
      <w:r w:rsidRPr="00162B42">
        <w:rPr>
          <w:szCs w:val="22"/>
        </w:rPr>
        <w:t xml:space="preserve"> (Claimed) Savings</w:t>
      </w:r>
      <w:r w:rsidR="00373DE3">
        <w:rPr>
          <w:szCs w:val="22"/>
        </w:rPr>
        <w:t xml:space="preserve"> at</w:t>
      </w:r>
      <w:r w:rsidRPr="00162B42">
        <w:rPr>
          <w:szCs w:val="22"/>
        </w:rPr>
        <w:t xml:space="preserve"> 5.</w:t>
      </w:r>
    </w:p>
  </w:footnote>
  <w:footnote w:id="7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3. </w:t>
      </w:r>
    </w:p>
  </w:footnote>
  <w:footnote w:id="74">
    <w:p w:rsidR="006D6E02" w:rsidRPr="00162B42" w:rsidRDefault="006D6E02" w:rsidP="00162B42">
      <w:pPr>
        <w:pStyle w:val="FootnoteText"/>
        <w:spacing w:line="240" w:lineRule="auto"/>
        <w:rPr>
          <w:szCs w:val="22"/>
        </w:rPr>
      </w:pPr>
      <w:r w:rsidRPr="00162B42">
        <w:rPr>
          <w:rStyle w:val="FootnoteReference"/>
          <w:szCs w:val="22"/>
        </w:rPr>
        <w:footnoteRef/>
      </w:r>
      <w:r w:rsidRPr="00162B42">
        <w:rPr>
          <w:szCs w:val="22"/>
        </w:rPr>
        <w:t xml:space="preserve"> The section number used herein reflects the numbering of the proposed 2015 TRM.  As addressed later in this Final Order, this protocol is being removed and, therefore, does not have a section number in the final 2015 TRM.</w:t>
      </w:r>
    </w:p>
  </w:footnote>
  <w:footnote w:id="7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8. </w:t>
      </w:r>
    </w:p>
  </w:footnote>
  <w:footnote w:id="7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12. </w:t>
      </w:r>
    </w:p>
  </w:footnote>
  <w:footnote w:id="7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Duquesne Comments at 13.</w:t>
      </w:r>
    </w:p>
  </w:footnote>
  <w:footnote w:id="7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2.29 – ENERGY STAR Lighting</w:t>
      </w:r>
      <w:r w:rsidR="00373DE3">
        <w:rPr>
          <w:szCs w:val="22"/>
        </w:rPr>
        <w:t xml:space="preserve"> at</w:t>
      </w:r>
      <w:r w:rsidRPr="00162B42">
        <w:rPr>
          <w:szCs w:val="22"/>
        </w:rPr>
        <w:t xml:space="preserve"> 158.</w:t>
      </w:r>
    </w:p>
  </w:footnote>
  <w:footnote w:id="7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hyperlink r:id="rId4" w:history="1">
        <w:r w:rsidRPr="00162B42">
          <w:rPr>
            <w:rStyle w:val="Hyperlink"/>
            <w:szCs w:val="22"/>
          </w:rPr>
          <w:t>http://frwebgate.access.gpo.gov/cgi-bin/getdoc.cgi?dbname=110_cong_bills&amp;docid=f:h6enr.txt.pdf</w:t>
        </w:r>
      </w:hyperlink>
      <w:r w:rsidRPr="00162B42">
        <w:rPr>
          <w:szCs w:val="22"/>
        </w:rPr>
        <w:t xml:space="preserve">. </w:t>
      </w:r>
    </w:p>
  </w:footnote>
  <w:footnote w:id="8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2014 TRM Final Order at</w:t>
      </w:r>
      <w:r w:rsidRPr="00162B42">
        <w:rPr>
          <w:szCs w:val="22"/>
        </w:rPr>
        <w:t xml:space="preserve"> 70. </w:t>
      </w:r>
    </w:p>
  </w:footnote>
  <w:footnote w:id="8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hyperlink r:id="rId5" w:history="1">
        <w:r w:rsidRPr="00162B42">
          <w:rPr>
            <w:rStyle w:val="Hyperlink"/>
            <w:szCs w:val="22"/>
          </w:rPr>
          <w:t>http://www1.eere.energy.gov/buildings/appliance_standards/residential/pdfs/general_service_incandescent_factsheet.pdf</w:t>
        </w:r>
      </w:hyperlink>
      <w:r w:rsidRPr="00162B42">
        <w:rPr>
          <w:szCs w:val="22"/>
        </w:rPr>
        <w:t xml:space="preserve">. </w:t>
      </w:r>
    </w:p>
  </w:footnote>
  <w:footnote w:id="8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4 and 5.</w:t>
      </w:r>
    </w:p>
  </w:footnote>
  <w:footnote w:id="8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6- 7 and 10.</w:t>
      </w:r>
    </w:p>
  </w:footnote>
  <w:footnote w:id="8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Reply Comments at 2 and 3. </w:t>
      </w:r>
    </w:p>
  </w:footnote>
  <w:footnote w:id="8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Reply Comments at 4. </w:t>
      </w:r>
    </w:p>
  </w:footnote>
  <w:footnote w:id="8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2.35 – Residential Occupancy Sensors</w:t>
      </w:r>
      <w:r w:rsidR="00373DE3">
        <w:rPr>
          <w:szCs w:val="22"/>
        </w:rPr>
        <w:t xml:space="preserve"> at</w:t>
      </w:r>
      <w:r w:rsidRPr="00162B42">
        <w:rPr>
          <w:szCs w:val="22"/>
        </w:rPr>
        <w:t xml:space="preserve"> 173.</w:t>
      </w:r>
    </w:p>
  </w:footnote>
  <w:footnote w:id="8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11.</w:t>
      </w:r>
    </w:p>
  </w:footnote>
  <w:footnote w:id="8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373DE3">
        <w:rPr>
          <w:szCs w:val="22"/>
        </w:rPr>
        <w:t xml:space="preserve">2014 TRM </w:t>
      </w:r>
      <w:r w:rsidRPr="00162B42">
        <w:rPr>
          <w:szCs w:val="22"/>
        </w:rPr>
        <w:t>Section 2.4 – Electroluminescent Nightlight</w:t>
      </w:r>
      <w:r w:rsidR="00373DE3">
        <w:rPr>
          <w:szCs w:val="22"/>
        </w:rPr>
        <w:t xml:space="preserve"> at</w:t>
      </w:r>
      <w:r w:rsidRPr="00162B42">
        <w:rPr>
          <w:szCs w:val="22"/>
        </w:rPr>
        <w:t xml:space="preserve"> 34.</w:t>
      </w:r>
    </w:p>
  </w:footnote>
  <w:footnote w:id="8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373DE3">
        <w:rPr>
          <w:szCs w:val="22"/>
        </w:rPr>
        <w:t xml:space="preserve">2014 TRM </w:t>
      </w:r>
      <w:r w:rsidRPr="00162B42">
        <w:rPr>
          <w:szCs w:val="22"/>
        </w:rPr>
        <w:t>Section 2.7 – LED Nightlight</w:t>
      </w:r>
      <w:r w:rsidR="00373DE3">
        <w:rPr>
          <w:szCs w:val="22"/>
        </w:rPr>
        <w:t xml:space="preserve"> at</w:t>
      </w:r>
      <w:r w:rsidRPr="00162B42">
        <w:rPr>
          <w:szCs w:val="22"/>
        </w:rPr>
        <w:t xml:space="preserve"> 46.</w:t>
      </w:r>
    </w:p>
  </w:footnote>
  <w:footnote w:id="9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11.</w:t>
      </w:r>
    </w:p>
  </w:footnote>
  <w:footnote w:id="9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2.36 – Holiday Lights</w:t>
      </w:r>
      <w:r w:rsidR="00162F65">
        <w:rPr>
          <w:szCs w:val="22"/>
        </w:rPr>
        <w:t xml:space="preserve"> at</w:t>
      </w:r>
      <w:r w:rsidRPr="00162B42">
        <w:rPr>
          <w:szCs w:val="22"/>
        </w:rPr>
        <w:t xml:space="preserve"> 174.</w:t>
      </w:r>
    </w:p>
  </w:footnote>
  <w:footnote w:id="9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12.</w:t>
      </w:r>
    </w:p>
  </w:footnote>
  <w:footnote w:id="9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12.</w:t>
      </w:r>
    </w:p>
  </w:footnote>
  <w:footnote w:id="9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12.</w:t>
      </w:r>
    </w:p>
  </w:footnote>
  <w:footnote w:id="9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162F65">
        <w:rPr>
          <w:szCs w:val="22"/>
        </w:rPr>
        <w:t>2014 TRM Final Order at</w:t>
      </w:r>
      <w:r w:rsidRPr="00162B42">
        <w:rPr>
          <w:szCs w:val="22"/>
        </w:rPr>
        <w:t xml:space="preserve"> 56.</w:t>
      </w:r>
    </w:p>
  </w:footnote>
  <w:footnote w:id="9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6.</w:t>
      </w:r>
    </w:p>
  </w:footnote>
  <w:footnote w:id="9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13. </w:t>
      </w:r>
    </w:p>
  </w:footnote>
  <w:footnote w:id="9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i/>
          <w:szCs w:val="22"/>
        </w:rPr>
        <w:t>See EM&amp;V Forum: Primary Research ‒ Ductless Heat Pumps</w:t>
      </w:r>
      <w:r w:rsidRPr="00162B42">
        <w:rPr>
          <w:szCs w:val="22"/>
        </w:rPr>
        <w:t xml:space="preserve">, prepared by Northeast Energy Efficiency Partnerships, April 2014.  Available at </w:t>
      </w:r>
      <w:hyperlink r:id="rId6" w:history="1">
        <w:r w:rsidRPr="00162B42">
          <w:rPr>
            <w:rStyle w:val="Hyperlink"/>
            <w:szCs w:val="22"/>
          </w:rPr>
          <w:t>http://neep.org/Assets/uploads/files/emv/emv-library/NEEP%20DHP%20Report%20Final%205-28-14%20and%20Appendices.pdf</w:t>
        </w:r>
      </w:hyperlink>
      <w:r w:rsidRPr="00162B42">
        <w:rPr>
          <w:szCs w:val="22"/>
        </w:rPr>
        <w:t xml:space="preserve">. </w:t>
      </w:r>
    </w:p>
  </w:footnote>
  <w:footnote w:id="9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Energy Savings Potential from Addressing Residential Air Conditioner and Heat Pump Installation Problems</w:t>
      </w:r>
      <w:r w:rsidRPr="00162B42">
        <w:rPr>
          <w:szCs w:val="22"/>
        </w:rPr>
        <w:t xml:space="preserve">, by C. Neme, J. Proctor and S. Nadel, American Council for an Energy-Efficient Economy, Report No. A992, Feb. 1999.  Confirmed by Central Air Conditioning in Wisconsin, a compilation of recent field research, Energy Center of Wisconsin, May 2008, Amended Dec. 2010 and </w:t>
      </w:r>
      <w:r w:rsidRPr="00162B42">
        <w:rPr>
          <w:i/>
          <w:szCs w:val="22"/>
        </w:rPr>
        <w:t>Verifying ACCA Manual S Procedures</w:t>
      </w:r>
      <w:r w:rsidRPr="00162B42">
        <w:rPr>
          <w:szCs w:val="22"/>
        </w:rPr>
        <w:t xml:space="preserve">, ACCA.  Available at </w:t>
      </w:r>
      <w:hyperlink r:id="rId7" w:history="1">
        <w:r w:rsidRPr="00162B42">
          <w:rPr>
            <w:rStyle w:val="Hyperlink"/>
            <w:szCs w:val="22"/>
          </w:rPr>
          <w:t>http://www.acca.org/Files/?id=67</w:t>
        </w:r>
      </w:hyperlink>
      <w:r w:rsidRPr="00162B42">
        <w:rPr>
          <w:szCs w:val="22"/>
        </w:rPr>
        <w:t>.</w:t>
      </w:r>
    </w:p>
  </w:footnote>
  <w:footnote w:id="10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Assumption used in Illinois 2014 TRM, Ductless Heat Pumps Measure, pg. 531.</w:t>
      </w:r>
    </w:p>
  </w:footnote>
  <w:footnote w:id="10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14.</w:t>
      </w:r>
    </w:p>
  </w:footnote>
  <w:footnote w:id="10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Mitsubishi Comments at 1.</w:t>
      </w:r>
    </w:p>
  </w:footnote>
  <w:footnote w:id="10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66 Pa. C.S. § 2806.1(m).</w:t>
      </w:r>
    </w:p>
  </w:footnote>
  <w:footnote w:id="10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2.11 – Room AC (RAC) Retirement</w:t>
      </w:r>
      <w:r w:rsidR="00162F65">
        <w:rPr>
          <w:szCs w:val="22"/>
        </w:rPr>
        <w:t xml:space="preserve"> at</w:t>
      </w:r>
      <w:r w:rsidRPr="00162B42">
        <w:rPr>
          <w:szCs w:val="22"/>
        </w:rPr>
        <w:t xml:space="preserve"> 63.</w:t>
      </w:r>
    </w:p>
  </w:footnote>
  <w:footnote w:id="10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6.</w:t>
      </w:r>
    </w:p>
  </w:footnote>
  <w:footnote w:id="10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14.</w:t>
      </w:r>
    </w:p>
  </w:footnote>
  <w:footnote w:id="10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4.</w:t>
      </w:r>
    </w:p>
  </w:footnote>
  <w:footnote w:id="10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7.</w:t>
      </w:r>
    </w:p>
  </w:footnote>
  <w:footnote w:id="10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pages 93 and 94 of the 2014 TRM Final Order. </w:t>
      </w:r>
    </w:p>
  </w:footnote>
  <w:footnote w:id="11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NEEA Heat Pump Water Heater Field Study Report</w:t>
      </w:r>
      <w:r w:rsidRPr="00162B42">
        <w:rPr>
          <w:szCs w:val="22"/>
        </w:rPr>
        <w:t xml:space="preserve">, Prepared by Fluid Market Strategies, (NEEA HPWH field study) Oct. 22, 2013. </w:t>
      </w:r>
      <w:hyperlink r:id="rId8" w:history="1">
        <w:r w:rsidRPr="00162B42">
          <w:rPr>
            <w:rStyle w:val="Hyperlink"/>
            <w:szCs w:val="22"/>
          </w:rPr>
          <w:t>http://neea.org/docs/default-source/reports/heat-pump-water-heater-field-study-report.pdf?sfvrsn=5</w:t>
        </w:r>
      </w:hyperlink>
      <w:r w:rsidRPr="00162B42">
        <w:rPr>
          <w:szCs w:val="22"/>
        </w:rPr>
        <w:t xml:space="preserve">.  </w:t>
      </w:r>
    </w:p>
  </w:footnote>
  <w:footnote w:id="11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Based on average weather data from </w:t>
      </w:r>
      <w:hyperlink r:id="rId9" w:history="1">
        <w:r w:rsidRPr="00162B42">
          <w:rPr>
            <w:rStyle w:val="Hyperlink"/>
            <w:szCs w:val="22"/>
          </w:rPr>
          <w:t>www.weatherbase.com</w:t>
        </w:r>
      </w:hyperlink>
      <w:r w:rsidRPr="00162B42">
        <w:rPr>
          <w:szCs w:val="22"/>
        </w:rPr>
        <w:t xml:space="preserve"> for the seven Pennsylvania cities referenced elsewhere in this TRM (Allentown, Erie, Harrisburg, Philadelphia, Pittsburgh, Scranton, and Williamsport).  </w:t>
      </w:r>
    </w:p>
  </w:footnote>
  <w:footnote w:id="11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7.</w:t>
      </w:r>
    </w:p>
  </w:footnote>
  <w:footnote w:id="11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4.</w:t>
      </w:r>
    </w:p>
  </w:footnote>
  <w:footnote w:id="11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2.23 – ENERGY STAR Refrigerators</w:t>
      </w:r>
      <w:r w:rsidR="00162F65">
        <w:rPr>
          <w:szCs w:val="22"/>
        </w:rPr>
        <w:t xml:space="preserve"> at</w:t>
      </w:r>
      <w:r w:rsidRPr="00162B42">
        <w:rPr>
          <w:szCs w:val="22"/>
        </w:rPr>
        <w:t xml:space="preserve"> 129.</w:t>
      </w:r>
    </w:p>
  </w:footnote>
  <w:footnote w:id="11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Federal Standards for Residential Refrigerators and Fre</w:t>
      </w:r>
      <w:r w:rsidRPr="00162B42">
        <w:rPr>
          <w:szCs w:val="22"/>
        </w:rPr>
        <w:t xml:space="preserve">ezers, Effective Sept. 2014. </w:t>
      </w:r>
      <w:hyperlink r:id="rId10" w:history="1">
        <w:r w:rsidRPr="00162B42">
          <w:rPr>
            <w:rStyle w:val="Hyperlink"/>
            <w:szCs w:val="22"/>
          </w:rPr>
          <w:t>http://www1.eere.energy.gov/buildings/appliance_standards/product.aspx/productid/43</w:t>
        </w:r>
      </w:hyperlink>
      <w:r w:rsidRPr="00162B42">
        <w:rPr>
          <w:szCs w:val="22"/>
        </w:rPr>
        <w:t xml:space="preserve">. </w:t>
      </w:r>
    </w:p>
  </w:footnote>
  <w:footnote w:id="11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ENERGY STAR Program Requirements Product Specifications for Residential Refrigerators and Freezers</w:t>
      </w:r>
      <w:r w:rsidRPr="00162B42">
        <w:rPr>
          <w:szCs w:val="22"/>
        </w:rPr>
        <w:t xml:space="preserve">, Version 5.0, Effective Sept. 2014.  Available at </w:t>
      </w:r>
      <w:hyperlink r:id="rId11" w:history="1">
        <w:r w:rsidRPr="00162B42">
          <w:rPr>
            <w:rStyle w:val="Hyperlink"/>
            <w:szCs w:val="22"/>
          </w:rPr>
          <w:t>https://www.energystar.gov/products/specs/residential_refrigerators_and_freezers_specification_version_5_0_pd</w:t>
        </w:r>
      </w:hyperlink>
      <w:r w:rsidRPr="00162B42">
        <w:rPr>
          <w:szCs w:val="22"/>
        </w:rPr>
        <w:t xml:space="preserve">. </w:t>
      </w:r>
    </w:p>
  </w:footnote>
  <w:footnote w:id="11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ENERGY STAR Recognition Criteria for Most Efficient Refrigerator-Freezers, </w:t>
      </w:r>
      <w:r w:rsidRPr="00162B42">
        <w:rPr>
          <w:szCs w:val="22"/>
        </w:rPr>
        <w:t xml:space="preserve">Table 2.  Available at </w:t>
      </w:r>
      <w:hyperlink r:id="rId12" w:history="1">
        <w:r w:rsidRPr="00162B42">
          <w:rPr>
            <w:rStyle w:val="Hyperlink"/>
            <w:szCs w:val="22"/>
          </w:rPr>
          <w:t>http://www.energystar.gov/ia/partners/downloads/most_efficient/final_criteria/Refrigerator-Freezers.pdf?6a37-2bde</w:t>
        </w:r>
      </w:hyperlink>
      <w:r w:rsidRPr="00162B42">
        <w:rPr>
          <w:szCs w:val="22"/>
        </w:rPr>
        <w:t xml:space="preserve">. </w:t>
      </w:r>
    </w:p>
  </w:footnote>
  <w:footnote w:id="11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17.</w:t>
      </w:r>
    </w:p>
  </w:footnote>
  <w:footnote w:id="11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2.24 – ENERGY STAR Freezers</w:t>
      </w:r>
      <w:r w:rsidR="00162F65">
        <w:rPr>
          <w:szCs w:val="22"/>
        </w:rPr>
        <w:t xml:space="preserve"> at</w:t>
      </w:r>
      <w:r w:rsidRPr="00162B42">
        <w:rPr>
          <w:szCs w:val="22"/>
        </w:rPr>
        <w:t xml:space="preserve"> 134.</w:t>
      </w:r>
    </w:p>
  </w:footnote>
  <w:footnote w:id="12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Federal Standards for Residential Refrigerators and Freezers</w:t>
      </w:r>
      <w:r w:rsidRPr="00162B42">
        <w:rPr>
          <w:szCs w:val="22"/>
        </w:rPr>
        <w:t xml:space="preserve">, Effective Sept. 2014.  Available at </w:t>
      </w:r>
      <w:hyperlink r:id="rId13" w:history="1">
        <w:r w:rsidRPr="00162B42">
          <w:rPr>
            <w:rStyle w:val="Hyperlink"/>
            <w:szCs w:val="22"/>
          </w:rPr>
          <w:t>http://www1.eere.energy.gov/buildings/appliance_standards/product.aspx/productid/43</w:t>
        </w:r>
      </w:hyperlink>
      <w:r w:rsidRPr="00162B42">
        <w:rPr>
          <w:szCs w:val="22"/>
        </w:rPr>
        <w:t xml:space="preserve">. </w:t>
      </w:r>
    </w:p>
  </w:footnote>
  <w:footnote w:id="12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ENERGY STAR Program Requirements Product Specifications for Residential Refrigerators and Freezers</w:t>
      </w:r>
      <w:r w:rsidRPr="00162B42">
        <w:rPr>
          <w:szCs w:val="22"/>
        </w:rPr>
        <w:t xml:space="preserve">, Version 5.0. Effective Sept. 2014.  Available at </w:t>
      </w:r>
      <w:hyperlink r:id="rId14" w:history="1">
        <w:r w:rsidRPr="00162B42">
          <w:rPr>
            <w:rStyle w:val="Hyperlink"/>
            <w:szCs w:val="22"/>
          </w:rPr>
          <w:t>http://www.energystar.gov/products/specs/system/files/ENERGY%20STAR%20Final%20Version%205.0%20Residential%20Refrigerators%20and%20Freezers%20Program%20Requirements.pdf</w:t>
        </w:r>
      </w:hyperlink>
      <w:r w:rsidRPr="00162B42">
        <w:rPr>
          <w:szCs w:val="22"/>
        </w:rPr>
        <w:t xml:space="preserve">. </w:t>
      </w:r>
    </w:p>
  </w:footnote>
  <w:footnote w:id="12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ENERGY STAR Recognition Criteria for Most Efficient Refrigerator-Freezers</w:t>
      </w:r>
      <w:r w:rsidRPr="00162B42">
        <w:rPr>
          <w:szCs w:val="22"/>
        </w:rPr>
        <w:t xml:space="preserve">, Table 2.  Available at </w:t>
      </w:r>
      <w:hyperlink r:id="rId15" w:history="1">
        <w:r w:rsidRPr="00162B42">
          <w:rPr>
            <w:rStyle w:val="Hyperlink"/>
            <w:szCs w:val="22"/>
          </w:rPr>
          <w:t>http://www.energystar.gov/ia/partners/downloads/most_efficient/final_criteria/Refrigerator-Freezers.pdf?6a37-2bde</w:t>
        </w:r>
      </w:hyperlink>
      <w:r w:rsidRPr="00162B42">
        <w:rPr>
          <w:szCs w:val="22"/>
        </w:rPr>
        <w:t xml:space="preserve">. </w:t>
      </w:r>
    </w:p>
  </w:footnote>
  <w:footnote w:id="12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17.</w:t>
      </w:r>
    </w:p>
  </w:footnote>
  <w:footnote w:id="12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2.21 – Refrigerator/Freezer Recycling with and without Replacement</w:t>
      </w:r>
      <w:r w:rsidR="00162F65">
        <w:rPr>
          <w:szCs w:val="22"/>
        </w:rPr>
        <w:t xml:space="preserve"> at</w:t>
      </w:r>
      <w:r w:rsidRPr="00162B42">
        <w:rPr>
          <w:szCs w:val="22"/>
        </w:rPr>
        <w:t xml:space="preserve"> 113.</w:t>
      </w:r>
    </w:p>
  </w:footnote>
  <w:footnote w:id="12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9-10, PECO Comments at 18 and Duquesne Comments at 11.</w:t>
      </w:r>
    </w:p>
  </w:footnote>
  <w:footnote w:id="12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9-10.</w:t>
      </w:r>
    </w:p>
  </w:footnote>
  <w:footnote w:id="12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2.42 – ENERGY STAR Water Coolers</w:t>
      </w:r>
      <w:r w:rsidR="00162F65">
        <w:rPr>
          <w:szCs w:val="22"/>
        </w:rPr>
        <w:t xml:space="preserve"> at</w:t>
      </w:r>
      <w:r w:rsidRPr="00162B42">
        <w:rPr>
          <w:szCs w:val="22"/>
        </w:rPr>
        <w:t xml:space="preserve"> 201.</w:t>
      </w:r>
    </w:p>
  </w:footnote>
  <w:footnote w:id="12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19.</w:t>
      </w:r>
    </w:p>
  </w:footnote>
  <w:footnote w:id="12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2.12 – Smart Strip Plug Outlets</w:t>
      </w:r>
      <w:r w:rsidR="00162F65">
        <w:rPr>
          <w:szCs w:val="22"/>
        </w:rPr>
        <w:t xml:space="preserve"> at</w:t>
      </w:r>
      <w:r w:rsidRPr="00162B42">
        <w:rPr>
          <w:szCs w:val="22"/>
        </w:rPr>
        <w:t xml:space="preserve"> 69.</w:t>
      </w:r>
    </w:p>
  </w:footnote>
  <w:footnote w:id="13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11.</w:t>
      </w:r>
    </w:p>
  </w:footnote>
  <w:footnote w:id="13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11. </w:t>
      </w:r>
    </w:p>
  </w:footnote>
  <w:footnote w:id="13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2.38 – Pool Pump Load Shifting</w:t>
      </w:r>
      <w:r w:rsidR="00162F65">
        <w:rPr>
          <w:szCs w:val="22"/>
        </w:rPr>
        <w:t xml:space="preserve"> at</w:t>
      </w:r>
      <w:r w:rsidRPr="00162B42">
        <w:rPr>
          <w:szCs w:val="22"/>
        </w:rPr>
        <w:t xml:space="preserve"> 183.</w:t>
      </w:r>
    </w:p>
  </w:footnote>
  <w:footnote w:id="13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12.</w:t>
      </w:r>
    </w:p>
  </w:footnote>
  <w:footnote w:id="13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2.39 - Variable Speed Pool Pumps (with Load Shifting Option)</w:t>
      </w:r>
      <w:r w:rsidR="00162F65">
        <w:rPr>
          <w:szCs w:val="22"/>
        </w:rPr>
        <w:t xml:space="preserve"> at</w:t>
      </w:r>
      <w:r w:rsidRPr="00162B42">
        <w:rPr>
          <w:szCs w:val="22"/>
        </w:rPr>
        <w:t xml:space="preserve"> 186.</w:t>
      </w:r>
    </w:p>
  </w:footnote>
  <w:footnote w:id="13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2014 TRM Final Order at</w:t>
      </w:r>
      <w:r w:rsidRPr="00162B42">
        <w:rPr>
          <w:szCs w:val="22"/>
        </w:rPr>
        <w:t xml:space="preserve"> 110 and 111.</w:t>
      </w:r>
    </w:p>
  </w:footnote>
  <w:footnote w:id="13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12-13.</w:t>
      </w:r>
    </w:p>
  </w:footnote>
  <w:footnote w:id="13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3.2 – Lighting Equipment Improvements</w:t>
      </w:r>
      <w:r w:rsidR="00162F65">
        <w:rPr>
          <w:szCs w:val="22"/>
        </w:rPr>
        <w:t xml:space="preserve"> at</w:t>
      </w:r>
      <w:r w:rsidRPr="00162B42">
        <w:rPr>
          <w:szCs w:val="22"/>
        </w:rPr>
        <w:t xml:space="preserve"> 2015.</w:t>
      </w:r>
    </w:p>
  </w:footnote>
  <w:footnote w:id="13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3.1.2 – New Construction Lighting</w:t>
      </w:r>
      <w:r w:rsidR="00162F65">
        <w:rPr>
          <w:szCs w:val="22"/>
        </w:rPr>
        <w:t xml:space="preserve"> at</w:t>
      </w:r>
      <w:r w:rsidRPr="00162B42">
        <w:rPr>
          <w:szCs w:val="22"/>
        </w:rPr>
        <w:t xml:space="preserve"> 219.</w:t>
      </w:r>
    </w:p>
  </w:footnote>
  <w:footnote w:id="13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The ASHRAE 90.1 Standard is available at: </w:t>
      </w:r>
      <w:hyperlink r:id="rId16" w:history="1">
        <w:r w:rsidRPr="00162B42">
          <w:rPr>
            <w:rStyle w:val="Hyperlink"/>
            <w:szCs w:val="22"/>
          </w:rPr>
          <w:t>https://law.resource.org/pub/us/code/ibr/ashrae.90.1.2007.pdf</w:t>
        </w:r>
      </w:hyperlink>
      <w:r w:rsidRPr="00162B42">
        <w:rPr>
          <w:rStyle w:val="Hyperlink"/>
          <w:szCs w:val="22"/>
        </w:rPr>
        <w:t xml:space="preserve"> </w:t>
      </w:r>
    </w:p>
  </w:footnote>
  <w:footnote w:id="14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9 and 10. </w:t>
      </w:r>
    </w:p>
  </w:footnote>
  <w:footnote w:id="14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Duquesne Comments at 6 and 7. </w:t>
      </w:r>
    </w:p>
  </w:footnote>
  <w:footnote w:id="14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22 and 23.</w:t>
      </w:r>
    </w:p>
  </w:footnote>
  <w:footnote w:id="14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Measure Life Study</w:t>
      </w:r>
      <w:r w:rsidRPr="00162B42">
        <w:rPr>
          <w:szCs w:val="22"/>
        </w:rPr>
        <w:t xml:space="preserve">, prepared for the Massachusetts Joint Utilities, by Energy and Resource Solutions, (Measure Life Study), Nov. 2005.  Available at </w:t>
      </w:r>
      <w:hyperlink r:id="rId17" w:history="1">
        <w:r w:rsidRPr="00162B42">
          <w:rPr>
            <w:rStyle w:val="Hyperlink"/>
            <w:szCs w:val="22"/>
          </w:rPr>
          <w:t>http://rtf.nwcouncil.org/subcommittees/nonreslighting/Measure%20Life%20Study_MA%20Joint%20Utilities_2005_ERS-1.pdf</w:t>
        </w:r>
      </w:hyperlink>
      <w:r w:rsidRPr="00162B42">
        <w:rPr>
          <w:szCs w:val="22"/>
        </w:rPr>
        <w:t xml:space="preserve">. </w:t>
      </w:r>
    </w:p>
  </w:footnote>
  <w:footnote w:id="14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Measure Life Report – Residential and Commercial/Industrial Lighting and HVAC Measures</w:t>
      </w:r>
      <w:r w:rsidRPr="00162B42">
        <w:rPr>
          <w:szCs w:val="22"/>
        </w:rPr>
        <w:t xml:space="preserve">, prepared for the New England State Program Working Group, prepared by GDS Associates, Inc. (GDS’s Measure Life Report) June 2007.  Available at </w:t>
      </w:r>
      <w:hyperlink r:id="rId18" w:history="1">
        <w:r w:rsidRPr="00162B42">
          <w:rPr>
            <w:rStyle w:val="Hyperlink"/>
            <w:szCs w:val="22"/>
          </w:rPr>
          <w:t>http://neep.org/Assets/uploads/files/emv/emv-library/measure_life_GDS%5B1%5D.pdf</w:t>
        </w:r>
      </w:hyperlink>
      <w:r w:rsidRPr="00162B42">
        <w:rPr>
          <w:rStyle w:val="Hyperlink"/>
          <w:szCs w:val="22"/>
        </w:rPr>
        <w:t xml:space="preserve">. </w:t>
      </w:r>
      <w:r w:rsidRPr="00162B42">
        <w:rPr>
          <w:szCs w:val="22"/>
        </w:rPr>
        <w:t xml:space="preserve"> </w:t>
      </w:r>
    </w:p>
  </w:footnote>
  <w:footnote w:id="14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DEER 2008 Effective Useful Life.  Available at </w:t>
      </w:r>
      <w:hyperlink r:id="rId19" w:history="1">
        <w:r w:rsidRPr="00162B42">
          <w:rPr>
            <w:rStyle w:val="Hyperlink"/>
            <w:szCs w:val="22"/>
          </w:rPr>
          <w:t>http://www.deeresources.com/</w:t>
        </w:r>
      </w:hyperlink>
      <w:r w:rsidRPr="00162B42">
        <w:rPr>
          <w:szCs w:val="22"/>
        </w:rPr>
        <w:t xml:space="preserve">. </w:t>
      </w:r>
    </w:p>
  </w:footnote>
  <w:footnote w:id="14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Duquesne Comments at 6. </w:t>
      </w:r>
    </w:p>
  </w:footnote>
  <w:footnote w:id="14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7 and 9.</w:t>
      </w:r>
    </w:p>
  </w:footnote>
  <w:footnote w:id="14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15. </w:t>
      </w:r>
    </w:p>
  </w:footnote>
  <w:footnote w:id="14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23.</w:t>
      </w:r>
    </w:p>
  </w:footnote>
  <w:footnote w:id="15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23.</w:t>
      </w:r>
    </w:p>
  </w:footnote>
  <w:footnote w:id="15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Available at </w:t>
      </w:r>
      <w:hyperlink r:id="rId20" w:history="1">
        <w:r w:rsidRPr="00162B42">
          <w:rPr>
            <w:rStyle w:val="Hyperlink"/>
            <w:szCs w:val="22"/>
          </w:rPr>
          <w:t>http://publicecodes.cyberregs.com/icod/iecc/2009/</w:t>
        </w:r>
      </w:hyperlink>
      <w:r w:rsidRPr="00162B42">
        <w:rPr>
          <w:szCs w:val="22"/>
        </w:rPr>
        <w:t xml:space="preserve">. </w:t>
      </w:r>
    </w:p>
  </w:footnote>
  <w:footnote w:id="15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3.17 – Water Source and Geothermal Heat Pumps</w:t>
      </w:r>
      <w:r w:rsidR="00162F65">
        <w:rPr>
          <w:szCs w:val="22"/>
        </w:rPr>
        <w:t xml:space="preserve"> at</w:t>
      </w:r>
      <w:r w:rsidRPr="00162B42">
        <w:rPr>
          <w:szCs w:val="22"/>
        </w:rPr>
        <w:t xml:space="preserve"> 291.</w:t>
      </w:r>
    </w:p>
  </w:footnote>
  <w:footnote w:id="15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10.</w:t>
      </w:r>
    </w:p>
  </w:footnote>
  <w:footnote w:id="15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23.</w:t>
      </w:r>
    </w:p>
  </w:footnote>
  <w:footnote w:id="15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3.18 - Ductless Mini-Split Heat Pumps – Commercial &lt; 5.4 tons</w:t>
      </w:r>
      <w:r w:rsidR="00162F65">
        <w:rPr>
          <w:szCs w:val="22"/>
        </w:rPr>
        <w:t xml:space="preserve"> at</w:t>
      </w:r>
      <w:r w:rsidRPr="00162B42">
        <w:rPr>
          <w:szCs w:val="22"/>
        </w:rPr>
        <w:t xml:space="preserve"> 102.</w:t>
      </w:r>
    </w:p>
  </w:footnote>
  <w:footnote w:id="15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3.39 - Fuel Switching: Small Commercial Electric Heat to Natural gas/Propane/Oil Heat</w:t>
      </w:r>
      <w:r w:rsidR="00162F65">
        <w:rPr>
          <w:szCs w:val="22"/>
        </w:rPr>
        <w:t xml:space="preserve"> at</w:t>
      </w:r>
      <w:r w:rsidRPr="00162B42">
        <w:rPr>
          <w:szCs w:val="22"/>
        </w:rPr>
        <w:t xml:space="preserve"> 393.</w:t>
      </w:r>
    </w:p>
  </w:footnote>
  <w:footnote w:id="15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3.32 – Small C/I HVAC Refrigerant Charge Correction</w:t>
      </w:r>
      <w:r w:rsidR="00162F65">
        <w:rPr>
          <w:szCs w:val="22"/>
        </w:rPr>
        <w:t xml:space="preserve"> at</w:t>
      </w:r>
      <w:r w:rsidRPr="00162B42">
        <w:rPr>
          <w:szCs w:val="22"/>
        </w:rPr>
        <w:t xml:space="preserve"> 362.</w:t>
      </w:r>
    </w:p>
  </w:footnote>
  <w:footnote w:id="15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3.34 – ENERGY STAR Room Air Conditioner</w:t>
      </w:r>
      <w:r w:rsidR="00162F65">
        <w:rPr>
          <w:szCs w:val="22"/>
        </w:rPr>
        <w:t xml:space="preserve"> at</w:t>
      </w:r>
      <w:r w:rsidRPr="00162B42">
        <w:rPr>
          <w:szCs w:val="22"/>
        </w:rPr>
        <w:t xml:space="preserve"> 369.</w:t>
      </w:r>
    </w:p>
  </w:footnote>
  <w:footnote w:id="15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15.</w:t>
      </w:r>
    </w:p>
  </w:footnote>
  <w:footnote w:id="16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3.6 – Electric Chillers</w:t>
      </w:r>
      <w:r w:rsidR="00162F65">
        <w:rPr>
          <w:szCs w:val="22"/>
        </w:rPr>
        <w:t xml:space="preserve"> at</w:t>
      </w:r>
      <w:r w:rsidRPr="00162B42">
        <w:rPr>
          <w:szCs w:val="22"/>
        </w:rPr>
        <w:t xml:space="preserve"> 244.</w:t>
      </w:r>
    </w:p>
  </w:footnote>
  <w:footnote w:id="16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Duquesne Comment at 14. </w:t>
      </w:r>
    </w:p>
  </w:footnote>
  <w:footnote w:id="16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Duquesne Comments at 7 and 10. </w:t>
      </w:r>
    </w:p>
  </w:footnote>
  <w:footnote w:id="16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Mitsubishi Electric Comments at 1. </w:t>
      </w:r>
    </w:p>
  </w:footnote>
  <w:footnote w:id="16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10.</w:t>
      </w:r>
    </w:p>
  </w:footnote>
  <w:footnote w:id="16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3.3 – Premium Efficiency Motors</w:t>
      </w:r>
      <w:r w:rsidR="00162F65">
        <w:rPr>
          <w:szCs w:val="22"/>
        </w:rPr>
        <w:t xml:space="preserve"> at</w:t>
      </w:r>
      <w:r w:rsidRPr="00162B42">
        <w:rPr>
          <w:szCs w:val="22"/>
        </w:rPr>
        <w:t xml:space="preserve"> 226.</w:t>
      </w:r>
    </w:p>
  </w:footnote>
  <w:footnote w:id="16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Section 3.4 – Variable Frequency Drive (VFD) Improvements</w:t>
      </w:r>
      <w:r w:rsidR="00162F65">
        <w:rPr>
          <w:szCs w:val="22"/>
        </w:rPr>
        <w:t xml:space="preserve"> at</w:t>
      </w:r>
      <w:r w:rsidRPr="00162B42">
        <w:rPr>
          <w:szCs w:val="22"/>
        </w:rPr>
        <w:t xml:space="preserve"> 234.</w:t>
      </w:r>
    </w:p>
  </w:footnote>
  <w:footnote w:id="16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10. </w:t>
      </w:r>
    </w:p>
  </w:footnote>
  <w:footnote w:id="16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24 and 25. </w:t>
      </w:r>
    </w:p>
  </w:footnote>
  <w:footnote w:id="16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16. </w:t>
      </w:r>
    </w:p>
  </w:footnote>
  <w:footnote w:id="17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25.</w:t>
      </w:r>
    </w:p>
  </w:footnote>
  <w:footnote w:id="17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16.</w:t>
      </w:r>
    </w:p>
  </w:footnote>
  <w:footnote w:id="17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EE19EE">
        <w:rPr>
          <w:szCs w:val="22"/>
        </w:rPr>
        <w:t xml:space="preserve">2014 TRM </w:t>
      </w:r>
      <w:r w:rsidRPr="00162B42">
        <w:rPr>
          <w:szCs w:val="22"/>
        </w:rPr>
        <w:t xml:space="preserve">Section 3.31 – Low Flow Pre-Rinse Sprayers for Time of Sale/Retail Programs </w:t>
      </w:r>
      <w:r w:rsidR="00EE19EE">
        <w:rPr>
          <w:szCs w:val="22"/>
        </w:rPr>
        <w:t>at</w:t>
      </w:r>
      <w:r w:rsidRPr="00162B42">
        <w:rPr>
          <w:szCs w:val="22"/>
        </w:rPr>
        <w:t xml:space="preserve"> 353.</w:t>
      </w:r>
    </w:p>
  </w:footnote>
  <w:footnote w:id="17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Water- Thermal Properties</w:t>
      </w:r>
      <w:r w:rsidRPr="00162B42">
        <w:rPr>
          <w:szCs w:val="22"/>
        </w:rPr>
        <w:t xml:space="preserve">, The Engineering Toolbox (The Engineering Toolbox).  Available at </w:t>
      </w:r>
      <w:hyperlink r:id="rId21" w:history="1">
        <w:r w:rsidRPr="00162B42">
          <w:rPr>
            <w:rStyle w:val="Hyperlink"/>
            <w:szCs w:val="22"/>
          </w:rPr>
          <w:t>http://www.engineeringtoolbox.com/water-thermal-properties-d_162.html</w:t>
        </w:r>
      </w:hyperlink>
      <w:r w:rsidRPr="00162B42">
        <w:rPr>
          <w:szCs w:val="22"/>
        </w:rPr>
        <w:t xml:space="preserve">. </w:t>
      </w:r>
    </w:p>
  </w:footnote>
  <w:footnote w:id="17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 Impact and Process Evaluation Final Report for California Urban Water Conservation Council: 2004-5 Pre-Rinse Spray Valve Installation Program (Phase 2)</w:t>
      </w:r>
      <w:r w:rsidRPr="00162B42">
        <w:rPr>
          <w:szCs w:val="22"/>
        </w:rPr>
        <w:t xml:space="preserve">, submitted to California Public Utilities Commission, prepared by SBW Consulting, Inc. </w:t>
      </w:r>
      <w:r w:rsidRPr="00162B42">
        <w:rPr>
          <w:i/>
          <w:szCs w:val="22"/>
        </w:rPr>
        <w:t>et al.</w:t>
      </w:r>
      <w:r w:rsidRPr="00162B42">
        <w:rPr>
          <w:szCs w:val="22"/>
        </w:rPr>
        <w:t xml:space="preserve"> (Impact and Process Evaluation Final Report) Feb. 2007.  Available at </w:t>
      </w:r>
      <w:hyperlink r:id="rId22" w:history="1">
        <w:r w:rsidRPr="00162B42">
          <w:rPr>
            <w:rStyle w:val="Hyperlink"/>
            <w:szCs w:val="22"/>
          </w:rPr>
          <w:t>http://www.allianceforwaterefficiency.org/WorkArea/DownloadAsset.aspx?id=976</w:t>
        </w:r>
      </w:hyperlink>
      <w:r w:rsidRPr="00162B42">
        <w:rPr>
          <w:szCs w:val="22"/>
        </w:rPr>
        <w:t xml:space="preserve">. </w:t>
      </w:r>
    </w:p>
  </w:footnote>
  <w:footnote w:id="17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17.</w:t>
      </w:r>
    </w:p>
  </w:footnote>
  <w:footnote w:id="17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26.</w:t>
      </w:r>
    </w:p>
  </w:footnote>
  <w:footnote w:id="17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00EE19EE">
        <w:rPr>
          <w:szCs w:val="22"/>
        </w:rPr>
        <w:t xml:space="preserve">2014 TRM </w:t>
      </w:r>
      <w:r w:rsidRPr="00162B42">
        <w:rPr>
          <w:szCs w:val="22"/>
        </w:rPr>
        <w:t xml:space="preserve">Section 3.37 - Fuel Switching: Domestic Hot Water Electric to Gas/Oil/Propane </w:t>
      </w:r>
      <w:r w:rsidR="00EE19EE">
        <w:rPr>
          <w:szCs w:val="22"/>
        </w:rPr>
        <w:t>at</w:t>
      </w:r>
      <w:r w:rsidRPr="00162B42">
        <w:rPr>
          <w:szCs w:val="22"/>
        </w:rPr>
        <w:t xml:space="preserve"> 378.</w:t>
      </w:r>
    </w:p>
  </w:footnote>
  <w:footnote w:id="17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26.</w:t>
      </w:r>
    </w:p>
  </w:footnote>
  <w:footnote w:id="17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Reply Comments at 4.</w:t>
      </w:r>
    </w:p>
  </w:footnote>
  <w:footnote w:id="18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hyperlink r:id="rId23" w:history="1">
        <w:r w:rsidRPr="00162B42">
          <w:rPr>
            <w:rStyle w:val="Hyperlink"/>
            <w:szCs w:val="22"/>
          </w:rPr>
          <w:t>http://www1.eere.energy.gov/buildings/appliance_standards/pdfs/wicf_faq_2012-01-20.pdf</w:t>
        </w:r>
      </w:hyperlink>
      <w:r w:rsidRPr="00162B42">
        <w:rPr>
          <w:szCs w:val="22"/>
        </w:rPr>
        <w:t xml:space="preserve"> </w:t>
      </w:r>
    </w:p>
  </w:footnote>
  <w:footnote w:id="18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10.</w:t>
      </w:r>
    </w:p>
  </w:footnote>
  <w:footnote w:id="18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10.</w:t>
      </w:r>
    </w:p>
  </w:footnote>
  <w:footnote w:id="183">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162F65">
        <w:rPr>
          <w:szCs w:val="22"/>
        </w:rPr>
        <w:t xml:space="preserve">2014 TRM </w:t>
      </w:r>
      <w:r w:rsidRPr="00162B42">
        <w:rPr>
          <w:szCs w:val="22"/>
        </w:rPr>
        <w:t xml:space="preserve">Section 3.23 – Refrigeration – Door Gaskets for Walk-In and Reach-In Coolers and Freezers, </w:t>
      </w:r>
      <w:r w:rsidR="00162F65">
        <w:rPr>
          <w:szCs w:val="22"/>
        </w:rPr>
        <w:t>at</w:t>
      </w:r>
      <w:r w:rsidRPr="00162B42">
        <w:rPr>
          <w:szCs w:val="22"/>
        </w:rPr>
        <w:t xml:space="preserve"> 320.</w:t>
      </w:r>
    </w:p>
  </w:footnote>
  <w:footnote w:id="18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11.</w:t>
      </w:r>
    </w:p>
  </w:footnote>
  <w:footnote w:id="18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17 and 18.</w:t>
      </w:r>
    </w:p>
  </w:footnote>
  <w:footnote w:id="18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PECO Comments at 28.</w:t>
      </w:r>
    </w:p>
  </w:footnote>
  <w:footnote w:id="187">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420EC">
        <w:rPr>
          <w:szCs w:val="22"/>
        </w:rPr>
        <w:t xml:space="preserve">2014 TRM </w:t>
      </w:r>
      <w:r w:rsidRPr="00162B42">
        <w:rPr>
          <w:szCs w:val="22"/>
        </w:rPr>
        <w:t>Section 5.5 – Appendix E: Lighting Audit and Design Tool for C&amp;I New Construction Projects</w:t>
      </w:r>
      <w:r w:rsidR="00A420EC">
        <w:rPr>
          <w:szCs w:val="22"/>
        </w:rPr>
        <w:t xml:space="preserve"> at</w:t>
      </w:r>
      <w:r w:rsidRPr="00162B42">
        <w:rPr>
          <w:szCs w:val="22"/>
        </w:rPr>
        <w:t xml:space="preserve"> 434.</w:t>
      </w:r>
    </w:p>
  </w:footnote>
  <w:footnote w:id="188">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w:t>
      </w:r>
      <w:r w:rsidR="00A420EC">
        <w:rPr>
          <w:szCs w:val="22"/>
        </w:rPr>
        <w:t xml:space="preserve">2014 TRM </w:t>
      </w:r>
      <w:r w:rsidRPr="00162B42">
        <w:rPr>
          <w:szCs w:val="22"/>
        </w:rPr>
        <w:t>Section 3.1.2 – New Construction Lighting</w:t>
      </w:r>
      <w:r w:rsidR="00A420EC">
        <w:rPr>
          <w:szCs w:val="22"/>
        </w:rPr>
        <w:t xml:space="preserve"> at</w:t>
      </w:r>
      <w:r w:rsidRPr="00162B42">
        <w:rPr>
          <w:szCs w:val="22"/>
        </w:rPr>
        <w:t xml:space="preserve"> 222.</w:t>
      </w:r>
    </w:p>
  </w:footnote>
  <w:footnote w:id="189">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15.</w:t>
      </w:r>
    </w:p>
  </w:footnote>
  <w:footnote w:id="190">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Duquesne Comments at 6.</w:t>
      </w:r>
    </w:p>
  </w:footnote>
  <w:footnote w:id="191">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PPL Comments at 1 and 2.</w:t>
      </w:r>
    </w:p>
  </w:footnote>
  <w:footnote w:id="192">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FirstEnergy Comments at 2.</w:t>
      </w:r>
    </w:p>
  </w:footnote>
  <w:footnote w:id="193">
    <w:p w:rsidR="006D6E02" w:rsidRPr="00162B42" w:rsidRDefault="006D6E02" w:rsidP="00162B42">
      <w:pPr>
        <w:pStyle w:val="FootnoteText"/>
        <w:spacing w:line="240" w:lineRule="auto"/>
        <w:jc w:val="left"/>
        <w:rPr>
          <w:i/>
          <w:szCs w:val="22"/>
        </w:rPr>
      </w:pPr>
      <w:r w:rsidRPr="00162B42">
        <w:rPr>
          <w:rStyle w:val="FootnoteReference"/>
          <w:szCs w:val="22"/>
        </w:rPr>
        <w:footnoteRef/>
      </w:r>
      <w:r w:rsidRPr="00162B42">
        <w:rPr>
          <w:szCs w:val="22"/>
        </w:rPr>
        <w:t xml:space="preserve"> </w:t>
      </w:r>
      <w:r w:rsidRPr="00162B42">
        <w:rPr>
          <w:i/>
          <w:szCs w:val="22"/>
        </w:rPr>
        <w:t xml:space="preserve">See </w:t>
      </w:r>
      <w:r w:rsidRPr="00162B42">
        <w:rPr>
          <w:szCs w:val="22"/>
        </w:rPr>
        <w:t>2011 TRM Final Order at 49,</w:t>
      </w:r>
      <w:r w:rsidRPr="00162B42">
        <w:rPr>
          <w:i/>
          <w:szCs w:val="22"/>
        </w:rPr>
        <w:t xml:space="preserve"> </w:t>
      </w:r>
      <w:r w:rsidRPr="00162B42">
        <w:rPr>
          <w:szCs w:val="22"/>
        </w:rPr>
        <w:t>2012 TRM Final Order at 72, 2013 TRM Final Order at 118 and 2014 TRM Final Order at 178.</w:t>
      </w:r>
    </w:p>
  </w:footnote>
  <w:footnote w:id="194">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Pr="00162B42">
        <w:rPr>
          <w:szCs w:val="22"/>
        </w:rPr>
        <w:t>2011 TRM Final Order at 49 and 50, 2012 TRM Final Order at 72, 2013 TRM Final Order at 118 and 119 and 2014 TRM Final Order at 178 and 179.</w:t>
      </w:r>
    </w:p>
  </w:footnote>
  <w:footnote w:id="195">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See</w:t>
      </w:r>
      <w:r w:rsidRPr="00162B42">
        <w:rPr>
          <w:szCs w:val="22"/>
        </w:rPr>
        <w:t xml:space="preserve"> Phase II Implementation Order at 75; 2014 TRM Final Order at 179; 2013 TRM Final Order at 118-120; 2012 TRM Final Order at 71-73; 2011 TRM Update Order at 47-50.</w:t>
      </w:r>
    </w:p>
  </w:footnote>
  <w:footnote w:id="196">
    <w:p w:rsidR="006D6E02" w:rsidRPr="00162B42" w:rsidRDefault="006D6E02" w:rsidP="00162B42">
      <w:pPr>
        <w:pStyle w:val="FootnoteText"/>
        <w:spacing w:line="240" w:lineRule="auto"/>
        <w:jc w:val="left"/>
        <w:rPr>
          <w:szCs w:val="22"/>
        </w:rPr>
      </w:pPr>
      <w:r w:rsidRPr="00162B42">
        <w:rPr>
          <w:rStyle w:val="FootnoteReference"/>
          <w:szCs w:val="22"/>
        </w:rPr>
        <w:footnoteRef/>
      </w:r>
      <w:r w:rsidRPr="00162B42">
        <w:rPr>
          <w:szCs w:val="22"/>
        </w:rPr>
        <w:t xml:space="preserve"> </w:t>
      </w:r>
      <w:r w:rsidRPr="00162B42">
        <w:rPr>
          <w:i/>
          <w:szCs w:val="22"/>
        </w:rPr>
        <w:t xml:space="preserve">See </w:t>
      </w:r>
      <w:r w:rsidRPr="00162B42">
        <w:rPr>
          <w:szCs w:val="22"/>
        </w:rPr>
        <w:t>Phase II Implementation Order at 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310078B"/>
    <w:multiLevelType w:val="hybridMultilevel"/>
    <w:tmpl w:val="81A03F50"/>
    <w:lvl w:ilvl="0" w:tplc="E0BE781E">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A65AE2"/>
    <w:multiLevelType w:val="hybridMultilevel"/>
    <w:tmpl w:val="8062CBB8"/>
    <w:lvl w:ilvl="0" w:tplc="2678427C">
      <w:start w:val="1"/>
      <w:numFmt w:val="decimal"/>
      <w:pStyle w:val="Heading3"/>
      <w:lvlText w:val="%1."/>
      <w:lvlJc w:val="left"/>
      <w:pPr>
        <w:ind w:left="1440" w:hanging="360"/>
      </w:pPr>
      <w:rPr>
        <w:rFonts w:hint="default"/>
        <w:b/>
      </w:rPr>
    </w:lvl>
    <w:lvl w:ilvl="1" w:tplc="D44CFB8E">
      <w:start w:val="1"/>
      <w:numFmt w:val="lowerLetter"/>
      <w:lvlText w:val="%2."/>
      <w:lvlJc w:val="left"/>
      <w:pPr>
        <w:ind w:left="171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1E33952"/>
    <w:multiLevelType w:val="hybridMultilevel"/>
    <w:tmpl w:val="63FE721A"/>
    <w:lvl w:ilvl="0" w:tplc="D8FE0E2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522ABF"/>
    <w:multiLevelType w:val="hybridMultilevel"/>
    <w:tmpl w:val="2FCA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F1DF5"/>
    <w:multiLevelType w:val="hybridMultilevel"/>
    <w:tmpl w:val="0BC02096"/>
    <w:lvl w:ilvl="0" w:tplc="5DC0E258">
      <w:start w:val="1"/>
      <w:numFmt w:val="upperLetter"/>
      <w:pStyle w:val="Heading2"/>
      <w:lvlText w:val="%1."/>
      <w:lvlJc w:val="left"/>
      <w:pPr>
        <w:ind w:left="36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D1D5111"/>
    <w:multiLevelType w:val="hybridMultilevel"/>
    <w:tmpl w:val="AFF84E88"/>
    <w:lvl w:ilvl="0" w:tplc="971A29AA">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D2E57A5"/>
    <w:multiLevelType w:val="hybridMultilevel"/>
    <w:tmpl w:val="E618D0B8"/>
    <w:lvl w:ilvl="0" w:tplc="E2A42A94">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44F5B25"/>
    <w:multiLevelType w:val="hybridMultilevel"/>
    <w:tmpl w:val="0FE2BCE4"/>
    <w:lvl w:ilvl="0" w:tplc="E7684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EA37F2F"/>
    <w:multiLevelType w:val="hybridMultilevel"/>
    <w:tmpl w:val="092A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163A4E"/>
    <w:multiLevelType w:val="hybridMultilevel"/>
    <w:tmpl w:val="C23E42D8"/>
    <w:lvl w:ilvl="0" w:tplc="AE740A70">
      <w:start w:val="2"/>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5326D57"/>
    <w:multiLevelType w:val="hybridMultilevel"/>
    <w:tmpl w:val="BAAA95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72D2466C">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69073AE"/>
    <w:multiLevelType w:val="hybridMultilevel"/>
    <w:tmpl w:val="F2E868AE"/>
    <w:lvl w:ilvl="0" w:tplc="AB9E6A3C">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10330F"/>
    <w:multiLevelType w:val="hybridMultilevel"/>
    <w:tmpl w:val="12325C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103600E"/>
    <w:multiLevelType w:val="hybridMultilevel"/>
    <w:tmpl w:val="C23E42D8"/>
    <w:lvl w:ilvl="0" w:tplc="AE740A70">
      <w:start w:val="2"/>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75923FA7"/>
    <w:multiLevelType w:val="hybridMultilevel"/>
    <w:tmpl w:val="6D8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9F1D15"/>
    <w:multiLevelType w:val="hybridMultilevel"/>
    <w:tmpl w:val="9548713A"/>
    <w:lvl w:ilvl="0" w:tplc="F498ED70">
      <w:start w:val="1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A0D0F76"/>
    <w:multiLevelType w:val="hybridMultilevel"/>
    <w:tmpl w:val="2050F1A6"/>
    <w:lvl w:ilvl="0" w:tplc="95C08E50">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607727"/>
    <w:multiLevelType w:val="hybridMultilevel"/>
    <w:tmpl w:val="1FCE99D0"/>
    <w:lvl w:ilvl="0" w:tplc="AAD06C52">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
  </w:num>
  <w:num w:numId="4">
    <w:abstractNumId w:val="7"/>
  </w:num>
  <w:num w:numId="5">
    <w:abstractNumId w:val="15"/>
  </w:num>
  <w:num w:numId="6">
    <w:abstractNumId w:val="5"/>
  </w:num>
  <w:num w:numId="7">
    <w:abstractNumId w:val="11"/>
  </w:num>
  <w:num w:numId="8">
    <w:abstractNumId w:val="17"/>
  </w:num>
  <w:num w:numId="9">
    <w:abstractNumId w:val="3"/>
  </w:num>
  <w:num w:numId="10">
    <w:abstractNumId w:val="13"/>
  </w:num>
  <w:num w:numId="11">
    <w:abstractNumId w:val="3"/>
  </w:num>
  <w:num w:numId="12">
    <w:abstractNumId w:val="3"/>
  </w:num>
  <w:num w:numId="13">
    <w:abstractNumId w:val="3"/>
    <w:lvlOverride w:ilvl="0">
      <w:startOverride w:val="8"/>
    </w:lvlOverride>
  </w:num>
  <w:num w:numId="14">
    <w:abstractNumId w:val="10"/>
  </w:num>
  <w:num w:numId="15">
    <w:abstractNumId w:val="3"/>
  </w:num>
  <w:num w:numId="16">
    <w:abstractNumId w:val="3"/>
  </w:num>
  <w:num w:numId="17">
    <w:abstractNumId w:val="16"/>
  </w:num>
  <w:num w:numId="18">
    <w:abstractNumId w:val="3"/>
    <w:lvlOverride w:ilvl="0">
      <w:startOverride w:val="8"/>
    </w:lvlOverride>
  </w:num>
  <w:num w:numId="19">
    <w:abstractNumId w:val="3"/>
  </w:num>
  <w:num w:numId="20">
    <w:abstractNumId w:val="4"/>
  </w:num>
  <w:num w:numId="21">
    <w:abstractNumId w:val="3"/>
    <w:lvlOverride w:ilvl="0">
      <w:startOverride w:val="1"/>
    </w:lvlOverride>
  </w:num>
  <w:num w:numId="22">
    <w:abstractNumId w:val="3"/>
  </w:num>
  <w:num w:numId="23">
    <w:abstractNumId w:val="3"/>
  </w:num>
  <w:num w:numId="24">
    <w:abstractNumId w:val="3"/>
    <w:lvlOverride w:ilvl="0">
      <w:startOverride w:val="27"/>
    </w:lvlOverride>
  </w:num>
  <w:num w:numId="25">
    <w:abstractNumId w:val="3"/>
    <w:lvlOverride w:ilvl="0">
      <w:startOverride w:val="3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20"/>
  </w:num>
  <w:num w:numId="41">
    <w:abstractNumId w:val="2"/>
  </w:num>
  <w:num w:numId="42">
    <w:abstractNumId w:val="3"/>
    <w:lvlOverride w:ilvl="0">
      <w:startOverride w:val="5"/>
    </w:lvlOverride>
  </w:num>
  <w:num w:numId="43">
    <w:abstractNumId w:val="12"/>
  </w:num>
  <w:num w:numId="44">
    <w:abstractNumId w:val="14"/>
  </w:num>
  <w:num w:numId="45">
    <w:abstractNumId w:val="18"/>
  </w:num>
  <w:num w:numId="46">
    <w:abstractNumId w:val="9"/>
  </w:num>
  <w:num w:numId="47">
    <w:abstractNumId w:val="8"/>
  </w:num>
  <w:num w:numId="48">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DF"/>
    <w:rsid w:val="0000137F"/>
    <w:rsid w:val="000018C3"/>
    <w:rsid w:val="00001CC8"/>
    <w:rsid w:val="00001D11"/>
    <w:rsid w:val="00001D5B"/>
    <w:rsid w:val="00002797"/>
    <w:rsid w:val="00002C0D"/>
    <w:rsid w:val="000031E6"/>
    <w:rsid w:val="00003B01"/>
    <w:rsid w:val="00005489"/>
    <w:rsid w:val="00005701"/>
    <w:rsid w:val="00005ACE"/>
    <w:rsid w:val="00005C8B"/>
    <w:rsid w:val="00005DB0"/>
    <w:rsid w:val="00005F22"/>
    <w:rsid w:val="0000679E"/>
    <w:rsid w:val="00006B54"/>
    <w:rsid w:val="00007203"/>
    <w:rsid w:val="00007E46"/>
    <w:rsid w:val="0001030D"/>
    <w:rsid w:val="00012115"/>
    <w:rsid w:val="0001356C"/>
    <w:rsid w:val="0001379C"/>
    <w:rsid w:val="00014449"/>
    <w:rsid w:val="0001450E"/>
    <w:rsid w:val="00014B69"/>
    <w:rsid w:val="00014EBD"/>
    <w:rsid w:val="00015B04"/>
    <w:rsid w:val="00015B40"/>
    <w:rsid w:val="00016763"/>
    <w:rsid w:val="0001680F"/>
    <w:rsid w:val="00016D73"/>
    <w:rsid w:val="000171A8"/>
    <w:rsid w:val="00017D88"/>
    <w:rsid w:val="00017DEB"/>
    <w:rsid w:val="00017F11"/>
    <w:rsid w:val="000200FF"/>
    <w:rsid w:val="00020D15"/>
    <w:rsid w:val="00021064"/>
    <w:rsid w:val="0002128B"/>
    <w:rsid w:val="00021578"/>
    <w:rsid w:val="00021A34"/>
    <w:rsid w:val="000220F8"/>
    <w:rsid w:val="00022EE9"/>
    <w:rsid w:val="0002303B"/>
    <w:rsid w:val="00023C71"/>
    <w:rsid w:val="00024448"/>
    <w:rsid w:val="00024660"/>
    <w:rsid w:val="00025D68"/>
    <w:rsid w:val="00025DEC"/>
    <w:rsid w:val="00026422"/>
    <w:rsid w:val="0002674D"/>
    <w:rsid w:val="00026F10"/>
    <w:rsid w:val="000278CF"/>
    <w:rsid w:val="00027E0D"/>
    <w:rsid w:val="000309D4"/>
    <w:rsid w:val="00031008"/>
    <w:rsid w:val="00031606"/>
    <w:rsid w:val="00032C76"/>
    <w:rsid w:val="00033F2E"/>
    <w:rsid w:val="00034A34"/>
    <w:rsid w:val="00034EAE"/>
    <w:rsid w:val="00035788"/>
    <w:rsid w:val="00035DAE"/>
    <w:rsid w:val="0003646D"/>
    <w:rsid w:val="00036929"/>
    <w:rsid w:val="00036C90"/>
    <w:rsid w:val="00036F41"/>
    <w:rsid w:val="00037EAB"/>
    <w:rsid w:val="00040DF5"/>
    <w:rsid w:val="00041830"/>
    <w:rsid w:val="000420FF"/>
    <w:rsid w:val="00042145"/>
    <w:rsid w:val="000422D7"/>
    <w:rsid w:val="00043BAF"/>
    <w:rsid w:val="000451A3"/>
    <w:rsid w:val="000454BD"/>
    <w:rsid w:val="000460DB"/>
    <w:rsid w:val="000465C4"/>
    <w:rsid w:val="00046658"/>
    <w:rsid w:val="00046826"/>
    <w:rsid w:val="00047074"/>
    <w:rsid w:val="000474BB"/>
    <w:rsid w:val="00047742"/>
    <w:rsid w:val="000479E6"/>
    <w:rsid w:val="0005007A"/>
    <w:rsid w:val="00050149"/>
    <w:rsid w:val="00050E8B"/>
    <w:rsid w:val="000513DD"/>
    <w:rsid w:val="00052102"/>
    <w:rsid w:val="0005254D"/>
    <w:rsid w:val="000528E4"/>
    <w:rsid w:val="0005296B"/>
    <w:rsid w:val="00052EDC"/>
    <w:rsid w:val="00053035"/>
    <w:rsid w:val="00053176"/>
    <w:rsid w:val="000531FD"/>
    <w:rsid w:val="0005334A"/>
    <w:rsid w:val="0005355E"/>
    <w:rsid w:val="000538F9"/>
    <w:rsid w:val="00054B27"/>
    <w:rsid w:val="00054EC3"/>
    <w:rsid w:val="000600D2"/>
    <w:rsid w:val="000603D6"/>
    <w:rsid w:val="00060497"/>
    <w:rsid w:val="000606EE"/>
    <w:rsid w:val="00061FA6"/>
    <w:rsid w:val="0006264C"/>
    <w:rsid w:val="0006307B"/>
    <w:rsid w:val="000633E2"/>
    <w:rsid w:val="0006415C"/>
    <w:rsid w:val="00064C42"/>
    <w:rsid w:val="00066613"/>
    <w:rsid w:val="000668C3"/>
    <w:rsid w:val="00070311"/>
    <w:rsid w:val="0007085E"/>
    <w:rsid w:val="00070DA2"/>
    <w:rsid w:val="0007166B"/>
    <w:rsid w:val="000716B6"/>
    <w:rsid w:val="00071C3F"/>
    <w:rsid w:val="00073086"/>
    <w:rsid w:val="0007351E"/>
    <w:rsid w:val="0007435F"/>
    <w:rsid w:val="000745C0"/>
    <w:rsid w:val="000748ED"/>
    <w:rsid w:val="00074EF4"/>
    <w:rsid w:val="00075230"/>
    <w:rsid w:val="0007569B"/>
    <w:rsid w:val="00075B01"/>
    <w:rsid w:val="000767FA"/>
    <w:rsid w:val="0007698A"/>
    <w:rsid w:val="00077146"/>
    <w:rsid w:val="000771DE"/>
    <w:rsid w:val="000774AA"/>
    <w:rsid w:val="00077C83"/>
    <w:rsid w:val="00077E5A"/>
    <w:rsid w:val="00080B9F"/>
    <w:rsid w:val="00080F77"/>
    <w:rsid w:val="000813D8"/>
    <w:rsid w:val="00081820"/>
    <w:rsid w:val="00081BB0"/>
    <w:rsid w:val="000821CD"/>
    <w:rsid w:val="00082251"/>
    <w:rsid w:val="00082496"/>
    <w:rsid w:val="00082B41"/>
    <w:rsid w:val="00082F8F"/>
    <w:rsid w:val="000831FF"/>
    <w:rsid w:val="00083C8B"/>
    <w:rsid w:val="00083F8F"/>
    <w:rsid w:val="0008417E"/>
    <w:rsid w:val="00084229"/>
    <w:rsid w:val="000843BE"/>
    <w:rsid w:val="0008462E"/>
    <w:rsid w:val="00084D22"/>
    <w:rsid w:val="00084E4A"/>
    <w:rsid w:val="00084E6C"/>
    <w:rsid w:val="0008547D"/>
    <w:rsid w:val="00085649"/>
    <w:rsid w:val="000858D8"/>
    <w:rsid w:val="00085ED9"/>
    <w:rsid w:val="00085FEA"/>
    <w:rsid w:val="000864D9"/>
    <w:rsid w:val="000867A9"/>
    <w:rsid w:val="00087659"/>
    <w:rsid w:val="00087AF2"/>
    <w:rsid w:val="00091082"/>
    <w:rsid w:val="00091402"/>
    <w:rsid w:val="000919A7"/>
    <w:rsid w:val="0009246B"/>
    <w:rsid w:val="0009259C"/>
    <w:rsid w:val="00092CD9"/>
    <w:rsid w:val="0009307B"/>
    <w:rsid w:val="00094AA4"/>
    <w:rsid w:val="00094D40"/>
    <w:rsid w:val="00095664"/>
    <w:rsid w:val="00095802"/>
    <w:rsid w:val="000959E0"/>
    <w:rsid w:val="00095B9F"/>
    <w:rsid w:val="00095D31"/>
    <w:rsid w:val="00095DE7"/>
    <w:rsid w:val="000966E9"/>
    <w:rsid w:val="00096E8D"/>
    <w:rsid w:val="00097836"/>
    <w:rsid w:val="0009799B"/>
    <w:rsid w:val="00097C7B"/>
    <w:rsid w:val="000A0175"/>
    <w:rsid w:val="000A07C3"/>
    <w:rsid w:val="000A1950"/>
    <w:rsid w:val="000A1CC0"/>
    <w:rsid w:val="000A1FFD"/>
    <w:rsid w:val="000A2007"/>
    <w:rsid w:val="000A2B31"/>
    <w:rsid w:val="000A3FE3"/>
    <w:rsid w:val="000A4286"/>
    <w:rsid w:val="000A5A0C"/>
    <w:rsid w:val="000A602F"/>
    <w:rsid w:val="000A6810"/>
    <w:rsid w:val="000A6811"/>
    <w:rsid w:val="000A75A6"/>
    <w:rsid w:val="000A7BC1"/>
    <w:rsid w:val="000A7CCA"/>
    <w:rsid w:val="000B1353"/>
    <w:rsid w:val="000B194D"/>
    <w:rsid w:val="000B195E"/>
    <w:rsid w:val="000B3BCE"/>
    <w:rsid w:val="000B423D"/>
    <w:rsid w:val="000B43F5"/>
    <w:rsid w:val="000B4850"/>
    <w:rsid w:val="000B5055"/>
    <w:rsid w:val="000B5083"/>
    <w:rsid w:val="000B5D5B"/>
    <w:rsid w:val="000B71FB"/>
    <w:rsid w:val="000B7BA1"/>
    <w:rsid w:val="000C1658"/>
    <w:rsid w:val="000C1B07"/>
    <w:rsid w:val="000C216F"/>
    <w:rsid w:val="000C22CC"/>
    <w:rsid w:val="000C30B2"/>
    <w:rsid w:val="000C42D2"/>
    <w:rsid w:val="000C53A9"/>
    <w:rsid w:val="000C554E"/>
    <w:rsid w:val="000C55A0"/>
    <w:rsid w:val="000C57BC"/>
    <w:rsid w:val="000C5FF3"/>
    <w:rsid w:val="000C7170"/>
    <w:rsid w:val="000C77DE"/>
    <w:rsid w:val="000C7CFC"/>
    <w:rsid w:val="000D03D3"/>
    <w:rsid w:val="000D092B"/>
    <w:rsid w:val="000D0C48"/>
    <w:rsid w:val="000D0F96"/>
    <w:rsid w:val="000D2131"/>
    <w:rsid w:val="000D23D2"/>
    <w:rsid w:val="000D2856"/>
    <w:rsid w:val="000D2B34"/>
    <w:rsid w:val="000D2C93"/>
    <w:rsid w:val="000D35AC"/>
    <w:rsid w:val="000D39F3"/>
    <w:rsid w:val="000D3EA6"/>
    <w:rsid w:val="000D41FD"/>
    <w:rsid w:val="000D4928"/>
    <w:rsid w:val="000D4C44"/>
    <w:rsid w:val="000D4F41"/>
    <w:rsid w:val="000D6240"/>
    <w:rsid w:val="000D6CAB"/>
    <w:rsid w:val="000D798E"/>
    <w:rsid w:val="000D7FD4"/>
    <w:rsid w:val="000E02A2"/>
    <w:rsid w:val="000E02FA"/>
    <w:rsid w:val="000E066F"/>
    <w:rsid w:val="000E0805"/>
    <w:rsid w:val="000E0983"/>
    <w:rsid w:val="000E172E"/>
    <w:rsid w:val="000E1C75"/>
    <w:rsid w:val="000E1F8F"/>
    <w:rsid w:val="000E2437"/>
    <w:rsid w:val="000E29BC"/>
    <w:rsid w:val="000E3740"/>
    <w:rsid w:val="000E4E1F"/>
    <w:rsid w:val="000E523C"/>
    <w:rsid w:val="000E5AEC"/>
    <w:rsid w:val="000E5BC3"/>
    <w:rsid w:val="000E5C11"/>
    <w:rsid w:val="000E7984"/>
    <w:rsid w:val="000F03B7"/>
    <w:rsid w:val="000F1120"/>
    <w:rsid w:val="000F19CC"/>
    <w:rsid w:val="000F1DCF"/>
    <w:rsid w:val="000F2324"/>
    <w:rsid w:val="000F25AE"/>
    <w:rsid w:val="000F303F"/>
    <w:rsid w:val="000F3A6A"/>
    <w:rsid w:val="000F55FF"/>
    <w:rsid w:val="000F6504"/>
    <w:rsid w:val="000F660F"/>
    <w:rsid w:val="0010036A"/>
    <w:rsid w:val="001003B3"/>
    <w:rsid w:val="00100526"/>
    <w:rsid w:val="0010083F"/>
    <w:rsid w:val="00100BE3"/>
    <w:rsid w:val="00101324"/>
    <w:rsid w:val="001014E9"/>
    <w:rsid w:val="0010151F"/>
    <w:rsid w:val="00101DB4"/>
    <w:rsid w:val="00102ACE"/>
    <w:rsid w:val="00103353"/>
    <w:rsid w:val="0010356E"/>
    <w:rsid w:val="00103755"/>
    <w:rsid w:val="00106070"/>
    <w:rsid w:val="00106113"/>
    <w:rsid w:val="00106AB9"/>
    <w:rsid w:val="0010724B"/>
    <w:rsid w:val="001077CE"/>
    <w:rsid w:val="001105EC"/>
    <w:rsid w:val="00110926"/>
    <w:rsid w:val="00110FF9"/>
    <w:rsid w:val="001126FF"/>
    <w:rsid w:val="00112A70"/>
    <w:rsid w:val="00113319"/>
    <w:rsid w:val="00113638"/>
    <w:rsid w:val="001142BF"/>
    <w:rsid w:val="00114671"/>
    <w:rsid w:val="00114FDD"/>
    <w:rsid w:val="00115018"/>
    <w:rsid w:val="00115340"/>
    <w:rsid w:val="0011572D"/>
    <w:rsid w:val="00116015"/>
    <w:rsid w:val="00116336"/>
    <w:rsid w:val="00116EF3"/>
    <w:rsid w:val="00117905"/>
    <w:rsid w:val="00117906"/>
    <w:rsid w:val="00117E4A"/>
    <w:rsid w:val="0012062D"/>
    <w:rsid w:val="00120839"/>
    <w:rsid w:val="001209CA"/>
    <w:rsid w:val="0012114D"/>
    <w:rsid w:val="00121626"/>
    <w:rsid w:val="001219C9"/>
    <w:rsid w:val="00121F79"/>
    <w:rsid w:val="001224A3"/>
    <w:rsid w:val="00122C64"/>
    <w:rsid w:val="00123115"/>
    <w:rsid w:val="0012364F"/>
    <w:rsid w:val="001236BB"/>
    <w:rsid w:val="0012376A"/>
    <w:rsid w:val="001238F0"/>
    <w:rsid w:val="001238FF"/>
    <w:rsid w:val="00124E08"/>
    <w:rsid w:val="00125195"/>
    <w:rsid w:val="00125540"/>
    <w:rsid w:val="0012570F"/>
    <w:rsid w:val="00125A76"/>
    <w:rsid w:val="001262EE"/>
    <w:rsid w:val="00126E61"/>
    <w:rsid w:val="00127230"/>
    <w:rsid w:val="001278AC"/>
    <w:rsid w:val="00127EC4"/>
    <w:rsid w:val="00127F73"/>
    <w:rsid w:val="001302A1"/>
    <w:rsid w:val="00130426"/>
    <w:rsid w:val="0013152A"/>
    <w:rsid w:val="001324E3"/>
    <w:rsid w:val="001327F3"/>
    <w:rsid w:val="0013414E"/>
    <w:rsid w:val="00134627"/>
    <w:rsid w:val="0013464B"/>
    <w:rsid w:val="00134733"/>
    <w:rsid w:val="0013580E"/>
    <w:rsid w:val="001366FB"/>
    <w:rsid w:val="00140B9E"/>
    <w:rsid w:val="00142993"/>
    <w:rsid w:val="00143646"/>
    <w:rsid w:val="001438C3"/>
    <w:rsid w:val="0014390B"/>
    <w:rsid w:val="00143A90"/>
    <w:rsid w:val="00143C69"/>
    <w:rsid w:val="00143CDE"/>
    <w:rsid w:val="00143DE4"/>
    <w:rsid w:val="0014415B"/>
    <w:rsid w:val="00144997"/>
    <w:rsid w:val="0014509F"/>
    <w:rsid w:val="0014536C"/>
    <w:rsid w:val="0014564F"/>
    <w:rsid w:val="00145F08"/>
    <w:rsid w:val="0014628C"/>
    <w:rsid w:val="00146433"/>
    <w:rsid w:val="00146BFE"/>
    <w:rsid w:val="0014710C"/>
    <w:rsid w:val="0014714D"/>
    <w:rsid w:val="00147254"/>
    <w:rsid w:val="00147771"/>
    <w:rsid w:val="00147A43"/>
    <w:rsid w:val="001502BE"/>
    <w:rsid w:val="0015085D"/>
    <w:rsid w:val="00150ECE"/>
    <w:rsid w:val="0015160F"/>
    <w:rsid w:val="0015189D"/>
    <w:rsid w:val="00152EB5"/>
    <w:rsid w:val="0015309D"/>
    <w:rsid w:val="001537BC"/>
    <w:rsid w:val="0015396C"/>
    <w:rsid w:val="001541F6"/>
    <w:rsid w:val="00154826"/>
    <w:rsid w:val="00154950"/>
    <w:rsid w:val="001553CA"/>
    <w:rsid w:val="0015636A"/>
    <w:rsid w:val="00156AD6"/>
    <w:rsid w:val="00157164"/>
    <w:rsid w:val="00160F3D"/>
    <w:rsid w:val="001614E7"/>
    <w:rsid w:val="00161721"/>
    <w:rsid w:val="00161D97"/>
    <w:rsid w:val="00161FB7"/>
    <w:rsid w:val="00161FC4"/>
    <w:rsid w:val="001620D5"/>
    <w:rsid w:val="00162653"/>
    <w:rsid w:val="00162B42"/>
    <w:rsid w:val="00162BB0"/>
    <w:rsid w:val="00162F65"/>
    <w:rsid w:val="00163957"/>
    <w:rsid w:val="00163B10"/>
    <w:rsid w:val="00163CD5"/>
    <w:rsid w:val="001640F2"/>
    <w:rsid w:val="00164187"/>
    <w:rsid w:val="001643D0"/>
    <w:rsid w:val="00164C3D"/>
    <w:rsid w:val="00165FCB"/>
    <w:rsid w:val="001662AD"/>
    <w:rsid w:val="001663FA"/>
    <w:rsid w:val="00167188"/>
    <w:rsid w:val="00167255"/>
    <w:rsid w:val="00167A99"/>
    <w:rsid w:val="00170118"/>
    <w:rsid w:val="001705AA"/>
    <w:rsid w:val="001711AB"/>
    <w:rsid w:val="001711E9"/>
    <w:rsid w:val="00171698"/>
    <w:rsid w:val="001718A3"/>
    <w:rsid w:val="00171C97"/>
    <w:rsid w:val="00171D49"/>
    <w:rsid w:val="001725A3"/>
    <w:rsid w:val="0017288C"/>
    <w:rsid w:val="00172AFE"/>
    <w:rsid w:val="00173038"/>
    <w:rsid w:val="0017373A"/>
    <w:rsid w:val="00174339"/>
    <w:rsid w:val="00174955"/>
    <w:rsid w:val="00174C25"/>
    <w:rsid w:val="0017507D"/>
    <w:rsid w:val="00175A69"/>
    <w:rsid w:val="00176036"/>
    <w:rsid w:val="001767D0"/>
    <w:rsid w:val="001767FA"/>
    <w:rsid w:val="001777B3"/>
    <w:rsid w:val="00177AB5"/>
    <w:rsid w:val="00177EFE"/>
    <w:rsid w:val="001804A0"/>
    <w:rsid w:val="00180706"/>
    <w:rsid w:val="00181370"/>
    <w:rsid w:val="00181573"/>
    <w:rsid w:val="00181ED6"/>
    <w:rsid w:val="00182813"/>
    <w:rsid w:val="0018309B"/>
    <w:rsid w:val="001832BB"/>
    <w:rsid w:val="001833C9"/>
    <w:rsid w:val="001833F1"/>
    <w:rsid w:val="0018354B"/>
    <w:rsid w:val="00183824"/>
    <w:rsid w:val="0018477A"/>
    <w:rsid w:val="0018498B"/>
    <w:rsid w:val="00184ADF"/>
    <w:rsid w:val="00184D5B"/>
    <w:rsid w:val="00184E93"/>
    <w:rsid w:val="0018590E"/>
    <w:rsid w:val="00185B20"/>
    <w:rsid w:val="001863A6"/>
    <w:rsid w:val="001863EC"/>
    <w:rsid w:val="00186443"/>
    <w:rsid w:val="00186702"/>
    <w:rsid w:val="001869C0"/>
    <w:rsid w:val="00186A95"/>
    <w:rsid w:val="00186DF8"/>
    <w:rsid w:val="00186E5D"/>
    <w:rsid w:val="00186F18"/>
    <w:rsid w:val="00187A9D"/>
    <w:rsid w:val="001900AA"/>
    <w:rsid w:val="001902A5"/>
    <w:rsid w:val="001904B0"/>
    <w:rsid w:val="00190B80"/>
    <w:rsid w:val="0019156C"/>
    <w:rsid w:val="00191A3C"/>
    <w:rsid w:val="00192008"/>
    <w:rsid w:val="0019283A"/>
    <w:rsid w:val="00193083"/>
    <w:rsid w:val="001932AB"/>
    <w:rsid w:val="00193D4C"/>
    <w:rsid w:val="00194591"/>
    <w:rsid w:val="001946D5"/>
    <w:rsid w:val="00194A64"/>
    <w:rsid w:val="00194D21"/>
    <w:rsid w:val="001960E2"/>
    <w:rsid w:val="00196B57"/>
    <w:rsid w:val="00197057"/>
    <w:rsid w:val="001971F6"/>
    <w:rsid w:val="001A03E4"/>
    <w:rsid w:val="001A1658"/>
    <w:rsid w:val="001A1803"/>
    <w:rsid w:val="001A18C2"/>
    <w:rsid w:val="001A308D"/>
    <w:rsid w:val="001A3730"/>
    <w:rsid w:val="001A3E7D"/>
    <w:rsid w:val="001A4177"/>
    <w:rsid w:val="001A45AE"/>
    <w:rsid w:val="001A4B4E"/>
    <w:rsid w:val="001A50E8"/>
    <w:rsid w:val="001A55CD"/>
    <w:rsid w:val="001A588B"/>
    <w:rsid w:val="001A63CE"/>
    <w:rsid w:val="001A6DDF"/>
    <w:rsid w:val="001A7124"/>
    <w:rsid w:val="001A7588"/>
    <w:rsid w:val="001A78EF"/>
    <w:rsid w:val="001A7A8F"/>
    <w:rsid w:val="001B0EA5"/>
    <w:rsid w:val="001B2354"/>
    <w:rsid w:val="001B2563"/>
    <w:rsid w:val="001B36BC"/>
    <w:rsid w:val="001B398F"/>
    <w:rsid w:val="001B3BB8"/>
    <w:rsid w:val="001B3D28"/>
    <w:rsid w:val="001B3DF7"/>
    <w:rsid w:val="001B4E8D"/>
    <w:rsid w:val="001B5740"/>
    <w:rsid w:val="001B5825"/>
    <w:rsid w:val="001B5A44"/>
    <w:rsid w:val="001B5B38"/>
    <w:rsid w:val="001B6068"/>
    <w:rsid w:val="001B6469"/>
    <w:rsid w:val="001B675C"/>
    <w:rsid w:val="001B6D4C"/>
    <w:rsid w:val="001B6D6B"/>
    <w:rsid w:val="001B6DA6"/>
    <w:rsid w:val="001B7079"/>
    <w:rsid w:val="001B76A9"/>
    <w:rsid w:val="001B7B5A"/>
    <w:rsid w:val="001C08FB"/>
    <w:rsid w:val="001C0F2A"/>
    <w:rsid w:val="001C1468"/>
    <w:rsid w:val="001C1812"/>
    <w:rsid w:val="001C1CA9"/>
    <w:rsid w:val="001C32B9"/>
    <w:rsid w:val="001C3991"/>
    <w:rsid w:val="001C41E4"/>
    <w:rsid w:val="001C4379"/>
    <w:rsid w:val="001C5ECE"/>
    <w:rsid w:val="001C60A5"/>
    <w:rsid w:val="001C68CE"/>
    <w:rsid w:val="001C73B7"/>
    <w:rsid w:val="001C7E19"/>
    <w:rsid w:val="001D036A"/>
    <w:rsid w:val="001D077E"/>
    <w:rsid w:val="001D0903"/>
    <w:rsid w:val="001D1437"/>
    <w:rsid w:val="001D24F7"/>
    <w:rsid w:val="001D26A3"/>
    <w:rsid w:val="001D3523"/>
    <w:rsid w:val="001D4ACF"/>
    <w:rsid w:val="001D58A8"/>
    <w:rsid w:val="001D60A3"/>
    <w:rsid w:val="001D637C"/>
    <w:rsid w:val="001D6661"/>
    <w:rsid w:val="001D67B1"/>
    <w:rsid w:val="001D743A"/>
    <w:rsid w:val="001D7A4D"/>
    <w:rsid w:val="001E0352"/>
    <w:rsid w:val="001E0378"/>
    <w:rsid w:val="001E0993"/>
    <w:rsid w:val="001E1ED6"/>
    <w:rsid w:val="001E1F22"/>
    <w:rsid w:val="001E24AE"/>
    <w:rsid w:val="001E2929"/>
    <w:rsid w:val="001E2D1B"/>
    <w:rsid w:val="001E3C2E"/>
    <w:rsid w:val="001E3D05"/>
    <w:rsid w:val="001E4196"/>
    <w:rsid w:val="001E4576"/>
    <w:rsid w:val="001E482D"/>
    <w:rsid w:val="001E57C4"/>
    <w:rsid w:val="001E6668"/>
    <w:rsid w:val="001E6930"/>
    <w:rsid w:val="001E6D70"/>
    <w:rsid w:val="001E6F69"/>
    <w:rsid w:val="001E716A"/>
    <w:rsid w:val="001E73A1"/>
    <w:rsid w:val="001E7614"/>
    <w:rsid w:val="001E7E31"/>
    <w:rsid w:val="001E7FEF"/>
    <w:rsid w:val="001F02FA"/>
    <w:rsid w:val="001F122E"/>
    <w:rsid w:val="001F12A7"/>
    <w:rsid w:val="001F1324"/>
    <w:rsid w:val="001F1B7A"/>
    <w:rsid w:val="001F1C22"/>
    <w:rsid w:val="001F343F"/>
    <w:rsid w:val="001F5E73"/>
    <w:rsid w:val="001F637A"/>
    <w:rsid w:val="001F674E"/>
    <w:rsid w:val="001F6FB1"/>
    <w:rsid w:val="001F717A"/>
    <w:rsid w:val="001F71C4"/>
    <w:rsid w:val="00200C2E"/>
    <w:rsid w:val="00201EC9"/>
    <w:rsid w:val="00202389"/>
    <w:rsid w:val="002029B8"/>
    <w:rsid w:val="00202ECE"/>
    <w:rsid w:val="00203750"/>
    <w:rsid w:val="00203EB9"/>
    <w:rsid w:val="0020422E"/>
    <w:rsid w:val="0020452A"/>
    <w:rsid w:val="002050A4"/>
    <w:rsid w:val="002054F1"/>
    <w:rsid w:val="002055A5"/>
    <w:rsid w:val="00205715"/>
    <w:rsid w:val="0020608D"/>
    <w:rsid w:val="00206BF6"/>
    <w:rsid w:val="00206D15"/>
    <w:rsid w:val="00207069"/>
    <w:rsid w:val="0020741C"/>
    <w:rsid w:val="00207BF6"/>
    <w:rsid w:val="00207C18"/>
    <w:rsid w:val="00207DC1"/>
    <w:rsid w:val="002100B6"/>
    <w:rsid w:val="00210450"/>
    <w:rsid w:val="00210CFD"/>
    <w:rsid w:val="00210DD1"/>
    <w:rsid w:val="002117DC"/>
    <w:rsid w:val="00211CEA"/>
    <w:rsid w:val="002120AF"/>
    <w:rsid w:val="00212144"/>
    <w:rsid w:val="00212357"/>
    <w:rsid w:val="0021302C"/>
    <w:rsid w:val="0021325D"/>
    <w:rsid w:val="0021451A"/>
    <w:rsid w:val="002153EF"/>
    <w:rsid w:val="002157ED"/>
    <w:rsid w:val="00215E52"/>
    <w:rsid w:val="0021633F"/>
    <w:rsid w:val="002168E8"/>
    <w:rsid w:val="00217C55"/>
    <w:rsid w:val="002206C2"/>
    <w:rsid w:val="002207E4"/>
    <w:rsid w:val="002220DB"/>
    <w:rsid w:val="0022227D"/>
    <w:rsid w:val="002233B2"/>
    <w:rsid w:val="00224CA6"/>
    <w:rsid w:val="00224D32"/>
    <w:rsid w:val="002252BA"/>
    <w:rsid w:val="002259B3"/>
    <w:rsid w:val="00225AA3"/>
    <w:rsid w:val="002263CC"/>
    <w:rsid w:val="00226708"/>
    <w:rsid w:val="002269B0"/>
    <w:rsid w:val="00227180"/>
    <w:rsid w:val="0022753D"/>
    <w:rsid w:val="002279C1"/>
    <w:rsid w:val="002279C5"/>
    <w:rsid w:val="00227CD3"/>
    <w:rsid w:val="00227F55"/>
    <w:rsid w:val="00227F6C"/>
    <w:rsid w:val="0023061E"/>
    <w:rsid w:val="00230A47"/>
    <w:rsid w:val="00230EA5"/>
    <w:rsid w:val="002312BA"/>
    <w:rsid w:val="002315EF"/>
    <w:rsid w:val="0023226C"/>
    <w:rsid w:val="002324E4"/>
    <w:rsid w:val="00232F3A"/>
    <w:rsid w:val="00233C3E"/>
    <w:rsid w:val="00233FCE"/>
    <w:rsid w:val="002352E0"/>
    <w:rsid w:val="00235AAE"/>
    <w:rsid w:val="00235BE1"/>
    <w:rsid w:val="00235C2A"/>
    <w:rsid w:val="00237ECE"/>
    <w:rsid w:val="00240785"/>
    <w:rsid w:val="0024186F"/>
    <w:rsid w:val="00242258"/>
    <w:rsid w:val="00242518"/>
    <w:rsid w:val="00244875"/>
    <w:rsid w:val="0024594D"/>
    <w:rsid w:val="00245CFD"/>
    <w:rsid w:val="00245D6B"/>
    <w:rsid w:val="00246423"/>
    <w:rsid w:val="0024687A"/>
    <w:rsid w:val="002477DE"/>
    <w:rsid w:val="002478DA"/>
    <w:rsid w:val="00250081"/>
    <w:rsid w:val="002501AA"/>
    <w:rsid w:val="00251700"/>
    <w:rsid w:val="0025231F"/>
    <w:rsid w:val="0025359B"/>
    <w:rsid w:val="00253D3C"/>
    <w:rsid w:val="00253F41"/>
    <w:rsid w:val="002541B5"/>
    <w:rsid w:val="0025487F"/>
    <w:rsid w:val="00254967"/>
    <w:rsid w:val="002553BF"/>
    <w:rsid w:val="002557A0"/>
    <w:rsid w:val="002557D3"/>
    <w:rsid w:val="00255E13"/>
    <w:rsid w:val="00256690"/>
    <w:rsid w:val="00256BD4"/>
    <w:rsid w:val="00257474"/>
    <w:rsid w:val="002576DC"/>
    <w:rsid w:val="00257A6B"/>
    <w:rsid w:val="00257AAB"/>
    <w:rsid w:val="00260C1D"/>
    <w:rsid w:val="00260F9E"/>
    <w:rsid w:val="0026235D"/>
    <w:rsid w:val="002624CC"/>
    <w:rsid w:val="002624EE"/>
    <w:rsid w:val="00262940"/>
    <w:rsid w:val="00263709"/>
    <w:rsid w:val="002638EF"/>
    <w:rsid w:val="00265E77"/>
    <w:rsid w:val="00265ECA"/>
    <w:rsid w:val="00266316"/>
    <w:rsid w:val="0026659F"/>
    <w:rsid w:val="00266ADE"/>
    <w:rsid w:val="00266DDB"/>
    <w:rsid w:val="0026775A"/>
    <w:rsid w:val="00270085"/>
    <w:rsid w:val="002708CE"/>
    <w:rsid w:val="00270B2D"/>
    <w:rsid w:val="00270E15"/>
    <w:rsid w:val="00271B84"/>
    <w:rsid w:val="00272381"/>
    <w:rsid w:val="0027244F"/>
    <w:rsid w:val="00273195"/>
    <w:rsid w:val="00273435"/>
    <w:rsid w:val="00273A20"/>
    <w:rsid w:val="00274333"/>
    <w:rsid w:val="00275561"/>
    <w:rsid w:val="00275998"/>
    <w:rsid w:val="00275D79"/>
    <w:rsid w:val="00276B09"/>
    <w:rsid w:val="002770FB"/>
    <w:rsid w:val="002774C8"/>
    <w:rsid w:val="0028014F"/>
    <w:rsid w:val="00280772"/>
    <w:rsid w:val="00280FCB"/>
    <w:rsid w:val="0028170B"/>
    <w:rsid w:val="00282DD9"/>
    <w:rsid w:val="0028323D"/>
    <w:rsid w:val="002841C2"/>
    <w:rsid w:val="00284C7F"/>
    <w:rsid w:val="0028529B"/>
    <w:rsid w:val="00285736"/>
    <w:rsid w:val="00285C83"/>
    <w:rsid w:val="002863A8"/>
    <w:rsid w:val="00286A59"/>
    <w:rsid w:val="002902F7"/>
    <w:rsid w:val="002903AF"/>
    <w:rsid w:val="00290419"/>
    <w:rsid w:val="00290A7F"/>
    <w:rsid w:val="0029112F"/>
    <w:rsid w:val="002914CE"/>
    <w:rsid w:val="00291767"/>
    <w:rsid w:val="0029288F"/>
    <w:rsid w:val="0029336E"/>
    <w:rsid w:val="00293B99"/>
    <w:rsid w:val="002940C3"/>
    <w:rsid w:val="0029421F"/>
    <w:rsid w:val="002942AB"/>
    <w:rsid w:val="00294573"/>
    <w:rsid w:val="002949CC"/>
    <w:rsid w:val="00294B0F"/>
    <w:rsid w:val="002956C2"/>
    <w:rsid w:val="002957F0"/>
    <w:rsid w:val="002962AA"/>
    <w:rsid w:val="002966EA"/>
    <w:rsid w:val="00297816"/>
    <w:rsid w:val="0029784F"/>
    <w:rsid w:val="002A00C9"/>
    <w:rsid w:val="002A14AE"/>
    <w:rsid w:val="002A1AC3"/>
    <w:rsid w:val="002A1F37"/>
    <w:rsid w:val="002A23FB"/>
    <w:rsid w:val="002A30E7"/>
    <w:rsid w:val="002A3154"/>
    <w:rsid w:val="002A3454"/>
    <w:rsid w:val="002A373D"/>
    <w:rsid w:val="002A482E"/>
    <w:rsid w:val="002A54AB"/>
    <w:rsid w:val="002A64D1"/>
    <w:rsid w:val="002A679A"/>
    <w:rsid w:val="002A708F"/>
    <w:rsid w:val="002A70B2"/>
    <w:rsid w:val="002A7AC6"/>
    <w:rsid w:val="002A7F2F"/>
    <w:rsid w:val="002B0B09"/>
    <w:rsid w:val="002B1962"/>
    <w:rsid w:val="002B22D6"/>
    <w:rsid w:val="002B2BBE"/>
    <w:rsid w:val="002B3116"/>
    <w:rsid w:val="002B35FC"/>
    <w:rsid w:val="002B36EE"/>
    <w:rsid w:val="002B44FC"/>
    <w:rsid w:val="002B55D5"/>
    <w:rsid w:val="002B5D75"/>
    <w:rsid w:val="002B6943"/>
    <w:rsid w:val="002B6C1F"/>
    <w:rsid w:val="002B7189"/>
    <w:rsid w:val="002B71D1"/>
    <w:rsid w:val="002B72C1"/>
    <w:rsid w:val="002B7AB0"/>
    <w:rsid w:val="002C01D7"/>
    <w:rsid w:val="002C01FB"/>
    <w:rsid w:val="002C1461"/>
    <w:rsid w:val="002C193D"/>
    <w:rsid w:val="002C1D36"/>
    <w:rsid w:val="002C20C0"/>
    <w:rsid w:val="002C20CE"/>
    <w:rsid w:val="002C37DE"/>
    <w:rsid w:val="002C3B51"/>
    <w:rsid w:val="002C3BBF"/>
    <w:rsid w:val="002C3C31"/>
    <w:rsid w:val="002C3EA8"/>
    <w:rsid w:val="002C42A5"/>
    <w:rsid w:val="002C452F"/>
    <w:rsid w:val="002C46C8"/>
    <w:rsid w:val="002C48E2"/>
    <w:rsid w:val="002C4D6F"/>
    <w:rsid w:val="002C53FB"/>
    <w:rsid w:val="002C59CE"/>
    <w:rsid w:val="002C5A88"/>
    <w:rsid w:val="002C5EFF"/>
    <w:rsid w:val="002C605A"/>
    <w:rsid w:val="002C61F1"/>
    <w:rsid w:val="002C6298"/>
    <w:rsid w:val="002C64ED"/>
    <w:rsid w:val="002C75CA"/>
    <w:rsid w:val="002C7853"/>
    <w:rsid w:val="002C7AE1"/>
    <w:rsid w:val="002D06E9"/>
    <w:rsid w:val="002D0C61"/>
    <w:rsid w:val="002D13E8"/>
    <w:rsid w:val="002D180A"/>
    <w:rsid w:val="002D19B5"/>
    <w:rsid w:val="002D1DB1"/>
    <w:rsid w:val="002D22CA"/>
    <w:rsid w:val="002D28F3"/>
    <w:rsid w:val="002D2DD6"/>
    <w:rsid w:val="002D32EB"/>
    <w:rsid w:val="002D4368"/>
    <w:rsid w:val="002D4476"/>
    <w:rsid w:val="002D514E"/>
    <w:rsid w:val="002D5656"/>
    <w:rsid w:val="002D69D8"/>
    <w:rsid w:val="002D6A33"/>
    <w:rsid w:val="002D6EE8"/>
    <w:rsid w:val="002D740F"/>
    <w:rsid w:val="002D7BC0"/>
    <w:rsid w:val="002D7DF9"/>
    <w:rsid w:val="002E05F5"/>
    <w:rsid w:val="002E0800"/>
    <w:rsid w:val="002E0C00"/>
    <w:rsid w:val="002E12B5"/>
    <w:rsid w:val="002E190D"/>
    <w:rsid w:val="002E1DB4"/>
    <w:rsid w:val="002E1ED3"/>
    <w:rsid w:val="002E20E3"/>
    <w:rsid w:val="002E2600"/>
    <w:rsid w:val="002E2F36"/>
    <w:rsid w:val="002E47BE"/>
    <w:rsid w:val="002E4A69"/>
    <w:rsid w:val="002E4D7D"/>
    <w:rsid w:val="002E59CB"/>
    <w:rsid w:val="002E5AB9"/>
    <w:rsid w:val="002E5C26"/>
    <w:rsid w:val="002E75C1"/>
    <w:rsid w:val="002E7C19"/>
    <w:rsid w:val="002E7C59"/>
    <w:rsid w:val="002E7F73"/>
    <w:rsid w:val="002F02E0"/>
    <w:rsid w:val="002F035F"/>
    <w:rsid w:val="002F0C19"/>
    <w:rsid w:val="002F123F"/>
    <w:rsid w:val="002F2319"/>
    <w:rsid w:val="002F24F7"/>
    <w:rsid w:val="002F26BD"/>
    <w:rsid w:val="002F29EA"/>
    <w:rsid w:val="002F3256"/>
    <w:rsid w:val="002F33AE"/>
    <w:rsid w:val="002F497F"/>
    <w:rsid w:val="002F4BE0"/>
    <w:rsid w:val="002F51C2"/>
    <w:rsid w:val="002F54C0"/>
    <w:rsid w:val="002F6647"/>
    <w:rsid w:val="002F6DF9"/>
    <w:rsid w:val="00302309"/>
    <w:rsid w:val="0030265E"/>
    <w:rsid w:val="00303255"/>
    <w:rsid w:val="00303378"/>
    <w:rsid w:val="003036C1"/>
    <w:rsid w:val="00303AF4"/>
    <w:rsid w:val="003048E9"/>
    <w:rsid w:val="00304D5A"/>
    <w:rsid w:val="0030554D"/>
    <w:rsid w:val="00306E54"/>
    <w:rsid w:val="00307D0A"/>
    <w:rsid w:val="003103DB"/>
    <w:rsid w:val="00310A07"/>
    <w:rsid w:val="0031159C"/>
    <w:rsid w:val="00311B4C"/>
    <w:rsid w:val="0031212A"/>
    <w:rsid w:val="003125E8"/>
    <w:rsid w:val="00312E37"/>
    <w:rsid w:val="00313605"/>
    <w:rsid w:val="00313FA5"/>
    <w:rsid w:val="0031438B"/>
    <w:rsid w:val="0031445E"/>
    <w:rsid w:val="003147BA"/>
    <w:rsid w:val="00314920"/>
    <w:rsid w:val="003162F3"/>
    <w:rsid w:val="003201AF"/>
    <w:rsid w:val="00321A8F"/>
    <w:rsid w:val="00321CC8"/>
    <w:rsid w:val="0032216C"/>
    <w:rsid w:val="003227B2"/>
    <w:rsid w:val="0032291B"/>
    <w:rsid w:val="00322B7F"/>
    <w:rsid w:val="00323673"/>
    <w:rsid w:val="0032385A"/>
    <w:rsid w:val="003239BD"/>
    <w:rsid w:val="00323A76"/>
    <w:rsid w:val="003240AC"/>
    <w:rsid w:val="003243F9"/>
    <w:rsid w:val="00325A66"/>
    <w:rsid w:val="00325F38"/>
    <w:rsid w:val="00326DC7"/>
    <w:rsid w:val="0032719C"/>
    <w:rsid w:val="003271F5"/>
    <w:rsid w:val="0032766F"/>
    <w:rsid w:val="003302A1"/>
    <w:rsid w:val="003307FA"/>
    <w:rsid w:val="00330D76"/>
    <w:rsid w:val="00332C33"/>
    <w:rsid w:val="00332EA4"/>
    <w:rsid w:val="00332F95"/>
    <w:rsid w:val="0033324D"/>
    <w:rsid w:val="00333344"/>
    <w:rsid w:val="00333519"/>
    <w:rsid w:val="00333546"/>
    <w:rsid w:val="00333913"/>
    <w:rsid w:val="00334A2E"/>
    <w:rsid w:val="00334A83"/>
    <w:rsid w:val="00334DF4"/>
    <w:rsid w:val="0033596D"/>
    <w:rsid w:val="00335AD5"/>
    <w:rsid w:val="003364CA"/>
    <w:rsid w:val="00336540"/>
    <w:rsid w:val="0033666B"/>
    <w:rsid w:val="0033671A"/>
    <w:rsid w:val="00336A2E"/>
    <w:rsid w:val="00336C0C"/>
    <w:rsid w:val="00337857"/>
    <w:rsid w:val="003378E3"/>
    <w:rsid w:val="00337C08"/>
    <w:rsid w:val="00337CE6"/>
    <w:rsid w:val="003404C1"/>
    <w:rsid w:val="00340CE5"/>
    <w:rsid w:val="00340CFB"/>
    <w:rsid w:val="0034138D"/>
    <w:rsid w:val="0034192A"/>
    <w:rsid w:val="00341DA1"/>
    <w:rsid w:val="0034267B"/>
    <w:rsid w:val="00342D5B"/>
    <w:rsid w:val="003438DD"/>
    <w:rsid w:val="00344400"/>
    <w:rsid w:val="00345438"/>
    <w:rsid w:val="00345493"/>
    <w:rsid w:val="00346175"/>
    <w:rsid w:val="0034731D"/>
    <w:rsid w:val="00347529"/>
    <w:rsid w:val="00347ACA"/>
    <w:rsid w:val="0035020C"/>
    <w:rsid w:val="003504CC"/>
    <w:rsid w:val="00350905"/>
    <w:rsid w:val="00350E21"/>
    <w:rsid w:val="00350F05"/>
    <w:rsid w:val="00352238"/>
    <w:rsid w:val="0035264B"/>
    <w:rsid w:val="003536B1"/>
    <w:rsid w:val="00353B73"/>
    <w:rsid w:val="00354051"/>
    <w:rsid w:val="003541B3"/>
    <w:rsid w:val="00354676"/>
    <w:rsid w:val="00355497"/>
    <w:rsid w:val="0035594A"/>
    <w:rsid w:val="00355B45"/>
    <w:rsid w:val="00355CE9"/>
    <w:rsid w:val="00355F2B"/>
    <w:rsid w:val="00356941"/>
    <w:rsid w:val="00356BEF"/>
    <w:rsid w:val="003609E9"/>
    <w:rsid w:val="00361255"/>
    <w:rsid w:val="0036134B"/>
    <w:rsid w:val="003613F4"/>
    <w:rsid w:val="0036219D"/>
    <w:rsid w:val="00362BB3"/>
    <w:rsid w:val="00362DEC"/>
    <w:rsid w:val="0036307B"/>
    <w:rsid w:val="0036332C"/>
    <w:rsid w:val="00363778"/>
    <w:rsid w:val="00364E17"/>
    <w:rsid w:val="00364F1A"/>
    <w:rsid w:val="0036507D"/>
    <w:rsid w:val="00365197"/>
    <w:rsid w:val="0036543C"/>
    <w:rsid w:val="00365B50"/>
    <w:rsid w:val="0036629D"/>
    <w:rsid w:val="003678D1"/>
    <w:rsid w:val="00367E49"/>
    <w:rsid w:val="00367F8E"/>
    <w:rsid w:val="00370B35"/>
    <w:rsid w:val="00370B70"/>
    <w:rsid w:val="00371026"/>
    <w:rsid w:val="0037312D"/>
    <w:rsid w:val="003731F1"/>
    <w:rsid w:val="003734FC"/>
    <w:rsid w:val="00373889"/>
    <w:rsid w:val="00373DE3"/>
    <w:rsid w:val="0037423F"/>
    <w:rsid w:val="003746DD"/>
    <w:rsid w:val="00374978"/>
    <w:rsid w:val="003750A7"/>
    <w:rsid w:val="00375D08"/>
    <w:rsid w:val="00376956"/>
    <w:rsid w:val="003769EF"/>
    <w:rsid w:val="00376A7F"/>
    <w:rsid w:val="003774D2"/>
    <w:rsid w:val="0037762A"/>
    <w:rsid w:val="0038003E"/>
    <w:rsid w:val="00381925"/>
    <w:rsid w:val="003819C8"/>
    <w:rsid w:val="00381B3F"/>
    <w:rsid w:val="00382836"/>
    <w:rsid w:val="00382C1D"/>
    <w:rsid w:val="003831EE"/>
    <w:rsid w:val="00383513"/>
    <w:rsid w:val="00385A1B"/>
    <w:rsid w:val="00385C75"/>
    <w:rsid w:val="00385FFC"/>
    <w:rsid w:val="003862D9"/>
    <w:rsid w:val="00386614"/>
    <w:rsid w:val="00386FB6"/>
    <w:rsid w:val="003872F9"/>
    <w:rsid w:val="003914C0"/>
    <w:rsid w:val="00391B7B"/>
    <w:rsid w:val="00392C98"/>
    <w:rsid w:val="00392EE9"/>
    <w:rsid w:val="00393B5F"/>
    <w:rsid w:val="0039406C"/>
    <w:rsid w:val="00394113"/>
    <w:rsid w:val="00394267"/>
    <w:rsid w:val="00394392"/>
    <w:rsid w:val="00394A84"/>
    <w:rsid w:val="00394B84"/>
    <w:rsid w:val="003952C0"/>
    <w:rsid w:val="00395870"/>
    <w:rsid w:val="00395D5E"/>
    <w:rsid w:val="00396A88"/>
    <w:rsid w:val="00396FA3"/>
    <w:rsid w:val="00397124"/>
    <w:rsid w:val="003975B5"/>
    <w:rsid w:val="00397F71"/>
    <w:rsid w:val="00397FD8"/>
    <w:rsid w:val="003A03BA"/>
    <w:rsid w:val="003A14FB"/>
    <w:rsid w:val="003A1CF9"/>
    <w:rsid w:val="003A1E9C"/>
    <w:rsid w:val="003A217F"/>
    <w:rsid w:val="003A24F6"/>
    <w:rsid w:val="003A433A"/>
    <w:rsid w:val="003A5590"/>
    <w:rsid w:val="003A5FDD"/>
    <w:rsid w:val="003A60A6"/>
    <w:rsid w:val="003A6B02"/>
    <w:rsid w:val="003A6CFC"/>
    <w:rsid w:val="003A78B9"/>
    <w:rsid w:val="003B0015"/>
    <w:rsid w:val="003B1160"/>
    <w:rsid w:val="003B15E2"/>
    <w:rsid w:val="003B1721"/>
    <w:rsid w:val="003B1D6D"/>
    <w:rsid w:val="003B2320"/>
    <w:rsid w:val="003B25F6"/>
    <w:rsid w:val="003B2871"/>
    <w:rsid w:val="003B314E"/>
    <w:rsid w:val="003B3704"/>
    <w:rsid w:val="003B3726"/>
    <w:rsid w:val="003B3A96"/>
    <w:rsid w:val="003B3B50"/>
    <w:rsid w:val="003B40EC"/>
    <w:rsid w:val="003B4118"/>
    <w:rsid w:val="003B48EC"/>
    <w:rsid w:val="003B4CC6"/>
    <w:rsid w:val="003B5C90"/>
    <w:rsid w:val="003B61BD"/>
    <w:rsid w:val="003B6239"/>
    <w:rsid w:val="003B66DC"/>
    <w:rsid w:val="003B78B5"/>
    <w:rsid w:val="003B7DEC"/>
    <w:rsid w:val="003B7EE3"/>
    <w:rsid w:val="003C00F9"/>
    <w:rsid w:val="003C0D81"/>
    <w:rsid w:val="003C1156"/>
    <w:rsid w:val="003C120F"/>
    <w:rsid w:val="003C14A5"/>
    <w:rsid w:val="003C1EE9"/>
    <w:rsid w:val="003C216A"/>
    <w:rsid w:val="003C2440"/>
    <w:rsid w:val="003C2A35"/>
    <w:rsid w:val="003C40F7"/>
    <w:rsid w:val="003C45B8"/>
    <w:rsid w:val="003C5381"/>
    <w:rsid w:val="003C563F"/>
    <w:rsid w:val="003C675B"/>
    <w:rsid w:val="003C77E1"/>
    <w:rsid w:val="003C7AAC"/>
    <w:rsid w:val="003C7C4B"/>
    <w:rsid w:val="003D07F9"/>
    <w:rsid w:val="003D10DC"/>
    <w:rsid w:val="003D1185"/>
    <w:rsid w:val="003D16D5"/>
    <w:rsid w:val="003D1E03"/>
    <w:rsid w:val="003D271D"/>
    <w:rsid w:val="003D2E0E"/>
    <w:rsid w:val="003D3826"/>
    <w:rsid w:val="003D4020"/>
    <w:rsid w:val="003D6527"/>
    <w:rsid w:val="003D6B00"/>
    <w:rsid w:val="003D6C0C"/>
    <w:rsid w:val="003D6DCB"/>
    <w:rsid w:val="003D77C2"/>
    <w:rsid w:val="003D7B84"/>
    <w:rsid w:val="003D7E74"/>
    <w:rsid w:val="003E0F4E"/>
    <w:rsid w:val="003E1619"/>
    <w:rsid w:val="003E1950"/>
    <w:rsid w:val="003E1F02"/>
    <w:rsid w:val="003E21C4"/>
    <w:rsid w:val="003E268B"/>
    <w:rsid w:val="003E322F"/>
    <w:rsid w:val="003E3905"/>
    <w:rsid w:val="003E3BF3"/>
    <w:rsid w:val="003E3F19"/>
    <w:rsid w:val="003E41B6"/>
    <w:rsid w:val="003E4BE3"/>
    <w:rsid w:val="003E5940"/>
    <w:rsid w:val="003E5A95"/>
    <w:rsid w:val="003E6AA0"/>
    <w:rsid w:val="003E750C"/>
    <w:rsid w:val="003F0143"/>
    <w:rsid w:val="003F100F"/>
    <w:rsid w:val="003F1A79"/>
    <w:rsid w:val="003F1BFD"/>
    <w:rsid w:val="003F1C61"/>
    <w:rsid w:val="003F2873"/>
    <w:rsid w:val="003F2B47"/>
    <w:rsid w:val="003F3103"/>
    <w:rsid w:val="003F32FF"/>
    <w:rsid w:val="003F3562"/>
    <w:rsid w:val="003F37C8"/>
    <w:rsid w:val="003F385F"/>
    <w:rsid w:val="003F3B12"/>
    <w:rsid w:val="003F3C03"/>
    <w:rsid w:val="003F3DCA"/>
    <w:rsid w:val="003F44D7"/>
    <w:rsid w:val="003F45AF"/>
    <w:rsid w:val="003F4D3B"/>
    <w:rsid w:val="003F5364"/>
    <w:rsid w:val="003F6366"/>
    <w:rsid w:val="003F6689"/>
    <w:rsid w:val="003F6866"/>
    <w:rsid w:val="003F7946"/>
    <w:rsid w:val="003F7C19"/>
    <w:rsid w:val="004025CB"/>
    <w:rsid w:val="004033A6"/>
    <w:rsid w:val="004038EA"/>
    <w:rsid w:val="00403AA1"/>
    <w:rsid w:val="004044F6"/>
    <w:rsid w:val="004046A0"/>
    <w:rsid w:val="00404703"/>
    <w:rsid w:val="0040515A"/>
    <w:rsid w:val="00405770"/>
    <w:rsid w:val="00405EA3"/>
    <w:rsid w:val="004064DB"/>
    <w:rsid w:val="00406558"/>
    <w:rsid w:val="00406607"/>
    <w:rsid w:val="004067E5"/>
    <w:rsid w:val="00406DA3"/>
    <w:rsid w:val="00407392"/>
    <w:rsid w:val="00407A5C"/>
    <w:rsid w:val="00407AE5"/>
    <w:rsid w:val="00407C09"/>
    <w:rsid w:val="00407FB2"/>
    <w:rsid w:val="004114A8"/>
    <w:rsid w:val="00413F52"/>
    <w:rsid w:val="004140C3"/>
    <w:rsid w:val="004144FE"/>
    <w:rsid w:val="00414930"/>
    <w:rsid w:val="00414A9F"/>
    <w:rsid w:val="0041527D"/>
    <w:rsid w:val="004156A1"/>
    <w:rsid w:val="0041574E"/>
    <w:rsid w:val="0041595F"/>
    <w:rsid w:val="00415F81"/>
    <w:rsid w:val="0041633B"/>
    <w:rsid w:val="0041676D"/>
    <w:rsid w:val="004167D6"/>
    <w:rsid w:val="00416C5F"/>
    <w:rsid w:val="00417806"/>
    <w:rsid w:val="0042158C"/>
    <w:rsid w:val="004224AE"/>
    <w:rsid w:val="00422D1D"/>
    <w:rsid w:val="00422D63"/>
    <w:rsid w:val="00422E00"/>
    <w:rsid w:val="00422E23"/>
    <w:rsid w:val="0042315F"/>
    <w:rsid w:val="00423C03"/>
    <w:rsid w:val="00424A18"/>
    <w:rsid w:val="004251E0"/>
    <w:rsid w:val="00425331"/>
    <w:rsid w:val="004259A2"/>
    <w:rsid w:val="004262A8"/>
    <w:rsid w:val="00426F45"/>
    <w:rsid w:val="00427189"/>
    <w:rsid w:val="004275F7"/>
    <w:rsid w:val="0042797F"/>
    <w:rsid w:val="00427C03"/>
    <w:rsid w:val="00430417"/>
    <w:rsid w:val="00432420"/>
    <w:rsid w:val="00432492"/>
    <w:rsid w:val="00432AF6"/>
    <w:rsid w:val="00432C9F"/>
    <w:rsid w:val="0043318F"/>
    <w:rsid w:val="00433C34"/>
    <w:rsid w:val="0043400A"/>
    <w:rsid w:val="0043466B"/>
    <w:rsid w:val="0043484F"/>
    <w:rsid w:val="004359F6"/>
    <w:rsid w:val="00435F01"/>
    <w:rsid w:val="00435F0C"/>
    <w:rsid w:val="00435FE4"/>
    <w:rsid w:val="00436301"/>
    <w:rsid w:val="00436797"/>
    <w:rsid w:val="004371E3"/>
    <w:rsid w:val="0043727C"/>
    <w:rsid w:val="0043746D"/>
    <w:rsid w:val="00437582"/>
    <w:rsid w:val="004376EB"/>
    <w:rsid w:val="0044058F"/>
    <w:rsid w:val="004419F2"/>
    <w:rsid w:val="00442473"/>
    <w:rsid w:val="00443745"/>
    <w:rsid w:val="00443F1B"/>
    <w:rsid w:val="00445082"/>
    <w:rsid w:val="00445194"/>
    <w:rsid w:val="00445FE3"/>
    <w:rsid w:val="004466F2"/>
    <w:rsid w:val="00447F1E"/>
    <w:rsid w:val="0045045F"/>
    <w:rsid w:val="004504CB"/>
    <w:rsid w:val="004505EF"/>
    <w:rsid w:val="004507E5"/>
    <w:rsid w:val="004507FC"/>
    <w:rsid w:val="004513D4"/>
    <w:rsid w:val="00451981"/>
    <w:rsid w:val="0045296F"/>
    <w:rsid w:val="0045472D"/>
    <w:rsid w:val="00454737"/>
    <w:rsid w:val="00456AE2"/>
    <w:rsid w:val="00456DE5"/>
    <w:rsid w:val="004602B5"/>
    <w:rsid w:val="0046148B"/>
    <w:rsid w:val="004614E0"/>
    <w:rsid w:val="004618BA"/>
    <w:rsid w:val="004619A4"/>
    <w:rsid w:val="00461C51"/>
    <w:rsid w:val="0046277C"/>
    <w:rsid w:val="0046287E"/>
    <w:rsid w:val="00462D26"/>
    <w:rsid w:val="004630CE"/>
    <w:rsid w:val="00464E11"/>
    <w:rsid w:val="004656AF"/>
    <w:rsid w:val="0046603B"/>
    <w:rsid w:val="004666BC"/>
    <w:rsid w:val="00467053"/>
    <w:rsid w:val="00467292"/>
    <w:rsid w:val="0046799C"/>
    <w:rsid w:val="004703D4"/>
    <w:rsid w:val="004705C9"/>
    <w:rsid w:val="00470BD0"/>
    <w:rsid w:val="00470F54"/>
    <w:rsid w:val="00471DBA"/>
    <w:rsid w:val="0047229B"/>
    <w:rsid w:val="004722B7"/>
    <w:rsid w:val="004722CD"/>
    <w:rsid w:val="004729B6"/>
    <w:rsid w:val="004743DB"/>
    <w:rsid w:val="00474521"/>
    <w:rsid w:val="004747DC"/>
    <w:rsid w:val="00474C77"/>
    <w:rsid w:val="00476816"/>
    <w:rsid w:val="00476C9D"/>
    <w:rsid w:val="00477AD3"/>
    <w:rsid w:val="004800C2"/>
    <w:rsid w:val="00480779"/>
    <w:rsid w:val="0048174D"/>
    <w:rsid w:val="00481A70"/>
    <w:rsid w:val="00481D65"/>
    <w:rsid w:val="0048210F"/>
    <w:rsid w:val="00482B10"/>
    <w:rsid w:val="00482D5C"/>
    <w:rsid w:val="00482EF6"/>
    <w:rsid w:val="0048315D"/>
    <w:rsid w:val="0048345C"/>
    <w:rsid w:val="004834A0"/>
    <w:rsid w:val="004840F6"/>
    <w:rsid w:val="004841BE"/>
    <w:rsid w:val="00484662"/>
    <w:rsid w:val="00484A5B"/>
    <w:rsid w:val="004850EB"/>
    <w:rsid w:val="00485327"/>
    <w:rsid w:val="00485AC8"/>
    <w:rsid w:val="00487BA2"/>
    <w:rsid w:val="00490222"/>
    <w:rsid w:val="004902B8"/>
    <w:rsid w:val="004912DA"/>
    <w:rsid w:val="00491546"/>
    <w:rsid w:val="00491752"/>
    <w:rsid w:val="0049218E"/>
    <w:rsid w:val="00492340"/>
    <w:rsid w:val="00492CE5"/>
    <w:rsid w:val="0049393B"/>
    <w:rsid w:val="004949FF"/>
    <w:rsid w:val="00494F93"/>
    <w:rsid w:val="00495096"/>
    <w:rsid w:val="00495978"/>
    <w:rsid w:val="00495F96"/>
    <w:rsid w:val="004962F4"/>
    <w:rsid w:val="00496821"/>
    <w:rsid w:val="00496B9C"/>
    <w:rsid w:val="00496CEB"/>
    <w:rsid w:val="004971F0"/>
    <w:rsid w:val="004973D2"/>
    <w:rsid w:val="0049762F"/>
    <w:rsid w:val="004A02D0"/>
    <w:rsid w:val="004A11DE"/>
    <w:rsid w:val="004A1291"/>
    <w:rsid w:val="004A195B"/>
    <w:rsid w:val="004A20F8"/>
    <w:rsid w:val="004A35E9"/>
    <w:rsid w:val="004A3870"/>
    <w:rsid w:val="004A39D8"/>
    <w:rsid w:val="004A437A"/>
    <w:rsid w:val="004A44AA"/>
    <w:rsid w:val="004A4CF0"/>
    <w:rsid w:val="004A5130"/>
    <w:rsid w:val="004A5791"/>
    <w:rsid w:val="004A5DB9"/>
    <w:rsid w:val="004A6B7B"/>
    <w:rsid w:val="004A7110"/>
    <w:rsid w:val="004A763F"/>
    <w:rsid w:val="004A768F"/>
    <w:rsid w:val="004B1E4F"/>
    <w:rsid w:val="004B25FE"/>
    <w:rsid w:val="004B2953"/>
    <w:rsid w:val="004B2F49"/>
    <w:rsid w:val="004B4448"/>
    <w:rsid w:val="004B57AC"/>
    <w:rsid w:val="004B5B1C"/>
    <w:rsid w:val="004B5E96"/>
    <w:rsid w:val="004B6094"/>
    <w:rsid w:val="004B665A"/>
    <w:rsid w:val="004B6C8C"/>
    <w:rsid w:val="004B6DE4"/>
    <w:rsid w:val="004B734E"/>
    <w:rsid w:val="004C026C"/>
    <w:rsid w:val="004C029E"/>
    <w:rsid w:val="004C0AFF"/>
    <w:rsid w:val="004C24EF"/>
    <w:rsid w:val="004C2E50"/>
    <w:rsid w:val="004C474B"/>
    <w:rsid w:val="004C4C99"/>
    <w:rsid w:val="004C5D22"/>
    <w:rsid w:val="004C5E52"/>
    <w:rsid w:val="004C6634"/>
    <w:rsid w:val="004C7E37"/>
    <w:rsid w:val="004C7EBC"/>
    <w:rsid w:val="004D26C6"/>
    <w:rsid w:val="004D26EF"/>
    <w:rsid w:val="004D2ED3"/>
    <w:rsid w:val="004D3555"/>
    <w:rsid w:val="004D3EB9"/>
    <w:rsid w:val="004D405D"/>
    <w:rsid w:val="004D4546"/>
    <w:rsid w:val="004D5473"/>
    <w:rsid w:val="004D5D30"/>
    <w:rsid w:val="004D5F2B"/>
    <w:rsid w:val="004D616B"/>
    <w:rsid w:val="004D65CD"/>
    <w:rsid w:val="004D6B97"/>
    <w:rsid w:val="004D6C6D"/>
    <w:rsid w:val="004D6F50"/>
    <w:rsid w:val="004D75DC"/>
    <w:rsid w:val="004D7951"/>
    <w:rsid w:val="004D7E1B"/>
    <w:rsid w:val="004E03D0"/>
    <w:rsid w:val="004E0456"/>
    <w:rsid w:val="004E1355"/>
    <w:rsid w:val="004E176C"/>
    <w:rsid w:val="004E1DA1"/>
    <w:rsid w:val="004E28C5"/>
    <w:rsid w:val="004E2EBE"/>
    <w:rsid w:val="004E2EFE"/>
    <w:rsid w:val="004E4C82"/>
    <w:rsid w:val="004E4C97"/>
    <w:rsid w:val="004E544E"/>
    <w:rsid w:val="004E5BD4"/>
    <w:rsid w:val="004E6046"/>
    <w:rsid w:val="004E67D9"/>
    <w:rsid w:val="004E696B"/>
    <w:rsid w:val="004E70F6"/>
    <w:rsid w:val="004E7447"/>
    <w:rsid w:val="004E7E51"/>
    <w:rsid w:val="004F00D5"/>
    <w:rsid w:val="004F0308"/>
    <w:rsid w:val="004F1D01"/>
    <w:rsid w:val="004F2587"/>
    <w:rsid w:val="004F2B10"/>
    <w:rsid w:val="004F31E4"/>
    <w:rsid w:val="004F3245"/>
    <w:rsid w:val="004F3780"/>
    <w:rsid w:val="004F4614"/>
    <w:rsid w:val="004F49D6"/>
    <w:rsid w:val="004F51EF"/>
    <w:rsid w:val="004F5424"/>
    <w:rsid w:val="004F5CA4"/>
    <w:rsid w:val="004F621E"/>
    <w:rsid w:val="004F686C"/>
    <w:rsid w:val="004F6CF8"/>
    <w:rsid w:val="004F74A1"/>
    <w:rsid w:val="004F7989"/>
    <w:rsid w:val="004F7FFD"/>
    <w:rsid w:val="0050030F"/>
    <w:rsid w:val="00503947"/>
    <w:rsid w:val="00503E4B"/>
    <w:rsid w:val="00503F11"/>
    <w:rsid w:val="00503F5E"/>
    <w:rsid w:val="005043CB"/>
    <w:rsid w:val="005043DD"/>
    <w:rsid w:val="0050462F"/>
    <w:rsid w:val="00505103"/>
    <w:rsid w:val="00505273"/>
    <w:rsid w:val="005056FB"/>
    <w:rsid w:val="00505A53"/>
    <w:rsid w:val="00505BC6"/>
    <w:rsid w:val="00506499"/>
    <w:rsid w:val="0050679B"/>
    <w:rsid w:val="00506995"/>
    <w:rsid w:val="00507343"/>
    <w:rsid w:val="00507567"/>
    <w:rsid w:val="005075CD"/>
    <w:rsid w:val="005120FB"/>
    <w:rsid w:val="00512750"/>
    <w:rsid w:val="005127D0"/>
    <w:rsid w:val="00512A23"/>
    <w:rsid w:val="00512FB4"/>
    <w:rsid w:val="005135D8"/>
    <w:rsid w:val="00513F75"/>
    <w:rsid w:val="00513F76"/>
    <w:rsid w:val="00514809"/>
    <w:rsid w:val="00514C6A"/>
    <w:rsid w:val="00514EA6"/>
    <w:rsid w:val="005156BE"/>
    <w:rsid w:val="00515706"/>
    <w:rsid w:val="00515C01"/>
    <w:rsid w:val="00515E2C"/>
    <w:rsid w:val="00516042"/>
    <w:rsid w:val="00517EF5"/>
    <w:rsid w:val="00517FFD"/>
    <w:rsid w:val="00520307"/>
    <w:rsid w:val="00521077"/>
    <w:rsid w:val="005215C0"/>
    <w:rsid w:val="005216E2"/>
    <w:rsid w:val="00521900"/>
    <w:rsid w:val="0052256A"/>
    <w:rsid w:val="00522DCA"/>
    <w:rsid w:val="00522FC0"/>
    <w:rsid w:val="00523E3D"/>
    <w:rsid w:val="00523E87"/>
    <w:rsid w:val="00524319"/>
    <w:rsid w:val="0052454B"/>
    <w:rsid w:val="00524930"/>
    <w:rsid w:val="00524FD6"/>
    <w:rsid w:val="00525BC6"/>
    <w:rsid w:val="005262E6"/>
    <w:rsid w:val="00526E1C"/>
    <w:rsid w:val="005273FD"/>
    <w:rsid w:val="00527532"/>
    <w:rsid w:val="005308EF"/>
    <w:rsid w:val="00530BDD"/>
    <w:rsid w:val="0053113F"/>
    <w:rsid w:val="005318DD"/>
    <w:rsid w:val="00531AE1"/>
    <w:rsid w:val="00531D10"/>
    <w:rsid w:val="005324C6"/>
    <w:rsid w:val="00532D4A"/>
    <w:rsid w:val="0053301A"/>
    <w:rsid w:val="005346A8"/>
    <w:rsid w:val="0053486E"/>
    <w:rsid w:val="00535E42"/>
    <w:rsid w:val="00536526"/>
    <w:rsid w:val="00540E79"/>
    <w:rsid w:val="00540FF3"/>
    <w:rsid w:val="00541553"/>
    <w:rsid w:val="005417CE"/>
    <w:rsid w:val="0054190F"/>
    <w:rsid w:val="00541D01"/>
    <w:rsid w:val="00541FDF"/>
    <w:rsid w:val="005429B5"/>
    <w:rsid w:val="00543598"/>
    <w:rsid w:val="00543AC0"/>
    <w:rsid w:val="0054423F"/>
    <w:rsid w:val="00544AD1"/>
    <w:rsid w:val="005451C3"/>
    <w:rsid w:val="00545A92"/>
    <w:rsid w:val="00546B38"/>
    <w:rsid w:val="00546BAA"/>
    <w:rsid w:val="00546D15"/>
    <w:rsid w:val="0054718F"/>
    <w:rsid w:val="00550037"/>
    <w:rsid w:val="00550840"/>
    <w:rsid w:val="00550D9F"/>
    <w:rsid w:val="005532A4"/>
    <w:rsid w:val="00553728"/>
    <w:rsid w:val="0055386B"/>
    <w:rsid w:val="00553982"/>
    <w:rsid w:val="00553A4C"/>
    <w:rsid w:val="0055467F"/>
    <w:rsid w:val="005552AB"/>
    <w:rsid w:val="005552F4"/>
    <w:rsid w:val="00555324"/>
    <w:rsid w:val="00555676"/>
    <w:rsid w:val="005567B7"/>
    <w:rsid w:val="0055703B"/>
    <w:rsid w:val="00557525"/>
    <w:rsid w:val="00557707"/>
    <w:rsid w:val="005579A3"/>
    <w:rsid w:val="00557C3C"/>
    <w:rsid w:val="00557CA9"/>
    <w:rsid w:val="0056045E"/>
    <w:rsid w:val="00560FC3"/>
    <w:rsid w:val="005611DD"/>
    <w:rsid w:val="00561AED"/>
    <w:rsid w:val="005623EC"/>
    <w:rsid w:val="00562774"/>
    <w:rsid w:val="00562AF2"/>
    <w:rsid w:val="00562CEB"/>
    <w:rsid w:val="00562F67"/>
    <w:rsid w:val="00563144"/>
    <w:rsid w:val="00563E89"/>
    <w:rsid w:val="00564213"/>
    <w:rsid w:val="0056539F"/>
    <w:rsid w:val="005655D4"/>
    <w:rsid w:val="0056598C"/>
    <w:rsid w:val="00566371"/>
    <w:rsid w:val="0056714A"/>
    <w:rsid w:val="00567151"/>
    <w:rsid w:val="00567457"/>
    <w:rsid w:val="0056752E"/>
    <w:rsid w:val="0056777F"/>
    <w:rsid w:val="0056799D"/>
    <w:rsid w:val="00567BF7"/>
    <w:rsid w:val="00570146"/>
    <w:rsid w:val="00570ABF"/>
    <w:rsid w:val="005716AD"/>
    <w:rsid w:val="00572172"/>
    <w:rsid w:val="005726DD"/>
    <w:rsid w:val="00572F66"/>
    <w:rsid w:val="00573361"/>
    <w:rsid w:val="00573607"/>
    <w:rsid w:val="005738A8"/>
    <w:rsid w:val="005748BA"/>
    <w:rsid w:val="0057590A"/>
    <w:rsid w:val="0057627F"/>
    <w:rsid w:val="0058064F"/>
    <w:rsid w:val="00580A5A"/>
    <w:rsid w:val="00581601"/>
    <w:rsid w:val="00581686"/>
    <w:rsid w:val="00581695"/>
    <w:rsid w:val="005825DC"/>
    <w:rsid w:val="005827ED"/>
    <w:rsid w:val="00582AB5"/>
    <w:rsid w:val="00583907"/>
    <w:rsid w:val="00583E04"/>
    <w:rsid w:val="0058458E"/>
    <w:rsid w:val="00584C65"/>
    <w:rsid w:val="00586CA5"/>
    <w:rsid w:val="00590485"/>
    <w:rsid w:val="00590628"/>
    <w:rsid w:val="005908D4"/>
    <w:rsid w:val="00590970"/>
    <w:rsid w:val="00590BFB"/>
    <w:rsid w:val="00590CE7"/>
    <w:rsid w:val="00590E82"/>
    <w:rsid w:val="00591237"/>
    <w:rsid w:val="00591322"/>
    <w:rsid w:val="00591BB1"/>
    <w:rsid w:val="00592C3A"/>
    <w:rsid w:val="00592CCE"/>
    <w:rsid w:val="00593AB9"/>
    <w:rsid w:val="00593B96"/>
    <w:rsid w:val="00593D0F"/>
    <w:rsid w:val="005941E4"/>
    <w:rsid w:val="0059454A"/>
    <w:rsid w:val="0059558F"/>
    <w:rsid w:val="005956A4"/>
    <w:rsid w:val="00595B41"/>
    <w:rsid w:val="00595F03"/>
    <w:rsid w:val="0059729D"/>
    <w:rsid w:val="0059733E"/>
    <w:rsid w:val="005974A5"/>
    <w:rsid w:val="005A0BE4"/>
    <w:rsid w:val="005A1323"/>
    <w:rsid w:val="005A1A04"/>
    <w:rsid w:val="005A2F16"/>
    <w:rsid w:val="005A37D5"/>
    <w:rsid w:val="005A3FD2"/>
    <w:rsid w:val="005A40F1"/>
    <w:rsid w:val="005A4637"/>
    <w:rsid w:val="005A51C5"/>
    <w:rsid w:val="005A54B6"/>
    <w:rsid w:val="005A5B26"/>
    <w:rsid w:val="005A6E4E"/>
    <w:rsid w:val="005A6F81"/>
    <w:rsid w:val="005A705B"/>
    <w:rsid w:val="005A756F"/>
    <w:rsid w:val="005B17B4"/>
    <w:rsid w:val="005B1A02"/>
    <w:rsid w:val="005B1C15"/>
    <w:rsid w:val="005B1F07"/>
    <w:rsid w:val="005B227B"/>
    <w:rsid w:val="005B2CCA"/>
    <w:rsid w:val="005B381D"/>
    <w:rsid w:val="005B3A46"/>
    <w:rsid w:val="005B4C07"/>
    <w:rsid w:val="005B4F93"/>
    <w:rsid w:val="005B584C"/>
    <w:rsid w:val="005B5CFD"/>
    <w:rsid w:val="005B5DA6"/>
    <w:rsid w:val="005B5EDA"/>
    <w:rsid w:val="005B5F4D"/>
    <w:rsid w:val="005B63CA"/>
    <w:rsid w:val="005B641F"/>
    <w:rsid w:val="005B6946"/>
    <w:rsid w:val="005B6D3B"/>
    <w:rsid w:val="005B784C"/>
    <w:rsid w:val="005C0E65"/>
    <w:rsid w:val="005C0F29"/>
    <w:rsid w:val="005C192D"/>
    <w:rsid w:val="005C1DBE"/>
    <w:rsid w:val="005C1F80"/>
    <w:rsid w:val="005C2CDF"/>
    <w:rsid w:val="005C3374"/>
    <w:rsid w:val="005C37A3"/>
    <w:rsid w:val="005C38BE"/>
    <w:rsid w:val="005C437C"/>
    <w:rsid w:val="005C4996"/>
    <w:rsid w:val="005C522F"/>
    <w:rsid w:val="005C5888"/>
    <w:rsid w:val="005C6A1B"/>
    <w:rsid w:val="005C703F"/>
    <w:rsid w:val="005D07F3"/>
    <w:rsid w:val="005D11D1"/>
    <w:rsid w:val="005D1EC8"/>
    <w:rsid w:val="005D23EE"/>
    <w:rsid w:val="005D2405"/>
    <w:rsid w:val="005D260C"/>
    <w:rsid w:val="005D2741"/>
    <w:rsid w:val="005D3489"/>
    <w:rsid w:val="005D37C9"/>
    <w:rsid w:val="005D3D4A"/>
    <w:rsid w:val="005D4251"/>
    <w:rsid w:val="005D4287"/>
    <w:rsid w:val="005D4B10"/>
    <w:rsid w:val="005D4F54"/>
    <w:rsid w:val="005D5266"/>
    <w:rsid w:val="005D5AA2"/>
    <w:rsid w:val="005D5AD7"/>
    <w:rsid w:val="005D6170"/>
    <w:rsid w:val="005D61BF"/>
    <w:rsid w:val="005D6595"/>
    <w:rsid w:val="005D66AC"/>
    <w:rsid w:val="005D6AD5"/>
    <w:rsid w:val="005D6DFC"/>
    <w:rsid w:val="005D75AF"/>
    <w:rsid w:val="005D75CD"/>
    <w:rsid w:val="005E01A8"/>
    <w:rsid w:val="005E08F8"/>
    <w:rsid w:val="005E11FD"/>
    <w:rsid w:val="005E1388"/>
    <w:rsid w:val="005E2186"/>
    <w:rsid w:val="005E21DB"/>
    <w:rsid w:val="005E2318"/>
    <w:rsid w:val="005E23BE"/>
    <w:rsid w:val="005E2B92"/>
    <w:rsid w:val="005E33E2"/>
    <w:rsid w:val="005E3525"/>
    <w:rsid w:val="005E3BA0"/>
    <w:rsid w:val="005E3EE7"/>
    <w:rsid w:val="005E564E"/>
    <w:rsid w:val="005E5F5E"/>
    <w:rsid w:val="005E6836"/>
    <w:rsid w:val="005E69E7"/>
    <w:rsid w:val="005E77CB"/>
    <w:rsid w:val="005F0389"/>
    <w:rsid w:val="005F0853"/>
    <w:rsid w:val="005F198C"/>
    <w:rsid w:val="005F1A52"/>
    <w:rsid w:val="005F1D05"/>
    <w:rsid w:val="005F1E97"/>
    <w:rsid w:val="005F2299"/>
    <w:rsid w:val="005F2750"/>
    <w:rsid w:val="005F2EF7"/>
    <w:rsid w:val="005F386C"/>
    <w:rsid w:val="005F4AF7"/>
    <w:rsid w:val="005F5536"/>
    <w:rsid w:val="005F569D"/>
    <w:rsid w:val="005F5793"/>
    <w:rsid w:val="005F5DF2"/>
    <w:rsid w:val="005F5E6C"/>
    <w:rsid w:val="005F5E6D"/>
    <w:rsid w:val="005F5EC5"/>
    <w:rsid w:val="005F6151"/>
    <w:rsid w:val="005F643F"/>
    <w:rsid w:val="005F668E"/>
    <w:rsid w:val="005F7315"/>
    <w:rsid w:val="006000D4"/>
    <w:rsid w:val="00600FCA"/>
    <w:rsid w:val="00601C0E"/>
    <w:rsid w:val="00601D0D"/>
    <w:rsid w:val="00602297"/>
    <w:rsid w:val="006030E8"/>
    <w:rsid w:val="006041F7"/>
    <w:rsid w:val="006049BC"/>
    <w:rsid w:val="00604C9A"/>
    <w:rsid w:val="006056A7"/>
    <w:rsid w:val="0060654B"/>
    <w:rsid w:val="0060684F"/>
    <w:rsid w:val="00606AAA"/>
    <w:rsid w:val="00606DC8"/>
    <w:rsid w:val="00606E84"/>
    <w:rsid w:val="006079A6"/>
    <w:rsid w:val="00607DFD"/>
    <w:rsid w:val="006100BB"/>
    <w:rsid w:val="00610A89"/>
    <w:rsid w:val="00610E81"/>
    <w:rsid w:val="00611335"/>
    <w:rsid w:val="00611C0D"/>
    <w:rsid w:val="006123BA"/>
    <w:rsid w:val="00612F81"/>
    <w:rsid w:val="0061357E"/>
    <w:rsid w:val="0061358F"/>
    <w:rsid w:val="00614327"/>
    <w:rsid w:val="006143D4"/>
    <w:rsid w:val="006143FA"/>
    <w:rsid w:val="0061494D"/>
    <w:rsid w:val="00614A0D"/>
    <w:rsid w:val="00614B18"/>
    <w:rsid w:val="00614EB6"/>
    <w:rsid w:val="00615058"/>
    <w:rsid w:val="00615862"/>
    <w:rsid w:val="00615D67"/>
    <w:rsid w:val="0061654E"/>
    <w:rsid w:val="00616AF1"/>
    <w:rsid w:val="00617193"/>
    <w:rsid w:val="0061794F"/>
    <w:rsid w:val="006207AE"/>
    <w:rsid w:val="00621B40"/>
    <w:rsid w:val="00621C57"/>
    <w:rsid w:val="006227AA"/>
    <w:rsid w:val="00622E5A"/>
    <w:rsid w:val="00623029"/>
    <w:rsid w:val="0062361F"/>
    <w:rsid w:val="00623CF2"/>
    <w:rsid w:val="00624BFD"/>
    <w:rsid w:val="00625017"/>
    <w:rsid w:val="00625337"/>
    <w:rsid w:val="006256D1"/>
    <w:rsid w:val="0062625F"/>
    <w:rsid w:val="006263E8"/>
    <w:rsid w:val="006266ED"/>
    <w:rsid w:val="00626EB8"/>
    <w:rsid w:val="006275B9"/>
    <w:rsid w:val="006275DD"/>
    <w:rsid w:val="0062772C"/>
    <w:rsid w:val="0063005C"/>
    <w:rsid w:val="00630C62"/>
    <w:rsid w:val="00631772"/>
    <w:rsid w:val="00631CE1"/>
    <w:rsid w:val="00631DCC"/>
    <w:rsid w:val="00631DDC"/>
    <w:rsid w:val="00631F30"/>
    <w:rsid w:val="0063223B"/>
    <w:rsid w:val="00632FCD"/>
    <w:rsid w:val="0063305F"/>
    <w:rsid w:val="006344AD"/>
    <w:rsid w:val="00634537"/>
    <w:rsid w:val="0063468E"/>
    <w:rsid w:val="006349F3"/>
    <w:rsid w:val="0063510A"/>
    <w:rsid w:val="0063555E"/>
    <w:rsid w:val="00635687"/>
    <w:rsid w:val="0063599B"/>
    <w:rsid w:val="006359DF"/>
    <w:rsid w:val="0063682C"/>
    <w:rsid w:val="0063731E"/>
    <w:rsid w:val="006377AF"/>
    <w:rsid w:val="00640135"/>
    <w:rsid w:val="00640499"/>
    <w:rsid w:val="0064049B"/>
    <w:rsid w:val="006406B8"/>
    <w:rsid w:val="0064098B"/>
    <w:rsid w:val="0064144F"/>
    <w:rsid w:val="006418E8"/>
    <w:rsid w:val="006419D4"/>
    <w:rsid w:val="00641FF2"/>
    <w:rsid w:val="00641FF4"/>
    <w:rsid w:val="006435A2"/>
    <w:rsid w:val="006437AB"/>
    <w:rsid w:val="006441F6"/>
    <w:rsid w:val="0064430B"/>
    <w:rsid w:val="00644B42"/>
    <w:rsid w:val="00644BB9"/>
    <w:rsid w:val="00644DE2"/>
    <w:rsid w:val="0064638F"/>
    <w:rsid w:val="00646D42"/>
    <w:rsid w:val="00646EC6"/>
    <w:rsid w:val="00646F8C"/>
    <w:rsid w:val="00650C00"/>
    <w:rsid w:val="00650DEC"/>
    <w:rsid w:val="00651A48"/>
    <w:rsid w:val="006522D9"/>
    <w:rsid w:val="0065277E"/>
    <w:rsid w:val="006527B0"/>
    <w:rsid w:val="00652AFC"/>
    <w:rsid w:val="00653069"/>
    <w:rsid w:val="006533EB"/>
    <w:rsid w:val="006541A0"/>
    <w:rsid w:val="006544AE"/>
    <w:rsid w:val="00654E01"/>
    <w:rsid w:val="00656FD9"/>
    <w:rsid w:val="00657F63"/>
    <w:rsid w:val="00660043"/>
    <w:rsid w:val="00660160"/>
    <w:rsid w:val="006601AE"/>
    <w:rsid w:val="00660CE7"/>
    <w:rsid w:val="00660F53"/>
    <w:rsid w:val="00660F5D"/>
    <w:rsid w:val="006617A1"/>
    <w:rsid w:val="0066212C"/>
    <w:rsid w:val="006627BC"/>
    <w:rsid w:val="00662EAC"/>
    <w:rsid w:val="00663788"/>
    <w:rsid w:val="00664131"/>
    <w:rsid w:val="00664D6A"/>
    <w:rsid w:val="006653B1"/>
    <w:rsid w:val="00665EB1"/>
    <w:rsid w:val="00666A81"/>
    <w:rsid w:val="00666B3F"/>
    <w:rsid w:val="00666F83"/>
    <w:rsid w:val="0066799E"/>
    <w:rsid w:val="006679ED"/>
    <w:rsid w:val="00667B2F"/>
    <w:rsid w:val="006704B1"/>
    <w:rsid w:val="00670AB0"/>
    <w:rsid w:val="00670DCA"/>
    <w:rsid w:val="00670E1E"/>
    <w:rsid w:val="0067128A"/>
    <w:rsid w:val="0067143F"/>
    <w:rsid w:val="00671CFD"/>
    <w:rsid w:val="00671E28"/>
    <w:rsid w:val="006722B9"/>
    <w:rsid w:val="006729F8"/>
    <w:rsid w:val="00672CB5"/>
    <w:rsid w:val="006731FB"/>
    <w:rsid w:val="00673A9A"/>
    <w:rsid w:val="006742DD"/>
    <w:rsid w:val="006748AE"/>
    <w:rsid w:val="0067494D"/>
    <w:rsid w:val="00674B7D"/>
    <w:rsid w:val="00675767"/>
    <w:rsid w:val="00675F84"/>
    <w:rsid w:val="00676F86"/>
    <w:rsid w:val="006776E8"/>
    <w:rsid w:val="0067797B"/>
    <w:rsid w:val="0068199C"/>
    <w:rsid w:val="00681EFD"/>
    <w:rsid w:val="00682556"/>
    <w:rsid w:val="00683384"/>
    <w:rsid w:val="00683AC3"/>
    <w:rsid w:val="006842DF"/>
    <w:rsid w:val="006846EE"/>
    <w:rsid w:val="006847FC"/>
    <w:rsid w:val="0068548B"/>
    <w:rsid w:val="00685E86"/>
    <w:rsid w:val="00686FA1"/>
    <w:rsid w:val="00687AAF"/>
    <w:rsid w:val="00687C66"/>
    <w:rsid w:val="00687D28"/>
    <w:rsid w:val="00687EF9"/>
    <w:rsid w:val="006910F6"/>
    <w:rsid w:val="006920C5"/>
    <w:rsid w:val="006922F1"/>
    <w:rsid w:val="006925EB"/>
    <w:rsid w:val="00692979"/>
    <w:rsid w:val="00693A3D"/>
    <w:rsid w:val="00693C4B"/>
    <w:rsid w:val="006940FF"/>
    <w:rsid w:val="006941B9"/>
    <w:rsid w:val="00694339"/>
    <w:rsid w:val="006965F2"/>
    <w:rsid w:val="006968DD"/>
    <w:rsid w:val="00697213"/>
    <w:rsid w:val="006A213C"/>
    <w:rsid w:val="006A213F"/>
    <w:rsid w:val="006A22A1"/>
    <w:rsid w:val="006A27E5"/>
    <w:rsid w:val="006A348C"/>
    <w:rsid w:val="006A4C4E"/>
    <w:rsid w:val="006A52BE"/>
    <w:rsid w:val="006A561D"/>
    <w:rsid w:val="006A5B6F"/>
    <w:rsid w:val="006A64BB"/>
    <w:rsid w:val="006A7522"/>
    <w:rsid w:val="006B03B6"/>
    <w:rsid w:val="006B0A94"/>
    <w:rsid w:val="006B0C09"/>
    <w:rsid w:val="006B0C48"/>
    <w:rsid w:val="006B1D1A"/>
    <w:rsid w:val="006B1D62"/>
    <w:rsid w:val="006B1DF6"/>
    <w:rsid w:val="006B2CFF"/>
    <w:rsid w:val="006B436B"/>
    <w:rsid w:val="006B43C0"/>
    <w:rsid w:val="006B4703"/>
    <w:rsid w:val="006B47A3"/>
    <w:rsid w:val="006B4F3D"/>
    <w:rsid w:val="006B57BF"/>
    <w:rsid w:val="006B5AD0"/>
    <w:rsid w:val="006B630D"/>
    <w:rsid w:val="006B6F90"/>
    <w:rsid w:val="006B77F1"/>
    <w:rsid w:val="006B7859"/>
    <w:rsid w:val="006C0025"/>
    <w:rsid w:val="006C082C"/>
    <w:rsid w:val="006C0DFE"/>
    <w:rsid w:val="006C1AEF"/>
    <w:rsid w:val="006C1FB4"/>
    <w:rsid w:val="006C2914"/>
    <w:rsid w:val="006C291F"/>
    <w:rsid w:val="006C2976"/>
    <w:rsid w:val="006C341C"/>
    <w:rsid w:val="006C3C91"/>
    <w:rsid w:val="006C46A0"/>
    <w:rsid w:val="006C48D5"/>
    <w:rsid w:val="006C6351"/>
    <w:rsid w:val="006C676F"/>
    <w:rsid w:val="006C68EA"/>
    <w:rsid w:val="006C7217"/>
    <w:rsid w:val="006C7DBC"/>
    <w:rsid w:val="006D0736"/>
    <w:rsid w:val="006D07D1"/>
    <w:rsid w:val="006D1145"/>
    <w:rsid w:val="006D1BCC"/>
    <w:rsid w:val="006D2660"/>
    <w:rsid w:val="006D2680"/>
    <w:rsid w:val="006D2CEF"/>
    <w:rsid w:val="006D2F37"/>
    <w:rsid w:val="006D2F5C"/>
    <w:rsid w:val="006D35EB"/>
    <w:rsid w:val="006D380F"/>
    <w:rsid w:val="006D3C9E"/>
    <w:rsid w:val="006D4E92"/>
    <w:rsid w:val="006D56C0"/>
    <w:rsid w:val="006D57F0"/>
    <w:rsid w:val="006D5882"/>
    <w:rsid w:val="006D65E4"/>
    <w:rsid w:val="006D6AAF"/>
    <w:rsid w:val="006D6E02"/>
    <w:rsid w:val="006D7511"/>
    <w:rsid w:val="006D76CF"/>
    <w:rsid w:val="006D7BC4"/>
    <w:rsid w:val="006E03D9"/>
    <w:rsid w:val="006E1D7F"/>
    <w:rsid w:val="006E23E7"/>
    <w:rsid w:val="006E26B5"/>
    <w:rsid w:val="006E2AD4"/>
    <w:rsid w:val="006E2E5A"/>
    <w:rsid w:val="006E2F74"/>
    <w:rsid w:val="006E3EE4"/>
    <w:rsid w:val="006E40E6"/>
    <w:rsid w:val="006E4724"/>
    <w:rsid w:val="006E50FF"/>
    <w:rsid w:val="006E5A5E"/>
    <w:rsid w:val="006E5FD0"/>
    <w:rsid w:val="006E66F0"/>
    <w:rsid w:val="006E77DD"/>
    <w:rsid w:val="006F0617"/>
    <w:rsid w:val="006F09EF"/>
    <w:rsid w:val="006F0EAB"/>
    <w:rsid w:val="006F222A"/>
    <w:rsid w:val="006F2A71"/>
    <w:rsid w:val="006F2BE6"/>
    <w:rsid w:val="006F2D78"/>
    <w:rsid w:val="006F31CD"/>
    <w:rsid w:val="006F385C"/>
    <w:rsid w:val="006F3945"/>
    <w:rsid w:val="006F3CD5"/>
    <w:rsid w:val="006F3EF3"/>
    <w:rsid w:val="006F5244"/>
    <w:rsid w:val="006F5CFF"/>
    <w:rsid w:val="006F6CC7"/>
    <w:rsid w:val="006F6F41"/>
    <w:rsid w:val="007000EB"/>
    <w:rsid w:val="00700393"/>
    <w:rsid w:val="0070044D"/>
    <w:rsid w:val="007009E3"/>
    <w:rsid w:val="00700C26"/>
    <w:rsid w:val="00701899"/>
    <w:rsid w:val="007027F5"/>
    <w:rsid w:val="007032F9"/>
    <w:rsid w:val="00703900"/>
    <w:rsid w:val="00703C5B"/>
    <w:rsid w:val="00705F9B"/>
    <w:rsid w:val="0070662A"/>
    <w:rsid w:val="00707FBF"/>
    <w:rsid w:val="0071016C"/>
    <w:rsid w:val="00710405"/>
    <w:rsid w:val="007107D2"/>
    <w:rsid w:val="00710D51"/>
    <w:rsid w:val="00711B82"/>
    <w:rsid w:val="00712042"/>
    <w:rsid w:val="007124F1"/>
    <w:rsid w:val="00712632"/>
    <w:rsid w:val="007131A9"/>
    <w:rsid w:val="007134E9"/>
    <w:rsid w:val="007135D5"/>
    <w:rsid w:val="007136D5"/>
    <w:rsid w:val="00713AE1"/>
    <w:rsid w:val="00714200"/>
    <w:rsid w:val="007151DA"/>
    <w:rsid w:val="00715DFD"/>
    <w:rsid w:val="00716188"/>
    <w:rsid w:val="007167DF"/>
    <w:rsid w:val="0071688A"/>
    <w:rsid w:val="00716ABF"/>
    <w:rsid w:val="00716DC0"/>
    <w:rsid w:val="00717B18"/>
    <w:rsid w:val="00717F43"/>
    <w:rsid w:val="0072006A"/>
    <w:rsid w:val="00720F8A"/>
    <w:rsid w:val="00720FDB"/>
    <w:rsid w:val="007213F8"/>
    <w:rsid w:val="00722469"/>
    <w:rsid w:val="0072290E"/>
    <w:rsid w:val="00722941"/>
    <w:rsid w:val="00724805"/>
    <w:rsid w:val="00724BB2"/>
    <w:rsid w:val="00724DD1"/>
    <w:rsid w:val="00727943"/>
    <w:rsid w:val="00727F71"/>
    <w:rsid w:val="007302EA"/>
    <w:rsid w:val="007306C2"/>
    <w:rsid w:val="00730B1F"/>
    <w:rsid w:val="007311FF"/>
    <w:rsid w:val="00731322"/>
    <w:rsid w:val="007315F0"/>
    <w:rsid w:val="00731926"/>
    <w:rsid w:val="00731A7B"/>
    <w:rsid w:val="0073265B"/>
    <w:rsid w:val="00732C09"/>
    <w:rsid w:val="00733C72"/>
    <w:rsid w:val="00734D9E"/>
    <w:rsid w:val="00734E79"/>
    <w:rsid w:val="00735142"/>
    <w:rsid w:val="007351C3"/>
    <w:rsid w:val="00735403"/>
    <w:rsid w:val="007359C2"/>
    <w:rsid w:val="00735A50"/>
    <w:rsid w:val="007365CB"/>
    <w:rsid w:val="007366D9"/>
    <w:rsid w:val="00736906"/>
    <w:rsid w:val="00736CE2"/>
    <w:rsid w:val="00736E5F"/>
    <w:rsid w:val="00736E93"/>
    <w:rsid w:val="007401E2"/>
    <w:rsid w:val="00740DAB"/>
    <w:rsid w:val="0074147A"/>
    <w:rsid w:val="00741495"/>
    <w:rsid w:val="00743320"/>
    <w:rsid w:val="00744228"/>
    <w:rsid w:val="0074471F"/>
    <w:rsid w:val="00744C0C"/>
    <w:rsid w:val="00745264"/>
    <w:rsid w:val="007452CE"/>
    <w:rsid w:val="0074661D"/>
    <w:rsid w:val="007474B1"/>
    <w:rsid w:val="00747706"/>
    <w:rsid w:val="0075035F"/>
    <w:rsid w:val="0075074B"/>
    <w:rsid w:val="007508B7"/>
    <w:rsid w:val="00750CD1"/>
    <w:rsid w:val="00750CE5"/>
    <w:rsid w:val="00750DDB"/>
    <w:rsid w:val="0075193F"/>
    <w:rsid w:val="00751C19"/>
    <w:rsid w:val="0075282A"/>
    <w:rsid w:val="007538E4"/>
    <w:rsid w:val="0075401F"/>
    <w:rsid w:val="00754DD6"/>
    <w:rsid w:val="007560F1"/>
    <w:rsid w:val="007569CE"/>
    <w:rsid w:val="00756BF8"/>
    <w:rsid w:val="007575AC"/>
    <w:rsid w:val="0075765A"/>
    <w:rsid w:val="00757941"/>
    <w:rsid w:val="007601D9"/>
    <w:rsid w:val="00760C5D"/>
    <w:rsid w:val="00761035"/>
    <w:rsid w:val="00761952"/>
    <w:rsid w:val="00761B89"/>
    <w:rsid w:val="00761C79"/>
    <w:rsid w:val="00762A76"/>
    <w:rsid w:val="007631AA"/>
    <w:rsid w:val="00763205"/>
    <w:rsid w:val="00763849"/>
    <w:rsid w:val="00763EFC"/>
    <w:rsid w:val="00763F8C"/>
    <w:rsid w:val="00764387"/>
    <w:rsid w:val="00764E0A"/>
    <w:rsid w:val="00765AD1"/>
    <w:rsid w:val="00766658"/>
    <w:rsid w:val="00766D7F"/>
    <w:rsid w:val="00766E45"/>
    <w:rsid w:val="00766FB4"/>
    <w:rsid w:val="00767B63"/>
    <w:rsid w:val="00767BBC"/>
    <w:rsid w:val="0077062D"/>
    <w:rsid w:val="00771979"/>
    <w:rsid w:val="00771FFA"/>
    <w:rsid w:val="00772098"/>
    <w:rsid w:val="007722E2"/>
    <w:rsid w:val="00772904"/>
    <w:rsid w:val="00773523"/>
    <w:rsid w:val="00773D1A"/>
    <w:rsid w:val="00774621"/>
    <w:rsid w:val="00774691"/>
    <w:rsid w:val="0077469A"/>
    <w:rsid w:val="00774A38"/>
    <w:rsid w:val="00775164"/>
    <w:rsid w:val="00775E33"/>
    <w:rsid w:val="00775E6A"/>
    <w:rsid w:val="00776099"/>
    <w:rsid w:val="00777ADE"/>
    <w:rsid w:val="00777BED"/>
    <w:rsid w:val="0078042F"/>
    <w:rsid w:val="00780EAE"/>
    <w:rsid w:val="00781E1C"/>
    <w:rsid w:val="00784209"/>
    <w:rsid w:val="007844BC"/>
    <w:rsid w:val="007847A9"/>
    <w:rsid w:val="00784F74"/>
    <w:rsid w:val="00785211"/>
    <w:rsid w:val="007865A5"/>
    <w:rsid w:val="0078757A"/>
    <w:rsid w:val="00791F01"/>
    <w:rsid w:val="007924F7"/>
    <w:rsid w:val="0079266C"/>
    <w:rsid w:val="007927FF"/>
    <w:rsid w:val="00792DDC"/>
    <w:rsid w:val="00793179"/>
    <w:rsid w:val="00793B88"/>
    <w:rsid w:val="00793D70"/>
    <w:rsid w:val="00793E53"/>
    <w:rsid w:val="00793FD7"/>
    <w:rsid w:val="00794C76"/>
    <w:rsid w:val="0079584D"/>
    <w:rsid w:val="007966CF"/>
    <w:rsid w:val="0079692F"/>
    <w:rsid w:val="0079771C"/>
    <w:rsid w:val="007979BB"/>
    <w:rsid w:val="007A03F3"/>
    <w:rsid w:val="007A04D2"/>
    <w:rsid w:val="007A096D"/>
    <w:rsid w:val="007A0A40"/>
    <w:rsid w:val="007A0B71"/>
    <w:rsid w:val="007A1B66"/>
    <w:rsid w:val="007A27DA"/>
    <w:rsid w:val="007A38F6"/>
    <w:rsid w:val="007A3917"/>
    <w:rsid w:val="007A41DF"/>
    <w:rsid w:val="007A4829"/>
    <w:rsid w:val="007A4DE6"/>
    <w:rsid w:val="007A7EBA"/>
    <w:rsid w:val="007B039A"/>
    <w:rsid w:val="007B0C60"/>
    <w:rsid w:val="007B15A0"/>
    <w:rsid w:val="007B19C4"/>
    <w:rsid w:val="007B21F3"/>
    <w:rsid w:val="007B223B"/>
    <w:rsid w:val="007B2266"/>
    <w:rsid w:val="007B2362"/>
    <w:rsid w:val="007B3629"/>
    <w:rsid w:val="007B3A78"/>
    <w:rsid w:val="007B3F4B"/>
    <w:rsid w:val="007B49D5"/>
    <w:rsid w:val="007B646F"/>
    <w:rsid w:val="007B7023"/>
    <w:rsid w:val="007B7615"/>
    <w:rsid w:val="007B7DE3"/>
    <w:rsid w:val="007C1476"/>
    <w:rsid w:val="007C1C5C"/>
    <w:rsid w:val="007C1F9C"/>
    <w:rsid w:val="007C211A"/>
    <w:rsid w:val="007C227D"/>
    <w:rsid w:val="007C26D0"/>
    <w:rsid w:val="007C2CE2"/>
    <w:rsid w:val="007C35D2"/>
    <w:rsid w:val="007C3CB1"/>
    <w:rsid w:val="007C42E0"/>
    <w:rsid w:val="007C5A79"/>
    <w:rsid w:val="007C6090"/>
    <w:rsid w:val="007C7105"/>
    <w:rsid w:val="007C727D"/>
    <w:rsid w:val="007C77B4"/>
    <w:rsid w:val="007D0BA6"/>
    <w:rsid w:val="007D1301"/>
    <w:rsid w:val="007D20A4"/>
    <w:rsid w:val="007D23B4"/>
    <w:rsid w:val="007D2A17"/>
    <w:rsid w:val="007D40E9"/>
    <w:rsid w:val="007D4659"/>
    <w:rsid w:val="007D4BC3"/>
    <w:rsid w:val="007D4E1A"/>
    <w:rsid w:val="007D5721"/>
    <w:rsid w:val="007D6B7A"/>
    <w:rsid w:val="007D75FA"/>
    <w:rsid w:val="007D76C5"/>
    <w:rsid w:val="007D7BB8"/>
    <w:rsid w:val="007D7DB3"/>
    <w:rsid w:val="007E0152"/>
    <w:rsid w:val="007E0785"/>
    <w:rsid w:val="007E0D29"/>
    <w:rsid w:val="007E1016"/>
    <w:rsid w:val="007E1679"/>
    <w:rsid w:val="007E1948"/>
    <w:rsid w:val="007E1C3C"/>
    <w:rsid w:val="007E27FE"/>
    <w:rsid w:val="007E2CBA"/>
    <w:rsid w:val="007E308C"/>
    <w:rsid w:val="007E385A"/>
    <w:rsid w:val="007E3949"/>
    <w:rsid w:val="007E3CC9"/>
    <w:rsid w:val="007E40BA"/>
    <w:rsid w:val="007E4428"/>
    <w:rsid w:val="007E4B35"/>
    <w:rsid w:val="007E4EFA"/>
    <w:rsid w:val="007E61DB"/>
    <w:rsid w:val="007E64A9"/>
    <w:rsid w:val="007E733A"/>
    <w:rsid w:val="007E7367"/>
    <w:rsid w:val="007E7B3F"/>
    <w:rsid w:val="007F00D7"/>
    <w:rsid w:val="007F00FD"/>
    <w:rsid w:val="007F0AD2"/>
    <w:rsid w:val="007F1B70"/>
    <w:rsid w:val="007F20E8"/>
    <w:rsid w:val="007F2BBE"/>
    <w:rsid w:val="007F3101"/>
    <w:rsid w:val="007F401B"/>
    <w:rsid w:val="007F45B1"/>
    <w:rsid w:val="007F49C7"/>
    <w:rsid w:val="007F4BC4"/>
    <w:rsid w:val="007F5308"/>
    <w:rsid w:val="007F54F6"/>
    <w:rsid w:val="007F5508"/>
    <w:rsid w:val="007F589C"/>
    <w:rsid w:val="007F5D18"/>
    <w:rsid w:val="007F5D50"/>
    <w:rsid w:val="007F6EFD"/>
    <w:rsid w:val="007F6F4A"/>
    <w:rsid w:val="007F70FB"/>
    <w:rsid w:val="007F7DBD"/>
    <w:rsid w:val="008003C7"/>
    <w:rsid w:val="00800592"/>
    <w:rsid w:val="00800623"/>
    <w:rsid w:val="00800A31"/>
    <w:rsid w:val="00800AEC"/>
    <w:rsid w:val="00800B69"/>
    <w:rsid w:val="00800C6D"/>
    <w:rsid w:val="00800F6C"/>
    <w:rsid w:val="00801E3B"/>
    <w:rsid w:val="0080260E"/>
    <w:rsid w:val="00803CD8"/>
    <w:rsid w:val="00803EB9"/>
    <w:rsid w:val="0080448E"/>
    <w:rsid w:val="0080478B"/>
    <w:rsid w:val="008047A3"/>
    <w:rsid w:val="00804830"/>
    <w:rsid w:val="008059F6"/>
    <w:rsid w:val="0080663D"/>
    <w:rsid w:val="00806680"/>
    <w:rsid w:val="00807720"/>
    <w:rsid w:val="00810C72"/>
    <w:rsid w:val="00811A4B"/>
    <w:rsid w:val="00812047"/>
    <w:rsid w:val="0081295D"/>
    <w:rsid w:val="00812BE8"/>
    <w:rsid w:val="00812E96"/>
    <w:rsid w:val="00813FD8"/>
    <w:rsid w:val="008140BE"/>
    <w:rsid w:val="00814983"/>
    <w:rsid w:val="008152D6"/>
    <w:rsid w:val="00815667"/>
    <w:rsid w:val="00815CDE"/>
    <w:rsid w:val="0081626B"/>
    <w:rsid w:val="008165EB"/>
    <w:rsid w:val="008168FB"/>
    <w:rsid w:val="00816954"/>
    <w:rsid w:val="008172E2"/>
    <w:rsid w:val="0081748C"/>
    <w:rsid w:val="008176E3"/>
    <w:rsid w:val="00817A81"/>
    <w:rsid w:val="00817F5B"/>
    <w:rsid w:val="0082013F"/>
    <w:rsid w:val="00820E94"/>
    <w:rsid w:val="008218D3"/>
    <w:rsid w:val="00822513"/>
    <w:rsid w:val="00822952"/>
    <w:rsid w:val="00822976"/>
    <w:rsid w:val="00822D21"/>
    <w:rsid w:val="0082388F"/>
    <w:rsid w:val="00824178"/>
    <w:rsid w:val="00824284"/>
    <w:rsid w:val="0082487F"/>
    <w:rsid w:val="00825749"/>
    <w:rsid w:val="00825A1D"/>
    <w:rsid w:val="00825AC5"/>
    <w:rsid w:val="00825D94"/>
    <w:rsid w:val="0082628F"/>
    <w:rsid w:val="008262A9"/>
    <w:rsid w:val="008263AC"/>
    <w:rsid w:val="00826843"/>
    <w:rsid w:val="00827AF5"/>
    <w:rsid w:val="008303FE"/>
    <w:rsid w:val="0083063F"/>
    <w:rsid w:val="008313DA"/>
    <w:rsid w:val="00831636"/>
    <w:rsid w:val="0083210C"/>
    <w:rsid w:val="008325EA"/>
    <w:rsid w:val="00832832"/>
    <w:rsid w:val="008334DC"/>
    <w:rsid w:val="00833503"/>
    <w:rsid w:val="008335C4"/>
    <w:rsid w:val="00833683"/>
    <w:rsid w:val="0083455E"/>
    <w:rsid w:val="008349A4"/>
    <w:rsid w:val="00834B1A"/>
    <w:rsid w:val="0083540E"/>
    <w:rsid w:val="00835F33"/>
    <w:rsid w:val="008363B5"/>
    <w:rsid w:val="00840645"/>
    <w:rsid w:val="00840793"/>
    <w:rsid w:val="008421B5"/>
    <w:rsid w:val="00843233"/>
    <w:rsid w:val="00843821"/>
    <w:rsid w:val="00843B61"/>
    <w:rsid w:val="008444EF"/>
    <w:rsid w:val="00845F61"/>
    <w:rsid w:val="0084617B"/>
    <w:rsid w:val="0084637A"/>
    <w:rsid w:val="00846FC2"/>
    <w:rsid w:val="00847046"/>
    <w:rsid w:val="00850D10"/>
    <w:rsid w:val="00850EF0"/>
    <w:rsid w:val="00851076"/>
    <w:rsid w:val="00851510"/>
    <w:rsid w:val="00851A81"/>
    <w:rsid w:val="00851AF1"/>
    <w:rsid w:val="0085240B"/>
    <w:rsid w:val="008527C8"/>
    <w:rsid w:val="00853BE7"/>
    <w:rsid w:val="00854F5F"/>
    <w:rsid w:val="00855204"/>
    <w:rsid w:val="0085668B"/>
    <w:rsid w:val="008566F3"/>
    <w:rsid w:val="008577D8"/>
    <w:rsid w:val="008578AF"/>
    <w:rsid w:val="00857CB6"/>
    <w:rsid w:val="00857E80"/>
    <w:rsid w:val="008601DF"/>
    <w:rsid w:val="0086022D"/>
    <w:rsid w:val="00861C74"/>
    <w:rsid w:val="00861DBE"/>
    <w:rsid w:val="00862044"/>
    <w:rsid w:val="00862179"/>
    <w:rsid w:val="00862E5C"/>
    <w:rsid w:val="00862F0F"/>
    <w:rsid w:val="008632FC"/>
    <w:rsid w:val="00863347"/>
    <w:rsid w:val="00863762"/>
    <w:rsid w:val="008637FB"/>
    <w:rsid w:val="0086385F"/>
    <w:rsid w:val="00863DAF"/>
    <w:rsid w:val="008647EE"/>
    <w:rsid w:val="0086547F"/>
    <w:rsid w:val="00865E81"/>
    <w:rsid w:val="00866678"/>
    <w:rsid w:val="00866F41"/>
    <w:rsid w:val="00867088"/>
    <w:rsid w:val="008678DA"/>
    <w:rsid w:val="0086796D"/>
    <w:rsid w:val="00867AF2"/>
    <w:rsid w:val="008701AF"/>
    <w:rsid w:val="008719E7"/>
    <w:rsid w:val="00871F06"/>
    <w:rsid w:val="008721F6"/>
    <w:rsid w:val="0087250F"/>
    <w:rsid w:val="00872CFE"/>
    <w:rsid w:val="0087338E"/>
    <w:rsid w:val="00873AFB"/>
    <w:rsid w:val="00873CF3"/>
    <w:rsid w:val="00874ACE"/>
    <w:rsid w:val="00874B43"/>
    <w:rsid w:val="00874C1D"/>
    <w:rsid w:val="008751CF"/>
    <w:rsid w:val="0087528D"/>
    <w:rsid w:val="00875823"/>
    <w:rsid w:val="008759C7"/>
    <w:rsid w:val="0087660A"/>
    <w:rsid w:val="0087693A"/>
    <w:rsid w:val="00877140"/>
    <w:rsid w:val="00877355"/>
    <w:rsid w:val="008810A9"/>
    <w:rsid w:val="00881575"/>
    <w:rsid w:val="008819BA"/>
    <w:rsid w:val="00883740"/>
    <w:rsid w:val="00883965"/>
    <w:rsid w:val="008854ED"/>
    <w:rsid w:val="008859CA"/>
    <w:rsid w:val="00885A5B"/>
    <w:rsid w:val="00886BEE"/>
    <w:rsid w:val="00886EE9"/>
    <w:rsid w:val="00886F93"/>
    <w:rsid w:val="00887748"/>
    <w:rsid w:val="00887D49"/>
    <w:rsid w:val="008905B5"/>
    <w:rsid w:val="0089078E"/>
    <w:rsid w:val="0089081C"/>
    <w:rsid w:val="00890C58"/>
    <w:rsid w:val="00891F25"/>
    <w:rsid w:val="0089236D"/>
    <w:rsid w:val="00892EEC"/>
    <w:rsid w:val="00894620"/>
    <w:rsid w:val="00894700"/>
    <w:rsid w:val="008950D2"/>
    <w:rsid w:val="0089538C"/>
    <w:rsid w:val="00895457"/>
    <w:rsid w:val="0089562B"/>
    <w:rsid w:val="00896388"/>
    <w:rsid w:val="00896EFC"/>
    <w:rsid w:val="00897150"/>
    <w:rsid w:val="00897C20"/>
    <w:rsid w:val="008A05A1"/>
    <w:rsid w:val="008A09D3"/>
    <w:rsid w:val="008A0AF2"/>
    <w:rsid w:val="008A0F08"/>
    <w:rsid w:val="008A1350"/>
    <w:rsid w:val="008A151D"/>
    <w:rsid w:val="008A1C1E"/>
    <w:rsid w:val="008A2DBF"/>
    <w:rsid w:val="008A32D8"/>
    <w:rsid w:val="008A3319"/>
    <w:rsid w:val="008A4339"/>
    <w:rsid w:val="008A49E3"/>
    <w:rsid w:val="008A56DB"/>
    <w:rsid w:val="008A600F"/>
    <w:rsid w:val="008A61EE"/>
    <w:rsid w:val="008A6D01"/>
    <w:rsid w:val="008A7164"/>
    <w:rsid w:val="008B0F5B"/>
    <w:rsid w:val="008B124F"/>
    <w:rsid w:val="008B1B3C"/>
    <w:rsid w:val="008B3033"/>
    <w:rsid w:val="008B369D"/>
    <w:rsid w:val="008B39F2"/>
    <w:rsid w:val="008B3B9B"/>
    <w:rsid w:val="008B47EB"/>
    <w:rsid w:val="008B551B"/>
    <w:rsid w:val="008B57AF"/>
    <w:rsid w:val="008B5F30"/>
    <w:rsid w:val="008B6983"/>
    <w:rsid w:val="008B6E76"/>
    <w:rsid w:val="008B757F"/>
    <w:rsid w:val="008B7911"/>
    <w:rsid w:val="008C0655"/>
    <w:rsid w:val="008C0703"/>
    <w:rsid w:val="008C0FA0"/>
    <w:rsid w:val="008C12D8"/>
    <w:rsid w:val="008C1FC9"/>
    <w:rsid w:val="008C2156"/>
    <w:rsid w:val="008C25C1"/>
    <w:rsid w:val="008C2FD9"/>
    <w:rsid w:val="008C3448"/>
    <w:rsid w:val="008C3481"/>
    <w:rsid w:val="008C48AD"/>
    <w:rsid w:val="008C52B9"/>
    <w:rsid w:val="008C550B"/>
    <w:rsid w:val="008C5570"/>
    <w:rsid w:val="008C5B93"/>
    <w:rsid w:val="008C5F3C"/>
    <w:rsid w:val="008C6027"/>
    <w:rsid w:val="008C6DFC"/>
    <w:rsid w:val="008C7556"/>
    <w:rsid w:val="008C76C5"/>
    <w:rsid w:val="008C76CE"/>
    <w:rsid w:val="008D000D"/>
    <w:rsid w:val="008D09D6"/>
    <w:rsid w:val="008D0D2B"/>
    <w:rsid w:val="008D1206"/>
    <w:rsid w:val="008D1600"/>
    <w:rsid w:val="008D1DC1"/>
    <w:rsid w:val="008D2418"/>
    <w:rsid w:val="008D2495"/>
    <w:rsid w:val="008D2734"/>
    <w:rsid w:val="008D29C0"/>
    <w:rsid w:val="008D2C23"/>
    <w:rsid w:val="008D2F3E"/>
    <w:rsid w:val="008D3A03"/>
    <w:rsid w:val="008D3A8B"/>
    <w:rsid w:val="008D3D6D"/>
    <w:rsid w:val="008D4258"/>
    <w:rsid w:val="008D4628"/>
    <w:rsid w:val="008D4735"/>
    <w:rsid w:val="008D4BC8"/>
    <w:rsid w:val="008D539E"/>
    <w:rsid w:val="008D54CB"/>
    <w:rsid w:val="008D6F04"/>
    <w:rsid w:val="008D6F63"/>
    <w:rsid w:val="008E0128"/>
    <w:rsid w:val="008E0262"/>
    <w:rsid w:val="008E0461"/>
    <w:rsid w:val="008E1144"/>
    <w:rsid w:val="008E180B"/>
    <w:rsid w:val="008E21CF"/>
    <w:rsid w:val="008E2AE9"/>
    <w:rsid w:val="008E2F9E"/>
    <w:rsid w:val="008E3959"/>
    <w:rsid w:val="008E3C0F"/>
    <w:rsid w:val="008E49DF"/>
    <w:rsid w:val="008E55CE"/>
    <w:rsid w:val="008E5CAA"/>
    <w:rsid w:val="008E73DC"/>
    <w:rsid w:val="008E7933"/>
    <w:rsid w:val="008F0BC0"/>
    <w:rsid w:val="008F13E0"/>
    <w:rsid w:val="008F22A2"/>
    <w:rsid w:val="008F22F5"/>
    <w:rsid w:val="008F2355"/>
    <w:rsid w:val="008F2665"/>
    <w:rsid w:val="008F26E8"/>
    <w:rsid w:val="008F2DC7"/>
    <w:rsid w:val="008F317D"/>
    <w:rsid w:val="008F3C4B"/>
    <w:rsid w:val="008F41E2"/>
    <w:rsid w:val="008F451C"/>
    <w:rsid w:val="008F4524"/>
    <w:rsid w:val="008F4703"/>
    <w:rsid w:val="008F4C79"/>
    <w:rsid w:val="008F5AE5"/>
    <w:rsid w:val="008F5D34"/>
    <w:rsid w:val="008F654A"/>
    <w:rsid w:val="008F67D9"/>
    <w:rsid w:val="008F6A53"/>
    <w:rsid w:val="008F6BA1"/>
    <w:rsid w:val="008F748E"/>
    <w:rsid w:val="00900461"/>
    <w:rsid w:val="00900615"/>
    <w:rsid w:val="00900685"/>
    <w:rsid w:val="009006A6"/>
    <w:rsid w:val="0090125F"/>
    <w:rsid w:val="009014C1"/>
    <w:rsid w:val="009015FC"/>
    <w:rsid w:val="00901644"/>
    <w:rsid w:val="009019F8"/>
    <w:rsid w:val="009023DE"/>
    <w:rsid w:val="009048CC"/>
    <w:rsid w:val="00904B26"/>
    <w:rsid w:val="0090500D"/>
    <w:rsid w:val="00905886"/>
    <w:rsid w:val="00905E6B"/>
    <w:rsid w:val="0090609B"/>
    <w:rsid w:val="0090610A"/>
    <w:rsid w:val="00906647"/>
    <w:rsid w:val="0090731A"/>
    <w:rsid w:val="009074FC"/>
    <w:rsid w:val="00907573"/>
    <w:rsid w:val="009077A2"/>
    <w:rsid w:val="0090785D"/>
    <w:rsid w:val="0091045C"/>
    <w:rsid w:val="0091146A"/>
    <w:rsid w:val="00911FF0"/>
    <w:rsid w:val="009121C8"/>
    <w:rsid w:val="00912977"/>
    <w:rsid w:val="00912B65"/>
    <w:rsid w:val="0091305E"/>
    <w:rsid w:val="009132B3"/>
    <w:rsid w:val="009141FB"/>
    <w:rsid w:val="009144AC"/>
    <w:rsid w:val="00916036"/>
    <w:rsid w:val="009166F4"/>
    <w:rsid w:val="00917985"/>
    <w:rsid w:val="00917E43"/>
    <w:rsid w:val="009204DC"/>
    <w:rsid w:val="00920577"/>
    <w:rsid w:val="009207FF"/>
    <w:rsid w:val="009208FF"/>
    <w:rsid w:val="00921225"/>
    <w:rsid w:val="00922190"/>
    <w:rsid w:val="009227BD"/>
    <w:rsid w:val="00922955"/>
    <w:rsid w:val="00922DEE"/>
    <w:rsid w:val="0092408B"/>
    <w:rsid w:val="009241B2"/>
    <w:rsid w:val="0092490A"/>
    <w:rsid w:val="00924B55"/>
    <w:rsid w:val="009259B9"/>
    <w:rsid w:val="009266D1"/>
    <w:rsid w:val="00926A72"/>
    <w:rsid w:val="00927580"/>
    <w:rsid w:val="0092760C"/>
    <w:rsid w:val="00927676"/>
    <w:rsid w:val="009277F8"/>
    <w:rsid w:val="00930CCA"/>
    <w:rsid w:val="00932718"/>
    <w:rsid w:val="00932D95"/>
    <w:rsid w:val="00932FEF"/>
    <w:rsid w:val="00933C64"/>
    <w:rsid w:val="0093415B"/>
    <w:rsid w:val="009345D0"/>
    <w:rsid w:val="00934CEC"/>
    <w:rsid w:val="00935227"/>
    <w:rsid w:val="00935BA5"/>
    <w:rsid w:val="00936378"/>
    <w:rsid w:val="00936527"/>
    <w:rsid w:val="00937C0A"/>
    <w:rsid w:val="00940C4F"/>
    <w:rsid w:val="00941014"/>
    <w:rsid w:val="009417E2"/>
    <w:rsid w:val="00942262"/>
    <w:rsid w:val="009426A8"/>
    <w:rsid w:val="00942955"/>
    <w:rsid w:val="009429C9"/>
    <w:rsid w:val="009440F8"/>
    <w:rsid w:val="00944AD5"/>
    <w:rsid w:val="0094500B"/>
    <w:rsid w:val="00945DA6"/>
    <w:rsid w:val="00946422"/>
    <w:rsid w:val="0094673A"/>
    <w:rsid w:val="009471FE"/>
    <w:rsid w:val="00947FF4"/>
    <w:rsid w:val="00950034"/>
    <w:rsid w:val="00950076"/>
    <w:rsid w:val="00950731"/>
    <w:rsid w:val="00950CF4"/>
    <w:rsid w:val="00951585"/>
    <w:rsid w:val="00951987"/>
    <w:rsid w:val="00951CD5"/>
    <w:rsid w:val="009535FE"/>
    <w:rsid w:val="0095373C"/>
    <w:rsid w:val="009547FD"/>
    <w:rsid w:val="0095518C"/>
    <w:rsid w:val="00955DAA"/>
    <w:rsid w:val="00955E31"/>
    <w:rsid w:val="00955E60"/>
    <w:rsid w:val="00956B88"/>
    <w:rsid w:val="00956BBD"/>
    <w:rsid w:val="009570FE"/>
    <w:rsid w:val="0095713D"/>
    <w:rsid w:val="00957986"/>
    <w:rsid w:val="009609F3"/>
    <w:rsid w:val="00960B22"/>
    <w:rsid w:val="00960B69"/>
    <w:rsid w:val="00962086"/>
    <w:rsid w:val="009626E4"/>
    <w:rsid w:val="00963074"/>
    <w:rsid w:val="009633DF"/>
    <w:rsid w:val="009637D1"/>
    <w:rsid w:val="00963AB6"/>
    <w:rsid w:val="009647BC"/>
    <w:rsid w:val="00964D8D"/>
    <w:rsid w:val="009655F9"/>
    <w:rsid w:val="00965928"/>
    <w:rsid w:val="00966095"/>
    <w:rsid w:val="00966110"/>
    <w:rsid w:val="00970229"/>
    <w:rsid w:val="00970552"/>
    <w:rsid w:val="00970997"/>
    <w:rsid w:val="00970F43"/>
    <w:rsid w:val="00971480"/>
    <w:rsid w:val="00971678"/>
    <w:rsid w:val="00973473"/>
    <w:rsid w:val="00973A1A"/>
    <w:rsid w:val="00974580"/>
    <w:rsid w:val="009745AF"/>
    <w:rsid w:val="00974A66"/>
    <w:rsid w:val="00974BD5"/>
    <w:rsid w:val="0097552D"/>
    <w:rsid w:val="00975710"/>
    <w:rsid w:val="0097575C"/>
    <w:rsid w:val="009763BA"/>
    <w:rsid w:val="00977742"/>
    <w:rsid w:val="00977A97"/>
    <w:rsid w:val="0098049F"/>
    <w:rsid w:val="009805A5"/>
    <w:rsid w:val="0098081B"/>
    <w:rsid w:val="00980BA3"/>
    <w:rsid w:val="00981214"/>
    <w:rsid w:val="009813A7"/>
    <w:rsid w:val="0098202E"/>
    <w:rsid w:val="0098291F"/>
    <w:rsid w:val="0098407F"/>
    <w:rsid w:val="009840BA"/>
    <w:rsid w:val="0098410B"/>
    <w:rsid w:val="009841E8"/>
    <w:rsid w:val="009853B0"/>
    <w:rsid w:val="00985E37"/>
    <w:rsid w:val="009861A8"/>
    <w:rsid w:val="0098630E"/>
    <w:rsid w:val="009867A0"/>
    <w:rsid w:val="00986CF0"/>
    <w:rsid w:val="00987412"/>
    <w:rsid w:val="0099029E"/>
    <w:rsid w:val="0099056D"/>
    <w:rsid w:val="009908CA"/>
    <w:rsid w:val="00991018"/>
    <w:rsid w:val="0099111F"/>
    <w:rsid w:val="009916C3"/>
    <w:rsid w:val="00991EB1"/>
    <w:rsid w:val="00993480"/>
    <w:rsid w:val="0099481F"/>
    <w:rsid w:val="009950F1"/>
    <w:rsid w:val="00995DBF"/>
    <w:rsid w:val="009960E6"/>
    <w:rsid w:val="00996BB9"/>
    <w:rsid w:val="00997331"/>
    <w:rsid w:val="00997D37"/>
    <w:rsid w:val="00997E3C"/>
    <w:rsid w:val="00997EA4"/>
    <w:rsid w:val="009A0568"/>
    <w:rsid w:val="009A151E"/>
    <w:rsid w:val="009A1D3B"/>
    <w:rsid w:val="009A201C"/>
    <w:rsid w:val="009A26F2"/>
    <w:rsid w:val="009A2B34"/>
    <w:rsid w:val="009A2DA7"/>
    <w:rsid w:val="009A2EE5"/>
    <w:rsid w:val="009A3179"/>
    <w:rsid w:val="009A3343"/>
    <w:rsid w:val="009A38E6"/>
    <w:rsid w:val="009A3A2E"/>
    <w:rsid w:val="009A3BF3"/>
    <w:rsid w:val="009A404B"/>
    <w:rsid w:val="009A5B10"/>
    <w:rsid w:val="009A5B1C"/>
    <w:rsid w:val="009A6C57"/>
    <w:rsid w:val="009A6FA7"/>
    <w:rsid w:val="009A7396"/>
    <w:rsid w:val="009A746C"/>
    <w:rsid w:val="009A74D0"/>
    <w:rsid w:val="009A77B9"/>
    <w:rsid w:val="009B00FB"/>
    <w:rsid w:val="009B0632"/>
    <w:rsid w:val="009B0753"/>
    <w:rsid w:val="009B0D21"/>
    <w:rsid w:val="009B2706"/>
    <w:rsid w:val="009B2FB7"/>
    <w:rsid w:val="009B365B"/>
    <w:rsid w:val="009B4473"/>
    <w:rsid w:val="009B4D00"/>
    <w:rsid w:val="009B5C3F"/>
    <w:rsid w:val="009B6679"/>
    <w:rsid w:val="009B6D7C"/>
    <w:rsid w:val="009B714A"/>
    <w:rsid w:val="009B750A"/>
    <w:rsid w:val="009B760B"/>
    <w:rsid w:val="009C0252"/>
    <w:rsid w:val="009C0282"/>
    <w:rsid w:val="009C062A"/>
    <w:rsid w:val="009C0771"/>
    <w:rsid w:val="009C0DDF"/>
    <w:rsid w:val="009C0F02"/>
    <w:rsid w:val="009C1419"/>
    <w:rsid w:val="009C164E"/>
    <w:rsid w:val="009C1ADC"/>
    <w:rsid w:val="009C229F"/>
    <w:rsid w:val="009C2478"/>
    <w:rsid w:val="009C2A65"/>
    <w:rsid w:val="009C3607"/>
    <w:rsid w:val="009C373D"/>
    <w:rsid w:val="009C37CE"/>
    <w:rsid w:val="009C3A34"/>
    <w:rsid w:val="009C4367"/>
    <w:rsid w:val="009C46BB"/>
    <w:rsid w:val="009C4B03"/>
    <w:rsid w:val="009C4BC6"/>
    <w:rsid w:val="009C52AE"/>
    <w:rsid w:val="009C53AA"/>
    <w:rsid w:val="009C58AD"/>
    <w:rsid w:val="009C5AAA"/>
    <w:rsid w:val="009C60F3"/>
    <w:rsid w:val="009C66F9"/>
    <w:rsid w:val="009C680A"/>
    <w:rsid w:val="009C6AA7"/>
    <w:rsid w:val="009D0ABC"/>
    <w:rsid w:val="009D0C00"/>
    <w:rsid w:val="009D238E"/>
    <w:rsid w:val="009D24D4"/>
    <w:rsid w:val="009D2683"/>
    <w:rsid w:val="009D32E4"/>
    <w:rsid w:val="009D3311"/>
    <w:rsid w:val="009D3353"/>
    <w:rsid w:val="009D4278"/>
    <w:rsid w:val="009D42E6"/>
    <w:rsid w:val="009D474C"/>
    <w:rsid w:val="009D53E2"/>
    <w:rsid w:val="009D635E"/>
    <w:rsid w:val="009D6702"/>
    <w:rsid w:val="009D6F43"/>
    <w:rsid w:val="009D7308"/>
    <w:rsid w:val="009E04F3"/>
    <w:rsid w:val="009E0691"/>
    <w:rsid w:val="009E0F51"/>
    <w:rsid w:val="009E1384"/>
    <w:rsid w:val="009E1D0C"/>
    <w:rsid w:val="009E2780"/>
    <w:rsid w:val="009E4036"/>
    <w:rsid w:val="009E4656"/>
    <w:rsid w:val="009E465D"/>
    <w:rsid w:val="009E4690"/>
    <w:rsid w:val="009E49E9"/>
    <w:rsid w:val="009E5331"/>
    <w:rsid w:val="009E56DF"/>
    <w:rsid w:val="009E6365"/>
    <w:rsid w:val="009E6D4E"/>
    <w:rsid w:val="009E767E"/>
    <w:rsid w:val="009F007F"/>
    <w:rsid w:val="009F021B"/>
    <w:rsid w:val="009F0321"/>
    <w:rsid w:val="009F0B22"/>
    <w:rsid w:val="009F1932"/>
    <w:rsid w:val="009F1940"/>
    <w:rsid w:val="009F1B99"/>
    <w:rsid w:val="009F1BA0"/>
    <w:rsid w:val="009F3363"/>
    <w:rsid w:val="009F3C65"/>
    <w:rsid w:val="009F3EAD"/>
    <w:rsid w:val="009F434B"/>
    <w:rsid w:val="009F46AE"/>
    <w:rsid w:val="009F4E6F"/>
    <w:rsid w:val="009F550A"/>
    <w:rsid w:val="009F5985"/>
    <w:rsid w:val="009F59F1"/>
    <w:rsid w:val="009F5B16"/>
    <w:rsid w:val="009F63E1"/>
    <w:rsid w:val="009F6C47"/>
    <w:rsid w:val="009F6C50"/>
    <w:rsid w:val="009F764A"/>
    <w:rsid w:val="009F7770"/>
    <w:rsid w:val="009F77B8"/>
    <w:rsid w:val="00A00861"/>
    <w:rsid w:val="00A00AC2"/>
    <w:rsid w:val="00A00BC6"/>
    <w:rsid w:val="00A01210"/>
    <w:rsid w:val="00A01800"/>
    <w:rsid w:val="00A02700"/>
    <w:rsid w:val="00A0303F"/>
    <w:rsid w:val="00A03A0E"/>
    <w:rsid w:val="00A0404C"/>
    <w:rsid w:val="00A0410F"/>
    <w:rsid w:val="00A045B5"/>
    <w:rsid w:val="00A0478C"/>
    <w:rsid w:val="00A04D9B"/>
    <w:rsid w:val="00A05047"/>
    <w:rsid w:val="00A05523"/>
    <w:rsid w:val="00A05BBC"/>
    <w:rsid w:val="00A069C7"/>
    <w:rsid w:val="00A06DA7"/>
    <w:rsid w:val="00A07979"/>
    <w:rsid w:val="00A07BEF"/>
    <w:rsid w:val="00A10CDA"/>
    <w:rsid w:val="00A11C19"/>
    <w:rsid w:val="00A12B36"/>
    <w:rsid w:val="00A12E4E"/>
    <w:rsid w:val="00A13CCB"/>
    <w:rsid w:val="00A154F4"/>
    <w:rsid w:val="00A15831"/>
    <w:rsid w:val="00A15EF2"/>
    <w:rsid w:val="00A16158"/>
    <w:rsid w:val="00A16768"/>
    <w:rsid w:val="00A16B88"/>
    <w:rsid w:val="00A16DF6"/>
    <w:rsid w:val="00A173D6"/>
    <w:rsid w:val="00A175C9"/>
    <w:rsid w:val="00A20360"/>
    <w:rsid w:val="00A2181F"/>
    <w:rsid w:val="00A218CA"/>
    <w:rsid w:val="00A21A38"/>
    <w:rsid w:val="00A21BBE"/>
    <w:rsid w:val="00A21FFF"/>
    <w:rsid w:val="00A225B5"/>
    <w:rsid w:val="00A22706"/>
    <w:rsid w:val="00A227A5"/>
    <w:rsid w:val="00A22CE5"/>
    <w:rsid w:val="00A2312C"/>
    <w:rsid w:val="00A23903"/>
    <w:rsid w:val="00A23B48"/>
    <w:rsid w:val="00A23FA2"/>
    <w:rsid w:val="00A24D50"/>
    <w:rsid w:val="00A25B46"/>
    <w:rsid w:val="00A26060"/>
    <w:rsid w:val="00A271F6"/>
    <w:rsid w:val="00A272DC"/>
    <w:rsid w:val="00A3028F"/>
    <w:rsid w:val="00A305D5"/>
    <w:rsid w:val="00A30A1C"/>
    <w:rsid w:val="00A315EA"/>
    <w:rsid w:val="00A32012"/>
    <w:rsid w:val="00A32398"/>
    <w:rsid w:val="00A3244B"/>
    <w:rsid w:val="00A33016"/>
    <w:rsid w:val="00A33119"/>
    <w:rsid w:val="00A33713"/>
    <w:rsid w:val="00A33889"/>
    <w:rsid w:val="00A339F4"/>
    <w:rsid w:val="00A33EDD"/>
    <w:rsid w:val="00A34033"/>
    <w:rsid w:val="00A34352"/>
    <w:rsid w:val="00A353EC"/>
    <w:rsid w:val="00A35683"/>
    <w:rsid w:val="00A356A5"/>
    <w:rsid w:val="00A356B4"/>
    <w:rsid w:val="00A358C6"/>
    <w:rsid w:val="00A35FBE"/>
    <w:rsid w:val="00A369D9"/>
    <w:rsid w:val="00A36C78"/>
    <w:rsid w:val="00A37712"/>
    <w:rsid w:val="00A37C4E"/>
    <w:rsid w:val="00A40A91"/>
    <w:rsid w:val="00A4174D"/>
    <w:rsid w:val="00A419DA"/>
    <w:rsid w:val="00A420EC"/>
    <w:rsid w:val="00A429D4"/>
    <w:rsid w:val="00A43585"/>
    <w:rsid w:val="00A43B2E"/>
    <w:rsid w:val="00A43DAD"/>
    <w:rsid w:val="00A44605"/>
    <w:rsid w:val="00A45351"/>
    <w:rsid w:val="00A45D14"/>
    <w:rsid w:val="00A46548"/>
    <w:rsid w:val="00A4654A"/>
    <w:rsid w:val="00A476F1"/>
    <w:rsid w:val="00A47DBE"/>
    <w:rsid w:val="00A5108B"/>
    <w:rsid w:val="00A51161"/>
    <w:rsid w:val="00A5116E"/>
    <w:rsid w:val="00A512D1"/>
    <w:rsid w:val="00A516B4"/>
    <w:rsid w:val="00A51975"/>
    <w:rsid w:val="00A51E99"/>
    <w:rsid w:val="00A52797"/>
    <w:rsid w:val="00A527B5"/>
    <w:rsid w:val="00A54D2D"/>
    <w:rsid w:val="00A5602E"/>
    <w:rsid w:val="00A563BB"/>
    <w:rsid w:val="00A56400"/>
    <w:rsid w:val="00A5682B"/>
    <w:rsid w:val="00A568FB"/>
    <w:rsid w:val="00A578D8"/>
    <w:rsid w:val="00A57936"/>
    <w:rsid w:val="00A57CF5"/>
    <w:rsid w:val="00A60761"/>
    <w:rsid w:val="00A62D05"/>
    <w:rsid w:val="00A62D3A"/>
    <w:rsid w:val="00A631BE"/>
    <w:rsid w:val="00A63D64"/>
    <w:rsid w:val="00A63E8A"/>
    <w:rsid w:val="00A65564"/>
    <w:rsid w:val="00A657C8"/>
    <w:rsid w:val="00A65F5C"/>
    <w:rsid w:val="00A66554"/>
    <w:rsid w:val="00A66BA3"/>
    <w:rsid w:val="00A66C10"/>
    <w:rsid w:val="00A66F57"/>
    <w:rsid w:val="00A67029"/>
    <w:rsid w:val="00A67E25"/>
    <w:rsid w:val="00A708DD"/>
    <w:rsid w:val="00A70A6A"/>
    <w:rsid w:val="00A7155A"/>
    <w:rsid w:val="00A71CD6"/>
    <w:rsid w:val="00A72E35"/>
    <w:rsid w:val="00A7418A"/>
    <w:rsid w:val="00A757F3"/>
    <w:rsid w:val="00A758A9"/>
    <w:rsid w:val="00A759AE"/>
    <w:rsid w:val="00A75DD8"/>
    <w:rsid w:val="00A75EBB"/>
    <w:rsid w:val="00A76FDC"/>
    <w:rsid w:val="00A77314"/>
    <w:rsid w:val="00A7779E"/>
    <w:rsid w:val="00A77A9A"/>
    <w:rsid w:val="00A77FF0"/>
    <w:rsid w:val="00A80761"/>
    <w:rsid w:val="00A80D56"/>
    <w:rsid w:val="00A8168B"/>
    <w:rsid w:val="00A81D27"/>
    <w:rsid w:val="00A8243E"/>
    <w:rsid w:val="00A82EB4"/>
    <w:rsid w:val="00A83578"/>
    <w:rsid w:val="00A83E28"/>
    <w:rsid w:val="00A84610"/>
    <w:rsid w:val="00A8536D"/>
    <w:rsid w:val="00A854ED"/>
    <w:rsid w:val="00A86142"/>
    <w:rsid w:val="00A86245"/>
    <w:rsid w:val="00A8638E"/>
    <w:rsid w:val="00A900F6"/>
    <w:rsid w:val="00A910D9"/>
    <w:rsid w:val="00A91305"/>
    <w:rsid w:val="00A919B6"/>
    <w:rsid w:val="00A91FAA"/>
    <w:rsid w:val="00A92C9A"/>
    <w:rsid w:val="00A92FB7"/>
    <w:rsid w:val="00A92FEC"/>
    <w:rsid w:val="00A9368C"/>
    <w:rsid w:val="00A93EF4"/>
    <w:rsid w:val="00A94144"/>
    <w:rsid w:val="00A95531"/>
    <w:rsid w:val="00A95707"/>
    <w:rsid w:val="00A95717"/>
    <w:rsid w:val="00A96303"/>
    <w:rsid w:val="00A968FE"/>
    <w:rsid w:val="00A96C0B"/>
    <w:rsid w:val="00A976FD"/>
    <w:rsid w:val="00AA0557"/>
    <w:rsid w:val="00AA37A6"/>
    <w:rsid w:val="00AA3E57"/>
    <w:rsid w:val="00AA46E3"/>
    <w:rsid w:val="00AA5004"/>
    <w:rsid w:val="00AA51B4"/>
    <w:rsid w:val="00AA674E"/>
    <w:rsid w:val="00AA6FCA"/>
    <w:rsid w:val="00AB1C31"/>
    <w:rsid w:val="00AB1ECF"/>
    <w:rsid w:val="00AB23EB"/>
    <w:rsid w:val="00AB2B7C"/>
    <w:rsid w:val="00AB305D"/>
    <w:rsid w:val="00AB344C"/>
    <w:rsid w:val="00AB4534"/>
    <w:rsid w:val="00AB4CBF"/>
    <w:rsid w:val="00AB567D"/>
    <w:rsid w:val="00AB5B99"/>
    <w:rsid w:val="00AB5BB1"/>
    <w:rsid w:val="00AB624D"/>
    <w:rsid w:val="00AB658A"/>
    <w:rsid w:val="00AB6E3B"/>
    <w:rsid w:val="00AB7312"/>
    <w:rsid w:val="00AB7AD3"/>
    <w:rsid w:val="00AC0882"/>
    <w:rsid w:val="00AC0AE3"/>
    <w:rsid w:val="00AC0FAC"/>
    <w:rsid w:val="00AC1D32"/>
    <w:rsid w:val="00AC22A8"/>
    <w:rsid w:val="00AC31F6"/>
    <w:rsid w:val="00AC3DA6"/>
    <w:rsid w:val="00AC4189"/>
    <w:rsid w:val="00AC43BC"/>
    <w:rsid w:val="00AC495A"/>
    <w:rsid w:val="00AC497F"/>
    <w:rsid w:val="00AC4FBC"/>
    <w:rsid w:val="00AC514A"/>
    <w:rsid w:val="00AC5590"/>
    <w:rsid w:val="00AC5F7F"/>
    <w:rsid w:val="00AC600B"/>
    <w:rsid w:val="00AC6135"/>
    <w:rsid w:val="00AC684B"/>
    <w:rsid w:val="00AC6CFF"/>
    <w:rsid w:val="00AC6DAD"/>
    <w:rsid w:val="00AC75A3"/>
    <w:rsid w:val="00AC7E58"/>
    <w:rsid w:val="00AC7FAF"/>
    <w:rsid w:val="00AD07BD"/>
    <w:rsid w:val="00AD0D32"/>
    <w:rsid w:val="00AD15A4"/>
    <w:rsid w:val="00AD1ED0"/>
    <w:rsid w:val="00AD20B7"/>
    <w:rsid w:val="00AD264F"/>
    <w:rsid w:val="00AD26D2"/>
    <w:rsid w:val="00AD2B63"/>
    <w:rsid w:val="00AD360E"/>
    <w:rsid w:val="00AD3951"/>
    <w:rsid w:val="00AD440F"/>
    <w:rsid w:val="00AD452A"/>
    <w:rsid w:val="00AD4A12"/>
    <w:rsid w:val="00AD5546"/>
    <w:rsid w:val="00AD5601"/>
    <w:rsid w:val="00AD63B2"/>
    <w:rsid w:val="00AD6505"/>
    <w:rsid w:val="00AD6939"/>
    <w:rsid w:val="00AD75CB"/>
    <w:rsid w:val="00AD7C1B"/>
    <w:rsid w:val="00AE0316"/>
    <w:rsid w:val="00AE034F"/>
    <w:rsid w:val="00AE09BE"/>
    <w:rsid w:val="00AE0C48"/>
    <w:rsid w:val="00AE1FB7"/>
    <w:rsid w:val="00AE5053"/>
    <w:rsid w:val="00AE5241"/>
    <w:rsid w:val="00AE5353"/>
    <w:rsid w:val="00AE59DB"/>
    <w:rsid w:val="00AE5F17"/>
    <w:rsid w:val="00AE623E"/>
    <w:rsid w:val="00AE6CE4"/>
    <w:rsid w:val="00AE71C6"/>
    <w:rsid w:val="00AE7BDC"/>
    <w:rsid w:val="00AE7DCC"/>
    <w:rsid w:val="00AF0346"/>
    <w:rsid w:val="00AF08B1"/>
    <w:rsid w:val="00AF1764"/>
    <w:rsid w:val="00AF1868"/>
    <w:rsid w:val="00AF1CFC"/>
    <w:rsid w:val="00AF297A"/>
    <w:rsid w:val="00AF2D4C"/>
    <w:rsid w:val="00AF3A44"/>
    <w:rsid w:val="00AF3C14"/>
    <w:rsid w:val="00AF3C7F"/>
    <w:rsid w:val="00AF4370"/>
    <w:rsid w:val="00AF564C"/>
    <w:rsid w:val="00AF6626"/>
    <w:rsid w:val="00AF6A1E"/>
    <w:rsid w:val="00AF7396"/>
    <w:rsid w:val="00AF7909"/>
    <w:rsid w:val="00AF79AE"/>
    <w:rsid w:val="00B009CC"/>
    <w:rsid w:val="00B00E48"/>
    <w:rsid w:val="00B01A54"/>
    <w:rsid w:val="00B01BD3"/>
    <w:rsid w:val="00B01D36"/>
    <w:rsid w:val="00B01F50"/>
    <w:rsid w:val="00B02961"/>
    <w:rsid w:val="00B02F69"/>
    <w:rsid w:val="00B03AF7"/>
    <w:rsid w:val="00B0407E"/>
    <w:rsid w:val="00B04CAC"/>
    <w:rsid w:val="00B04D3A"/>
    <w:rsid w:val="00B04FF3"/>
    <w:rsid w:val="00B05234"/>
    <w:rsid w:val="00B0524D"/>
    <w:rsid w:val="00B06B41"/>
    <w:rsid w:val="00B06E62"/>
    <w:rsid w:val="00B0776C"/>
    <w:rsid w:val="00B077A5"/>
    <w:rsid w:val="00B07B27"/>
    <w:rsid w:val="00B10A59"/>
    <w:rsid w:val="00B10F1A"/>
    <w:rsid w:val="00B1110F"/>
    <w:rsid w:val="00B112E4"/>
    <w:rsid w:val="00B114E1"/>
    <w:rsid w:val="00B1176E"/>
    <w:rsid w:val="00B119EF"/>
    <w:rsid w:val="00B12350"/>
    <w:rsid w:val="00B124E2"/>
    <w:rsid w:val="00B12907"/>
    <w:rsid w:val="00B129CE"/>
    <w:rsid w:val="00B12E07"/>
    <w:rsid w:val="00B12FA6"/>
    <w:rsid w:val="00B13724"/>
    <w:rsid w:val="00B13D53"/>
    <w:rsid w:val="00B145B5"/>
    <w:rsid w:val="00B14B74"/>
    <w:rsid w:val="00B150E9"/>
    <w:rsid w:val="00B1555C"/>
    <w:rsid w:val="00B15AB6"/>
    <w:rsid w:val="00B15CAE"/>
    <w:rsid w:val="00B16254"/>
    <w:rsid w:val="00B16574"/>
    <w:rsid w:val="00B17FAA"/>
    <w:rsid w:val="00B201E6"/>
    <w:rsid w:val="00B20242"/>
    <w:rsid w:val="00B20396"/>
    <w:rsid w:val="00B20915"/>
    <w:rsid w:val="00B21FE3"/>
    <w:rsid w:val="00B2377D"/>
    <w:rsid w:val="00B23C1A"/>
    <w:rsid w:val="00B23EB7"/>
    <w:rsid w:val="00B23EE7"/>
    <w:rsid w:val="00B244F6"/>
    <w:rsid w:val="00B24D0D"/>
    <w:rsid w:val="00B25284"/>
    <w:rsid w:val="00B253C0"/>
    <w:rsid w:val="00B2590D"/>
    <w:rsid w:val="00B26801"/>
    <w:rsid w:val="00B26A77"/>
    <w:rsid w:val="00B272F7"/>
    <w:rsid w:val="00B27A36"/>
    <w:rsid w:val="00B27AE4"/>
    <w:rsid w:val="00B301CA"/>
    <w:rsid w:val="00B30C4C"/>
    <w:rsid w:val="00B30E23"/>
    <w:rsid w:val="00B31EDD"/>
    <w:rsid w:val="00B31FFF"/>
    <w:rsid w:val="00B32035"/>
    <w:rsid w:val="00B32771"/>
    <w:rsid w:val="00B32E2A"/>
    <w:rsid w:val="00B33024"/>
    <w:rsid w:val="00B36425"/>
    <w:rsid w:val="00B3644C"/>
    <w:rsid w:val="00B366B3"/>
    <w:rsid w:val="00B36A01"/>
    <w:rsid w:val="00B3731D"/>
    <w:rsid w:val="00B37870"/>
    <w:rsid w:val="00B37A7A"/>
    <w:rsid w:val="00B37BA2"/>
    <w:rsid w:val="00B37F5A"/>
    <w:rsid w:val="00B4030E"/>
    <w:rsid w:val="00B42F2B"/>
    <w:rsid w:val="00B4342A"/>
    <w:rsid w:val="00B43524"/>
    <w:rsid w:val="00B4382B"/>
    <w:rsid w:val="00B4384E"/>
    <w:rsid w:val="00B43CA9"/>
    <w:rsid w:val="00B43E88"/>
    <w:rsid w:val="00B44426"/>
    <w:rsid w:val="00B444E9"/>
    <w:rsid w:val="00B445D8"/>
    <w:rsid w:val="00B44AD9"/>
    <w:rsid w:val="00B451FD"/>
    <w:rsid w:val="00B455A8"/>
    <w:rsid w:val="00B45760"/>
    <w:rsid w:val="00B4586E"/>
    <w:rsid w:val="00B46ED7"/>
    <w:rsid w:val="00B471B1"/>
    <w:rsid w:val="00B4752A"/>
    <w:rsid w:val="00B47B06"/>
    <w:rsid w:val="00B47D75"/>
    <w:rsid w:val="00B50042"/>
    <w:rsid w:val="00B50409"/>
    <w:rsid w:val="00B50702"/>
    <w:rsid w:val="00B508A4"/>
    <w:rsid w:val="00B51AD9"/>
    <w:rsid w:val="00B52066"/>
    <w:rsid w:val="00B52653"/>
    <w:rsid w:val="00B5351E"/>
    <w:rsid w:val="00B54E1F"/>
    <w:rsid w:val="00B55518"/>
    <w:rsid w:val="00B55924"/>
    <w:rsid w:val="00B5604A"/>
    <w:rsid w:val="00B5616F"/>
    <w:rsid w:val="00B574E8"/>
    <w:rsid w:val="00B607F8"/>
    <w:rsid w:val="00B6127C"/>
    <w:rsid w:val="00B61503"/>
    <w:rsid w:val="00B62D48"/>
    <w:rsid w:val="00B62DD8"/>
    <w:rsid w:val="00B6349C"/>
    <w:rsid w:val="00B63AFF"/>
    <w:rsid w:val="00B63DC1"/>
    <w:rsid w:val="00B63DD9"/>
    <w:rsid w:val="00B6405A"/>
    <w:rsid w:val="00B64216"/>
    <w:rsid w:val="00B64743"/>
    <w:rsid w:val="00B64A9F"/>
    <w:rsid w:val="00B64C7C"/>
    <w:rsid w:val="00B6505F"/>
    <w:rsid w:val="00B65C20"/>
    <w:rsid w:val="00B67170"/>
    <w:rsid w:val="00B675AB"/>
    <w:rsid w:val="00B67AD6"/>
    <w:rsid w:val="00B71F5D"/>
    <w:rsid w:val="00B723CA"/>
    <w:rsid w:val="00B72920"/>
    <w:rsid w:val="00B732A6"/>
    <w:rsid w:val="00B734E8"/>
    <w:rsid w:val="00B73AAA"/>
    <w:rsid w:val="00B73E6A"/>
    <w:rsid w:val="00B73F96"/>
    <w:rsid w:val="00B74082"/>
    <w:rsid w:val="00B740BF"/>
    <w:rsid w:val="00B7452B"/>
    <w:rsid w:val="00B74914"/>
    <w:rsid w:val="00B74A4F"/>
    <w:rsid w:val="00B75746"/>
    <w:rsid w:val="00B75AA4"/>
    <w:rsid w:val="00B75B43"/>
    <w:rsid w:val="00B75B97"/>
    <w:rsid w:val="00B76399"/>
    <w:rsid w:val="00B76FC7"/>
    <w:rsid w:val="00B825F7"/>
    <w:rsid w:val="00B82907"/>
    <w:rsid w:val="00B832A5"/>
    <w:rsid w:val="00B83663"/>
    <w:rsid w:val="00B83913"/>
    <w:rsid w:val="00B83C25"/>
    <w:rsid w:val="00B84138"/>
    <w:rsid w:val="00B84A04"/>
    <w:rsid w:val="00B85208"/>
    <w:rsid w:val="00B85A75"/>
    <w:rsid w:val="00B86182"/>
    <w:rsid w:val="00B8695C"/>
    <w:rsid w:val="00B86E23"/>
    <w:rsid w:val="00B86E58"/>
    <w:rsid w:val="00B86F73"/>
    <w:rsid w:val="00B871DE"/>
    <w:rsid w:val="00B875D2"/>
    <w:rsid w:val="00B87865"/>
    <w:rsid w:val="00B91385"/>
    <w:rsid w:val="00B91556"/>
    <w:rsid w:val="00B9177B"/>
    <w:rsid w:val="00B92246"/>
    <w:rsid w:val="00B926A3"/>
    <w:rsid w:val="00B92809"/>
    <w:rsid w:val="00B92B30"/>
    <w:rsid w:val="00B92E0A"/>
    <w:rsid w:val="00B934DB"/>
    <w:rsid w:val="00B93739"/>
    <w:rsid w:val="00B9378E"/>
    <w:rsid w:val="00B93BC2"/>
    <w:rsid w:val="00B93CBB"/>
    <w:rsid w:val="00B93FB4"/>
    <w:rsid w:val="00B950AD"/>
    <w:rsid w:val="00B958E3"/>
    <w:rsid w:val="00B959A5"/>
    <w:rsid w:val="00B95AEB"/>
    <w:rsid w:val="00B96BBA"/>
    <w:rsid w:val="00B96CD6"/>
    <w:rsid w:val="00B9722E"/>
    <w:rsid w:val="00B97819"/>
    <w:rsid w:val="00B978AF"/>
    <w:rsid w:val="00B97975"/>
    <w:rsid w:val="00BA0027"/>
    <w:rsid w:val="00BA0257"/>
    <w:rsid w:val="00BA0598"/>
    <w:rsid w:val="00BA0C31"/>
    <w:rsid w:val="00BA14BB"/>
    <w:rsid w:val="00BA1A3C"/>
    <w:rsid w:val="00BA1DED"/>
    <w:rsid w:val="00BA27E7"/>
    <w:rsid w:val="00BA2EAC"/>
    <w:rsid w:val="00BA3293"/>
    <w:rsid w:val="00BA368D"/>
    <w:rsid w:val="00BA378C"/>
    <w:rsid w:val="00BA449F"/>
    <w:rsid w:val="00BA4A33"/>
    <w:rsid w:val="00BA691B"/>
    <w:rsid w:val="00BA6DD9"/>
    <w:rsid w:val="00BA7573"/>
    <w:rsid w:val="00BA7C8C"/>
    <w:rsid w:val="00BA7DAD"/>
    <w:rsid w:val="00BB132D"/>
    <w:rsid w:val="00BB13E4"/>
    <w:rsid w:val="00BB145E"/>
    <w:rsid w:val="00BB14C0"/>
    <w:rsid w:val="00BB15E5"/>
    <w:rsid w:val="00BB1F62"/>
    <w:rsid w:val="00BB247C"/>
    <w:rsid w:val="00BB2553"/>
    <w:rsid w:val="00BB2A4F"/>
    <w:rsid w:val="00BB329C"/>
    <w:rsid w:val="00BB3351"/>
    <w:rsid w:val="00BB3360"/>
    <w:rsid w:val="00BB3DC1"/>
    <w:rsid w:val="00BB4218"/>
    <w:rsid w:val="00BB450B"/>
    <w:rsid w:val="00BB4613"/>
    <w:rsid w:val="00BB4D68"/>
    <w:rsid w:val="00BB4E7A"/>
    <w:rsid w:val="00BB5753"/>
    <w:rsid w:val="00BB589F"/>
    <w:rsid w:val="00BB5FDD"/>
    <w:rsid w:val="00BB60EA"/>
    <w:rsid w:val="00BB6851"/>
    <w:rsid w:val="00BB7888"/>
    <w:rsid w:val="00BC09CF"/>
    <w:rsid w:val="00BC0E1C"/>
    <w:rsid w:val="00BC1723"/>
    <w:rsid w:val="00BC20C9"/>
    <w:rsid w:val="00BC20D2"/>
    <w:rsid w:val="00BC26EC"/>
    <w:rsid w:val="00BC29C4"/>
    <w:rsid w:val="00BC2FAC"/>
    <w:rsid w:val="00BC3E72"/>
    <w:rsid w:val="00BC40B8"/>
    <w:rsid w:val="00BC500B"/>
    <w:rsid w:val="00BC5868"/>
    <w:rsid w:val="00BC627F"/>
    <w:rsid w:val="00BC629C"/>
    <w:rsid w:val="00BC673C"/>
    <w:rsid w:val="00BC6A11"/>
    <w:rsid w:val="00BC7106"/>
    <w:rsid w:val="00BC7A43"/>
    <w:rsid w:val="00BC7E3B"/>
    <w:rsid w:val="00BD0150"/>
    <w:rsid w:val="00BD0D43"/>
    <w:rsid w:val="00BD1000"/>
    <w:rsid w:val="00BD124D"/>
    <w:rsid w:val="00BD19B0"/>
    <w:rsid w:val="00BD1EE3"/>
    <w:rsid w:val="00BD2649"/>
    <w:rsid w:val="00BD3973"/>
    <w:rsid w:val="00BD3C60"/>
    <w:rsid w:val="00BD3DCA"/>
    <w:rsid w:val="00BD43E6"/>
    <w:rsid w:val="00BD481F"/>
    <w:rsid w:val="00BD4832"/>
    <w:rsid w:val="00BD4EEE"/>
    <w:rsid w:val="00BD508C"/>
    <w:rsid w:val="00BD5364"/>
    <w:rsid w:val="00BD56F9"/>
    <w:rsid w:val="00BD5C20"/>
    <w:rsid w:val="00BD5C25"/>
    <w:rsid w:val="00BD65B1"/>
    <w:rsid w:val="00BE0D7D"/>
    <w:rsid w:val="00BE0FBC"/>
    <w:rsid w:val="00BE1196"/>
    <w:rsid w:val="00BE1AC3"/>
    <w:rsid w:val="00BE31FA"/>
    <w:rsid w:val="00BE3812"/>
    <w:rsid w:val="00BE3ABC"/>
    <w:rsid w:val="00BE4644"/>
    <w:rsid w:val="00BE6532"/>
    <w:rsid w:val="00BE6AE2"/>
    <w:rsid w:val="00BE6BB0"/>
    <w:rsid w:val="00BE73B2"/>
    <w:rsid w:val="00BE76D7"/>
    <w:rsid w:val="00BE78F5"/>
    <w:rsid w:val="00BF0164"/>
    <w:rsid w:val="00BF054B"/>
    <w:rsid w:val="00BF1802"/>
    <w:rsid w:val="00BF1A02"/>
    <w:rsid w:val="00BF1DA2"/>
    <w:rsid w:val="00BF1DBC"/>
    <w:rsid w:val="00BF2186"/>
    <w:rsid w:val="00BF263C"/>
    <w:rsid w:val="00BF3233"/>
    <w:rsid w:val="00BF385B"/>
    <w:rsid w:val="00BF3F81"/>
    <w:rsid w:val="00BF47DA"/>
    <w:rsid w:val="00BF4A3A"/>
    <w:rsid w:val="00BF4D4D"/>
    <w:rsid w:val="00BF52F3"/>
    <w:rsid w:val="00BF580F"/>
    <w:rsid w:val="00BF5854"/>
    <w:rsid w:val="00BF5A62"/>
    <w:rsid w:val="00BF71B8"/>
    <w:rsid w:val="00BF71DB"/>
    <w:rsid w:val="00BF7368"/>
    <w:rsid w:val="00BF7B6D"/>
    <w:rsid w:val="00C00B5C"/>
    <w:rsid w:val="00C00C90"/>
    <w:rsid w:val="00C00FC6"/>
    <w:rsid w:val="00C02226"/>
    <w:rsid w:val="00C02519"/>
    <w:rsid w:val="00C02696"/>
    <w:rsid w:val="00C032AC"/>
    <w:rsid w:val="00C03CCD"/>
    <w:rsid w:val="00C03F5A"/>
    <w:rsid w:val="00C0488A"/>
    <w:rsid w:val="00C04C51"/>
    <w:rsid w:val="00C074F2"/>
    <w:rsid w:val="00C0772A"/>
    <w:rsid w:val="00C07915"/>
    <w:rsid w:val="00C11B19"/>
    <w:rsid w:val="00C1205E"/>
    <w:rsid w:val="00C125DA"/>
    <w:rsid w:val="00C12859"/>
    <w:rsid w:val="00C13043"/>
    <w:rsid w:val="00C13144"/>
    <w:rsid w:val="00C1323B"/>
    <w:rsid w:val="00C133C1"/>
    <w:rsid w:val="00C1392A"/>
    <w:rsid w:val="00C1446A"/>
    <w:rsid w:val="00C148E1"/>
    <w:rsid w:val="00C1514E"/>
    <w:rsid w:val="00C15426"/>
    <w:rsid w:val="00C156B0"/>
    <w:rsid w:val="00C15AA9"/>
    <w:rsid w:val="00C15C27"/>
    <w:rsid w:val="00C165C1"/>
    <w:rsid w:val="00C16FE4"/>
    <w:rsid w:val="00C1712B"/>
    <w:rsid w:val="00C17E0E"/>
    <w:rsid w:val="00C20EC8"/>
    <w:rsid w:val="00C21221"/>
    <w:rsid w:val="00C21283"/>
    <w:rsid w:val="00C22638"/>
    <w:rsid w:val="00C24172"/>
    <w:rsid w:val="00C24C51"/>
    <w:rsid w:val="00C24D55"/>
    <w:rsid w:val="00C24E3F"/>
    <w:rsid w:val="00C2504E"/>
    <w:rsid w:val="00C25193"/>
    <w:rsid w:val="00C257E7"/>
    <w:rsid w:val="00C25BB2"/>
    <w:rsid w:val="00C26539"/>
    <w:rsid w:val="00C26F5C"/>
    <w:rsid w:val="00C26FD1"/>
    <w:rsid w:val="00C27E1A"/>
    <w:rsid w:val="00C30352"/>
    <w:rsid w:val="00C306E8"/>
    <w:rsid w:val="00C3257B"/>
    <w:rsid w:val="00C32C2C"/>
    <w:rsid w:val="00C33BFC"/>
    <w:rsid w:val="00C33D17"/>
    <w:rsid w:val="00C34E14"/>
    <w:rsid w:val="00C34E22"/>
    <w:rsid w:val="00C35136"/>
    <w:rsid w:val="00C35396"/>
    <w:rsid w:val="00C3546F"/>
    <w:rsid w:val="00C37254"/>
    <w:rsid w:val="00C37377"/>
    <w:rsid w:val="00C3767B"/>
    <w:rsid w:val="00C37C01"/>
    <w:rsid w:val="00C37D03"/>
    <w:rsid w:val="00C37D2B"/>
    <w:rsid w:val="00C37F43"/>
    <w:rsid w:val="00C40A6E"/>
    <w:rsid w:val="00C40EBD"/>
    <w:rsid w:val="00C4160A"/>
    <w:rsid w:val="00C4180D"/>
    <w:rsid w:val="00C41D03"/>
    <w:rsid w:val="00C426B5"/>
    <w:rsid w:val="00C42D7B"/>
    <w:rsid w:val="00C42DA1"/>
    <w:rsid w:val="00C42FC5"/>
    <w:rsid w:val="00C44284"/>
    <w:rsid w:val="00C46ECA"/>
    <w:rsid w:val="00C46EF5"/>
    <w:rsid w:val="00C472E0"/>
    <w:rsid w:val="00C47308"/>
    <w:rsid w:val="00C47B7A"/>
    <w:rsid w:val="00C50105"/>
    <w:rsid w:val="00C50BD8"/>
    <w:rsid w:val="00C518CB"/>
    <w:rsid w:val="00C519F7"/>
    <w:rsid w:val="00C51B10"/>
    <w:rsid w:val="00C51D85"/>
    <w:rsid w:val="00C51E45"/>
    <w:rsid w:val="00C51F64"/>
    <w:rsid w:val="00C524FC"/>
    <w:rsid w:val="00C5334D"/>
    <w:rsid w:val="00C53387"/>
    <w:rsid w:val="00C53A51"/>
    <w:rsid w:val="00C54C7C"/>
    <w:rsid w:val="00C5662D"/>
    <w:rsid w:val="00C56DC4"/>
    <w:rsid w:val="00C56E8F"/>
    <w:rsid w:val="00C56F61"/>
    <w:rsid w:val="00C575D4"/>
    <w:rsid w:val="00C57714"/>
    <w:rsid w:val="00C57B6F"/>
    <w:rsid w:val="00C60560"/>
    <w:rsid w:val="00C60B64"/>
    <w:rsid w:val="00C60C7E"/>
    <w:rsid w:val="00C61852"/>
    <w:rsid w:val="00C61B59"/>
    <w:rsid w:val="00C66F88"/>
    <w:rsid w:val="00C670AE"/>
    <w:rsid w:val="00C671FC"/>
    <w:rsid w:val="00C67FD6"/>
    <w:rsid w:val="00C7172C"/>
    <w:rsid w:val="00C7187C"/>
    <w:rsid w:val="00C71DDA"/>
    <w:rsid w:val="00C722AA"/>
    <w:rsid w:val="00C72726"/>
    <w:rsid w:val="00C7301C"/>
    <w:rsid w:val="00C730AA"/>
    <w:rsid w:val="00C73DB0"/>
    <w:rsid w:val="00C742E1"/>
    <w:rsid w:val="00C74DF7"/>
    <w:rsid w:val="00C7514B"/>
    <w:rsid w:val="00C7550E"/>
    <w:rsid w:val="00C75BF1"/>
    <w:rsid w:val="00C762D6"/>
    <w:rsid w:val="00C76BC5"/>
    <w:rsid w:val="00C77797"/>
    <w:rsid w:val="00C779A6"/>
    <w:rsid w:val="00C77B24"/>
    <w:rsid w:val="00C77C00"/>
    <w:rsid w:val="00C77F49"/>
    <w:rsid w:val="00C80230"/>
    <w:rsid w:val="00C80840"/>
    <w:rsid w:val="00C80D6D"/>
    <w:rsid w:val="00C8108E"/>
    <w:rsid w:val="00C814C8"/>
    <w:rsid w:val="00C81ADF"/>
    <w:rsid w:val="00C81CC4"/>
    <w:rsid w:val="00C81DE4"/>
    <w:rsid w:val="00C81FC6"/>
    <w:rsid w:val="00C821AE"/>
    <w:rsid w:val="00C829C7"/>
    <w:rsid w:val="00C82BD7"/>
    <w:rsid w:val="00C82F80"/>
    <w:rsid w:val="00C83E9D"/>
    <w:rsid w:val="00C83F6B"/>
    <w:rsid w:val="00C8429D"/>
    <w:rsid w:val="00C842E9"/>
    <w:rsid w:val="00C84D57"/>
    <w:rsid w:val="00C84E0B"/>
    <w:rsid w:val="00C84EEF"/>
    <w:rsid w:val="00C852E7"/>
    <w:rsid w:val="00C8531F"/>
    <w:rsid w:val="00C854BA"/>
    <w:rsid w:val="00C85930"/>
    <w:rsid w:val="00C860E6"/>
    <w:rsid w:val="00C86476"/>
    <w:rsid w:val="00C8649F"/>
    <w:rsid w:val="00C86B2B"/>
    <w:rsid w:val="00C87060"/>
    <w:rsid w:val="00C874AB"/>
    <w:rsid w:val="00C8754E"/>
    <w:rsid w:val="00C87595"/>
    <w:rsid w:val="00C900A8"/>
    <w:rsid w:val="00C903FB"/>
    <w:rsid w:val="00C90767"/>
    <w:rsid w:val="00C90BE3"/>
    <w:rsid w:val="00C90D3A"/>
    <w:rsid w:val="00C914DF"/>
    <w:rsid w:val="00C91A3E"/>
    <w:rsid w:val="00C91D0C"/>
    <w:rsid w:val="00C92578"/>
    <w:rsid w:val="00C933D7"/>
    <w:rsid w:val="00C937B0"/>
    <w:rsid w:val="00C93A37"/>
    <w:rsid w:val="00C93A7C"/>
    <w:rsid w:val="00C93F52"/>
    <w:rsid w:val="00C94693"/>
    <w:rsid w:val="00C94924"/>
    <w:rsid w:val="00C94AE7"/>
    <w:rsid w:val="00C953BC"/>
    <w:rsid w:val="00C95443"/>
    <w:rsid w:val="00C958D8"/>
    <w:rsid w:val="00C976A7"/>
    <w:rsid w:val="00C9783A"/>
    <w:rsid w:val="00CA0139"/>
    <w:rsid w:val="00CA0325"/>
    <w:rsid w:val="00CA09CD"/>
    <w:rsid w:val="00CA1DD5"/>
    <w:rsid w:val="00CA32F2"/>
    <w:rsid w:val="00CA3704"/>
    <w:rsid w:val="00CA4450"/>
    <w:rsid w:val="00CA4858"/>
    <w:rsid w:val="00CA5E5A"/>
    <w:rsid w:val="00CA6015"/>
    <w:rsid w:val="00CA6C0F"/>
    <w:rsid w:val="00CA75E4"/>
    <w:rsid w:val="00CA7F9E"/>
    <w:rsid w:val="00CB04BB"/>
    <w:rsid w:val="00CB0C6E"/>
    <w:rsid w:val="00CB1FA8"/>
    <w:rsid w:val="00CB2A30"/>
    <w:rsid w:val="00CB321E"/>
    <w:rsid w:val="00CB3424"/>
    <w:rsid w:val="00CB46C5"/>
    <w:rsid w:val="00CB47C5"/>
    <w:rsid w:val="00CB485D"/>
    <w:rsid w:val="00CB4B3B"/>
    <w:rsid w:val="00CB4C15"/>
    <w:rsid w:val="00CB4C50"/>
    <w:rsid w:val="00CB4DF0"/>
    <w:rsid w:val="00CB518A"/>
    <w:rsid w:val="00CB535B"/>
    <w:rsid w:val="00CB5478"/>
    <w:rsid w:val="00CB65F3"/>
    <w:rsid w:val="00CB67D1"/>
    <w:rsid w:val="00CB6F0E"/>
    <w:rsid w:val="00CC0195"/>
    <w:rsid w:val="00CC0D57"/>
    <w:rsid w:val="00CC0E50"/>
    <w:rsid w:val="00CC0F6C"/>
    <w:rsid w:val="00CC134A"/>
    <w:rsid w:val="00CC175E"/>
    <w:rsid w:val="00CC2167"/>
    <w:rsid w:val="00CC2780"/>
    <w:rsid w:val="00CC28A2"/>
    <w:rsid w:val="00CC2976"/>
    <w:rsid w:val="00CC2A32"/>
    <w:rsid w:val="00CC32EA"/>
    <w:rsid w:val="00CC3819"/>
    <w:rsid w:val="00CC398C"/>
    <w:rsid w:val="00CC42EB"/>
    <w:rsid w:val="00CC4AEB"/>
    <w:rsid w:val="00CC56C6"/>
    <w:rsid w:val="00CC5A10"/>
    <w:rsid w:val="00CC63FB"/>
    <w:rsid w:val="00CC6416"/>
    <w:rsid w:val="00CC6678"/>
    <w:rsid w:val="00CC7331"/>
    <w:rsid w:val="00CC7949"/>
    <w:rsid w:val="00CC7FE2"/>
    <w:rsid w:val="00CD100C"/>
    <w:rsid w:val="00CD1037"/>
    <w:rsid w:val="00CD136D"/>
    <w:rsid w:val="00CD13FC"/>
    <w:rsid w:val="00CD20ED"/>
    <w:rsid w:val="00CD265D"/>
    <w:rsid w:val="00CD42DB"/>
    <w:rsid w:val="00CD474F"/>
    <w:rsid w:val="00CD5312"/>
    <w:rsid w:val="00CD58BD"/>
    <w:rsid w:val="00CD58E9"/>
    <w:rsid w:val="00CD665C"/>
    <w:rsid w:val="00CD666E"/>
    <w:rsid w:val="00CD7119"/>
    <w:rsid w:val="00CD7C56"/>
    <w:rsid w:val="00CE01EA"/>
    <w:rsid w:val="00CE0EE5"/>
    <w:rsid w:val="00CE0FB3"/>
    <w:rsid w:val="00CE1684"/>
    <w:rsid w:val="00CE1872"/>
    <w:rsid w:val="00CE1D37"/>
    <w:rsid w:val="00CE2C7B"/>
    <w:rsid w:val="00CE4347"/>
    <w:rsid w:val="00CE478B"/>
    <w:rsid w:val="00CE4A8F"/>
    <w:rsid w:val="00CE4D95"/>
    <w:rsid w:val="00CE51AB"/>
    <w:rsid w:val="00CE52D2"/>
    <w:rsid w:val="00CE5792"/>
    <w:rsid w:val="00CE5E66"/>
    <w:rsid w:val="00CE724A"/>
    <w:rsid w:val="00CE7366"/>
    <w:rsid w:val="00CF089A"/>
    <w:rsid w:val="00CF1157"/>
    <w:rsid w:val="00CF1462"/>
    <w:rsid w:val="00CF19C7"/>
    <w:rsid w:val="00CF1E9A"/>
    <w:rsid w:val="00CF1FC9"/>
    <w:rsid w:val="00CF215C"/>
    <w:rsid w:val="00CF2707"/>
    <w:rsid w:val="00CF2A8F"/>
    <w:rsid w:val="00CF2EFE"/>
    <w:rsid w:val="00CF2F05"/>
    <w:rsid w:val="00CF3CF2"/>
    <w:rsid w:val="00CF3E45"/>
    <w:rsid w:val="00CF42F9"/>
    <w:rsid w:val="00CF4569"/>
    <w:rsid w:val="00CF4A6E"/>
    <w:rsid w:val="00CF4C5E"/>
    <w:rsid w:val="00CF53E6"/>
    <w:rsid w:val="00CF55F6"/>
    <w:rsid w:val="00CF5615"/>
    <w:rsid w:val="00CF5D0E"/>
    <w:rsid w:val="00CF6530"/>
    <w:rsid w:val="00CF6725"/>
    <w:rsid w:val="00CF6B8A"/>
    <w:rsid w:val="00CF74C6"/>
    <w:rsid w:val="00CF7541"/>
    <w:rsid w:val="00CF76E7"/>
    <w:rsid w:val="00D00798"/>
    <w:rsid w:val="00D0121F"/>
    <w:rsid w:val="00D017EE"/>
    <w:rsid w:val="00D020DE"/>
    <w:rsid w:val="00D025C8"/>
    <w:rsid w:val="00D02A1A"/>
    <w:rsid w:val="00D0432D"/>
    <w:rsid w:val="00D05144"/>
    <w:rsid w:val="00D0548D"/>
    <w:rsid w:val="00D0565F"/>
    <w:rsid w:val="00D05C3F"/>
    <w:rsid w:val="00D05FF3"/>
    <w:rsid w:val="00D06736"/>
    <w:rsid w:val="00D06886"/>
    <w:rsid w:val="00D10B05"/>
    <w:rsid w:val="00D1119D"/>
    <w:rsid w:val="00D12444"/>
    <w:rsid w:val="00D12AC8"/>
    <w:rsid w:val="00D12DA5"/>
    <w:rsid w:val="00D12E1A"/>
    <w:rsid w:val="00D12E6F"/>
    <w:rsid w:val="00D12F9F"/>
    <w:rsid w:val="00D13653"/>
    <w:rsid w:val="00D143D9"/>
    <w:rsid w:val="00D14506"/>
    <w:rsid w:val="00D14A4C"/>
    <w:rsid w:val="00D15225"/>
    <w:rsid w:val="00D153EE"/>
    <w:rsid w:val="00D15D2D"/>
    <w:rsid w:val="00D15E80"/>
    <w:rsid w:val="00D1650F"/>
    <w:rsid w:val="00D1748D"/>
    <w:rsid w:val="00D2035C"/>
    <w:rsid w:val="00D20A3C"/>
    <w:rsid w:val="00D21B73"/>
    <w:rsid w:val="00D22E42"/>
    <w:rsid w:val="00D2332D"/>
    <w:rsid w:val="00D23592"/>
    <w:rsid w:val="00D23A39"/>
    <w:rsid w:val="00D241E6"/>
    <w:rsid w:val="00D2450F"/>
    <w:rsid w:val="00D24827"/>
    <w:rsid w:val="00D24CFD"/>
    <w:rsid w:val="00D24DEA"/>
    <w:rsid w:val="00D25353"/>
    <w:rsid w:val="00D2593D"/>
    <w:rsid w:val="00D25DD5"/>
    <w:rsid w:val="00D26656"/>
    <w:rsid w:val="00D26F2B"/>
    <w:rsid w:val="00D27150"/>
    <w:rsid w:val="00D3081B"/>
    <w:rsid w:val="00D30C32"/>
    <w:rsid w:val="00D30CCC"/>
    <w:rsid w:val="00D31504"/>
    <w:rsid w:val="00D31B93"/>
    <w:rsid w:val="00D31D6C"/>
    <w:rsid w:val="00D32985"/>
    <w:rsid w:val="00D332FA"/>
    <w:rsid w:val="00D33E3A"/>
    <w:rsid w:val="00D3410D"/>
    <w:rsid w:val="00D3430B"/>
    <w:rsid w:val="00D369B5"/>
    <w:rsid w:val="00D378BE"/>
    <w:rsid w:val="00D404DD"/>
    <w:rsid w:val="00D409D9"/>
    <w:rsid w:val="00D40CA7"/>
    <w:rsid w:val="00D40CCD"/>
    <w:rsid w:val="00D40D68"/>
    <w:rsid w:val="00D40E34"/>
    <w:rsid w:val="00D423BF"/>
    <w:rsid w:val="00D42A56"/>
    <w:rsid w:val="00D42D52"/>
    <w:rsid w:val="00D42DDE"/>
    <w:rsid w:val="00D4353F"/>
    <w:rsid w:val="00D436A6"/>
    <w:rsid w:val="00D43814"/>
    <w:rsid w:val="00D439E3"/>
    <w:rsid w:val="00D44B51"/>
    <w:rsid w:val="00D4551C"/>
    <w:rsid w:val="00D45B79"/>
    <w:rsid w:val="00D45FA1"/>
    <w:rsid w:val="00D4639C"/>
    <w:rsid w:val="00D466A6"/>
    <w:rsid w:val="00D46C4D"/>
    <w:rsid w:val="00D47338"/>
    <w:rsid w:val="00D47450"/>
    <w:rsid w:val="00D4796F"/>
    <w:rsid w:val="00D5006C"/>
    <w:rsid w:val="00D5189E"/>
    <w:rsid w:val="00D51A78"/>
    <w:rsid w:val="00D51FE2"/>
    <w:rsid w:val="00D526F9"/>
    <w:rsid w:val="00D52C22"/>
    <w:rsid w:val="00D52CA4"/>
    <w:rsid w:val="00D52FA8"/>
    <w:rsid w:val="00D53164"/>
    <w:rsid w:val="00D54092"/>
    <w:rsid w:val="00D5451D"/>
    <w:rsid w:val="00D54703"/>
    <w:rsid w:val="00D55896"/>
    <w:rsid w:val="00D5670A"/>
    <w:rsid w:val="00D56969"/>
    <w:rsid w:val="00D56A43"/>
    <w:rsid w:val="00D56DB1"/>
    <w:rsid w:val="00D571BB"/>
    <w:rsid w:val="00D576D6"/>
    <w:rsid w:val="00D57EDA"/>
    <w:rsid w:val="00D60305"/>
    <w:rsid w:val="00D605FD"/>
    <w:rsid w:val="00D6062E"/>
    <w:rsid w:val="00D60D7A"/>
    <w:rsid w:val="00D60F60"/>
    <w:rsid w:val="00D61CDD"/>
    <w:rsid w:val="00D62186"/>
    <w:rsid w:val="00D62E01"/>
    <w:rsid w:val="00D63F86"/>
    <w:rsid w:val="00D64357"/>
    <w:rsid w:val="00D64EA9"/>
    <w:rsid w:val="00D65B27"/>
    <w:rsid w:val="00D65B40"/>
    <w:rsid w:val="00D67DA8"/>
    <w:rsid w:val="00D70259"/>
    <w:rsid w:val="00D70560"/>
    <w:rsid w:val="00D70918"/>
    <w:rsid w:val="00D7111F"/>
    <w:rsid w:val="00D712BA"/>
    <w:rsid w:val="00D718EA"/>
    <w:rsid w:val="00D722C5"/>
    <w:rsid w:val="00D73036"/>
    <w:rsid w:val="00D733A8"/>
    <w:rsid w:val="00D74242"/>
    <w:rsid w:val="00D7477E"/>
    <w:rsid w:val="00D749B9"/>
    <w:rsid w:val="00D7527F"/>
    <w:rsid w:val="00D753AD"/>
    <w:rsid w:val="00D765ED"/>
    <w:rsid w:val="00D76FB5"/>
    <w:rsid w:val="00D773BA"/>
    <w:rsid w:val="00D77535"/>
    <w:rsid w:val="00D77FF6"/>
    <w:rsid w:val="00D80850"/>
    <w:rsid w:val="00D80B49"/>
    <w:rsid w:val="00D80DBE"/>
    <w:rsid w:val="00D81F68"/>
    <w:rsid w:val="00D82195"/>
    <w:rsid w:val="00D82EB5"/>
    <w:rsid w:val="00D83F0D"/>
    <w:rsid w:val="00D8430A"/>
    <w:rsid w:val="00D85A1C"/>
    <w:rsid w:val="00D86379"/>
    <w:rsid w:val="00D8774A"/>
    <w:rsid w:val="00D87D53"/>
    <w:rsid w:val="00D87E32"/>
    <w:rsid w:val="00D90571"/>
    <w:rsid w:val="00D90744"/>
    <w:rsid w:val="00D90827"/>
    <w:rsid w:val="00D9140E"/>
    <w:rsid w:val="00D91E51"/>
    <w:rsid w:val="00D922E8"/>
    <w:rsid w:val="00D922FD"/>
    <w:rsid w:val="00D9256C"/>
    <w:rsid w:val="00D9257A"/>
    <w:rsid w:val="00D926F0"/>
    <w:rsid w:val="00D9289B"/>
    <w:rsid w:val="00D9292E"/>
    <w:rsid w:val="00D938FB"/>
    <w:rsid w:val="00D939E8"/>
    <w:rsid w:val="00D93DAA"/>
    <w:rsid w:val="00D9471D"/>
    <w:rsid w:val="00D94B8A"/>
    <w:rsid w:val="00D9502B"/>
    <w:rsid w:val="00D9533F"/>
    <w:rsid w:val="00D95AB8"/>
    <w:rsid w:val="00D95B26"/>
    <w:rsid w:val="00D9626F"/>
    <w:rsid w:val="00D9751B"/>
    <w:rsid w:val="00DA0F62"/>
    <w:rsid w:val="00DA18FF"/>
    <w:rsid w:val="00DA1EEF"/>
    <w:rsid w:val="00DA20E4"/>
    <w:rsid w:val="00DA20F2"/>
    <w:rsid w:val="00DA22A7"/>
    <w:rsid w:val="00DA2555"/>
    <w:rsid w:val="00DA4175"/>
    <w:rsid w:val="00DA418F"/>
    <w:rsid w:val="00DA45DD"/>
    <w:rsid w:val="00DA4798"/>
    <w:rsid w:val="00DA4BD8"/>
    <w:rsid w:val="00DA4D79"/>
    <w:rsid w:val="00DA5385"/>
    <w:rsid w:val="00DA5851"/>
    <w:rsid w:val="00DA5A1F"/>
    <w:rsid w:val="00DA610C"/>
    <w:rsid w:val="00DA6DFE"/>
    <w:rsid w:val="00DA781D"/>
    <w:rsid w:val="00DB02AD"/>
    <w:rsid w:val="00DB030C"/>
    <w:rsid w:val="00DB07F5"/>
    <w:rsid w:val="00DB08CD"/>
    <w:rsid w:val="00DB18B7"/>
    <w:rsid w:val="00DB214D"/>
    <w:rsid w:val="00DB2476"/>
    <w:rsid w:val="00DB39D7"/>
    <w:rsid w:val="00DB420B"/>
    <w:rsid w:val="00DB4364"/>
    <w:rsid w:val="00DB44D8"/>
    <w:rsid w:val="00DB503A"/>
    <w:rsid w:val="00DB53CB"/>
    <w:rsid w:val="00DB5619"/>
    <w:rsid w:val="00DB5A78"/>
    <w:rsid w:val="00DB5DF8"/>
    <w:rsid w:val="00DB5EBD"/>
    <w:rsid w:val="00DB6F5C"/>
    <w:rsid w:val="00DB7433"/>
    <w:rsid w:val="00DB76F8"/>
    <w:rsid w:val="00DB7DDD"/>
    <w:rsid w:val="00DB7EAE"/>
    <w:rsid w:val="00DC0690"/>
    <w:rsid w:val="00DC0A20"/>
    <w:rsid w:val="00DC13B3"/>
    <w:rsid w:val="00DC1969"/>
    <w:rsid w:val="00DC1C40"/>
    <w:rsid w:val="00DC2359"/>
    <w:rsid w:val="00DC253C"/>
    <w:rsid w:val="00DC34BA"/>
    <w:rsid w:val="00DC3656"/>
    <w:rsid w:val="00DC3AAA"/>
    <w:rsid w:val="00DC429C"/>
    <w:rsid w:val="00DC42BC"/>
    <w:rsid w:val="00DC6102"/>
    <w:rsid w:val="00DC68F2"/>
    <w:rsid w:val="00DC72AE"/>
    <w:rsid w:val="00DC75EF"/>
    <w:rsid w:val="00DC760D"/>
    <w:rsid w:val="00DC76BC"/>
    <w:rsid w:val="00DC7A1A"/>
    <w:rsid w:val="00DD1081"/>
    <w:rsid w:val="00DD1284"/>
    <w:rsid w:val="00DD1479"/>
    <w:rsid w:val="00DD15AC"/>
    <w:rsid w:val="00DD2482"/>
    <w:rsid w:val="00DD267B"/>
    <w:rsid w:val="00DD2700"/>
    <w:rsid w:val="00DD3340"/>
    <w:rsid w:val="00DD3688"/>
    <w:rsid w:val="00DD36ED"/>
    <w:rsid w:val="00DD38E2"/>
    <w:rsid w:val="00DD3F07"/>
    <w:rsid w:val="00DD4046"/>
    <w:rsid w:val="00DD549C"/>
    <w:rsid w:val="00DD5C06"/>
    <w:rsid w:val="00DD5ED5"/>
    <w:rsid w:val="00DD5F08"/>
    <w:rsid w:val="00DD6E80"/>
    <w:rsid w:val="00DE0634"/>
    <w:rsid w:val="00DE0E1B"/>
    <w:rsid w:val="00DE18CC"/>
    <w:rsid w:val="00DE1C43"/>
    <w:rsid w:val="00DE1C4D"/>
    <w:rsid w:val="00DE1F33"/>
    <w:rsid w:val="00DE294E"/>
    <w:rsid w:val="00DE2990"/>
    <w:rsid w:val="00DE2C56"/>
    <w:rsid w:val="00DE314E"/>
    <w:rsid w:val="00DE3D59"/>
    <w:rsid w:val="00DE4088"/>
    <w:rsid w:val="00DE4154"/>
    <w:rsid w:val="00DE4292"/>
    <w:rsid w:val="00DE42BA"/>
    <w:rsid w:val="00DE43DC"/>
    <w:rsid w:val="00DE46B6"/>
    <w:rsid w:val="00DE4873"/>
    <w:rsid w:val="00DE489D"/>
    <w:rsid w:val="00DE57A4"/>
    <w:rsid w:val="00DE5B26"/>
    <w:rsid w:val="00DE6448"/>
    <w:rsid w:val="00DE6465"/>
    <w:rsid w:val="00DE71CD"/>
    <w:rsid w:val="00DE75B4"/>
    <w:rsid w:val="00DE7B21"/>
    <w:rsid w:val="00DE7D3E"/>
    <w:rsid w:val="00DF007A"/>
    <w:rsid w:val="00DF00DB"/>
    <w:rsid w:val="00DF0B2B"/>
    <w:rsid w:val="00DF1367"/>
    <w:rsid w:val="00DF1383"/>
    <w:rsid w:val="00DF1552"/>
    <w:rsid w:val="00DF1FA1"/>
    <w:rsid w:val="00DF24CA"/>
    <w:rsid w:val="00DF2E85"/>
    <w:rsid w:val="00DF30D3"/>
    <w:rsid w:val="00DF380D"/>
    <w:rsid w:val="00DF3FBE"/>
    <w:rsid w:val="00DF5C3A"/>
    <w:rsid w:val="00DF5E99"/>
    <w:rsid w:val="00DF7044"/>
    <w:rsid w:val="00DF7F67"/>
    <w:rsid w:val="00E01963"/>
    <w:rsid w:val="00E01CB2"/>
    <w:rsid w:val="00E020A1"/>
    <w:rsid w:val="00E021FF"/>
    <w:rsid w:val="00E0263B"/>
    <w:rsid w:val="00E02945"/>
    <w:rsid w:val="00E03103"/>
    <w:rsid w:val="00E03719"/>
    <w:rsid w:val="00E03E2A"/>
    <w:rsid w:val="00E04E9B"/>
    <w:rsid w:val="00E04FF5"/>
    <w:rsid w:val="00E05839"/>
    <w:rsid w:val="00E061EB"/>
    <w:rsid w:val="00E06CE1"/>
    <w:rsid w:val="00E071DB"/>
    <w:rsid w:val="00E07B60"/>
    <w:rsid w:val="00E07E17"/>
    <w:rsid w:val="00E07E5B"/>
    <w:rsid w:val="00E10A57"/>
    <w:rsid w:val="00E10B4A"/>
    <w:rsid w:val="00E12285"/>
    <w:rsid w:val="00E12B9A"/>
    <w:rsid w:val="00E13E96"/>
    <w:rsid w:val="00E145B1"/>
    <w:rsid w:val="00E148A5"/>
    <w:rsid w:val="00E15166"/>
    <w:rsid w:val="00E154AC"/>
    <w:rsid w:val="00E1576E"/>
    <w:rsid w:val="00E15A83"/>
    <w:rsid w:val="00E165AC"/>
    <w:rsid w:val="00E166DE"/>
    <w:rsid w:val="00E17064"/>
    <w:rsid w:val="00E17790"/>
    <w:rsid w:val="00E17853"/>
    <w:rsid w:val="00E17C7B"/>
    <w:rsid w:val="00E17F3D"/>
    <w:rsid w:val="00E2065E"/>
    <w:rsid w:val="00E20C2B"/>
    <w:rsid w:val="00E20F2E"/>
    <w:rsid w:val="00E217D0"/>
    <w:rsid w:val="00E2188F"/>
    <w:rsid w:val="00E219A5"/>
    <w:rsid w:val="00E21B4D"/>
    <w:rsid w:val="00E22AE4"/>
    <w:rsid w:val="00E234E5"/>
    <w:rsid w:val="00E24281"/>
    <w:rsid w:val="00E24532"/>
    <w:rsid w:val="00E247F6"/>
    <w:rsid w:val="00E24B1B"/>
    <w:rsid w:val="00E24BE6"/>
    <w:rsid w:val="00E25BB7"/>
    <w:rsid w:val="00E276D4"/>
    <w:rsid w:val="00E30292"/>
    <w:rsid w:val="00E308A4"/>
    <w:rsid w:val="00E31699"/>
    <w:rsid w:val="00E31B4D"/>
    <w:rsid w:val="00E31BC9"/>
    <w:rsid w:val="00E32B2D"/>
    <w:rsid w:val="00E32DAB"/>
    <w:rsid w:val="00E33626"/>
    <w:rsid w:val="00E348D0"/>
    <w:rsid w:val="00E35270"/>
    <w:rsid w:val="00E367F1"/>
    <w:rsid w:val="00E3681B"/>
    <w:rsid w:val="00E37EFD"/>
    <w:rsid w:val="00E400C1"/>
    <w:rsid w:val="00E400DA"/>
    <w:rsid w:val="00E404C0"/>
    <w:rsid w:val="00E408CB"/>
    <w:rsid w:val="00E4104A"/>
    <w:rsid w:val="00E41363"/>
    <w:rsid w:val="00E41A96"/>
    <w:rsid w:val="00E4215D"/>
    <w:rsid w:val="00E42387"/>
    <w:rsid w:val="00E42F46"/>
    <w:rsid w:val="00E42F80"/>
    <w:rsid w:val="00E43149"/>
    <w:rsid w:val="00E43FF3"/>
    <w:rsid w:val="00E4471C"/>
    <w:rsid w:val="00E44C3F"/>
    <w:rsid w:val="00E45743"/>
    <w:rsid w:val="00E4600D"/>
    <w:rsid w:val="00E46558"/>
    <w:rsid w:val="00E467B9"/>
    <w:rsid w:val="00E46FE4"/>
    <w:rsid w:val="00E474AA"/>
    <w:rsid w:val="00E478BE"/>
    <w:rsid w:val="00E51241"/>
    <w:rsid w:val="00E51A64"/>
    <w:rsid w:val="00E521DF"/>
    <w:rsid w:val="00E52F2F"/>
    <w:rsid w:val="00E536B2"/>
    <w:rsid w:val="00E53DB5"/>
    <w:rsid w:val="00E5504C"/>
    <w:rsid w:val="00E554D6"/>
    <w:rsid w:val="00E55925"/>
    <w:rsid w:val="00E55FD0"/>
    <w:rsid w:val="00E56246"/>
    <w:rsid w:val="00E56B35"/>
    <w:rsid w:val="00E5768A"/>
    <w:rsid w:val="00E60C11"/>
    <w:rsid w:val="00E61233"/>
    <w:rsid w:val="00E613AB"/>
    <w:rsid w:val="00E614AD"/>
    <w:rsid w:val="00E618A5"/>
    <w:rsid w:val="00E61A3A"/>
    <w:rsid w:val="00E624CD"/>
    <w:rsid w:val="00E62649"/>
    <w:rsid w:val="00E62976"/>
    <w:rsid w:val="00E6412F"/>
    <w:rsid w:val="00E642B0"/>
    <w:rsid w:val="00E64EE7"/>
    <w:rsid w:val="00E64FFF"/>
    <w:rsid w:val="00E65982"/>
    <w:rsid w:val="00E6599A"/>
    <w:rsid w:val="00E65AD8"/>
    <w:rsid w:val="00E65DC9"/>
    <w:rsid w:val="00E6683F"/>
    <w:rsid w:val="00E668F6"/>
    <w:rsid w:val="00E66B96"/>
    <w:rsid w:val="00E66F64"/>
    <w:rsid w:val="00E6792A"/>
    <w:rsid w:val="00E70028"/>
    <w:rsid w:val="00E7030C"/>
    <w:rsid w:val="00E70741"/>
    <w:rsid w:val="00E71C1C"/>
    <w:rsid w:val="00E72DD6"/>
    <w:rsid w:val="00E7303B"/>
    <w:rsid w:val="00E73571"/>
    <w:rsid w:val="00E73A52"/>
    <w:rsid w:val="00E73C58"/>
    <w:rsid w:val="00E74629"/>
    <w:rsid w:val="00E74DA9"/>
    <w:rsid w:val="00E756C3"/>
    <w:rsid w:val="00E75B52"/>
    <w:rsid w:val="00E75F2F"/>
    <w:rsid w:val="00E76C5E"/>
    <w:rsid w:val="00E779B4"/>
    <w:rsid w:val="00E77A92"/>
    <w:rsid w:val="00E77ADE"/>
    <w:rsid w:val="00E77B80"/>
    <w:rsid w:val="00E800B1"/>
    <w:rsid w:val="00E802C9"/>
    <w:rsid w:val="00E805F3"/>
    <w:rsid w:val="00E820EE"/>
    <w:rsid w:val="00E82322"/>
    <w:rsid w:val="00E82425"/>
    <w:rsid w:val="00E82C9C"/>
    <w:rsid w:val="00E82DC1"/>
    <w:rsid w:val="00E83605"/>
    <w:rsid w:val="00E84683"/>
    <w:rsid w:val="00E84ED6"/>
    <w:rsid w:val="00E855C6"/>
    <w:rsid w:val="00E857FA"/>
    <w:rsid w:val="00E85D2F"/>
    <w:rsid w:val="00E86222"/>
    <w:rsid w:val="00E86254"/>
    <w:rsid w:val="00E86264"/>
    <w:rsid w:val="00E86351"/>
    <w:rsid w:val="00E86890"/>
    <w:rsid w:val="00E86E0B"/>
    <w:rsid w:val="00E87A73"/>
    <w:rsid w:val="00E90212"/>
    <w:rsid w:val="00E902E6"/>
    <w:rsid w:val="00E90425"/>
    <w:rsid w:val="00E9068C"/>
    <w:rsid w:val="00E90B81"/>
    <w:rsid w:val="00E90DDF"/>
    <w:rsid w:val="00E90F12"/>
    <w:rsid w:val="00E91E99"/>
    <w:rsid w:val="00E92C7F"/>
    <w:rsid w:val="00E92C99"/>
    <w:rsid w:val="00E92D2C"/>
    <w:rsid w:val="00E9350E"/>
    <w:rsid w:val="00E939E3"/>
    <w:rsid w:val="00E93AAF"/>
    <w:rsid w:val="00E93D2D"/>
    <w:rsid w:val="00E93FC8"/>
    <w:rsid w:val="00E95358"/>
    <w:rsid w:val="00E955EE"/>
    <w:rsid w:val="00E95C05"/>
    <w:rsid w:val="00E96464"/>
    <w:rsid w:val="00E96CDF"/>
    <w:rsid w:val="00E97456"/>
    <w:rsid w:val="00E97858"/>
    <w:rsid w:val="00E97EC3"/>
    <w:rsid w:val="00E97F32"/>
    <w:rsid w:val="00EA0658"/>
    <w:rsid w:val="00EA0EA7"/>
    <w:rsid w:val="00EA1107"/>
    <w:rsid w:val="00EA15A1"/>
    <w:rsid w:val="00EA2E7A"/>
    <w:rsid w:val="00EA356A"/>
    <w:rsid w:val="00EA3AC1"/>
    <w:rsid w:val="00EA3D7E"/>
    <w:rsid w:val="00EA5163"/>
    <w:rsid w:val="00EA5356"/>
    <w:rsid w:val="00EA5627"/>
    <w:rsid w:val="00EA5C91"/>
    <w:rsid w:val="00EA5CA0"/>
    <w:rsid w:val="00EA65FC"/>
    <w:rsid w:val="00EA6621"/>
    <w:rsid w:val="00EA6DAE"/>
    <w:rsid w:val="00EA6EF0"/>
    <w:rsid w:val="00EA756E"/>
    <w:rsid w:val="00EA7D67"/>
    <w:rsid w:val="00EB16C3"/>
    <w:rsid w:val="00EB1DE8"/>
    <w:rsid w:val="00EB20B9"/>
    <w:rsid w:val="00EB2A9C"/>
    <w:rsid w:val="00EB2DE1"/>
    <w:rsid w:val="00EB3166"/>
    <w:rsid w:val="00EB3B99"/>
    <w:rsid w:val="00EB401D"/>
    <w:rsid w:val="00EB4303"/>
    <w:rsid w:val="00EB4480"/>
    <w:rsid w:val="00EB58DC"/>
    <w:rsid w:val="00EB5DB5"/>
    <w:rsid w:val="00EB6538"/>
    <w:rsid w:val="00EB6937"/>
    <w:rsid w:val="00EB6BF8"/>
    <w:rsid w:val="00EB6DB7"/>
    <w:rsid w:val="00EB7961"/>
    <w:rsid w:val="00EB7D0F"/>
    <w:rsid w:val="00EC05E6"/>
    <w:rsid w:val="00EC088B"/>
    <w:rsid w:val="00EC133B"/>
    <w:rsid w:val="00EC1B4D"/>
    <w:rsid w:val="00EC1EDA"/>
    <w:rsid w:val="00EC253A"/>
    <w:rsid w:val="00EC2ABE"/>
    <w:rsid w:val="00EC4343"/>
    <w:rsid w:val="00EC4F0F"/>
    <w:rsid w:val="00EC60FE"/>
    <w:rsid w:val="00EC653A"/>
    <w:rsid w:val="00EC65CF"/>
    <w:rsid w:val="00EC6CF6"/>
    <w:rsid w:val="00EC6E01"/>
    <w:rsid w:val="00EC6F04"/>
    <w:rsid w:val="00ED0DAF"/>
    <w:rsid w:val="00ED1902"/>
    <w:rsid w:val="00ED1A46"/>
    <w:rsid w:val="00ED1AEC"/>
    <w:rsid w:val="00ED2002"/>
    <w:rsid w:val="00ED3722"/>
    <w:rsid w:val="00ED481C"/>
    <w:rsid w:val="00ED55B0"/>
    <w:rsid w:val="00ED5906"/>
    <w:rsid w:val="00ED5B86"/>
    <w:rsid w:val="00ED6863"/>
    <w:rsid w:val="00ED6981"/>
    <w:rsid w:val="00ED7009"/>
    <w:rsid w:val="00ED73D8"/>
    <w:rsid w:val="00ED76BA"/>
    <w:rsid w:val="00ED7C21"/>
    <w:rsid w:val="00EE0311"/>
    <w:rsid w:val="00EE19EE"/>
    <w:rsid w:val="00EE1AEC"/>
    <w:rsid w:val="00EE1AFB"/>
    <w:rsid w:val="00EE2199"/>
    <w:rsid w:val="00EE2777"/>
    <w:rsid w:val="00EE3F2E"/>
    <w:rsid w:val="00EE4053"/>
    <w:rsid w:val="00EE418A"/>
    <w:rsid w:val="00EE4864"/>
    <w:rsid w:val="00EE4889"/>
    <w:rsid w:val="00EE4A92"/>
    <w:rsid w:val="00EE4D3E"/>
    <w:rsid w:val="00EE4FB4"/>
    <w:rsid w:val="00EE5477"/>
    <w:rsid w:val="00EE56DB"/>
    <w:rsid w:val="00EE5856"/>
    <w:rsid w:val="00EE5E10"/>
    <w:rsid w:val="00EE62D3"/>
    <w:rsid w:val="00EE69E1"/>
    <w:rsid w:val="00EE6C9C"/>
    <w:rsid w:val="00EF063F"/>
    <w:rsid w:val="00EF1281"/>
    <w:rsid w:val="00EF1F82"/>
    <w:rsid w:val="00EF34F5"/>
    <w:rsid w:val="00EF3957"/>
    <w:rsid w:val="00EF3AB1"/>
    <w:rsid w:val="00EF4A9F"/>
    <w:rsid w:val="00EF50A8"/>
    <w:rsid w:val="00EF53C9"/>
    <w:rsid w:val="00EF58D2"/>
    <w:rsid w:val="00EF5A40"/>
    <w:rsid w:val="00EF6C4C"/>
    <w:rsid w:val="00EF6D71"/>
    <w:rsid w:val="00EF6E89"/>
    <w:rsid w:val="00EF6EF1"/>
    <w:rsid w:val="00EF7A3B"/>
    <w:rsid w:val="00EF7EAF"/>
    <w:rsid w:val="00F009A0"/>
    <w:rsid w:val="00F010D1"/>
    <w:rsid w:val="00F01380"/>
    <w:rsid w:val="00F015FC"/>
    <w:rsid w:val="00F01839"/>
    <w:rsid w:val="00F018C9"/>
    <w:rsid w:val="00F026E2"/>
    <w:rsid w:val="00F027C4"/>
    <w:rsid w:val="00F029E5"/>
    <w:rsid w:val="00F02C7D"/>
    <w:rsid w:val="00F03153"/>
    <w:rsid w:val="00F03582"/>
    <w:rsid w:val="00F035DA"/>
    <w:rsid w:val="00F0377F"/>
    <w:rsid w:val="00F03C0F"/>
    <w:rsid w:val="00F042AA"/>
    <w:rsid w:val="00F04ACE"/>
    <w:rsid w:val="00F04B7E"/>
    <w:rsid w:val="00F06170"/>
    <w:rsid w:val="00F06C9E"/>
    <w:rsid w:val="00F07687"/>
    <w:rsid w:val="00F07779"/>
    <w:rsid w:val="00F07B27"/>
    <w:rsid w:val="00F07EE0"/>
    <w:rsid w:val="00F1042B"/>
    <w:rsid w:val="00F1059F"/>
    <w:rsid w:val="00F105E4"/>
    <w:rsid w:val="00F10BFF"/>
    <w:rsid w:val="00F11454"/>
    <w:rsid w:val="00F114A9"/>
    <w:rsid w:val="00F115A6"/>
    <w:rsid w:val="00F11ADD"/>
    <w:rsid w:val="00F121D9"/>
    <w:rsid w:val="00F12D18"/>
    <w:rsid w:val="00F12EBD"/>
    <w:rsid w:val="00F13071"/>
    <w:rsid w:val="00F1313F"/>
    <w:rsid w:val="00F1327B"/>
    <w:rsid w:val="00F137FA"/>
    <w:rsid w:val="00F140F1"/>
    <w:rsid w:val="00F146A9"/>
    <w:rsid w:val="00F149D0"/>
    <w:rsid w:val="00F15020"/>
    <w:rsid w:val="00F167A5"/>
    <w:rsid w:val="00F176DC"/>
    <w:rsid w:val="00F17BD7"/>
    <w:rsid w:val="00F21635"/>
    <w:rsid w:val="00F21C3B"/>
    <w:rsid w:val="00F23DED"/>
    <w:rsid w:val="00F23DEF"/>
    <w:rsid w:val="00F24229"/>
    <w:rsid w:val="00F24940"/>
    <w:rsid w:val="00F25797"/>
    <w:rsid w:val="00F302A7"/>
    <w:rsid w:val="00F30B13"/>
    <w:rsid w:val="00F30D70"/>
    <w:rsid w:val="00F30F6D"/>
    <w:rsid w:val="00F30F86"/>
    <w:rsid w:val="00F31EFA"/>
    <w:rsid w:val="00F322AD"/>
    <w:rsid w:val="00F32368"/>
    <w:rsid w:val="00F323D4"/>
    <w:rsid w:val="00F3248E"/>
    <w:rsid w:val="00F3321D"/>
    <w:rsid w:val="00F3335F"/>
    <w:rsid w:val="00F33C66"/>
    <w:rsid w:val="00F34020"/>
    <w:rsid w:val="00F344C7"/>
    <w:rsid w:val="00F34D7B"/>
    <w:rsid w:val="00F356C3"/>
    <w:rsid w:val="00F3583A"/>
    <w:rsid w:val="00F35948"/>
    <w:rsid w:val="00F35DCA"/>
    <w:rsid w:val="00F36C68"/>
    <w:rsid w:val="00F36E59"/>
    <w:rsid w:val="00F3730E"/>
    <w:rsid w:val="00F375A4"/>
    <w:rsid w:val="00F378CE"/>
    <w:rsid w:val="00F37F5B"/>
    <w:rsid w:val="00F37F5E"/>
    <w:rsid w:val="00F400D5"/>
    <w:rsid w:val="00F401B5"/>
    <w:rsid w:val="00F4049C"/>
    <w:rsid w:val="00F4123A"/>
    <w:rsid w:val="00F41251"/>
    <w:rsid w:val="00F41295"/>
    <w:rsid w:val="00F4205A"/>
    <w:rsid w:val="00F4239F"/>
    <w:rsid w:val="00F423D6"/>
    <w:rsid w:val="00F42A0B"/>
    <w:rsid w:val="00F43708"/>
    <w:rsid w:val="00F4384A"/>
    <w:rsid w:val="00F438D4"/>
    <w:rsid w:val="00F43FE6"/>
    <w:rsid w:val="00F44252"/>
    <w:rsid w:val="00F45D50"/>
    <w:rsid w:val="00F45D64"/>
    <w:rsid w:val="00F46645"/>
    <w:rsid w:val="00F46784"/>
    <w:rsid w:val="00F46959"/>
    <w:rsid w:val="00F46D17"/>
    <w:rsid w:val="00F47498"/>
    <w:rsid w:val="00F47829"/>
    <w:rsid w:val="00F47965"/>
    <w:rsid w:val="00F47FC4"/>
    <w:rsid w:val="00F51212"/>
    <w:rsid w:val="00F51235"/>
    <w:rsid w:val="00F51A14"/>
    <w:rsid w:val="00F520B8"/>
    <w:rsid w:val="00F520ED"/>
    <w:rsid w:val="00F52269"/>
    <w:rsid w:val="00F52B0A"/>
    <w:rsid w:val="00F53136"/>
    <w:rsid w:val="00F53CA4"/>
    <w:rsid w:val="00F53E30"/>
    <w:rsid w:val="00F557AD"/>
    <w:rsid w:val="00F576E4"/>
    <w:rsid w:val="00F57D21"/>
    <w:rsid w:val="00F60C84"/>
    <w:rsid w:val="00F61E58"/>
    <w:rsid w:val="00F623E2"/>
    <w:rsid w:val="00F6326F"/>
    <w:rsid w:val="00F63E62"/>
    <w:rsid w:val="00F64C0C"/>
    <w:rsid w:val="00F64F6E"/>
    <w:rsid w:val="00F651C6"/>
    <w:rsid w:val="00F6586E"/>
    <w:rsid w:val="00F65899"/>
    <w:rsid w:val="00F65CF0"/>
    <w:rsid w:val="00F66577"/>
    <w:rsid w:val="00F66F07"/>
    <w:rsid w:val="00F67024"/>
    <w:rsid w:val="00F6771D"/>
    <w:rsid w:val="00F67AC1"/>
    <w:rsid w:val="00F67EF6"/>
    <w:rsid w:val="00F71C01"/>
    <w:rsid w:val="00F71FD1"/>
    <w:rsid w:val="00F73091"/>
    <w:rsid w:val="00F73280"/>
    <w:rsid w:val="00F73C05"/>
    <w:rsid w:val="00F74302"/>
    <w:rsid w:val="00F75BBA"/>
    <w:rsid w:val="00F7606F"/>
    <w:rsid w:val="00F76703"/>
    <w:rsid w:val="00F7684B"/>
    <w:rsid w:val="00F76D36"/>
    <w:rsid w:val="00F7732B"/>
    <w:rsid w:val="00F77379"/>
    <w:rsid w:val="00F773AA"/>
    <w:rsid w:val="00F77DAC"/>
    <w:rsid w:val="00F80231"/>
    <w:rsid w:val="00F80AE7"/>
    <w:rsid w:val="00F80DF4"/>
    <w:rsid w:val="00F81285"/>
    <w:rsid w:val="00F826B5"/>
    <w:rsid w:val="00F82913"/>
    <w:rsid w:val="00F831BD"/>
    <w:rsid w:val="00F8339C"/>
    <w:rsid w:val="00F8345A"/>
    <w:rsid w:val="00F83BF8"/>
    <w:rsid w:val="00F84C5A"/>
    <w:rsid w:val="00F85408"/>
    <w:rsid w:val="00F86D6D"/>
    <w:rsid w:val="00F87BC6"/>
    <w:rsid w:val="00F9017D"/>
    <w:rsid w:val="00F9024F"/>
    <w:rsid w:val="00F90E1F"/>
    <w:rsid w:val="00F90EF6"/>
    <w:rsid w:val="00F91D5D"/>
    <w:rsid w:val="00F926FD"/>
    <w:rsid w:val="00F92C03"/>
    <w:rsid w:val="00F937AE"/>
    <w:rsid w:val="00F94131"/>
    <w:rsid w:val="00F94333"/>
    <w:rsid w:val="00F944F4"/>
    <w:rsid w:val="00F948B1"/>
    <w:rsid w:val="00F949A5"/>
    <w:rsid w:val="00F9558E"/>
    <w:rsid w:val="00F959CE"/>
    <w:rsid w:val="00F96873"/>
    <w:rsid w:val="00F96B96"/>
    <w:rsid w:val="00F975B6"/>
    <w:rsid w:val="00FA01F1"/>
    <w:rsid w:val="00FA05E1"/>
    <w:rsid w:val="00FA0C47"/>
    <w:rsid w:val="00FA29A0"/>
    <w:rsid w:val="00FA367C"/>
    <w:rsid w:val="00FA4295"/>
    <w:rsid w:val="00FA44FD"/>
    <w:rsid w:val="00FA4E9C"/>
    <w:rsid w:val="00FA5846"/>
    <w:rsid w:val="00FA5B49"/>
    <w:rsid w:val="00FA6BE5"/>
    <w:rsid w:val="00FA7351"/>
    <w:rsid w:val="00FB0169"/>
    <w:rsid w:val="00FB0379"/>
    <w:rsid w:val="00FB0524"/>
    <w:rsid w:val="00FB13F4"/>
    <w:rsid w:val="00FB2038"/>
    <w:rsid w:val="00FB2804"/>
    <w:rsid w:val="00FB311A"/>
    <w:rsid w:val="00FB311F"/>
    <w:rsid w:val="00FB3771"/>
    <w:rsid w:val="00FB42B1"/>
    <w:rsid w:val="00FB44B9"/>
    <w:rsid w:val="00FB44CA"/>
    <w:rsid w:val="00FB4816"/>
    <w:rsid w:val="00FB52F0"/>
    <w:rsid w:val="00FB53E6"/>
    <w:rsid w:val="00FB5AC9"/>
    <w:rsid w:val="00FB5F49"/>
    <w:rsid w:val="00FB62C5"/>
    <w:rsid w:val="00FB656B"/>
    <w:rsid w:val="00FB67C8"/>
    <w:rsid w:val="00FB69CC"/>
    <w:rsid w:val="00FB727A"/>
    <w:rsid w:val="00FB7BDC"/>
    <w:rsid w:val="00FB7DFC"/>
    <w:rsid w:val="00FC0EE3"/>
    <w:rsid w:val="00FC1637"/>
    <w:rsid w:val="00FC1866"/>
    <w:rsid w:val="00FC1C1C"/>
    <w:rsid w:val="00FC1E95"/>
    <w:rsid w:val="00FC3D86"/>
    <w:rsid w:val="00FC4468"/>
    <w:rsid w:val="00FC5449"/>
    <w:rsid w:val="00FC54E1"/>
    <w:rsid w:val="00FC60C8"/>
    <w:rsid w:val="00FC6FC9"/>
    <w:rsid w:val="00FC7318"/>
    <w:rsid w:val="00FC7759"/>
    <w:rsid w:val="00FC7BC5"/>
    <w:rsid w:val="00FC7D7F"/>
    <w:rsid w:val="00FD014A"/>
    <w:rsid w:val="00FD1918"/>
    <w:rsid w:val="00FD3064"/>
    <w:rsid w:val="00FD3204"/>
    <w:rsid w:val="00FD321F"/>
    <w:rsid w:val="00FD420C"/>
    <w:rsid w:val="00FD463E"/>
    <w:rsid w:val="00FD47FE"/>
    <w:rsid w:val="00FD5D67"/>
    <w:rsid w:val="00FD5D73"/>
    <w:rsid w:val="00FD676B"/>
    <w:rsid w:val="00FD71FE"/>
    <w:rsid w:val="00FD7457"/>
    <w:rsid w:val="00FD7D5D"/>
    <w:rsid w:val="00FE0163"/>
    <w:rsid w:val="00FE0674"/>
    <w:rsid w:val="00FE15DB"/>
    <w:rsid w:val="00FE18E6"/>
    <w:rsid w:val="00FE1E08"/>
    <w:rsid w:val="00FE1E2B"/>
    <w:rsid w:val="00FE255C"/>
    <w:rsid w:val="00FE4304"/>
    <w:rsid w:val="00FE4703"/>
    <w:rsid w:val="00FE592D"/>
    <w:rsid w:val="00FE63F6"/>
    <w:rsid w:val="00FE6491"/>
    <w:rsid w:val="00FE64AB"/>
    <w:rsid w:val="00FE6E87"/>
    <w:rsid w:val="00FE75CF"/>
    <w:rsid w:val="00FF05FC"/>
    <w:rsid w:val="00FF07DF"/>
    <w:rsid w:val="00FF2EB0"/>
    <w:rsid w:val="00FF2F18"/>
    <w:rsid w:val="00FF37D6"/>
    <w:rsid w:val="00FF3B92"/>
    <w:rsid w:val="00FF4AA1"/>
    <w:rsid w:val="00FF5212"/>
    <w:rsid w:val="00FF629F"/>
    <w:rsid w:val="00FF66AF"/>
    <w:rsid w:val="00FF6735"/>
    <w:rsid w:val="00FF6BD7"/>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C6"/>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p3"/>
    <w:next w:val="Normal"/>
    <w:link w:val="Heading2Char"/>
    <w:qFormat/>
    <w:rsid w:val="00F24229"/>
    <w:pPr>
      <w:numPr>
        <w:numId w:val="1"/>
      </w:numPr>
      <w:tabs>
        <w:tab w:val="clear" w:pos="204"/>
        <w:tab w:val="left" w:pos="-1800"/>
      </w:tabs>
      <w:ind w:hanging="720"/>
      <w:outlineLvl w:val="1"/>
    </w:pPr>
    <w:rPr>
      <w:b/>
      <w:szCs w:val="26"/>
    </w:rPr>
  </w:style>
  <w:style w:type="paragraph" w:styleId="Heading3">
    <w:name w:val="heading 3"/>
    <w:basedOn w:val="p3"/>
    <w:next w:val="Normal"/>
    <w:link w:val="Heading3Char"/>
    <w:qFormat/>
    <w:rsid w:val="00C46EF5"/>
    <w:pPr>
      <w:numPr>
        <w:numId w:val="12"/>
      </w:numPr>
      <w:tabs>
        <w:tab w:val="clear" w:pos="204"/>
        <w:tab w:val="left" w:pos="720"/>
      </w:tabs>
      <w:jc w:val="left"/>
      <w:outlineLvl w:val="2"/>
    </w:pPr>
    <w:rPr>
      <w:b/>
      <w:szCs w:val="26"/>
    </w:rPr>
  </w:style>
  <w:style w:type="paragraph" w:styleId="Heading4">
    <w:name w:val="heading 4"/>
    <w:basedOn w:val="p3"/>
    <w:next w:val="BodyTextIndent3"/>
    <w:link w:val="Heading4Char"/>
    <w:autoRedefine/>
    <w:qFormat/>
    <w:rsid w:val="00A95717"/>
    <w:pPr>
      <w:tabs>
        <w:tab w:val="clear" w:pos="204"/>
        <w:tab w:val="left" w:pos="720"/>
      </w:tabs>
      <w:ind w:left="2160" w:hanging="720"/>
      <w:jc w:val="left"/>
      <w:outlineLvl w:val="3"/>
    </w:pPr>
    <w:rPr>
      <w:b/>
      <w:szCs w:val="26"/>
    </w:rPr>
  </w:style>
  <w:style w:type="paragraph" w:styleId="Heading5">
    <w:name w:val="heading 5"/>
    <w:basedOn w:val="Normal"/>
    <w:next w:val="Normal"/>
    <w:link w:val="Heading5Char"/>
    <w:uiPriority w:val="99"/>
    <w:qFormat/>
    <w:rsid w:val="00395D5E"/>
    <w:pPr>
      <w:keepNext/>
      <w:numPr>
        <w:ilvl w:val="4"/>
        <w:numId w:val="3"/>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3"/>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3"/>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3"/>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3"/>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F24229"/>
    <w:rPr>
      <w:rFonts w:ascii="Times New Roman" w:eastAsia="Times New Roman" w:hAnsi="Times New Roman"/>
      <w:b/>
      <w:sz w:val="26"/>
      <w:szCs w:val="26"/>
    </w:rPr>
  </w:style>
  <w:style w:type="character" w:customStyle="1" w:styleId="Heading3Char">
    <w:name w:val="Heading 3 Char"/>
    <w:basedOn w:val="DefaultParagraphFont"/>
    <w:link w:val="Heading3"/>
    <w:rsid w:val="00C46EF5"/>
    <w:rPr>
      <w:rFonts w:ascii="Times New Roman" w:eastAsia="Times New Roman" w:hAnsi="Times New Roman"/>
      <w:b/>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A95717"/>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743320"/>
    <w:rPr>
      <w:sz w:val="22"/>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743320"/>
    <w:rPr>
      <w:rFonts w:ascii="Times New Roman" w:eastAsia="Times New Roman" w:hAnsi="Times New Roman"/>
      <w:sz w:val="22"/>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4"/>
      </w:numPr>
      <w:adjustRightInd/>
    </w:pPr>
    <w:rPr>
      <w:rFonts w:cs="Arial"/>
    </w:rPr>
  </w:style>
  <w:style w:type="paragraph" w:customStyle="1" w:styleId="source2">
    <w:name w:val="source 2"/>
    <w:basedOn w:val="ListParagraph"/>
    <w:uiPriority w:val="2"/>
    <w:qFormat/>
    <w:rsid w:val="00395D5E"/>
    <w:pPr>
      <w:numPr>
        <w:ilvl w:val="1"/>
        <w:numId w:val="4"/>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2"/>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 w:type="character" w:styleId="PlaceholderText">
    <w:name w:val="Placeholder Text"/>
    <w:basedOn w:val="DefaultParagraphFont"/>
    <w:uiPriority w:val="99"/>
    <w:semiHidden/>
    <w:rsid w:val="008B57A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C6"/>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p3"/>
    <w:next w:val="Normal"/>
    <w:link w:val="Heading2Char"/>
    <w:qFormat/>
    <w:rsid w:val="00F24229"/>
    <w:pPr>
      <w:numPr>
        <w:numId w:val="1"/>
      </w:numPr>
      <w:tabs>
        <w:tab w:val="clear" w:pos="204"/>
        <w:tab w:val="left" w:pos="-1800"/>
      </w:tabs>
      <w:ind w:hanging="720"/>
      <w:outlineLvl w:val="1"/>
    </w:pPr>
    <w:rPr>
      <w:b/>
      <w:szCs w:val="26"/>
    </w:rPr>
  </w:style>
  <w:style w:type="paragraph" w:styleId="Heading3">
    <w:name w:val="heading 3"/>
    <w:basedOn w:val="p3"/>
    <w:next w:val="Normal"/>
    <w:link w:val="Heading3Char"/>
    <w:qFormat/>
    <w:rsid w:val="00C46EF5"/>
    <w:pPr>
      <w:numPr>
        <w:numId w:val="12"/>
      </w:numPr>
      <w:tabs>
        <w:tab w:val="clear" w:pos="204"/>
        <w:tab w:val="left" w:pos="720"/>
      </w:tabs>
      <w:jc w:val="left"/>
      <w:outlineLvl w:val="2"/>
    </w:pPr>
    <w:rPr>
      <w:b/>
      <w:szCs w:val="26"/>
    </w:rPr>
  </w:style>
  <w:style w:type="paragraph" w:styleId="Heading4">
    <w:name w:val="heading 4"/>
    <w:basedOn w:val="p3"/>
    <w:next w:val="BodyTextIndent3"/>
    <w:link w:val="Heading4Char"/>
    <w:autoRedefine/>
    <w:qFormat/>
    <w:rsid w:val="00A95717"/>
    <w:pPr>
      <w:tabs>
        <w:tab w:val="clear" w:pos="204"/>
        <w:tab w:val="left" w:pos="720"/>
      </w:tabs>
      <w:ind w:left="2160" w:hanging="720"/>
      <w:jc w:val="left"/>
      <w:outlineLvl w:val="3"/>
    </w:pPr>
    <w:rPr>
      <w:b/>
      <w:szCs w:val="26"/>
    </w:rPr>
  </w:style>
  <w:style w:type="paragraph" w:styleId="Heading5">
    <w:name w:val="heading 5"/>
    <w:basedOn w:val="Normal"/>
    <w:next w:val="Normal"/>
    <w:link w:val="Heading5Char"/>
    <w:uiPriority w:val="99"/>
    <w:qFormat/>
    <w:rsid w:val="00395D5E"/>
    <w:pPr>
      <w:keepNext/>
      <w:numPr>
        <w:ilvl w:val="4"/>
        <w:numId w:val="3"/>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3"/>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3"/>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3"/>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3"/>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F24229"/>
    <w:rPr>
      <w:rFonts w:ascii="Times New Roman" w:eastAsia="Times New Roman" w:hAnsi="Times New Roman"/>
      <w:b/>
      <w:sz w:val="26"/>
      <w:szCs w:val="26"/>
    </w:rPr>
  </w:style>
  <w:style w:type="character" w:customStyle="1" w:styleId="Heading3Char">
    <w:name w:val="Heading 3 Char"/>
    <w:basedOn w:val="DefaultParagraphFont"/>
    <w:link w:val="Heading3"/>
    <w:rsid w:val="00C46EF5"/>
    <w:rPr>
      <w:rFonts w:ascii="Times New Roman" w:eastAsia="Times New Roman" w:hAnsi="Times New Roman"/>
      <w:b/>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A95717"/>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743320"/>
    <w:rPr>
      <w:sz w:val="22"/>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743320"/>
    <w:rPr>
      <w:rFonts w:ascii="Times New Roman" w:eastAsia="Times New Roman" w:hAnsi="Times New Roman"/>
      <w:sz w:val="22"/>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4"/>
      </w:numPr>
      <w:adjustRightInd/>
    </w:pPr>
    <w:rPr>
      <w:rFonts w:cs="Arial"/>
    </w:rPr>
  </w:style>
  <w:style w:type="paragraph" w:customStyle="1" w:styleId="source2">
    <w:name w:val="source 2"/>
    <w:basedOn w:val="ListParagraph"/>
    <w:uiPriority w:val="2"/>
    <w:qFormat/>
    <w:rsid w:val="00395D5E"/>
    <w:pPr>
      <w:numPr>
        <w:ilvl w:val="1"/>
        <w:numId w:val="4"/>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2"/>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 w:type="character" w:styleId="PlaceholderText">
    <w:name w:val="Placeholder Text"/>
    <w:basedOn w:val="DefaultParagraphFont"/>
    <w:uiPriority w:val="99"/>
    <w:semiHidden/>
    <w:rsid w:val="008B57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616762362">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 w:id="51538466">
          <w:marLeft w:val="547"/>
          <w:marRight w:val="0"/>
          <w:marTop w:val="62"/>
          <w:marBottom w:val="0"/>
          <w:divBdr>
            <w:top w:val="none" w:sz="0" w:space="0" w:color="auto"/>
            <w:left w:val="none" w:sz="0" w:space="0" w:color="auto"/>
            <w:bottom w:val="none" w:sz="0" w:space="0" w:color="auto"/>
            <w:right w:val="none" w:sz="0" w:space="0" w:color="auto"/>
          </w:divBdr>
        </w:div>
      </w:divsChild>
    </w:div>
    <w:div w:id="877745134">
      <w:bodyDiv w:val="1"/>
      <w:marLeft w:val="0"/>
      <w:marRight w:val="0"/>
      <w:marTop w:val="0"/>
      <w:marBottom w:val="0"/>
      <w:divBdr>
        <w:top w:val="none" w:sz="0" w:space="0" w:color="auto"/>
        <w:left w:val="none" w:sz="0" w:space="0" w:color="auto"/>
        <w:bottom w:val="none" w:sz="0" w:space="0" w:color="auto"/>
        <w:right w:val="none" w:sz="0" w:space="0" w:color="auto"/>
      </w:divBdr>
    </w:div>
    <w:div w:id="905726499">
      <w:bodyDiv w:val="1"/>
      <w:marLeft w:val="0"/>
      <w:marRight w:val="0"/>
      <w:marTop w:val="0"/>
      <w:marBottom w:val="0"/>
      <w:divBdr>
        <w:top w:val="none" w:sz="0" w:space="0" w:color="auto"/>
        <w:left w:val="none" w:sz="0" w:space="0" w:color="auto"/>
        <w:bottom w:val="none" w:sz="0" w:space="0" w:color="auto"/>
        <w:right w:val="none" w:sz="0" w:space="0" w:color="auto"/>
      </w:divBdr>
    </w:div>
    <w:div w:id="974485780">
      <w:bodyDiv w:val="1"/>
      <w:marLeft w:val="0"/>
      <w:marRight w:val="0"/>
      <w:marTop w:val="0"/>
      <w:marBottom w:val="0"/>
      <w:divBdr>
        <w:top w:val="none" w:sz="0" w:space="0" w:color="auto"/>
        <w:left w:val="none" w:sz="0" w:space="0" w:color="auto"/>
        <w:bottom w:val="none" w:sz="0" w:space="0" w:color="auto"/>
        <w:right w:val="none" w:sz="0" w:space="0" w:color="auto"/>
      </w:divBdr>
      <w:divsChild>
        <w:div w:id="1349402870">
          <w:marLeft w:val="0"/>
          <w:marRight w:val="0"/>
          <w:marTop w:val="0"/>
          <w:marBottom w:val="0"/>
          <w:divBdr>
            <w:top w:val="single" w:sz="2" w:space="0" w:color="2E2E2E"/>
            <w:left w:val="single" w:sz="2" w:space="0" w:color="2E2E2E"/>
            <w:bottom w:val="single" w:sz="2" w:space="0" w:color="2E2E2E"/>
            <w:right w:val="single" w:sz="2" w:space="0" w:color="2E2E2E"/>
          </w:divBdr>
          <w:divsChild>
            <w:div w:id="1921215284">
              <w:marLeft w:val="0"/>
              <w:marRight w:val="0"/>
              <w:marTop w:val="0"/>
              <w:marBottom w:val="0"/>
              <w:divBdr>
                <w:top w:val="single" w:sz="6" w:space="0" w:color="C9C9C9"/>
                <w:left w:val="none" w:sz="0" w:space="0" w:color="auto"/>
                <w:bottom w:val="none" w:sz="0" w:space="0" w:color="auto"/>
                <w:right w:val="none" w:sz="0" w:space="0" w:color="auto"/>
              </w:divBdr>
              <w:divsChild>
                <w:div w:id="1562055507">
                  <w:marLeft w:val="0"/>
                  <w:marRight w:val="0"/>
                  <w:marTop w:val="0"/>
                  <w:marBottom w:val="0"/>
                  <w:divBdr>
                    <w:top w:val="none" w:sz="0" w:space="0" w:color="auto"/>
                    <w:left w:val="none" w:sz="0" w:space="0" w:color="auto"/>
                    <w:bottom w:val="none" w:sz="0" w:space="0" w:color="auto"/>
                    <w:right w:val="none" w:sz="0" w:space="0" w:color="auto"/>
                  </w:divBdr>
                  <w:divsChild>
                    <w:div w:id="466972542">
                      <w:marLeft w:val="0"/>
                      <w:marRight w:val="0"/>
                      <w:marTop w:val="0"/>
                      <w:marBottom w:val="0"/>
                      <w:divBdr>
                        <w:top w:val="none" w:sz="0" w:space="0" w:color="auto"/>
                        <w:left w:val="none" w:sz="0" w:space="0" w:color="auto"/>
                        <w:bottom w:val="none" w:sz="0" w:space="0" w:color="auto"/>
                        <w:right w:val="none" w:sz="0" w:space="0" w:color="auto"/>
                      </w:divBdr>
                      <w:divsChild>
                        <w:div w:id="9830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854045">
      <w:bodyDiv w:val="1"/>
      <w:marLeft w:val="0"/>
      <w:marRight w:val="0"/>
      <w:marTop w:val="0"/>
      <w:marBottom w:val="0"/>
      <w:divBdr>
        <w:top w:val="none" w:sz="0" w:space="0" w:color="auto"/>
        <w:left w:val="none" w:sz="0" w:space="0" w:color="auto"/>
        <w:bottom w:val="none" w:sz="0" w:space="0" w:color="auto"/>
        <w:right w:val="none" w:sz="0" w:space="0" w:color="auto"/>
      </w:divBdr>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336612051">
      <w:bodyDiv w:val="1"/>
      <w:marLeft w:val="0"/>
      <w:marRight w:val="0"/>
      <w:marTop w:val="0"/>
      <w:marBottom w:val="0"/>
      <w:divBdr>
        <w:top w:val="none" w:sz="0" w:space="0" w:color="auto"/>
        <w:left w:val="none" w:sz="0" w:space="0" w:color="auto"/>
        <w:bottom w:val="none" w:sz="0" w:space="0" w:color="auto"/>
        <w:right w:val="none" w:sz="0" w:space="0" w:color="auto"/>
      </w:divBdr>
    </w:div>
    <w:div w:id="1438520676">
      <w:bodyDiv w:val="1"/>
      <w:marLeft w:val="0"/>
      <w:marRight w:val="0"/>
      <w:marTop w:val="0"/>
      <w:marBottom w:val="0"/>
      <w:divBdr>
        <w:top w:val="none" w:sz="0" w:space="0" w:color="auto"/>
        <w:left w:val="none" w:sz="0" w:space="0" w:color="auto"/>
        <w:bottom w:val="none" w:sz="0" w:space="0" w:color="auto"/>
        <w:right w:val="none" w:sz="0" w:space="0" w:color="auto"/>
      </w:divBdr>
    </w:div>
    <w:div w:id="1485466941">
      <w:bodyDiv w:val="1"/>
      <w:marLeft w:val="0"/>
      <w:marRight w:val="0"/>
      <w:marTop w:val="0"/>
      <w:marBottom w:val="0"/>
      <w:divBdr>
        <w:top w:val="none" w:sz="0" w:space="0" w:color="auto"/>
        <w:left w:val="none" w:sz="0" w:space="0" w:color="auto"/>
        <w:bottom w:val="none" w:sz="0" w:space="0" w:color="auto"/>
        <w:right w:val="none" w:sz="0" w:space="0" w:color="auto"/>
      </w:divBdr>
    </w:div>
    <w:div w:id="1758163567">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filing_resources/issues_laws_regulations/act_129_information/technical_reference_manual.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neea.org/docs/default-source/reports/heat-pump-water-heater-field-study-report.pdf?sfvrsn=5" TargetMode="External"/><Relationship Id="rId13" Type="http://schemas.openxmlformats.org/officeDocument/2006/relationships/hyperlink" Target="http://www1.eere.energy.gov/buildings/appliance_standards/product.aspx/productid/43" TargetMode="External"/><Relationship Id="rId18" Type="http://schemas.openxmlformats.org/officeDocument/2006/relationships/hyperlink" Target="http://neep.org/Assets/uploads/files/emv/emv-library/measure_life_GDS%5B1%5D.pdf" TargetMode="External"/><Relationship Id="rId3" Type="http://schemas.openxmlformats.org/officeDocument/2006/relationships/hyperlink" Target="http://www1.eere.energy.gov/buildings/appliance_standards/product.aspx/productid/75" TargetMode="External"/><Relationship Id="rId21" Type="http://schemas.openxmlformats.org/officeDocument/2006/relationships/hyperlink" Target="http://www.engineeringtoolbox.com/water-thermal-properties-d_162.html" TargetMode="External"/><Relationship Id="rId7" Type="http://schemas.openxmlformats.org/officeDocument/2006/relationships/hyperlink" Target="http://www.acca.org/Files/?id=67" TargetMode="External"/><Relationship Id="rId12" Type="http://schemas.openxmlformats.org/officeDocument/2006/relationships/hyperlink" Target="http://www.energystar.gov/ia/partners/downloads/most_efficient/final_criteria/Refrigerator-Freezers.pdf?6a37-2bde" TargetMode="External"/><Relationship Id="rId17" Type="http://schemas.openxmlformats.org/officeDocument/2006/relationships/hyperlink" Target="http://rtf.nwcouncil.org/subcommittees/nonreslighting/Measure%20Life%20Study_MA%20Joint%20Utilities_2005_ERS-1.pdf" TargetMode="External"/><Relationship Id="rId2" Type="http://schemas.openxmlformats.org/officeDocument/2006/relationships/hyperlink" Target="https://www.energystar.gov/index.cfm?c=partners.pt_products_and_program_reqs" TargetMode="External"/><Relationship Id="rId16" Type="http://schemas.openxmlformats.org/officeDocument/2006/relationships/hyperlink" Target="https://law.resource.org/pub/us/code/ibr/ashrae.90.1.2007.pdf" TargetMode="External"/><Relationship Id="rId20" Type="http://schemas.openxmlformats.org/officeDocument/2006/relationships/hyperlink" Target="http://publicecodes.cyberregs.com/icod/iecc/2009/" TargetMode="External"/><Relationship Id="rId1" Type="http://schemas.openxmlformats.org/officeDocument/2006/relationships/hyperlink" Target="http://energy.gov/node/773531/residential/residential_cac_hp.html" TargetMode="External"/><Relationship Id="rId6" Type="http://schemas.openxmlformats.org/officeDocument/2006/relationships/hyperlink" Target="http://neep.org/Assets/uploads/files/emv/emv-library/NEEP%20DHP%20Report%20Final%205-28-14%20and%20Appendices.pdf" TargetMode="External"/><Relationship Id="rId11" Type="http://schemas.openxmlformats.org/officeDocument/2006/relationships/hyperlink" Target="https://www.energystar.gov/products/specs/residential_refrigerators_and_freezers_specification_version_5_0_pd" TargetMode="External"/><Relationship Id="rId5" Type="http://schemas.openxmlformats.org/officeDocument/2006/relationships/hyperlink" Target="http://www1.eere.energy.gov/buildings/appliance_standards/residential/pdfs/general_service_incandescent_factsheet.pdf" TargetMode="External"/><Relationship Id="rId15" Type="http://schemas.openxmlformats.org/officeDocument/2006/relationships/hyperlink" Target="http://www.energystar.gov/ia/partners/downloads/most_efficient/final_criteria/Refrigerator-Freezers.pdf?6a37-2bde" TargetMode="External"/><Relationship Id="rId23" Type="http://schemas.openxmlformats.org/officeDocument/2006/relationships/hyperlink" Target="http://www1.eere.energy.gov/buildings/appliance_standards/pdfs/wicf_faq_2012-01-20.pdf" TargetMode="External"/><Relationship Id="rId10" Type="http://schemas.openxmlformats.org/officeDocument/2006/relationships/hyperlink" Target="http://www1.eere.energy.gov/buildings/appliance_standards/product.aspx/productid/43" TargetMode="External"/><Relationship Id="rId19" Type="http://schemas.openxmlformats.org/officeDocument/2006/relationships/hyperlink" Target="http://www.deeresources.com/" TargetMode="External"/><Relationship Id="rId4" Type="http://schemas.openxmlformats.org/officeDocument/2006/relationships/hyperlink" Target="http://frwebgate.access.gpo.gov/cgi-bin/getdoc.cgi?dbname=110_cong_bills&amp;docid=f:h6enr.txt.pdf" TargetMode="External"/><Relationship Id="rId9" Type="http://schemas.openxmlformats.org/officeDocument/2006/relationships/hyperlink" Target="http://www.weatherbase.com" TargetMode="External"/><Relationship Id="rId14" Type="http://schemas.openxmlformats.org/officeDocument/2006/relationships/hyperlink" Target="http://www.energystar.gov/products/specs/system/files/ENERGY%20STAR%20Final%20Version%205.0%20Residential%20Refrigerators%20and%20Freezers%20Program%20Requirements.pdf" TargetMode="External"/><Relationship Id="rId22" Type="http://schemas.openxmlformats.org/officeDocument/2006/relationships/hyperlink" Target="http://www.allianceforwaterefficiency.org/WorkArea/DownloadAsset.aspx?id=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637D-6138-43D1-B24A-E2D3FBE0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82</Pages>
  <Words>16795</Words>
  <Characters>95734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112305</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Hinds, Margaret</cp:lastModifiedBy>
  <cp:revision>9</cp:revision>
  <cp:lastPrinted>2014-12-18T14:06:00Z</cp:lastPrinted>
  <dcterms:created xsi:type="dcterms:W3CDTF">2014-12-09T15:43:00Z</dcterms:created>
  <dcterms:modified xsi:type="dcterms:W3CDTF">2014-12-18T14:06:00Z</dcterms:modified>
</cp:coreProperties>
</file>