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rsidRPr="00A01DB2">
        <w:trPr>
          <w:trHeight w:val="990"/>
        </w:trPr>
        <w:tc>
          <w:tcPr>
            <w:tcW w:w="1363" w:type="dxa"/>
          </w:tcPr>
          <w:p w:rsidR="00C74A51" w:rsidRPr="00A01DB2" w:rsidRDefault="00E23926">
            <w:pPr>
              <w:rPr>
                <w:sz w:val="24"/>
              </w:rPr>
            </w:pPr>
            <w:r w:rsidRPr="00A01DB2">
              <w:rPr>
                <w:noProof/>
                <w:spacing w:val="-2"/>
              </w:rPr>
              <w:drawing>
                <wp:inline distT="0" distB="0" distL="0" distR="0" wp14:anchorId="15E11EDA" wp14:editId="78694AD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Pr="009A308C" w:rsidRDefault="00C74A51">
            <w:pPr>
              <w:suppressAutoHyphens/>
              <w:spacing w:line="204" w:lineRule="auto"/>
              <w:jc w:val="center"/>
              <w:rPr>
                <w:color w:val="000080"/>
                <w:spacing w:val="-3"/>
                <w:sz w:val="26"/>
              </w:rPr>
            </w:pPr>
          </w:p>
          <w:p w:rsidR="00C74A51" w:rsidRPr="00746BEC" w:rsidRDefault="00C74A51">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746BEC">
                  <w:rPr>
                    <w:rFonts w:ascii="Arial" w:hAnsi="Arial" w:cs="Arial"/>
                    <w:color w:val="000080"/>
                    <w:spacing w:val="-3"/>
                    <w:sz w:val="26"/>
                  </w:rPr>
                  <w:t>COMMONWEALTH</w:t>
                </w:r>
              </w:smartTag>
              <w:r w:rsidRPr="00746BEC">
                <w:rPr>
                  <w:rFonts w:ascii="Arial" w:hAnsi="Arial" w:cs="Arial"/>
                  <w:color w:val="000080"/>
                  <w:spacing w:val="-3"/>
                  <w:sz w:val="26"/>
                </w:rPr>
                <w:t xml:space="preserve"> OF </w:t>
              </w:r>
              <w:smartTag w:uri="urn:schemas-microsoft-com:office:smarttags" w:element="PlaceName">
                <w:r w:rsidRPr="00746BEC">
                  <w:rPr>
                    <w:rFonts w:ascii="Arial" w:hAnsi="Arial" w:cs="Arial"/>
                    <w:color w:val="000080"/>
                    <w:spacing w:val="-3"/>
                    <w:sz w:val="26"/>
                  </w:rPr>
                  <w:t>PENNSYLVANIA</w:t>
                </w:r>
              </w:smartTag>
            </w:smartTag>
          </w:p>
          <w:p w:rsidR="00C74A51" w:rsidRPr="00746BEC" w:rsidRDefault="00C74A51">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746BEC">
                  <w:rPr>
                    <w:rFonts w:ascii="Arial" w:hAnsi="Arial" w:cs="Arial"/>
                    <w:color w:val="000080"/>
                    <w:spacing w:val="-3"/>
                    <w:sz w:val="26"/>
                  </w:rPr>
                  <w:t>PENNSYLVANIA</w:t>
                </w:r>
              </w:smartTag>
            </w:smartTag>
            <w:r w:rsidRPr="00746BEC">
              <w:rPr>
                <w:rFonts w:ascii="Arial" w:hAnsi="Arial" w:cs="Arial"/>
                <w:color w:val="000080"/>
                <w:spacing w:val="-3"/>
                <w:sz w:val="26"/>
              </w:rPr>
              <w:t xml:space="preserve"> PUBLIC UTILITY COMMISSION</w:t>
            </w:r>
          </w:p>
          <w:p w:rsidR="00C74A51" w:rsidRPr="009A308C" w:rsidRDefault="00C74A51" w:rsidP="00320F11">
            <w:pPr>
              <w:jc w:val="center"/>
              <w:rPr>
                <w:sz w:val="12"/>
              </w:rPr>
            </w:pPr>
            <w:r w:rsidRPr="00746BEC">
              <w:rPr>
                <w:rFonts w:ascii="Arial" w:hAnsi="Arial" w:cs="Arial"/>
                <w:color w:val="000080"/>
                <w:spacing w:val="-3"/>
                <w:sz w:val="26"/>
              </w:rPr>
              <w:t>P.O. BOX 3265, HARRISBURG, PA 17105-326</w:t>
            </w:r>
            <w:r w:rsidR="00320F11" w:rsidRPr="00746BEC">
              <w:rPr>
                <w:rFonts w:ascii="Arial" w:hAnsi="Arial" w:cs="Arial"/>
                <w:color w:val="000080"/>
                <w:spacing w:val="-3"/>
                <w:sz w:val="26"/>
              </w:rPr>
              <w:t>5</w:t>
            </w:r>
          </w:p>
        </w:tc>
        <w:tc>
          <w:tcPr>
            <w:tcW w:w="1440" w:type="dxa"/>
          </w:tcPr>
          <w:p w:rsidR="00C74A51" w:rsidRPr="009A308C" w:rsidRDefault="00C74A51">
            <w:pPr>
              <w:rPr>
                <w:sz w:val="12"/>
              </w:rPr>
            </w:pPr>
          </w:p>
          <w:p w:rsidR="00C74A51" w:rsidRPr="009A308C" w:rsidRDefault="00C74A51">
            <w:pPr>
              <w:rPr>
                <w:sz w:val="12"/>
              </w:rPr>
            </w:pPr>
          </w:p>
          <w:p w:rsidR="00C74A51" w:rsidRPr="00746BEC" w:rsidRDefault="00C74A51">
            <w:pPr>
              <w:jc w:val="right"/>
              <w:rPr>
                <w:rFonts w:ascii="Arial" w:hAnsi="Arial" w:cs="Arial"/>
                <w:b/>
                <w:spacing w:val="-1"/>
                <w:sz w:val="12"/>
              </w:rPr>
            </w:pPr>
            <w:r w:rsidRPr="00746BEC">
              <w:rPr>
                <w:rFonts w:ascii="Arial" w:hAnsi="Arial" w:cs="Arial"/>
                <w:b/>
                <w:spacing w:val="-1"/>
                <w:sz w:val="12"/>
              </w:rPr>
              <w:t>IN REPLY PLEASE REFER TO OUR FILE</w:t>
            </w:r>
          </w:p>
          <w:p w:rsidR="003569E8" w:rsidRPr="009A308C" w:rsidRDefault="00E23926" w:rsidP="00280D84">
            <w:pPr>
              <w:jc w:val="right"/>
              <w:rPr>
                <w:sz w:val="16"/>
                <w:szCs w:val="16"/>
              </w:rPr>
            </w:pPr>
            <w:r w:rsidRPr="00A01DB2">
              <w:rPr>
                <w:sz w:val="16"/>
                <w:szCs w:val="16"/>
              </w:rPr>
              <w:t>M</w:t>
            </w:r>
            <w:r w:rsidRPr="00A01DB2">
              <w:rPr>
                <w:sz w:val="16"/>
                <w:szCs w:val="16"/>
              </w:rPr>
              <w:noBreakHyphen/>
              <w:t>20</w:t>
            </w:r>
            <w:r w:rsidR="00280D84">
              <w:rPr>
                <w:sz w:val="16"/>
                <w:szCs w:val="16"/>
              </w:rPr>
              <w:t>14</w:t>
            </w:r>
            <w:r w:rsidR="00FC7B5D" w:rsidRPr="00A01DB2">
              <w:rPr>
                <w:sz w:val="16"/>
                <w:szCs w:val="16"/>
              </w:rPr>
              <w:t>-</w:t>
            </w:r>
            <w:r w:rsidR="00280D84">
              <w:rPr>
                <w:sz w:val="16"/>
                <w:szCs w:val="16"/>
              </w:rPr>
              <w:t>2424864</w:t>
            </w:r>
          </w:p>
        </w:tc>
      </w:tr>
    </w:tbl>
    <w:p w:rsidR="00FA0E37" w:rsidRPr="00A01DB2" w:rsidRDefault="00092374" w:rsidP="00FA0E37">
      <w:pPr>
        <w:jc w:val="center"/>
        <w:rPr>
          <w:b/>
          <w:sz w:val="26"/>
          <w:szCs w:val="26"/>
        </w:rPr>
      </w:pPr>
      <w:r>
        <w:rPr>
          <w:b/>
          <w:sz w:val="26"/>
          <w:szCs w:val="26"/>
        </w:rPr>
        <w:t>October 23, 2014</w:t>
      </w:r>
    </w:p>
    <w:p w:rsidR="001E1BF3" w:rsidRDefault="001E1BF3" w:rsidP="00FA0E37">
      <w:pPr>
        <w:jc w:val="center"/>
        <w:rPr>
          <w:b/>
          <w:sz w:val="26"/>
          <w:szCs w:val="26"/>
        </w:rPr>
      </w:pPr>
    </w:p>
    <w:p w:rsidR="00645839" w:rsidRPr="00A01DB2" w:rsidRDefault="00645839" w:rsidP="00FA0E37">
      <w:pPr>
        <w:jc w:val="center"/>
        <w:rPr>
          <w:b/>
          <w:sz w:val="26"/>
          <w:szCs w:val="26"/>
        </w:rPr>
      </w:pPr>
    </w:p>
    <w:p w:rsidR="00710DBE" w:rsidRPr="00A01DB2" w:rsidRDefault="00710DBE" w:rsidP="00280D84">
      <w:pPr>
        <w:rPr>
          <w:sz w:val="24"/>
          <w:szCs w:val="24"/>
        </w:rPr>
      </w:pPr>
      <w:r w:rsidRPr="00A01DB2">
        <w:rPr>
          <w:sz w:val="24"/>
          <w:szCs w:val="24"/>
        </w:rPr>
        <w:t>TO ALL INTERESTED PARTIES:</w:t>
      </w:r>
    </w:p>
    <w:p w:rsidR="00710DBE" w:rsidRPr="00A01DB2" w:rsidRDefault="00710DBE" w:rsidP="00280D84">
      <w:pPr>
        <w:rPr>
          <w:sz w:val="24"/>
          <w:szCs w:val="24"/>
        </w:rPr>
      </w:pPr>
    </w:p>
    <w:p w:rsidR="00710DBE" w:rsidRPr="00A01DB2" w:rsidRDefault="00307364" w:rsidP="00280D84">
      <w:pPr>
        <w:ind w:left="1440" w:hanging="720"/>
        <w:rPr>
          <w:sz w:val="24"/>
          <w:szCs w:val="24"/>
        </w:rPr>
      </w:pPr>
      <w:r w:rsidRPr="00A01DB2">
        <w:rPr>
          <w:sz w:val="24"/>
          <w:szCs w:val="24"/>
        </w:rPr>
        <w:t>Re:</w:t>
      </w:r>
      <w:r w:rsidRPr="00A01DB2">
        <w:rPr>
          <w:sz w:val="24"/>
          <w:szCs w:val="24"/>
        </w:rPr>
        <w:tab/>
        <w:t xml:space="preserve">Act 129 Energy Efficiency and Conservation Program Phase </w:t>
      </w:r>
      <w:r w:rsidR="00280D84">
        <w:rPr>
          <w:sz w:val="24"/>
          <w:szCs w:val="24"/>
        </w:rPr>
        <w:t>III</w:t>
      </w:r>
    </w:p>
    <w:p w:rsidR="00710DBE" w:rsidRPr="00A01DB2" w:rsidRDefault="00710DBE" w:rsidP="00280D84">
      <w:pPr>
        <w:ind w:left="1440" w:hanging="720"/>
        <w:rPr>
          <w:sz w:val="24"/>
          <w:szCs w:val="24"/>
        </w:rPr>
      </w:pPr>
      <w:r w:rsidRPr="00A01DB2">
        <w:rPr>
          <w:sz w:val="24"/>
          <w:szCs w:val="24"/>
        </w:rPr>
        <w:tab/>
        <w:t>Docket No.</w:t>
      </w:r>
      <w:r w:rsidR="006B307C" w:rsidRPr="00A01DB2">
        <w:rPr>
          <w:sz w:val="24"/>
          <w:szCs w:val="24"/>
        </w:rPr>
        <w:t xml:space="preserve"> M-201</w:t>
      </w:r>
      <w:r w:rsidR="00280D84">
        <w:rPr>
          <w:sz w:val="24"/>
          <w:szCs w:val="24"/>
        </w:rPr>
        <w:t>4-2424864</w:t>
      </w:r>
    </w:p>
    <w:p w:rsidR="00710DBE" w:rsidRPr="00A01DB2" w:rsidRDefault="00710DBE" w:rsidP="00280D84">
      <w:pPr>
        <w:rPr>
          <w:sz w:val="24"/>
          <w:szCs w:val="24"/>
        </w:rPr>
      </w:pPr>
    </w:p>
    <w:p w:rsidR="00710DBE" w:rsidRDefault="00710DBE" w:rsidP="00280D84">
      <w:pPr>
        <w:rPr>
          <w:sz w:val="24"/>
          <w:szCs w:val="24"/>
        </w:rPr>
      </w:pPr>
      <w:r w:rsidRPr="00A01DB2">
        <w:rPr>
          <w:sz w:val="24"/>
          <w:szCs w:val="24"/>
        </w:rPr>
        <w:tab/>
      </w:r>
      <w:r w:rsidR="00A01DB2" w:rsidRPr="004A7FD3">
        <w:rPr>
          <w:rStyle w:val="st1"/>
          <w:sz w:val="24"/>
          <w:szCs w:val="24"/>
        </w:rPr>
        <w:t xml:space="preserve">On October 15, 2008, House Bill 2200 </w:t>
      </w:r>
      <w:r w:rsidR="004B7A97" w:rsidRPr="004A7FD3">
        <w:rPr>
          <w:rStyle w:val="st1"/>
          <w:sz w:val="24"/>
          <w:szCs w:val="24"/>
        </w:rPr>
        <w:t xml:space="preserve">was signed </w:t>
      </w:r>
      <w:r w:rsidR="00A01DB2" w:rsidRPr="004A7FD3">
        <w:rPr>
          <w:rStyle w:val="st1"/>
          <w:sz w:val="24"/>
          <w:szCs w:val="24"/>
        </w:rPr>
        <w:t xml:space="preserve">into law as </w:t>
      </w:r>
      <w:r w:rsidR="00A01DB2" w:rsidRPr="004A7FD3">
        <w:rPr>
          <w:rStyle w:val="st1"/>
          <w:bCs/>
          <w:color w:val="000000"/>
          <w:sz w:val="24"/>
          <w:szCs w:val="24"/>
        </w:rPr>
        <w:t>Act 129</w:t>
      </w:r>
      <w:r w:rsidR="00A01DB2" w:rsidRPr="004A7FD3">
        <w:rPr>
          <w:rStyle w:val="st1"/>
          <w:sz w:val="24"/>
          <w:szCs w:val="24"/>
        </w:rPr>
        <w:t xml:space="preserve"> with an effective date of November 14, 2008.  Among other things, </w:t>
      </w:r>
      <w:r w:rsidRPr="004A7FD3">
        <w:rPr>
          <w:sz w:val="24"/>
          <w:szCs w:val="24"/>
        </w:rPr>
        <w:t>Act 129</w:t>
      </w:r>
      <w:r w:rsidR="00A01DB2" w:rsidRPr="004A7FD3">
        <w:rPr>
          <w:sz w:val="24"/>
          <w:szCs w:val="24"/>
        </w:rPr>
        <w:t xml:space="preserve"> required </w:t>
      </w:r>
      <w:r w:rsidR="00110158" w:rsidRPr="004A7FD3">
        <w:rPr>
          <w:sz w:val="24"/>
          <w:szCs w:val="24"/>
        </w:rPr>
        <w:t xml:space="preserve">an </w:t>
      </w:r>
      <w:r w:rsidR="00A01DB2" w:rsidRPr="004A7FD3">
        <w:rPr>
          <w:sz w:val="24"/>
          <w:szCs w:val="24"/>
        </w:rPr>
        <w:t xml:space="preserve">Energy Efficiency &amp; Conservation (EE&amp;C) program </w:t>
      </w:r>
      <w:r w:rsidR="006F21C0" w:rsidRPr="004A7FD3">
        <w:rPr>
          <w:sz w:val="24"/>
          <w:szCs w:val="24"/>
        </w:rPr>
        <w:t xml:space="preserve">(Program or EE&amp;C program) </w:t>
      </w:r>
      <w:r w:rsidR="00A01DB2" w:rsidRPr="004A7FD3">
        <w:rPr>
          <w:sz w:val="24"/>
          <w:szCs w:val="24"/>
        </w:rPr>
        <w:t>for the Commonwealth’s largest electric distribution companies (EDCs) and required that the Pennsylvania Public Utility Commission (Commission) evaluate the costs a</w:t>
      </w:r>
      <w:r w:rsidR="00110158" w:rsidRPr="004A7FD3">
        <w:rPr>
          <w:sz w:val="24"/>
          <w:szCs w:val="24"/>
        </w:rPr>
        <w:t>nd benefits of the EE&amp;C program</w:t>
      </w:r>
      <w:r w:rsidR="00A01DB2" w:rsidRPr="004A7FD3">
        <w:rPr>
          <w:sz w:val="24"/>
          <w:szCs w:val="24"/>
        </w:rPr>
        <w:t xml:space="preserve"> by November</w:t>
      </w:r>
      <w:r w:rsidR="006F21C0" w:rsidRPr="004A7FD3">
        <w:rPr>
          <w:sz w:val="24"/>
          <w:szCs w:val="24"/>
        </w:rPr>
        <w:t> </w:t>
      </w:r>
      <w:r w:rsidR="00A01DB2" w:rsidRPr="004A7FD3">
        <w:rPr>
          <w:sz w:val="24"/>
          <w:szCs w:val="24"/>
        </w:rPr>
        <w:t>31, 2013.  Act 129 further directs that the Commission must</w:t>
      </w:r>
      <w:r w:rsidRPr="004A7FD3">
        <w:rPr>
          <w:sz w:val="24"/>
          <w:szCs w:val="24"/>
        </w:rPr>
        <w:t xml:space="preserve"> set new incremental consumption and peak demand reductions</w:t>
      </w:r>
      <w:r w:rsidR="006B307C" w:rsidRPr="004A7FD3">
        <w:rPr>
          <w:sz w:val="24"/>
          <w:szCs w:val="24"/>
        </w:rPr>
        <w:t>,</w:t>
      </w:r>
      <w:r w:rsidRPr="004A7FD3">
        <w:rPr>
          <w:sz w:val="24"/>
          <w:szCs w:val="24"/>
        </w:rPr>
        <w:t xml:space="preserve"> if the benefits of the Program and </w:t>
      </w:r>
      <w:r w:rsidR="006F21C0" w:rsidRPr="004A7FD3">
        <w:rPr>
          <w:sz w:val="24"/>
          <w:szCs w:val="24"/>
        </w:rPr>
        <w:t xml:space="preserve">the various EDC </w:t>
      </w:r>
      <w:r w:rsidRPr="004A7FD3">
        <w:rPr>
          <w:sz w:val="24"/>
          <w:szCs w:val="24"/>
        </w:rPr>
        <w:t>plans exceed the costs.</w:t>
      </w:r>
      <w:r w:rsidRPr="004A7FD3">
        <w:rPr>
          <w:rStyle w:val="FootnoteReference"/>
          <w:sz w:val="24"/>
          <w:szCs w:val="24"/>
        </w:rPr>
        <w:footnoteReference w:id="1"/>
      </w:r>
      <w:r w:rsidRPr="004A7FD3">
        <w:rPr>
          <w:sz w:val="24"/>
          <w:szCs w:val="24"/>
        </w:rPr>
        <w:t xml:space="preserve">  </w:t>
      </w:r>
      <w:r w:rsidR="00A01DB2" w:rsidRPr="004A7FD3">
        <w:rPr>
          <w:sz w:val="24"/>
          <w:szCs w:val="24"/>
        </w:rPr>
        <w:t>In accordance with these directives,</w:t>
      </w:r>
      <w:r w:rsidRPr="004A7FD3">
        <w:rPr>
          <w:sz w:val="24"/>
          <w:szCs w:val="24"/>
        </w:rPr>
        <w:t xml:space="preserve"> the Commissio</w:t>
      </w:r>
      <w:r w:rsidR="00CF7635" w:rsidRPr="004A7FD3">
        <w:rPr>
          <w:sz w:val="24"/>
          <w:szCs w:val="24"/>
        </w:rPr>
        <w:t>n, in its August 2, 2012 Implementation Order,</w:t>
      </w:r>
      <w:r w:rsidR="0006619B" w:rsidRPr="004A7FD3">
        <w:rPr>
          <w:rStyle w:val="FootnoteReference"/>
          <w:sz w:val="24"/>
          <w:szCs w:val="24"/>
        </w:rPr>
        <w:footnoteReference w:id="2"/>
      </w:r>
      <w:r w:rsidR="00CF7635" w:rsidRPr="004A7FD3">
        <w:rPr>
          <w:sz w:val="24"/>
          <w:szCs w:val="24"/>
        </w:rPr>
        <w:t xml:space="preserve"> prescribed additional energy consumption reduction targets for the EDCs, to be accomplished by May 31, 2016.</w:t>
      </w:r>
      <w:r w:rsidR="0006619B" w:rsidRPr="004A7FD3">
        <w:rPr>
          <w:rStyle w:val="FootnoteReference"/>
          <w:sz w:val="24"/>
          <w:szCs w:val="24"/>
        </w:rPr>
        <w:footnoteReference w:id="3"/>
      </w:r>
      <w:r w:rsidR="0006619B" w:rsidRPr="004A7FD3">
        <w:rPr>
          <w:sz w:val="24"/>
          <w:szCs w:val="24"/>
        </w:rPr>
        <w:t xml:space="preserve">  The Commission has begun the process of evaluating the cost-effec</w:t>
      </w:r>
      <w:r w:rsidR="00110158" w:rsidRPr="004A7FD3">
        <w:rPr>
          <w:sz w:val="24"/>
          <w:szCs w:val="24"/>
        </w:rPr>
        <w:t>tiveness of a potential Phase III EE&amp;C Program</w:t>
      </w:r>
      <w:r w:rsidR="0006619B">
        <w:rPr>
          <w:sz w:val="24"/>
          <w:szCs w:val="24"/>
        </w:rPr>
        <w:t xml:space="preserve"> and determining whether additional incremental consumption reduction targets, as well as new peak demand reducti</w:t>
      </w:r>
      <w:r w:rsidR="00110158">
        <w:rPr>
          <w:sz w:val="24"/>
          <w:szCs w:val="24"/>
        </w:rPr>
        <w:t>on targets, will be adopted and,</w:t>
      </w:r>
      <w:r w:rsidR="0006619B">
        <w:rPr>
          <w:sz w:val="24"/>
          <w:szCs w:val="24"/>
        </w:rPr>
        <w:t xml:space="preserve"> if so, what those targets shall be.</w:t>
      </w:r>
    </w:p>
    <w:p w:rsidR="00307AD1" w:rsidRDefault="00307AD1" w:rsidP="00280D84">
      <w:pPr>
        <w:rPr>
          <w:sz w:val="24"/>
          <w:szCs w:val="24"/>
        </w:rPr>
      </w:pPr>
    </w:p>
    <w:p w:rsidR="00307AD1" w:rsidRPr="004A7FD3" w:rsidRDefault="00307AD1" w:rsidP="00280D84">
      <w:pPr>
        <w:rPr>
          <w:sz w:val="24"/>
          <w:szCs w:val="24"/>
        </w:rPr>
      </w:pPr>
      <w:r>
        <w:rPr>
          <w:sz w:val="24"/>
          <w:szCs w:val="24"/>
        </w:rPr>
        <w:tab/>
        <w:t xml:space="preserve">The Commission believes that advanced planning will enable a smooth and coordinated transition from </w:t>
      </w:r>
      <w:r w:rsidR="00110158">
        <w:rPr>
          <w:sz w:val="24"/>
          <w:szCs w:val="24"/>
        </w:rPr>
        <w:t>Phase II</w:t>
      </w:r>
      <w:r>
        <w:rPr>
          <w:sz w:val="24"/>
          <w:szCs w:val="24"/>
        </w:rPr>
        <w:t xml:space="preserve"> </w:t>
      </w:r>
      <w:r w:rsidRPr="004A7FD3">
        <w:rPr>
          <w:sz w:val="24"/>
          <w:szCs w:val="24"/>
        </w:rPr>
        <w:t xml:space="preserve">to a possible third phase and will also minimize any harmful or disruptive breaks between </w:t>
      </w:r>
      <w:r w:rsidR="006F21C0" w:rsidRPr="004A7FD3">
        <w:rPr>
          <w:sz w:val="24"/>
          <w:szCs w:val="24"/>
        </w:rPr>
        <w:t>the phases</w:t>
      </w:r>
      <w:r w:rsidRPr="004A7FD3">
        <w:rPr>
          <w:sz w:val="24"/>
          <w:szCs w:val="24"/>
        </w:rPr>
        <w:t xml:space="preserve">, should the Commission set additional consumption and peak demand reductions.  At the same time, the Commission is interested in leveraging the knowledge and experience gained to-date in order to improve </w:t>
      </w:r>
      <w:r w:rsidR="00110158" w:rsidRPr="004A7FD3">
        <w:rPr>
          <w:sz w:val="24"/>
          <w:szCs w:val="24"/>
        </w:rPr>
        <w:t>the</w:t>
      </w:r>
      <w:r w:rsidRPr="004A7FD3">
        <w:rPr>
          <w:sz w:val="24"/>
          <w:szCs w:val="24"/>
        </w:rPr>
        <w:t xml:space="preserve"> EE&amp;C Program, thereby maximizing ratepayer benefits.</w:t>
      </w:r>
    </w:p>
    <w:p w:rsidR="00307AD1" w:rsidRPr="004A7FD3" w:rsidRDefault="00307AD1" w:rsidP="00280D84">
      <w:pPr>
        <w:rPr>
          <w:sz w:val="24"/>
          <w:szCs w:val="24"/>
        </w:rPr>
      </w:pPr>
    </w:p>
    <w:p w:rsidR="007E534B" w:rsidRDefault="00307AD1" w:rsidP="007E534B">
      <w:pPr>
        <w:ind w:firstLine="720"/>
        <w:rPr>
          <w:color w:val="1F497D"/>
          <w:sz w:val="24"/>
        </w:rPr>
      </w:pPr>
      <w:r w:rsidRPr="004A7FD3">
        <w:rPr>
          <w:sz w:val="24"/>
          <w:szCs w:val="24"/>
        </w:rPr>
        <w:t xml:space="preserve">With this Secretarial Letter, we seek comments on a number of important topics that will be instrumental in designing and implementing a potential Phase III of the EE&amp;C Program.  </w:t>
      </w:r>
      <w:r w:rsidR="007E534B" w:rsidRPr="004A7FD3">
        <w:rPr>
          <w:sz w:val="24"/>
          <w:szCs w:val="24"/>
        </w:rPr>
        <w:t>Recognizing that the Statewide Evaluator (SWE)</w:t>
      </w:r>
      <w:r w:rsidR="007E534B" w:rsidRPr="004A7FD3">
        <w:rPr>
          <w:rStyle w:val="FootnoteReference"/>
          <w:sz w:val="24"/>
          <w:szCs w:val="24"/>
        </w:rPr>
        <w:footnoteReference w:id="4"/>
      </w:r>
      <w:r w:rsidR="007E534B" w:rsidRPr="004A7FD3">
        <w:rPr>
          <w:sz w:val="24"/>
          <w:szCs w:val="24"/>
        </w:rPr>
        <w:t xml:space="preserve"> will be providing various analyses and recommendations to assist the Commission in making determinations regarding a potential Phase III, we also welcome stakeholder comments on the relevant issues related to a potential Phase III.  Comments are due </w:t>
      </w:r>
      <w:r w:rsidR="004A7FD3" w:rsidRPr="004A7FD3">
        <w:rPr>
          <w:sz w:val="24"/>
          <w:szCs w:val="24"/>
        </w:rPr>
        <w:t>December 19, 2014.</w:t>
      </w:r>
    </w:p>
    <w:p w:rsidR="007E534B" w:rsidRDefault="007E534B" w:rsidP="00280D84">
      <w:pPr>
        <w:rPr>
          <w:sz w:val="24"/>
          <w:szCs w:val="24"/>
        </w:rPr>
      </w:pPr>
    </w:p>
    <w:p w:rsidR="007E534B" w:rsidRDefault="00307AD1" w:rsidP="00645839">
      <w:pPr>
        <w:keepLines/>
        <w:ind w:firstLine="720"/>
        <w:rPr>
          <w:sz w:val="24"/>
          <w:szCs w:val="24"/>
        </w:rPr>
      </w:pPr>
      <w:r>
        <w:rPr>
          <w:sz w:val="24"/>
          <w:szCs w:val="24"/>
        </w:rPr>
        <w:lastRenderedPageBreak/>
        <w:t xml:space="preserve">In addition, the Commission will hold a stakeholder meeting on Tuesday, December 2, 2014, from 1:30 to 3:30 P.M. </w:t>
      </w:r>
      <w:r w:rsidRPr="00B62DF1">
        <w:rPr>
          <w:sz w:val="24"/>
          <w:szCs w:val="24"/>
        </w:rPr>
        <w:t>in Hearing Room 1 of the Commonwealth Keystone Building, 400</w:t>
      </w:r>
      <w:r w:rsidR="007E534B">
        <w:rPr>
          <w:sz w:val="24"/>
          <w:szCs w:val="24"/>
        </w:rPr>
        <w:t> </w:t>
      </w:r>
      <w:r w:rsidRPr="00B62DF1">
        <w:rPr>
          <w:sz w:val="24"/>
          <w:szCs w:val="24"/>
        </w:rPr>
        <w:t>North Street, Harrisburg, Pennsylvania, 17120</w:t>
      </w:r>
      <w:r>
        <w:rPr>
          <w:sz w:val="24"/>
          <w:szCs w:val="24"/>
        </w:rPr>
        <w:t>.  This meeting will provide interested parties an opportunity to identify additional issues and concerns regarding the design of a potential Phase</w:t>
      </w:r>
      <w:r w:rsidR="006F21C0">
        <w:rPr>
          <w:sz w:val="24"/>
          <w:szCs w:val="24"/>
        </w:rPr>
        <w:t> </w:t>
      </w:r>
      <w:r>
        <w:rPr>
          <w:sz w:val="24"/>
          <w:szCs w:val="24"/>
        </w:rPr>
        <w:t xml:space="preserve">III of the EE&amp;C Program and to address any questions regarding the topics and issues presented herein.  </w:t>
      </w:r>
    </w:p>
    <w:p w:rsidR="007E534B" w:rsidRDefault="007E534B" w:rsidP="004A7FD3">
      <w:pPr>
        <w:ind w:firstLine="720"/>
        <w:rPr>
          <w:sz w:val="24"/>
          <w:szCs w:val="24"/>
        </w:rPr>
      </w:pPr>
    </w:p>
    <w:p w:rsidR="00307AD1" w:rsidRPr="00A01DB2" w:rsidRDefault="00307AD1" w:rsidP="004A7FD3">
      <w:pPr>
        <w:ind w:firstLine="720"/>
        <w:rPr>
          <w:sz w:val="24"/>
          <w:szCs w:val="24"/>
        </w:rPr>
      </w:pPr>
      <w:r>
        <w:rPr>
          <w:sz w:val="24"/>
          <w:szCs w:val="24"/>
        </w:rPr>
        <w:t xml:space="preserve">Further, the Commission anticipates releasing, in the first quarter of 2015, </w:t>
      </w:r>
      <w:r w:rsidR="009930D2">
        <w:rPr>
          <w:sz w:val="24"/>
          <w:szCs w:val="24"/>
        </w:rPr>
        <w:t xml:space="preserve">the </w:t>
      </w:r>
      <w:r>
        <w:rPr>
          <w:sz w:val="24"/>
          <w:szCs w:val="24"/>
        </w:rPr>
        <w:t xml:space="preserve">energy efficiency and demand response market potential studies conducted by </w:t>
      </w:r>
      <w:r w:rsidR="009930D2">
        <w:rPr>
          <w:sz w:val="24"/>
          <w:szCs w:val="24"/>
        </w:rPr>
        <w:t xml:space="preserve">the </w:t>
      </w:r>
      <w:r w:rsidR="00F004AC">
        <w:rPr>
          <w:sz w:val="24"/>
          <w:szCs w:val="24"/>
        </w:rPr>
        <w:t>SWE</w:t>
      </w:r>
      <w:r>
        <w:rPr>
          <w:sz w:val="24"/>
          <w:szCs w:val="24"/>
        </w:rPr>
        <w:t>, as well as a Tentative Implementation Order that will propose, among other things, any future incremental consumption and peak demand reduction targets and guidelines for Phase III EE&amp;C plans, if required.</w:t>
      </w:r>
    </w:p>
    <w:p w:rsidR="0053714C" w:rsidRDefault="0053714C" w:rsidP="00280D84">
      <w:pPr>
        <w:ind w:left="720"/>
        <w:rPr>
          <w:sz w:val="24"/>
          <w:szCs w:val="24"/>
        </w:rPr>
      </w:pPr>
    </w:p>
    <w:p w:rsidR="00280D84" w:rsidRDefault="00307AD1" w:rsidP="00307AD1">
      <w:pPr>
        <w:ind w:firstLine="720"/>
        <w:rPr>
          <w:sz w:val="24"/>
          <w:szCs w:val="24"/>
        </w:rPr>
      </w:pPr>
      <w:r>
        <w:rPr>
          <w:sz w:val="24"/>
          <w:szCs w:val="24"/>
        </w:rPr>
        <w:t xml:space="preserve">Below are specific issues and topics </w:t>
      </w:r>
      <w:r w:rsidR="009930D2">
        <w:rPr>
          <w:sz w:val="24"/>
          <w:szCs w:val="24"/>
        </w:rPr>
        <w:t xml:space="preserve">for </w:t>
      </w:r>
      <w:r>
        <w:rPr>
          <w:sz w:val="24"/>
          <w:szCs w:val="24"/>
        </w:rPr>
        <w:t xml:space="preserve">which we are seeking stakeholder comments.  </w:t>
      </w:r>
      <w:r w:rsidR="00A16880">
        <w:rPr>
          <w:sz w:val="24"/>
          <w:szCs w:val="24"/>
        </w:rPr>
        <w:t>We welcome comments on other issue or topics not outlined below.</w:t>
      </w:r>
      <w:r w:rsidR="00645839">
        <w:rPr>
          <w:sz w:val="24"/>
          <w:szCs w:val="24"/>
        </w:rPr>
        <w:t xml:space="preserve">  </w:t>
      </w:r>
    </w:p>
    <w:p w:rsidR="00307AD1" w:rsidRDefault="00307AD1" w:rsidP="00307AD1">
      <w:pPr>
        <w:ind w:firstLine="720"/>
        <w:rPr>
          <w:sz w:val="24"/>
          <w:szCs w:val="24"/>
        </w:rPr>
      </w:pPr>
    </w:p>
    <w:p w:rsidR="00307AD1" w:rsidRDefault="00110158" w:rsidP="00307AD1">
      <w:pPr>
        <w:rPr>
          <w:b/>
          <w:sz w:val="24"/>
          <w:szCs w:val="24"/>
        </w:rPr>
      </w:pPr>
      <w:r>
        <w:rPr>
          <w:b/>
          <w:sz w:val="24"/>
          <w:szCs w:val="24"/>
        </w:rPr>
        <w:tab/>
        <w:t>1</w:t>
      </w:r>
      <w:r w:rsidR="00307AD1">
        <w:rPr>
          <w:b/>
          <w:sz w:val="24"/>
          <w:szCs w:val="24"/>
        </w:rPr>
        <w:t>.</w:t>
      </w:r>
      <w:r w:rsidR="00307AD1">
        <w:rPr>
          <w:b/>
          <w:sz w:val="24"/>
          <w:szCs w:val="24"/>
        </w:rPr>
        <w:tab/>
      </w:r>
      <w:r>
        <w:rPr>
          <w:b/>
          <w:sz w:val="24"/>
          <w:szCs w:val="24"/>
        </w:rPr>
        <w:t>Length of Phase III EE&amp;C Program</w:t>
      </w:r>
    </w:p>
    <w:p w:rsidR="00572556" w:rsidRDefault="00572556" w:rsidP="00307AD1">
      <w:pPr>
        <w:rPr>
          <w:b/>
          <w:sz w:val="24"/>
          <w:szCs w:val="24"/>
        </w:rPr>
      </w:pPr>
    </w:p>
    <w:p w:rsidR="00572556" w:rsidRPr="00572556" w:rsidRDefault="00572556" w:rsidP="00307AD1">
      <w:pPr>
        <w:rPr>
          <w:b/>
          <w:sz w:val="24"/>
          <w:szCs w:val="24"/>
        </w:rPr>
      </w:pPr>
      <w:r>
        <w:rPr>
          <w:b/>
          <w:sz w:val="24"/>
          <w:szCs w:val="24"/>
        </w:rPr>
        <w:tab/>
      </w:r>
      <w:r>
        <w:rPr>
          <w:b/>
          <w:sz w:val="24"/>
          <w:szCs w:val="24"/>
        </w:rPr>
        <w:tab/>
        <w:t>a.</w:t>
      </w:r>
      <w:r>
        <w:rPr>
          <w:b/>
          <w:sz w:val="24"/>
          <w:szCs w:val="24"/>
        </w:rPr>
        <w:tab/>
        <w:t>Length of Phase III</w:t>
      </w:r>
    </w:p>
    <w:p w:rsidR="00110158" w:rsidRDefault="00110158" w:rsidP="00307AD1">
      <w:pPr>
        <w:rPr>
          <w:sz w:val="24"/>
          <w:szCs w:val="24"/>
        </w:rPr>
      </w:pPr>
    </w:p>
    <w:p w:rsidR="00110158" w:rsidRDefault="00110158" w:rsidP="00307AD1">
      <w:pPr>
        <w:rPr>
          <w:sz w:val="24"/>
          <w:szCs w:val="24"/>
        </w:rPr>
      </w:pPr>
      <w:r>
        <w:rPr>
          <w:sz w:val="24"/>
          <w:szCs w:val="24"/>
        </w:rPr>
        <w:tab/>
        <w:t>For planning purposes, the Commission must determine the number of years that a third phase of the EE&amp;C Program should run.</w:t>
      </w:r>
      <w:r w:rsidR="00E63D4A">
        <w:rPr>
          <w:sz w:val="24"/>
          <w:szCs w:val="24"/>
        </w:rPr>
        <w:t xml:space="preserve">  Several factors to consider when evaluating the length of an EE&amp;C Program term are:</w:t>
      </w:r>
    </w:p>
    <w:p w:rsidR="007E534B" w:rsidRDefault="007E534B" w:rsidP="00307AD1">
      <w:pPr>
        <w:rPr>
          <w:sz w:val="24"/>
          <w:szCs w:val="24"/>
        </w:rPr>
      </w:pPr>
    </w:p>
    <w:p w:rsidR="00E63D4A" w:rsidRDefault="00E63D4A" w:rsidP="00E63D4A">
      <w:pPr>
        <w:pStyle w:val="ListParagraph"/>
        <w:numPr>
          <w:ilvl w:val="0"/>
          <w:numId w:val="17"/>
        </w:numPr>
        <w:ind w:left="1440"/>
        <w:rPr>
          <w:sz w:val="24"/>
          <w:szCs w:val="24"/>
        </w:rPr>
      </w:pPr>
      <w:r>
        <w:rPr>
          <w:sz w:val="24"/>
          <w:szCs w:val="24"/>
        </w:rPr>
        <w:t>The accuracy of forecast data;</w:t>
      </w:r>
    </w:p>
    <w:p w:rsidR="00E63D4A" w:rsidRDefault="00E63D4A" w:rsidP="00E63D4A">
      <w:pPr>
        <w:pStyle w:val="ListParagraph"/>
        <w:numPr>
          <w:ilvl w:val="0"/>
          <w:numId w:val="17"/>
        </w:numPr>
        <w:ind w:left="1440"/>
        <w:rPr>
          <w:sz w:val="24"/>
          <w:szCs w:val="24"/>
        </w:rPr>
      </w:pPr>
      <w:r>
        <w:rPr>
          <w:sz w:val="24"/>
          <w:szCs w:val="24"/>
        </w:rPr>
        <w:t>The evolving energy efficiency marketplace;</w:t>
      </w:r>
    </w:p>
    <w:p w:rsidR="00E63D4A" w:rsidRDefault="00E63D4A" w:rsidP="00E63D4A">
      <w:pPr>
        <w:pStyle w:val="ListParagraph"/>
        <w:numPr>
          <w:ilvl w:val="0"/>
          <w:numId w:val="17"/>
        </w:numPr>
        <w:ind w:left="1440"/>
        <w:rPr>
          <w:sz w:val="24"/>
          <w:szCs w:val="24"/>
        </w:rPr>
      </w:pPr>
      <w:r>
        <w:rPr>
          <w:sz w:val="24"/>
          <w:szCs w:val="24"/>
        </w:rPr>
        <w:t>The evolving demand response marketplace;</w:t>
      </w:r>
    </w:p>
    <w:p w:rsidR="00E63D4A" w:rsidRDefault="00E63D4A" w:rsidP="00E63D4A">
      <w:pPr>
        <w:pStyle w:val="ListParagraph"/>
        <w:numPr>
          <w:ilvl w:val="0"/>
          <w:numId w:val="17"/>
        </w:numPr>
        <w:ind w:left="1440"/>
        <w:rPr>
          <w:sz w:val="24"/>
          <w:szCs w:val="24"/>
        </w:rPr>
      </w:pPr>
      <w:r>
        <w:rPr>
          <w:sz w:val="24"/>
          <w:szCs w:val="24"/>
        </w:rPr>
        <w:t>Consumers’ tendencies to adopt efficiency measures;</w:t>
      </w:r>
    </w:p>
    <w:p w:rsidR="00E63D4A" w:rsidRDefault="00E63D4A" w:rsidP="00E63D4A">
      <w:pPr>
        <w:pStyle w:val="ListParagraph"/>
        <w:numPr>
          <w:ilvl w:val="0"/>
          <w:numId w:val="17"/>
        </w:numPr>
        <w:ind w:left="1440"/>
        <w:rPr>
          <w:sz w:val="24"/>
          <w:szCs w:val="24"/>
        </w:rPr>
      </w:pPr>
      <w:r>
        <w:rPr>
          <w:sz w:val="24"/>
          <w:szCs w:val="24"/>
        </w:rPr>
        <w:t>Changes in Federal legislation and regulations that set minimum efficiency standards; and</w:t>
      </w:r>
    </w:p>
    <w:p w:rsidR="00E63D4A" w:rsidRPr="00E63D4A" w:rsidRDefault="00E63D4A" w:rsidP="00E63D4A">
      <w:pPr>
        <w:pStyle w:val="ListParagraph"/>
        <w:numPr>
          <w:ilvl w:val="0"/>
          <w:numId w:val="17"/>
        </w:numPr>
        <w:ind w:left="1440"/>
        <w:rPr>
          <w:sz w:val="24"/>
          <w:szCs w:val="24"/>
        </w:rPr>
      </w:pPr>
      <w:r>
        <w:rPr>
          <w:sz w:val="24"/>
          <w:szCs w:val="24"/>
        </w:rPr>
        <w:t>The administrative costs incurred by all parties in designing, filing, litigating and implementing the EE&amp;C Program</w:t>
      </w:r>
    </w:p>
    <w:p w:rsidR="00110158" w:rsidRDefault="00110158" w:rsidP="00307AD1">
      <w:pPr>
        <w:rPr>
          <w:sz w:val="24"/>
          <w:szCs w:val="24"/>
        </w:rPr>
      </w:pPr>
    </w:p>
    <w:p w:rsidR="00110158" w:rsidRDefault="00E63D4A" w:rsidP="00307AD1">
      <w:pPr>
        <w:rPr>
          <w:sz w:val="24"/>
          <w:szCs w:val="24"/>
        </w:rPr>
      </w:pPr>
      <w:r>
        <w:rPr>
          <w:sz w:val="24"/>
          <w:szCs w:val="24"/>
        </w:rPr>
        <w:tab/>
        <w:t>While the Commission determined in its Phase II Implementation Order that a shorter period, specifically three years, was appropriate for Phase II of the EE&amp;C Program in order to, among other things, “accommodate a contingency for dealing with a potential peak demand reduction target that must be accomplished by May 31, 2017, if the Commission determines that such a peak demand reduction program is cost-effective,”</w:t>
      </w:r>
      <w:r>
        <w:rPr>
          <w:rStyle w:val="FootnoteReference"/>
          <w:sz w:val="24"/>
          <w:szCs w:val="24"/>
        </w:rPr>
        <w:footnoteReference w:id="5"/>
      </w:r>
      <w:r>
        <w:rPr>
          <w:sz w:val="24"/>
          <w:szCs w:val="24"/>
        </w:rPr>
        <w:t xml:space="preserve"> we </w:t>
      </w:r>
      <w:r w:rsidR="007E534B">
        <w:rPr>
          <w:sz w:val="24"/>
          <w:szCs w:val="24"/>
        </w:rPr>
        <w:t xml:space="preserve">are considering whether </w:t>
      </w:r>
      <w:r>
        <w:rPr>
          <w:sz w:val="24"/>
          <w:szCs w:val="24"/>
        </w:rPr>
        <w:t xml:space="preserve">a longer program length would be more appropriate for a potential Phase III.  Specifically, based on the experiences of all stakeholders, we </w:t>
      </w:r>
      <w:r w:rsidR="007E534B" w:rsidRPr="00D23AA0">
        <w:rPr>
          <w:sz w:val="24"/>
          <w:szCs w:val="24"/>
        </w:rPr>
        <w:t xml:space="preserve">would like to confirm whether </w:t>
      </w:r>
      <w:r w:rsidRPr="00D23AA0">
        <w:rPr>
          <w:sz w:val="24"/>
          <w:szCs w:val="24"/>
        </w:rPr>
        <w:t xml:space="preserve">the shorter Phase II term provided for some administrative difficulties and </w:t>
      </w:r>
      <w:r w:rsidR="009930D2" w:rsidRPr="00D23AA0">
        <w:rPr>
          <w:sz w:val="24"/>
          <w:szCs w:val="24"/>
        </w:rPr>
        <w:t>less efficient</w:t>
      </w:r>
      <w:r w:rsidRPr="00D23AA0">
        <w:rPr>
          <w:sz w:val="24"/>
          <w:szCs w:val="24"/>
        </w:rPr>
        <w:t xml:space="preserve"> use of resources.  Accordingly, the Commission is considering a five-year term for Phase III, to operate from June 1, 2016, </w:t>
      </w:r>
      <w:r w:rsidRPr="00D23AA0">
        <w:rPr>
          <w:sz w:val="24"/>
          <w:szCs w:val="24"/>
        </w:rPr>
        <w:lastRenderedPageBreak/>
        <w:t>through May 31, 2021.  We request comments on the optimal length of a possible Phase III</w:t>
      </w:r>
      <w:r w:rsidR="00D23AA0" w:rsidRPr="00D23AA0">
        <w:rPr>
          <w:sz w:val="24"/>
          <w:szCs w:val="24"/>
        </w:rPr>
        <w:t xml:space="preserve">, such as </w:t>
      </w:r>
      <w:r w:rsidRPr="00D23AA0">
        <w:rPr>
          <w:sz w:val="24"/>
          <w:szCs w:val="24"/>
        </w:rPr>
        <w:t>a three-, four-</w:t>
      </w:r>
      <w:r w:rsidR="009930D2" w:rsidRPr="00D23AA0">
        <w:rPr>
          <w:sz w:val="24"/>
          <w:szCs w:val="24"/>
        </w:rPr>
        <w:t xml:space="preserve">, </w:t>
      </w:r>
      <w:proofErr w:type="gramStart"/>
      <w:r w:rsidR="009930D2" w:rsidRPr="00D23AA0">
        <w:rPr>
          <w:sz w:val="24"/>
          <w:szCs w:val="24"/>
        </w:rPr>
        <w:t>five</w:t>
      </w:r>
      <w:proofErr w:type="gramEnd"/>
      <w:r w:rsidR="00572556">
        <w:rPr>
          <w:sz w:val="24"/>
          <w:szCs w:val="24"/>
        </w:rPr>
        <w:t>-</w:t>
      </w:r>
      <w:r w:rsidRPr="00D23AA0">
        <w:rPr>
          <w:sz w:val="24"/>
          <w:szCs w:val="24"/>
        </w:rPr>
        <w:t xml:space="preserve"> or </w:t>
      </w:r>
      <w:r w:rsidR="009930D2" w:rsidRPr="00D23AA0">
        <w:rPr>
          <w:sz w:val="24"/>
          <w:szCs w:val="24"/>
        </w:rPr>
        <w:t>six</w:t>
      </w:r>
      <w:r w:rsidRPr="00D23AA0">
        <w:rPr>
          <w:sz w:val="24"/>
          <w:szCs w:val="24"/>
        </w:rPr>
        <w:t>-year length.</w:t>
      </w:r>
      <w:r w:rsidRPr="00D23AA0">
        <w:rPr>
          <w:rStyle w:val="FootnoteReference"/>
          <w:sz w:val="24"/>
          <w:szCs w:val="24"/>
        </w:rPr>
        <w:footnoteReference w:id="6"/>
      </w:r>
    </w:p>
    <w:p w:rsidR="00572556" w:rsidRDefault="00572556" w:rsidP="00307AD1">
      <w:pPr>
        <w:rPr>
          <w:sz w:val="24"/>
          <w:szCs w:val="24"/>
        </w:rPr>
      </w:pPr>
    </w:p>
    <w:p w:rsidR="00572556" w:rsidRPr="00304047" w:rsidRDefault="00572556" w:rsidP="00572556">
      <w:pPr>
        <w:rPr>
          <w:b/>
          <w:sz w:val="24"/>
          <w:szCs w:val="24"/>
        </w:rPr>
      </w:pPr>
      <w:r>
        <w:rPr>
          <w:sz w:val="24"/>
          <w:szCs w:val="24"/>
        </w:rPr>
        <w:tab/>
      </w:r>
      <w:r>
        <w:rPr>
          <w:sz w:val="24"/>
          <w:szCs w:val="24"/>
        </w:rPr>
        <w:tab/>
      </w:r>
      <w:r>
        <w:rPr>
          <w:b/>
          <w:sz w:val="24"/>
          <w:szCs w:val="24"/>
        </w:rPr>
        <w:t>b.</w:t>
      </w:r>
      <w:r>
        <w:rPr>
          <w:b/>
          <w:sz w:val="24"/>
          <w:szCs w:val="24"/>
        </w:rPr>
        <w:tab/>
        <w:t xml:space="preserve">Inclusion of an Incremental Progress Requirement </w:t>
      </w:r>
    </w:p>
    <w:p w:rsidR="00572556" w:rsidRPr="009B0CBC" w:rsidRDefault="00572556" w:rsidP="00572556">
      <w:pPr>
        <w:rPr>
          <w:sz w:val="24"/>
          <w:szCs w:val="24"/>
        </w:rPr>
      </w:pPr>
    </w:p>
    <w:p w:rsidR="00572556" w:rsidRPr="00572556" w:rsidRDefault="00572556" w:rsidP="00572556">
      <w:pPr>
        <w:ind w:firstLine="720"/>
        <w:rPr>
          <w:b/>
          <w:sz w:val="24"/>
          <w:szCs w:val="24"/>
        </w:rPr>
      </w:pPr>
      <w:r>
        <w:rPr>
          <w:sz w:val="24"/>
          <w:szCs w:val="24"/>
        </w:rPr>
        <w:t>In its Phase II Implementation Order, the Commission declined the request from certain stakeholders to require annual consumption reduction targets.  However, we did see the value in ensuring that the EDCs make incremental progress toward their consumption reduction targets.  Accordingly, we required the EDCs to submit EE&amp;C Plans that were designed to achieve at least 25% of the target amount in each program year.</w:t>
      </w:r>
      <w:r>
        <w:rPr>
          <w:rStyle w:val="FootnoteReference"/>
          <w:sz w:val="24"/>
          <w:szCs w:val="24"/>
        </w:rPr>
        <w:footnoteReference w:id="7"/>
      </w:r>
      <w:r>
        <w:rPr>
          <w:sz w:val="24"/>
          <w:szCs w:val="24"/>
        </w:rPr>
        <w:t xml:space="preserve">  Should the Commission provide such a directive in Phase III?  If so, the attainment of what percentage of the target amount should be required annually?</w:t>
      </w:r>
    </w:p>
    <w:p w:rsidR="00D23AA0" w:rsidRDefault="00D23AA0" w:rsidP="00280D84">
      <w:pPr>
        <w:ind w:left="720"/>
        <w:rPr>
          <w:b/>
          <w:sz w:val="24"/>
          <w:szCs w:val="24"/>
        </w:rPr>
      </w:pPr>
    </w:p>
    <w:p w:rsidR="00B35953" w:rsidRDefault="00BC011F" w:rsidP="00280D84">
      <w:pPr>
        <w:ind w:left="720"/>
        <w:rPr>
          <w:sz w:val="24"/>
          <w:szCs w:val="24"/>
        </w:rPr>
      </w:pPr>
      <w:r>
        <w:rPr>
          <w:b/>
          <w:sz w:val="24"/>
          <w:szCs w:val="24"/>
        </w:rPr>
        <w:t>2</w:t>
      </w:r>
      <w:r w:rsidR="00B35953">
        <w:rPr>
          <w:b/>
          <w:sz w:val="24"/>
          <w:szCs w:val="24"/>
        </w:rPr>
        <w:t>.</w:t>
      </w:r>
      <w:r w:rsidR="00B35953">
        <w:rPr>
          <w:b/>
          <w:sz w:val="24"/>
          <w:szCs w:val="24"/>
        </w:rPr>
        <w:tab/>
        <w:t>Inclusion of Peak Demand Reduction Requirements</w:t>
      </w:r>
    </w:p>
    <w:p w:rsidR="00B35953" w:rsidRDefault="00B35953" w:rsidP="00280D84">
      <w:pPr>
        <w:ind w:left="720"/>
        <w:rPr>
          <w:sz w:val="24"/>
          <w:szCs w:val="24"/>
        </w:rPr>
      </w:pPr>
    </w:p>
    <w:p w:rsidR="00B35953" w:rsidRDefault="00B35953" w:rsidP="00B35953">
      <w:pPr>
        <w:ind w:firstLine="720"/>
        <w:rPr>
          <w:sz w:val="24"/>
          <w:szCs w:val="24"/>
        </w:rPr>
      </w:pPr>
      <w:r w:rsidRPr="001D42EE">
        <w:rPr>
          <w:sz w:val="24"/>
          <w:szCs w:val="24"/>
        </w:rPr>
        <w:t>Because Act 129 requires the Commission to conduct a cost-benefit analysis before establishing any additional peak demand reduction targets, the Commissi</w:t>
      </w:r>
      <w:r w:rsidR="00F004AC" w:rsidRPr="001D42EE">
        <w:rPr>
          <w:sz w:val="24"/>
          <w:szCs w:val="24"/>
        </w:rPr>
        <w:t xml:space="preserve">on directed the SWE </w:t>
      </w:r>
      <w:r w:rsidRPr="001D42EE">
        <w:rPr>
          <w:sz w:val="24"/>
          <w:szCs w:val="24"/>
        </w:rPr>
        <w:t xml:space="preserve">to conduct a study of the Phase I peak demand program and to provide recommendations on whether the Phase I and/or future peak demand reduction programs can be implemented cost-effectively.  In a May 17, 2013 Secretarial Letter, the Commission released the </w:t>
      </w:r>
      <w:r w:rsidRPr="001D42EE">
        <w:rPr>
          <w:i/>
          <w:sz w:val="24"/>
          <w:szCs w:val="24"/>
        </w:rPr>
        <w:t>Act 129 Demand Response Study – Final Report</w:t>
      </w:r>
      <w:r w:rsidRPr="001D42EE">
        <w:rPr>
          <w:sz w:val="24"/>
          <w:szCs w:val="24"/>
        </w:rPr>
        <w:t xml:space="preserve">, at Docket No. M-2012-2289411.  The Commission held a </w:t>
      </w:r>
      <w:r w:rsidR="00F004AC" w:rsidRPr="001D42EE">
        <w:rPr>
          <w:sz w:val="24"/>
          <w:szCs w:val="24"/>
        </w:rPr>
        <w:t>stakeholder meeting</w:t>
      </w:r>
      <w:r w:rsidRPr="001D42EE">
        <w:rPr>
          <w:sz w:val="24"/>
          <w:szCs w:val="24"/>
        </w:rPr>
        <w:t xml:space="preserve"> on June 11, 2013, to provide stakeholders with an overview of the SWE’s findings and recommendations.  The Commission released publicly </w:t>
      </w:r>
      <w:r w:rsidR="00F004AC" w:rsidRPr="001D42EE">
        <w:rPr>
          <w:sz w:val="24"/>
          <w:szCs w:val="24"/>
        </w:rPr>
        <w:t xml:space="preserve">the SWE’s </w:t>
      </w:r>
      <w:r w:rsidRPr="001D42EE">
        <w:rPr>
          <w:sz w:val="24"/>
          <w:szCs w:val="24"/>
        </w:rPr>
        <w:t>analysis in conjunction with a Tentative Order outlining the cost-effectiveness of Phase I peak demand reduction programs and proposing a potential future peak demand reduction program.</w:t>
      </w:r>
      <w:r w:rsidRPr="001D42EE">
        <w:rPr>
          <w:rStyle w:val="FootnoteReference"/>
          <w:sz w:val="24"/>
          <w:szCs w:val="24"/>
        </w:rPr>
        <w:footnoteReference w:id="8"/>
      </w:r>
      <w:r w:rsidR="00892409" w:rsidRPr="001D42EE">
        <w:rPr>
          <w:sz w:val="24"/>
          <w:szCs w:val="24"/>
        </w:rPr>
        <w:t xml:space="preserve">  </w:t>
      </w:r>
      <w:r w:rsidR="00BE7145" w:rsidRPr="001D42EE">
        <w:rPr>
          <w:sz w:val="24"/>
          <w:szCs w:val="24"/>
        </w:rPr>
        <w:t>In February 2014, f</w:t>
      </w:r>
      <w:r w:rsidR="00892409" w:rsidRPr="001D42EE">
        <w:rPr>
          <w:sz w:val="24"/>
          <w:szCs w:val="24"/>
        </w:rPr>
        <w:t>ollowing a review of stakeholder comments, the Commission direct</w:t>
      </w:r>
      <w:r w:rsidR="00BE7145" w:rsidRPr="001D42EE">
        <w:rPr>
          <w:sz w:val="24"/>
          <w:szCs w:val="24"/>
        </w:rPr>
        <w:t>ed</w:t>
      </w:r>
      <w:r w:rsidR="00892409" w:rsidRPr="001D42EE">
        <w:rPr>
          <w:sz w:val="24"/>
          <w:szCs w:val="24"/>
        </w:rPr>
        <w:t xml:space="preserve"> </w:t>
      </w:r>
      <w:r w:rsidR="00F004AC" w:rsidRPr="001D42EE">
        <w:rPr>
          <w:sz w:val="24"/>
          <w:szCs w:val="24"/>
        </w:rPr>
        <w:t>the</w:t>
      </w:r>
      <w:r w:rsidR="00892409" w:rsidRPr="001D42EE">
        <w:rPr>
          <w:sz w:val="24"/>
          <w:szCs w:val="24"/>
        </w:rPr>
        <w:t xml:space="preserve"> </w:t>
      </w:r>
      <w:r w:rsidR="00F004AC" w:rsidRPr="001D42EE">
        <w:rPr>
          <w:sz w:val="24"/>
          <w:szCs w:val="24"/>
        </w:rPr>
        <w:t>SWE</w:t>
      </w:r>
      <w:r w:rsidR="00892409" w:rsidRPr="001D42EE">
        <w:rPr>
          <w:sz w:val="24"/>
          <w:szCs w:val="24"/>
        </w:rPr>
        <w:t xml:space="preserve"> to perform a Demand Response Potential Study using the proposed </w:t>
      </w:r>
      <w:r w:rsidR="00F004AC" w:rsidRPr="001D42EE">
        <w:rPr>
          <w:sz w:val="24"/>
          <w:szCs w:val="24"/>
        </w:rPr>
        <w:t xml:space="preserve">residential direct load control </w:t>
      </w:r>
      <w:r w:rsidR="00892409" w:rsidRPr="001D42EE">
        <w:rPr>
          <w:sz w:val="24"/>
          <w:szCs w:val="24"/>
        </w:rPr>
        <w:t>and commercial and industrial load c</w:t>
      </w:r>
      <w:r w:rsidR="00F004AC" w:rsidRPr="001D42EE">
        <w:rPr>
          <w:sz w:val="24"/>
          <w:szCs w:val="24"/>
        </w:rPr>
        <w:t xml:space="preserve">urtailment </w:t>
      </w:r>
      <w:r w:rsidR="00892409" w:rsidRPr="001D42EE">
        <w:rPr>
          <w:sz w:val="24"/>
          <w:szCs w:val="24"/>
        </w:rPr>
        <w:t>models outlined within the order.</w:t>
      </w:r>
      <w:r w:rsidR="00892409" w:rsidRPr="001D42EE">
        <w:rPr>
          <w:rStyle w:val="FootnoteReference"/>
          <w:sz w:val="24"/>
          <w:szCs w:val="24"/>
        </w:rPr>
        <w:footnoteReference w:id="9"/>
      </w:r>
      <w:r w:rsidR="00892409" w:rsidRPr="001D42EE">
        <w:rPr>
          <w:sz w:val="24"/>
          <w:szCs w:val="24"/>
        </w:rPr>
        <w:t xml:space="preserve">  </w:t>
      </w:r>
      <w:r w:rsidR="00F004AC" w:rsidRPr="001D42EE">
        <w:rPr>
          <w:sz w:val="24"/>
          <w:szCs w:val="24"/>
        </w:rPr>
        <w:t xml:space="preserve">This study </w:t>
      </w:r>
      <w:r w:rsidR="009A2415" w:rsidRPr="001D42EE">
        <w:rPr>
          <w:sz w:val="24"/>
          <w:szCs w:val="24"/>
        </w:rPr>
        <w:t>is</w:t>
      </w:r>
      <w:r w:rsidR="00F004AC" w:rsidRPr="001D42EE">
        <w:rPr>
          <w:sz w:val="24"/>
          <w:szCs w:val="24"/>
        </w:rPr>
        <w:t xml:space="preserve"> anticipated </w:t>
      </w:r>
      <w:r w:rsidR="009A2415" w:rsidRPr="001D42EE">
        <w:rPr>
          <w:sz w:val="24"/>
          <w:szCs w:val="24"/>
        </w:rPr>
        <w:t>to be completed in</w:t>
      </w:r>
      <w:r w:rsidR="00F004AC" w:rsidRPr="001D42EE">
        <w:rPr>
          <w:sz w:val="24"/>
          <w:szCs w:val="24"/>
        </w:rPr>
        <w:t xml:space="preserve"> December 2014.</w:t>
      </w:r>
      <w:r w:rsidR="00F004AC">
        <w:rPr>
          <w:sz w:val="24"/>
          <w:szCs w:val="24"/>
        </w:rPr>
        <w:t xml:space="preserve">  </w:t>
      </w:r>
    </w:p>
    <w:p w:rsidR="00F004AC" w:rsidRDefault="00F004AC" w:rsidP="00B35953">
      <w:pPr>
        <w:ind w:firstLine="720"/>
        <w:rPr>
          <w:sz w:val="24"/>
          <w:szCs w:val="24"/>
        </w:rPr>
      </w:pPr>
    </w:p>
    <w:p w:rsidR="00F004AC" w:rsidRDefault="00F004AC" w:rsidP="00B35953">
      <w:pPr>
        <w:ind w:firstLine="720"/>
        <w:rPr>
          <w:sz w:val="24"/>
          <w:szCs w:val="24"/>
        </w:rPr>
      </w:pPr>
      <w:r>
        <w:rPr>
          <w:sz w:val="24"/>
          <w:szCs w:val="24"/>
        </w:rPr>
        <w:t xml:space="preserve">While we recognize that the SWE has not provided its final </w:t>
      </w:r>
      <w:r w:rsidR="00A01991">
        <w:rPr>
          <w:sz w:val="24"/>
          <w:szCs w:val="24"/>
        </w:rPr>
        <w:t>analysis</w:t>
      </w:r>
      <w:r w:rsidR="009A2415">
        <w:rPr>
          <w:sz w:val="24"/>
          <w:szCs w:val="24"/>
        </w:rPr>
        <w:t xml:space="preserve"> </w:t>
      </w:r>
      <w:r>
        <w:rPr>
          <w:sz w:val="24"/>
          <w:szCs w:val="24"/>
        </w:rPr>
        <w:t xml:space="preserve">regarding peak demand potential in Pennsylvania, we believe it beneficial to solicit feedback on certain issues surrounding a potential peak demand reduction program, should it be determined that </w:t>
      </w:r>
      <w:r w:rsidR="00A01991">
        <w:rPr>
          <w:sz w:val="24"/>
          <w:szCs w:val="24"/>
        </w:rPr>
        <w:t xml:space="preserve">it </w:t>
      </w:r>
      <w:r>
        <w:rPr>
          <w:sz w:val="24"/>
          <w:szCs w:val="24"/>
        </w:rPr>
        <w:t>is cost-effective.  Specifically, we solicit comments on the following:</w:t>
      </w:r>
    </w:p>
    <w:p w:rsidR="00BE7145" w:rsidRDefault="00BE7145" w:rsidP="00B35953">
      <w:pPr>
        <w:ind w:firstLine="720"/>
        <w:rPr>
          <w:sz w:val="24"/>
          <w:szCs w:val="24"/>
        </w:rPr>
      </w:pPr>
    </w:p>
    <w:p w:rsidR="00F004AC" w:rsidRDefault="008D3AB2" w:rsidP="004A7FD3">
      <w:pPr>
        <w:pStyle w:val="ListParagraph"/>
        <w:numPr>
          <w:ilvl w:val="0"/>
          <w:numId w:val="24"/>
        </w:numPr>
        <w:rPr>
          <w:sz w:val="24"/>
          <w:szCs w:val="24"/>
        </w:rPr>
      </w:pPr>
      <w:r>
        <w:rPr>
          <w:sz w:val="24"/>
          <w:szCs w:val="24"/>
        </w:rPr>
        <w:t>If the SWE determines that there is cost-effective peak demand reduction potential available within the Act 129 framework, t</w:t>
      </w:r>
      <w:r w:rsidR="00F004AC">
        <w:rPr>
          <w:sz w:val="24"/>
          <w:szCs w:val="24"/>
        </w:rPr>
        <w:t xml:space="preserve">he EDCs would be required to meet a May 31, 2017 peak demand reduction target.  Should the EDCs be </w:t>
      </w:r>
      <w:r w:rsidR="00F004AC">
        <w:rPr>
          <w:sz w:val="24"/>
          <w:szCs w:val="24"/>
        </w:rPr>
        <w:lastRenderedPageBreak/>
        <w:t>required to continue peak demand reduction program</w:t>
      </w:r>
      <w:r>
        <w:rPr>
          <w:sz w:val="24"/>
          <w:szCs w:val="24"/>
        </w:rPr>
        <w:t>s</w:t>
      </w:r>
      <w:r w:rsidR="00F004AC">
        <w:rPr>
          <w:sz w:val="24"/>
          <w:szCs w:val="24"/>
        </w:rPr>
        <w:t xml:space="preserve"> past the May 31, 2017 target?</w:t>
      </w:r>
      <w:r w:rsidR="00A01991">
        <w:rPr>
          <w:sz w:val="24"/>
          <w:szCs w:val="24"/>
        </w:rPr>
        <w:t xml:space="preserve">  If so, should there be annual reduction requirements or an average annual reduction requirement over the entire period?</w:t>
      </w:r>
    </w:p>
    <w:p w:rsidR="008D3AB2" w:rsidRDefault="008D3AB2" w:rsidP="004A7FD3">
      <w:pPr>
        <w:pStyle w:val="ListParagraph"/>
        <w:numPr>
          <w:ilvl w:val="0"/>
          <w:numId w:val="24"/>
        </w:numPr>
        <w:rPr>
          <w:sz w:val="24"/>
          <w:szCs w:val="24"/>
        </w:rPr>
      </w:pPr>
      <w:r>
        <w:rPr>
          <w:sz w:val="24"/>
          <w:szCs w:val="24"/>
        </w:rPr>
        <w:t>If the SWE determines that there is cost-effective peak demand reduction potential available within the Act 129 framework, t</w:t>
      </w:r>
      <w:r w:rsidR="00F004AC">
        <w:rPr>
          <w:sz w:val="24"/>
          <w:szCs w:val="24"/>
        </w:rPr>
        <w:t>he EDCs</w:t>
      </w:r>
      <w:r w:rsidR="00411BEC">
        <w:rPr>
          <w:sz w:val="24"/>
          <w:szCs w:val="24"/>
        </w:rPr>
        <w:t>’</w:t>
      </w:r>
      <w:r w:rsidR="00F004AC">
        <w:rPr>
          <w:sz w:val="24"/>
          <w:szCs w:val="24"/>
        </w:rPr>
        <w:t xml:space="preserve"> budget</w:t>
      </w:r>
      <w:r w:rsidR="00411BEC">
        <w:rPr>
          <w:sz w:val="24"/>
          <w:szCs w:val="24"/>
        </w:rPr>
        <w:t>s</w:t>
      </w:r>
      <w:r w:rsidR="00F004AC">
        <w:rPr>
          <w:sz w:val="24"/>
          <w:szCs w:val="24"/>
        </w:rPr>
        <w:t xml:space="preserve"> would need to be split between consumption reduction and peak demand reduction initiatives.  How should the budget be split between the two initiatives?  </w:t>
      </w:r>
    </w:p>
    <w:p w:rsidR="00F004AC" w:rsidRDefault="00F004AC" w:rsidP="004A7FD3">
      <w:pPr>
        <w:pStyle w:val="ListParagraph"/>
        <w:numPr>
          <w:ilvl w:val="0"/>
          <w:numId w:val="24"/>
        </w:numPr>
        <w:rPr>
          <w:sz w:val="24"/>
          <w:szCs w:val="24"/>
        </w:rPr>
      </w:pPr>
      <w:r>
        <w:rPr>
          <w:sz w:val="24"/>
          <w:szCs w:val="24"/>
        </w:rPr>
        <w:t>If the SWE</w:t>
      </w:r>
      <w:r w:rsidR="008D3AB2">
        <w:rPr>
          <w:sz w:val="24"/>
          <w:szCs w:val="24"/>
        </w:rPr>
        <w:t xml:space="preserve"> </w:t>
      </w:r>
      <w:r w:rsidR="00A8516D">
        <w:rPr>
          <w:sz w:val="24"/>
          <w:szCs w:val="24"/>
        </w:rPr>
        <w:t xml:space="preserve">determines </w:t>
      </w:r>
      <w:r w:rsidR="008D3AB2">
        <w:rPr>
          <w:sz w:val="24"/>
          <w:szCs w:val="24"/>
        </w:rPr>
        <w:t xml:space="preserve">that there is cost-effective peak demand reduction potential available within the Act 129 framework </w:t>
      </w:r>
      <w:r w:rsidR="00A8516D">
        <w:rPr>
          <w:sz w:val="24"/>
          <w:szCs w:val="24"/>
        </w:rPr>
        <w:t>but wou</w:t>
      </w:r>
      <w:r w:rsidR="00411BEC">
        <w:rPr>
          <w:sz w:val="24"/>
          <w:szCs w:val="24"/>
        </w:rPr>
        <w:t>ld require the majority (</w:t>
      </w:r>
      <w:r w:rsidR="00411BEC" w:rsidRPr="004A7FD3">
        <w:rPr>
          <w:i/>
          <w:sz w:val="24"/>
          <w:szCs w:val="24"/>
        </w:rPr>
        <w:t>e.g.</w:t>
      </w:r>
      <w:r w:rsidR="00BE7145">
        <w:rPr>
          <w:sz w:val="24"/>
          <w:szCs w:val="24"/>
        </w:rPr>
        <w:t>,</w:t>
      </w:r>
      <w:r w:rsidR="00411BEC">
        <w:rPr>
          <w:sz w:val="24"/>
          <w:szCs w:val="24"/>
        </w:rPr>
        <w:t xml:space="preserve"> 75</w:t>
      </w:r>
      <w:r w:rsidR="00A8516D">
        <w:rPr>
          <w:sz w:val="24"/>
          <w:szCs w:val="24"/>
        </w:rPr>
        <w:t>%; 8</w:t>
      </w:r>
      <w:r w:rsidR="00411BEC">
        <w:rPr>
          <w:sz w:val="24"/>
          <w:szCs w:val="24"/>
        </w:rPr>
        <w:t>0</w:t>
      </w:r>
      <w:r w:rsidR="00A8516D">
        <w:rPr>
          <w:sz w:val="24"/>
          <w:szCs w:val="24"/>
        </w:rPr>
        <w:t>%; 9</w:t>
      </w:r>
      <w:r w:rsidR="00411BEC">
        <w:rPr>
          <w:sz w:val="24"/>
          <w:szCs w:val="24"/>
        </w:rPr>
        <w:t>0</w:t>
      </w:r>
      <w:r w:rsidR="00A8516D">
        <w:rPr>
          <w:sz w:val="24"/>
          <w:szCs w:val="24"/>
        </w:rPr>
        <w:t>%, etc.) of the EDCs’ budgets, should the EDCs still be required to achieve peak demand reduction targets?</w:t>
      </w:r>
    </w:p>
    <w:p w:rsidR="00A8516D" w:rsidRDefault="008D3AB2" w:rsidP="004A7FD3">
      <w:pPr>
        <w:pStyle w:val="ListParagraph"/>
        <w:numPr>
          <w:ilvl w:val="0"/>
          <w:numId w:val="24"/>
        </w:numPr>
        <w:rPr>
          <w:sz w:val="24"/>
          <w:szCs w:val="24"/>
        </w:rPr>
      </w:pPr>
      <w:r>
        <w:rPr>
          <w:sz w:val="24"/>
          <w:szCs w:val="24"/>
        </w:rPr>
        <w:t xml:space="preserve">If the SWE determines that there is cost-effective peak demand reduction potential available within the </w:t>
      </w:r>
      <w:r w:rsidR="00487FAD">
        <w:rPr>
          <w:sz w:val="24"/>
          <w:szCs w:val="24"/>
        </w:rPr>
        <w:t xml:space="preserve">Act 129 framework </w:t>
      </w:r>
      <w:r>
        <w:rPr>
          <w:sz w:val="24"/>
          <w:szCs w:val="24"/>
        </w:rPr>
        <w:t>but only for a certain sector (</w:t>
      </w:r>
      <w:r w:rsidRPr="004A7FD3">
        <w:rPr>
          <w:i/>
          <w:sz w:val="24"/>
          <w:szCs w:val="24"/>
        </w:rPr>
        <w:t>e.g.</w:t>
      </w:r>
      <w:r w:rsidR="00BE7145">
        <w:rPr>
          <w:sz w:val="24"/>
          <w:szCs w:val="24"/>
        </w:rPr>
        <w:t>,</w:t>
      </w:r>
      <w:r>
        <w:rPr>
          <w:sz w:val="24"/>
          <w:szCs w:val="24"/>
        </w:rPr>
        <w:t xml:space="preserve"> t</w:t>
      </w:r>
      <w:r w:rsidR="00A8516D">
        <w:rPr>
          <w:sz w:val="24"/>
          <w:szCs w:val="24"/>
        </w:rPr>
        <w:t>hrough residential direct load control programs</w:t>
      </w:r>
      <w:r>
        <w:rPr>
          <w:sz w:val="24"/>
          <w:szCs w:val="24"/>
        </w:rPr>
        <w:t>),</w:t>
      </w:r>
      <w:r w:rsidR="00A8516D">
        <w:rPr>
          <w:sz w:val="24"/>
          <w:szCs w:val="24"/>
        </w:rPr>
        <w:t xml:space="preserve"> can the Commission prescribe a peak demand reduction target?  In other words, can the Commission prescribe a target if it can only be met through measures offered to certain rate classes instead of across all rate classes?  If so, </w:t>
      </w:r>
      <w:r w:rsidR="00A8516D" w:rsidRPr="008D3AB2">
        <w:rPr>
          <w:sz w:val="24"/>
          <w:szCs w:val="24"/>
        </w:rPr>
        <w:t>should</w:t>
      </w:r>
      <w:r w:rsidR="00A8516D">
        <w:rPr>
          <w:sz w:val="24"/>
          <w:szCs w:val="24"/>
        </w:rPr>
        <w:t xml:space="preserve"> the Commission do so?</w:t>
      </w:r>
    </w:p>
    <w:p w:rsidR="006F1347" w:rsidRPr="006F1347" w:rsidRDefault="006F1347" w:rsidP="004A7FD3">
      <w:pPr>
        <w:pStyle w:val="ListParagraph"/>
        <w:numPr>
          <w:ilvl w:val="0"/>
          <w:numId w:val="24"/>
        </w:numPr>
        <w:rPr>
          <w:sz w:val="24"/>
          <w:szCs w:val="24"/>
        </w:rPr>
      </w:pPr>
      <w:r>
        <w:rPr>
          <w:sz w:val="24"/>
          <w:szCs w:val="24"/>
        </w:rPr>
        <w:t xml:space="preserve">If the SWE determines that there is cost-effective peak demand reduction potential available within the Act 129 framework but only for a certain EDC service territory, can the Commission prescribe a peak demand reduction target?  In other words, can the Commission prescribe a target for only one of the EDCs?  If so, </w:t>
      </w:r>
      <w:r w:rsidRPr="008D3AB2">
        <w:rPr>
          <w:sz w:val="24"/>
          <w:szCs w:val="24"/>
        </w:rPr>
        <w:t>should</w:t>
      </w:r>
      <w:r>
        <w:rPr>
          <w:sz w:val="24"/>
          <w:szCs w:val="24"/>
        </w:rPr>
        <w:t xml:space="preserve"> the Commission do so?</w:t>
      </w:r>
    </w:p>
    <w:p w:rsidR="00A8516D" w:rsidRDefault="00411BEC" w:rsidP="004A7FD3">
      <w:pPr>
        <w:pStyle w:val="ListParagraph"/>
        <w:numPr>
          <w:ilvl w:val="0"/>
          <w:numId w:val="24"/>
        </w:numPr>
        <w:rPr>
          <w:sz w:val="24"/>
          <w:szCs w:val="24"/>
        </w:rPr>
      </w:pPr>
      <w:r>
        <w:rPr>
          <w:sz w:val="24"/>
          <w:szCs w:val="24"/>
        </w:rPr>
        <w:t xml:space="preserve">If the SWE determines </w:t>
      </w:r>
      <w:r w:rsidR="002F1CB8">
        <w:rPr>
          <w:sz w:val="24"/>
          <w:szCs w:val="24"/>
        </w:rPr>
        <w:t xml:space="preserve">that </w:t>
      </w:r>
      <w:r>
        <w:rPr>
          <w:sz w:val="24"/>
          <w:szCs w:val="24"/>
        </w:rPr>
        <w:t xml:space="preserve">there is </w:t>
      </w:r>
      <w:r w:rsidR="002F1CB8">
        <w:rPr>
          <w:i/>
          <w:sz w:val="24"/>
          <w:szCs w:val="24"/>
        </w:rPr>
        <w:t>no</w:t>
      </w:r>
      <w:r>
        <w:rPr>
          <w:sz w:val="24"/>
          <w:szCs w:val="24"/>
        </w:rPr>
        <w:t xml:space="preserve"> cost-effective</w:t>
      </w:r>
      <w:r w:rsidR="006333CC">
        <w:rPr>
          <w:sz w:val="24"/>
          <w:szCs w:val="24"/>
        </w:rPr>
        <w:t xml:space="preserve"> peak demand reduction </w:t>
      </w:r>
      <w:r>
        <w:rPr>
          <w:sz w:val="24"/>
          <w:szCs w:val="24"/>
        </w:rPr>
        <w:t xml:space="preserve">potential within the </w:t>
      </w:r>
      <w:r w:rsidR="008D3AB2">
        <w:rPr>
          <w:sz w:val="24"/>
          <w:szCs w:val="24"/>
        </w:rPr>
        <w:t>Act 129 framework</w:t>
      </w:r>
      <w:r>
        <w:rPr>
          <w:sz w:val="24"/>
          <w:szCs w:val="24"/>
        </w:rPr>
        <w:t>, should the Commission again, as in Phase II, allow the EDCs to utilize all of their budgets for consumption reduction programs?</w:t>
      </w:r>
      <w:r w:rsidR="002F1CB8">
        <w:rPr>
          <w:sz w:val="24"/>
          <w:szCs w:val="24"/>
        </w:rPr>
        <w:t xml:space="preserve">  Should the EDCs again, as in Phase II, be allowed t</w:t>
      </w:r>
      <w:r w:rsidR="00BE7145">
        <w:rPr>
          <w:sz w:val="24"/>
          <w:szCs w:val="24"/>
        </w:rPr>
        <w:t>o</w:t>
      </w:r>
      <w:r w:rsidR="002F1CB8">
        <w:rPr>
          <w:sz w:val="24"/>
          <w:szCs w:val="24"/>
        </w:rPr>
        <w:t xml:space="preserve"> include voluntary peak demand reduction programs within their EE&amp;C plans, so long as those programs are cost-effective and the EDCs can still meet their consumption reduction requirements?</w:t>
      </w:r>
    </w:p>
    <w:p w:rsidR="00475E4A" w:rsidRDefault="00475E4A" w:rsidP="004A7FD3">
      <w:pPr>
        <w:ind w:left="720"/>
        <w:rPr>
          <w:sz w:val="24"/>
          <w:szCs w:val="24"/>
        </w:rPr>
      </w:pPr>
    </w:p>
    <w:p w:rsidR="00475E4A" w:rsidRPr="00475E4A" w:rsidRDefault="00475E4A" w:rsidP="00475E4A">
      <w:pPr>
        <w:rPr>
          <w:sz w:val="24"/>
          <w:szCs w:val="24"/>
        </w:rPr>
      </w:pPr>
      <w:r>
        <w:rPr>
          <w:sz w:val="24"/>
          <w:szCs w:val="24"/>
        </w:rPr>
        <w:tab/>
        <w:t>Again, recognizing that we still await the SWE’s final analysis regarding the cost-effective peak demand reduction potential within the Act 129 framework, we also welcome comments on any other issues related to the potential prescription of peak demand reduction targets for Phase III.</w:t>
      </w:r>
    </w:p>
    <w:p w:rsidR="00B35953" w:rsidRDefault="00B35953" w:rsidP="00B35953">
      <w:pPr>
        <w:ind w:firstLine="720"/>
        <w:rPr>
          <w:sz w:val="24"/>
          <w:szCs w:val="24"/>
        </w:rPr>
      </w:pPr>
    </w:p>
    <w:p w:rsidR="00B35953" w:rsidRDefault="00BC011F" w:rsidP="006F1347">
      <w:pPr>
        <w:ind w:left="1530" w:hanging="810"/>
        <w:rPr>
          <w:sz w:val="24"/>
          <w:szCs w:val="24"/>
        </w:rPr>
      </w:pPr>
      <w:r>
        <w:rPr>
          <w:b/>
          <w:sz w:val="24"/>
          <w:szCs w:val="24"/>
        </w:rPr>
        <w:t>3</w:t>
      </w:r>
      <w:r w:rsidR="00FE4266">
        <w:rPr>
          <w:b/>
          <w:sz w:val="24"/>
          <w:szCs w:val="24"/>
        </w:rPr>
        <w:t>.</w:t>
      </w:r>
      <w:r w:rsidR="00FE4266">
        <w:rPr>
          <w:b/>
          <w:sz w:val="24"/>
          <w:szCs w:val="24"/>
        </w:rPr>
        <w:tab/>
        <w:t xml:space="preserve">Inclusion of a </w:t>
      </w:r>
      <w:r w:rsidR="006F1347">
        <w:rPr>
          <w:b/>
          <w:sz w:val="24"/>
          <w:szCs w:val="24"/>
        </w:rPr>
        <w:t>Reduction Target Carve-out for the Government, Educational and Non-Profit Sector</w:t>
      </w:r>
    </w:p>
    <w:p w:rsidR="006F1347" w:rsidRDefault="006F1347" w:rsidP="006F1347">
      <w:pPr>
        <w:ind w:left="720" w:hanging="720"/>
        <w:rPr>
          <w:sz w:val="24"/>
          <w:szCs w:val="24"/>
        </w:rPr>
      </w:pPr>
    </w:p>
    <w:p w:rsidR="006F1347" w:rsidRDefault="006F1347" w:rsidP="006F1347">
      <w:pPr>
        <w:rPr>
          <w:sz w:val="24"/>
          <w:szCs w:val="24"/>
        </w:rPr>
      </w:pPr>
      <w:r>
        <w:rPr>
          <w:sz w:val="24"/>
          <w:szCs w:val="24"/>
        </w:rPr>
        <w:tab/>
        <w:t xml:space="preserve">In Phase I, Act 129 required each EE&amp;C Plan to obtain at least </w:t>
      </w:r>
      <w:r w:rsidR="00573B21">
        <w:rPr>
          <w:sz w:val="24"/>
          <w:szCs w:val="24"/>
        </w:rPr>
        <w:t>ten percent (</w:t>
      </w:r>
      <w:r>
        <w:rPr>
          <w:sz w:val="24"/>
          <w:szCs w:val="24"/>
        </w:rPr>
        <w:t>10%</w:t>
      </w:r>
      <w:r w:rsidR="00573B21">
        <w:rPr>
          <w:sz w:val="24"/>
          <w:szCs w:val="24"/>
        </w:rPr>
        <w:t>)</w:t>
      </w:r>
      <w:r>
        <w:rPr>
          <w:sz w:val="24"/>
          <w:szCs w:val="24"/>
        </w:rPr>
        <w:t xml:space="preserve"> of the required reductions in consumption and peak demand from units of Federal, State and Local government, including municipalities, school districts, institutions of higher education and non-profit entities</w:t>
      </w:r>
      <w:r w:rsidR="00A753B3">
        <w:rPr>
          <w:sz w:val="24"/>
          <w:szCs w:val="24"/>
        </w:rPr>
        <w:t xml:space="preserve"> (government/educational/non-profit sector or G/E/NP sector)</w:t>
      </w:r>
      <w:r>
        <w:rPr>
          <w:sz w:val="24"/>
          <w:szCs w:val="24"/>
        </w:rPr>
        <w:t>.</w:t>
      </w:r>
      <w:r>
        <w:rPr>
          <w:rStyle w:val="FootnoteReference"/>
          <w:sz w:val="24"/>
          <w:szCs w:val="24"/>
        </w:rPr>
        <w:footnoteReference w:id="10"/>
      </w:r>
      <w:r>
        <w:rPr>
          <w:sz w:val="24"/>
          <w:szCs w:val="24"/>
        </w:rPr>
        <w:t xml:space="preserve">  In implementing Phase II of the EE&amp;C Program, the Commission</w:t>
      </w:r>
      <w:r w:rsidR="00573B21">
        <w:rPr>
          <w:sz w:val="24"/>
          <w:szCs w:val="24"/>
        </w:rPr>
        <w:t xml:space="preserve"> again required the EDCs to obtain a minimum of 10% of all consumption reduction requirements from the government/educational/non-profit</w:t>
      </w:r>
      <w:r w:rsidR="00A753B3">
        <w:rPr>
          <w:sz w:val="24"/>
          <w:szCs w:val="24"/>
        </w:rPr>
        <w:t xml:space="preserve"> </w:t>
      </w:r>
      <w:r w:rsidR="00573B21">
        <w:rPr>
          <w:sz w:val="24"/>
          <w:szCs w:val="24"/>
        </w:rPr>
        <w:lastRenderedPageBreak/>
        <w:t>sector.</w:t>
      </w:r>
      <w:r w:rsidR="00573B21">
        <w:rPr>
          <w:rStyle w:val="FootnoteReference"/>
          <w:sz w:val="24"/>
          <w:szCs w:val="24"/>
        </w:rPr>
        <w:footnoteReference w:id="11"/>
      </w:r>
      <w:r w:rsidR="009B0CBC">
        <w:rPr>
          <w:sz w:val="24"/>
          <w:szCs w:val="24"/>
        </w:rPr>
        <w:t xml:space="preserve">  The Commission also encouraged the EDCs to give special emphasis and consideration to multifamily housing and to reach out to the Pennsylvania Housing Finance Agency (PHFA) for assistance and coordination in these efforts.</w:t>
      </w:r>
      <w:r w:rsidR="009B0CBC">
        <w:rPr>
          <w:rStyle w:val="FootnoteReference"/>
          <w:sz w:val="24"/>
          <w:szCs w:val="24"/>
        </w:rPr>
        <w:footnoteReference w:id="12"/>
      </w:r>
    </w:p>
    <w:p w:rsidR="00B35953" w:rsidRDefault="00B35953" w:rsidP="00B35953">
      <w:pPr>
        <w:ind w:firstLine="720"/>
        <w:rPr>
          <w:sz w:val="24"/>
          <w:szCs w:val="24"/>
        </w:rPr>
      </w:pPr>
    </w:p>
    <w:p w:rsidR="00573B21" w:rsidRDefault="00573B21" w:rsidP="00B35953">
      <w:pPr>
        <w:ind w:firstLine="720"/>
        <w:rPr>
          <w:sz w:val="24"/>
          <w:szCs w:val="24"/>
        </w:rPr>
      </w:pPr>
      <w:r>
        <w:rPr>
          <w:sz w:val="24"/>
          <w:szCs w:val="24"/>
        </w:rPr>
        <w:t xml:space="preserve">The Commission has directed the SWE to determine, in both </w:t>
      </w:r>
      <w:r w:rsidR="005C47E2">
        <w:rPr>
          <w:sz w:val="24"/>
          <w:szCs w:val="24"/>
        </w:rPr>
        <w:t xml:space="preserve">the </w:t>
      </w:r>
      <w:r w:rsidR="00A753B3">
        <w:rPr>
          <w:sz w:val="24"/>
          <w:szCs w:val="24"/>
        </w:rPr>
        <w:t xml:space="preserve">energy efficiency and </w:t>
      </w:r>
      <w:r w:rsidR="005C47E2">
        <w:rPr>
          <w:sz w:val="24"/>
          <w:szCs w:val="24"/>
        </w:rPr>
        <w:t xml:space="preserve">the </w:t>
      </w:r>
      <w:r w:rsidR="00A753B3">
        <w:rPr>
          <w:sz w:val="24"/>
          <w:szCs w:val="24"/>
        </w:rPr>
        <w:t>demand response potential studies, the potential for consumption and peak demand reductions in the G/E/NP sector.  However, we request feedback on the following questions in advance of the SWE’s determinations regarding G/E/NP potential:</w:t>
      </w:r>
    </w:p>
    <w:p w:rsidR="00BE7145" w:rsidRDefault="00BE7145" w:rsidP="00B35953">
      <w:pPr>
        <w:ind w:firstLine="720"/>
        <w:rPr>
          <w:sz w:val="24"/>
          <w:szCs w:val="24"/>
        </w:rPr>
      </w:pPr>
    </w:p>
    <w:p w:rsidR="00B27A7E" w:rsidRDefault="00A753B3" w:rsidP="004A7FD3">
      <w:pPr>
        <w:pStyle w:val="ListParagraph"/>
        <w:numPr>
          <w:ilvl w:val="0"/>
          <w:numId w:val="28"/>
        </w:numPr>
        <w:ind w:left="1440"/>
        <w:rPr>
          <w:sz w:val="24"/>
          <w:szCs w:val="24"/>
        </w:rPr>
      </w:pPr>
      <w:r>
        <w:rPr>
          <w:sz w:val="24"/>
          <w:szCs w:val="24"/>
        </w:rPr>
        <w:t>If the SWE determines that there is cost-effective consumption and/or peak demand reduction potential in the G/E/NP sector within the Act 129 framework, should the Commission include a carve-out for reductions in that sector?</w:t>
      </w:r>
      <w:r w:rsidR="00B27A7E">
        <w:rPr>
          <w:sz w:val="24"/>
          <w:szCs w:val="24"/>
        </w:rPr>
        <w:t xml:space="preserve">  </w:t>
      </w:r>
    </w:p>
    <w:p w:rsidR="00BF57A2" w:rsidRDefault="00B27A7E" w:rsidP="004A7FD3">
      <w:pPr>
        <w:pStyle w:val="ListParagraph"/>
        <w:numPr>
          <w:ilvl w:val="0"/>
          <w:numId w:val="28"/>
        </w:numPr>
        <w:ind w:left="1440"/>
        <w:rPr>
          <w:sz w:val="24"/>
          <w:szCs w:val="24"/>
        </w:rPr>
      </w:pPr>
      <w:r>
        <w:rPr>
          <w:sz w:val="24"/>
          <w:szCs w:val="24"/>
        </w:rPr>
        <w:t>If so, should it be:</w:t>
      </w:r>
    </w:p>
    <w:p w:rsidR="00B27A7E" w:rsidRDefault="00BF57A2" w:rsidP="004A7FD3">
      <w:pPr>
        <w:pStyle w:val="ListParagraph"/>
        <w:numPr>
          <w:ilvl w:val="1"/>
          <w:numId w:val="29"/>
        </w:numPr>
        <w:ind w:left="1800"/>
        <w:rPr>
          <w:sz w:val="24"/>
          <w:szCs w:val="24"/>
        </w:rPr>
      </w:pPr>
      <w:r>
        <w:rPr>
          <w:sz w:val="24"/>
          <w:szCs w:val="24"/>
        </w:rPr>
        <w:t>The same 10% carve-out as prescribed in Phases I and II?</w:t>
      </w:r>
      <w:r w:rsidR="00B27A7E">
        <w:rPr>
          <w:sz w:val="24"/>
          <w:szCs w:val="24"/>
        </w:rPr>
        <w:t xml:space="preserve"> </w:t>
      </w:r>
    </w:p>
    <w:p w:rsidR="00B27A7E" w:rsidRPr="00BE7145" w:rsidRDefault="00B27A7E" w:rsidP="004A7FD3">
      <w:pPr>
        <w:pStyle w:val="ListParagraph"/>
        <w:numPr>
          <w:ilvl w:val="1"/>
          <w:numId w:val="29"/>
        </w:numPr>
        <w:ind w:left="1800"/>
        <w:rPr>
          <w:sz w:val="24"/>
          <w:szCs w:val="24"/>
        </w:rPr>
      </w:pPr>
      <w:r w:rsidRPr="00BE7145">
        <w:rPr>
          <w:sz w:val="24"/>
          <w:szCs w:val="24"/>
        </w:rPr>
        <w:t>A percentage of the overall savings, as in Phases I and II?</w:t>
      </w:r>
    </w:p>
    <w:p w:rsidR="00B27A7E" w:rsidRDefault="00275C42" w:rsidP="004A7FD3">
      <w:pPr>
        <w:pStyle w:val="ListParagraph"/>
        <w:numPr>
          <w:ilvl w:val="1"/>
          <w:numId w:val="29"/>
        </w:numPr>
        <w:ind w:left="1800"/>
        <w:rPr>
          <w:sz w:val="24"/>
          <w:szCs w:val="24"/>
        </w:rPr>
      </w:pPr>
      <w:r w:rsidRPr="00275C42">
        <w:rPr>
          <w:sz w:val="24"/>
          <w:szCs w:val="24"/>
        </w:rPr>
        <w:t>A sector carve-out based on that sector’s potential in each EDC’s service territory?  This option may result in different savings carve-outs for each EDC.</w:t>
      </w:r>
    </w:p>
    <w:p w:rsidR="009B0CBC" w:rsidRPr="00275C42" w:rsidRDefault="009B0CBC" w:rsidP="004A7FD3">
      <w:pPr>
        <w:pStyle w:val="ListParagraph"/>
        <w:numPr>
          <w:ilvl w:val="1"/>
          <w:numId w:val="29"/>
        </w:numPr>
        <w:ind w:left="1800"/>
        <w:rPr>
          <w:sz w:val="24"/>
          <w:szCs w:val="24"/>
        </w:rPr>
      </w:pPr>
      <w:r>
        <w:rPr>
          <w:sz w:val="24"/>
          <w:szCs w:val="24"/>
        </w:rPr>
        <w:t>Some other methodology?</w:t>
      </w:r>
    </w:p>
    <w:p w:rsidR="00A753B3" w:rsidRPr="00A753B3" w:rsidRDefault="00A753B3" w:rsidP="004A7FD3">
      <w:pPr>
        <w:pStyle w:val="ListParagraph"/>
        <w:numPr>
          <w:ilvl w:val="0"/>
          <w:numId w:val="28"/>
        </w:numPr>
        <w:ind w:left="1440"/>
        <w:rPr>
          <w:sz w:val="24"/>
          <w:szCs w:val="24"/>
        </w:rPr>
      </w:pPr>
      <w:r>
        <w:rPr>
          <w:sz w:val="24"/>
          <w:szCs w:val="24"/>
        </w:rPr>
        <w:t>If there is a G/E/NP carve-out, should the Commission again, as in Phase II, encourage the EDCs to give special emphasis and consideration to multifamily housing and to reach out to PHFA for assistance and coordination in these efforts?  If so, should the Commission require multifamily properties to be owned by a non-profit or government entity to qualify under the G/E/NP sector</w:t>
      </w:r>
      <w:r w:rsidR="005C47E2">
        <w:rPr>
          <w:sz w:val="24"/>
          <w:szCs w:val="24"/>
        </w:rPr>
        <w:t>,</w:t>
      </w:r>
      <w:r>
        <w:rPr>
          <w:sz w:val="24"/>
          <w:szCs w:val="24"/>
        </w:rPr>
        <w:t xml:space="preserve"> or should we simply require, as in Phase II, that the properties be financed under a Federal or State affordable housing program and have long-term use restrictions in place?</w:t>
      </w:r>
    </w:p>
    <w:p w:rsidR="00B35953" w:rsidRDefault="00B35953" w:rsidP="00B35953">
      <w:pPr>
        <w:ind w:firstLine="720"/>
        <w:rPr>
          <w:sz w:val="24"/>
          <w:szCs w:val="24"/>
        </w:rPr>
      </w:pPr>
    </w:p>
    <w:p w:rsidR="009B0CBC" w:rsidRDefault="00BC011F" w:rsidP="009B0CBC">
      <w:pPr>
        <w:ind w:left="1530" w:hanging="810"/>
        <w:rPr>
          <w:sz w:val="24"/>
          <w:szCs w:val="24"/>
        </w:rPr>
      </w:pPr>
      <w:r>
        <w:rPr>
          <w:b/>
          <w:sz w:val="24"/>
          <w:szCs w:val="24"/>
        </w:rPr>
        <w:t>4</w:t>
      </w:r>
      <w:r w:rsidR="00B27A7E">
        <w:rPr>
          <w:b/>
          <w:sz w:val="24"/>
          <w:szCs w:val="24"/>
        </w:rPr>
        <w:t>.</w:t>
      </w:r>
      <w:r w:rsidR="00B27A7E">
        <w:rPr>
          <w:b/>
          <w:sz w:val="24"/>
          <w:szCs w:val="24"/>
        </w:rPr>
        <w:tab/>
      </w:r>
      <w:r w:rsidR="009B0CBC">
        <w:rPr>
          <w:b/>
          <w:sz w:val="24"/>
          <w:szCs w:val="24"/>
        </w:rPr>
        <w:t>Inclusion of a Reduction Target Carve-out for the Low-Income Sector</w:t>
      </w:r>
    </w:p>
    <w:p w:rsidR="00B35953" w:rsidRPr="00B27A7E" w:rsidRDefault="00B35953" w:rsidP="00B35953">
      <w:pPr>
        <w:ind w:firstLine="720"/>
        <w:rPr>
          <w:b/>
          <w:sz w:val="24"/>
          <w:szCs w:val="24"/>
        </w:rPr>
      </w:pPr>
    </w:p>
    <w:p w:rsidR="00B35953" w:rsidRDefault="009B0CBC" w:rsidP="00B35953">
      <w:pPr>
        <w:ind w:firstLine="720"/>
        <w:rPr>
          <w:sz w:val="24"/>
          <w:szCs w:val="24"/>
        </w:rPr>
      </w:pPr>
      <w:r>
        <w:rPr>
          <w:sz w:val="24"/>
          <w:szCs w:val="24"/>
        </w:rPr>
        <w:t>In Phase I, Act 129 required each EE&amp;C Plan to include specific measures for households at or below 150% of the federal poverty income guidelines (FPIG), in proportion to that sector’s share of the total energy usage in the EDC’s service territory.</w:t>
      </w:r>
      <w:r>
        <w:rPr>
          <w:rStyle w:val="FootnoteReference"/>
          <w:sz w:val="24"/>
          <w:szCs w:val="24"/>
        </w:rPr>
        <w:footnoteReference w:id="13"/>
      </w:r>
      <w:r>
        <w:rPr>
          <w:sz w:val="24"/>
          <w:szCs w:val="24"/>
        </w:rPr>
        <w:t xml:space="preserve">  In implementing Phase II of the EE&amp;C Program, the Commission required the EDCs to obtain a minimum of four-and-a-half percent (4.5%) of consumption reductions from the low-income sector.</w:t>
      </w:r>
      <w:r>
        <w:rPr>
          <w:rStyle w:val="FootnoteReference"/>
          <w:sz w:val="24"/>
          <w:szCs w:val="24"/>
        </w:rPr>
        <w:footnoteReference w:id="14"/>
      </w:r>
      <w:r>
        <w:rPr>
          <w:sz w:val="24"/>
          <w:szCs w:val="24"/>
        </w:rPr>
        <w:t xml:space="preserve">  Additionally, the Commission permitted the EDCs to include savings from multifamily housing, up to the percentage of customers living in the multifamily housing with incomes at or below 150% of the FPIG, towards the 4.5% goal.</w:t>
      </w:r>
      <w:r>
        <w:rPr>
          <w:rStyle w:val="FootnoteReference"/>
          <w:sz w:val="24"/>
          <w:szCs w:val="24"/>
        </w:rPr>
        <w:footnoteReference w:id="15"/>
      </w:r>
    </w:p>
    <w:p w:rsidR="009B0CBC" w:rsidRDefault="009B0CBC" w:rsidP="00B35953">
      <w:pPr>
        <w:ind w:firstLine="720"/>
        <w:rPr>
          <w:sz w:val="24"/>
          <w:szCs w:val="24"/>
        </w:rPr>
      </w:pPr>
    </w:p>
    <w:p w:rsidR="009B0CBC" w:rsidRDefault="009B0CBC" w:rsidP="009B0CBC">
      <w:pPr>
        <w:ind w:firstLine="720"/>
        <w:rPr>
          <w:sz w:val="24"/>
          <w:szCs w:val="24"/>
        </w:rPr>
      </w:pPr>
      <w:r>
        <w:rPr>
          <w:sz w:val="24"/>
          <w:szCs w:val="24"/>
        </w:rPr>
        <w:t xml:space="preserve">The Commission has directed the SWE to determine, in both its energy efficiency and demand response potential studies, the potential for consumption and peak demand reductions in </w:t>
      </w:r>
      <w:r>
        <w:rPr>
          <w:sz w:val="24"/>
          <w:szCs w:val="24"/>
        </w:rPr>
        <w:lastRenderedPageBreak/>
        <w:t>the low-income sector.  However, we request feedback on the following questions in advance of the SWE’s determinations regarding low-income potential:</w:t>
      </w:r>
    </w:p>
    <w:p w:rsidR="009B0CBC" w:rsidRDefault="009B0CBC" w:rsidP="00B35953">
      <w:pPr>
        <w:ind w:firstLine="720"/>
        <w:rPr>
          <w:sz w:val="24"/>
          <w:szCs w:val="24"/>
        </w:rPr>
      </w:pPr>
    </w:p>
    <w:p w:rsidR="009B0CBC" w:rsidRDefault="009B0CBC" w:rsidP="00F55E9B">
      <w:pPr>
        <w:pStyle w:val="ListParagraph"/>
        <w:numPr>
          <w:ilvl w:val="0"/>
          <w:numId w:val="30"/>
        </w:numPr>
        <w:ind w:left="1440"/>
        <w:rPr>
          <w:sz w:val="24"/>
          <w:szCs w:val="24"/>
        </w:rPr>
      </w:pPr>
      <w:r>
        <w:rPr>
          <w:sz w:val="24"/>
          <w:szCs w:val="24"/>
        </w:rPr>
        <w:t xml:space="preserve">If the SWE determines that there is cost-effective consumption and/or peak demand reduction potential in the low-income sector within the Act 129 framework, should the Commission include a carve-out for reductions in that sector?  </w:t>
      </w:r>
    </w:p>
    <w:p w:rsidR="009B0CBC" w:rsidRDefault="009B0CBC" w:rsidP="00F55E9B">
      <w:pPr>
        <w:pStyle w:val="ListParagraph"/>
        <w:numPr>
          <w:ilvl w:val="0"/>
          <w:numId w:val="30"/>
        </w:numPr>
        <w:ind w:left="1440"/>
        <w:rPr>
          <w:sz w:val="24"/>
          <w:szCs w:val="24"/>
        </w:rPr>
      </w:pPr>
      <w:r>
        <w:rPr>
          <w:sz w:val="24"/>
          <w:szCs w:val="24"/>
        </w:rPr>
        <w:t>If so, should it be:</w:t>
      </w:r>
    </w:p>
    <w:p w:rsidR="009B0CBC" w:rsidRDefault="009B0CBC" w:rsidP="00F55E9B">
      <w:pPr>
        <w:pStyle w:val="ListParagraph"/>
        <w:numPr>
          <w:ilvl w:val="1"/>
          <w:numId w:val="31"/>
        </w:numPr>
        <w:ind w:left="1800"/>
        <w:rPr>
          <w:sz w:val="24"/>
          <w:szCs w:val="24"/>
        </w:rPr>
      </w:pPr>
      <w:r>
        <w:rPr>
          <w:sz w:val="24"/>
          <w:szCs w:val="24"/>
        </w:rPr>
        <w:t>The proportionate number of measures requirement as prescribed in Phase I?</w:t>
      </w:r>
    </w:p>
    <w:p w:rsidR="009B0CBC" w:rsidRDefault="009B0CBC" w:rsidP="00F55E9B">
      <w:pPr>
        <w:pStyle w:val="ListParagraph"/>
        <w:numPr>
          <w:ilvl w:val="1"/>
          <w:numId w:val="31"/>
        </w:numPr>
        <w:ind w:left="1800"/>
        <w:rPr>
          <w:sz w:val="24"/>
          <w:szCs w:val="24"/>
        </w:rPr>
      </w:pPr>
      <w:r>
        <w:rPr>
          <w:sz w:val="24"/>
          <w:szCs w:val="24"/>
        </w:rPr>
        <w:t xml:space="preserve">The same 4.5% savings carve-out as prescribed in Phase II? </w:t>
      </w:r>
    </w:p>
    <w:p w:rsidR="009B0CBC" w:rsidRDefault="009B0CBC" w:rsidP="00F55E9B">
      <w:pPr>
        <w:pStyle w:val="ListParagraph"/>
        <w:numPr>
          <w:ilvl w:val="1"/>
          <w:numId w:val="31"/>
        </w:numPr>
        <w:ind w:left="1800"/>
        <w:rPr>
          <w:sz w:val="24"/>
          <w:szCs w:val="24"/>
        </w:rPr>
      </w:pPr>
      <w:r>
        <w:rPr>
          <w:sz w:val="24"/>
          <w:szCs w:val="24"/>
        </w:rPr>
        <w:t>A different percentage of the overall savings?</w:t>
      </w:r>
    </w:p>
    <w:p w:rsidR="009B0CBC" w:rsidRPr="003610CA" w:rsidRDefault="009B0CBC" w:rsidP="00F55E9B">
      <w:pPr>
        <w:pStyle w:val="ListParagraph"/>
        <w:numPr>
          <w:ilvl w:val="1"/>
          <w:numId w:val="31"/>
        </w:numPr>
        <w:ind w:left="1800"/>
        <w:rPr>
          <w:sz w:val="24"/>
          <w:szCs w:val="24"/>
        </w:rPr>
      </w:pPr>
      <w:r w:rsidRPr="005C47E2">
        <w:rPr>
          <w:sz w:val="24"/>
          <w:szCs w:val="24"/>
        </w:rPr>
        <w:t>A sector carve-out based on that sector’s potential in each EDC’s service territory?  This option may result in different sector savings carve-outs for each EDC.</w:t>
      </w:r>
    </w:p>
    <w:p w:rsidR="009B0CBC" w:rsidRPr="00275C42" w:rsidRDefault="009B0CBC" w:rsidP="00F55E9B">
      <w:pPr>
        <w:pStyle w:val="ListParagraph"/>
        <w:numPr>
          <w:ilvl w:val="1"/>
          <w:numId w:val="31"/>
        </w:numPr>
        <w:ind w:left="1800"/>
        <w:rPr>
          <w:sz w:val="24"/>
          <w:szCs w:val="24"/>
        </w:rPr>
      </w:pPr>
      <w:r>
        <w:rPr>
          <w:sz w:val="24"/>
          <w:szCs w:val="24"/>
        </w:rPr>
        <w:t>Some other methodology?</w:t>
      </w:r>
    </w:p>
    <w:p w:rsidR="00304047" w:rsidRDefault="009B0CBC" w:rsidP="00F55E9B">
      <w:pPr>
        <w:pStyle w:val="ListParagraph"/>
        <w:numPr>
          <w:ilvl w:val="0"/>
          <w:numId w:val="30"/>
        </w:numPr>
        <w:ind w:left="1440"/>
        <w:rPr>
          <w:sz w:val="24"/>
          <w:szCs w:val="24"/>
        </w:rPr>
      </w:pPr>
      <w:r>
        <w:rPr>
          <w:sz w:val="24"/>
          <w:szCs w:val="24"/>
        </w:rPr>
        <w:t xml:space="preserve">If there is a low-income carve-out, should the Commission again, as in Phase II, </w:t>
      </w:r>
      <w:r w:rsidR="002E5123">
        <w:rPr>
          <w:sz w:val="24"/>
          <w:szCs w:val="24"/>
        </w:rPr>
        <w:t>allow the EDCs to include savings from multifamily housing, up to the percentage of customers living in the multifamily housing with incomes at or below 150% of the FPIG, toward the goal?</w:t>
      </w:r>
    </w:p>
    <w:p w:rsidR="00304047" w:rsidRDefault="00304047" w:rsidP="00304047">
      <w:pPr>
        <w:rPr>
          <w:sz w:val="24"/>
          <w:szCs w:val="24"/>
        </w:rPr>
      </w:pPr>
    </w:p>
    <w:p w:rsidR="00304047" w:rsidRDefault="00304047" w:rsidP="00304047">
      <w:pPr>
        <w:rPr>
          <w:b/>
          <w:sz w:val="24"/>
          <w:szCs w:val="24"/>
        </w:rPr>
      </w:pPr>
      <w:r>
        <w:rPr>
          <w:sz w:val="24"/>
          <w:szCs w:val="24"/>
        </w:rPr>
        <w:tab/>
      </w:r>
      <w:r w:rsidR="00BC011F">
        <w:rPr>
          <w:b/>
          <w:sz w:val="24"/>
          <w:szCs w:val="24"/>
        </w:rPr>
        <w:t>5</w:t>
      </w:r>
      <w:r>
        <w:rPr>
          <w:b/>
          <w:sz w:val="24"/>
          <w:szCs w:val="24"/>
        </w:rPr>
        <w:t>.</w:t>
      </w:r>
      <w:r>
        <w:rPr>
          <w:b/>
          <w:sz w:val="24"/>
          <w:szCs w:val="24"/>
        </w:rPr>
        <w:tab/>
        <w:t>Inclusion of Whole-House Measures</w:t>
      </w:r>
      <w:r>
        <w:rPr>
          <w:b/>
          <w:sz w:val="24"/>
          <w:szCs w:val="24"/>
        </w:rPr>
        <w:tab/>
      </w:r>
    </w:p>
    <w:p w:rsidR="00304047" w:rsidRDefault="00304047" w:rsidP="00304047">
      <w:pPr>
        <w:rPr>
          <w:b/>
          <w:sz w:val="24"/>
          <w:szCs w:val="24"/>
        </w:rPr>
      </w:pPr>
    </w:p>
    <w:p w:rsidR="00304047" w:rsidRPr="00304047" w:rsidRDefault="00304047" w:rsidP="00304047">
      <w:pPr>
        <w:rPr>
          <w:sz w:val="24"/>
          <w:szCs w:val="24"/>
        </w:rPr>
      </w:pPr>
      <w:r>
        <w:rPr>
          <w:b/>
          <w:sz w:val="24"/>
          <w:szCs w:val="24"/>
        </w:rPr>
        <w:tab/>
      </w:r>
      <w:r>
        <w:rPr>
          <w:sz w:val="24"/>
          <w:szCs w:val="24"/>
        </w:rPr>
        <w:t xml:space="preserve">In its Phase II Implementation Order, the Commission recognized the benefits of more comprehensive measures, including whole house treatments, and, therefore, required the EDCs to develop EE&amp;C </w:t>
      </w:r>
      <w:r w:rsidR="005C47E2">
        <w:rPr>
          <w:sz w:val="24"/>
          <w:szCs w:val="24"/>
        </w:rPr>
        <w:t>p</w:t>
      </w:r>
      <w:r>
        <w:rPr>
          <w:sz w:val="24"/>
          <w:szCs w:val="24"/>
        </w:rPr>
        <w:t>lans that contained at least one comprehensive measure for residential and small commercial rate classes.</w:t>
      </w:r>
      <w:r>
        <w:rPr>
          <w:rStyle w:val="FootnoteReference"/>
          <w:sz w:val="24"/>
          <w:szCs w:val="24"/>
        </w:rPr>
        <w:footnoteReference w:id="16"/>
      </w:r>
      <w:r>
        <w:rPr>
          <w:sz w:val="24"/>
          <w:szCs w:val="24"/>
        </w:rPr>
        <w:t xml:space="preserve">  Should the Commission </w:t>
      </w:r>
      <w:r w:rsidR="00447D68">
        <w:rPr>
          <w:sz w:val="24"/>
          <w:szCs w:val="24"/>
        </w:rPr>
        <w:t>provide such a</w:t>
      </w:r>
      <w:r>
        <w:rPr>
          <w:sz w:val="24"/>
          <w:szCs w:val="24"/>
        </w:rPr>
        <w:t xml:space="preserve"> directive in Phase III?  If so, should it be amended to require more than one measure?</w:t>
      </w:r>
    </w:p>
    <w:p w:rsidR="009B0CBC" w:rsidRDefault="009B0CBC" w:rsidP="009B0CBC">
      <w:pPr>
        <w:rPr>
          <w:sz w:val="24"/>
          <w:szCs w:val="24"/>
        </w:rPr>
      </w:pPr>
    </w:p>
    <w:p w:rsidR="002615BE" w:rsidRDefault="00304047" w:rsidP="00572556">
      <w:pPr>
        <w:rPr>
          <w:sz w:val="24"/>
          <w:szCs w:val="24"/>
        </w:rPr>
      </w:pPr>
      <w:r>
        <w:rPr>
          <w:sz w:val="24"/>
          <w:szCs w:val="24"/>
        </w:rPr>
        <w:tab/>
      </w:r>
    </w:p>
    <w:p w:rsidR="002615BE" w:rsidRDefault="00572556" w:rsidP="00B35953">
      <w:pPr>
        <w:ind w:firstLine="720"/>
        <w:rPr>
          <w:b/>
          <w:sz w:val="24"/>
          <w:szCs w:val="24"/>
        </w:rPr>
      </w:pPr>
      <w:r>
        <w:rPr>
          <w:b/>
          <w:sz w:val="24"/>
          <w:szCs w:val="24"/>
        </w:rPr>
        <w:t>6</w:t>
      </w:r>
      <w:r w:rsidR="002615BE">
        <w:rPr>
          <w:b/>
          <w:sz w:val="24"/>
          <w:szCs w:val="24"/>
        </w:rPr>
        <w:t>.</w:t>
      </w:r>
      <w:r w:rsidR="002615BE">
        <w:rPr>
          <w:b/>
          <w:sz w:val="24"/>
          <w:szCs w:val="24"/>
        </w:rPr>
        <w:tab/>
        <w:t>EDCs’ Phase III Budgets</w:t>
      </w:r>
    </w:p>
    <w:p w:rsidR="002615BE" w:rsidRDefault="002615BE" w:rsidP="00B35953">
      <w:pPr>
        <w:ind w:firstLine="720"/>
        <w:rPr>
          <w:b/>
          <w:sz w:val="24"/>
          <w:szCs w:val="24"/>
        </w:rPr>
      </w:pPr>
    </w:p>
    <w:p w:rsidR="002615BE" w:rsidRDefault="002615BE" w:rsidP="00B35953">
      <w:pPr>
        <w:ind w:firstLine="720"/>
        <w:rPr>
          <w:sz w:val="24"/>
          <w:szCs w:val="24"/>
        </w:rPr>
      </w:pPr>
      <w:r>
        <w:rPr>
          <w:sz w:val="24"/>
          <w:szCs w:val="24"/>
        </w:rPr>
        <w:tab/>
      </w:r>
      <w:r>
        <w:rPr>
          <w:b/>
          <w:sz w:val="24"/>
          <w:szCs w:val="24"/>
        </w:rPr>
        <w:t>a.</w:t>
      </w:r>
      <w:r>
        <w:rPr>
          <w:b/>
          <w:sz w:val="24"/>
          <w:szCs w:val="24"/>
        </w:rPr>
        <w:tab/>
        <w:t>Accumulated Savings in Excess of Reduction Requirements</w:t>
      </w:r>
    </w:p>
    <w:p w:rsidR="002615BE" w:rsidRDefault="002615BE" w:rsidP="00B35953">
      <w:pPr>
        <w:ind w:firstLine="720"/>
        <w:rPr>
          <w:sz w:val="24"/>
          <w:szCs w:val="24"/>
        </w:rPr>
      </w:pPr>
    </w:p>
    <w:p w:rsidR="009131B3" w:rsidRDefault="002615BE" w:rsidP="00B35953">
      <w:pPr>
        <w:ind w:firstLine="720"/>
        <w:rPr>
          <w:sz w:val="24"/>
          <w:szCs w:val="24"/>
        </w:rPr>
      </w:pPr>
      <w:r>
        <w:rPr>
          <w:sz w:val="24"/>
          <w:szCs w:val="24"/>
        </w:rPr>
        <w:t xml:space="preserve">In implementing Phase II, the Commission recognized that many of the EDCs had surpassed their Phase I consumption reduction requirement of 3% before the </w:t>
      </w:r>
      <w:r w:rsidR="0049749C">
        <w:rPr>
          <w:sz w:val="24"/>
          <w:szCs w:val="24"/>
        </w:rPr>
        <w:t xml:space="preserve">end </w:t>
      </w:r>
      <w:r>
        <w:rPr>
          <w:sz w:val="24"/>
          <w:szCs w:val="24"/>
        </w:rPr>
        <w:t>of the Phase, while still having budget available for the continued provision of measures.  The Commission allowed the EDCs to continue spending their budgets to provide Phase I measures until the expiration of Phase I.  We also allowed those consumption reductions in excess of the 3% goal to be applied to the EDCs’ Phase II targets.</w:t>
      </w:r>
      <w:r w:rsidR="009131B3">
        <w:rPr>
          <w:rStyle w:val="FootnoteReference"/>
          <w:sz w:val="24"/>
          <w:szCs w:val="24"/>
        </w:rPr>
        <w:footnoteReference w:id="17"/>
      </w:r>
      <w:r w:rsidR="009131B3">
        <w:rPr>
          <w:sz w:val="24"/>
          <w:szCs w:val="24"/>
        </w:rPr>
        <w:t xml:space="preserve">  The Commission requests comments on such procedures going into Phase III.  Specifically:</w:t>
      </w:r>
    </w:p>
    <w:p w:rsidR="005C47E2" w:rsidRDefault="005C47E2" w:rsidP="00B35953">
      <w:pPr>
        <w:ind w:firstLine="720"/>
        <w:rPr>
          <w:sz w:val="24"/>
          <w:szCs w:val="24"/>
        </w:rPr>
      </w:pPr>
    </w:p>
    <w:p w:rsidR="009131B3" w:rsidRDefault="009131B3" w:rsidP="00F55E9B">
      <w:pPr>
        <w:pStyle w:val="ListParagraph"/>
        <w:numPr>
          <w:ilvl w:val="0"/>
          <w:numId w:val="34"/>
        </w:numPr>
        <w:ind w:left="1440"/>
        <w:rPr>
          <w:sz w:val="24"/>
          <w:szCs w:val="24"/>
        </w:rPr>
      </w:pPr>
      <w:r w:rsidRPr="009131B3">
        <w:rPr>
          <w:sz w:val="24"/>
          <w:szCs w:val="24"/>
        </w:rPr>
        <w:t xml:space="preserve">Should the Commission allow for the continued spending of Phase II budgets after targets are met?  </w:t>
      </w:r>
    </w:p>
    <w:p w:rsidR="009131B3" w:rsidRDefault="009131B3" w:rsidP="00F55E9B">
      <w:pPr>
        <w:pStyle w:val="ListParagraph"/>
        <w:numPr>
          <w:ilvl w:val="0"/>
          <w:numId w:val="34"/>
        </w:numPr>
        <w:ind w:left="1440"/>
        <w:rPr>
          <w:sz w:val="24"/>
          <w:szCs w:val="24"/>
        </w:rPr>
      </w:pPr>
      <w:r w:rsidRPr="009131B3">
        <w:rPr>
          <w:sz w:val="24"/>
          <w:szCs w:val="24"/>
        </w:rPr>
        <w:lastRenderedPageBreak/>
        <w:t xml:space="preserve">Should we allow the EDCs to apply any excess consumption reductions from Phase II towards their Phase III consumption reduction </w:t>
      </w:r>
      <w:r>
        <w:rPr>
          <w:sz w:val="24"/>
          <w:szCs w:val="24"/>
        </w:rPr>
        <w:t>requirements?</w:t>
      </w:r>
    </w:p>
    <w:p w:rsidR="009131B3" w:rsidRDefault="009131B3" w:rsidP="009131B3">
      <w:pPr>
        <w:pStyle w:val="ListParagraph"/>
        <w:ind w:left="1080"/>
        <w:rPr>
          <w:sz w:val="24"/>
          <w:szCs w:val="24"/>
        </w:rPr>
      </w:pPr>
    </w:p>
    <w:p w:rsidR="009131B3" w:rsidRDefault="009131B3" w:rsidP="009131B3">
      <w:pPr>
        <w:pStyle w:val="ListParagraph"/>
        <w:ind w:left="1080"/>
        <w:rPr>
          <w:b/>
          <w:sz w:val="24"/>
          <w:szCs w:val="24"/>
        </w:rPr>
      </w:pPr>
      <w:r>
        <w:rPr>
          <w:sz w:val="24"/>
          <w:szCs w:val="24"/>
        </w:rPr>
        <w:tab/>
      </w:r>
      <w:r>
        <w:rPr>
          <w:b/>
          <w:sz w:val="24"/>
          <w:szCs w:val="24"/>
        </w:rPr>
        <w:t>b.</w:t>
      </w:r>
      <w:r>
        <w:rPr>
          <w:b/>
          <w:sz w:val="24"/>
          <w:szCs w:val="24"/>
        </w:rPr>
        <w:tab/>
        <w:t>Finalizing Phase II Spending</w:t>
      </w:r>
    </w:p>
    <w:p w:rsidR="009131B3" w:rsidRDefault="009131B3" w:rsidP="009131B3">
      <w:pPr>
        <w:pStyle w:val="ListParagraph"/>
        <w:ind w:left="1080"/>
        <w:rPr>
          <w:b/>
          <w:sz w:val="24"/>
          <w:szCs w:val="24"/>
        </w:rPr>
      </w:pPr>
    </w:p>
    <w:p w:rsidR="00FC30B5" w:rsidRDefault="009131B3" w:rsidP="009131B3">
      <w:pPr>
        <w:pStyle w:val="ListParagraph"/>
        <w:ind w:left="0" w:firstLine="720"/>
        <w:rPr>
          <w:sz w:val="24"/>
          <w:szCs w:val="24"/>
        </w:rPr>
      </w:pPr>
      <w:r>
        <w:rPr>
          <w:sz w:val="24"/>
          <w:szCs w:val="24"/>
        </w:rPr>
        <w:t xml:space="preserve">During its review of the EDCs’ Phase I reports and the Phase II EE&amp;C Plans, the Commission encountered an issue in which a measure may have been installed and commercially operable before the </w:t>
      </w:r>
      <w:r w:rsidR="0049749C">
        <w:rPr>
          <w:sz w:val="24"/>
          <w:szCs w:val="24"/>
        </w:rPr>
        <w:t>end</w:t>
      </w:r>
      <w:r>
        <w:rPr>
          <w:sz w:val="24"/>
          <w:szCs w:val="24"/>
        </w:rPr>
        <w:t xml:space="preserve"> of Phase I, but a rebate application had not been submitted to the EDC until a significant amount of time afterwards</w:t>
      </w:r>
      <w:r w:rsidR="00FC30B5">
        <w:rPr>
          <w:sz w:val="24"/>
          <w:szCs w:val="24"/>
        </w:rPr>
        <w:t>, affecting the timing with regard to the EDCs closing their Phase I books</w:t>
      </w:r>
      <w:r>
        <w:rPr>
          <w:sz w:val="24"/>
          <w:szCs w:val="24"/>
        </w:rPr>
        <w:t>.  Additionally, ques</w:t>
      </w:r>
      <w:r w:rsidR="00FC30B5">
        <w:rPr>
          <w:sz w:val="24"/>
          <w:szCs w:val="24"/>
        </w:rPr>
        <w:t xml:space="preserve">tions were raised regarding whether deadlines should be set for rebate applications following the in-service date of the measure.  Lastly, issues arose regarding </w:t>
      </w:r>
      <w:r w:rsidR="00FC30B5" w:rsidRPr="00FC30B5">
        <w:rPr>
          <w:sz w:val="24"/>
          <w:szCs w:val="24"/>
        </w:rPr>
        <w:t>residual</w:t>
      </w:r>
      <w:r w:rsidR="00FC30B5">
        <w:rPr>
          <w:sz w:val="24"/>
          <w:szCs w:val="24"/>
        </w:rPr>
        <w:t xml:space="preserve"> Phase I</w:t>
      </w:r>
      <w:r w:rsidR="00FC30B5" w:rsidRPr="00FC30B5">
        <w:rPr>
          <w:sz w:val="24"/>
          <w:szCs w:val="24"/>
        </w:rPr>
        <w:t xml:space="preserve"> expenses to recover and/or revenue to refund to customers</w:t>
      </w:r>
      <w:r w:rsidR="00FC30B5">
        <w:rPr>
          <w:sz w:val="24"/>
          <w:szCs w:val="24"/>
        </w:rPr>
        <w:t>.  The Commission solicits feedback on the following:</w:t>
      </w:r>
    </w:p>
    <w:p w:rsidR="005C47E2" w:rsidRDefault="005C47E2" w:rsidP="009131B3">
      <w:pPr>
        <w:pStyle w:val="ListParagraph"/>
        <w:ind w:left="0" w:firstLine="720"/>
        <w:rPr>
          <w:sz w:val="24"/>
          <w:szCs w:val="24"/>
        </w:rPr>
      </w:pPr>
    </w:p>
    <w:p w:rsidR="00FC30B5" w:rsidRDefault="00FC30B5" w:rsidP="00F55E9B">
      <w:pPr>
        <w:pStyle w:val="ListParagraph"/>
        <w:numPr>
          <w:ilvl w:val="0"/>
          <w:numId w:val="32"/>
        </w:numPr>
        <w:ind w:left="1440"/>
        <w:rPr>
          <w:sz w:val="24"/>
          <w:szCs w:val="24"/>
        </w:rPr>
      </w:pPr>
      <w:r>
        <w:rPr>
          <w:sz w:val="24"/>
          <w:szCs w:val="24"/>
        </w:rPr>
        <w:t>Should the Commission prescribe a deadline for the submission of rebate applications following the in-service date of the measure?  For example, rebate applications would need to be submitted within 180 days from the in-service date of the measure</w:t>
      </w:r>
      <w:r w:rsidR="00C0420C">
        <w:rPr>
          <w:sz w:val="24"/>
          <w:szCs w:val="24"/>
        </w:rPr>
        <w:t xml:space="preserve"> to qualify for a rebate</w:t>
      </w:r>
      <w:r>
        <w:rPr>
          <w:sz w:val="24"/>
          <w:szCs w:val="24"/>
        </w:rPr>
        <w:t xml:space="preserve">.  </w:t>
      </w:r>
    </w:p>
    <w:p w:rsidR="00FC30B5" w:rsidRDefault="00C0420C" w:rsidP="00F55E9B">
      <w:pPr>
        <w:pStyle w:val="ListParagraph"/>
        <w:numPr>
          <w:ilvl w:val="1"/>
          <w:numId w:val="33"/>
        </w:numPr>
        <w:tabs>
          <w:tab w:val="left" w:pos="0"/>
        </w:tabs>
        <w:ind w:left="1800"/>
        <w:rPr>
          <w:sz w:val="24"/>
          <w:szCs w:val="24"/>
        </w:rPr>
      </w:pPr>
      <w:r>
        <w:rPr>
          <w:sz w:val="24"/>
          <w:szCs w:val="24"/>
        </w:rPr>
        <w:t>Or</w:t>
      </w:r>
      <w:r w:rsidR="00FC30B5">
        <w:rPr>
          <w:sz w:val="24"/>
          <w:szCs w:val="24"/>
        </w:rPr>
        <w:t xml:space="preserve">, should </w:t>
      </w:r>
      <w:r w:rsidR="005C47E2">
        <w:rPr>
          <w:sz w:val="24"/>
          <w:szCs w:val="24"/>
        </w:rPr>
        <w:t xml:space="preserve">an </w:t>
      </w:r>
      <w:r w:rsidR="00FC30B5">
        <w:rPr>
          <w:sz w:val="24"/>
          <w:szCs w:val="24"/>
        </w:rPr>
        <w:t xml:space="preserve">EDC be required to develop </w:t>
      </w:r>
      <w:r>
        <w:rPr>
          <w:sz w:val="24"/>
          <w:szCs w:val="24"/>
        </w:rPr>
        <w:t>application</w:t>
      </w:r>
      <w:r w:rsidR="00FC30B5">
        <w:rPr>
          <w:sz w:val="24"/>
          <w:szCs w:val="24"/>
        </w:rPr>
        <w:t xml:space="preserve"> deadline</w:t>
      </w:r>
      <w:r>
        <w:rPr>
          <w:sz w:val="24"/>
          <w:szCs w:val="24"/>
        </w:rPr>
        <w:t>s specific to its programs</w:t>
      </w:r>
      <w:r w:rsidR="00FC30B5">
        <w:rPr>
          <w:sz w:val="24"/>
          <w:szCs w:val="24"/>
        </w:rPr>
        <w:t>?</w:t>
      </w:r>
    </w:p>
    <w:p w:rsidR="00FC30B5" w:rsidRDefault="00FC30B5" w:rsidP="00F55E9B">
      <w:pPr>
        <w:pStyle w:val="ListParagraph"/>
        <w:numPr>
          <w:ilvl w:val="0"/>
          <w:numId w:val="32"/>
        </w:numPr>
        <w:ind w:left="1440"/>
        <w:rPr>
          <w:sz w:val="24"/>
          <w:szCs w:val="24"/>
        </w:rPr>
      </w:pPr>
      <w:r>
        <w:rPr>
          <w:sz w:val="24"/>
          <w:szCs w:val="24"/>
        </w:rPr>
        <w:t xml:space="preserve">Should the Commission prescribe a deadline for the submission of rebate applications for measures installed at the end of a </w:t>
      </w:r>
      <w:r w:rsidR="00E90A7E">
        <w:rPr>
          <w:sz w:val="24"/>
          <w:szCs w:val="24"/>
        </w:rPr>
        <w:t>P</w:t>
      </w:r>
      <w:r w:rsidR="00C0420C">
        <w:rPr>
          <w:sz w:val="24"/>
          <w:szCs w:val="24"/>
        </w:rPr>
        <w:t>hase</w:t>
      </w:r>
      <w:r>
        <w:rPr>
          <w:sz w:val="24"/>
          <w:szCs w:val="24"/>
        </w:rPr>
        <w:t xml:space="preserve">?  For example, rebate applications would need to be submitted within 90 days </w:t>
      </w:r>
      <w:r w:rsidR="00C0420C">
        <w:rPr>
          <w:sz w:val="24"/>
          <w:szCs w:val="24"/>
        </w:rPr>
        <w:t xml:space="preserve">of the end of a </w:t>
      </w:r>
      <w:r w:rsidR="00E90A7E">
        <w:rPr>
          <w:sz w:val="24"/>
          <w:szCs w:val="24"/>
        </w:rPr>
        <w:t>P</w:t>
      </w:r>
      <w:r w:rsidR="00C0420C">
        <w:rPr>
          <w:sz w:val="24"/>
          <w:szCs w:val="24"/>
        </w:rPr>
        <w:t>hase</w:t>
      </w:r>
      <w:r>
        <w:rPr>
          <w:sz w:val="24"/>
          <w:szCs w:val="24"/>
        </w:rPr>
        <w:t xml:space="preserve"> in order for the EDC to finalize its spending from that </w:t>
      </w:r>
      <w:r w:rsidR="00E90A7E">
        <w:rPr>
          <w:sz w:val="24"/>
          <w:szCs w:val="24"/>
        </w:rPr>
        <w:t>P</w:t>
      </w:r>
      <w:r w:rsidR="00C0420C">
        <w:rPr>
          <w:sz w:val="24"/>
          <w:szCs w:val="24"/>
        </w:rPr>
        <w:t>hase</w:t>
      </w:r>
      <w:r>
        <w:rPr>
          <w:sz w:val="24"/>
          <w:szCs w:val="24"/>
        </w:rPr>
        <w:t xml:space="preserve">.  </w:t>
      </w:r>
    </w:p>
    <w:p w:rsidR="00FC30B5" w:rsidRDefault="00FC30B5" w:rsidP="00F55E9B">
      <w:pPr>
        <w:pStyle w:val="ListParagraph"/>
        <w:numPr>
          <w:ilvl w:val="1"/>
          <w:numId w:val="33"/>
        </w:numPr>
        <w:ind w:left="1800"/>
        <w:rPr>
          <w:sz w:val="24"/>
          <w:szCs w:val="24"/>
        </w:rPr>
      </w:pPr>
      <w:r>
        <w:rPr>
          <w:sz w:val="24"/>
          <w:szCs w:val="24"/>
        </w:rPr>
        <w:t>If so, should it be the same deadline as utilized for measures installed in the beginning or middle of a Phase?</w:t>
      </w:r>
    </w:p>
    <w:p w:rsidR="00F30804" w:rsidRPr="00F30804" w:rsidRDefault="00C0420C" w:rsidP="00F55E9B">
      <w:pPr>
        <w:pStyle w:val="ListParagraph"/>
        <w:numPr>
          <w:ilvl w:val="1"/>
          <w:numId w:val="33"/>
        </w:numPr>
        <w:ind w:left="1800"/>
        <w:rPr>
          <w:sz w:val="24"/>
          <w:szCs w:val="24"/>
        </w:rPr>
      </w:pPr>
      <w:r>
        <w:rPr>
          <w:sz w:val="24"/>
          <w:szCs w:val="24"/>
        </w:rPr>
        <w:t>Or</w:t>
      </w:r>
      <w:r w:rsidR="00F30804">
        <w:rPr>
          <w:sz w:val="24"/>
          <w:szCs w:val="24"/>
        </w:rPr>
        <w:t xml:space="preserve">, should the EDCs be required to develop </w:t>
      </w:r>
      <w:r w:rsidR="00E90A7E">
        <w:rPr>
          <w:sz w:val="24"/>
          <w:szCs w:val="24"/>
        </w:rPr>
        <w:t>their</w:t>
      </w:r>
      <w:r>
        <w:rPr>
          <w:sz w:val="24"/>
          <w:szCs w:val="24"/>
        </w:rPr>
        <w:t xml:space="preserve"> own program</w:t>
      </w:r>
      <w:r w:rsidR="00E90A7E">
        <w:rPr>
          <w:sz w:val="24"/>
          <w:szCs w:val="24"/>
        </w:rPr>
        <w:t>-</w:t>
      </w:r>
      <w:r>
        <w:rPr>
          <w:sz w:val="24"/>
          <w:szCs w:val="24"/>
        </w:rPr>
        <w:t xml:space="preserve">specific </w:t>
      </w:r>
      <w:r w:rsidR="00F30804">
        <w:rPr>
          <w:sz w:val="24"/>
          <w:szCs w:val="24"/>
        </w:rPr>
        <w:t>deadline</w:t>
      </w:r>
      <w:r w:rsidR="00E90A7E">
        <w:rPr>
          <w:sz w:val="24"/>
          <w:szCs w:val="24"/>
        </w:rPr>
        <w:t>s within their plans</w:t>
      </w:r>
      <w:r w:rsidR="00F30804">
        <w:rPr>
          <w:sz w:val="24"/>
          <w:szCs w:val="24"/>
        </w:rPr>
        <w:t>?</w:t>
      </w:r>
    </w:p>
    <w:p w:rsidR="00FC30B5" w:rsidRPr="009131B3" w:rsidRDefault="00F30804" w:rsidP="00F55E9B">
      <w:pPr>
        <w:pStyle w:val="ListParagraph"/>
        <w:numPr>
          <w:ilvl w:val="0"/>
          <w:numId w:val="32"/>
        </w:numPr>
        <w:ind w:left="1440"/>
        <w:rPr>
          <w:sz w:val="24"/>
          <w:szCs w:val="24"/>
        </w:rPr>
      </w:pPr>
      <w:r>
        <w:rPr>
          <w:sz w:val="24"/>
          <w:szCs w:val="24"/>
        </w:rPr>
        <w:t>What is an appropriate length of time for the EDCs to</w:t>
      </w:r>
      <w:r w:rsidRPr="00F30804">
        <w:rPr>
          <w:sz w:val="24"/>
          <w:szCs w:val="24"/>
        </w:rPr>
        <w:t xml:space="preserve"> “true-up” </w:t>
      </w:r>
      <w:r>
        <w:rPr>
          <w:sz w:val="24"/>
          <w:szCs w:val="24"/>
        </w:rPr>
        <w:t>their costs/budgets for</w:t>
      </w:r>
      <w:r w:rsidRPr="00F30804">
        <w:rPr>
          <w:sz w:val="24"/>
          <w:szCs w:val="24"/>
        </w:rPr>
        <w:t xml:space="preserve"> Phase II</w:t>
      </w:r>
      <w:r>
        <w:rPr>
          <w:sz w:val="24"/>
          <w:szCs w:val="24"/>
        </w:rPr>
        <w:t xml:space="preserve">?  Should the Commission </w:t>
      </w:r>
      <w:r w:rsidRPr="00F30804">
        <w:rPr>
          <w:sz w:val="24"/>
          <w:szCs w:val="24"/>
        </w:rPr>
        <w:t xml:space="preserve">consider </w:t>
      </w:r>
      <w:r>
        <w:rPr>
          <w:sz w:val="24"/>
          <w:szCs w:val="24"/>
        </w:rPr>
        <w:t>allowing</w:t>
      </w:r>
      <w:r w:rsidRPr="00F30804">
        <w:rPr>
          <w:sz w:val="24"/>
          <w:szCs w:val="24"/>
        </w:rPr>
        <w:t xml:space="preserve"> the </w:t>
      </w:r>
      <w:r>
        <w:rPr>
          <w:sz w:val="24"/>
          <w:szCs w:val="24"/>
        </w:rPr>
        <w:t>EDCs to</w:t>
      </w:r>
      <w:r w:rsidRPr="00F30804">
        <w:rPr>
          <w:sz w:val="24"/>
          <w:szCs w:val="24"/>
        </w:rPr>
        <w:t xml:space="preserve"> roll all residuals of Phase II into the</w:t>
      </w:r>
      <w:r>
        <w:rPr>
          <w:sz w:val="24"/>
          <w:szCs w:val="24"/>
        </w:rPr>
        <w:t>ir</w:t>
      </w:r>
      <w:r w:rsidRPr="00F30804">
        <w:rPr>
          <w:sz w:val="24"/>
          <w:szCs w:val="24"/>
        </w:rPr>
        <w:t xml:space="preserve"> Phase III </w:t>
      </w:r>
      <w:r>
        <w:rPr>
          <w:sz w:val="24"/>
          <w:szCs w:val="24"/>
        </w:rPr>
        <w:t xml:space="preserve">surcharges, for true-up purposes only, </w:t>
      </w:r>
      <w:r w:rsidRPr="00F30804">
        <w:rPr>
          <w:sz w:val="24"/>
          <w:szCs w:val="24"/>
        </w:rPr>
        <w:t xml:space="preserve">instead of keeping a Phase II </w:t>
      </w:r>
      <w:r>
        <w:rPr>
          <w:sz w:val="24"/>
          <w:szCs w:val="24"/>
        </w:rPr>
        <w:t>surcharge</w:t>
      </w:r>
      <w:r w:rsidRPr="00F30804">
        <w:rPr>
          <w:sz w:val="24"/>
          <w:szCs w:val="24"/>
        </w:rPr>
        <w:t xml:space="preserve"> in </w:t>
      </w:r>
      <w:r>
        <w:rPr>
          <w:sz w:val="24"/>
          <w:szCs w:val="24"/>
        </w:rPr>
        <w:t>place</w:t>
      </w:r>
      <w:r w:rsidRPr="00F30804">
        <w:rPr>
          <w:sz w:val="24"/>
          <w:szCs w:val="24"/>
        </w:rPr>
        <w:t xml:space="preserve"> while </w:t>
      </w:r>
      <w:r>
        <w:rPr>
          <w:sz w:val="24"/>
          <w:szCs w:val="24"/>
        </w:rPr>
        <w:t>the Phase III rate is effective?</w:t>
      </w:r>
    </w:p>
    <w:p w:rsidR="009131B3" w:rsidRDefault="009131B3" w:rsidP="009131B3">
      <w:pPr>
        <w:pStyle w:val="ListParagraph"/>
        <w:ind w:left="1080"/>
        <w:rPr>
          <w:b/>
          <w:sz w:val="24"/>
          <w:szCs w:val="24"/>
        </w:rPr>
      </w:pPr>
    </w:p>
    <w:p w:rsidR="00BC011F" w:rsidRDefault="00572556" w:rsidP="003B2E3E">
      <w:pPr>
        <w:pStyle w:val="ListParagraph"/>
        <w:ind w:left="0" w:firstLine="720"/>
        <w:rPr>
          <w:sz w:val="24"/>
          <w:szCs w:val="24"/>
        </w:rPr>
      </w:pPr>
      <w:r>
        <w:rPr>
          <w:b/>
          <w:sz w:val="24"/>
          <w:szCs w:val="24"/>
        </w:rPr>
        <w:t>7</w:t>
      </w:r>
      <w:r w:rsidR="00386D26">
        <w:rPr>
          <w:b/>
          <w:sz w:val="24"/>
          <w:szCs w:val="24"/>
        </w:rPr>
        <w:t>.</w:t>
      </w:r>
      <w:r w:rsidR="00386D26">
        <w:rPr>
          <w:b/>
          <w:sz w:val="24"/>
          <w:szCs w:val="24"/>
        </w:rPr>
        <w:tab/>
        <w:t>Updating of the Technical Reference Manual</w:t>
      </w:r>
    </w:p>
    <w:p w:rsidR="00386D26" w:rsidRDefault="00386D26" w:rsidP="00B35953">
      <w:pPr>
        <w:ind w:firstLine="720"/>
        <w:rPr>
          <w:sz w:val="24"/>
          <w:szCs w:val="24"/>
        </w:rPr>
      </w:pPr>
    </w:p>
    <w:p w:rsidR="00386D26" w:rsidRDefault="00386D26" w:rsidP="00B35953">
      <w:pPr>
        <w:ind w:firstLine="720"/>
        <w:rPr>
          <w:sz w:val="24"/>
          <w:szCs w:val="24"/>
        </w:rPr>
      </w:pPr>
      <w:r>
        <w:rPr>
          <w:sz w:val="24"/>
          <w:szCs w:val="24"/>
        </w:rPr>
        <w:t>In Phase I and II, the Commission deemed it appropriate to implement an annual updating process for the Technical Reference Manual (TRM).</w:t>
      </w:r>
      <w:r>
        <w:rPr>
          <w:rStyle w:val="FootnoteReference"/>
          <w:sz w:val="24"/>
          <w:szCs w:val="24"/>
        </w:rPr>
        <w:footnoteReference w:id="18"/>
      </w:r>
      <w:r>
        <w:rPr>
          <w:sz w:val="24"/>
          <w:szCs w:val="24"/>
        </w:rPr>
        <w:t xml:space="preserve">  The Commission seeks feedback on the following:</w:t>
      </w:r>
    </w:p>
    <w:p w:rsidR="00E90A7E" w:rsidRDefault="00E90A7E" w:rsidP="00B35953">
      <w:pPr>
        <w:ind w:firstLine="720"/>
        <w:rPr>
          <w:sz w:val="24"/>
          <w:szCs w:val="24"/>
        </w:rPr>
      </w:pPr>
    </w:p>
    <w:p w:rsidR="00386D26" w:rsidRDefault="00386D26" w:rsidP="00C61CFD">
      <w:pPr>
        <w:pStyle w:val="ListParagraph"/>
        <w:numPr>
          <w:ilvl w:val="0"/>
          <w:numId w:val="35"/>
        </w:numPr>
        <w:ind w:left="1440"/>
        <w:rPr>
          <w:sz w:val="24"/>
          <w:szCs w:val="24"/>
        </w:rPr>
      </w:pPr>
      <w:r>
        <w:rPr>
          <w:sz w:val="24"/>
          <w:szCs w:val="24"/>
        </w:rPr>
        <w:t>Should the Commission maintain an annual TRM updating process for Phase III?</w:t>
      </w:r>
    </w:p>
    <w:p w:rsidR="00386D26" w:rsidRDefault="00386D26" w:rsidP="00C61CFD">
      <w:pPr>
        <w:pStyle w:val="ListParagraph"/>
        <w:numPr>
          <w:ilvl w:val="0"/>
          <w:numId w:val="35"/>
        </w:numPr>
        <w:ind w:left="1440"/>
        <w:rPr>
          <w:sz w:val="24"/>
          <w:szCs w:val="24"/>
        </w:rPr>
      </w:pPr>
      <w:r>
        <w:rPr>
          <w:sz w:val="24"/>
          <w:szCs w:val="24"/>
        </w:rPr>
        <w:t xml:space="preserve">If not, how often should the TRM </w:t>
      </w:r>
      <w:proofErr w:type="gramStart"/>
      <w:r>
        <w:rPr>
          <w:sz w:val="24"/>
          <w:szCs w:val="24"/>
        </w:rPr>
        <w:t>be</w:t>
      </w:r>
      <w:proofErr w:type="gramEnd"/>
      <w:r>
        <w:rPr>
          <w:sz w:val="24"/>
          <w:szCs w:val="24"/>
        </w:rPr>
        <w:t xml:space="preserve"> updated?</w:t>
      </w:r>
    </w:p>
    <w:p w:rsidR="00386D26" w:rsidRPr="00386D26" w:rsidRDefault="00386D26" w:rsidP="00C61CFD">
      <w:pPr>
        <w:pStyle w:val="ListParagraph"/>
        <w:numPr>
          <w:ilvl w:val="0"/>
          <w:numId w:val="35"/>
        </w:numPr>
        <w:ind w:left="1440"/>
        <w:rPr>
          <w:sz w:val="24"/>
          <w:szCs w:val="24"/>
        </w:rPr>
      </w:pPr>
      <w:r>
        <w:rPr>
          <w:sz w:val="24"/>
          <w:szCs w:val="24"/>
        </w:rPr>
        <w:lastRenderedPageBreak/>
        <w:t xml:space="preserve">Is the updating schedule dependent on the length of Phase III?  For example, if the Commission implements a three-year phase vs. a </w:t>
      </w:r>
      <w:r w:rsidR="004D5AB0">
        <w:rPr>
          <w:sz w:val="24"/>
          <w:szCs w:val="24"/>
        </w:rPr>
        <w:t>six</w:t>
      </w:r>
      <w:r>
        <w:rPr>
          <w:sz w:val="24"/>
          <w:szCs w:val="24"/>
        </w:rPr>
        <w:t xml:space="preserve">-year phase, would that affect how often we should update the TRM?  </w:t>
      </w:r>
    </w:p>
    <w:p w:rsidR="00BC011F" w:rsidRDefault="00BC011F" w:rsidP="00B35953">
      <w:pPr>
        <w:ind w:firstLine="720"/>
        <w:rPr>
          <w:sz w:val="24"/>
          <w:szCs w:val="24"/>
        </w:rPr>
      </w:pPr>
    </w:p>
    <w:p w:rsidR="003610CA" w:rsidRDefault="00572556" w:rsidP="00645839">
      <w:pPr>
        <w:ind w:firstLine="720"/>
        <w:rPr>
          <w:sz w:val="24"/>
          <w:szCs w:val="24"/>
        </w:rPr>
      </w:pPr>
      <w:r>
        <w:rPr>
          <w:b/>
          <w:sz w:val="24"/>
          <w:szCs w:val="24"/>
        </w:rPr>
        <w:t>8</w:t>
      </w:r>
      <w:r w:rsidR="003610CA" w:rsidRPr="00F55E9B">
        <w:rPr>
          <w:b/>
          <w:sz w:val="24"/>
          <w:szCs w:val="24"/>
        </w:rPr>
        <w:t>.</w:t>
      </w:r>
      <w:r w:rsidR="003610CA">
        <w:rPr>
          <w:sz w:val="24"/>
          <w:szCs w:val="24"/>
        </w:rPr>
        <w:tab/>
      </w:r>
      <w:r w:rsidR="003610CA">
        <w:rPr>
          <w:b/>
          <w:sz w:val="24"/>
          <w:szCs w:val="24"/>
        </w:rPr>
        <w:t xml:space="preserve">Updating </w:t>
      </w:r>
      <w:r w:rsidR="00866F90">
        <w:rPr>
          <w:b/>
          <w:sz w:val="24"/>
          <w:szCs w:val="24"/>
        </w:rPr>
        <w:t xml:space="preserve">the </w:t>
      </w:r>
      <w:r w:rsidR="003610CA">
        <w:rPr>
          <w:b/>
          <w:sz w:val="24"/>
          <w:szCs w:val="24"/>
        </w:rPr>
        <w:t xml:space="preserve">Total Resource Cost Test </w:t>
      </w:r>
    </w:p>
    <w:p w:rsidR="003610CA" w:rsidRDefault="003610CA" w:rsidP="00645839">
      <w:pPr>
        <w:ind w:firstLine="720"/>
        <w:rPr>
          <w:sz w:val="24"/>
          <w:szCs w:val="24"/>
        </w:rPr>
      </w:pPr>
    </w:p>
    <w:p w:rsidR="003610CA" w:rsidRDefault="003610CA" w:rsidP="003610CA">
      <w:pPr>
        <w:ind w:firstLine="720"/>
        <w:rPr>
          <w:sz w:val="24"/>
          <w:szCs w:val="24"/>
        </w:rPr>
      </w:pPr>
      <w:r>
        <w:rPr>
          <w:sz w:val="24"/>
          <w:szCs w:val="24"/>
        </w:rPr>
        <w:t>In Phase I and II, the Commission established and subsequently reviewed the Total Resource Cost Test (TRC Test) methodology.</w:t>
      </w:r>
      <w:r w:rsidR="00E12A6C">
        <w:rPr>
          <w:rStyle w:val="FootnoteReference"/>
          <w:sz w:val="24"/>
          <w:szCs w:val="24"/>
        </w:rPr>
        <w:footnoteReference w:id="19"/>
      </w:r>
      <w:r>
        <w:rPr>
          <w:sz w:val="24"/>
          <w:szCs w:val="24"/>
        </w:rPr>
        <w:t xml:space="preserve">  We seek feedback on the following:  </w:t>
      </w:r>
    </w:p>
    <w:p w:rsidR="003610CA" w:rsidRDefault="003610CA" w:rsidP="003610CA">
      <w:pPr>
        <w:ind w:firstLine="720"/>
        <w:rPr>
          <w:sz w:val="24"/>
          <w:szCs w:val="24"/>
        </w:rPr>
      </w:pPr>
    </w:p>
    <w:p w:rsidR="003610CA" w:rsidRDefault="003610CA" w:rsidP="003610CA">
      <w:pPr>
        <w:pStyle w:val="ListParagraph"/>
        <w:numPr>
          <w:ilvl w:val="0"/>
          <w:numId w:val="26"/>
        </w:numPr>
        <w:rPr>
          <w:sz w:val="24"/>
          <w:szCs w:val="24"/>
        </w:rPr>
      </w:pPr>
      <w:r>
        <w:rPr>
          <w:sz w:val="24"/>
          <w:szCs w:val="24"/>
        </w:rPr>
        <w:t>Should the Commission establish a periodic review and updating process for the TRC Test methodology in Phase III?</w:t>
      </w:r>
    </w:p>
    <w:p w:rsidR="003610CA" w:rsidRDefault="003610CA" w:rsidP="003610CA">
      <w:pPr>
        <w:pStyle w:val="ListParagraph"/>
        <w:numPr>
          <w:ilvl w:val="0"/>
          <w:numId w:val="26"/>
        </w:numPr>
        <w:rPr>
          <w:sz w:val="24"/>
          <w:szCs w:val="24"/>
        </w:rPr>
      </w:pPr>
      <w:r>
        <w:rPr>
          <w:sz w:val="24"/>
          <w:szCs w:val="24"/>
        </w:rPr>
        <w:t>How often should the TRC Test methodology be reviewed?</w:t>
      </w:r>
    </w:p>
    <w:p w:rsidR="003610CA" w:rsidRDefault="003610CA" w:rsidP="003610CA">
      <w:pPr>
        <w:pStyle w:val="ListParagraph"/>
        <w:numPr>
          <w:ilvl w:val="0"/>
          <w:numId w:val="26"/>
        </w:numPr>
        <w:rPr>
          <w:sz w:val="24"/>
          <w:szCs w:val="24"/>
        </w:rPr>
      </w:pPr>
      <w:r>
        <w:rPr>
          <w:sz w:val="24"/>
          <w:szCs w:val="24"/>
        </w:rPr>
        <w:t xml:space="preserve">Should a periodic review and updating of the TRC Test methodology process schedule be dependent on the length of Phase III?  For example, if the Commission implements a three-year phase vs. a five-year phase, would that affect how often we should review the TRC Test methodology and consider updates?  </w:t>
      </w:r>
    </w:p>
    <w:p w:rsidR="003610CA" w:rsidRDefault="003610CA" w:rsidP="003610CA">
      <w:pPr>
        <w:pStyle w:val="ListParagraph"/>
        <w:numPr>
          <w:ilvl w:val="0"/>
          <w:numId w:val="26"/>
        </w:numPr>
        <w:rPr>
          <w:sz w:val="24"/>
          <w:szCs w:val="24"/>
        </w:rPr>
      </w:pPr>
      <w:r>
        <w:rPr>
          <w:sz w:val="24"/>
          <w:szCs w:val="24"/>
        </w:rPr>
        <w:t xml:space="preserve">In our Phase I and Phase </w:t>
      </w:r>
      <w:r w:rsidRPr="003610CA">
        <w:rPr>
          <w:sz w:val="24"/>
          <w:szCs w:val="24"/>
        </w:rPr>
        <w:t>II Implementation Orders</w:t>
      </w:r>
      <w:r>
        <w:rPr>
          <w:sz w:val="24"/>
          <w:szCs w:val="24"/>
        </w:rPr>
        <w:t xml:space="preserve">, we declined, among other things, the requests from certain stakeholders to require inclusion of societal benefits in the TRC equation and analysis.  We have seen no reasons emerge during the span of the two phases to change such </w:t>
      </w:r>
      <w:r w:rsidR="00F55E9B">
        <w:rPr>
          <w:sz w:val="24"/>
          <w:szCs w:val="24"/>
        </w:rPr>
        <w:t xml:space="preserve">a </w:t>
      </w:r>
      <w:r>
        <w:rPr>
          <w:sz w:val="24"/>
          <w:szCs w:val="24"/>
        </w:rPr>
        <w:t>determination and do not intend to revisit those issues again in this process of addressing Phase III issues based on any theories or arguments that have heretofore already been made.  If, however, there are new data, theories, or arguments are available, they may be presented in comments along with other relevant comments.</w:t>
      </w:r>
    </w:p>
    <w:p w:rsidR="00E90A7E" w:rsidRDefault="00E90A7E" w:rsidP="00280D84">
      <w:pPr>
        <w:ind w:firstLine="720"/>
        <w:rPr>
          <w:sz w:val="24"/>
          <w:szCs w:val="24"/>
        </w:rPr>
      </w:pPr>
    </w:p>
    <w:p w:rsidR="00590DCB" w:rsidRPr="00A01DB2" w:rsidRDefault="003610CA" w:rsidP="00280D84">
      <w:pPr>
        <w:ind w:firstLine="720"/>
        <w:rPr>
          <w:sz w:val="24"/>
          <w:szCs w:val="24"/>
        </w:rPr>
      </w:pPr>
      <w:r>
        <w:rPr>
          <w:sz w:val="24"/>
          <w:szCs w:val="24"/>
        </w:rPr>
        <w:t>Having set forth herein a number of questions upon which stakeholder may comment, t</w:t>
      </w:r>
      <w:r w:rsidR="00DC06D2" w:rsidRPr="000D7109">
        <w:rPr>
          <w:sz w:val="24"/>
          <w:szCs w:val="24"/>
        </w:rPr>
        <w:t xml:space="preserve">he Commission directs that this Secretarial Letter </w:t>
      </w:r>
      <w:r w:rsidR="00280D84">
        <w:rPr>
          <w:sz w:val="24"/>
          <w:szCs w:val="24"/>
        </w:rPr>
        <w:t xml:space="preserve">shall </w:t>
      </w:r>
      <w:r w:rsidR="00DC06D2" w:rsidRPr="000D7109">
        <w:rPr>
          <w:sz w:val="24"/>
          <w:szCs w:val="24"/>
        </w:rPr>
        <w:t>b</w:t>
      </w:r>
      <w:r w:rsidR="00DC06D2" w:rsidRPr="00F309A9">
        <w:rPr>
          <w:sz w:val="24"/>
          <w:szCs w:val="24"/>
        </w:rPr>
        <w:t>e published on the Commission’s website</w:t>
      </w:r>
      <w:r w:rsidR="00280D84">
        <w:rPr>
          <w:rStyle w:val="FootnoteReference"/>
          <w:sz w:val="24"/>
          <w:szCs w:val="24"/>
        </w:rPr>
        <w:footnoteReference w:id="20"/>
      </w:r>
      <w:r w:rsidR="00DC06D2" w:rsidRPr="00F309A9">
        <w:rPr>
          <w:sz w:val="24"/>
          <w:szCs w:val="24"/>
        </w:rPr>
        <w:t xml:space="preserve"> and be served upon the </w:t>
      </w:r>
      <w:r w:rsidR="00326D2A">
        <w:rPr>
          <w:sz w:val="24"/>
          <w:szCs w:val="24"/>
        </w:rPr>
        <w:t>parties at Docket No. M-2012-2289411</w:t>
      </w:r>
      <w:r w:rsidR="00DC06D2" w:rsidRPr="00A01DB2">
        <w:rPr>
          <w:sz w:val="24"/>
          <w:szCs w:val="24"/>
        </w:rPr>
        <w:t>.</w:t>
      </w:r>
    </w:p>
    <w:p w:rsidR="00DC06D2" w:rsidRPr="00A01DB2" w:rsidRDefault="00DC06D2" w:rsidP="00280D84">
      <w:pPr>
        <w:ind w:firstLine="720"/>
        <w:rPr>
          <w:sz w:val="24"/>
          <w:szCs w:val="24"/>
        </w:rPr>
      </w:pPr>
    </w:p>
    <w:p w:rsidR="00DC06D2" w:rsidRPr="00A01DB2" w:rsidRDefault="00DC06D2" w:rsidP="00280D84">
      <w:pPr>
        <w:ind w:firstLine="720"/>
        <w:rPr>
          <w:sz w:val="24"/>
          <w:szCs w:val="24"/>
        </w:rPr>
      </w:pPr>
      <w:r w:rsidRPr="00A01DB2">
        <w:rPr>
          <w:sz w:val="24"/>
          <w:szCs w:val="24"/>
        </w:rPr>
        <w:t xml:space="preserve">The Commission further directs that the Secretary shall deposit a notice of this Secretarial Letter with the Legislative Reference Bureau for publication in the </w:t>
      </w:r>
      <w:r w:rsidRPr="00A01DB2">
        <w:rPr>
          <w:i/>
          <w:sz w:val="24"/>
          <w:szCs w:val="24"/>
        </w:rPr>
        <w:t>Pennsylvania Bulletin</w:t>
      </w:r>
      <w:r w:rsidRPr="00A01DB2">
        <w:rPr>
          <w:sz w:val="24"/>
          <w:szCs w:val="24"/>
        </w:rPr>
        <w:t>.</w:t>
      </w:r>
    </w:p>
    <w:p w:rsidR="00DC06D2" w:rsidRPr="00A01DB2" w:rsidRDefault="00DC06D2" w:rsidP="00280D84">
      <w:pPr>
        <w:ind w:firstLine="720"/>
        <w:rPr>
          <w:sz w:val="24"/>
          <w:szCs w:val="24"/>
        </w:rPr>
      </w:pPr>
    </w:p>
    <w:p w:rsidR="00047F88" w:rsidRPr="00047F88" w:rsidRDefault="00645839" w:rsidP="00047F88">
      <w:pPr>
        <w:ind w:firstLine="720"/>
        <w:rPr>
          <w:sz w:val="24"/>
          <w:szCs w:val="24"/>
        </w:rPr>
      </w:pPr>
      <w:r>
        <w:rPr>
          <w:sz w:val="24"/>
          <w:szCs w:val="24"/>
        </w:rPr>
        <w:t>I</w:t>
      </w:r>
      <w:r w:rsidR="00DC06D2" w:rsidRPr="00A01DB2">
        <w:rPr>
          <w:sz w:val="24"/>
          <w:szCs w:val="24"/>
        </w:rPr>
        <w:t xml:space="preserve">nterested parties </w:t>
      </w:r>
      <w:r>
        <w:rPr>
          <w:sz w:val="24"/>
          <w:szCs w:val="24"/>
        </w:rPr>
        <w:t xml:space="preserve">may </w:t>
      </w:r>
      <w:r w:rsidR="00DC06D2" w:rsidRPr="00A01DB2">
        <w:rPr>
          <w:sz w:val="24"/>
          <w:szCs w:val="24"/>
        </w:rPr>
        <w:t xml:space="preserve">file </w:t>
      </w:r>
      <w:r w:rsidR="00280D84">
        <w:rPr>
          <w:sz w:val="24"/>
          <w:szCs w:val="24"/>
        </w:rPr>
        <w:t>written c</w:t>
      </w:r>
      <w:r w:rsidR="00DC06D2" w:rsidRPr="00A01DB2">
        <w:rPr>
          <w:sz w:val="24"/>
          <w:szCs w:val="24"/>
        </w:rPr>
        <w:t>omments</w:t>
      </w:r>
      <w:r>
        <w:rPr>
          <w:sz w:val="24"/>
          <w:szCs w:val="24"/>
        </w:rPr>
        <w:t xml:space="preserve"> at this docket.  Comments are due on or before </w:t>
      </w:r>
      <w:r w:rsidR="00280D84">
        <w:rPr>
          <w:sz w:val="24"/>
          <w:szCs w:val="24"/>
        </w:rPr>
        <w:t>December</w:t>
      </w:r>
      <w:r>
        <w:rPr>
          <w:sz w:val="24"/>
          <w:szCs w:val="24"/>
        </w:rPr>
        <w:t> </w:t>
      </w:r>
      <w:r w:rsidR="00280D84">
        <w:rPr>
          <w:sz w:val="24"/>
          <w:szCs w:val="24"/>
        </w:rPr>
        <w:t>19, 2014</w:t>
      </w:r>
      <w:r w:rsidR="00DC06D2" w:rsidRPr="00A01DB2">
        <w:rPr>
          <w:sz w:val="24"/>
          <w:szCs w:val="24"/>
        </w:rPr>
        <w:t xml:space="preserve">, </w:t>
      </w:r>
      <w:r>
        <w:rPr>
          <w:sz w:val="24"/>
          <w:szCs w:val="24"/>
        </w:rPr>
        <w:t xml:space="preserve">and must </w:t>
      </w:r>
      <w:r w:rsidR="00DC06D2" w:rsidRPr="00A01DB2">
        <w:rPr>
          <w:sz w:val="24"/>
          <w:szCs w:val="24"/>
        </w:rPr>
        <w:t>referenc</w:t>
      </w:r>
      <w:r>
        <w:rPr>
          <w:sz w:val="24"/>
          <w:szCs w:val="24"/>
        </w:rPr>
        <w:t>e</w:t>
      </w:r>
      <w:r w:rsidR="00DC06D2" w:rsidRPr="00A01DB2">
        <w:rPr>
          <w:sz w:val="24"/>
          <w:szCs w:val="24"/>
        </w:rPr>
        <w:t xml:space="preserve"> Docket Number M-201</w:t>
      </w:r>
      <w:r w:rsidR="00280D84">
        <w:rPr>
          <w:sz w:val="24"/>
          <w:szCs w:val="24"/>
        </w:rPr>
        <w:t>4</w:t>
      </w:r>
      <w:r w:rsidR="00DC06D2" w:rsidRPr="00A01DB2">
        <w:rPr>
          <w:sz w:val="24"/>
          <w:szCs w:val="24"/>
        </w:rPr>
        <w:t>-</w:t>
      </w:r>
      <w:r w:rsidR="00280D84">
        <w:rPr>
          <w:sz w:val="24"/>
          <w:szCs w:val="24"/>
        </w:rPr>
        <w:t>2424864</w:t>
      </w:r>
      <w:r>
        <w:rPr>
          <w:sz w:val="24"/>
          <w:szCs w:val="24"/>
        </w:rPr>
        <w:t xml:space="preserve">.  </w:t>
      </w:r>
      <w:r w:rsidR="00047F88" w:rsidRPr="00047F88">
        <w:rPr>
          <w:sz w:val="24"/>
          <w:szCs w:val="24"/>
        </w:rPr>
        <w:t>One original signed copy of comments shall be filed with the Commission’s Secretary at:  Pennsylvania Public Utility Commission</w:t>
      </w:r>
      <w:r w:rsidR="00047F88">
        <w:rPr>
          <w:sz w:val="24"/>
          <w:szCs w:val="24"/>
        </w:rPr>
        <w:t>,</w:t>
      </w:r>
      <w:r w:rsidR="00047F88" w:rsidRPr="00047F88">
        <w:rPr>
          <w:sz w:val="24"/>
          <w:szCs w:val="24"/>
        </w:rPr>
        <w:t xml:space="preserve"> P.O. Box 3265, Harrisburg, PA  17105-3265.  Alternatively, comments may be filed electronically through the Commission’s e-filing system, in which case no paper copy needs to be filed with the Secretary provided that the comments are less than 250 pages.</w:t>
      </w:r>
    </w:p>
    <w:p w:rsidR="00326D2A" w:rsidRDefault="00326D2A" w:rsidP="00047F88">
      <w:pPr>
        <w:rPr>
          <w:sz w:val="24"/>
          <w:szCs w:val="24"/>
        </w:rPr>
      </w:pPr>
    </w:p>
    <w:p w:rsidR="00DC06D2" w:rsidRDefault="00326D2A" w:rsidP="00280D84">
      <w:pPr>
        <w:rPr>
          <w:sz w:val="24"/>
          <w:szCs w:val="24"/>
        </w:rPr>
      </w:pPr>
      <w:r>
        <w:rPr>
          <w:sz w:val="24"/>
          <w:szCs w:val="24"/>
        </w:rPr>
        <w:tab/>
      </w:r>
      <w:r w:rsidRPr="00326D2A">
        <w:rPr>
          <w:sz w:val="24"/>
          <w:szCs w:val="24"/>
        </w:rPr>
        <w:t xml:space="preserve">The Commission </w:t>
      </w:r>
      <w:r>
        <w:rPr>
          <w:sz w:val="24"/>
          <w:szCs w:val="24"/>
        </w:rPr>
        <w:t>directs</w:t>
      </w:r>
      <w:r w:rsidRPr="00326D2A">
        <w:rPr>
          <w:sz w:val="24"/>
          <w:szCs w:val="24"/>
        </w:rPr>
        <w:t xml:space="preserve"> </w:t>
      </w:r>
      <w:r>
        <w:rPr>
          <w:sz w:val="24"/>
          <w:szCs w:val="24"/>
        </w:rPr>
        <w:t>t</w:t>
      </w:r>
      <w:r w:rsidRPr="00326D2A">
        <w:rPr>
          <w:sz w:val="24"/>
          <w:szCs w:val="24"/>
        </w:rPr>
        <w:t>hat a Word</w:t>
      </w:r>
      <w:r w:rsidR="00F55E9B">
        <w:rPr>
          <w:sz w:val="24"/>
          <w:szCs w:val="24"/>
        </w:rPr>
        <w:t xml:space="preserve"> </w:t>
      </w:r>
      <w:r w:rsidRPr="00326D2A">
        <w:rPr>
          <w:sz w:val="24"/>
          <w:szCs w:val="24"/>
        </w:rPr>
        <w:t xml:space="preserve">formatted copy of all comments shall be electronically mailed to Megan G. Good at </w:t>
      </w:r>
      <w:hyperlink r:id="rId10" w:history="1">
        <w:r w:rsidRPr="007A6944">
          <w:rPr>
            <w:rStyle w:val="Hyperlink"/>
            <w:sz w:val="24"/>
            <w:szCs w:val="24"/>
          </w:rPr>
          <w:t>megagood@pa.gov</w:t>
        </w:r>
      </w:hyperlink>
      <w:r>
        <w:rPr>
          <w:sz w:val="24"/>
          <w:szCs w:val="24"/>
        </w:rPr>
        <w:t xml:space="preserve"> </w:t>
      </w:r>
      <w:r w:rsidRPr="00326D2A">
        <w:rPr>
          <w:sz w:val="24"/>
          <w:szCs w:val="24"/>
        </w:rPr>
        <w:t xml:space="preserve">and Kriss Brown at </w:t>
      </w:r>
      <w:hyperlink r:id="rId11" w:history="1">
        <w:r w:rsidRPr="007A6944">
          <w:rPr>
            <w:rStyle w:val="Hyperlink"/>
            <w:sz w:val="24"/>
            <w:szCs w:val="24"/>
          </w:rPr>
          <w:t>kribrown@pa.gov</w:t>
        </w:r>
      </w:hyperlink>
      <w:r w:rsidRPr="00326D2A">
        <w:rPr>
          <w:sz w:val="24"/>
          <w:szCs w:val="24"/>
        </w:rPr>
        <w:t>.  Attachments may not exceed three megabytes.</w:t>
      </w:r>
    </w:p>
    <w:p w:rsidR="00D079C0" w:rsidRPr="00A01DB2" w:rsidRDefault="00D079C0" w:rsidP="00280D84">
      <w:pPr>
        <w:rPr>
          <w:sz w:val="24"/>
          <w:szCs w:val="24"/>
        </w:rPr>
      </w:pPr>
    </w:p>
    <w:p w:rsidR="00325403" w:rsidRPr="00A01DB2" w:rsidRDefault="002B37D7" w:rsidP="00280D84">
      <w:pPr>
        <w:ind w:firstLine="360"/>
        <w:rPr>
          <w:sz w:val="24"/>
          <w:szCs w:val="24"/>
        </w:rPr>
      </w:pPr>
      <w:r w:rsidRPr="00A01DB2">
        <w:rPr>
          <w:sz w:val="24"/>
          <w:szCs w:val="24"/>
        </w:rPr>
        <w:tab/>
      </w:r>
      <w:r w:rsidR="00A20C12" w:rsidRPr="00A01DB2">
        <w:rPr>
          <w:sz w:val="24"/>
          <w:szCs w:val="24"/>
        </w:rPr>
        <w:t xml:space="preserve">If you have any questions regarding this </w:t>
      </w:r>
      <w:r w:rsidR="0071761F" w:rsidRPr="00A01DB2">
        <w:rPr>
          <w:sz w:val="24"/>
          <w:szCs w:val="24"/>
        </w:rPr>
        <w:t>Secretarial Letter</w:t>
      </w:r>
      <w:r w:rsidR="00A20C12" w:rsidRPr="00A01DB2">
        <w:rPr>
          <w:sz w:val="24"/>
          <w:szCs w:val="24"/>
        </w:rPr>
        <w:t xml:space="preserve">, please contact </w:t>
      </w:r>
      <w:r w:rsidR="002E2175">
        <w:rPr>
          <w:sz w:val="24"/>
          <w:szCs w:val="24"/>
        </w:rPr>
        <w:t>Megan Good</w:t>
      </w:r>
      <w:r w:rsidR="00325403" w:rsidRPr="00A01DB2">
        <w:rPr>
          <w:sz w:val="24"/>
          <w:szCs w:val="24"/>
        </w:rPr>
        <w:t xml:space="preserve"> </w:t>
      </w:r>
      <w:r w:rsidR="00A20C12" w:rsidRPr="00A01DB2">
        <w:rPr>
          <w:sz w:val="24"/>
          <w:szCs w:val="24"/>
        </w:rPr>
        <w:t>at 717-</w:t>
      </w:r>
      <w:r w:rsidR="002E2175">
        <w:rPr>
          <w:sz w:val="24"/>
          <w:szCs w:val="24"/>
        </w:rPr>
        <w:t>425-7583</w:t>
      </w:r>
      <w:r w:rsidR="00A20C12" w:rsidRPr="00A01DB2">
        <w:rPr>
          <w:sz w:val="24"/>
          <w:szCs w:val="24"/>
        </w:rPr>
        <w:t xml:space="preserve"> o</w:t>
      </w:r>
      <w:r w:rsidR="002E2175">
        <w:rPr>
          <w:sz w:val="24"/>
          <w:szCs w:val="24"/>
        </w:rPr>
        <w:t xml:space="preserve">r </w:t>
      </w:r>
      <w:hyperlink r:id="rId12" w:history="1">
        <w:r w:rsidR="002E2175" w:rsidRPr="00D069D4">
          <w:rPr>
            <w:rStyle w:val="Hyperlink"/>
            <w:sz w:val="24"/>
            <w:szCs w:val="24"/>
          </w:rPr>
          <w:t>megagood@pa.gov</w:t>
        </w:r>
      </w:hyperlink>
      <w:r w:rsidR="00325403" w:rsidRPr="00A01DB2">
        <w:rPr>
          <w:sz w:val="24"/>
          <w:szCs w:val="24"/>
        </w:rPr>
        <w:t>.</w:t>
      </w:r>
    </w:p>
    <w:p w:rsidR="00645839" w:rsidRDefault="00645839" w:rsidP="00280D84">
      <w:pPr>
        <w:ind w:firstLine="360"/>
        <w:rPr>
          <w:sz w:val="24"/>
          <w:szCs w:val="24"/>
        </w:rPr>
      </w:pPr>
    </w:p>
    <w:p w:rsidR="00A20C12" w:rsidRPr="00F1131E" w:rsidRDefault="00A20C12" w:rsidP="00280D84">
      <w:pPr>
        <w:ind w:firstLine="360"/>
        <w:rPr>
          <w:sz w:val="24"/>
          <w:szCs w:val="24"/>
        </w:rPr>
      </w:pPr>
      <w:r w:rsidRPr="00F1131E">
        <w:rPr>
          <w:sz w:val="24"/>
          <w:szCs w:val="24"/>
        </w:rPr>
        <w:t xml:space="preserve">   </w:t>
      </w:r>
    </w:p>
    <w:p w:rsidR="00BE4A72" w:rsidRPr="00F47A16" w:rsidRDefault="00092374" w:rsidP="00645839">
      <w:pPr>
        <w:rPr>
          <w:sz w:val="24"/>
          <w:szCs w:val="24"/>
        </w:rPr>
      </w:pPr>
      <w:bookmarkStart w:id="0" w:name="_GoBack"/>
      <w:r>
        <w:rPr>
          <w:noProof/>
        </w:rPr>
        <w:drawing>
          <wp:anchor distT="0" distB="0" distL="114300" distR="114300" simplePos="0" relativeHeight="251658240" behindDoc="1" locked="0" layoutInCell="1" allowOverlap="1" wp14:anchorId="0B5FB1F2" wp14:editId="713A50E6">
            <wp:simplePos x="0" y="0"/>
            <wp:positionH relativeFrom="column">
              <wp:posOffset>2235200</wp:posOffset>
            </wp:positionH>
            <wp:positionV relativeFrom="paragraph">
              <wp:posOffset>60960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77F29" w:rsidRPr="00F47A16">
        <w:rPr>
          <w:sz w:val="24"/>
          <w:szCs w:val="24"/>
        </w:rPr>
        <w:t xml:space="preserve"> </w:t>
      </w:r>
      <w:r w:rsidR="00645839">
        <w:rPr>
          <w:sz w:val="24"/>
          <w:szCs w:val="24"/>
        </w:rPr>
        <w:tab/>
      </w:r>
      <w:r w:rsidR="00645839">
        <w:rPr>
          <w:sz w:val="24"/>
          <w:szCs w:val="24"/>
        </w:rPr>
        <w:tab/>
      </w:r>
      <w:r w:rsidR="00645839">
        <w:rPr>
          <w:sz w:val="24"/>
          <w:szCs w:val="24"/>
        </w:rPr>
        <w:tab/>
      </w:r>
      <w:r w:rsidR="00645839">
        <w:rPr>
          <w:sz w:val="24"/>
          <w:szCs w:val="24"/>
        </w:rPr>
        <w:tab/>
      </w:r>
      <w:r w:rsidR="00645839">
        <w:rPr>
          <w:sz w:val="24"/>
          <w:szCs w:val="24"/>
        </w:rPr>
        <w:tab/>
      </w:r>
      <w:r w:rsidR="00BE4A72" w:rsidRPr="00F47A16">
        <w:rPr>
          <w:sz w:val="24"/>
          <w:szCs w:val="24"/>
        </w:rPr>
        <w:tab/>
        <w:t>Sincerely,</w:t>
      </w:r>
    </w:p>
    <w:p w:rsidR="00BE4A72" w:rsidRPr="00E20419" w:rsidRDefault="00BE4A72" w:rsidP="00BE4A72">
      <w:pPr>
        <w:ind w:left="3600"/>
        <w:rPr>
          <w:sz w:val="24"/>
          <w:szCs w:val="24"/>
        </w:rPr>
      </w:pPr>
    </w:p>
    <w:p w:rsidR="00BE4A72" w:rsidRPr="00681A8B" w:rsidRDefault="00BE4A72" w:rsidP="00BE4A72">
      <w:pPr>
        <w:ind w:left="3600"/>
        <w:rPr>
          <w:sz w:val="24"/>
          <w:szCs w:val="24"/>
        </w:rPr>
      </w:pPr>
    </w:p>
    <w:p w:rsidR="00325403" w:rsidRPr="00681A8B" w:rsidRDefault="00325403" w:rsidP="00BE4A72">
      <w:pPr>
        <w:ind w:left="3600"/>
        <w:rPr>
          <w:sz w:val="24"/>
          <w:szCs w:val="24"/>
        </w:rPr>
      </w:pPr>
    </w:p>
    <w:p w:rsidR="002B37D7" w:rsidRPr="00CE34EC" w:rsidRDefault="00C77F29" w:rsidP="002B37D7">
      <w:pPr>
        <w:jc w:val="both"/>
        <w:rPr>
          <w:color w:val="000000"/>
          <w:sz w:val="24"/>
          <w:szCs w:val="24"/>
        </w:rPr>
      </w:pPr>
      <w:r w:rsidRPr="00681A8B">
        <w:rPr>
          <w:sz w:val="24"/>
          <w:szCs w:val="24"/>
        </w:rPr>
        <w:tab/>
      </w:r>
      <w:r w:rsidR="002B37D7" w:rsidRPr="00CE34EC">
        <w:rPr>
          <w:sz w:val="24"/>
          <w:szCs w:val="24"/>
        </w:rPr>
        <w:tab/>
      </w:r>
      <w:r w:rsidR="002B37D7" w:rsidRPr="00CE34EC">
        <w:rPr>
          <w:sz w:val="24"/>
          <w:szCs w:val="24"/>
        </w:rPr>
        <w:tab/>
      </w:r>
      <w:r w:rsidR="002B37D7" w:rsidRPr="00CE34EC">
        <w:rPr>
          <w:sz w:val="24"/>
          <w:szCs w:val="24"/>
        </w:rPr>
        <w:tab/>
      </w:r>
      <w:r w:rsidR="002B37D7" w:rsidRPr="00CE34EC">
        <w:rPr>
          <w:sz w:val="24"/>
          <w:szCs w:val="24"/>
        </w:rPr>
        <w:tab/>
      </w:r>
      <w:r w:rsidR="002B37D7" w:rsidRPr="00CE34EC">
        <w:rPr>
          <w:sz w:val="24"/>
          <w:szCs w:val="24"/>
        </w:rPr>
        <w:tab/>
      </w:r>
      <w:r w:rsidR="002B37D7" w:rsidRPr="00CE34EC">
        <w:rPr>
          <w:color w:val="000000"/>
          <w:sz w:val="24"/>
          <w:szCs w:val="24"/>
        </w:rPr>
        <w:t>Rosemary Chiavetta</w:t>
      </w:r>
    </w:p>
    <w:p w:rsidR="002B37D7" w:rsidRPr="000D7109" w:rsidRDefault="002B37D7" w:rsidP="002B37D7">
      <w:pPr>
        <w:jc w:val="both"/>
        <w:rPr>
          <w:color w:val="000000"/>
          <w:sz w:val="24"/>
          <w:szCs w:val="24"/>
        </w:rPr>
      </w:pPr>
      <w:r w:rsidRPr="000D7109">
        <w:rPr>
          <w:color w:val="000000"/>
          <w:sz w:val="24"/>
          <w:szCs w:val="24"/>
        </w:rPr>
        <w:tab/>
      </w:r>
      <w:r w:rsidRPr="000D7109">
        <w:rPr>
          <w:color w:val="000000"/>
          <w:sz w:val="24"/>
          <w:szCs w:val="24"/>
        </w:rPr>
        <w:tab/>
      </w:r>
      <w:r w:rsidRPr="000D7109">
        <w:rPr>
          <w:color w:val="000000"/>
          <w:sz w:val="24"/>
          <w:szCs w:val="24"/>
        </w:rPr>
        <w:tab/>
      </w:r>
      <w:r w:rsidRPr="000D7109">
        <w:rPr>
          <w:color w:val="000000"/>
          <w:sz w:val="24"/>
          <w:szCs w:val="24"/>
        </w:rPr>
        <w:tab/>
      </w:r>
      <w:r w:rsidRPr="000D7109">
        <w:rPr>
          <w:color w:val="000000"/>
          <w:sz w:val="24"/>
          <w:szCs w:val="24"/>
        </w:rPr>
        <w:tab/>
      </w:r>
      <w:r w:rsidRPr="000D7109">
        <w:rPr>
          <w:color w:val="000000"/>
          <w:sz w:val="24"/>
          <w:szCs w:val="24"/>
        </w:rPr>
        <w:tab/>
        <w:t>Secretary</w:t>
      </w:r>
    </w:p>
    <w:p w:rsidR="002B37D7" w:rsidRPr="000D7109" w:rsidRDefault="002B37D7" w:rsidP="002B37D7">
      <w:pPr>
        <w:jc w:val="both"/>
        <w:rPr>
          <w:sz w:val="24"/>
          <w:szCs w:val="24"/>
        </w:rPr>
      </w:pPr>
    </w:p>
    <w:p w:rsidR="002B37D7" w:rsidRPr="00A01DB2" w:rsidRDefault="002B37D7" w:rsidP="00280D84">
      <w:pPr>
        <w:rPr>
          <w:sz w:val="24"/>
          <w:szCs w:val="24"/>
        </w:rPr>
      </w:pPr>
      <w:r w:rsidRPr="00A01DB2">
        <w:rPr>
          <w:sz w:val="24"/>
          <w:szCs w:val="24"/>
        </w:rPr>
        <w:t>cc:</w:t>
      </w:r>
      <w:r w:rsidRPr="00A01DB2">
        <w:rPr>
          <w:sz w:val="24"/>
          <w:szCs w:val="24"/>
        </w:rPr>
        <w:tab/>
        <w:t>Chairman’s Office</w:t>
      </w:r>
      <w:r w:rsidR="00F8563A">
        <w:rPr>
          <w:sz w:val="24"/>
          <w:szCs w:val="24"/>
        </w:rPr>
        <w:t xml:space="preserve">  </w:t>
      </w:r>
    </w:p>
    <w:p w:rsidR="002B37D7" w:rsidRPr="00A01DB2" w:rsidRDefault="002B37D7" w:rsidP="00280D84">
      <w:pPr>
        <w:rPr>
          <w:sz w:val="24"/>
          <w:szCs w:val="24"/>
        </w:rPr>
      </w:pPr>
      <w:r w:rsidRPr="00A01DB2">
        <w:rPr>
          <w:sz w:val="24"/>
          <w:szCs w:val="24"/>
        </w:rPr>
        <w:tab/>
        <w:t>Vice Chairman’s Office</w:t>
      </w:r>
    </w:p>
    <w:p w:rsidR="002B37D7" w:rsidRPr="00A01DB2" w:rsidRDefault="002B37D7" w:rsidP="00280D84">
      <w:pPr>
        <w:rPr>
          <w:sz w:val="24"/>
          <w:szCs w:val="24"/>
        </w:rPr>
      </w:pPr>
      <w:r w:rsidRPr="00A01DB2">
        <w:rPr>
          <w:sz w:val="24"/>
          <w:szCs w:val="24"/>
        </w:rPr>
        <w:tab/>
        <w:t>Commissioners’ Office</w:t>
      </w:r>
      <w:r w:rsidR="00280D84">
        <w:rPr>
          <w:sz w:val="24"/>
          <w:szCs w:val="24"/>
        </w:rPr>
        <w:t>s</w:t>
      </w:r>
    </w:p>
    <w:p w:rsidR="00C55BE6" w:rsidRPr="00A01DB2" w:rsidRDefault="00C55BE6" w:rsidP="00280D84">
      <w:pPr>
        <w:rPr>
          <w:sz w:val="24"/>
          <w:szCs w:val="24"/>
        </w:rPr>
      </w:pPr>
      <w:r w:rsidRPr="00A01DB2">
        <w:rPr>
          <w:sz w:val="24"/>
          <w:szCs w:val="24"/>
        </w:rPr>
        <w:tab/>
        <w:t>Jan Freeman, Executive Director</w:t>
      </w:r>
    </w:p>
    <w:p w:rsidR="002B37D7" w:rsidRPr="00A01DB2" w:rsidRDefault="002B37D7" w:rsidP="00280D84">
      <w:pPr>
        <w:rPr>
          <w:sz w:val="24"/>
          <w:szCs w:val="24"/>
        </w:rPr>
      </w:pPr>
      <w:r w:rsidRPr="00A01DB2">
        <w:rPr>
          <w:sz w:val="24"/>
          <w:szCs w:val="24"/>
        </w:rPr>
        <w:tab/>
      </w:r>
      <w:r w:rsidR="00280D84">
        <w:rPr>
          <w:sz w:val="24"/>
          <w:szCs w:val="24"/>
        </w:rPr>
        <w:t>Mary Beth Osborne</w:t>
      </w:r>
      <w:r w:rsidRPr="00A01DB2">
        <w:rPr>
          <w:sz w:val="24"/>
          <w:szCs w:val="24"/>
        </w:rPr>
        <w:t xml:space="preserve">, Director of </w:t>
      </w:r>
      <w:r w:rsidR="00C55BE6" w:rsidRPr="00A01DB2">
        <w:rPr>
          <w:sz w:val="24"/>
          <w:szCs w:val="24"/>
        </w:rPr>
        <w:t xml:space="preserve">Regulatory </w:t>
      </w:r>
      <w:r w:rsidR="00280D84">
        <w:rPr>
          <w:sz w:val="24"/>
          <w:szCs w:val="24"/>
        </w:rPr>
        <w:t>Affairs</w:t>
      </w:r>
    </w:p>
    <w:p w:rsidR="002B37D7" w:rsidRPr="00A01DB2" w:rsidRDefault="002B37D7" w:rsidP="00280D84">
      <w:pPr>
        <w:rPr>
          <w:sz w:val="24"/>
          <w:szCs w:val="24"/>
        </w:rPr>
      </w:pPr>
      <w:r w:rsidRPr="00A01DB2">
        <w:rPr>
          <w:sz w:val="24"/>
          <w:szCs w:val="24"/>
        </w:rPr>
        <w:tab/>
      </w:r>
      <w:r w:rsidR="00280D84">
        <w:rPr>
          <w:sz w:val="24"/>
          <w:szCs w:val="24"/>
        </w:rPr>
        <w:t>Bohdan</w:t>
      </w:r>
      <w:r w:rsidRPr="00A01DB2">
        <w:rPr>
          <w:sz w:val="24"/>
          <w:szCs w:val="24"/>
        </w:rPr>
        <w:t xml:space="preserve"> Pankiw, Chief Counsel</w:t>
      </w:r>
    </w:p>
    <w:p w:rsidR="002B37D7" w:rsidRDefault="00280D84" w:rsidP="00280D84">
      <w:pPr>
        <w:rPr>
          <w:sz w:val="24"/>
          <w:szCs w:val="24"/>
        </w:rPr>
      </w:pPr>
      <w:r>
        <w:rPr>
          <w:sz w:val="24"/>
          <w:szCs w:val="24"/>
        </w:rPr>
        <w:tab/>
        <w:t xml:space="preserve">Robert </w:t>
      </w:r>
      <w:r w:rsidR="002B37D7" w:rsidRPr="00A01DB2">
        <w:rPr>
          <w:sz w:val="24"/>
          <w:szCs w:val="24"/>
        </w:rPr>
        <w:t>Young, Deputy Chief Counsel</w:t>
      </w:r>
    </w:p>
    <w:p w:rsidR="00280D84" w:rsidRPr="00A01DB2" w:rsidRDefault="00280D84" w:rsidP="00280D84">
      <w:pPr>
        <w:rPr>
          <w:sz w:val="24"/>
          <w:szCs w:val="24"/>
        </w:rPr>
      </w:pPr>
      <w:r>
        <w:rPr>
          <w:sz w:val="24"/>
          <w:szCs w:val="24"/>
        </w:rPr>
        <w:tab/>
        <w:t>Kriss Brown, Assistant Counsel</w:t>
      </w:r>
    </w:p>
    <w:p w:rsidR="002B37D7" w:rsidRPr="00A01DB2" w:rsidRDefault="002B37D7" w:rsidP="00280D84">
      <w:pPr>
        <w:rPr>
          <w:sz w:val="24"/>
          <w:szCs w:val="24"/>
        </w:rPr>
      </w:pPr>
      <w:r w:rsidRPr="00A01DB2">
        <w:rPr>
          <w:sz w:val="24"/>
          <w:szCs w:val="24"/>
        </w:rPr>
        <w:tab/>
      </w:r>
      <w:r w:rsidR="00280D84">
        <w:rPr>
          <w:sz w:val="24"/>
          <w:szCs w:val="24"/>
        </w:rPr>
        <w:t xml:space="preserve">Paul </w:t>
      </w:r>
      <w:r w:rsidR="00DC06D2" w:rsidRPr="00A01DB2">
        <w:rPr>
          <w:sz w:val="24"/>
          <w:szCs w:val="24"/>
        </w:rPr>
        <w:t>Diskin</w:t>
      </w:r>
      <w:r w:rsidRPr="00A01DB2">
        <w:rPr>
          <w:sz w:val="24"/>
          <w:szCs w:val="24"/>
        </w:rPr>
        <w:t xml:space="preserve">, Director, </w:t>
      </w:r>
      <w:r w:rsidR="00DC06D2" w:rsidRPr="00A01DB2">
        <w:rPr>
          <w:sz w:val="24"/>
          <w:szCs w:val="24"/>
        </w:rPr>
        <w:t>Technical Utility Services</w:t>
      </w:r>
    </w:p>
    <w:p w:rsidR="006F614A" w:rsidRDefault="006F614A" w:rsidP="00280D84">
      <w:pPr>
        <w:rPr>
          <w:sz w:val="24"/>
          <w:szCs w:val="24"/>
        </w:rPr>
      </w:pPr>
      <w:r w:rsidRPr="00A01DB2">
        <w:rPr>
          <w:sz w:val="24"/>
          <w:szCs w:val="24"/>
        </w:rPr>
        <w:tab/>
        <w:t xml:space="preserve">Darren Gill, </w:t>
      </w:r>
      <w:r w:rsidR="00C07570" w:rsidRPr="00A01DB2">
        <w:rPr>
          <w:sz w:val="24"/>
          <w:szCs w:val="24"/>
        </w:rPr>
        <w:t>Deputy Director</w:t>
      </w:r>
      <w:r w:rsidRPr="00A01DB2">
        <w:rPr>
          <w:sz w:val="24"/>
          <w:szCs w:val="24"/>
        </w:rPr>
        <w:t xml:space="preserve">, </w:t>
      </w:r>
      <w:r w:rsidR="00C07570" w:rsidRPr="00A01DB2">
        <w:rPr>
          <w:sz w:val="24"/>
          <w:szCs w:val="24"/>
        </w:rPr>
        <w:t>Technical Utility Services</w:t>
      </w:r>
    </w:p>
    <w:p w:rsidR="00280D84" w:rsidRDefault="00280D84" w:rsidP="00280D84">
      <w:pPr>
        <w:rPr>
          <w:sz w:val="24"/>
          <w:szCs w:val="24"/>
        </w:rPr>
      </w:pPr>
      <w:r>
        <w:rPr>
          <w:sz w:val="24"/>
          <w:szCs w:val="24"/>
        </w:rPr>
        <w:tab/>
        <w:t>Joseph Sherrick, Supervisor, Technical Utility Services</w:t>
      </w:r>
    </w:p>
    <w:p w:rsidR="00280D84" w:rsidRPr="00A01DB2" w:rsidRDefault="00280D84" w:rsidP="00280D84">
      <w:pPr>
        <w:rPr>
          <w:sz w:val="26"/>
          <w:szCs w:val="26"/>
        </w:rPr>
      </w:pPr>
      <w:r>
        <w:rPr>
          <w:sz w:val="24"/>
          <w:szCs w:val="24"/>
        </w:rPr>
        <w:tab/>
        <w:t>Megan Good, Analyst, Technical Utility Services</w:t>
      </w:r>
    </w:p>
    <w:sectPr w:rsidR="00280D84" w:rsidRPr="00A01DB2" w:rsidSect="00EF002D">
      <w:footerReference w:type="even" r:id="rId14"/>
      <w:footerReference w:type="defaul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FD6" w:rsidRDefault="00720FD6">
      <w:r>
        <w:separator/>
      </w:r>
    </w:p>
  </w:endnote>
  <w:endnote w:type="continuationSeparator" w:id="0">
    <w:p w:rsidR="00720FD6" w:rsidRDefault="0072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09" w:rsidRDefault="000D71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D7109" w:rsidRDefault="000D7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1812345"/>
      <w:docPartObj>
        <w:docPartGallery w:val="Page Numbers (Bottom of Page)"/>
        <w:docPartUnique/>
      </w:docPartObj>
    </w:sdtPr>
    <w:sdtEndPr/>
    <w:sdtContent>
      <w:p w:rsidR="000D7109" w:rsidRPr="00643E2B" w:rsidRDefault="000D7109">
        <w:pPr>
          <w:pStyle w:val="Footer"/>
          <w:jc w:val="center"/>
          <w:rPr>
            <w:sz w:val="24"/>
            <w:szCs w:val="24"/>
          </w:rPr>
        </w:pPr>
        <w:r w:rsidRPr="00643E2B">
          <w:rPr>
            <w:sz w:val="24"/>
            <w:szCs w:val="24"/>
          </w:rPr>
          <w:fldChar w:fldCharType="begin"/>
        </w:r>
        <w:r w:rsidRPr="00643E2B">
          <w:rPr>
            <w:sz w:val="24"/>
            <w:szCs w:val="24"/>
          </w:rPr>
          <w:instrText xml:space="preserve"> PAGE   \* MERGEFORMAT </w:instrText>
        </w:r>
        <w:r w:rsidRPr="00643E2B">
          <w:rPr>
            <w:sz w:val="24"/>
            <w:szCs w:val="24"/>
          </w:rPr>
          <w:fldChar w:fldCharType="separate"/>
        </w:r>
        <w:r w:rsidR="00092374">
          <w:rPr>
            <w:noProof/>
            <w:sz w:val="24"/>
            <w:szCs w:val="24"/>
          </w:rPr>
          <w:t>9</w:t>
        </w:r>
        <w:r w:rsidRPr="00643E2B">
          <w:rPr>
            <w:sz w:val="24"/>
            <w:szCs w:val="24"/>
          </w:rPr>
          <w:fldChar w:fldCharType="end"/>
        </w:r>
      </w:p>
    </w:sdtContent>
  </w:sdt>
  <w:p w:rsidR="000D7109" w:rsidRPr="00643E2B" w:rsidRDefault="000D7109">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FD6" w:rsidRDefault="00720FD6">
      <w:r>
        <w:separator/>
      </w:r>
    </w:p>
  </w:footnote>
  <w:footnote w:type="continuationSeparator" w:id="0">
    <w:p w:rsidR="00720FD6" w:rsidRDefault="00720FD6">
      <w:r>
        <w:continuationSeparator/>
      </w:r>
    </w:p>
  </w:footnote>
  <w:footnote w:id="1">
    <w:p w:rsidR="000D7109" w:rsidRPr="00C61CFD" w:rsidRDefault="000D7109" w:rsidP="00C61CFD">
      <w:pPr>
        <w:pStyle w:val="FootnoteText"/>
      </w:pPr>
      <w:r w:rsidRPr="00C61CFD">
        <w:rPr>
          <w:rStyle w:val="FootnoteReference"/>
        </w:rPr>
        <w:footnoteRef/>
      </w:r>
      <w:r w:rsidRPr="00C61CFD">
        <w:t xml:space="preserve"> </w:t>
      </w:r>
      <w:r w:rsidRPr="00C61CFD">
        <w:rPr>
          <w:i/>
        </w:rPr>
        <w:t>See</w:t>
      </w:r>
      <w:r w:rsidRPr="00C61CFD">
        <w:t xml:space="preserve"> </w:t>
      </w:r>
      <w:proofErr w:type="gramStart"/>
      <w:r w:rsidRPr="00C61CFD">
        <w:t>66 Pa.C.S</w:t>
      </w:r>
      <w:proofErr w:type="gramEnd"/>
      <w:r w:rsidRPr="00C61CFD">
        <w:t xml:space="preserve">. </w:t>
      </w:r>
      <w:proofErr w:type="gramStart"/>
      <w:r w:rsidRPr="00C61CFD">
        <w:t>§§ 2806.1(c) and (d).</w:t>
      </w:r>
      <w:proofErr w:type="gramEnd"/>
    </w:p>
  </w:footnote>
  <w:footnote w:id="2">
    <w:p w:rsidR="0006619B" w:rsidRPr="00C61CFD" w:rsidRDefault="0006619B" w:rsidP="00C61CFD">
      <w:pPr>
        <w:pStyle w:val="FootnoteText"/>
      </w:pPr>
      <w:r w:rsidRPr="00C61CFD">
        <w:rPr>
          <w:rStyle w:val="FootnoteReference"/>
        </w:rPr>
        <w:footnoteRef/>
      </w:r>
      <w:r w:rsidRPr="00C61CFD">
        <w:t xml:space="preserve"> </w:t>
      </w:r>
      <w:r w:rsidRPr="00C61CFD">
        <w:rPr>
          <w:i/>
          <w:iCs/>
        </w:rPr>
        <w:t>See Energy Efficiency and Conservation Program</w:t>
      </w:r>
      <w:r w:rsidRPr="00C61CFD">
        <w:t xml:space="preserve"> Implementation Order</w:t>
      </w:r>
      <w:r w:rsidR="006F21C0" w:rsidRPr="00C61CFD">
        <w:t>,</w:t>
      </w:r>
      <w:r w:rsidRPr="00C61CFD">
        <w:t xml:space="preserve"> Docket Nos. </w:t>
      </w:r>
      <w:proofErr w:type="gramStart"/>
      <w:r w:rsidRPr="00C61CFD">
        <w:t>M-2012-2289411 and M</w:t>
      </w:r>
      <w:r w:rsidR="006F21C0" w:rsidRPr="00C61CFD">
        <w:noBreakHyphen/>
      </w:r>
      <w:r w:rsidRPr="00C61CFD">
        <w:t>2008-2069887</w:t>
      </w:r>
      <w:r w:rsidR="00E63D4A" w:rsidRPr="00C61CFD">
        <w:t xml:space="preserve"> </w:t>
      </w:r>
      <w:r w:rsidRPr="00C61CFD">
        <w:t>(August 3, 2012)</w:t>
      </w:r>
      <w:r w:rsidR="006F21C0" w:rsidRPr="00C61CFD">
        <w:t xml:space="preserve"> (Phase II Implementation Order)</w:t>
      </w:r>
      <w:r w:rsidRPr="00C61CFD">
        <w:t>.</w:t>
      </w:r>
      <w:proofErr w:type="gramEnd"/>
    </w:p>
  </w:footnote>
  <w:footnote w:id="3">
    <w:p w:rsidR="0006619B" w:rsidRPr="00C61CFD" w:rsidRDefault="0006619B" w:rsidP="00C61CFD">
      <w:pPr>
        <w:pStyle w:val="FootnoteText"/>
      </w:pPr>
      <w:r w:rsidRPr="00C61CFD">
        <w:rPr>
          <w:rStyle w:val="FootnoteReference"/>
        </w:rPr>
        <w:footnoteRef/>
      </w:r>
      <w:r w:rsidRPr="00C61CFD">
        <w:t xml:space="preserve"> Phase II of the Act 129 EE&amp;C Program occurs between June 1, 2013, and May 31, 2016.</w:t>
      </w:r>
    </w:p>
  </w:footnote>
  <w:footnote w:id="4">
    <w:p w:rsidR="007E534B" w:rsidRPr="00C61CFD" w:rsidRDefault="007E534B" w:rsidP="00C61CFD">
      <w:pPr>
        <w:pStyle w:val="FootnoteText"/>
      </w:pPr>
      <w:r w:rsidRPr="00C61CFD">
        <w:rPr>
          <w:rStyle w:val="FootnoteReference"/>
        </w:rPr>
        <w:footnoteRef/>
      </w:r>
      <w:r w:rsidRPr="00C61CFD">
        <w:t xml:space="preserve"> </w:t>
      </w:r>
      <w:proofErr w:type="gramStart"/>
      <w:r w:rsidRPr="00C61CFD">
        <w:t xml:space="preserve">GDS Associates, </w:t>
      </w:r>
      <w:r w:rsidRPr="00C61CFD">
        <w:rPr>
          <w:i/>
        </w:rPr>
        <w:t>et al.</w:t>
      </w:r>
      <w:proofErr w:type="gramEnd"/>
    </w:p>
  </w:footnote>
  <w:footnote w:id="5">
    <w:p w:rsidR="00E63D4A" w:rsidRPr="00C61CFD" w:rsidRDefault="00E63D4A" w:rsidP="00C61CFD">
      <w:pPr>
        <w:pStyle w:val="FootnoteText"/>
      </w:pPr>
      <w:r w:rsidRPr="00C61CFD">
        <w:rPr>
          <w:rStyle w:val="FootnoteReference"/>
        </w:rPr>
        <w:footnoteRef/>
      </w:r>
      <w:r w:rsidRPr="00C61CFD">
        <w:t xml:space="preserve"> </w:t>
      </w:r>
      <w:r w:rsidRPr="00C61CFD">
        <w:rPr>
          <w:i/>
        </w:rPr>
        <w:t xml:space="preserve">See </w:t>
      </w:r>
      <w:r w:rsidRPr="00C61CFD">
        <w:t>Phase II Implementation Order at 22.</w:t>
      </w:r>
    </w:p>
  </w:footnote>
  <w:footnote w:id="6">
    <w:p w:rsidR="00E63D4A" w:rsidRPr="00C61CFD" w:rsidRDefault="00E63D4A" w:rsidP="00C61CFD">
      <w:pPr>
        <w:pStyle w:val="FootnoteText"/>
      </w:pPr>
      <w:r w:rsidRPr="00C61CFD">
        <w:rPr>
          <w:rStyle w:val="FootnoteReference"/>
        </w:rPr>
        <w:footnoteRef/>
      </w:r>
      <w:r w:rsidRPr="00C61CFD">
        <w:t xml:space="preserve"> Act 129 requires the Commission to evaluate the costs and benefits of the EE&amp;C Program at least every five years.  </w:t>
      </w:r>
      <w:r w:rsidRPr="00C61CFD">
        <w:rPr>
          <w:i/>
        </w:rPr>
        <w:t>See</w:t>
      </w:r>
      <w:r w:rsidRPr="00C61CFD">
        <w:t xml:space="preserve"> </w:t>
      </w:r>
      <w:proofErr w:type="gramStart"/>
      <w:r w:rsidRPr="00C61CFD">
        <w:t>66 Pa.C.S</w:t>
      </w:r>
      <w:proofErr w:type="gramEnd"/>
      <w:r w:rsidRPr="00C61CFD">
        <w:t>. § 2806.1(c</w:t>
      </w:r>
      <w:proofErr w:type="gramStart"/>
      <w:r w:rsidRPr="00C61CFD">
        <w:t>)(</w:t>
      </w:r>
      <w:proofErr w:type="gramEnd"/>
      <w:r w:rsidRPr="00C61CFD">
        <w:t>3).</w:t>
      </w:r>
      <w:r w:rsidR="009930D2" w:rsidRPr="00C61CFD">
        <w:t xml:space="preserve">  If the program were longer than five years, the Commission could still evaluate the program during the fifth year, thus giving an additional year to conduct the evaluation, set new targets and to develop and approve EDC plans.</w:t>
      </w:r>
    </w:p>
  </w:footnote>
  <w:footnote w:id="7">
    <w:p w:rsidR="00572556" w:rsidRPr="00C61CFD" w:rsidRDefault="00572556" w:rsidP="00572556">
      <w:pPr>
        <w:pStyle w:val="FootnoteText"/>
      </w:pPr>
      <w:r w:rsidRPr="00C61CFD">
        <w:rPr>
          <w:rStyle w:val="FootnoteReference"/>
        </w:rPr>
        <w:footnoteRef/>
      </w:r>
      <w:r w:rsidRPr="00C61CFD">
        <w:t xml:space="preserve"> </w:t>
      </w:r>
      <w:proofErr w:type="gramStart"/>
      <w:r w:rsidRPr="00C61CFD">
        <w:rPr>
          <w:i/>
        </w:rPr>
        <w:t>Id.</w:t>
      </w:r>
      <w:r w:rsidRPr="00C61CFD">
        <w:t xml:space="preserve"> at 28.</w:t>
      </w:r>
      <w:proofErr w:type="gramEnd"/>
    </w:p>
  </w:footnote>
  <w:footnote w:id="8">
    <w:p w:rsidR="00B35953" w:rsidRPr="00C61CFD" w:rsidRDefault="00B35953" w:rsidP="00C61CFD">
      <w:pPr>
        <w:pStyle w:val="FootnoteText"/>
      </w:pPr>
      <w:r w:rsidRPr="00C61CFD">
        <w:rPr>
          <w:rStyle w:val="FootnoteReference"/>
        </w:rPr>
        <w:footnoteRef/>
      </w:r>
      <w:r w:rsidRPr="00C61CFD">
        <w:t xml:space="preserve"> </w:t>
      </w:r>
      <w:r w:rsidRPr="00C61CFD">
        <w:rPr>
          <w:i/>
        </w:rPr>
        <w:t xml:space="preserve">See Energy Efficiency and Conservation Program </w:t>
      </w:r>
      <w:r w:rsidR="00892409" w:rsidRPr="00C61CFD">
        <w:t>Tentative Order. Docket Nos. M-2012-2289411 and M-2008-2069887 (November 14, 2013).</w:t>
      </w:r>
    </w:p>
  </w:footnote>
  <w:footnote w:id="9">
    <w:p w:rsidR="00892409" w:rsidRPr="00C61CFD" w:rsidRDefault="00892409" w:rsidP="00C61CFD">
      <w:pPr>
        <w:pStyle w:val="FootnoteText"/>
      </w:pPr>
      <w:r w:rsidRPr="00C61CFD">
        <w:rPr>
          <w:rStyle w:val="FootnoteReference"/>
        </w:rPr>
        <w:footnoteRef/>
      </w:r>
      <w:r w:rsidRPr="00C61CFD">
        <w:t xml:space="preserve"> </w:t>
      </w:r>
      <w:proofErr w:type="gramStart"/>
      <w:r w:rsidRPr="00C61CFD">
        <w:rPr>
          <w:i/>
        </w:rPr>
        <w:t>See Energy Efficiency and Conservation Program</w:t>
      </w:r>
      <w:r w:rsidRPr="00C61CFD">
        <w:t xml:space="preserve"> Final Order.</w:t>
      </w:r>
      <w:proofErr w:type="gramEnd"/>
      <w:r w:rsidRPr="00C61CFD">
        <w:t xml:space="preserve"> Docket Nos. M-2012-2289411 and M</w:t>
      </w:r>
      <w:r w:rsidR="007E534B" w:rsidRPr="00C61CFD">
        <w:noBreakHyphen/>
      </w:r>
      <w:r w:rsidRPr="00C61CFD">
        <w:t>2008</w:t>
      </w:r>
      <w:r w:rsidR="007E534B" w:rsidRPr="00C61CFD">
        <w:noBreakHyphen/>
      </w:r>
      <w:r w:rsidRPr="00C61CFD">
        <w:t>2069887 (February 20, 2014).</w:t>
      </w:r>
    </w:p>
  </w:footnote>
  <w:footnote w:id="10">
    <w:p w:rsidR="006F1347" w:rsidRPr="00C61CFD" w:rsidRDefault="006F1347" w:rsidP="00C61CFD">
      <w:pPr>
        <w:pStyle w:val="FootnoteText"/>
      </w:pPr>
      <w:r w:rsidRPr="00C61CFD">
        <w:rPr>
          <w:rStyle w:val="FootnoteReference"/>
        </w:rPr>
        <w:footnoteRef/>
      </w:r>
      <w:r w:rsidRPr="00C61CFD">
        <w:t xml:space="preserve"> </w:t>
      </w:r>
      <w:r w:rsidRPr="00C61CFD">
        <w:rPr>
          <w:i/>
        </w:rPr>
        <w:t>See</w:t>
      </w:r>
      <w:r w:rsidRPr="00C61CFD">
        <w:t xml:space="preserve"> </w:t>
      </w:r>
      <w:proofErr w:type="gramStart"/>
      <w:r w:rsidRPr="00C61CFD">
        <w:t>66 Pa.C.S</w:t>
      </w:r>
      <w:proofErr w:type="gramEnd"/>
      <w:r w:rsidRPr="00C61CFD">
        <w:t>. § 2806.1(b</w:t>
      </w:r>
      <w:proofErr w:type="gramStart"/>
      <w:r w:rsidRPr="00C61CFD">
        <w:t>)(</w:t>
      </w:r>
      <w:proofErr w:type="gramEnd"/>
      <w:r w:rsidRPr="00C61CFD">
        <w:t>1)(i)(B).</w:t>
      </w:r>
    </w:p>
  </w:footnote>
  <w:footnote w:id="11">
    <w:p w:rsidR="00573B21" w:rsidRPr="00C61CFD" w:rsidRDefault="00573B21" w:rsidP="00C61CFD">
      <w:pPr>
        <w:pStyle w:val="FootnoteText"/>
      </w:pPr>
      <w:r w:rsidRPr="00C61CFD">
        <w:rPr>
          <w:rStyle w:val="FootnoteReference"/>
        </w:rPr>
        <w:footnoteRef/>
      </w:r>
      <w:r w:rsidRPr="00C61CFD">
        <w:t xml:space="preserve"> </w:t>
      </w:r>
      <w:r w:rsidRPr="00C61CFD">
        <w:rPr>
          <w:i/>
        </w:rPr>
        <w:t xml:space="preserve">See </w:t>
      </w:r>
      <w:r w:rsidRPr="00C61CFD">
        <w:t>Phase II Implementation Order at 45.</w:t>
      </w:r>
    </w:p>
  </w:footnote>
  <w:footnote w:id="12">
    <w:p w:rsidR="009B0CBC" w:rsidRPr="00C61CFD" w:rsidRDefault="009B0CBC" w:rsidP="00C61CFD">
      <w:pPr>
        <w:pStyle w:val="FootnoteText"/>
      </w:pPr>
      <w:r w:rsidRPr="00C61CFD">
        <w:rPr>
          <w:rStyle w:val="FootnoteReference"/>
        </w:rPr>
        <w:footnoteRef/>
      </w:r>
      <w:r w:rsidRPr="00C61CFD">
        <w:t xml:space="preserve"> </w:t>
      </w:r>
      <w:r w:rsidRPr="00C61CFD">
        <w:rPr>
          <w:i/>
        </w:rPr>
        <w:t xml:space="preserve">See </w:t>
      </w:r>
      <w:r w:rsidRPr="00C61CFD">
        <w:t>Phase II Implementation Order at 49 and 50.</w:t>
      </w:r>
    </w:p>
  </w:footnote>
  <w:footnote w:id="13">
    <w:p w:rsidR="009B0CBC" w:rsidRPr="00C61CFD" w:rsidRDefault="009B0CBC" w:rsidP="00C61CFD">
      <w:pPr>
        <w:pStyle w:val="FootnoteText"/>
      </w:pPr>
      <w:r w:rsidRPr="00C61CFD">
        <w:rPr>
          <w:rStyle w:val="FootnoteReference"/>
        </w:rPr>
        <w:footnoteRef/>
      </w:r>
      <w:r w:rsidRPr="00C61CFD">
        <w:t xml:space="preserve"> </w:t>
      </w:r>
      <w:r w:rsidRPr="00C61CFD">
        <w:rPr>
          <w:i/>
        </w:rPr>
        <w:t>See</w:t>
      </w:r>
      <w:r w:rsidRPr="00C61CFD">
        <w:t xml:space="preserve"> </w:t>
      </w:r>
      <w:proofErr w:type="gramStart"/>
      <w:r w:rsidRPr="00C61CFD">
        <w:t>66 Pa.C.S</w:t>
      </w:r>
      <w:proofErr w:type="gramEnd"/>
      <w:r w:rsidRPr="00C61CFD">
        <w:t>. § 2806.1(b</w:t>
      </w:r>
      <w:proofErr w:type="gramStart"/>
      <w:r w:rsidRPr="00C61CFD">
        <w:t>)(</w:t>
      </w:r>
      <w:proofErr w:type="gramEnd"/>
      <w:r w:rsidRPr="00C61CFD">
        <w:t>1)(i)(G).</w:t>
      </w:r>
    </w:p>
  </w:footnote>
  <w:footnote w:id="14">
    <w:p w:rsidR="009B0CBC" w:rsidRPr="00C61CFD" w:rsidRDefault="009B0CBC" w:rsidP="00C61CFD">
      <w:pPr>
        <w:pStyle w:val="FootnoteText"/>
      </w:pPr>
      <w:r w:rsidRPr="00C61CFD">
        <w:rPr>
          <w:rStyle w:val="FootnoteReference"/>
        </w:rPr>
        <w:footnoteRef/>
      </w:r>
      <w:r w:rsidRPr="00C61CFD">
        <w:t xml:space="preserve"> </w:t>
      </w:r>
      <w:r w:rsidRPr="00C61CFD">
        <w:rPr>
          <w:i/>
        </w:rPr>
        <w:t xml:space="preserve">See </w:t>
      </w:r>
      <w:r w:rsidRPr="00C61CFD">
        <w:t>Phase II Implementation Order at 54.</w:t>
      </w:r>
    </w:p>
  </w:footnote>
  <w:footnote w:id="15">
    <w:p w:rsidR="009B0CBC" w:rsidRPr="00C61CFD" w:rsidRDefault="009B0CBC" w:rsidP="00C61CFD">
      <w:pPr>
        <w:pStyle w:val="FootnoteText"/>
      </w:pPr>
      <w:r w:rsidRPr="00C61CFD">
        <w:rPr>
          <w:rStyle w:val="FootnoteReference"/>
        </w:rPr>
        <w:footnoteRef/>
      </w:r>
      <w:r w:rsidRPr="00C61CFD">
        <w:t xml:space="preserve"> </w:t>
      </w:r>
      <w:r w:rsidRPr="00C61CFD">
        <w:rPr>
          <w:i/>
        </w:rPr>
        <w:t>Ibid.</w:t>
      </w:r>
    </w:p>
  </w:footnote>
  <w:footnote w:id="16">
    <w:p w:rsidR="00304047" w:rsidRPr="00C61CFD" w:rsidRDefault="00304047" w:rsidP="00C61CFD">
      <w:pPr>
        <w:pStyle w:val="FootnoteText"/>
      </w:pPr>
      <w:r w:rsidRPr="00C61CFD">
        <w:rPr>
          <w:rStyle w:val="FootnoteReference"/>
        </w:rPr>
        <w:footnoteRef/>
      </w:r>
      <w:r w:rsidRPr="00C61CFD">
        <w:t xml:space="preserve"> </w:t>
      </w:r>
      <w:r w:rsidRPr="00C61CFD">
        <w:rPr>
          <w:i/>
        </w:rPr>
        <w:t>See</w:t>
      </w:r>
      <w:r w:rsidR="00F55E9B" w:rsidRPr="00C61CFD">
        <w:t xml:space="preserve"> Phase II Implementation </w:t>
      </w:r>
      <w:r w:rsidRPr="00C61CFD">
        <w:t>Order at 20.</w:t>
      </w:r>
    </w:p>
  </w:footnote>
  <w:footnote w:id="17">
    <w:p w:rsidR="009131B3" w:rsidRPr="00C61CFD" w:rsidRDefault="009131B3" w:rsidP="00C61CFD">
      <w:pPr>
        <w:pStyle w:val="FootnoteText"/>
      </w:pPr>
      <w:r w:rsidRPr="00C61CFD">
        <w:rPr>
          <w:rStyle w:val="FootnoteReference"/>
        </w:rPr>
        <w:footnoteRef/>
      </w:r>
      <w:r w:rsidRPr="00C61CFD">
        <w:t xml:space="preserve"> </w:t>
      </w:r>
      <w:proofErr w:type="gramStart"/>
      <w:r w:rsidRPr="00C61CFD">
        <w:rPr>
          <w:i/>
        </w:rPr>
        <w:t>Id.</w:t>
      </w:r>
      <w:r w:rsidRPr="00C61CFD">
        <w:t xml:space="preserve"> at 58 and 59.</w:t>
      </w:r>
      <w:proofErr w:type="gramEnd"/>
    </w:p>
  </w:footnote>
  <w:footnote w:id="18">
    <w:p w:rsidR="00386D26" w:rsidRPr="00C61CFD" w:rsidRDefault="00386D26" w:rsidP="00C61CFD">
      <w:pPr>
        <w:pStyle w:val="FootnoteText"/>
      </w:pPr>
      <w:r w:rsidRPr="00C61CFD">
        <w:rPr>
          <w:rStyle w:val="FootnoteReference"/>
        </w:rPr>
        <w:footnoteRef/>
      </w:r>
      <w:r w:rsidRPr="00C61CFD">
        <w:t xml:space="preserve"> </w:t>
      </w:r>
      <w:r w:rsidRPr="00C61CFD">
        <w:rPr>
          <w:i/>
          <w:iCs/>
        </w:rPr>
        <w:t>See Implementation of the Alternative Energy Portfolio Standards Act of 2004: Standards for the Participation of Demand Side Management Resources – Technical Reference Manual Update</w:t>
      </w:r>
      <w:r w:rsidRPr="00C61CFD">
        <w:rPr>
          <w:iCs/>
        </w:rPr>
        <w:t xml:space="preserve"> Final Order.  Docket No. M</w:t>
      </w:r>
      <w:r w:rsidR="00645839" w:rsidRPr="00C61CFD">
        <w:rPr>
          <w:iCs/>
        </w:rPr>
        <w:noBreakHyphen/>
      </w:r>
      <w:r w:rsidRPr="00C61CFD">
        <w:rPr>
          <w:iCs/>
        </w:rPr>
        <w:t xml:space="preserve">00051865. </w:t>
      </w:r>
      <w:proofErr w:type="gramStart"/>
      <w:r w:rsidRPr="00C61CFD">
        <w:rPr>
          <w:iCs/>
        </w:rPr>
        <w:t>(June 1, 2009) at page 17.</w:t>
      </w:r>
      <w:proofErr w:type="gramEnd"/>
      <w:r w:rsidRPr="00C61CFD">
        <w:rPr>
          <w:iCs/>
        </w:rPr>
        <w:t xml:space="preserve">  </w:t>
      </w:r>
      <w:proofErr w:type="gramStart"/>
      <w:r w:rsidRPr="00C61CFD">
        <w:rPr>
          <w:i/>
          <w:iCs/>
        </w:rPr>
        <w:t xml:space="preserve">See </w:t>
      </w:r>
      <w:r w:rsidRPr="00C61CFD">
        <w:rPr>
          <w:iCs/>
        </w:rPr>
        <w:t xml:space="preserve"> Phase</w:t>
      </w:r>
      <w:proofErr w:type="gramEnd"/>
      <w:r w:rsidRPr="00C61CFD">
        <w:rPr>
          <w:iCs/>
        </w:rPr>
        <w:t xml:space="preserve"> II Implementation Order at 72.</w:t>
      </w:r>
    </w:p>
  </w:footnote>
  <w:footnote w:id="19">
    <w:p w:rsidR="00E12A6C" w:rsidRPr="00C61CFD" w:rsidRDefault="00E12A6C" w:rsidP="00C61CFD">
      <w:pPr>
        <w:pStyle w:val="FootnoteText"/>
      </w:pPr>
      <w:r w:rsidRPr="00C61CFD">
        <w:rPr>
          <w:rStyle w:val="FootnoteReference"/>
        </w:rPr>
        <w:footnoteRef/>
      </w:r>
      <w:r w:rsidRPr="00C61CFD">
        <w:t xml:space="preserve"> </w:t>
      </w:r>
      <w:r w:rsidR="00F55E9B" w:rsidRPr="00C61CFD">
        <w:rPr>
          <w:i/>
          <w:iCs/>
        </w:rPr>
        <w:t xml:space="preserve">See Implementation of </w:t>
      </w:r>
      <w:r w:rsidR="00C61CFD" w:rsidRPr="00C61CFD">
        <w:rPr>
          <w:i/>
          <w:iCs/>
        </w:rPr>
        <w:t>Act 129 of 2008 – Total Resource Cost (TRC) Test</w:t>
      </w:r>
      <w:r w:rsidR="00F55E9B" w:rsidRPr="00C61CFD">
        <w:rPr>
          <w:iCs/>
        </w:rPr>
        <w:t xml:space="preserve"> Order.  Docket No. </w:t>
      </w:r>
      <w:proofErr w:type="gramStart"/>
      <w:r w:rsidR="00F55E9B" w:rsidRPr="00C61CFD">
        <w:rPr>
          <w:iCs/>
        </w:rPr>
        <w:t>M</w:t>
      </w:r>
      <w:r w:rsidR="00F55E9B" w:rsidRPr="00C61CFD">
        <w:rPr>
          <w:iCs/>
        </w:rPr>
        <w:noBreakHyphen/>
      </w:r>
      <w:r w:rsidR="00C61CFD" w:rsidRPr="00C61CFD">
        <w:rPr>
          <w:iCs/>
        </w:rPr>
        <w:t>2009-2108601</w:t>
      </w:r>
      <w:r w:rsidR="00F55E9B" w:rsidRPr="00C61CFD">
        <w:rPr>
          <w:iCs/>
        </w:rPr>
        <w:t>.</w:t>
      </w:r>
      <w:proofErr w:type="gramEnd"/>
      <w:r w:rsidR="00F55E9B" w:rsidRPr="00C61CFD">
        <w:rPr>
          <w:iCs/>
        </w:rPr>
        <w:t xml:space="preserve"> (June 1</w:t>
      </w:r>
      <w:r w:rsidR="00C61CFD" w:rsidRPr="00C61CFD">
        <w:rPr>
          <w:iCs/>
        </w:rPr>
        <w:t>8, 2009)</w:t>
      </w:r>
      <w:r w:rsidR="00F55E9B" w:rsidRPr="00C61CFD">
        <w:rPr>
          <w:iCs/>
        </w:rPr>
        <w:t xml:space="preserve">.  </w:t>
      </w:r>
      <w:proofErr w:type="gramStart"/>
      <w:r w:rsidR="00F55E9B" w:rsidRPr="00C61CFD">
        <w:rPr>
          <w:i/>
          <w:iCs/>
        </w:rPr>
        <w:t xml:space="preserve">See </w:t>
      </w:r>
      <w:r w:rsidR="00F55E9B" w:rsidRPr="00C61CFD">
        <w:rPr>
          <w:iCs/>
        </w:rPr>
        <w:t xml:space="preserve"> </w:t>
      </w:r>
      <w:r w:rsidR="00C61CFD" w:rsidRPr="00C61CFD">
        <w:rPr>
          <w:i/>
          <w:iCs/>
        </w:rPr>
        <w:t>Implementation</w:t>
      </w:r>
      <w:proofErr w:type="gramEnd"/>
      <w:r w:rsidR="00C61CFD" w:rsidRPr="00C61CFD">
        <w:rPr>
          <w:i/>
          <w:iCs/>
        </w:rPr>
        <w:t xml:space="preserve"> of Act 129 of 2008 – Total Resource Cost (TRC) Test 2011 Revisions</w:t>
      </w:r>
      <w:r w:rsidR="00C61CFD" w:rsidRPr="00C61CFD">
        <w:rPr>
          <w:iCs/>
        </w:rPr>
        <w:t xml:space="preserve"> Final Order.  Docket No. </w:t>
      </w:r>
      <w:proofErr w:type="gramStart"/>
      <w:r w:rsidR="00C61CFD" w:rsidRPr="00C61CFD">
        <w:rPr>
          <w:iCs/>
        </w:rPr>
        <w:t>M</w:t>
      </w:r>
      <w:r w:rsidR="00C61CFD" w:rsidRPr="00C61CFD">
        <w:rPr>
          <w:iCs/>
        </w:rPr>
        <w:noBreakHyphen/>
        <w:t>2009-2108601.</w:t>
      </w:r>
      <w:proofErr w:type="gramEnd"/>
      <w:r w:rsidR="00C61CFD" w:rsidRPr="00C61CFD">
        <w:rPr>
          <w:iCs/>
        </w:rPr>
        <w:t xml:space="preserve"> (August 2, 2011).  </w:t>
      </w:r>
      <w:r w:rsidR="00C61CFD" w:rsidRPr="00C61CFD">
        <w:rPr>
          <w:i/>
          <w:iCs/>
        </w:rPr>
        <w:t>See 2012 PA Total Resource Cost (TRC) Test; 2009 PA Total Resource Cost Test</w:t>
      </w:r>
      <w:r w:rsidR="00C61CFD" w:rsidRPr="00C61CFD">
        <w:rPr>
          <w:iCs/>
        </w:rPr>
        <w:t xml:space="preserve"> Order.  Docket No. </w:t>
      </w:r>
      <w:proofErr w:type="gramStart"/>
      <w:r w:rsidR="00C61CFD" w:rsidRPr="00C61CFD">
        <w:rPr>
          <w:iCs/>
        </w:rPr>
        <w:t>M</w:t>
      </w:r>
      <w:r w:rsidR="00C61CFD" w:rsidRPr="00C61CFD">
        <w:rPr>
          <w:iCs/>
        </w:rPr>
        <w:noBreakHyphen/>
        <w:t>2009-2108601.</w:t>
      </w:r>
      <w:proofErr w:type="gramEnd"/>
      <w:r w:rsidR="00C61CFD" w:rsidRPr="00C61CFD">
        <w:rPr>
          <w:iCs/>
        </w:rPr>
        <w:t xml:space="preserve"> (August 30, 2012).</w:t>
      </w:r>
    </w:p>
  </w:footnote>
  <w:footnote w:id="20">
    <w:p w:rsidR="00280D84" w:rsidRPr="00C61CFD" w:rsidRDefault="00280D84" w:rsidP="00C61CFD">
      <w:pPr>
        <w:pStyle w:val="FootnoteText"/>
      </w:pPr>
      <w:r w:rsidRPr="00C61CFD">
        <w:rPr>
          <w:rStyle w:val="FootnoteReference"/>
        </w:rPr>
        <w:footnoteRef/>
      </w:r>
      <w:r w:rsidRPr="00C61CFD">
        <w:t xml:space="preserve"> </w:t>
      </w:r>
      <w:hyperlink r:id="rId1" w:history="1">
        <w:r w:rsidRPr="00C61CFD">
          <w:rPr>
            <w:rStyle w:val="Hyperlink"/>
          </w:rPr>
          <w:t>http://www.puc.pa.gov/filing_resources/issues_laws_regulations/act_129_information/energy_efficiency_and_conservation_ee_c_program.aspx</w:t>
        </w:r>
      </w:hyperlink>
      <w:r w:rsidRPr="00C61CF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D63E1E"/>
    <w:multiLevelType w:val="hybridMultilevel"/>
    <w:tmpl w:val="73DA0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47179B"/>
    <w:multiLevelType w:val="multilevel"/>
    <w:tmpl w:val="B2E8E9C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4E84412"/>
    <w:multiLevelType w:val="multilevel"/>
    <w:tmpl w:val="073032A4"/>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CE5F3A"/>
    <w:multiLevelType w:val="hybridMultilevel"/>
    <w:tmpl w:val="F38E0F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FFC2F37"/>
    <w:multiLevelType w:val="hybridMultilevel"/>
    <w:tmpl w:val="FF9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B478D9"/>
    <w:multiLevelType w:val="hybridMultilevel"/>
    <w:tmpl w:val="E80A52F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FE0ADF"/>
    <w:multiLevelType w:val="multilevel"/>
    <w:tmpl w:val="A7D65BA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D709F"/>
    <w:multiLevelType w:val="hybridMultilevel"/>
    <w:tmpl w:val="AC1EAD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9C3DB8"/>
    <w:multiLevelType w:val="hybridMultilevel"/>
    <w:tmpl w:val="E4729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923AFD"/>
    <w:multiLevelType w:val="multilevel"/>
    <w:tmpl w:val="A0706DC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334729"/>
    <w:multiLevelType w:val="hybridMultilevel"/>
    <w:tmpl w:val="7D4C597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EA415D"/>
    <w:multiLevelType w:val="multilevel"/>
    <w:tmpl w:val="8B1E630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782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C15B24"/>
    <w:multiLevelType w:val="multilevel"/>
    <w:tmpl w:val="F9DAC6D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D024B0"/>
    <w:multiLevelType w:val="hybridMultilevel"/>
    <w:tmpl w:val="5DAAC0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A77FD9"/>
    <w:multiLevelType w:val="hybridMultilevel"/>
    <w:tmpl w:val="EFC88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3"/>
  </w:num>
  <w:num w:numId="3">
    <w:abstractNumId w:val="4"/>
  </w:num>
  <w:num w:numId="4">
    <w:abstractNumId w:val="10"/>
  </w:num>
  <w:num w:numId="5">
    <w:abstractNumId w:val="29"/>
  </w:num>
  <w:num w:numId="6">
    <w:abstractNumId w:val="8"/>
  </w:num>
  <w:num w:numId="7">
    <w:abstractNumId w:val="30"/>
  </w:num>
  <w:num w:numId="8">
    <w:abstractNumId w:val="28"/>
  </w:num>
  <w:num w:numId="9">
    <w:abstractNumId w:val="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7"/>
  </w:num>
  <w:num w:numId="14">
    <w:abstractNumId w:val="13"/>
  </w:num>
  <w:num w:numId="15">
    <w:abstractNumId w:val="25"/>
  </w:num>
  <w:num w:numId="16">
    <w:abstractNumId w:val="3"/>
  </w:num>
  <w:num w:numId="17">
    <w:abstractNumId w:val="9"/>
  </w:num>
  <w:num w:numId="18">
    <w:abstractNumId w:val="2"/>
  </w:num>
  <w:num w:numId="19">
    <w:abstractNumId w:val="14"/>
  </w:num>
  <w:num w:numId="20">
    <w:abstractNumId w:val="7"/>
  </w:num>
  <w:num w:numId="21">
    <w:abstractNumId w:val="15"/>
  </w:num>
  <w:num w:numId="22">
    <w:abstractNumId w:val="26"/>
  </w:num>
  <w:num w:numId="23">
    <w:abstractNumId w:val="27"/>
  </w:num>
  <w:num w:numId="24">
    <w:abstractNumId w:val="18"/>
  </w:num>
  <w:num w:numId="25">
    <w:abstractNumId w:val="27"/>
  </w:num>
  <w:num w:numId="26">
    <w:abstractNumId w:val="11"/>
  </w:num>
  <w:num w:numId="27">
    <w:abstractNumId w:val="21"/>
  </w:num>
  <w:num w:numId="28">
    <w:abstractNumId w:val="12"/>
  </w:num>
  <w:num w:numId="29">
    <w:abstractNumId w:val="6"/>
  </w:num>
  <w:num w:numId="30">
    <w:abstractNumId w:val="5"/>
  </w:num>
  <w:num w:numId="31">
    <w:abstractNumId w:val="5"/>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2"/>
  </w:num>
  <w:num w:numId="33">
    <w:abstractNumId w:val="22"/>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B1C653E-E1A3-462B-8CCA-69636C49FD0B}"/>
  </w:docVars>
  <w:rsids>
    <w:rsidRoot w:val="00C74A51"/>
    <w:rsid w:val="0000221E"/>
    <w:rsid w:val="00016C43"/>
    <w:rsid w:val="00021147"/>
    <w:rsid w:val="00025E21"/>
    <w:rsid w:val="00026B9B"/>
    <w:rsid w:val="000315CB"/>
    <w:rsid w:val="00031795"/>
    <w:rsid w:val="00047F88"/>
    <w:rsid w:val="0006619B"/>
    <w:rsid w:val="00081F36"/>
    <w:rsid w:val="00092374"/>
    <w:rsid w:val="000A4073"/>
    <w:rsid w:val="000C0BE0"/>
    <w:rsid w:val="000C7752"/>
    <w:rsid w:val="000D54BC"/>
    <w:rsid w:val="000D7109"/>
    <w:rsid w:val="000E6ACE"/>
    <w:rsid w:val="000F097A"/>
    <w:rsid w:val="000F5F50"/>
    <w:rsid w:val="001023B1"/>
    <w:rsid w:val="001048C8"/>
    <w:rsid w:val="00110158"/>
    <w:rsid w:val="001110A3"/>
    <w:rsid w:val="00111D7A"/>
    <w:rsid w:val="001209F1"/>
    <w:rsid w:val="00121CB7"/>
    <w:rsid w:val="00126434"/>
    <w:rsid w:val="00126702"/>
    <w:rsid w:val="00134A78"/>
    <w:rsid w:val="00142748"/>
    <w:rsid w:val="00146EB6"/>
    <w:rsid w:val="0015126D"/>
    <w:rsid w:val="00162876"/>
    <w:rsid w:val="00162D58"/>
    <w:rsid w:val="00163A25"/>
    <w:rsid w:val="0019426D"/>
    <w:rsid w:val="00195546"/>
    <w:rsid w:val="001A2DCD"/>
    <w:rsid w:val="001A4102"/>
    <w:rsid w:val="001B2C6D"/>
    <w:rsid w:val="001C77FC"/>
    <w:rsid w:val="001D42EE"/>
    <w:rsid w:val="001E1BF3"/>
    <w:rsid w:val="001E3A60"/>
    <w:rsid w:val="001F5AD8"/>
    <w:rsid w:val="001F7863"/>
    <w:rsid w:val="002008CA"/>
    <w:rsid w:val="002229C3"/>
    <w:rsid w:val="002326FD"/>
    <w:rsid w:val="002615BE"/>
    <w:rsid w:val="00275C42"/>
    <w:rsid w:val="002775AC"/>
    <w:rsid w:val="00280D84"/>
    <w:rsid w:val="00281228"/>
    <w:rsid w:val="0028699F"/>
    <w:rsid w:val="002874B9"/>
    <w:rsid w:val="0029471C"/>
    <w:rsid w:val="002A2B4A"/>
    <w:rsid w:val="002A43DC"/>
    <w:rsid w:val="002B37D7"/>
    <w:rsid w:val="002B618E"/>
    <w:rsid w:val="002C4503"/>
    <w:rsid w:val="002E2175"/>
    <w:rsid w:val="002E5123"/>
    <w:rsid w:val="002F0138"/>
    <w:rsid w:val="002F1CB8"/>
    <w:rsid w:val="00304047"/>
    <w:rsid w:val="003049AB"/>
    <w:rsid w:val="00307364"/>
    <w:rsid w:val="00307AD1"/>
    <w:rsid w:val="00310263"/>
    <w:rsid w:val="003106B5"/>
    <w:rsid w:val="00320F11"/>
    <w:rsid w:val="00325403"/>
    <w:rsid w:val="00326D2A"/>
    <w:rsid w:val="00351925"/>
    <w:rsid w:val="003569E8"/>
    <w:rsid w:val="003610CA"/>
    <w:rsid w:val="00361704"/>
    <w:rsid w:val="00386D26"/>
    <w:rsid w:val="003878A0"/>
    <w:rsid w:val="003A6101"/>
    <w:rsid w:val="003B2E3E"/>
    <w:rsid w:val="003B35CF"/>
    <w:rsid w:val="003C6DD3"/>
    <w:rsid w:val="003E7239"/>
    <w:rsid w:val="003F79A7"/>
    <w:rsid w:val="00411BEC"/>
    <w:rsid w:val="00413702"/>
    <w:rsid w:val="00427AD9"/>
    <w:rsid w:val="00442D19"/>
    <w:rsid w:val="00447966"/>
    <w:rsid w:val="00447D68"/>
    <w:rsid w:val="00467782"/>
    <w:rsid w:val="00472043"/>
    <w:rsid w:val="00475E4A"/>
    <w:rsid w:val="00487FAD"/>
    <w:rsid w:val="00495FC5"/>
    <w:rsid w:val="0049749C"/>
    <w:rsid w:val="004A5F4E"/>
    <w:rsid w:val="004A7FD3"/>
    <w:rsid w:val="004B61C1"/>
    <w:rsid w:val="004B7A97"/>
    <w:rsid w:val="004C5EA9"/>
    <w:rsid w:val="004D2698"/>
    <w:rsid w:val="004D5AB0"/>
    <w:rsid w:val="0050362A"/>
    <w:rsid w:val="005044E1"/>
    <w:rsid w:val="0051639C"/>
    <w:rsid w:val="0052665A"/>
    <w:rsid w:val="0053714C"/>
    <w:rsid w:val="005424F7"/>
    <w:rsid w:val="00553472"/>
    <w:rsid w:val="00557565"/>
    <w:rsid w:val="00567746"/>
    <w:rsid w:val="0057207C"/>
    <w:rsid w:val="00572556"/>
    <w:rsid w:val="00573B21"/>
    <w:rsid w:val="0057487F"/>
    <w:rsid w:val="00575806"/>
    <w:rsid w:val="00590DCB"/>
    <w:rsid w:val="005B0327"/>
    <w:rsid w:val="005B7295"/>
    <w:rsid w:val="005C2839"/>
    <w:rsid w:val="005C47E2"/>
    <w:rsid w:val="005E25C5"/>
    <w:rsid w:val="00617CEC"/>
    <w:rsid w:val="006333CC"/>
    <w:rsid w:val="006354F1"/>
    <w:rsid w:val="00643DCA"/>
    <w:rsid w:val="00643E2B"/>
    <w:rsid w:val="00645839"/>
    <w:rsid w:val="006538B5"/>
    <w:rsid w:val="006678F2"/>
    <w:rsid w:val="00670988"/>
    <w:rsid w:val="0067310F"/>
    <w:rsid w:val="006755C0"/>
    <w:rsid w:val="00681A8B"/>
    <w:rsid w:val="006843D3"/>
    <w:rsid w:val="00694301"/>
    <w:rsid w:val="00697209"/>
    <w:rsid w:val="006B307C"/>
    <w:rsid w:val="006B4889"/>
    <w:rsid w:val="006E00A9"/>
    <w:rsid w:val="006F1347"/>
    <w:rsid w:val="006F21C0"/>
    <w:rsid w:val="006F614A"/>
    <w:rsid w:val="006F6A30"/>
    <w:rsid w:val="007012F3"/>
    <w:rsid w:val="00710DBE"/>
    <w:rsid w:val="0071761F"/>
    <w:rsid w:val="00720FD6"/>
    <w:rsid w:val="0073272F"/>
    <w:rsid w:val="00733109"/>
    <w:rsid w:val="00746BEC"/>
    <w:rsid w:val="00746F33"/>
    <w:rsid w:val="00750EF6"/>
    <w:rsid w:val="007617B1"/>
    <w:rsid w:val="00774136"/>
    <w:rsid w:val="00775A19"/>
    <w:rsid w:val="007762F7"/>
    <w:rsid w:val="0078658C"/>
    <w:rsid w:val="007E132D"/>
    <w:rsid w:val="007E3F38"/>
    <w:rsid w:val="007E534B"/>
    <w:rsid w:val="007E5AA6"/>
    <w:rsid w:val="007E6ACB"/>
    <w:rsid w:val="007F0050"/>
    <w:rsid w:val="0080690D"/>
    <w:rsid w:val="00813B38"/>
    <w:rsid w:val="008241DB"/>
    <w:rsid w:val="008266BF"/>
    <w:rsid w:val="00831D49"/>
    <w:rsid w:val="008427B0"/>
    <w:rsid w:val="00846A98"/>
    <w:rsid w:val="008554B6"/>
    <w:rsid w:val="00865A3B"/>
    <w:rsid w:val="00866F90"/>
    <w:rsid w:val="00881B7D"/>
    <w:rsid w:val="00892409"/>
    <w:rsid w:val="008C246C"/>
    <w:rsid w:val="008D3AB2"/>
    <w:rsid w:val="008D6944"/>
    <w:rsid w:val="00902959"/>
    <w:rsid w:val="009131B3"/>
    <w:rsid w:val="00935E57"/>
    <w:rsid w:val="009376B4"/>
    <w:rsid w:val="00942E5E"/>
    <w:rsid w:val="00944B47"/>
    <w:rsid w:val="00945DEF"/>
    <w:rsid w:val="00952DD5"/>
    <w:rsid w:val="0095434D"/>
    <w:rsid w:val="0096632A"/>
    <w:rsid w:val="00977B3F"/>
    <w:rsid w:val="009930D2"/>
    <w:rsid w:val="009A2415"/>
    <w:rsid w:val="009A308C"/>
    <w:rsid w:val="009A5243"/>
    <w:rsid w:val="009B0CBC"/>
    <w:rsid w:val="009B23D8"/>
    <w:rsid w:val="009C571F"/>
    <w:rsid w:val="009D1A9E"/>
    <w:rsid w:val="009D1C20"/>
    <w:rsid w:val="009E40EC"/>
    <w:rsid w:val="009F1565"/>
    <w:rsid w:val="009F5F66"/>
    <w:rsid w:val="009F6C04"/>
    <w:rsid w:val="00A01138"/>
    <w:rsid w:val="00A01991"/>
    <w:rsid w:val="00A01DB2"/>
    <w:rsid w:val="00A16880"/>
    <w:rsid w:val="00A20C12"/>
    <w:rsid w:val="00A254D2"/>
    <w:rsid w:val="00A33AAF"/>
    <w:rsid w:val="00A374EE"/>
    <w:rsid w:val="00A42B51"/>
    <w:rsid w:val="00A46963"/>
    <w:rsid w:val="00A5263D"/>
    <w:rsid w:val="00A72D60"/>
    <w:rsid w:val="00A74877"/>
    <w:rsid w:val="00A753B3"/>
    <w:rsid w:val="00A777B5"/>
    <w:rsid w:val="00A8516D"/>
    <w:rsid w:val="00A85A00"/>
    <w:rsid w:val="00A94E60"/>
    <w:rsid w:val="00AA1AEC"/>
    <w:rsid w:val="00AA30E9"/>
    <w:rsid w:val="00AB490E"/>
    <w:rsid w:val="00AB497F"/>
    <w:rsid w:val="00AB53D2"/>
    <w:rsid w:val="00AD0506"/>
    <w:rsid w:val="00AD0A9B"/>
    <w:rsid w:val="00AE0537"/>
    <w:rsid w:val="00AE3480"/>
    <w:rsid w:val="00AE6CA2"/>
    <w:rsid w:val="00B04B8D"/>
    <w:rsid w:val="00B2133D"/>
    <w:rsid w:val="00B27A7E"/>
    <w:rsid w:val="00B35953"/>
    <w:rsid w:val="00B61CDD"/>
    <w:rsid w:val="00BB79A9"/>
    <w:rsid w:val="00BC011F"/>
    <w:rsid w:val="00BC6BC9"/>
    <w:rsid w:val="00BC7E75"/>
    <w:rsid w:val="00BD4A39"/>
    <w:rsid w:val="00BD600D"/>
    <w:rsid w:val="00BE4A72"/>
    <w:rsid w:val="00BE5119"/>
    <w:rsid w:val="00BE7145"/>
    <w:rsid w:val="00BF57A2"/>
    <w:rsid w:val="00C006AD"/>
    <w:rsid w:val="00C0420C"/>
    <w:rsid w:val="00C07570"/>
    <w:rsid w:val="00C12EFD"/>
    <w:rsid w:val="00C3654A"/>
    <w:rsid w:val="00C45DCB"/>
    <w:rsid w:val="00C46EDA"/>
    <w:rsid w:val="00C51E4C"/>
    <w:rsid w:val="00C55BE6"/>
    <w:rsid w:val="00C61CFD"/>
    <w:rsid w:val="00C74A51"/>
    <w:rsid w:val="00C77F29"/>
    <w:rsid w:val="00C90506"/>
    <w:rsid w:val="00CA0D15"/>
    <w:rsid w:val="00CA2448"/>
    <w:rsid w:val="00CA358F"/>
    <w:rsid w:val="00CB5738"/>
    <w:rsid w:val="00CC0368"/>
    <w:rsid w:val="00CD0FDC"/>
    <w:rsid w:val="00CE1EAB"/>
    <w:rsid w:val="00CE34EC"/>
    <w:rsid w:val="00CF047C"/>
    <w:rsid w:val="00CF55DF"/>
    <w:rsid w:val="00CF7635"/>
    <w:rsid w:val="00D079C0"/>
    <w:rsid w:val="00D21397"/>
    <w:rsid w:val="00D23AA0"/>
    <w:rsid w:val="00D31A74"/>
    <w:rsid w:val="00D351A3"/>
    <w:rsid w:val="00D47C63"/>
    <w:rsid w:val="00D53F6A"/>
    <w:rsid w:val="00D5472C"/>
    <w:rsid w:val="00D55A7A"/>
    <w:rsid w:val="00D62E64"/>
    <w:rsid w:val="00D77B80"/>
    <w:rsid w:val="00DC06D2"/>
    <w:rsid w:val="00DC7B54"/>
    <w:rsid w:val="00DD5A6B"/>
    <w:rsid w:val="00E04B76"/>
    <w:rsid w:val="00E12A6C"/>
    <w:rsid w:val="00E20419"/>
    <w:rsid w:val="00E23926"/>
    <w:rsid w:val="00E349DA"/>
    <w:rsid w:val="00E42E96"/>
    <w:rsid w:val="00E62236"/>
    <w:rsid w:val="00E63D4A"/>
    <w:rsid w:val="00E67B87"/>
    <w:rsid w:val="00E70A5C"/>
    <w:rsid w:val="00E726D6"/>
    <w:rsid w:val="00E73061"/>
    <w:rsid w:val="00E83E92"/>
    <w:rsid w:val="00E90A7E"/>
    <w:rsid w:val="00EA4C08"/>
    <w:rsid w:val="00EB2540"/>
    <w:rsid w:val="00EB3C30"/>
    <w:rsid w:val="00EC246D"/>
    <w:rsid w:val="00EC4487"/>
    <w:rsid w:val="00EC75EB"/>
    <w:rsid w:val="00EC7D0E"/>
    <w:rsid w:val="00ED23D3"/>
    <w:rsid w:val="00EE1D60"/>
    <w:rsid w:val="00EF002D"/>
    <w:rsid w:val="00F004AC"/>
    <w:rsid w:val="00F1131E"/>
    <w:rsid w:val="00F30804"/>
    <w:rsid w:val="00F3099A"/>
    <w:rsid w:val="00F309A9"/>
    <w:rsid w:val="00F4578D"/>
    <w:rsid w:val="00F47A16"/>
    <w:rsid w:val="00F51C5E"/>
    <w:rsid w:val="00F55E9B"/>
    <w:rsid w:val="00F5640A"/>
    <w:rsid w:val="00F63184"/>
    <w:rsid w:val="00F63D91"/>
    <w:rsid w:val="00F66053"/>
    <w:rsid w:val="00F7094C"/>
    <w:rsid w:val="00F7123D"/>
    <w:rsid w:val="00F74BEE"/>
    <w:rsid w:val="00F75EE4"/>
    <w:rsid w:val="00F8563A"/>
    <w:rsid w:val="00FA0E37"/>
    <w:rsid w:val="00FB5B4F"/>
    <w:rsid w:val="00FC30B5"/>
    <w:rsid w:val="00FC7B5D"/>
    <w:rsid w:val="00FD48E7"/>
    <w:rsid w:val="00FE0D00"/>
    <w:rsid w:val="00FE4266"/>
    <w:rsid w:val="00FE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A01DB2"/>
  </w:style>
  <w:style w:type="paragraph" w:styleId="Revision">
    <w:name w:val="Revision"/>
    <w:hidden/>
    <w:uiPriority w:val="99"/>
    <w:semiHidden/>
    <w:rsid w:val="009A3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A01DB2"/>
  </w:style>
  <w:style w:type="paragraph" w:styleId="Revision">
    <w:name w:val="Revision"/>
    <w:hidden/>
    <w:uiPriority w:val="99"/>
    <w:semiHidden/>
    <w:rsid w:val="009A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2132">
      <w:bodyDiv w:val="1"/>
      <w:marLeft w:val="0"/>
      <w:marRight w:val="0"/>
      <w:marTop w:val="0"/>
      <w:marBottom w:val="0"/>
      <w:divBdr>
        <w:top w:val="none" w:sz="0" w:space="0" w:color="auto"/>
        <w:left w:val="none" w:sz="0" w:space="0" w:color="auto"/>
        <w:bottom w:val="none" w:sz="0" w:space="0" w:color="auto"/>
        <w:right w:val="none" w:sz="0" w:space="0" w:color="auto"/>
      </w:divBdr>
    </w:div>
    <w:div w:id="111432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gagood@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brown@p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egagood@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energy_efficiency_and_conservation_ee_c_progr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65A8-6486-405E-99B2-8B091F4D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17</cp:revision>
  <cp:lastPrinted>2014-10-23T15:30:00Z</cp:lastPrinted>
  <dcterms:created xsi:type="dcterms:W3CDTF">2014-10-09T13:00:00Z</dcterms:created>
  <dcterms:modified xsi:type="dcterms:W3CDTF">2014-10-23T15:30:00Z</dcterms:modified>
</cp:coreProperties>
</file>