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F514FB" w:rsidRDefault="00F514FB" w:rsidP="00F514FB">
      <w:pPr>
        <w:tabs>
          <w:tab w:val="center" w:pos="4680"/>
        </w:tabs>
        <w:suppressAutoHyphens/>
        <w:jc w:val="center"/>
        <w:rPr>
          <w:b/>
          <w:sz w:val="26"/>
          <w:szCs w:val="26"/>
        </w:rPr>
      </w:pPr>
      <w:r w:rsidRPr="00F514FB">
        <w:rPr>
          <w:b/>
          <w:sz w:val="26"/>
          <w:szCs w:val="26"/>
        </w:rPr>
        <w:t>PENNSYLVANIA</w:t>
      </w:r>
    </w:p>
    <w:p w:rsidR="00F514FB" w:rsidRPr="00F514FB" w:rsidRDefault="00F514FB" w:rsidP="00F514FB">
      <w:pPr>
        <w:tabs>
          <w:tab w:val="center" w:pos="4680"/>
        </w:tabs>
        <w:suppressAutoHyphens/>
        <w:jc w:val="center"/>
        <w:rPr>
          <w:sz w:val="26"/>
          <w:szCs w:val="26"/>
        </w:rPr>
      </w:pPr>
      <w:r w:rsidRPr="00F514FB">
        <w:rPr>
          <w:b/>
          <w:sz w:val="26"/>
          <w:szCs w:val="26"/>
        </w:rPr>
        <w:t>PUBLIC UTILITY COMMISSION</w:t>
      </w:r>
    </w:p>
    <w:p w:rsidR="00F514FB" w:rsidRPr="00F514FB" w:rsidRDefault="00F514FB" w:rsidP="00F514FB">
      <w:pPr>
        <w:tabs>
          <w:tab w:val="center" w:pos="4680"/>
        </w:tabs>
        <w:suppressAutoHyphens/>
        <w:jc w:val="center"/>
        <w:rPr>
          <w:sz w:val="26"/>
          <w:szCs w:val="26"/>
        </w:rPr>
      </w:pPr>
      <w:r w:rsidRPr="00F514FB">
        <w:rPr>
          <w:b/>
          <w:sz w:val="26"/>
          <w:szCs w:val="26"/>
        </w:rPr>
        <w:t>Harrisburg, PA 17105-3265</w:t>
      </w:r>
    </w:p>
    <w:p w:rsidR="00F514FB" w:rsidRPr="00F514FB" w:rsidRDefault="00F514FB" w:rsidP="00F514FB">
      <w:pPr>
        <w:tabs>
          <w:tab w:val="left" w:pos="-720"/>
        </w:tabs>
        <w:suppressAutoHyphens/>
        <w:rPr>
          <w:sz w:val="26"/>
          <w:szCs w:val="26"/>
        </w:rPr>
      </w:pPr>
    </w:p>
    <w:p w:rsidR="00F514FB" w:rsidRPr="00F514FB" w:rsidRDefault="00F514FB" w:rsidP="00F514FB">
      <w:pPr>
        <w:rPr>
          <w:sz w:val="26"/>
          <w:szCs w:val="26"/>
        </w:rPr>
      </w:pP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8"/>
        <w:gridCol w:w="5040"/>
      </w:tblGrid>
      <w:tr w:rsidR="00F514FB" w:rsidRPr="00F514FB" w:rsidTr="00CF0916">
        <w:tc>
          <w:tcPr>
            <w:tcW w:w="5328" w:type="dxa"/>
          </w:tcPr>
          <w:p w:rsidR="00F514FB" w:rsidRPr="00F514FB" w:rsidRDefault="00F514FB" w:rsidP="00D20B5C">
            <w:pPr>
              <w:rPr>
                <w:sz w:val="26"/>
                <w:szCs w:val="26"/>
              </w:rPr>
            </w:pPr>
          </w:p>
        </w:tc>
        <w:tc>
          <w:tcPr>
            <w:tcW w:w="5040" w:type="dxa"/>
          </w:tcPr>
          <w:p w:rsidR="00F514FB" w:rsidRPr="00F514FB" w:rsidRDefault="00F514FB" w:rsidP="00941CAF">
            <w:pPr>
              <w:ind w:left="252" w:hanging="252"/>
              <w:jc w:val="center"/>
              <w:rPr>
                <w:sz w:val="26"/>
                <w:szCs w:val="26"/>
              </w:rPr>
            </w:pPr>
            <w:r w:rsidRPr="00F514FB">
              <w:rPr>
                <w:sz w:val="26"/>
                <w:szCs w:val="26"/>
              </w:rPr>
              <w:t xml:space="preserve">Public Meeting held </w:t>
            </w:r>
            <w:r w:rsidR="00EF0139">
              <w:rPr>
                <w:sz w:val="26"/>
                <w:szCs w:val="26"/>
              </w:rPr>
              <w:t>July 24</w:t>
            </w:r>
            <w:r w:rsidR="00CF0916">
              <w:rPr>
                <w:sz w:val="26"/>
                <w:szCs w:val="26"/>
              </w:rPr>
              <w:t>, 201</w:t>
            </w:r>
            <w:r w:rsidR="00FB2D9A">
              <w:rPr>
                <w:sz w:val="26"/>
                <w:szCs w:val="26"/>
              </w:rPr>
              <w:t>4</w:t>
            </w:r>
          </w:p>
          <w:p w:rsidR="00F514FB" w:rsidRPr="00F514FB" w:rsidRDefault="00F514FB" w:rsidP="00D20B5C">
            <w:pPr>
              <w:jc w:val="right"/>
              <w:rPr>
                <w:sz w:val="26"/>
                <w:szCs w:val="26"/>
              </w:rPr>
            </w:pPr>
          </w:p>
          <w:p w:rsidR="00F514FB" w:rsidRPr="00F514FB" w:rsidRDefault="00F514FB" w:rsidP="00D20B5C">
            <w:pPr>
              <w:jc w:val="right"/>
              <w:rPr>
                <w:sz w:val="26"/>
                <w:szCs w:val="26"/>
              </w:rPr>
            </w:pPr>
          </w:p>
        </w:tc>
      </w:tr>
      <w:tr w:rsidR="00F514FB" w:rsidRPr="00F514FB" w:rsidTr="00307155">
        <w:trPr>
          <w:trHeight w:val="2646"/>
        </w:trPr>
        <w:tc>
          <w:tcPr>
            <w:tcW w:w="5328" w:type="dxa"/>
          </w:tcPr>
          <w:p w:rsidR="00F514FB" w:rsidRPr="00F514FB" w:rsidRDefault="00F514FB" w:rsidP="00D20B5C">
            <w:pPr>
              <w:rPr>
                <w:sz w:val="26"/>
                <w:szCs w:val="26"/>
              </w:rPr>
            </w:pPr>
            <w:r w:rsidRPr="00F514FB">
              <w:rPr>
                <w:sz w:val="26"/>
                <w:szCs w:val="26"/>
              </w:rPr>
              <w:t>Commissioners Present:</w:t>
            </w:r>
          </w:p>
          <w:p w:rsidR="00F514FB" w:rsidRPr="00F514FB" w:rsidRDefault="00F514FB" w:rsidP="00D20B5C">
            <w:pPr>
              <w:rPr>
                <w:sz w:val="26"/>
                <w:szCs w:val="26"/>
              </w:rPr>
            </w:pPr>
          </w:p>
          <w:p w:rsidR="00F514FB" w:rsidRPr="00F514FB" w:rsidRDefault="00F514FB" w:rsidP="00D20B5C">
            <w:pPr>
              <w:tabs>
                <w:tab w:val="left" w:pos="705"/>
              </w:tabs>
              <w:ind w:firstLine="720"/>
              <w:rPr>
                <w:sz w:val="26"/>
                <w:szCs w:val="26"/>
              </w:rPr>
            </w:pPr>
            <w:r w:rsidRPr="00F514FB">
              <w:rPr>
                <w:sz w:val="26"/>
                <w:szCs w:val="26"/>
              </w:rPr>
              <w:t>Robert F. Powelson, Chairman</w:t>
            </w:r>
          </w:p>
          <w:p w:rsidR="00F514FB" w:rsidRPr="00F514FB" w:rsidRDefault="00F514FB" w:rsidP="00D20B5C">
            <w:pPr>
              <w:tabs>
                <w:tab w:val="left" w:pos="705"/>
              </w:tabs>
              <w:ind w:firstLine="720"/>
              <w:rPr>
                <w:sz w:val="26"/>
                <w:szCs w:val="26"/>
              </w:rPr>
            </w:pPr>
            <w:r w:rsidRPr="00F514FB">
              <w:rPr>
                <w:sz w:val="26"/>
                <w:szCs w:val="26"/>
              </w:rPr>
              <w:t>John F. Coleman, Jr., Vice Chairman</w:t>
            </w:r>
          </w:p>
          <w:p w:rsidR="00F514FB" w:rsidRPr="00F514FB" w:rsidRDefault="00F514FB" w:rsidP="00D20B5C">
            <w:pPr>
              <w:tabs>
                <w:tab w:val="left" w:pos="705"/>
              </w:tabs>
              <w:ind w:firstLine="720"/>
              <w:rPr>
                <w:sz w:val="26"/>
                <w:szCs w:val="26"/>
              </w:rPr>
            </w:pPr>
            <w:r w:rsidRPr="00F514FB">
              <w:rPr>
                <w:sz w:val="26"/>
                <w:szCs w:val="26"/>
              </w:rPr>
              <w:t>James H. Cawley</w:t>
            </w:r>
          </w:p>
          <w:p w:rsidR="00F514FB" w:rsidRDefault="00F514FB" w:rsidP="00D20B5C">
            <w:pPr>
              <w:tabs>
                <w:tab w:val="left" w:pos="705"/>
              </w:tabs>
              <w:ind w:firstLine="720"/>
              <w:rPr>
                <w:sz w:val="26"/>
                <w:szCs w:val="26"/>
              </w:rPr>
            </w:pPr>
            <w:r w:rsidRPr="00F514FB">
              <w:rPr>
                <w:sz w:val="26"/>
                <w:szCs w:val="26"/>
              </w:rPr>
              <w:t>Pamela A. Witmer</w:t>
            </w:r>
          </w:p>
          <w:p w:rsidR="00787A62" w:rsidRPr="00F514FB" w:rsidRDefault="00787A62" w:rsidP="00D20B5C">
            <w:pPr>
              <w:tabs>
                <w:tab w:val="left" w:pos="705"/>
              </w:tabs>
              <w:ind w:firstLine="720"/>
              <w:rPr>
                <w:sz w:val="26"/>
                <w:szCs w:val="26"/>
              </w:rPr>
            </w:pPr>
            <w:r>
              <w:rPr>
                <w:sz w:val="26"/>
                <w:szCs w:val="26"/>
              </w:rPr>
              <w:t>Gladys M. Brown</w:t>
            </w:r>
          </w:p>
          <w:p w:rsidR="00F514FB" w:rsidRPr="00F514FB" w:rsidRDefault="00F514FB" w:rsidP="00D20B5C">
            <w:pPr>
              <w:rPr>
                <w:sz w:val="26"/>
                <w:szCs w:val="26"/>
              </w:rPr>
            </w:pPr>
          </w:p>
          <w:p w:rsidR="00F514FB" w:rsidRPr="00F514FB" w:rsidRDefault="00F514FB" w:rsidP="00D20B5C">
            <w:pPr>
              <w:rPr>
                <w:sz w:val="26"/>
                <w:szCs w:val="26"/>
              </w:rPr>
            </w:pPr>
          </w:p>
        </w:tc>
        <w:tc>
          <w:tcPr>
            <w:tcW w:w="5040" w:type="dxa"/>
          </w:tcPr>
          <w:p w:rsidR="00F514FB" w:rsidRPr="00F514FB" w:rsidRDefault="00F514FB" w:rsidP="00D20B5C">
            <w:pPr>
              <w:jc w:val="right"/>
              <w:rPr>
                <w:sz w:val="26"/>
                <w:szCs w:val="26"/>
              </w:rPr>
            </w:pPr>
          </w:p>
          <w:p w:rsidR="00F514FB" w:rsidRPr="00F514FB" w:rsidRDefault="00F514FB" w:rsidP="00D20B5C">
            <w:pPr>
              <w:jc w:val="right"/>
              <w:rPr>
                <w:sz w:val="26"/>
                <w:szCs w:val="26"/>
              </w:rPr>
            </w:pPr>
          </w:p>
        </w:tc>
      </w:tr>
      <w:tr w:rsidR="00F514FB" w:rsidRPr="00F514FB" w:rsidTr="00CF0916">
        <w:tc>
          <w:tcPr>
            <w:tcW w:w="5328" w:type="dxa"/>
          </w:tcPr>
          <w:p w:rsidR="00355C63" w:rsidRDefault="00355C63" w:rsidP="00D20B5C">
            <w:pPr>
              <w:rPr>
                <w:sz w:val="26"/>
                <w:szCs w:val="26"/>
              </w:rPr>
            </w:pPr>
            <w:r>
              <w:rPr>
                <w:sz w:val="26"/>
                <w:szCs w:val="26"/>
              </w:rPr>
              <w:t>Public Utility Commission Bonding</w:t>
            </w:r>
            <w:r w:rsidR="00044E24">
              <w:rPr>
                <w:sz w:val="26"/>
                <w:szCs w:val="26"/>
              </w:rPr>
              <w:t xml:space="preserve">/Security </w:t>
            </w:r>
            <w:r>
              <w:rPr>
                <w:sz w:val="26"/>
                <w:szCs w:val="26"/>
              </w:rPr>
              <w:t>Requirements for Electric Generation</w:t>
            </w:r>
          </w:p>
          <w:p w:rsidR="00355C63" w:rsidRPr="00F514FB" w:rsidRDefault="00355C63" w:rsidP="00D20B5C">
            <w:pPr>
              <w:rPr>
                <w:sz w:val="26"/>
                <w:szCs w:val="26"/>
              </w:rPr>
            </w:pPr>
            <w:r>
              <w:rPr>
                <w:sz w:val="26"/>
                <w:szCs w:val="26"/>
              </w:rPr>
              <w:t>Suppliers; Acceptable Security</w:t>
            </w:r>
            <w:r w:rsidR="00044E24">
              <w:rPr>
                <w:sz w:val="26"/>
                <w:szCs w:val="26"/>
              </w:rPr>
              <w:t xml:space="preserve"> Instruments</w:t>
            </w:r>
          </w:p>
        </w:tc>
        <w:tc>
          <w:tcPr>
            <w:tcW w:w="5040" w:type="dxa"/>
          </w:tcPr>
          <w:p w:rsidR="00F514FB" w:rsidRPr="00F514FB" w:rsidRDefault="0000606F" w:rsidP="00941CAF">
            <w:pPr>
              <w:jc w:val="center"/>
              <w:rPr>
                <w:sz w:val="26"/>
                <w:szCs w:val="26"/>
              </w:rPr>
            </w:pPr>
            <w:r>
              <w:rPr>
                <w:sz w:val="26"/>
                <w:szCs w:val="26"/>
              </w:rPr>
              <w:t>M-2013-2393141</w:t>
            </w:r>
          </w:p>
        </w:tc>
      </w:tr>
      <w:tr w:rsidR="00F514FB" w:rsidRPr="00F514FB" w:rsidTr="00CF0916">
        <w:tc>
          <w:tcPr>
            <w:tcW w:w="5328" w:type="dxa"/>
          </w:tcPr>
          <w:p w:rsidR="00F514FB" w:rsidRPr="00F514FB" w:rsidRDefault="00F514FB" w:rsidP="00D20B5C">
            <w:pPr>
              <w:ind w:firstLine="1440"/>
              <w:rPr>
                <w:sz w:val="26"/>
                <w:szCs w:val="26"/>
              </w:rPr>
            </w:pPr>
          </w:p>
        </w:tc>
        <w:tc>
          <w:tcPr>
            <w:tcW w:w="5040" w:type="dxa"/>
          </w:tcPr>
          <w:p w:rsidR="00F514FB" w:rsidRDefault="00F514FB" w:rsidP="00D20B5C">
            <w:pPr>
              <w:rPr>
                <w:sz w:val="26"/>
                <w:szCs w:val="26"/>
              </w:rPr>
            </w:pPr>
          </w:p>
          <w:p w:rsidR="00044E24" w:rsidRPr="00F514FB" w:rsidRDefault="00044E24" w:rsidP="00D20B5C">
            <w:pPr>
              <w:rPr>
                <w:sz w:val="26"/>
                <w:szCs w:val="26"/>
              </w:rPr>
            </w:pPr>
          </w:p>
        </w:tc>
      </w:tr>
      <w:tr w:rsidR="00F514FB" w:rsidRPr="00F514FB" w:rsidTr="00CF0916">
        <w:tc>
          <w:tcPr>
            <w:tcW w:w="5328" w:type="dxa"/>
          </w:tcPr>
          <w:p w:rsidR="00F514FB" w:rsidRPr="00F514FB" w:rsidRDefault="00F514FB" w:rsidP="00D20B5C">
            <w:pPr>
              <w:rPr>
                <w:sz w:val="26"/>
                <w:szCs w:val="26"/>
              </w:rPr>
            </w:pPr>
          </w:p>
        </w:tc>
        <w:tc>
          <w:tcPr>
            <w:tcW w:w="5040" w:type="dxa"/>
          </w:tcPr>
          <w:p w:rsidR="00F514FB" w:rsidRPr="00F514FB" w:rsidRDefault="00F514FB" w:rsidP="00D20B5C">
            <w:pPr>
              <w:rPr>
                <w:sz w:val="26"/>
                <w:szCs w:val="26"/>
              </w:rPr>
            </w:pPr>
          </w:p>
        </w:tc>
      </w:tr>
    </w:tbl>
    <w:p w:rsidR="00F514FB" w:rsidRPr="00F514FB" w:rsidRDefault="00417991" w:rsidP="00F514FB">
      <w:pPr>
        <w:jc w:val="center"/>
        <w:rPr>
          <w:b/>
          <w:sz w:val="26"/>
          <w:szCs w:val="26"/>
        </w:rPr>
      </w:pPr>
      <w:r>
        <w:rPr>
          <w:b/>
          <w:sz w:val="26"/>
          <w:szCs w:val="26"/>
        </w:rPr>
        <w:t>FINAL</w:t>
      </w:r>
      <w:r w:rsidR="00355C63">
        <w:rPr>
          <w:b/>
          <w:sz w:val="26"/>
          <w:szCs w:val="26"/>
        </w:rPr>
        <w:t xml:space="preserve"> </w:t>
      </w:r>
      <w:r w:rsidR="00F514FB" w:rsidRPr="00F514FB">
        <w:rPr>
          <w:b/>
          <w:sz w:val="26"/>
          <w:szCs w:val="26"/>
        </w:rPr>
        <w:t>ORDER</w:t>
      </w:r>
    </w:p>
    <w:p w:rsidR="00F514FB" w:rsidRPr="00F514FB" w:rsidRDefault="00F514FB" w:rsidP="00F514FB">
      <w:pPr>
        <w:jc w:val="center"/>
        <w:rPr>
          <w:b/>
          <w:sz w:val="26"/>
          <w:szCs w:val="26"/>
        </w:rPr>
      </w:pPr>
    </w:p>
    <w:p w:rsidR="00F514FB" w:rsidRPr="00F514FB" w:rsidRDefault="00F514FB" w:rsidP="00355C63">
      <w:pPr>
        <w:spacing w:line="360" w:lineRule="auto"/>
        <w:rPr>
          <w:b/>
          <w:sz w:val="26"/>
          <w:szCs w:val="26"/>
        </w:rPr>
      </w:pPr>
      <w:r w:rsidRPr="00F514FB">
        <w:rPr>
          <w:b/>
          <w:sz w:val="26"/>
          <w:szCs w:val="26"/>
        </w:rPr>
        <w:t>BY THE COMMISSION:</w:t>
      </w:r>
    </w:p>
    <w:p w:rsidR="00F514FB" w:rsidRPr="00F514FB" w:rsidRDefault="00F514FB" w:rsidP="00355C63">
      <w:pPr>
        <w:spacing w:line="360" w:lineRule="auto"/>
        <w:rPr>
          <w:sz w:val="26"/>
          <w:szCs w:val="26"/>
        </w:rPr>
      </w:pPr>
    </w:p>
    <w:p w:rsidR="00E91371" w:rsidRDefault="00355C63" w:rsidP="00355C63">
      <w:pPr>
        <w:spacing w:line="360" w:lineRule="auto"/>
        <w:rPr>
          <w:sz w:val="26"/>
          <w:szCs w:val="26"/>
        </w:rPr>
      </w:pPr>
      <w:r>
        <w:rPr>
          <w:sz w:val="26"/>
          <w:szCs w:val="26"/>
        </w:rPr>
        <w:tab/>
      </w:r>
      <w:r w:rsidR="00417991">
        <w:rPr>
          <w:sz w:val="26"/>
          <w:szCs w:val="26"/>
        </w:rPr>
        <w:t>On December 5, 2013, the Public Utility Commission</w:t>
      </w:r>
      <w:r w:rsidR="00FB2D9A">
        <w:rPr>
          <w:sz w:val="26"/>
          <w:szCs w:val="26"/>
        </w:rPr>
        <w:t xml:space="preserve"> (Commission)</w:t>
      </w:r>
      <w:r w:rsidR="00417991">
        <w:rPr>
          <w:sz w:val="26"/>
          <w:szCs w:val="26"/>
        </w:rPr>
        <w:t xml:space="preserve"> issued a Tentative Order</w:t>
      </w:r>
      <w:r w:rsidR="007717D5">
        <w:rPr>
          <w:sz w:val="26"/>
          <w:szCs w:val="26"/>
        </w:rPr>
        <w:t xml:space="preserve"> </w:t>
      </w:r>
      <w:r w:rsidR="008B7577">
        <w:rPr>
          <w:sz w:val="26"/>
          <w:szCs w:val="26"/>
        </w:rPr>
        <w:t xml:space="preserve">at this Docket </w:t>
      </w:r>
      <w:r w:rsidR="007717D5">
        <w:rPr>
          <w:sz w:val="26"/>
          <w:szCs w:val="26"/>
        </w:rPr>
        <w:t>that proposed</w:t>
      </w:r>
      <w:r w:rsidR="009C3D26">
        <w:rPr>
          <w:sz w:val="26"/>
          <w:szCs w:val="26"/>
        </w:rPr>
        <w:t xml:space="preserve"> adjusting the</w:t>
      </w:r>
      <w:r w:rsidR="007717D5">
        <w:rPr>
          <w:sz w:val="26"/>
          <w:szCs w:val="26"/>
        </w:rPr>
        <w:t xml:space="preserve"> bonding requirements for electric generation </w:t>
      </w:r>
      <w:r w:rsidR="009C3D26">
        <w:rPr>
          <w:sz w:val="26"/>
          <w:szCs w:val="26"/>
        </w:rPr>
        <w:t xml:space="preserve">suppliers (EGSs) and </w:t>
      </w:r>
      <w:r w:rsidR="007717D5">
        <w:rPr>
          <w:sz w:val="26"/>
          <w:szCs w:val="26"/>
        </w:rPr>
        <w:t xml:space="preserve">expanding the </w:t>
      </w:r>
      <w:r w:rsidR="000A7F28">
        <w:rPr>
          <w:sz w:val="26"/>
          <w:szCs w:val="26"/>
        </w:rPr>
        <w:t>forms</w:t>
      </w:r>
      <w:r w:rsidR="007717D5">
        <w:rPr>
          <w:sz w:val="26"/>
          <w:szCs w:val="26"/>
        </w:rPr>
        <w:t xml:space="preserve"> of acceptable security instruments</w:t>
      </w:r>
      <w:r w:rsidR="00417991">
        <w:rPr>
          <w:sz w:val="26"/>
          <w:szCs w:val="26"/>
        </w:rPr>
        <w:t>.</w:t>
      </w:r>
      <w:r w:rsidR="007A5791">
        <w:rPr>
          <w:sz w:val="26"/>
          <w:szCs w:val="26"/>
        </w:rPr>
        <w:t xml:space="preserve">  </w:t>
      </w:r>
      <w:r w:rsidR="009C3D26">
        <w:rPr>
          <w:sz w:val="26"/>
          <w:szCs w:val="26"/>
        </w:rPr>
        <w:t xml:space="preserve">In that Tentative Order, the Commission sought </w:t>
      </w:r>
      <w:r w:rsidR="00E91371">
        <w:rPr>
          <w:sz w:val="26"/>
          <w:szCs w:val="26"/>
        </w:rPr>
        <w:t xml:space="preserve">formal </w:t>
      </w:r>
      <w:r w:rsidR="009C3D26">
        <w:rPr>
          <w:sz w:val="26"/>
          <w:szCs w:val="26"/>
        </w:rPr>
        <w:t xml:space="preserve">comments on 1) </w:t>
      </w:r>
      <w:r w:rsidR="00941CAF">
        <w:rPr>
          <w:sz w:val="26"/>
          <w:szCs w:val="26"/>
        </w:rPr>
        <w:t xml:space="preserve">whether </w:t>
      </w:r>
      <w:r w:rsidR="009C3D26">
        <w:rPr>
          <w:sz w:val="26"/>
          <w:szCs w:val="26"/>
        </w:rPr>
        <w:t xml:space="preserve">the current level of security required for EGS operations after the first year of service is excessive, burdensome, and a potential barrier to market entry; 2) </w:t>
      </w:r>
      <w:r w:rsidR="00941CAF">
        <w:rPr>
          <w:sz w:val="26"/>
          <w:szCs w:val="26"/>
        </w:rPr>
        <w:t xml:space="preserve">whether </w:t>
      </w:r>
      <w:r w:rsidR="009C3D26">
        <w:rPr>
          <w:sz w:val="26"/>
          <w:szCs w:val="26"/>
        </w:rPr>
        <w:t xml:space="preserve">the Commission should expand the </w:t>
      </w:r>
      <w:r w:rsidR="000A7F28">
        <w:rPr>
          <w:sz w:val="26"/>
          <w:szCs w:val="26"/>
        </w:rPr>
        <w:t>forms</w:t>
      </w:r>
      <w:r w:rsidR="009C3D26">
        <w:rPr>
          <w:sz w:val="26"/>
          <w:szCs w:val="26"/>
        </w:rPr>
        <w:t xml:space="preserve"> of acceptable security instruments; and 3</w:t>
      </w:r>
      <w:r w:rsidR="00941CAF">
        <w:rPr>
          <w:sz w:val="26"/>
          <w:szCs w:val="26"/>
        </w:rPr>
        <w:t>)</w:t>
      </w:r>
      <w:r w:rsidR="00941CAF" w:rsidRPr="00941CAF">
        <w:rPr>
          <w:sz w:val="26"/>
          <w:szCs w:val="26"/>
        </w:rPr>
        <w:t xml:space="preserve"> </w:t>
      </w:r>
      <w:r w:rsidR="00941CAF">
        <w:rPr>
          <w:sz w:val="26"/>
          <w:szCs w:val="26"/>
        </w:rPr>
        <w:t>whether</w:t>
      </w:r>
      <w:r w:rsidR="009C3D26">
        <w:rPr>
          <w:sz w:val="26"/>
          <w:szCs w:val="26"/>
        </w:rPr>
        <w:t xml:space="preserve"> these changes could be implemented prior to or without a change to our current regulations </w:t>
      </w:r>
      <w:r w:rsidR="002435E2">
        <w:rPr>
          <w:sz w:val="26"/>
          <w:szCs w:val="26"/>
        </w:rPr>
        <w:t>at</w:t>
      </w:r>
      <w:r w:rsidR="00F06580">
        <w:rPr>
          <w:sz w:val="26"/>
          <w:szCs w:val="26"/>
        </w:rPr>
        <w:t xml:space="preserve"> Section 54.40 in Title 52 of the Pennsylvania Code.  </w:t>
      </w:r>
      <w:r w:rsidR="00F06580">
        <w:rPr>
          <w:i/>
          <w:sz w:val="26"/>
          <w:szCs w:val="26"/>
        </w:rPr>
        <w:t>See</w:t>
      </w:r>
      <w:r w:rsidR="001B4EE1">
        <w:rPr>
          <w:sz w:val="26"/>
          <w:szCs w:val="26"/>
        </w:rPr>
        <w:t xml:space="preserve"> 52 Pa. Code § </w:t>
      </w:r>
      <w:r w:rsidR="00F06580">
        <w:rPr>
          <w:sz w:val="26"/>
          <w:szCs w:val="26"/>
        </w:rPr>
        <w:t>54.40.</w:t>
      </w:r>
      <w:r w:rsidR="00E91371">
        <w:rPr>
          <w:sz w:val="26"/>
          <w:szCs w:val="26"/>
        </w:rPr>
        <w:t xml:space="preserve">  </w:t>
      </w:r>
    </w:p>
    <w:p w:rsidR="00E91371" w:rsidRDefault="00E91371" w:rsidP="00E91371">
      <w:pPr>
        <w:spacing w:line="360" w:lineRule="auto"/>
        <w:ind w:firstLine="720"/>
        <w:rPr>
          <w:sz w:val="26"/>
          <w:szCs w:val="26"/>
        </w:rPr>
      </w:pPr>
      <w:r>
        <w:rPr>
          <w:sz w:val="26"/>
          <w:szCs w:val="26"/>
        </w:rPr>
        <w:lastRenderedPageBreak/>
        <w:t xml:space="preserve">Comments were filed by the Retail Energy Supply Association (RESA), First Energy Solutions Corp. (FES), Starion Energy PA, Inc. (Starion), Plymouth Rock Energy (Plymouth), North American Power and Gas, LLC (NAPG), Duquesne Light Energy, LLC (DLE), and the Office of Consumer Advocate (OCA).  </w:t>
      </w:r>
    </w:p>
    <w:p w:rsidR="009C3D26" w:rsidRPr="00F06580" w:rsidRDefault="00F06580" w:rsidP="00355C63">
      <w:pPr>
        <w:spacing w:line="360" w:lineRule="auto"/>
        <w:rPr>
          <w:sz w:val="26"/>
          <w:szCs w:val="26"/>
        </w:rPr>
      </w:pPr>
      <w:r>
        <w:rPr>
          <w:sz w:val="26"/>
          <w:szCs w:val="26"/>
        </w:rPr>
        <w:t xml:space="preserve">  </w:t>
      </w:r>
    </w:p>
    <w:p w:rsidR="009C3D26" w:rsidRDefault="009C3D26" w:rsidP="00355C63">
      <w:pPr>
        <w:spacing w:line="360" w:lineRule="auto"/>
        <w:rPr>
          <w:sz w:val="26"/>
        </w:rPr>
      </w:pPr>
      <w:r>
        <w:rPr>
          <w:sz w:val="26"/>
          <w:szCs w:val="26"/>
        </w:rPr>
        <w:tab/>
        <w:t xml:space="preserve">Through this Final Order, the Commission </w:t>
      </w:r>
      <w:r w:rsidR="006063EA">
        <w:rPr>
          <w:sz w:val="26"/>
          <w:szCs w:val="26"/>
        </w:rPr>
        <w:t>announces</w:t>
      </w:r>
      <w:r w:rsidR="00C83425">
        <w:rPr>
          <w:sz w:val="26"/>
          <w:szCs w:val="26"/>
        </w:rPr>
        <w:t xml:space="preserve"> </w:t>
      </w:r>
      <w:r w:rsidR="005D5BC3">
        <w:rPr>
          <w:sz w:val="26"/>
          <w:szCs w:val="26"/>
        </w:rPr>
        <w:t>new polic</w:t>
      </w:r>
      <w:r w:rsidR="009575CD">
        <w:rPr>
          <w:sz w:val="26"/>
          <w:szCs w:val="26"/>
        </w:rPr>
        <w:t>ies</w:t>
      </w:r>
      <w:r w:rsidR="005D5BC3">
        <w:rPr>
          <w:sz w:val="26"/>
          <w:szCs w:val="26"/>
        </w:rPr>
        <w:t xml:space="preserve"> </w:t>
      </w:r>
      <w:r w:rsidR="002C50D7">
        <w:rPr>
          <w:sz w:val="26"/>
          <w:szCs w:val="26"/>
        </w:rPr>
        <w:t xml:space="preserve">to </w:t>
      </w:r>
      <w:r w:rsidR="009575CD">
        <w:rPr>
          <w:sz w:val="26"/>
          <w:szCs w:val="26"/>
        </w:rPr>
        <w:t xml:space="preserve">(1) </w:t>
      </w:r>
      <w:r w:rsidR="005D5BC3">
        <w:rPr>
          <w:sz w:val="26"/>
          <w:szCs w:val="26"/>
        </w:rPr>
        <w:t>a</w:t>
      </w:r>
      <w:r w:rsidR="006E0B2D">
        <w:rPr>
          <w:sz w:val="26"/>
          <w:szCs w:val="26"/>
        </w:rPr>
        <w:t>ccept</w:t>
      </w:r>
      <w:r w:rsidR="005D5BC3">
        <w:rPr>
          <w:sz w:val="26"/>
          <w:szCs w:val="26"/>
        </w:rPr>
        <w:t xml:space="preserve"> a request by an EGS to reduce its level of </w:t>
      </w:r>
      <w:r w:rsidR="00044E24">
        <w:rPr>
          <w:sz w:val="26"/>
          <w:szCs w:val="26"/>
        </w:rPr>
        <w:t>security</w:t>
      </w:r>
      <w:r w:rsidR="005D5BC3">
        <w:rPr>
          <w:sz w:val="26"/>
          <w:szCs w:val="26"/>
        </w:rPr>
        <w:t xml:space="preserve"> </w:t>
      </w:r>
      <w:r w:rsidR="009050AC">
        <w:rPr>
          <w:sz w:val="26"/>
          <w:szCs w:val="26"/>
        </w:rPr>
        <w:t>after</w:t>
      </w:r>
      <w:r w:rsidR="005D5BC3">
        <w:rPr>
          <w:sz w:val="26"/>
          <w:szCs w:val="26"/>
        </w:rPr>
        <w:t xml:space="preserve"> the first year of operation to 5% of </w:t>
      </w:r>
      <w:r w:rsidR="0023790B">
        <w:rPr>
          <w:sz w:val="26"/>
          <w:szCs w:val="26"/>
        </w:rPr>
        <w:t xml:space="preserve">an EGS’s most </w:t>
      </w:r>
      <w:r w:rsidR="00AF6828">
        <w:rPr>
          <w:sz w:val="26"/>
          <w:szCs w:val="26"/>
        </w:rPr>
        <w:t>recent</w:t>
      </w:r>
      <w:r w:rsidR="0023790B">
        <w:rPr>
          <w:sz w:val="26"/>
          <w:szCs w:val="26"/>
        </w:rPr>
        <w:t xml:space="preserve"> 12 months of </w:t>
      </w:r>
      <w:r w:rsidR="00F44740">
        <w:rPr>
          <w:sz w:val="26"/>
          <w:szCs w:val="26"/>
        </w:rPr>
        <w:t xml:space="preserve">revenue </w:t>
      </w:r>
      <w:r w:rsidR="0023790B">
        <w:rPr>
          <w:sz w:val="26"/>
          <w:szCs w:val="26"/>
        </w:rPr>
        <w:t>or $250,000, whichever is higher</w:t>
      </w:r>
      <w:r w:rsidR="00F44740">
        <w:rPr>
          <w:sz w:val="26"/>
          <w:szCs w:val="26"/>
        </w:rPr>
        <w:t>,</w:t>
      </w:r>
      <w:r w:rsidR="005D5BC3">
        <w:rPr>
          <w:sz w:val="26"/>
          <w:szCs w:val="26"/>
        </w:rPr>
        <w:t xml:space="preserve"> and </w:t>
      </w:r>
      <w:r w:rsidR="009575CD">
        <w:rPr>
          <w:sz w:val="26"/>
          <w:szCs w:val="26"/>
        </w:rPr>
        <w:t xml:space="preserve">(2) </w:t>
      </w:r>
      <w:r w:rsidR="005D5BC3">
        <w:rPr>
          <w:sz w:val="26"/>
          <w:szCs w:val="26"/>
        </w:rPr>
        <w:t xml:space="preserve">expand the </w:t>
      </w:r>
      <w:r w:rsidR="000A7F28">
        <w:rPr>
          <w:sz w:val="26"/>
          <w:szCs w:val="26"/>
        </w:rPr>
        <w:t>form</w:t>
      </w:r>
      <w:r w:rsidR="005D5BC3">
        <w:rPr>
          <w:sz w:val="26"/>
          <w:szCs w:val="26"/>
        </w:rPr>
        <w:t>s of allowable security instruments consistent with</w:t>
      </w:r>
      <w:r w:rsidR="009575CD">
        <w:rPr>
          <w:sz w:val="26"/>
          <w:szCs w:val="26"/>
        </w:rPr>
        <w:t xml:space="preserve"> this Final Order.  I</w:t>
      </w:r>
      <w:r w:rsidR="005D5BC3">
        <w:rPr>
          <w:sz w:val="26"/>
          <w:szCs w:val="26"/>
        </w:rPr>
        <w:t>t shall be the policy of the Commission to approve requests</w:t>
      </w:r>
      <w:r w:rsidR="006E0B2D">
        <w:rPr>
          <w:sz w:val="26"/>
          <w:szCs w:val="26"/>
        </w:rPr>
        <w:t xml:space="preserve"> shown to be</w:t>
      </w:r>
      <w:r w:rsidR="009575CD">
        <w:rPr>
          <w:sz w:val="26"/>
          <w:szCs w:val="26"/>
        </w:rPr>
        <w:t xml:space="preserve"> consistent with the</w:t>
      </w:r>
      <w:r w:rsidR="00B05601">
        <w:rPr>
          <w:sz w:val="26"/>
          <w:szCs w:val="26"/>
        </w:rPr>
        <w:t xml:space="preserve"> Public Utility Code </w:t>
      </w:r>
      <w:r w:rsidR="008B7577">
        <w:rPr>
          <w:sz w:val="26"/>
          <w:szCs w:val="26"/>
        </w:rPr>
        <w:t xml:space="preserve">and </w:t>
      </w:r>
      <w:r w:rsidR="00B05601">
        <w:rPr>
          <w:sz w:val="26"/>
          <w:szCs w:val="26"/>
        </w:rPr>
        <w:t>the</w:t>
      </w:r>
      <w:r w:rsidR="009575CD">
        <w:rPr>
          <w:sz w:val="26"/>
          <w:szCs w:val="26"/>
        </w:rPr>
        <w:t xml:space="preserve"> </w:t>
      </w:r>
      <w:r w:rsidR="008B4038">
        <w:rPr>
          <w:sz w:val="26"/>
          <w:szCs w:val="26"/>
        </w:rPr>
        <w:t xml:space="preserve">Commission’s </w:t>
      </w:r>
      <w:r w:rsidR="00B05601">
        <w:rPr>
          <w:sz w:val="26"/>
          <w:szCs w:val="26"/>
        </w:rPr>
        <w:t>bond</w:t>
      </w:r>
      <w:r w:rsidR="00930654">
        <w:rPr>
          <w:sz w:val="26"/>
          <w:szCs w:val="26"/>
        </w:rPr>
        <w:t>ing</w:t>
      </w:r>
      <w:r w:rsidR="00B05601">
        <w:rPr>
          <w:sz w:val="26"/>
          <w:szCs w:val="26"/>
        </w:rPr>
        <w:t xml:space="preserve">/security regulations.  </w:t>
      </w:r>
      <w:r w:rsidR="00B05601">
        <w:rPr>
          <w:i/>
          <w:sz w:val="26"/>
          <w:szCs w:val="26"/>
        </w:rPr>
        <w:t>See</w:t>
      </w:r>
      <w:r w:rsidR="00B05601">
        <w:rPr>
          <w:sz w:val="26"/>
          <w:szCs w:val="26"/>
        </w:rPr>
        <w:t xml:space="preserve"> 66</w:t>
      </w:r>
      <w:r w:rsidR="008B4038">
        <w:rPr>
          <w:sz w:val="26"/>
          <w:szCs w:val="26"/>
        </w:rPr>
        <w:t xml:space="preserve"> Pa. C.S. §</w:t>
      </w:r>
      <w:r w:rsidR="00EC688A">
        <w:rPr>
          <w:sz w:val="26"/>
          <w:szCs w:val="26"/>
        </w:rPr>
        <w:t xml:space="preserve"> </w:t>
      </w:r>
      <w:r w:rsidR="008B4038">
        <w:rPr>
          <w:sz w:val="26"/>
          <w:szCs w:val="26"/>
        </w:rPr>
        <w:t>2809</w:t>
      </w:r>
      <w:r w:rsidR="00B05601">
        <w:rPr>
          <w:sz w:val="26"/>
          <w:szCs w:val="26"/>
        </w:rPr>
        <w:t>, 52 Pa. Code § 54.40</w:t>
      </w:r>
      <w:r w:rsidR="008B4038">
        <w:rPr>
          <w:sz w:val="26"/>
          <w:szCs w:val="26"/>
        </w:rPr>
        <w:t>.</w:t>
      </w:r>
      <w:r w:rsidR="00454A06">
        <w:rPr>
          <w:sz w:val="26"/>
          <w:szCs w:val="26"/>
        </w:rPr>
        <w:t xml:space="preserve">  </w:t>
      </w:r>
      <w:r w:rsidR="006E0B2D">
        <w:rPr>
          <w:sz w:val="26"/>
          <w:szCs w:val="26"/>
        </w:rPr>
        <w:t>At this time, t</w:t>
      </w:r>
      <w:r w:rsidR="00454A06">
        <w:rPr>
          <w:sz w:val="26"/>
        </w:rPr>
        <w:t xml:space="preserve">he Commission </w:t>
      </w:r>
      <w:r w:rsidR="006E0B2D">
        <w:rPr>
          <w:sz w:val="26"/>
        </w:rPr>
        <w:t>is planning to</w:t>
      </w:r>
      <w:r w:rsidR="00454A06">
        <w:rPr>
          <w:sz w:val="26"/>
        </w:rPr>
        <w:t xml:space="preserve"> initiate a rulemaking </w:t>
      </w:r>
      <w:r w:rsidR="00454A06">
        <w:rPr>
          <w:sz w:val="26"/>
          <w:szCs w:val="26"/>
        </w:rPr>
        <w:t>within approximately nine months of the entry date of this Final Order</w:t>
      </w:r>
      <w:r w:rsidR="008B7577">
        <w:rPr>
          <w:sz w:val="26"/>
          <w:szCs w:val="26"/>
        </w:rPr>
        <w:t>, using that period of time determine if any adjustments must be made before codify</w:t>
      </w:r>
      <w:r w:rsidR="00930654">
        <w:rPr>
          <w:sz w:val="26"/>
          <w:szCs w:val="26"/>
        </w:rPr>
        <w:t>ing</w:t>
      </w:r>
      <w:r w:rsidR="00454A06">
        <w:rPr>
          <w:sz w:val="26"/>
          <w:szCs w:val="26"/>
        </w:rPr>
        <w:t xml:space="preserve"> </w:t>
      </w:r>
      <w:r w:rsidR="00454A06">
        <w:rPr>
          <w:sz w:val="26"/>
        </w:rPr>
        <w:t xml:space="preserve">these policy changes in the Commission’s regulations.  </w:t>
      </w:r>
    </w:p>
    <w:p w:rsidR="00454A06" w:rsidRDefault="00454A06" w:rsidP="00355C63">
      <w:pPr>
        <w:spacing w:line="360" w:lineRule="auto"/>
        <w:rPr>
          <w:sz w:val="26"/>
          <w:szCs w:val="26"/>
        </w:rPr>
      </w:pPr>
    </w:p>
    <w:p w:rsidR="009C3D26" w:rsidRPr="009C3D26" w:rsidRDefault="009C3D26" w:rsidP="00355C63">
      <w:pPr>
        <w:spacing w:line="360" w:lineRule="auto"/>
        <w:rPr>
          <w:b/>
          <w:sz w:val="26"/>
          <w:szCs w:val="26"/>
        </w:rPr>
      </w:pPr>
      <w:r w:rsidRPr="009C3D26">
        <w:rPr>
          <w:b/>
          <w:sz w:val="26"/>
          <w:szCs w:val="26"/>
        </w:rPr>
        <w:t>B</w:t>
      </w:r>
      <w:r w:rsidR="00065C5C">
        <w:rPr>
          <w:b/>
          <w:sz w:val="26"/>
          <w:szCs w:val="26"/>
        </w:rPr>
        <w:t>ACKGROUND</w:t>
      </w:r>
    </w:p>
    <w:p w:rsidR="006C667A" w:rsidRDefault="00930654" w:rsidP="00941CAF">
      <w:pPr>
        <w:spacing w:line="360" w:lineRule="auto"/>
        <w:ind w:firstLine="720"/>
        <w:rPr>
          <w:sz w:val="26"/>
          <w:szCs w:val="26"/>
        </w:rPr>
      </w:pPr>
      <w:r>
        <w:rPr>
          <w:sz w:val="26"/>
          <w:szCs w:val="26"/>
        </w:rPr>
        <w:t>During the</w:t>
      </w:r>
      <w:r w:rsidR="00417991">
        <w:rPr>
          <w:sz w:val="26"/>
          <w:szCs w:val="26"/>
        </w:rPr>
        <w:t xml:space="preserve"> </w:t>
      </w:r>
      <w:r w:rsidR="00355C63">
        <w:rPr>
          <w:sz w:val="26"/>
          <w:szCs w:val="26"/>
        </w:rPr>
        <w:t>Investigation of Pennsylvania’s Retail Electric Market</w:t>
      </w:r>
      <w:r>
        <w:rPr>
          <w:sz w:val="26"/>
          <w:szCs w:val="26"/>
        </w:rPr>
        <w:t xml:space="preserve">, Docket No. I-2011-2237952, the Commission </w:t>
      </w:r>
      <w:r w:rsidR="00AA2F6D">
        <w:rPr>
          <w:sz w:val="26"/>
          <w:szCs w:val="26"/>
        </w:rPr>
        <w:t>directed the formation of a risk assessment working group</w:t>
      </w:r>
      <w:r w:rsidR="00941CAF">
        <w:rPr>
          <w:sz w:val="26"/>
          <w:szCs w:val="26"/>
        </w:rPr>
        <w:t xml:space="preserve"> (Working Group)</w:t>
      </w:r>
      <w:r w:rsidR="00AA2F6D">
        <w:rPr>
          <w:sz w:val="26"/>
          <w:szCs w:val="26"/>
        </w:rPr>
        <w:t xml:space="preserve"> comprised of Electric Distribution Companies (EDCs), EGSs</w:t>
      </w:r>
      <w:r w:rsidR="002435E2">
        <w:rPr>
          <w:sz w:val="26"/>
          <w:szCs w:val="26"/>
        </w:rPr>
        <w:t>,</w:t>
      </w:r>
      <w:r w:rsidR="00AA2F6D">
        <w:rPr>
          <w:sz w:val="26"/>
          <w:szCs w:val="26"/>
        </w:rPr>
        <w:t xml:space="preserve"> and other interested parties to work with the Commission’s Office of Competitive Markets Oversight (OCMO) to examine current security requirements and security instruments </w:t>
      </w:r>
      <w:r w:rsidR="00941CAF">
        <w:rPr>
          <w:sz w:val="26"/>
          <w:szCs w:val="26"/>
        </w:rPr>
        <w:t>that</w:t>
      </w:r>
      <w:r w:rsidR="00AA2F6D">
        <w:rPr>
          <w:sz w:val="26"/>
          <w:szCs w:val="26"/>
        </w:rPr>
        <w:t xml:space="preserve"> EGSs are required to post in order to operate in Pennsylvania’s retail electric market.</w:t>
      </w:r>
      <w:r w:rsidR="0090038E">
        <w:rPr>
          <w:sz w:val="26"/>
          <w:szCs w:val="26"/>
        </w:rPr>
        <w:t xml:space="preserve">  The Working Group</w:t>
      </w:r>
      <w:r w:rsidR="002435E2">
        <w:rPr>
          <w:sz w:val="26"/>
          <w:szCs w:val="26"/>
        </w:rPr>
        <w:t>, comprised of OCMO, EDCs, EGSs</w:t>
      </w:r>
      <w:r w:rsidR="00B135A3">
        <w:rPr>
          <w:sz w:val="26"/>
          <w:szCs w:val="26"/>
        </w:rPr>
        <w:t>,</w:t>
      </w:r>
      <w:r w:rsidR="002435E2">
        <w:rPr>
          <w:sz w:val="26"/>
          <w:szCs w:val="26"/>
        </w:rPr>
        <w:t xml:space="preserve"> and representatives of the RESA, </w:t>
      </w:r>
      <w:r w:rsidR="0090038E">
        <w:rPr>
          <w:sz w:val="26"/>
          <w:szCs w:val="26"/>
        </w:rPr>
        <w:t xml:space="preserve">formed on April 15, 2013.   </w:t>
      </w:r>
    </w:p>
    <w:p w:rsidR="006C667A" w:rsidRDefault="006C667A" w:rsidP="00355C63">
      <w:pPr>
        <w:spacing w:line="360" w:lineRule="auto"/>
        <w:rPr>
          <w:sz w:val="26"/>
          <w:szCs w:val="26"/>
        </w:rPr>
      </w:pPr>
    </w:p>
    <w:p w:rsidR="006C667A" w:rsidRDefault="006C667A" w:rsidP="00355C63">
      <w:pPr>
        <w:spacing w:line="360" w:lineRule="auto"/>
        <w:rPr>
          <w:sz w:val="26"/>
          <w:szCs w:val="26"/>
        </w:rPr>
      </w:pPr>
      <w:r>
        <w:rPr>
          <w:sz w:val="26"/>
          <w:szCs w:val="26"/>
        </w:rPr>
        <w:tab/>
        <w:t>On May 22, 2013, OCMO Staff requested the Working Group</w:t>
      </w:r>
      <w:r w:rsidR="00941CAF">
        <w:rPr>
          <w:sz w:val="26"/>
          <w:szCs w:val="26"/>
        </w:rPr>
        <w:t xml:space="preserve"> to</w:t>
      </w:r>
      <w:r>
        <w:rPr>
          <w:sz w:val="26"/>
          <w:szCs w:val="26"/>
        </w:rPr>
        <w:t xml:space="preserve"> provide informal comments discussing potential modifications to those requirements, including:</w:t>
      </w:r>
    </w:p>
    <w:p w:rsidR="00995300" w:rsidRDefault="00995300" w:rsidP="00355C63">
      <w:pPr>
        <w:spacing w:line="360" w:lineRule="auto"/>
        <w:rPr>
          <w:sz w:val="26"/>
          <w:szCs w:val="26"/>
        </w:rPr>
      </w:pPr>
    </w:p>
    <w:p w:rsidR="00F514FB" w:rsidRDefault="006C667A" w:rsidP="00917EDE">
      <w:pPr>
        <w:pStyle w:val="ListParagraph"/>
        <w:numPr>
          <w:ilvl w:val="0"/>
          <w:numId w:val="2"/>
        </w:numPr>
        <w:ind w:left="2290"/>
        <w:rPr>
          <w:sz w:val="26"/>
          <w:szCs w:val="26"/>
        </w:rPr>
      </w:pPr>
      <w:r>
        <w:rPr>
          <w:sz w:val="26"/>
          <w:szCs w:val="26"/>
        </w:rPr>
        <w:lastRenderedPageBreak/>
        <w:t>A reduction of the EGS security to be maintained</w:t>
      </w:r>
      <w:r w:rsidR="00917EDE">
        <w:rPr>
          <w:sz w:val="26"/>
          <w:szCs w:val="26"/>
        </w:rPr>
        <w:t xml:space="preserve"> after the first year of licensure from 10% of annual gross receipts to 5% of </w:t>
      </w:r>
      <w:r w:rsidR="008616F2">
        <w:rPr>
          <w:sz w:val="26"/>
          <w:szCs w:val="26"/>
        </w:rPr>
        <w:t xml:space="preserve">annual </w:t>
      </w:r>
      <w:r w:rsidR="00917EDE">
        <w:rPr>
          <w:sz w:val="26"/>
          <w:szCs w:val="26"/>
        </w:rPr>
        <w:t>gross receipts;</w:t>
      </w:r>
    </w:p>
    <w:p w:rsidR="00562DF6" w:rsidRDefault="00562DF6" w:rsidP="00562DF6">
      <w:pPr>
        <w:pStyle w:val="ListParagraph"/>
        <w:ind w:left="2290"/>
        <w:rPr>
          <w:sz w:val="26"/>
          <w:szCs w:val="26"/>
        </w:rPr>
      </w:pPr>
    </w:p>
    <w:p w:rsidR="00917EDE" w:rsidRPr="006C667A" w:rsidRDefault="00917EDE" w:rsidP="00917EDE">
      <w:pPr>
        <w:pStyle w:val="ListParagraph"/>
        <w:numPr>
          <w:ilvl w:val="0"/>
          <w:numId w:val="2"/>
        </w:numPr>
        <w:ind w:left="2290"/>
        <w:rPr>
          <w:sz w:val="26"/>
          <w:szCs w:val="26"/>
        </w:rPr>
      </w:pPr>
      <w:r>
        <w:rPr>
          <w:sz w:val="26"/>
          <w:szCs w:val="26"/>
        </w:rPr>
        <w:t>Expansion of the acceptable financial credit instruments to include</w:t>
      </w:r>
      <w:r w:rsidR="00044E24">
        <w:rPr>
          <w:sz w:val="26"/>
          <w:szCs w:val="26"/>
        </w:rPr>
        <w:t xml:space="preserve"> p</w:t>
      </w:r>
      <w:r>
        <w:rPr>
          <w:sz w:val="26"/>
          <w:szCs w:val="26"/>
        </w:rPr>
        <w:t xml:space="preserve">arental </w:t>
      </w:r>
      <w:r w:rsidR="00044E24">
        <w:rPr>
          <w:sz w:val="26"/>
          <w:szCs w:val="26"/>
        </w:rPr>
        <w:t>g</w:t>
      </w:r>
      <w:r>
        <w:rPr>
          <w:sz w:val="26"/>
          <w:szCs w:val="26"/>
        </w:rPr>
        <w:t>uarantees and segregated cash accounts specific to Pennsylvania customers and callable only by the Commission.</w:t>
      </w:r>
    </w:p>
    <w:p w:rsidR="00F6595D" w:rsidRDefault="00F6595D" w:rsidP="00995300">
      <w:pPr>
        <w:tabs>
          <w:tab w:val="left" w:pos="-720"/>
        </w:tabs>
        <w:suppressAutoHyphens/>
        <w:spacing w:line="360" w:lineRule="auto"/>
        <w:rPr>
          <w:b/>
          <w:sz w:val="26"/>
          <w:szCs w:val="26"/>
        </w:rPr>
      </w:pPr>
    </w:p>
    <w:p w:rsidR="00995300" w:rsidRDefault="00995300" w:rsidP="00995300">
      <w:pPr>
        <w:tabs>
          <w:tab w:val="left" w:pos="-720"/>
        </w:tabs>
        <w:suppressAutoHyphens/>
        <w:spacing w:line="360" w:lineRule="auto"/>
        <w:rPr>
          <w:sz w:val="26"/>
          <w:szCs w:val="26"/>
        </w:rPr>
      </w:pPr>
      <w:r>
        <w:rPr>
          <w:sz w:val="26"/>
          <w:szCs w:val="26"/>
        </w:rPr>
        <w:t xml:space="preserve">OCMO Staff also requested informal comments on whether or not </w:t>
      </w:r>
      <w:r w:rsidR="007E357A">
        <w:rPr>
          <w:sz w:val="26"/>
          <w:szCs w:val="26"/>
        </w:rPr>
        <w:t>a mix of security instruments could</w:t>
      </w:r>
      <w:r>
        <w:rPr>
          <w:sz w:val="26"/>
          <w:szCs w:val="26"/>
        </w:rPr>
        <w:t xml:space="preserve"> cover the Commission’s EGS bonding requirements.  OCMO Staff advised the Working Group that</w:t>
      </w:r>
      <w:r w:rsidR="00E91371">
        <w:rPr>
          <w:sz w:val="26"/>
          <w:szCs w:val="26"/>
        </w:rPr>
        <w:t>,</w:t>
      </w:r>
      <w:r>
        <w:rPr>
          <w:sz w:val="26"/>
          <w:szCs w:val="26"/>
        </w:rPr>
        <w:t xml:space="preserve"> given the limited resources the Commission has to both police collateral and execute on an instrument in the event of default, a blanket provision for customized security instruments for individual EGSs would not be considered.  </w:t>
      </w:r>
    </w:p>
    <w:p w:rsidR="00381293" w:rsidRDefault="00381293" w:rsidP="00995300">
      <w:pPr>
        <w:tabs>
          <w:tab w:val="left" w:pos="-720"/>
        </w:tabs>
        <w:suppressAutoHyphens/>
        <w:spacing w:line="360" w:lineRule="auto"/>
        <w:rPr>
          <w:sz w:val="26"/>
          <w:szCs w:val="26"/>
        </w:rPr>
      </w:pPr>
    </w:p>
    <w:p w:rsidR="00381293" w:rsidRPr="00065C5C" w:rsidRDefault="00381293" w:rsidP="00065C5C">
      <w:pPr>
        <w:tabs>
          <w:tab w:val="left" w:pos="-720"/>
        </w:tabs>
        <w:suppressAutoHyphens/>
        <w:spacing w:line="360" w:lineRule="auto"/>
        <w:rPr>
          <w:sz w:val="26"/>
          <w:szCs w:val="26"/>
        </w:rPr>
      </w:pPr>
      <w:r>
        <w:rPr>
          <w:sz w:val="26"/>
          <w:szCs w:val="26"/>
        </w:rPr>
        <w:tab/>
        <w:t>Informal comments were submitted by the following parties:  Washington Gas Energy Services, Inc. (WGES); In</w:t>
      </w:r>
      <w:r w:rsidR="00404494">
        <w:rPr>
          <w:sz w:val="26"/>
          <w:szCs w:val="26"/>
        </w:rPr>
        <w:t>t</w:t>
      </w:r>
      <w:r>
        <w:rPr>
          <w:sz w:val="26"/>
          <w:szCs w:val="26"/>
        </w:rPr>
        <w:t xml:space="preserve">egrys Energy Services (IES); FES; Strategic Communications, LLC on behalf of Agway Energy Services (AES); Liberty Power, Corp. (Liberty Power); Metropolitan Edison Company, </w:t>
      </w:r>
      <w:r w:rsidRPr="00065C5C">
        <w:rPr>
          <w:sz w:val="26"/>
          <w:szCs w:val="26"/>
        </w:rPr>
        <w:t xml:space="preserve">Pennsylvania Electric Company, Pennsylvania Power Company and West Penn Power Company (collectively, </w:t>
      </w:r>
      <w:r w:rsidR="007A1A9D" w:rsidRPr="00065C5C">
        <w:rPr>
          <w:sz w:val="26"/>
          <w:szCs w:val="26"/>
        </w:rPr>
        <w:t>FirstEnergy</w:t>
      </w:r>
      <w:r w:rsidRPr="00065C5C">
        <w:rPr>
          <w:sz w:val="26"/>
          <w:szCs w:val="26"/>
        </w:rPr>
        <w:t xml:space="preserve">); Constellation NewEnergy, Inc. </w:t>
      </w:r>
      <w:r w:rsidR="00B611B1" w:rsidRPr="00065C5C">
        <w:rPr>
          <w:sz w:val="26"/>
          <w:szCs w:val="26"/>
        </w:rPr>
        <w:t>(Constellation); and RESA.</w:t>
      </w:r>
      <w:r w:rsidR="007A1A9D" w:rsidRPr="00065C5C">
        <w:rPr>
          <w:sz w:val="26"/>
          <w:szCs w:val="26"/>
        </w:rPr>
        <w:t xml:space="preserve">  </w:t>
      </w:r>
    </w:p>
    <w:p w:rsidR="00B611B1" w:rsidRPr="00065C5C" w:rsidRDefault="00B611B1" w:rsidP="00065C5C">
      <w:pPr>
        <w:tabs>
          <w:tab w:val="left" w:pos="-720"/>
        </w:tabs>
        <w:suppressAutoHyphens/>
        <w:spacing w:line="360" w:lineRule="auto"/>
        <w:rPr>
          <w:sz w:val="26"/>
          <w:szCs w:val="26"/>
        </w:rPr>
      </w:pPr>
    </w:p>
    <w:p w:rsidR="00B611B1" w:rsidRPr="00065C5C" w:rsidRDefault="00B611B1" w:rsidP="00065C5C">
      <w:pPr>
        <w:spacing w:line="360" w:lineRule="auto"/>
        <w:rPr>
          <w:sz w:val="26"/>
          <w:szCs w:val="26"/>
        </w:rPr>
      </w:pPr>
      <w:r w:rsidRPr="00065C5C">
        <w:rPr>
          <w:sz w:val="26"/>
          <w:szCs w:val="26"/>
        </w:rPr>
        <w:tab/>
        <w:t>Upon review of th</w:t>
      </w:r>
      <w:r w:rsidR="00941CAF" w:rsidRPr="00065C5C">
        <w:rPr>
          <w:sz w:val="26"/>
          <w:szCs w:val="26"/>
        </w:rPr>
        <w:t>ose</w:t>
      </w:r>
      <w:r w:rsidRPr="00065C5C">
        <w:rPr>
          <w:sz w:val="26"/>
          <w:szCs w:val="26"/>
        </w:rPr>
        <w:t xml:space="preserve"> informal comments submitted to OCMO Staff, </w:t>
      </w:r>
      <w:r w:rsidR="00941CAF" w:rsidRPr="00065C5C">
        <w:rPr>
          <w:sz w:val="26"/>
          <w:szCs w:val="26"/>
        </w:rPr>
        <w:t xml:space="preserve">the Commission issued </w:t>
      </w:r>
      <w:r w:rsidRPr="00065C5C">
        <w:rPr>
          <w:sz w:val="26"/>
          <w:szCs w:val="26"/>
        </w:rPr>
        <w:t>th</w:t>
      </w:r>
      <w:r w:rsidR="00941CAF" w:rsidRPr="00065C5C">
        <w:rPr>
          <w:sz w:val="26"/>
          <w:szCs w:val="26"/>
        </w:rPr>
        <w:t>e December 5, 2013</w:t>
      </w:r>
      <w:r w:rsidRPr="00065C5C">
        <w:rPr>
          <w:sz w:val="26"/>
          <w:szCs w:val="26"/>
        </w:rPr>
        <w:t xml:space="preserve"> Tentative Order</w:t>
      </w:r>
      <w:r w:rsidR="00C54344" w:rsidRPr="00065C5C">
        <w:rPr>
          <w:sz w:val="26"/>
          <w:szCs w:val="26"/>
        </w:rPr>
        <w:t>, wherein the Commission invited formal comments on 1) whether the current level of security required for EGS operations after the first year of service is excessive, burdensome, and</w:t>
      </w:r>
      <w:r w:rsidR="00800616">
        <w:rPr>
          <w:sz w:val="26"/>
          <w:szCs w:val="26"/>
        </w:rPr>
        <w:t>/or</w:t>
      </w:r>
      <w:r w:rsidR="00C54344" w:rsidRPr="00065C5C">
        <w:rPr>
          <w:sz w:val="26"/>
          <w:szCs w:val="26"/>
        </w:rPr>
        <w:t xml:space="preserve"> a potential barrier to market entry; 2) whether the Commission should expand the </w:t>
      </w:r>
      <w:r w:rsidR="000A7F28">
        <w:rPr>
          <w:sz w:val="26"/>
          <w:szCs w:val="26"/>
        </w:rPr>
        <w:t>form</w:t>
      </w:r>
      <w:r w:rsidR="00C54344" w:rsidRPr="00065C5C">
        <w:rPr>
          <w:sz w:val="26"/>
          <w:szCs w:val="26"/>
        </w:rPr>
        <w:t xml:space="preserve">s of acceptable security instruments; and 3) whether these changes could be implemented prior to or without a change to our current regulations at Section 54.40 in Title 52 of the Pennsylvania Code.  </w:t>
      </w:r>
      <w:r w:rsidR="00C54344" w:rsidRPr="00065C5C">
        <w:rPr>
          <w:i/>
          <w:sz w:val="26"/>
          <w:szCs w:val="26"/>
        </w:rPr>
        <w:t>See</w:t>
      </w:r>
      <w:r w:rsidR="00C54344" w:rsidRPr="00065C5C">
        <w:rPr>
          <w:sz w:val="26"/>
          <w:szCs w:val="26"/>
        </w:rPr>
        <w:t xml:space="preserve"> 52 Pa. Code § 54.40.  </w:t>
      </w:r>
      <w:r w:rsidR="007A1A9D" w:rsidRPr="00065C5C">
        <w:rPr>
          <w:sz w:val="26"/>
          <w:szCs w:val="26"/>
        </w:rPr>
        <w:t>Upon</w:t>
      </w:r>
      <w:r w:rsidRPr="00065C5C">
        <w:rPr>
          <w:sz w:val="26"/>
          <w:szCs w:val="26"/>
        </w:rPr>
        <w:t xml:space="preserve"> consideration of th</w:t>
      </w:r>
      <w:r w:rsidR="007A1A9D" w:rsidRPr="00065C5C">
        <w:rPr>
          <w:sz w:val="26"/>
          <w:szCs w:val="26"/>
        </w:rPr>
        <w:t>ose</w:t>
      </w:r>
      <w:r w:rsidRPr="00065C5C">
        <w:rPr>
          <w:sz w:val="26"/>
          <w:szCs w:val="26"/>
        </w:rPr>
        <w:t xml:space="preserve"> </w:t>
      </w:r>
      <w:r w:rsidR="007A1A9D" w:rsidRPr="00065C5C">
        <w:rPr>
          <w:sz w:val="26"/>
          <w:szCs w:val="26"/>
        </w:rPr>
        <w:t>formal comments</w:t>
      </w:r>
      <w:r w:rsidR="00FB2D9A">
        <w:rPr>
          <w:sz w:val="26"/>
          <w:szCs w:val="26"/>
        </w:rPr>
        <w:t xml:space="preserve"> to the December 5, 2013 Tentative Order</w:t>
      </w:r>
      <w:r w:rsidRPr="00065C5C">
        <w:rPr>
          <w:sz w:val="26"/>
          <w:szCs w:val="26"/>
        </w:rPr>
        <w:t xml:space="preserve">, we issue </w:t>
      </w:r>
      <w:r w:rsidR="007A1A9D" w:rsidRPr="00065C5C">
        <w:rPr>
          <w:sz w:val="26"/>
          <w:szCs w:val="26"/>
        </w:rPr>
        <w:t>this</w:t>
      </w:r>
      <w:r w:rsidRPr="00065C5C">
        <w:rPr>
          <w:sz w:val="26"/>
          <w:szCs w:val="26"/>
        </w:rPr>
        <w:t xml:space="preserve"> </w:t>
      </w:r>
      <w:r w:rsidR="007A1A9D" w:rsidRPr="00065C5C">
        <w:rPr>
          <w:sz w:val="26"/>
          <w:szCs w:val="26"/>
        </w:rPr>
        <w:t>F</w:t>
      </w:r>
      <w:r w:rsidRPr="00065C5C">
        <w:rPr>
          <w:sz w:val="26"/>
          <w:szCs w:val="26"/>
        </w:rPr>
        <w:t>inal Order.</w:t>
      </w:r>
    </w:p>
    <w:p w:rsidR="007E357A" w:rsidRDefault="007E357A" w:rsidP="00065C5C">
      <w:pPr>
        <w:spacing w:line="360" w:lineRule="auto"/>
        <w:rPr>
          <w:sz w:val="26"/>
          <w:szCs w:val="26"/>
        </w:rPr>
      </w:pPr>
    </w:p>
    <w:p w:rsidR="00B611B1" w:rsidRPr="00065C5C" w:rsidRDefault="00065C5C" w:rsidP="00065C5C">
      <w:pPr>
        <w:spacing w:line="360" w:lineRule="auto"/>
        <w:rPr>
          <w:b/>
          <w:sz w:val="26"/>
          <w:szCs w:val="26"/>
        </w:rPr>
      </w:pPr>
      <w:r w:rsidRPr="00065C5C">
        <w:rPr>
          <w:b/>
          <w:sz w:val="26"/>
          <w:szCs w:val="26"/>
        </w:rPr>
        <w:lastRenderedPageBreak/>
        <w:t>DISCUSSION</w:t>
      </w:r>
    </w:p>
    <w:p w:rsidR="008A4A81" w:rsidRPr="00065C5C" w:rsidRDefault="00B611B1" w:rsidP="00065C5C">
      <w:pPr>
        <w:spacing w:line="360" w:lineRule="auto"/>
        <w:rPr>
          <w:sz w:val="26"/>
          <w:szCs w:val="26"/>
        </w:rPr>
      </w:pPr>
      <w:r w:rsidRPr="00065C5C">
        <w:rPr>
          <w:sz w:val="26"/>
          <w:szCs w:val="26"/>
        </w:rPr>
        <w:tab/>
        <w:t>The Commission’s current authority to establish EGS bonding</w:t>
      </w:r>
      <w:r w:rsidR="00450F0C">
        <w:rPr>
          <w:sz w:val="26"/>
          <w:szCs w:val="26"/>
        </w:rPr>
        <w:t>/financial security</w:t>
      </w:r>
      <w:r w:rsidRPr="00065C5C">
        <w:rPr>
          <w:sz w:val="26"/>
          <w:szCs w:val="26"/>
        </w:rPr>
        <w:t xml:space="preserve"> requirements</w:t>
      </w:r>
      <w:r w:rsidR="00450F0C">
        <w:rPr>
          <w:sz w:val="26"/>
          <w:szCs w:val="26"/>
        </w:rPr>
        <w:t xml:space="preserve"> (FSRs)</w:t>
      </w:r>
      <w:r w:rsidRPr="00065C5C">
        <w:rPr>
          <w:sz w:val="26"/>
          <w:szCs w:val="26"/>
        </w:rPr>
        <w:t xml:space="preserve"> </w:t>
      </w:r>
      <w:r w:rsidR="00377AF0" w:rsidRPr="00065C5C">
        <w:rPr>
          <w:sz w:val="26"/>
          <w:szCs w:val="26"/>
        </w:rPr>
        <w:t>is set forth</w:t>
      </w:r>
      <w:r w:rsidRPr="00065C5C">
        <w:rPr>
          <w:sz w:val="26"/>
          <w:szCs w:val="26"/>
        </w:rPr>
        <w:t xml:space="preserve"> in Section 2809 of the Public Utility Code (Code), 66 Pa. C.S. § 2809</w:t>
      </w:r>
      <w:r w:rsidR="008A4A81" w:rsidRPr="00065C5C">
        <w:rPr>
          <w:sz w:val="26"/>
          <w:szCs w:val="26"/>
        </w:rPr>
        <w:t>.  Section 2809(c) provides, in pertinent part:</w:t>
      </w:r>
    </w:p>
    <w:p w:rsidR="008A4A81" w:rsidRDefault="008A4A81" w:rsidP="00AA67CE">
      <w:pPr>
        <w:pStyle w:val="NormalWeb"/>
        <w:tabs>
          <w:tab w:val="left" w:pos="720"/>
        </w:tabs>
        <w:ind w:left="720" w:right="720"/>
        <w:jc w:val="both"/>
        <w:rPr>
          <w:sz w:val="26"/>
          <w:szCs w:val="26"/>
        </w:rPr>
      </w:pPr>
      <w:r>
        <w:rPr>
          <w:sz w:val="26"/>
          <w:szCs w:val="26"/>
        </w:rPr>
        <w:t>In order to ensure the safety and reliability of the generation of electricity in this Commonwealth, no energy supplier license shall be issued or remain in force unless the holder</w:t>
      </w:r>
      <w:proofErr w:type="gramStart"/>
      <w:r>
        <w:rPr>
          <w:sz w:val="26"/>
          <w:szCs w:val="26"/>
        </w:rPr>
        <w:t>…[</w:t>
      </w:r>
      <w:proofErr w:type="gramEnd"/>
      <w:r>
        <w:rPr>
          <w:sz w:val="26"/>
          <w:szCs w:val="26"/>
        </w:rPr>
        <w:t>f]</w:t>
      </w:r>
      <w:proofErr w:type="spellStart"/>
      <w:r>
        <w:rPr>
          <w:sz w:val="26"/>
          <w:szCs w:val="26"/>
        </w:rPr>
        <w:t>urnishes</w:t>
      </w:r>
      <w:proofErr w:type="spellEnd"/>
      <w:r>
        <w:rPr>
          <w:sz w:val="26"/>
          <w:szCs w:val="26"/>
        </w:rPr>
        <w:t xml:space="preserve"> a </w:t>
      </w:r>
      <w:r w:rsidRPr="00065C5C">
        <w:rPr>
          <w:b/>
          <w:i/>
          <w:sz w:val="26"/>
          <w:szCs w:val="26"/>
        </w:rPr>
        <w:t>bond or other security approved by the commission in form and amount</w:t>
      </w:r>
      <w:r w:rsidRPr="00065C5C">
        <w:rPr>
          <w:b/>
          <w:sz w:val="26"/>
          <w:szCs w:val="26"/>
        </w:rPr>
        <w:t xml:space="preserve"> </w:t>
      </w:r>
      <w:r w:rsidRPr="00AB4CE3">
        <w:rPr>
          <w:sz w:val="26"/>
          <w:szCs w:val="26"/>
        </w:rPr>
        <w:t xml:space="preserve">to </w:t>
      </w:r>
      <w:r>
        <w:rPr>
          <w:sz w:val="26"/>
          <w:szCs w:val="26"/>
        </w:rPr>
        <w:t>ensure the financial responsibility of the electric generation supplier and the supply of electricity at retail in accordance with contracts, agreements or arrangements.</w:t>
      </w:r>
    </w:p>
    <w:p w:rsidR="008A4A81" w:rsidRPr="00065C5C" w:rsidRDefault="008A4A81" w:rsidP="00065C5C">
      <w:pPr>
        <w:spacing w:line="360" w:lineRule="auto"/>
        <w:rPr>
          <w:sz w:val="26"/>
          <w:szCs w:val="26"/>
        </w:rPr>
      </w:pPr>
      <w:r w:rsidRPr="00065C5C">
        <w:rPr>
          <w:sz w:val="26"/>
          <w:szCs w:val="26"/>
        </w:rPr>
        <w:t>66 Pa. C.S. § 2809(c)</w:t>
      </w:r>
      <w:r w:rsidR="00065C5C" w:rsidRPr="00065C5C">
        <w:rPr>
          <w:sz w:val="26"/>
          <w:szCs w:val="26"/>
        </w:rPr>
        <w:t xml:space="preserve"> (emphasis added)</w:t>
      </w:r>
      <w:r w:rsidRPr="00065C5C">
        <w:rPr>
          <w:sz w:val="26"/>
          <w:szCs w:val="26"/>
        </w:rPr>
        <w:t xml:space="preserve">.  </w:t>
      </w:r>
      <w:r w:rsidR="00065C5C" w:rsidRPr="00065C5C">
        <w:rPr>
          <w:sz w:val="26"/>
          <w:szCs w:val="26"/>
        </w:rPr>
        <w:t xml:space="preserve">Importantly, </w:t>
      </w:r>
      <w:r w:rsidR="00CE084D">
        <w:rPr>
          <w:sz w:val="26"/>
          <w:szCs w:val="26"/>
        </w:rPr>
        <w:t xml:space="preserve">as illustrated above, </w:t>
      </w:r>
      <w:r w:rsidR="00065C5C" w:rsidRPr="00065C5C">
        <w:rPr>
          <w:sz w:val="26"/>
          <w:szCs w:val="26"/>
        </w:rPr>
        <w:t>the General Assembly grant</w:t>
      </w:r>
      <w:r w:rsidR="00AB4CE3">
        <w:rPr>
          <w:sz w:val="26"/>
          <w:szCs w:val="26"/>
        </w:rPr>
        <w:t>ed</w:t>
      </w:r>
      <w:r w:rsidR="007E357A">
        <w:rPr>
          <w:sz w:val="26"/>
          <w:szCs w:val="26"/>
        </w:rPr>
        <w:t xml:space="preserve"> the Commission </w:t>
      </w:r>
      <w:r w:rsidR="00065C5C" w:rsidRPr="00065C5C">
        <w:rPr>
          <w:sz w:val="26"/>
          <w:szCs w:val="26"/>
        </w:rPr>
        <w:t xml:space="preserve">discretion to determine the “form and amount” of the bond or other security. </w:t>
      </w:r>
      <w:r w:rsidR="00B135A3">
        <w:rPr>
          <w:sz w:val="26"/>
          <w:szCs w:val="26"/>
        </w:rPr>
        <w:t xml:space="preserve"> </w:t>
      </w:r>
    </w:p>
    <w:p w:rsidR="006476BC" w:rsidRDefault="006476BC" w:rsidP="006476BC">
      <w:pPr>
        <w:spacing w:line="360" w:lineRule="auto"/>
        <w:ind w:firstLine="720"/>
        <w:rPr>
          <w:sz w:val="26"/>
          <w:szCs w:val="26"/>
        </w:rPr>
      </w:pPr>
    </w:p>
    <w:p w:rsidR="00C174EB" w:rsidRPr="00065C5C" w:rsidRDefault="008A4A81" w:rsidP="006476BC">
      <w:pPr>
        <w:spacing w:line="360" w:lineRule="auto"/>
        <w:ind w:firstLine="720"/>
        <w:rPr>
          <w:sz w:val="26"/>
          <w:szCs w:val="26"/>
        </w:rPr>
      </w:pPr>
      <w:r w:rsidRPr="00065C5C">
        <w:rPr>
          <w:sz w:val="26"/>
          <w:szCs w:val="26"/>
        </w:rPr>
        <w:t>The Commission’s regulations at 52 Pa. Code § 54.40 provide s</w:t>
      </w:r>
      <w:r w:rsidR="00B611B1" w:rsidRPr="00065C5C">
        <w:rPr>
          <w:sz w:val="26"/>
          <w:szCs w:val="26"/>
        </w:rPr>
        <w:t>pecific details regarding the amount and form of b</w:t>
      </w:r>
      <w:r w:rsidR="002D0733" w:rsidRPr="00065C5C">
        <w:rPr>
          <w:sz w:val="26"/>
          <w:szCs w:val="26"/>
        </w:rPr>
        <w:t>onds or other security</w:t>
      </w:r>
      <w:r w:rsidR="00CE084D">
        <w:rPr>
          <w:sz w:val="26"/>
          <w:szCs w:val="26"/>
        </w:rPr>
        <w:t xml:space="preserve"> for EGSs</w:t>
      </w:r>
      <w:r w:rsidR="002D0733" w:rsidRPr="00065C5C">
        <w:rPr>
          <w:sz w:val="26"/>
          <w:szCs w:val="26"/>
        </w:rPr>
        <w:t xml:space="preserve">.  </w:t>
      </w:r>
      <w:r w:rsidR="00B611B1" w:rsidRPr="00065C5C">
        <w:rPr>
          <w:sz w:val="26"/>
          <w:szCs w:val="26"/>
        </w:rPr>
        <w:t>The initial security level</w:t>
      </w:r>
      <w:r w:rsidR="00CE084D">
        <w:rPr>
          <w:sz w:val="26"/>
          <w:szCs w:val="26"/>
        </w:rPr>
        <w:t xml:space="preserve"> currently</w:t>
      </w:r>
      <w:r w:rsidR="00B611B1" w:rsidRPr="00065C5C">
        <w:rPr>
          <w:sz w:val="26"/>
          <w:szCs w:val="26"/>
        </w:rPr>
        <w:t xml:space="preserve"> required from each EGS license applicant that intends to take title to electricity is $250,000. </w:t>
      </w:r>
      <w:r w:rsidR="00C54344" w:rsidRPr="00065C5C">
        <w:rPr>
          <w:sz w:val="26"/>
          <w:szCs w:val="26"/>
        </w:rPr>
        <w:t xml:space="preserve"> </w:t>
      </w:r>
      <w:proofErr w:type="gramStart"/>
      <w:r w:rsidR="00C54344" w:rsidRPr="00065C5C">
        <w:rPr>
          <w:sz w:val="26"/>
          <w:szCs w:val="26"/>
        </w:rPr>
        <w:t>52 Pa. Code § 54.40(c).</w:t>
      </w:r>
      <w:proofErr w:type="gramEnd"/>
      <w:r w:rsidR="00C54344" w:rsidRPr="00065C5C">
        <w:rPr>
          <w:sz w:val="26"/>
          <w:szCs w:val="26"/>
        </w:rPr>
        <w:t xml:space="preserve">  Historically, </w:t>
      </w:r>
      <w:r w:rsidR="00B611B1" w:rsidRPr="00065C5C">
        <w:rPr>
          <w:sz w:val="26"/>
          <w:szCs w:val="26"/>
        </w:rPr>
        <w:t>this requirement</w:t>
      </w:r>
      <w:r w:rsidRPr="00065C5C">
        <w:rPr>
          <w:sz w:val="26"/>
          <w:szCs w:val="26"/>
        </w:rPr>
        <w:t xml:space="preserve"> usually</w:t>
      </w:r>
      <w:r w:rsidR="00B611B1" w:rsidRPr="00065C5C">
        <w:rPr>
          <w:sz w:val="26"/>
          <w:szCs w:val="26"/>
        </w:rPr>
        <w:t xml:space="preserve"> </w:t>
      </w:r>
      <w:r w:rsidR="00C54344" w:rsidRPr="00065C5C">
        <w:rPr>
          <w:sz w:val="26"/>
          <w:szCs w:val="26"/>
        </w:rPr>
        <w:t>has been met</w:t>
      </w:r>
      <w:r w:rsidR="00B611B1" w:rsidRPr="00065C5C">
        <w:rPr>
          <w:sz w:val="26"/>
          <w:szCs w:val="26"/>
        </w:rPr>
        <w:t xml:space="preserve"> by Letters of Credit (LOC) or Surety Bonds. </w:t>
      </w:r>
      <w:r w:rsidR="00C54344" w:rsidRPr="00065C5C">
        <w:rPr>
          <w:sz w:val="26"/>
          <w:szCs w:val="26"/>
        </w:rPr>
        <w:t xml:space="preserve"> </w:t>
      </w:r>
      <w:r w:rsidR="00B611B1" w:rsidRPr="00065C5C">
        <w:rPr>
          <w:sz w:val="26"/>
          <w:szCs w:val="26"/>
        </w:rPr>
        <w:t xml:space="preserve">After the first year </w:t>
      </w:r>
      <w:r w:rsidR="008C2D70">
        <w:rPr>
          <w:sz w:val="26"/>
          <w:szCs w:val="26"/>
        </w:rPr>
        <w:t>of EGS operation</w:t>
      </w:r>
      <w:r w:rsidR="00B611B1" w:rsidRPr="00065C5C">
        <w:rPr>
          <w:sz w:val="26"/>
          <w:szCs w:val="26"/>
        </w:rPr>
        <w:t>, the security level for each</w:t>
      </w:r>
      <w:r w:rsidR="008C2D70">
        <w:rPr>
          <w:sz w:val="26"/>
          <w:szCs w:val="26"/>
        </w:rPr>
        <w:t xml:space="preserve"> EGS</w:t>
      </w:r>
      <w:r w:rsidR="00B611B1" w:rsidRPr="00065C5C">
        <w:rPr>
          <w:sz w:val="26"/>
          <w:szCs w:val="26"/>
        </w:rPr>
        <w:t xml:space="preserve"> </w:t>
      </w:r>
      <w:r w:rsidR="006C3D03" w:rsidRPr="00065C5C">
        <w:rPr>
          <w:sz w:val="26"/>
          <w:szCs w:val="26"/>
        </w:rPr>
        <w:t>is</w:t>
      </w:r>
      <w:r w:rsidR="00B611B1" w:rsidRPr="00065C5C">
        <w:rPr>
          <w:sz w:val="26"/>
          <w:szCs w:val="26"/>
        </w:rPr>
        <w:t xml:space="preserve"> reviewed annually and modified primarily based on the </w:t>
      </w:r>
      <w:r w:rsidR="008C2D70">
        <w:rPr>
          <w:sz w:val="26"/>
          <w:szCs w:val="26"/>
        </w:rPr>
        <w:t>EGS</w:t>
      </w:r>
      <w:r w:rsidR="00B611B1" w:rsidRPr="00065C5C">
        <w:rPr>
          <w:sz w:val="26"/>
          <w:szCs w:val="26"/>
        </w:rPr>
        <w:t>’s reported annual gross receipts.</w:t>
      </w:r>
      <w:r w:rsidR="00C174EB" w:rsidRPr="00065C5C">
        <w:rPr>
          <w:sz w:val="26"/>
          <w:szCs w:val="26"/>
        </w:rPr>
        <w:t xml:space="preserve">  </w:t>
      </w:r>
      <w:proofErr w:type="gramStart"/>
      <w:r w:rsidR="00C174EB" w:rsidRPr="00065C5C">
        <w:rPr>
          <w:sz w:val="26"/>
          <w:szCs w:val="26"/>
        </w:rPr>
        <w:t>52 Pa. Code § 4.40(d).</w:t>
      </w:r>
      <w:proofErr w:type="gramEnd"/>
      <w:r w:rsidR="00B611B1" w:rsidRPr="00065C5C">
        <w:rPr>
          <w:sz w:val="26"/>
          <w:szCs w:val="26"/>
        </w:rPr>
        <w:t xml:space="preserve">  </w:t>
      </w:r>
      <w:r w:rsidR="00C174EB" w:rsidRPr="00065C5C">
        <w:rPr>
          <w:sz w:val="26"/>
          <w:szCs w:val="26"/>
        </w:rPr>
        <w:t>C</w:t>
      </w:r>
      <w:r w:rsidR="002D0733" w:rsidRPr="00065C5C">
        <w:rPr>
          <w:sz w:val="26"/>
          <w:szCs w:val="26"/>
        </w:rPr>
        <w:t>urrent</w:t>
      </w:r>
      <w:r w:rsidR="00C174EB" w:rsidRPr="00065C5C">
        <w:rPr>
          <w:sz w:val="26"/>
          <w:szCs w:val="26"/>
        </w:rPr>
        <w:t>ly, the</w:t>
      </w:r>
      <w:r w:rsidR="002D0733" w:rsidRPr="00065C5C">
        <w:rPr>
          <w:sz w:val="26"/>
          <w:szCs w:val="26"/>
        </w:rPr>
        <w:t xml:space="preserve"> </w:t>
      </w:r>
      <w:r w:rsidR="00B611B1" w:rsidRPr="00065C5C">
        <w:rPr>
          <w:sz w:val="26"/>
          <w:szCs w:val="26"/>
        </w:rPr>
        <w:t>security level t</w:t>
      </w:r>
      <w:r w:rsidR="00C174EB" w:rsidRPr="00065C5C">
        <w:rPr>
          <w:sz w:val="26"/>
          <w:szCs w:val="26"/>
        </w:rPr>
        <w:t>hat</w:t>
      </w:r>
      <w:r w:rsidR="00B611B1" w:rsidRPr="00065C5C">
        <w:rPr>
          <w:sz w:val="26"/>
          <w:szCs w:val="26"/>
        </w:rPr>
        <w:t xml:space="preserve"> </w:t>
      </w:r>
      <w:r w:rsidR="00C174EB" w:rsidRPr="00065C5C">
        <w:rPr>
          <w:sz w:val="26"/>
          <w:szCs w:val="26"/>
        </w:rPr>
        <w:t xml:space="preserve">must </w:t>
      </w:r>
      <w:r w:rsidR="00B611B1" w:rsidRPr="00065C5C">
        <w:rPr>
          <w:sz w:val="26"/>
          <w:szCs w:val="26"/>
        </w:rPr>
        <w:t xml:space="preserve">be maintained </w:t>
      </w:r>
      <w:r w:rsidR="006C3D03" w:rsidRPr="00065C5C">
        <w:rPr>
          <w:sz w:val="26"/>
          <w:szCs w:val="26"/>
        </w:rPr>
        <w:t xml:space="preserve">by </w:t>
      </w:r>
      <w:r w:rsidR="00C174EB" w:rsidRPr="00065C5C">
        <w:rPr>
          <w:sz w:val="26"/>
          <w:szCs w:val="26"/>
        </w:rPr>
        <w:t xml:space="preserve">the </w:t>
      </w:r>
      <w:r w:rsidR="008223BC">
        <w:rPr>
          <w:sz w:val="26"/>
          <w:szCs w:val="26"/>
        </w:rPr>
        <w:t>EGS</w:t>
      </w:r>
      <w:r w:rsidR="00065C5C" w:rsidRPr="00065C5C">
        <w:rPr>
          <w:sz w:val="26"/>
          <w:szCs w:val="26"/>
        </w:rPr>
        <w:t xml:space="preserve"> for those subsequent years</w:t>
      </w:r>
      <w:r w:rsidR="006C3D03" w:rsidRPr="00065C5C">
        <w:rPr>
          <w:sz w:val="26"/>
          <w:szCs w:val="26"/>
        </w:rPr>
        <w:t xml:space="preserve"> </w:t>
      </w:r>
      <w:r w:rsidR="002D0733" w:rsidRPr="00065C5C">
        <w:rPr>
          <w:sz w:val="26"/>
          <w:szCs w:val="26"/>
        </w:rPr>
        <w:t xml:space="preserve">is </w:t>
      </w:r>
      <w:r w:rsidR="00B611B1" w:rsidRPr="00065C5C">
        <w:rPr>
          <w:sz w:val="26"/>
          <w:szCs w:val="26"/>
        </w:rPr>
        <w:t xml:space="preserve">10% of the </w:t>
      </w:r>
      <w:r w:rsidR="008223BC">
        <w:rPr>
          <w:sz w:val="26"/>
          <w:szCs w:val="26"/>
        </w:rPr>
        <w:t>EGS</w:t>
      </w:r>
      <w:r w:rsidR="00B611B1" w:rsidRPr="00065C5C">
        <w:rPr>
          <w:sz w:val="26"/>
          <w:szCs w:val="26"/>
        </w:rPr>
        <w:t xml:space="preserve">’s reported </w:t>
      </w:r>
      <w:r w:rsidR="008223BC">
        <w:rPr>
          <w:sz w:val="26"/>
          <w:szCs w:val="26"/>
        </w:rPr>
        <w:t xml:space="preserve">annual gross </w:t>
      </w:r>
      <w:r w:rsidR="00B611B1" w:rsidRPr="00065C5C">
        <w:rPr>
          <w:sz w:val="26"/>
          <w:szCs w:val="26"/>
        </w:rPr>
        <w:t>receipts</w:t>
      </w:r>
      <w:r w:rsidR="00B05601">
        <w:rPr>
          <w:sz w:val="26"/>
          <w:szCs w:val="26"/>
        </w:rPr>
        <w:t xml:space="preserve"> or $250,000, whichever is higher</w:t>
      </w:r>
      <w:r w:rsidR="00B611B1" w:rsidRPr="00065C5C">
        <w:rPr>
          <w:sz w:val="26"/>
          <w:szCs w:val="26"/>
        </w:rPr>
        <w:t xml:space="preserve">. </w:t>
      </w:r>
      <w:proofErr w:type="gramStart"/>
      <w:r w:rsidR="001B4EE1">
        <w:rPr>
          <w:sz w:val="26"/>
          <w:szCs w:val="26"/>
        </w:rPr>
        <w:t>52 Pa. Code § </w:t>
      </w:r>
      <w:r w:rsidR="006C3D03" w:rsidRPr="00065C5C">
        <w:rPr>
          <w:sz w:val="26"/>
          <w:szCs w:val="26"/>
        </w:rPr>
        <w:t>54.40(d).</w:t>
      </w:r>
      <w:proofErr w:type="gramEnd"/>
      <w:r w:rsidR="00911471">
        <w:rPr>
          <w:sz w:val="26"/>
          <w:szCs w:val="26"/>
        </w:rPr>
        <w:t xml:space="preserve">  Importantly, our regulations also allow an EGS to seek an alternative level of </w:t>
      </w:r>
      <w:r w:rsidR="00044E24">
        <w:rPr>
          <w:sz w:val="26"/>
          <w:szCs w:val="26"/>
        </w:rPr>
        <w:t>security</w:t>
      </w:r>
      <w:r w:rsidR="00911471">
        <w:rPr>
          <w:sz w:val="26"/>
          <w:szCs w:val="26"/>
        </w:rPr>
        <w:t xml:space="preserve"> commensurate with the nature and scope of the EGS’s operations.</w:t>
      </w:r>
      <w:r w:rsidR="00363FA8">
        <w:rPr>
          <w:rStyle w:val="FootnoteReference"/>
          <w:sz w:val="26"/>
          <w:szCs w:val="26"/>
        </w:rPr>
        <w:footnoteReference w:id="1"/>
      </w:r>
      <w:r w:rsidR="00911471">
        <w:rPr>
          <w:sz w:val="26"/>
          <w:szCs w:val="26"/>
        </w:rPr>
        <w:t xml:space="preserve">  </w:t>
      </w:r>
      <w:r w:rsidR="00911471">
        <w:rPr>
          <w:i/>
          <w:sz w:val="26"/>
          <w:szCs w:val="26"/>
        </w:rPr>
        <w:t>See id.</w:t>
      </w:r>
      <w:r w:rsidR="006C3D03" w:rsidRPr="00065C5C">
        <w:rPr>
          <w:sz w:val="26"/>
          <w:szCs w:val="26"/>
        </w:rPr>
        <w:t xml:space="preserve">  </w:t>
      </w:r>
    </w:p>
    <w:p w:rsidR="006476BC" w:rsidRDefault="006476BC" w:rsidP="00065C5C">
      <w:pPr>
        <w:spacing w:line="360" w:lineRule="auto"/>
        <w:rPr>
          <w:sz w:val="26"/>
          <w:szCs w:val="26"/>
        </w:rPr>
      </w:pPr>
    </w:p>
    <w:p w:rsidR="007A1A9D" w:rsidRPr="0070466D" w:rsidRDefault="00B611B1" w:rsidP="00AB4CE3">
      <w:pPr>
        <w:spacing w:line="360" w:lineRule="auto"/>
        <w:ind w:firstLine="720"/>
        <w:rPr>
          <w:sz w:val="26"/>
          <w:szCs w:val="26"/>
        </w:rPr>
      </w:pPr>
      <w:r w:rsidRPr="00065C5C">
        <w:rPr>
          <w:sz w:val="26"/>
          <w:szCs w:val="26"/>
        </w:rPr>
        <w:t>The purpose of th</w:t>
      </w:r>
      <w:r w:rsidR="00911471">
        <w:rPr>
          <w:sz w:val="26"/>
          <w:szCs w:val="26"/>
        </w:rPr>
        <w:t>e</w:t>
      </w:r>
      <w:r w:rsidRPr="00065C5C">
        <w:rPr>
          <w:sz w:val="26"/>
          <w:szCs w:val="26"/>
        </w:rPr>
        <w:t xml:space="preserve"> security level is to ensure payment of the Gross Receipts Tax </w:t>
      </w:r>
      <w:r w:rsidRPr="00065C5C">
        <w:rPr>
          <w:sz w:val="26"/>
          <w:szCs w:val="26"/>
        </w:rPr>
        <w:lastRenderedPageBreak/>
        <w:t>(GRT)</w:t>
      </w:r>
      <w:r w:rsidR="00800616">
        <w:rPr>
          <w:rStyle w:val="FootnoteReference"/>
          <w:sz w:val="26"/>
          <w:szCs w:val="26"/>
        </w:rPr>
        <w:footnoteReference w:id="2"/>
      </w:r>
      <w:r w:rsidRPr="00065C5C">
        <w:rPr>
          <w:sz w:val="26"/>
          <w:szCs w:val="26"/>
        </w:rPr>
        <w:t xml:space="preserve"> and to ensure the supply of electricity at </w:t>
      </w:r>
      <w:r w:rsidR="00FB2D9A">
        <w:rPr>
          <w:sz w:val="26"/>
          <w:szCs w:val="26"/>
        </w:rPr>
        <w:t xml:space="preserve">the </w:t>
      </w:r>
      <w:r w:rsidRPr="00065C5C">
        <w:rPr>
          <w:sz w:val="26"/>
          <w:szCs w:val="26"/>
        </w:rPr>
        <w:t>retail</w:t>
      </w:r>
      <w:r w:rsidR="00FB2D9A">
        <w:rPr>
          <w:sz w:val="26"/>
          <w:szCs w:val="26"/>
        </w:rPr>
        <w:t xml:space="preserve"> level</w:t>
      </w:r>
      <w:r w:rsidRPr="00065C5C">
        <w:rPr>
          <w:sz w:val="26"/>
          <w:szCs w:val="26"/>
        </w:rPr>
        <w:t xml:space="preserve"> in accordance with contracts, agreements</w:t>
      </w:r>
      <w:r w:rsidR="00800616">
        <w:rPr>
          <w:sz w:val="26"/>
          <w:szCs w:val="26"/>
        </w:rPr>
        <w:t>,</w:t>
      </w:r>
      <w:r w:rsidRPr="00065C5C">
        <w:rPr>
          <w:sz w:val="26"/>
          <w:szCs w:val="26"/>
        </w:rPr>
        <w:t xml:space="preserve"> or arrangements</w:t>
      </w:r>
      <w:r w:rsidR="002D0733" w:rsidRPr="00065C5C">
        <w:rPr>
          <w:sz w:val="26"/>
          <w:szCs w:val="26"/>
        </w:rPr>
        <w:t>.</w:t>
      </w:r>
      <w:r w:rsidRPr="00065C5C">
        <w:rPr>
          <w:sz w:val="26"/>
          <w:szCs w:val="26"/>
        </w:rPr>
        <w:t xml:space="preserve"> </w:t>
      </w:r>
      <w:r w:rsidR="008C2D70">
        <w:rPr>
          <w:sz w:val="26"/>
          <w:szCs w:val="26"/>
        </w:rPr>
        <w:t xml:space="preserve"> </w:t>
      </w:r>
      <w:r w:rsidRPr="00065C5C">
        <w:rPr>
          <w:sz w:val="26"/>
          <w:szCs w:val="26"/>
        </w:rPr>
        <w:t>52 Pa</w:t>
      </w:r>
      <w:r w:rsidR="00800616">
        <w:rPr>
          <w:sz w:val="26"/>
          <w:szCs w:val="26"/>
        </w:rPr>
        <w:t>.</w:t>
      </w:r>
      <w:r w:rsidRPr="00065C5C">
        <w:rPr>
          <w:sz w:val="26"/>
          <w:szCs w:val="26"/>
        </w:rPr>
        <w:t xml:space="preserve"> Code § 54.40(f</w:t>
      </w:r>
      <w:proofErr w:type="gramStart"/>
      <w:r w:rsidRPr="00065C5C">
        <w:rPr>
          <w:sz w:val="26"/>
          <w:szCs w:val="26"/>
        </w:rPr>
        <w:t>)(</w:t>
      </w:r>
      <w:proofErr w:type="gramEnd"/>
      <w:r w:rsidRPr="00065C5C">
        <w:rPr>
          <w:sz w:val="26"/>
          <w:szCs w:val="26"/>
        </w:rPr>
        <w:t>2).</w:t>
      </w:r>
      <w:r w:rsidR="00800616">
        <w:rPr>
          <w:sz w:val="26"/>
          <w:szCs w:val="26"/>
        </w:rPr>
        <w:t xml:space="preserve">  As to the prioritization of claims for payment under the security, the Commonwealth </w:t>
      </w:r>
      <w:r w:rsidR="008C2D70">
        <w:rPr>
          <w:sz w:val="26"/>
          <w:szCs w:val="26"/>
        </w:rPr>
        <w:t xml:space="preserve">of Pennsylvania </w:t>
      </w:r>
      <w:r w:rsidR="00800616">
        <w:rPr>
          <w:sz w:val="26"/>
          <w:szCs w:val="26"/>
        </w:rPr>
        <w:t>has top priority, followed by the EDCs</w:t>
      </w:r>
      <w:r w:rsidR="00331D78">
        <w:rPr>
          <w:sz w:val="26"/>
          <w:szCs w:val="26"/>
        </w:rPr>
        <w:t xml:space="preserve"> for</w:t>
      </w:r>
      <w:r w:rsidR="00800616">
        <w:rPr>
          <w:sz w:val="26"/>
          <w:szCs w:val="26"/>
        </w:rPr>
        <w:t xml:space="preserve"> </w:t>
      </w:r>
      <w:r w:rsidR="00331D78">
        <w:rPr>
          <w:sz w:val="26"/>
          <w:szCs w:val="26"/>
        </w:rPr>
        <w:t xml:space="preserve">the </w:t>
      </w:r>
      <w:r w:rsidR="00800616">
        <w:rPr>
          <w:sz w:val="26"/>
          <w:szCs w:val="26"/>
        </w:rPr>
        <w:t>reimbursement of GRT</w:t>
      </w:r>
      <w:r w:rsidR="00454A06">
        <w:rPr>
          <w:sz w:val="26"/>
          <w:szCs w:val="26"/>
        </w:rPr>
        <w:t>,</w:t>
      </w:r>
      <w:r w:rsidR="00331D78">
        <w:rPr>
          <w:rStyle w:val="FootnoteReference"/>
          <w:sz w:val="26"/>
          <w:szCs w:val="26"/>
        </w:rPr>
        <w:footnoteReference w:id="3"/>
      </w:r>
      <w:r w:rsidR="00454A06">
        <w:rPr>
          <w:sz w:val="26"/>
          <w:szCs w:val="26"/>
        </w:rPr>
        <w:t xml:space="preserve"> and private individuals. </w:t>
      </w:r>
      <w:r w:rsidR="00331D78">
        <w:rPr>
          <w:sz w:val="26"/>
          <w:szCs w:val="26"/>
        </w:rPr>
        <w:t xml:space="preserve"> </w:t>
      </w:r>
      <w:r w:rsidR="00454A06">
        <w:rPr>
          <w:sz w:val="26"/>
          <w:szCs w:val="26"/>
        </w:rPr>
        <w:t xml:space="preserve"> </w:t>
      </w:r>
      <w:r w:rsidR="00331D78">
        <w:rPr>
          <w:sz w:val="26"/>
          <w:szCs w:val="26"/>
        </w:rPr>
        <w:t>52 Pa. Code § 54.40(f</w:t>
      </w:r>
      <w:proofErr w:type="gramStart"/>
      <w:r w:rsidR="00331D78">
        <w:rPr>
          <w:sz w:val="26"/>
          <w:szCs w:val="26"/>
        </w:rPr>
        <w:t>)(</w:t>
      </w:r>
      <w:proofErr w:type="gramEnd"/>
      <w:r w:rsidR="00331D78">
        <w:rPr>
          <w:sz w:val="26"/>
          <w:szCs w:val="26"/>
        </w:rPr>
        <w:t>3).</w:t>
      </w:r>
      <w:r w:rsidR="00331D78" w:rsidRPr="00065C5C">
        <w:rPr>
          <w:sz w:val="26"/>
          <w:szCs w:val="26"/>
        </w:rPr>
        <w:t xml:space="preserve">  </w:t>
      </w:r>
      <w:r w:rsidR="00B135A3">
        <w:rPr>
          <w:sz w:val="26"/>
          <w:szCs w:val="26"/>
        </w:rPr>
        <w:t xml:space="preserve">The </w:t>
      </w:r>
      <w:r w:rsidR="007A1A9D">
        <w:rPr>
          <w:sz w:val="26"/>
          <w:szCs w:val="26"/>
        </w:rPr>
        <w:t>Commonwealth</w:t>
      </w:r>
      <w:r w:rsidR="008C2D70">
        <w:rPr>
          <w:sz w:val="26"/>
          <w:szCs w:val="26"/>
        </w:rPr>
        <w:t>’s primary interest concerns</w:t>
      </w:r>
      <w:r w:rsidR="00AB4CE3">
        <w:rPr>
          <w:sz w:val="26"/>
          <w:szCs w:val="26"/>
        </w:rPr>
        <w:t xml:space="preserve"> </w:t>
      </w:r>
      <w:r w:rsidR="00B135A3">
        <w:rPr>
          <w:sz w:val="26"/>
          <w:szCs w:val="26"/>
        </w:rPr>
        <w:t xml:space="preserve">the </w:t>
      </w:r>
      <w:r w:rsidR="00AB4CE3">
        <w:rPr>
          <w:sz w:val="26"/>
          <w:szCs w:val="26"/>
        </w:rPr>
        <w:t>demand</w:t>
      </w:r>
      <w:r w:rsidR="00B135A3">
        <w:rPr>
          <w:sz w:val="26"/>
          <w:szCs w:val="26"/>
        </w:rPr>
        <w:t xml:space="preserve"> of</w:t>
      </w:r>
      <w:r w:rsidR="00AB4CE3">
        <w:rPr>
          <w:sz w:val="26"/>
          <w:szCs w:val="26"/>
        </w:rPr>
        <w:t xml:space="preserve"> any missed GRT payments by the EGS.  </w:t>
      </w:r>
      <w:r w:rsidR="000B46CA">
        <w:rPr>
          <w:sz w:val="26"/>
          <w:szCs w:val="26"/>
        </w:rPr>
        <w:t xml:space="preserve">The </w:t>
      </w:r>
      <w:r w:rsidR="00AB4CE3">
        <w:rPr>
          <w:sz w:val="26"/>
          <w:szCs w:val="26"/>
        </w:rPr>
        <w:t>Commonwealth</w:t>
      </w:r>
      <w:r w:rsidR="000B46CA">
        <w:rPr>
          <w:sz w:val="26"/>
          <w:szCs w:val="26"/>
        </w:rPr>
        <w:t xml:space="preserve"> also</w:t>
      </w:r>
      <w:r w:rsidR="00AB4CE3">
        <w:rPr>
          <w:sz w:val="26"/>
          <w:szCs w:val="26"/>
        </w:rPr>
        <w:t xml:space="preserve"> has an interest in receiving an EGS’s alternati</w:t>
      </w:r>
      <w:r w:rsidR="00AB4CE3" w:rsidRPr="00AB4CE3">
        <w:rPr>
          <w:sz w:val="26"/>
          <w:szCs w:val="26"/>
        </w:rPr>
        <w:t>ve compliance payments</w:t>
      </w:r>
      <w:r w:rsidR="0070466D">
        <w:rPr>
          <w:sz w:val="26"/>
          <w:szCs w:val="26"/>
        </w:rPr>
        <w:t xml:space="preserve"> (ACPs)</w:t>
      </w:r>
      <w:r w:rsidR="0070466D">
        <w:rPr>
          <w:rStyle w:val="FootnoteReference"/>
          <w:sz w:val="26"/>
          <w:szCs w:val="26"/>
        </w:rPr>
        <w:footnoteReference w:id="4"/>
      </w:r>
      <w:r w:rsidR="00AB4CE3" w:rsidRPr="00AB4CE3">
        <w:rPr>
          <w:sz w:val="26"/>
          <w:szCs w:val="26"/>
        </w:rPr>
        <w:t xml:space="preserve"> under the Alternative Energy </w:t>
      </w:r>
      <w:r w:rsidR="008C2D70">
        <w:rPr>
          <w:sz w:val="26"/>
          <w:szCs w:val="26"/>
        </w:rPr>
        <w:t>Portfolio Standards Act of 2004.</w:t>
      </w:r>
      <w:r w:rsidR="00AB4CE3" w:rsidRPr="00AB4CE3">
        <w:rPr>
          <w:sz w:val="26"/>
          <w:szCs w:val="26"/>
        </w:rPr>
        <w:t xml:space="preserve"> </w:t>
      </w:r>
      <w:r w:rsidR="008C2D70">
        <w:rPr>
          <w:sz w:val="26"/>
          <w:szCs w:val="26"/>
        </w:rPr>
        <w:t xml:space="preserve"> </w:t>
      </w:r>
      <w:proofErr w:type="gramStart"/>
      <w:r w:rsidR="00AB4CE3" w:rsidRPr="00AB4CE3">
        <w:rPr>
          <w:sz w:val="26"/>
          <w:szCs w:val="26"/>
        </w:rPr>
        <w:t>73 P.S.</w:t>
      </w:r>
      <w:r w:rsidR="001B4EE1">
        <w:rPr>
          <w:sz w:val="26"/>
          <w:szCs w:val="26"/>
        </w:rPr>
        <w:t xml:space="preserve"> § </w:t>
      </w:r>
      <w:r w:rsidR="008C2D70">
        <w:rPr>
          <w:sz w:val="26"/>
          <w:szCs w:val="26"/>
        </w:rPr>
        <w:t>1648.3(f).</w:t>
      </w:r>
      <w:proofErr w:type="gramEnd"/>
      <w:r w:rsidR="008C2D70">
        <w:rPr>
          <w:sz w:val="26"/>
          <w:szCs w:val="26"/>
        </w:rPr>
        <w:t xml:space="preserve">   </w:t>
      </w:r>
      <w:r w:rsidR="0070466D" w:rsidRPr="0070466D">
        <w:rPr>
          <w:sz w:val="26"/>
          <w:szCs w:val="26"/>
        </w:rPr>
        <w:t xml:space="preserve">Alternative compliance payments </w:t>
      </w:r>
      <w:r w:rsidR="0070466D">
        <w:rPr>
          <w:sz w:val="26"/>
          <w:szCs w:val="26"/>
        </w:rPr>
        <w:t>are</w:t>
      </w:r>
      <w:r w:rsidR="0070466D" w:rsidRPr="0070466D">
        <w:rPr>
          <w:sz w:val="26"/>
          <w:szCs w:val="26"/>
        </w:rPr>
        <w:t xml:space="preserve"> paid into a special fund of the Pennsylvania Sustainable Energy Board for</w:t>
      </w:r>
      <w:r w:rsidR="0070466D">
        <w:rPr>
          <w:sz w:val="26"/>
          <w:szCs w:val="26"/>
        </w:rPr>
        <w:t xml:space="preserve"> sole use in</w:t>
      </w:r>
      <w:r w:rsidR="0070466D" w:rsidRPr="0070466D">
        <w:rPr>
          <w:sz w:val="26"/>
          <w:szCs w:val="26"/>
        </w:rPr>
        <w:t xml:space="preserve"> projects that will increase the amount of electric energy generated from alternative energy resources.  </w:t>
      </w:r>
      <w:proofErr w:type="gramStart"/>
      <w:r w:rsidR="0070466D" w:rsidRPr="0070466D">
        <w:rPr>
          <w:sz w:val="26"/>
          <w:szCs w:val="26"/>
        </w:rPr>
        <w:t>73 P.S.</w:t>
      </w:r>
      <w:r w:rsidR="001B4EE1">
        <w:rPr>
          <w:sz w:val="26"/>
          <w:szCs w:val="26"/>
        </w:rPr>
        <w:t xml:space="preserve"> § </w:t>
      </w:r>
      <w:r w:rsidR="0070466D" w:rsidRPr="0070466D">
        <w:rPr>
          <w:sz w:val="26"/>
          <w:szCs w:val="26"/>
        </w:rPr>
        <w:t>1648.3(g).</w:t>
      </w:r>
      <w:proofErr w:type="gramEnd"/>
      <w:r w:rsidR="0070466D" w:rsidRPr="0070466D">
        <w:rPr>
          <w:sz w:val="26"/>
          <w:szCs w:val="26"/>
        </w:rPr>
        <w:t xml:space="preserve">  </w:t>
      </w:r>
    </w:p>
    <w:p w:rsidR="002D0733" w:rsidRDefault="002D0733" w:rsidP="00E91657">
      <w:pPr>
        <w:spacing w:line="360" w:lineRule="auto"/>
        <w:rPr>
          <w:sz w:val="26"/>
          <w:szCs w:val="26"/>
        </w:rPr>
      </w:pPr>
    </w:p>
    <w:p w:rsidR="002D0733" w:rsidRDefault="002D0733" w:rsidP="00B55FF4">
      <w:pPr>
        <w:spacing w:line="360" w:lineRule="auto"/>
        <w:rPr>
          <w:b/>
          <w:sz w:val="26"/>
          <w:szCs w:val="26"/>
        </w:rPr>
      </w:pPr>
      <w:r>
        <w:rPr>
          <w:b/>
          <w:sz w:val="26"/>
          <w:szCs w:val="26"/>
        </w:rPr>
        <w:t>Comments</w:t>
      </w:r>
      <w:r w:rsidR="00335D27">
        <w:rPr>
          <w:b/>
          <w:sz w:val="26"/>
          <w:szCs w:val="26"/>
        </w:rPr>
        <w:t xml:space="preserve"> </w:t>
      </w:r>
      <w:r w:rsidR="005D50EF">
        <w:rPr>
          <w:b/>
          <w:sz w:val="26"/>
          <w:szCs w:val="26"/>
        </w:rPr>
        <w:t>t</w:t>
      </w:r>
      <w:r w:rsidR="00335D27">
        <w:rPr>
          <w:b/>
          <w:sz w:val="26"/>
          <w:szCs w:val="26"/>
        </w:rPr>
        <w:t>o the December 5, 2013 Tentative Order</w:t>
      </w:r>
    </w:p>
    <w:p w:rsidR="002D0733" w:rsidRPr="00B55FF4" w:rsidRDefault="00B55FF4" w:rsidP="00B55FF4">
      <w:pPr>
        <w:spacing w:line="360" w:lineRule="auto"/>
        <w:rPr>
          <w:sz w:val="26"/>
          <w:szCs w:val="26"/>
          <w:u w:val="single"/>
        </w:rPr>
      </w:pPr>
      <w:r>
        <w:rPr>
          <w:sz w:val="26"/>
          <w:szCs w:val="26"/>
          <w:u w:val="single"/>
        </w:rPr>
        <w:t>Level of Bonding/</w:t>
      </w:r>
      <w:r w:rsidR="00450F0C">
        <w:rPr>
          <w:sz w:val="26"/>
          <w:szCs w:val="26"/>
          <w:u w:val="single"/>
        </w:rPr>
        <w:t xml:space="preserve">Financial </w:t>
      </w:r>
      <w:r>
        <w:rPr>
          <w:sz w:val="26"/>
          <w:szCs w:val="26"/>
          <w:u w:val="single"/>
        </w:rPr>
        <w:t>Security Protection</w:t>
      </w:r>
    </w:p>
    <w:p w:rsidR="002926D5" w:rsidRDefault="00B55FF4" w:rsidP="00B611B1">
      <w:pPr>
        <w:spacing w:line="360" w:lineRule="auto"/>
        <w:ind w:firstLine="720"/>
        <w:rPr>
          <w:sz w:val="26"/>
          <w:szCs w:val="26"/>
        </w:rPr>
      </w:pPr>
      <w:r>
        <w:rPr>
          <w:sz w:val="26"/>
          <w:szCs w:val="26"/>
        </w:rPr>
        <w:t>The commenters overwhelmingly support Commission efforts to reduce the bonding</w:t>
      </w:r>
      <w:r w:rsidR="00450F0C">
        <w:rPr>
          <w:sz w:val="26"/>
          <w:szCs w:val="26"/>
        </w:rPr>
        <w:t xml:space="preserve"> and financial </w:t>
      </w:r>
      <w:r>
        <w:rPr>
          <w:sz w:val="26"/>
          <w:szCs w:val="26"/>
        </w:rPr>
        <w:t>security requirement</w:t>
      </w:r>
      <w:r w:rsidR="00450F0C">
        <w:rPr>
          <w:sz w:val="26"/>
          <w:szCs w:val="26"/>
        </w:rPr>
        <w:t>s</w:t>
      </w:r>
      <w:r>
        <w:rPr>
          <w:sz w:val="26"/>
          <w:szCs w:val="26"/>
        </w:rPr>
        <w:t xml:space="preserve">, contending that, after the first year of EGS operation, a security requirement of 10% of an EGS’s annual gross receipts is overly excessive and burdensome.  </w:t>
      </w:r>
      <w:r>
        <w:rPr>
          <w:i/>
          <w:sz w:val="26"/>
          <w:szCs w:val="26"/>
        </w:rPr>
        <w:t>See</w:t>
      </w:r>
      <w:r>
        <w:rPr>
          <w:sz w:val="26"/>
          <w:szCs w:val="26"/>
        </w:rPr>
        <w:t xml:space="preserve"> NAPG Comments at 1-2; DLE Comments at 1-2; Plymouth Comments at 3; Starion Comments at 2; FES Comments at 2-3; RESA Comments at 3-11.  </w:t>
      </w:r>
      <w:r w:rsidR="00D60C44">
        <w:rPr>
          <w:sz w:val="26"/>
          <w:szCs w:val="26"/>
        </w:rPr>
        <w:t xml:space="preserve">NAPG further states that more reasonable security requirements would create a more attractive retail market for all EGSs in Pennsylvania, yielding new suppliers with innovative </w:t>
      </w:r>
      <w:r w:rsidR="00AC2DFC">
        <w:rPr>
          <w:sz w:val="26"/>
          <w:szCs w:val="26"/>
        </w:rPr>
        <w:t xml:space="preserve">and competitive products.  </w:t>
      </w:r>
      <w:proofErr w:type="gramStart"/>
      <w:r w:rsidR="00D60C44">
        <w:rPr>
          <w:sz w:val="26"/>
          <w:szCs w:val="26"/>
        </w:rPr>
        <w:t>Comments at 2.</w:t>
      </w:r>
      <w:proofErr w:type="gramEnd"/>
      <w:r w:rsidR="00D60C44">
        <w:rPr>
          <w:sz w:val="26"/>
          <w:szCs w:val="26"/>
        </w:rPr>
        <w:t xml:space="preserve">  </w:t>
      </w:r>
      <w:r w:rsidR="00D77C63">
        <w:rPr>
          <w:sz w:val="26"/>
          <w:szCs w:val="26"/>
        </w:rPr>
        <w:t>Starion</w:t>
      </w:r>
      <w:r w:rsidR="00D60C44">
        <w:rPr>
          <w:sz w:val="26"/>
          <w:szCs w:val="26"/>
        </w:rPr>
        <w:t xml:space="preserve"> </w:t>
      </w:r>
      <w:r w:rsidR="00153AC0">
        <w:rPr>
          <w:sz w:val="26"/>
          <w:szCs w:val="26"/>
        </w:rPr>
        <w:t>submits</w:t>
      </w:r>
      <w:r w:rsidR="00D60C44">
        <w:rPr>
          <w:sz w:val="26"/>
          <w:szCs w:val="26"/>
        </w:rPr>
        <w:t xml:space="preserve"> that these higher requirements substantially inhibit an EGS’s ability to grow and expand into other markets.  Comments at 2</w:t>
      </w:r>
      <w:r w:rsidR="00153AC0">
        <w:rPr>
          <w:sz w:val="26"/>
          <w:szCs w:val="26"/>
        </w:rPr>
        <w:t xml:space="preserve">; </w:t>
      </w:r>
      <w:r w:rsidR="00153AC0">
        <w:rPr>
          <w:i/>
          <w:sz w:val="26"/>
          <w:szCs w:val="26"/>
        </w:rPr>
        <w:t xml:space="preserve">see also </w:t>
      </w:r>
      <w:r w:rsidR="00153AC0">
        <w:rPr>
          <w:sz w:val="26"/>
          <w:szCs w:val="26"/>
        </w:rPr>
        <w:t>RESA Comments at 1 (contending that the 10% bonding requirement creates a potential barrier to entry)</w:t>
      </w:r>
      <w:r w:rsidR="00D60C44">
        <w:rPr>
          <w:sz w:val="26"/>
          <w:szCs w:val="26"/>
        </w:rPr>
        <w:t>.</w:t>
      </w:r>
      <w:r w:rsidR="00D77C63">
        <w:rPr>
          <w:sz w:val="26"/>
          <w:szCs w:val="26"/>
        </w:rPr>
        <w:t xml:space="preserve">  </w:t>
      </w:r>
    </w:p>
    <w:p w:rsidR="002926D5" w:rsidRPr="00D418B1" w:rsidRDefault="00D77C63" w:rsidP="002926D5">
      <w:pPr>
        <w:spacing w:line="360" w:lineRule="auto"/>
        <w:ind w:firstLine="720"/>
        <w:rPr>
          <w:sz w:val="26"/>
          <w:szCs w:val="26"/>
        </w:rPr>
      </w:pPr>
      <w:r>
        <w:rPr>
          <w:sz w:val="26"/>
          <w:szCs w:val="26"/>
        </w:rPr>
        <w:lastRenderedPageBreak/>
        <w:t xml:space="preserve">FES </w:t>
      </w:r>
      <w:r w:rsidR="00B135A3">
        <w:rPr>
          <w:sz w:val="26"/>
          <w:szCs w:val="26"/>
        </w:rPr>
        <w:t>asserts</w:t>
      </w:r>
      <w:r>
        <w:rPr>
          <w:sz w:val="26"/>
          <w:szCs w:val="26"/>
        </w:rPr>
        <w:t xml:space="preserve"> that</w:t>
      </w:r>
      <w:r w:rsidR="00D60C44">
        <w:rPr>
          <w:sz w:val="26"/>
          <w:szCs w:val="26"/>
        </w:rPr>
        <w:t xml:space="preserve"> </w:t>
      </w:r>
      <w:r>
        <w:rPr>
          <w:sz w:val="26"/>
          <w:szCs w:val="26"/>
        </w:rPr>
        <w:t>the 10% bond</w:t>
      </w:r>
      <w:r w:rsidR="00AC2DFC">
        <w:rPr>
          <w:sz w:val="26"/>
          <w:szCs w:val="26"/>
        </w:rPr>
        <w:t>ing</w:t>
      </w:r>
      <w:r>
        <w:rPr>
          <w:sz w:val="26"/>
          <w:szCs w:val="26"/>
        </w:rPr>
        <w:t xml:space="preserve"> requirement</w:t>
      </w:r>
      <w:r w:rsidR="00D60C44">
        <w:rPr>
          <w:sz w:val="26"/>
          <w:szCs w:val="26"/>
        </w:rPr>
        <w:t xml:space="preserve"> </w:t>
      </w:r>
      <w:r>
        <w:rPr>
          <w:sz w:val="26"/>
          <w:szCs w:val="26"/>
        </w:rPr>
        <w:t>“far exceeds the potential credit risk the obligation is intended to cover</w:t>
      </w:r>
      <w:r w:rsidR="00450F0C">
        <w:rPr>
          <w:sz w:val="26"/>
          <w:szCs w:val="26"/>
        </w:rPr>
        <w:t xml:space="preserve"> [the GRT]</w:t>
      </w:r>
      <w:r>
        <w:rPr>
          <w:sz w:val="26"/>
          <w:szCs w:val="26"/>
        </w:rPr>
        <w:t xml:space="preserve">, and is much larger than bonding requirements of public utility commissions in other states.”  Comments at 2; </w:t>
      </w:r>
      <w:r>
        <w:rPr>
          <w:i/>
          <w:sz w:val="26"/>
          <w:szCs w:val="26"/>
        </w:rPr>
        <w:t>see also</w:t>
      </w:r>
      <w:r>
        <w:rPr>
          <w:sz w:val="26"/>
          <w:szCs w:val="26"/>
        </w:rPr>
        <w:t xml:space="preserve"> RESA Comments at</w:t>
      </w:r>
      <w:r w:rsidR="00153AC0">
        <w:rPr>
          <w:sz w:val="26"/>
          <w:szCs w:val="26"/>
        </w:rPr>
        <w:t xml:space="preserve"> </w:t>
      </w:r>
      <w:r w:rsidR="00695F5F">
        <w:rPr>
          <w:sz w:val="26"/>
          <w:szCs w:val="26"/>
        </w:rPr>
        <w:t>9</w:t>
      </w:r>
      <w:r w:rsidR="00E674C4">
        <w:rPr>
          <w:sz w:val="26"/>
          <w:szCs w:val="26"/>
        </w:rPr>
        <w:t>-11.</w:t>
      </w:r>
      <w:r w:rsidR="002926D5">
        <w:rPr>
          <w:sz w:val="26"/>
          <w:szCs w:val="26"/>
        </w:rPr>
        <w:t xml:space="preserve">  Through a hypothetical illustration, RESA demonstrate</w:t>
      </w:r>
      <w:r w:rsidR="00A342DE">
        <w:rPr>
          <w:sz w:val="26"/>
          <w:szCs w:val="26"/>
        </w:rPr>
        <w:t>s</w:t>
      </w:r>
      <w:r w:rsidR="002926D5">
        <w:rPr>
          <w:sz w:val="26"/>
          <w:szCs w:val="26"/>
        </w:rPr>
        <w:t xml:space="preserve"> that </w:t>
      </w:r>
      <w:r w:rsidR="00FA7213">
        <w:rPr>
          <w:sz w:val="26"/>
          <w:szCs w:val="26"/>
        </w:rPr>
        <w:t>a</w:t>
      </w:r>
      <w:r w:rsidR="002926D5">
        <w:rPr>
          <w:sz w:val="26"/>
          <w:szCs w:val="26"/>
        </w:rPr>
        <w:t xml:space="preserve"> 5% reduction in security amount is more than sufficient to cover GRT liability for the current year.  Comments at 6-7.  In comparing FSR requirements in Pennsylvania </w:t>
      </w:r>
      <w:r w:rsidR="00E772FC">
        <w:rPr>
          <w:sz w:val="26"/>
          <w:szCs w:val="26"/>
        </w:rPr>
        <w:t xml:space="preserve">to other restructured states, RESA </w:t>
      </w:r>
      <w:r w:rsidR="00A342DE">
        <w:rPr>
          <w:sz w:val="26"/>
          <w:szCs w:val="26"/>
        </w:rPr>
        <w:t>demonstrates</w:t>
      </w:r>
      <w:r w:rsidR="00E772FC">
        <w:rPr>
          <w:sz w:val="26"/>
          <w:szCs w:val="26"/>
        </w:rPr>
        <w:t xml:space="preserve"> that,</w:t>
      </w:r>
      <w:r w:rsidR="002926D5">
        <w:rPr>
          <w:sz w:val="26"/>
          <w:szCs w:val="26"/>
        </w:rPr>
        <w:t xml:space="preserve"> even with the 5% reduction in security amount, FSRs in Pennsylvania would still be more stringent than FSRs</w:t>
      </w:r>
      <w:r w:rsidR="00E772FC">
        <w:rPr>
          <w:sz w:val="26"/>
          <w:szCs w:val="26"/>
        </w:rPr>
        <w:t xml:space="preserve"> in </w:t>
      </w:r>
      <w:r w:rsidR="002926D5">
        <w:rPr>
          <w:sz w:val="26"/>
          <w:szCs w:val="26"/>
        </w:rPr>
        <w:t xml:space="preserve">Illinois, Connecticut, New Jersey, Maryland, Delaware, and Michigan.  </w:t>
      </w:r>
      <w:r w:rsidR="002926D5">
        <w:rPr>
          <w:i/>
          <w:sz w:val="26"/>
          <w:szCs w:val="26"/>
        </w:rPr>
        <w:t>Id.</w:t>
      </w:r>
      <w:r w:rsidR="002926D5">
        <w:rPr>
          <w:sz w:val="26"/>
          <w:szCs w:val="26"/>
        </w:rPr>
        <w:t xml:space="preserve"> at 3, 10-11.  </w:t>
      </w:r>
    </w:p>
    <w:p w:rsidR="00A50C68" w:rsidRDefault="00D77C63" w:rsidP="00B611B1">
      <w:pPr>
        <w:spacing w:line="360" w:lineRule="auto"/>
        <w:ind w:firstLine="720"/>
        <w:rPr>
          <w:sz w:val="26"/>
          <w:szCs w:val="26"/>
        </w:rPr>
      </w:pPr>
      <w:r>
        <w:rPr>
          <w:sz w:val="26"/>
          <w:szCs w:val="26"/>
        </w:rPr>
        <w:t xml:space="preserve"> </w:t>
      </w:r>
      <w:r w:rsidR="00D60C44">
        <w:rPr>
          <w:sz w:val="26"/>
          <w:szCs w:val="26"/>
        </w:rPr>
        <w:t xml:space="preserve">  </w:t>
      </w:r>
    </w:p>
    <w:p w:rsidR="00950FFE" w:rsidRPr="00950FFE" w:rsidRDefault="00626F3F" w:rsidP="00B611B1">
      <w:pPr>
        <w:spacing w:line="360" w:lineRule="auto"/>
        <w:ind w:firstLine="720"/>
        <w:rPr>
          <w:sz w:val="26"/>
          <w:szCs w:val="26"/>
        </w:rPr>
      </w:pPr>
      <w:r>
        <w:rPr>
          <w:sz w:val="26"/>
          <w:szCs w:val="26"/>
        </w:rPr>
        <w:t>Starion, FES,</w:t>
      </w:r>
      <w:r w:rsidR="00D60C44">
        <w:rPr>
          <w:sz w:val="26"/>
          <w:szCs w:val="26"/>
        </w:rPr>
        <w:t xml:space="preserve"> and DLE</w:t>
      </w:r>
      <w:r>
        <w:rPr>
          <w:sz w:val="26"/>
          <w:szCs w:val="26"/>
        </w:rPr>
        <w:t xml:space="preserve"> </w:t>
      </w:r>
      <w:r w:rsidR="00D60C44">
        <w:rPr>
          <w:sz w:val="26"/>
          <w:szCs w:val="26"/>
        </w:rPr>
        <w:t>fully s</w:t>
      </w:r>
      <w:r>
        <w:rPr>
          <w:sz w:val="26"/>
          <w:szCs w:val="26"/>
        </w:rPr>
        <w:t xml:space="preserve">upport the Commission’s proposal </w:t>
      </w:r>
      <w:r w:rsidR="00D60C44">
        <w:rPr>
          <w:sz w:val="26"/>
          <w:szCs w:val="26"/>
        </w:rPr>
        <w:t xml:space="preserve">to </w:t>
      </w:r>
      <w:r>
        <w:rPr>
          <w:sz w:val="26"/>
          <w:szCs w:val="26"/>
        </w:rPr>
        <w:t xml:space="preserve">reduce the security requirement from 10% to 5% of an EGS’s annual gross receipts after the EGS’s first year of operation.  </w:t>
      </w:r>
      <w:r w:rsidR="00E674C4">
        <w:rPr>
          <w:sz w:val="26"/>
          <w:szCs w:val="26"/>
        </w:rPr>
        <w:t>NAPG asks the Commission to establish a set amount for on-going financial security requirements instead of using a percentage of an EGS’s annual gross receipts, contending that the percentage method unfairly punishes an EGS as that EGS grows in Pennsylvania.  Comments at 1-2</w:t>
      </w:r>
      <w:r w:rsidR="00950FFE">
        <w:rPr>
          <w:sz w:val="26"/>
          <w:szCs w:val="26"/>
        </w:rPr>
        <w:t xml:space="preserve">.  </w:t>
      </w:r>
      <w:r w:rsidR="00450F0C">
        <w:rPr>
          <w:sz w:val="26"/>
          <w:szCs w:val="26"/>
        </w:rPr>
        <w:t xml:space="preserve">RESA </w:t>
      </w:r>
      <w:r w:rsidR="00950FFE">
        <w:rPr>
          <w:sz w:val="26"/>
          <w:szCs w:val="26"/>
        </w:rPr>
        <w:t xml:space="preserve">similarly states </w:t>
      </w:r>
      <w:r w:rsidR="00450F0C">
        <w:rPr>
          <w:sz w:val="26"/>
          <w:szCs w:val="26"/>
        </w:rPr>
        <w:t>that “reliance on a percentage of receipts…is not an ideal approach</w:t>
      </w:r>
      <w:r w:rsidR="00E674C4">
        <w:rPr>
          <w:sz w:val="26"/>
          <w:szCs w:val="26"/>
        </w:rPr>
        <w:t>.</w:t>
      </w:r>
      <w:r w:rsidR="00B135A3">
        <w:rPr>
          <w:sz w:val="26"/>
          <w:szCs w:val="26"/>
        </w:rPr>
        <w:t>”</w:t>
      </w:r>
      <w:r w:rsidR="00E674C4">
        <w:rPr>
          <w:sz w:val="26"/>
          <w:szCs w:val="26"/>
        </w:rPr>
        <w:t xml:space="preserve">  </w:t>
      </w:r>
      <w:proofErr w:type="gramStart"/>
      <w:r w:rsidR="00950FFE">
        <w:rPr>
          <w:sz w:val="26"/>
          <w:szCs w:val="26"/>
        </w:rPr>
        <w:t>Comments at 3.</w:t>
      </w:r>
      <w:proofErr w:type="gramEnd"/>
      <w:r w:rsidR="00950FFE">
        <w:rPr>
          <w:sz w:val="26"/>
          <w:szCs w:val="26"/>
        </w:rPr>
        <w:t xml:space="preserve">  RESA contends that since FSRs are a cost of doing business, FSRs </w:t>
      </w:r>
      <w:r w:rsidR="00B135A3">
        <w:rPr>
          <w:sz w:val="26"/>
          <w:szCs w:val="26"/>
        </w:rPr>
        <w:t xml:space="preserve">in the form of a percentage of gross receipts </w:t>
      </w:r>
      <w:r w:rsidR="00950FFE">
        <w:rPr>
          <w:sz w:val="26"/>
          <w:szCs w:val="26"/>
        </w:rPr>
        <w:t xml:space="preserve">artificially drive up prices for consumer products.  </w:t>
      </w:r>
      <w:proofErr w:type="gramStart"/>
      <w:r w:rsidR="00950FFE">
        <w:rPr>
          <w:i/>
          <w:sz w:val="26"/>
          <w:szCs w:val="26"/>
        </w:rPr>
        <w:t>Id.</w:t>
      </w:r>
      <w:r w:rsidR="00950FFE">
        <w:rPr>
          <w:sz w:val="26"/>
          <w:szCs w:val="26"/>
        </w:rPr>
        <w:t xml:space="preserve"> at 4.</w:t>
      </w:r>
      <w:proofErr w:type="gramEnd"/>
    </w:p>
    <w:p w:rsidR="00950FFE" w:rsidRDefault="00950FFE" w:rsidP="00B611B1">
      <w:pPr>
        <w:spacing w:line="360" w:lineRule="auto"/>
        <w:ind w:firstLine="720"/>
        <w:rPr>
          <w:sz w:val="26"/>
          <w:szCs w:val="26"/>
        </w:rPr>
      </w:pPr>
    </w:p>
    <w:p w:rsidR="00626F3F" w:rsidRDefault="00E674C4" w:rsidP="00B611B1">
      <w:pPr>
        <w:spacing w:line="360" w:lineRule="auto"/>
        <w:ind w:firstLine="720"/>
        <w:rPr>
          <w:sz w:val="26"/>
          <w:szCs w:val="26"/>
        </w:rPr>
      </w:pPr>
      <w:r>
        <w:rPr>
          <w:sz w:val="26"/>
          <w:szCs w:val="26"/>
        </w:rPr>
        <w:t xml:space="preserve">Plymouth recommends a cap on the amount of security required, but </w:t>
      </w:r>
      <w:r w:rsidR="00FA7213">
        <w:rPr>
          <w:sz w:val="26"/>
          <w:szCs w:val="26"/>
        </w:rPr>
        <w:t>fails to s</w:t>
      </w:r>
      <w:r w:rsidR="002C3ED2">
        <w:rPr>
          <w:sz w:val="26"/>
          <w:szCs w:val="26"/>
        </w:rPr>
        <w:t>pecify</w:t>
      </w:r>
      <w:r w:rsidR="00FA7213">
        <w:rPr>
          <w:sz w:val="26"/>
          <w:szCs w:val="26"/>
        </w:rPr>
        <w:t xml:space="preserve"> what that cap should be</w:t>
      </w:r>
      <w:r>
        <w:rPr>
          <w:sz w:val="26"/>
          <w:szCs w:val="26"/>
        </w:rPr>
        <w:t xml:space="preserve">.  </w:t>
      </w:r>
      <w:proofErr w:type="gramStart"/>
      <w:r>
        <w:rPr>
          <w:sz w:val="26"/>
          <w:szCs w:val="26"/>
        </w:rPr>
        <w:t>Comments at 3.</w:t>
      </w:r>
      <w:proofErr w:type="gramEnd"/>
      <w:r>
        <w:rPr>
          <w:sz w:val="26"/>
          <w:szCs w:val="26"/>
        </w:rPr>
        <w:t xml:space="preserve">  RESA supports the Commission’s reduction from 10% to 5% of gross receipts</w:t>
      </w:r>
      <w:r w:rsidR="00FA7213">
        <w:rPr>
          <w:sz w:val="26"/>
          <w:szCs w:val="26"/>
        </w:rPr>
        <w:t xml:space="preserve"> after the first year of operation</w:t>
      </w:r>
      <w:r>
        <w:rPr>
          <w:sz w:val="26"/>
          <w:szCs w:val="26"/>
        </w:rPr>
        <w:t xml:space="preserve">, but also asks the Commission to consider implementing a $1 million cap on the security amount.  </w:t>
      </w:r>
      <w:proofErr w:type="gramStart"/>
      <w:r>
        <w:rPr>
          <w:sz w:val="26"/>
          <w:szCs w:val="26"/>
        </w:rPr>
        <w:t>Comments at 3.</w:t>
      </w:r>
      <w:proofErr w:type="gramEnd"/>
      <w:r w:rsidR="00950FFE">
        <w:rPr>
          <w:sz w:val="26"/>
          <w:szCs w:val="26"/>
        </w:rPr>
        <w:t xml:space="preserve">  RESA contends that imposing no cap on the financial security requirement will only serve to perpetuate the over-securitization that currently exists</w:t>
      </w:r>
      <w:r w:rsidR="00695F5F">
        <w:rPr>
          <w:sz w:val="26"/>
          <w:szCs w:val="26"/>
        </w:rPr>
        <w:t>.</w:t>
      </w:r>
      <w:r w:rsidR="00950FFE">
        <w:rPr>
          <w:sz w:val="26"/>
          <w:szCs w:val="26"/>
        </w:rPr>
        <w:t xml:space="preserve">  </w:t>
      </w:r>
      <w:r w:rsidR="00950FFE">
        <w:rPr>
          <w:i/>
          <w:sz w:val="26"/>
          <w:szCs w:val="26"/>
        </w:rPr>
        <w:t>Id.</w:t>
      </w:r>
      <w:r w:rsidR="00950FFE">
        <w:rPr>
          <w:sz w:val="26"/>
          <w:szCs w:val="26"/>
        </w:rPr>
        <w:t xml:space="preserve">     </w:t>
      </w:r>
      <w:r>
        <w:rPr>
          <w:sz w:val="26"/>
          <w:szCs w:val="26"/>
        </w:rPr>
        <w:t xml:space="preserve">  </w:t>
      </w:r>
    </w:p>
    <w:p w:rsidR="00153AC0" w:rsidRDefault="00153AC0" w:rsidP="00153AC0">
      <w:pPr>
        <w:spacing w:line="360" w:lineRule="auto"/>
        <w:ind w:firstLine="720"/>
        <w:rPr>
          <w:sz w:val="26"/>
          <w:szCs w:val="26"/>
        </w:rPr>
      </w:pPr>
    </w:p>
    <w:p w:rsidR="00153AC0" w:rsidRDefault="00153AC0" w:rsidP="00153AC0">
      <w:pPr>
        <w:spacing w:line="360" w:lineRule="auto"/>
        <w:ind w:firstLine="720"/>
        <w:rPr>
          <w:sz w:val="26"/>
          <w:szCs w:val="26"/>
        </w:rPr>
      </w:pPr>
      <w:r>
        <w:rPr>
          <w:sz w:val="26"/>
          <w:szCs w:val="26"/>
        </w:rPr>
        <w:t xml:space="preserve">Commenters further suggest that high </w:t>
      </w:r>
      <w:r w:rsidR="00F174F9">
        <w:rPr>
          <w:sz w:val="26"/>
          <w:szCs w:val="26"/>
        </w:rPr>
        <w:t>FSRs</w:t>
      </w:r>
      <w:r>
        <w:rPr>
          <w:sz w:val="26"/>
          <w:szCs w:val="26"/>
        </w:rPr>
        <w:t xml:space="preserve"> negatively impact consumers.  </w:t>
      </w:r>
      <w:r>
        <w:rPr>
          <w:i/>
          <w:sz w:val="26"/>
          <w:szCs w:val="26"/>
        </w:rPr>
        <w:t>See</w:t>
      </w:r>
      <w:r>
        <w:rPr>
          <w:sz w:val="26"/>
          <w:szCs w:val="26"/>
        </w:rPr>
        <w:t xml:space="preserve"> RESA Comments at </w:t>
      </w:r>
      <w:r w:rsidR="00450F0C">
        <w:rPr>
          <w:sz w:val="26"/>
          <w:szCs w:val="26"/>
        </w:rPr>
        <w:t>1, 4-6</w:t>
      </w:r>
      <w:r>
        <w:rPr>
          <w:sz w:val="26"/>
          <w:szCs w:val="26"/>
        </w:rPr>
        <w:t xml:space="preserve">; NAPG Comments at 2.  RESA contends that “well-designed </w:t>
      </w:r>
      <w:r>
        <w:rPr>
          <w:sz w:val="26"/>
          <w:szCs w:val="26"/>
        </w:rPr>
        <w:lastRenderedPageBreak/>
        <w:t>security requirements result in lower costs for EGSs and potentially better prices for consumers</w:t>
      </w:r>
      <w:r w:rsidR="00E674C4">
        <w:rPr>
          <w:sz w:val="26"/>
          <w:szCs w:val="26"/>
        </w:rPr>
        <w:t xml:space="preserve"> while still ensuring reasonable security is available for identifiable risks.”  RESA Comments at 1</w:t>
      </w:r>
      <w:r w:rsidR="00E772FC">
        <w:rPr>
          <w:sz w:val="26"/>
          <w:szCs w:val="26"/>
        </w:rPr>
        <w:t>, 4-5</w:t>
      </w:r>
      <w:r w:rsidR="002926D5">
        <w:rPr>
          <w:sz w:val="26"/>
          <w:szCs w:val="26"/>
        </w:rPr>
        <w:t xml:space="preserve"> (demonstrating how </w:t>
      </w:r>
      <w:r w:rsidR="00E772FC">
        <w:rPr>
          <w:sz w:val="26"/>
          <w:szCs w:val="26"/>
        </w:rPr>
        <w:t xml:space="preserve">Pennsylvania’s </w:t>
      </w:r>
      <w:r w:rsidR="002926D5">
        <w:rPr>
          <w:sz w:val="26"/>
          <w:szCs w:val="26"/>
        </w:rPr>
        <w:t xml:space="preserve">higher FSRs </w:t>
      </w:r>
      <w:r w:rsidR="00E772FC">
        <w:rPr>
          <w:sz w:val="26"/>
          <w:szCs w:val="26"/>
        </w:rPr>
        <w:t xml:space="preserve">result in higher prices for consumers in contrast to the lower FSRs </w:t>
      </w:r>
      <w:r w:rsidR="00A342DE">
        <w:rPr>
          <w:sz w:val="26"/>
          <w:szCs w:val="26"/>
        </w:rPr>
        <w:t>yielding</w:t>
      </w:r>
      <w:r w:rsidR="00E772FC">
        <w:rPr>
          <w:sz w:val="26"/>
          <w:szCs w:val="26"/>
        </w:rPr>
        <w:t xml:space="preserve"> lower prices for consumers in New Jersey)</w:t>
      </w:r>
      <w:r w:rsidR="00E674C4">
        <w:rPr>
          <w:sz w:val="26"/>
          <w:szCs w:val="26"/>
        </w:rPr>
        <w:t xml:space="preserve">.  </w:t>
      </w:r>
      <w:r>
        <w:rPr>
          <w:sz w:val="26"/>
          <w:szCs w:val="26"/>
        </w:rPr>
        <w:t xml:space="preserve">  </w:t>
      </w:r>
    </w:p>
    <w:p w:rsidR="00E674C4" w:rsidRPr="00626F3F" w:rsidRDefault="00E674C4" w:rsidP="00153AC0">
      <w:pPr>
        <w:spacing w:line="360" w:lineRule="auto"/>
        <w:ind w:firstLine="720"/>
        <w:rPr>
          <w:sz w:val="26"/>
          <w:szCs w:val="26"/>
        </w:rPr>
      </w:pPr>
    </w:p>
    <w:p w:rsidR="00D60C44" w:rsidRDefault="007E357A" w:rsidP="00B611B1">
      <w:pPr>
        <w:spacing w:line="360" w:lineRule="auto"/>
        <w:ind w:firstLine="720"/>
        <w:rPr>
          <w:sz w:val="26"/>
          <w:szCs w:val="26"/>
        </w:rPr>
      </w:pPr>
      <w:r>
        <w:rPr>
          <w:sz w:val="26"/>
          <w:szCs w:val="26"/>
        </w:rPr>
        <w:t>Only the OCA</w:t>
      </w:r>
      <w:r w:rsidR="00CD25E2">
        <w:rPr>
          <w:sz w:val="26"/>
          <w:szCs w:val="26"/>
        </w:rPr>
        <w:t xml:space="preserve"> expressed hesitation regarding a reduction in the bonding/security requirement, emphasizing that the Commission’s December 5, 2013 Tentative Order did not account for risks other than the GRT.  The OCA contend</w:t>
      </w:r>
      <w:r>
        <w:rPr>
          <w:sz w:val="26"/>
          <w:szCs w:val="26"/>
        </w:rPr>
        <w:t>s</w:t>
      </w:r>
      <w:r w:rsidR="00CD25E2">
        <w:rPr>
          <w:sz w:val="26"/>
          <w:szCs w:val="26"/>
        </w:rPr>
        <w:t xml:space="preserve"> that any reduction in the EGS bonding requirement should account for potential risks to consumers, including scenarios where customers are owed refunds or rebates or compensation arising from a contract violation by a defaulting EGS.  OCA Comments at 3-4.     </w:t>
      </w:r>
    </w:p>
    <w:p w:rsidR="007E357A" w:rsidRDefault="007E357A" w:rsidP="00B611B1">
      <w:pPr>
        <w:spacing w:line="360" w:lineRule="auto"/>
        <w:ind w:firstLine="720"/>
        <w:rPr>
          <w:sz w:val="26"/>
          <w:szCs w:val="26"/>
        </w:rPr>
      </w:pPr>
    </w:p>
    <w:p w:rsidR="00316C75" w:rsidRDefault="00316C75" w:rsidP="00905E80">
      <w:pPr>
        <w:spacing w:line="360" w:lineRule="auto"/>
        <w:rPr>
          <w:sz w:val="26"/>
          <w:szCs w:val="26"/>
        </w:rPr>
      </w:pPr>
      <w:r>
        <w:rPr>
          <w:sz w:val="26"/>
          <w:szCs w:val="26"/>
          <w:u w:val="single"/>
        </w:rPr>
        <w:t xml:space="preserve">The Nature and </w:t>
      </w:r>
      <w:r w:rsidR="000A7F28">
        <w:rPr>
          <w:sz w:val="26"/>
          <w:szCs w:val="26"/>
          <w:u w:val="single"/>
        </w:rPr>
        <w:t>Form</w:t>
      </w:r>
      <w:r>
        <w:rPr>
          <w:sz w:val="26"/>
          <w:szCs w:val="26"/>
          <w:u w:val="single"/>
        </w:rPr>
        <w:t>s of Acceptable Security Instruments</w:t>
      </w:r>
    </w:p>
    <w:p w:rsidR="00AF5407" w:rsidRDefault="00316C75" w:rsidP="00AF5407">
      <w:pPr>
        <w:spacing w:line="360" w:lineRule="auto"/>
        <w:ind w:firstLine="720"/>
        <w:rPr>
          <w:sz w:val="26"/>
          <w:szCs w:val="26"/>
        </w:rPr>
      </w:pPr>
      <w:r>
        <w:rPr>
          <w:sz w:val="26"/>
          <w:szCs w:val="26"/>
        </w:rPr>
        <w:t xml:space="preserve">Commenters are also overwhelmingly supportive of the Commission’s proposal to expand the nature and </w:t>
      </w:r>
      <w:r w:rsidR="000A7F28">
        <w:rPr>
          <w:sz w:val="26"/>
          <w:szCs w:val="26"/>
        </w:rPr>
        <w:t>form</w:t>
      </w:r>
      <w:r>
        <w:rPr>
          <w:sz w:val="26"/>
          <w:szCs w:val="26"/>
        </w:rPr>
        <w:t xml:space="preserve"> of acceptable FSRs beyond letters of credit and surety bonds.  </w:t>
      </w:r>
      <w:r w:rsidR="00AF5407">
        <w:rPr>
          <w:sz w:val="26"/>
          <w:szCs w:val="26"/>
        </w:rPr>
        <w:t>DLE and RESA fully support the use of</w:t>
      </w:r>
      <w:r w:rsidR="00335D27">
        <w:rPr>
          <w:sz w:val="26"/>
          <w:szCs w:val="26"/>
        </w:rPr>
        <w:t xml:space="preserve"> the</w:t>
      </w:r>
      <w:r w:rsidR="00AF5407">
        <w:rPr>
          <w:sz w:val="26"/>
          <w:szCs w:val="26"/>
        </w:rPr>
        <w:t xml:space="preserve"> three </w:t>
      </w:r>
      <w:r w:rsidR="000A7F28">
        <w:rPr>
          <w:sz w:val="26"/>
          <w:szCs w:val="26"/>
        </w:rPr>
        <w:t>form</w:t>
      </w:r>
      <w:r w:rsidR="00AF5407">
        <w:rPr>
          <w:sz w:val="26"/>
          <w:szCs w:val="26"/>
        </w:rPr>
        <w:t xml:space="preserve">s of FSRs proposed in the </w:t>
      </w:r>
      <w:r w:rsidR="00FB2D9A">
        <w:rPr>
          <w:sz w:val="26"/>
          <w:szCs w:val="26"/>
        </w:rPr>
        <w:t xml:space="preserve">December 5, 2013 </w:t>
      </w:r>
      <w:r w:rsidR="00AF5407">
        <w:rPr>
          <w:sz w:val="26"/>
          <w:szCs w:val="26"/>
        </w:rPr>
        <w:t xml:space="preserve">Tentative Order: 1) parental guarantees, wherein the parent maintains an investment-grade long-term bond rating from </w:t>
      </w:r>
      <w:r w:rsidR="002C3ED2">
        <w:rPr>
          <w:sz w:val="26"/>
          <w:szCs w:val="26"/>
        </w:rPr>
        <w:t xml:space="preserve">two of four specified rating agencies: </w:t>
      </w:r>
      <w:r w:rsidR="00AF5407">
        <w:rPr>
          <w:sz w:val="26"/>
          <w:szCs w:val="26"/>
        </w:rPr>
        <w:t xml:space="preserve">Standard &amp; </w:t>
      </w:r>
      <w:proofErr w:type="spellStart"/>
      <w:r w:rsidR="00AF5407">
        <w:rPr>
          <w:sz w:val="26"/>
          <w:szCs w:val="26"/>
        </w:rPr>
        <w:t>Poors</w:t>
      </w:r>
      <w:proofErr w:type="spellEnd"/>
      <w:r w:rsidR="00AF5407">
        <w:rPr>
          <w:sz w:val="26"/>
          <w:szCs w:val="26"/>
        </w:rPr>
        <w:t xml:space="preserve">, Moody’s Investors’ Services, Fitch IBCA, and Duff and Phelps Credit Rating Company; 2) segregated cash accounts, held by federally insured financial institutions, specific to Pennsylvania customers and callable only by the Commission; </w:t>
      </w:r>
      <w:r w:rsidR="00EF1747">
        <w:rPr>
          <w:sz w:val="26"/>
          <w:szCs w:val="26"/>
        </w:rPr>
        <w:t xml:space="preserve">and </w:t>
      </w:r>
      <w:r w:rsidR="00AF5407">
        <w:rPr>
          <w:sz w:val="26"/>
          <w:szCs w:val="26"/>
        </w:rPr>
        <w:t xml:space="preserve">3) a mix of bonds, LOCs, parental guarantees, and/or segregated cash accounts that in combination meet 5% of annual gross receipts of the EGS.  </w:t>
      </w:r>
      <w:r w:rsidR="00335D27">
        <w:rPr>
          <w:i/>
          <w:sz w:val="26"/>
          <w:szCs w:val="26"/>
        </w:rPr>
        <w:t xml:space="preserve">See </w:t>
      </w:r>
      <w:r w:rsidR="00AF5407">
        <w:rPr>
          <w:sz w:val="26"/>
          <w:szCs w:val="26"/>
        </w:rPr>
        <w:t xml:space="preserve">DLE Comments at 2, RESA Comments at 12.  </w:t>
      </w:r>
    </w:p>
    <w:p w:rsidR="00AF5407" w:rsidRDefault="00AF5407" w:rsidP="00AF5407">
      <w:pPr>
        <w:spacing w:line="360" w:lineRule="auto"/>
        <w:ind w:firstLine="720"/>
        <w:rPr>
          <w:sz w:val="26"/>
          <w:szCs w:val="26"/>
        </w:rPr>
      </w:pPr>
    </w:p>
    <w:p w:rsidR="00AF5407" w:rsidRDefault="00AF5407" w:rsidP="00AF5407">
      <w:pPr>
        <w:spacing w:line="360" w:lineRule="auto"/>
        <w:ind w:firstLine="720"/>
        <w:rPr>
          <w:sz w:val="26"/>
          <w:szCs w:val="26"/>
        </w:rPr>
      </w:pPr>
      <w:r>
        <w:rPr>
          <w:sz w:val="26"/>
          <w:szCs w:val="26"/>
        </w:rPr>
        <w:t xml:space="preserve">Starion supports the use of surety bonds, letters of credit, guarantees, or cash.  </w:t>
      </w:r>
      <w:proofErr w:type="gramStart"/>
      <w:r>
        <w:rPr>
          <w:sz w:val="26"/>
          <w:szCs w:val="26"/>
        </w:rPr>
        <w:t>Comments at 2.</w:t>
      </w:r>
      <w:proofErr w:type="gramEnd"/>
      <w:r>
        <w:rPr>
          <w:sz w:val="26"/>
          <w:szCs w:val="26"/>
        </w:rPr>
        <w:t xml:space="preserve">  FES supports the use of parental guarantees (issued by an investment-grade parent) and segregated cash accounts.  </w:t>
      </w:r>
      <w:proofErr w:type="gramStart"/>
      <w:r>
        <w:rPr>
          <w:sz w:val="26"/>
          <w:szCs w:val="26"/>
        </w:rPr>
        <w:t>Comments at 4.</w:t>
      </w:r>
      <w:proofErr w:type="gramEnd"/>
      <w:r>
        <w:rPr>
          <w:sz w:val="26"/>
          <w:szCs w:val="26"/>
        </w:rPr>
        <w:t xml:space="preserve">  Plymouth suggests </w:t>
      </w:r>
      <w:r>
        <w:rPr>
          <w:sz w:val="26"/>
          <w:szCs w:val="26"/>
        </w:rPr>
        <w:lastRenderedPageBreak/>
        <w:t xml:space="preserve">investment-grade guarantees, such as a long-term agreement between a wholesale supplier and an EGS.  </w:t>
      </w:r>
      <w:proofErr w:type="gramStart"/>
      <w:r>
        <w:rPr>
          <w:sz w:val="26"/>
          <w:szCs w:val="26"/>
        </w:rPr>
        <w:t>Comments at 3.</w:t>
      </w:r>
      <w:proofErr w:type="gramEnd"/>
      <w:r>
        <w:rPr>
          <w:sz w:val="26"/>
          <w:szCs w:val="26"/>
        </w:rPr>
        <w:t xml:space="preserve">  </w:t>
      </w:r>
    </w:p>
    <w:p w:rsidR="00577767" w:rsidRDefault="00577767" w:rsidP="00AF5407">
      <w:pPr>
        <w:spacing w:line="360" w:lineRule="auto"/>
        <w:ind w:firstLine="720"/>
        <w:rPr>
          <w:sz w:val="26"/>
          <w:szCs w:val="26"/>
        </w:rPr>
      </w:pPr>
    </w:p>
    <w:p w:rsidR="00DD3115" w:rsidRDefault="00AF5407" w:rsidP="00AF5407">
      <w:pPr>
        <w:spacing w:line="360" w:lineRule="auto"/>
        <w:ind w:firstLine="720"/>
        <w:rPr>
          <w:sz w:val="26"/>
          <w:szCs w:val="26"/>
        </w:rPr>
      </w:pPr>
      <w:r>
        <w:rPr>
          <w:sz w:val="26"/>
          <w:szCs w:val="26"/>
        </w:rPr>
        <w:t xml:space="preserve">NAPG suggests expanding guarantees to the use of corporate and not just parental guarantees.  </w:t>
      </w:r>
      <w:proofErr w:type="gramStart"/>
      <w:r>
        <w:rPr>
          <w:sz w:val="26"/>
          <w:szCs w:val="26"/>
        </w:rPr>
        <w:t>Comments at 2.</w:t>
      </w:r>
      <w:proofErr w:type="gramEnd"/>
      <w:r>
        <w:rPr>
          <w:sz w:val="26"/>
          <w:szCs w:val="26"/>
        </w:rPr>
        <w:t xml:space="preserve">  RESA </w:t>
      </w:r>
      <w:r w:rsidR="00911471">
        <w:rPr>
          <w:sz w:val="26"/>
          <w:szCs w:val="26"/>
        </w:rPr>
        <w:t xml:space="preserve">also </w:t>
      </w:r>
      <w:r>
        <w:rPr>
          <w:sz w:val="26"/>
          <w:szCs w:val="26"/>
        </w:rPr>
        <w:t>requests that parental guarantee</w:t>
      </w:r>
      <w:r w:rsidR="008B4038">
        <w:rPr>
          <w:sz w:val="26"/>
          <w:szCs w:val="26"/>
        </w:rPr>
        <w:t>s</w:t>
      </w:r>
      <w:r>
        <w:rPr>
          <w:sz w:val="26"/>
          <w:szCs w:val="26"/>
        </w:rPr>
        <w:t xml:space="preserve"> should be extended to encompass other corporate relationships, such as guarantees from affiliates or subsidiaries.  </w:t>
      </w:r>
      <w:proofErr w:type="gramStart"/>
      <w:r>
        <w:rPr>
          <w:sz w:val="26"/>
          <w:szCs w:val="26"/>
        </w:rPr>
        <w:t>RESA Comments at 12.</w:t>
      </w:r>
      <w:proofErr w:type="gramEnd"/>
      <w:r>
        <w:rPr>
          <w:sz w:val="26"/>
          <w:szCs w:val="26"/>
        </w:rPr>
        <w:t xml:space="preserve">  RESA contends that these corporate guarantees would “promote the public interest by providing more secure and greater protection for the Commonwealth.”  </w:t>
      </w:r>
      <w:proofErr w:type="gramStart"/>
      <w:r>
        <w:rPr>
          <w:i/>
          <w:sz w:val="26"/>
          <w:szCs w:val="26"/>
        </w:rPr>
        <w:t>Id.</w:t>
      </w:r>
      <w:r>
        <w:rPr>
          <w:sz w:val="26"/>
          <w:szCs w:val="26"/>
        </w:rPr>
        <w:t xml:space="preserve"> at 13.</w:t>
      </w:r>
      <w:proofErr w:type="gramEnd"/>
      <w:r>
        <w:rPr>
          <w:sz w:val="26"/>
          <w:szCs w:val="26"/>
        </w:rPr>
        <w:t xml:space="preserve">  Additionally, limiting financial guarantees to parent companies </w:t>
      </w:r>
      <w:r w:rsidR="004D3FEE">
        <w:rPr>
          <w:sz w:val="26"/>
          <w:szCs w:val="26"/>
        </w:rPr>
        <w:t xml:space="preserve">would create an uneven playing field by furnishing a competitive advantage to EGSs with large corporate parents over privately-held EGSs or EGSs without a parent-subsidiary corporate structure.  </w:t>
      </w:r>
      <w:proofErr w:type="gramStart"/>
      <w:r w:rsidR="004D3FEE">
        <w:rPr>
          <w:i/>
          <w:sz w:val="26"/>
          <w:szCs w:val="26"/>
        </w:rPr>
        <w:t>Id.</w:t>
      </w:r>
      <w:r w:rsidR="004D3FEE">
        <w:rPr>
          <w:sz w:val="26"/>
          <w:szCs w:val="26"/>
        </w:rPr>
        <w:t xml:space="preserve"> at 14.</w:t>
      </w:r>
      <w:proofErr w:type="gramEnd"/>
      <w:r>
        <w:rPr>
          <w:sz w:val="26"/>
          <w:szCs w:val="26"/>
        </w:rPr>
        <w:t xml:space="preserve">          </w:t>
      </w:r>
    </w:p>
    <w:p w:rsidR="00AF5407" w:rsidRDefault="00AF5407" w:rsidP="00AF5407">
      <w:pPr>
        <w:spacing w:line="360" w:lineRule="auto"/>
        <w:ind w:firstLine="720"/>
        <w:rPr>
          <w:sz w:val="26"/>
          <w:szCs w:val="26"/>
        </w:rPr>
      </w:pPr>
      <w:r>
        <w:rPr>
          <w:sz w:val="26"/>
          <w:szCs w:val="26"/>
        </w:rPr>
        <w:t xml:space="preserve"> </w:t>
      </w:r>
    </w:p>
    <w:p w:rsidR="00F8110D" w:rsidRPr="00A61F28" w:rsidRDefault="00AF5407" w:rsidP="00905E80">
      <w:pPr>
        <w:spacing w:line="360" w:lineRule="auto"/>
        <w:rPr>
          <w:sz w:val="26"/>
          <w:szCs w:val="26"/>
        </w:rPr>
      </w:pPr>
      <w:r>
        <w:rPr>
          <w:sz w:val="26"/>
          <w:szCs w:val="26"/>
        </w:rPr>
        <w:tab/>
      </w:r>
      <w:r w:rsidR="004D3FEE">
        <w:rPr>
          <w:sz w:val="26"/>
          <w:szCs w:val="26"/>
        </w:rPr>
        <w:t xml:space="preserve">The </w:t>
      </w:r>
      <w:r>
        <w:rPr>
          <w:sz w:val="26"/>
          <w:szCs w:val="26"/>
        </w:rPr>
        <w:t xml:space="preserve">OCA </w:t>
      </w:r>
      <w:r w:rsidR="00577767">
        <w:rPr>
          <w:sz w:val="26"/>
          <w:szCs w:val="26"/>
        </w:rPr>
        <w:t>states</w:t>
      </w:r>
      <w:r w:rsidR="00A61F28">
        <w:rPr>
          <w:sz w:val="26"/>
          <w:szCs w:val="26"/>
        </w:rPr>
        <w:t xml:space="preserve"> that the Commission’s proposed expansion of allowable security instruments appears reasonable, but emphasizes that the Commission should make sure that it can still call on all security forms as needed and in a timely fashion.  </w:t>
      </w:r>
      <w:proofErr w:type="gramStart"/>
      <w:r w:rsidR="00A61F28">
        <w:rPr>
          <w:sz w:val="26"/>
          <w:szCs w:val="26"/>
        </w:rPr>
        <w:t>Comments at 5.</w:t>
      </w:r>
      <w:proofErr w:type="gramEnd"/>
      <w:r w:rsidR="00A61F28">
        <w:rPr>
          <w:sz w:val="26"/>
          <w:szCs w:val="26"/>
        </w:rPr>
        <w:t xml:space="preserve">  The OCA suggest</w:t>
      </w:r>
      <w:r w:rsidR="003C15AE">
        <w:rPr>
          <w:sz w:val="26"/>
          <w:szCs w:val="26"/>
        </w:rPr>
        <w:t>s</w:t>
      </w:r>
      <w:r w:rsidR="00807993">
        <w:rPr>
          <w:sz w:val="26"/>
          <w:szCs w:val="26"/>
        </w:rPr>
        <w:t xml:space="preserve"> </w:t>
      </w:r>
      <w:r w:rsidR="00F174F9">
        <w:rPr>
          <w:sz w:val="26"/>
          <w:szCs w:val="26"/>
        </w:rPr>
        <w:t xml:space="preserve">that </w:t>
      </w:r>
      <w:r w:rsidR="00807993">
        <w:rPr>
          <w:sz w:val="26"/>
          <w:szCs w:val="26"/>
        </w:rPr>
        <w:t>the Commission examine</w:t>
      </w:r>
      <w:r w:rsidR="00A61F28">
        <w:rPr>
          <w:sz w:val="26"/>
          <w:szCs w:val="26"/>
        </w:rPr>
        <w:t xml:space="preserve"> regulations from the State of Maine for use of language that provides ready access to funds.  </w:t>
      </w:r>
      <w:r w:rsidR="00A61F28">
        <w:rPr>
          <w:i/>
          <w:sz w:val="26"/>
          <w:szCs w:val="26"/>
        </w:rPr>
        <w:t>See</w:t>
      </w:r>
      <w:r w:rsidR="00A61F28">
        <w:rPr>
          <w:sz w:val="26"/>
          <w:szCs w:val="26"/>
        </w:rPr>
        <w:t xml:space="preserve"> </w:t>
      </w:r>
      <w:r w:rsidR="00A61F28" w:rsidRPr="00A61F28">
        <w:rPr>
          <w:i/>
          <w:sz w:val="26"/>
          <w:szCs w:val="26"/>
        </w:rPr>
        <w:t>id.</w:t>
      </w:r>
      <w:r w:rsidR="00A61F28">
        <w:rPr>
          <w:sz w:val="26"/>
          <w:szCs w:val="26"/>
        </w:rPr>
        <w:t xml:space="preserve"> (</w:t>
      </w:r>
      <w:proofErr w:type="gramStart"/>
      <w:r w:rsidR="00A61F28">
        <w:rPr>
          <w:sz w:val="26"/>
          <w:szCs w:val="26"/>
        </w:rPr>
        <w:t>citing</w:t>
      </w:r>
      <w:proofErr w:type="gramEnd"/>
      <w:r w:rsidR="00A61F28">
        <w:rPr>
          <w:sz w:val="26"/>
          <w:szCs w:val="26"/>
        </w:rPr>
        <w:t xml:space="preserve"> </w:t>
      </w:r>
      <w:r w:rsidR="00F174F9">
        <w:rPr>
          <w:sz w:val="26"/>
          <w:szCs w:val="26"/>
        </w:rPr>
        <w:t xml:space="preserve">65-407-305 Me. </w:t>
      </w:r>
      <w:r w:rsidR="00A61F28">
        <w:rPr>
          <w:sz w:val="26"/>
          <w:szCs w:val="26"/>
        </w:rPr>
        <w:t xml:space="preserve">Code R. § </w:t>
      </w:r>
      <w:r w:rsidR="00F174F9">
        <w:rPr>
          <w:sz w:val="26"/>
          <w:szCs w:val="26"/>
        </w:rPr>
        <w:t xml:space="preserve">3(e) </w:t>
      </w:r>
      <w:r w:rsidR="00A61F28">
        <w:rPr>
          <w:sz w:val="26"/>
          <w:szCs w:val="26"/>
        </w:rPr>
        <w:t xml:space="preserve">(2006)).  </w:t>
      </w:r>
    </w:p>
    <w:p w:rsidR="00905E80" w:rsidRDefault="00905E80" w:rsidP="00905E80">
      <w:pPr>
        <w:spacing w:line="360" w:lineRule="auto"/>
        <w:rPr>
          <w:sz w:val="26"/>
          <w:szCs w:val="26"/>
        </w:rPr>
      </w:pPr>
    </w:p>
    <w:p w:rsidR="00A61F28" w:rsidRDefault="00E967D2" w:rsidP="00905E80">
      <w:pPr>
        <w:spacing w:line="360" w:lineRule="auto"/>
        <w:rPr>
          <w:sz w:val="26"/>
          <w:szCs w:val="26"/>
        </w:rPr>
      </w:pPr>
      <w:r>
        <w:rPr>
          <w:sz w:val="26"/>
          <w:szCs w:val="26"/>
          <w:u w:val="single"/>
        </w:rPr>
        <w:t xml:space="preserve">The Commission’s Process to </w:t>
      </w:r>
      <w:r w:rsidR="00A61F28">
        <w:rPr>
          <w:sz w:val="26"/>
          <w:szCs w:val="26"/>
          <w:u w:val="single"/>
        </w:rPr>
        <w:t>Implement</w:t>
      </w:r>
      <w:r>
        <w:rPr>
          <w:sz w:val="26"/>
          <w:szCs w:val="26"/>
          <w:u w:val="single"/>
        </w:rPr>
        <w:t xml:space="preserve"> the</w:t>
      </w:r>
      <w:r w:rsidR="00A61F28">
        <w:rPr>
          <w:sz w:val="26"/>
          <w:szCs w:val="26"/>
          <w:u w:val="single"/>
        </w:rPr>
        <w:t xml:space="preserve"> Proposed Changes</w:t>
      </w:r>
    </w:p>
    <w:p w:rsidR="00AE2709" w:rsidRDefault="00807993" w:rsidP="00905E80">
      <w:pPr>
        <w:spacing w:line="360" w:lineRule="auto"/>
        <w:rPr>
          <w:sz w:val="26"/>
          <w:szCs w:val="26"/>
        </w:rPr>
      </w:pPr>
      <w:r>
        <w:rPr>
          <w:sz w:val="26"/>
          <w:szCs w:val="26"/>
        </w:rPr>
        <w:tab/>
        <w:t>Only RESA, the OCA, DLE, and FES comment on whether a rulemaking is necessary to amend the Commission’s regulations in order to adjust bonding/security requirements and acceptable security forms</w:t>
      </w:r>
      <w:r w:rsidR="00F82DD1">
        <w:rPr>
          <w:sz w:val="26"/>
          <w:szCs w:val="26"/>
        </w:rPr>
        <w:t>, all agreeing that</w:t>
      </w:r>
      <w:r w:rsidR="00E967D2">
        <w:rPr>
          <w:sz w:val="26"/>
          <w:szCs w:val="26"/>
        </w:rPr>
        <w:t xml:space="preserve"> the Commission </w:t>
      </w:r>
      <w:r w:rsidR="003E41BC">
        <w:rPr>
          <w:sz w:val="26"/>
          <w:szCs w:val="26"/>
        </w:rPr>
        <w:t>could</w:t>
      </w:r>
      <w:r w:rsidR="00E967D2">
        <w:rPr>
          <w:sz w:val="26"/>
          <w:szCs w:val="26"/>
        </w:rPr>
        <w:t xml:space="preserve"> immediately implement its proposals</w:t>
      </w:r>
      <w:r w:rsidR="003C15AE">
        <w:rPr>
          <w:sz w:val="26"/>
          <w:szCs w:val="26"/>
        </w:rPr>
        <w:t xml:space="preserve"> under the current regulation.  </w:t>
      </w:r>
      <w:r w:rsidR="00E967D2">
        <w:rPr>
          <w:sz w:val="26"/>
          <w:szCs w:val="26"/>
        </w:rPr>
        <w:t>FES Comments at 4, RESA Comments at 15</w:t>
      </w:r>
      <w:r w:rsidR="003E41BC">
        <w:rPr>
          <w:sz w:val="26"/>
          <w:szCs w:val="26"/>
        </w:rPr>
        <w:t>-16, OCA Comments at</w:t>
      </w:r>
      <w:r w:rsidR="00AE2709">
        <w:rPr>
          <w:sz w:val="26"/>
          <w:szCs w:val="26"/>
        </w:rPr>
        <w:t xml:space="preserve"> 5, </w:t>
      </w:r>
      <w:r w:rsidR="003E41BC">
        <w:rPr>
          <w:sz w:val="26"/>
          <w:szCs w:val="26"/>
        </w:rPr>
        <w:t>DLE</w:t>
      </w:r>
      <w:r w:rsidR="00E967D2">
        <w:rPr>
          <w:sz w:val="26"/>
          <w:szCs w:val="26"/>
        </w:rPr>
        <w:t xml:space="preserve"> Comments at </w:t>
      </w:r>
      <w:r w:rsidR="00AE2709">
        <w:rPr>
          <w:sz w:val="26"/>
          <w:szCs w:val="26"/>
        </w:rPr>
        <w:t>3.  RESA believes that current regulations contemplate modifications of the security amount by allowing a licensee to seek approval from the Commiss</w:t>
      </w:r>
      <w:r w:rsidR="00044E24">
        <w:rPr>
          <w:sz w:val="26"/>
          <w:szCs w:val="26"/>
        </w:rPr>
        <w:t>ion of an alternative level of security</w:t>
      </w:r>
      <w:r w:rsidR="00AE2709">
        <w:rPr>
          <w:sz w:val="26"/>
          <w:szCs w:val="26"/>
        </w:rPr>
        <w:t xml:space="preserve"> commensurate with the nature and scope of the EGS’s operations.  RESA Comments at </w:t>
      </w:r>
      <w:r w:rsidR="00AE2709">
        <w:rPr>
          <w:sz w:val="26"/>
          <w:szCs w:val="26"/>
        </w:rPr>
        <w:lastRenderedPageBreak/>
        <w:t xml:space="preserve">15-16 (citing 52 Pa. </w:t>
      </w:r>
      <w:r w:rsidR="00911471">
        <w:rPr>
          <w:sz w:val="26"/>
          <w:szCs w:val="26"/>
        </w:rPr>
        <w:t>Code § 54.40(c)-(d)).  RESA maintains</w:t>
      </w:r>
      <w:r w:rsidR="00AE2709">
        <w:rPr>
          <w:sz w:val="26"/>
          <w:szCs w:val="26"/>
        </w:rPr>
        <w:t xml:space="preserve"> that the Commission has flexibility under the current regulations and Commission precedent to waive the current regulations, pending a final rulemaking.  </w:t>
      </w:r>
      <w:proofErr w:type="gramStart"/>
      <w:r w:rsidR="00AE2709">
        <w:rPr>
          <w:sz w:val="26"/>
          <w:szCs w:val="26"/>
        </w:rPr>
        <w:t>Comments at 17.</w:t>
      </w:r>
      <w:proofErr w:type="gramEnd"/>
      <w:r w:rsidR="00AE2709">
        <w:rPr>
          <w:sz w:val="26"/>
          <w:szCs w:val="26"/>
        </w:rPr>
        <w:t xml:space="preserve">  However, the OCA emphasize</w:t>
      </w:r>
      <w:r w:rsidR="00FB2D9A">
        <w:rPr>
          <w:sz w:val="26"/>
          <w:szCs w:val="26"/>
        </w:rPr>
        <w:t>s</w:t>
      </w:r>
      <w:r w:rsidR="00AE2709">
        <w:rPr>
          <w:sz w:val="26"/>
          <w:szCs w:val="26"/>
        </w:rPr>
        <w:t xml:space="preserve"> that any waiver of current regulations must be limited in scope and time and </w:t>
      </w:r>
      <w:r w:rsidR="00FB2D9A">
        <w:rPr>
          <w:sz w:val="26"/>
          <w:szCs w:val="26"/>
        </w:rPr>
        <w:t xml:space="preserve">be </w:t>
      </w:r>
      <w:r w:rsidR="00AE2709">
        <w:rPr>
          <w:sz w:val="26"/>
          <w:szCs w:val="26"/>
        </w:rPr>
        <w:t xml:space="preserve">immediately followed by a rulemaking.  </w:t>
      </w:r>
      <w:proofErr w:type="gramStart"/>
      <w:r w:rsidR="00AE2709">
        <w:rPr>
          <w:sz w:val="26"/>
          <w:szCs w:val="26"/>
        </w:rPr>
        <w:t>Comments at 5.</w:t>
      </w:r>
      <w:proofErr w:type="gramEnd"/>
      <w:r w:rsidR="00AE2709">
        <w:rPr>
          <w:sz w:val="26"/>
          <w:szCs w:val="26"/>
        </w:rPr>
        <w:t xml:space="preserve">  DLE, the OCA, and FES believe that the Commission must soon implement a rulemaking to permanently effectuate these changes since Commission regulations clearly state that the “security level will be 10% of the licensee’s reported gross profits.”  </w:t>
      </w:r>
      <w:r w:rsidR="00AE2709">
        <w:rPr>
          <w:i/>
          <w:sz w:val="26"/>
          <w:szCs w:val="26"/>
        </w:rPr>
        <w:t>See</w:t>
      </w:r>
      <w:r w:rsidR="00AE2709">
        <w:rPr>
          <w:sz w:val="26"/>
          <w:szCs w:val="26"/>
        </w:rPr>
        <w:t xml:space="preserve"> 52 Pa. Code</w:t>
      </w:r>
      <w:r w:rsidR="00427903">
        <w:rPr>
          <w:sz w:val="26"/>
          <w:szCs w:val="26"/>
        </w:rPr>
        <w:t xml:space="preserve"> §</w:t>
      </w:r>
      <w:r w:rsidR="00AE2709">
        <w:rPr>
          <w:sz w:val="26"/>
          <w:szCs w:val="26"/>
        </w:rPr>
        <w:t xml:space="preserve"> 54.40(d); </w:t>
      </w:r>
      <w:r w:rsidR="00AE2709">
        <w:rPr>
          <w:i/>
          <w:sz w:val="26"/>
          <w:szCs w:val="26"/>
        </w:rPr>
        <w:t>see</w:t>
      </w:r>
      <w:r w:rsidR="00AE2709">
        <w:rPr>
          <w:sz w:val="26"/>
          <w:szCs w:val="26"/>
        </w:rPr>
        <w:t xml:space="preserve"> DLE Comments at 2-3, OCA Comments at 5-6, FES Comments at 4-5.  </w:t>
      </w:r>
    </w:p>
    <w:p w:rsidR="003C15AE" w:rsidRDefault="003C15AE" w:rsidP="00905E80">
      <w:pPr>
        <w:spacing w:line="360" w:lineRule="auto"/>
        <w:rPr>
          <w:sz w:val="26"/>
          <w:szCs w:val="26"/>
        </w:rPr>
      </w:pPr>
    </w:p>
    <w:p w:rsidR="009019F1" w:rsidRDefault="009019F1" w:rsidP="00AE2709">
      <w:pPr>
        <w:spacing w:line="360" w:lineRule="auto"/>
        <w:ind w:firstLine="720"/>
        <w:rPr>
          <w:sz w:val="26"/>
          <w:szCs w:val="26"/>
        </w:rPr>
      </w:pPr>
      <w:r>
        <w:rPr>
          <w:sz w:val="26"/>
          <w:szCs w:val="26"/>
        </w:rPr>
        <w:t xml:space="preserve">As to the </w:t>
      </w:r>
      <w:r w:rsidR="00D85C4D">
        <w:rPr>
          <w:sz w:val="26"/>
          <w:szCs w:val="26"/>
        </w:rPr>
        <w:t xml:space="preserve">issue of expanding the </w:t>
      </w:r>
      <w:r w:rsidR="000A7F28">
        <w:rPr>
          <w:sz w:val="26"/>
          <w:szCs w:val="26"/>
        </w:rPr>
        <w:t>form</w:t>
      </w:r>
      <w:r>
        <w:rPr>
          <w:sz w:val="26"/>
          <w:szCs w:val="26"/>
        </w:rPr>
        <w:t xml:space="preserve"> of acceptable security instruments, FES notes that the Public Utility Code grants the Commission the discret</w:t>
      </w:r>
      <w:r w:rsidR="00D85C4D">
        <w:rPr>
          <w:sz w:val="26"/>
          <w:szCs w:val="26"/>
        </w:rPr>
        <w:t xml:space="preserve">ion to determine the </w:t>
      </w:r>
      <w:r w:rsidR="000A7F28">
        <w:rPr>
          <w:sz w:val="26"/>
          <w:szCs w:val="26"/>
        </w:rPr>
        <w:t>form</w:t>
      </w:r>
      <w:r>
        <w:rPr>
          <w:sz w:val="26"/>
          <w:szCs w:val="26"/>
        </w:rPr>
        <w:t xml:space="preserve">s of security instruments that can be used to satisfy the bonding requirement.  </w:t>
      </w:r>
      <w:proofErr w:type="gramStart"/>
      <w:r>
        <w:rPr>
          <w:sz w:val="26"/>
          <w:szCs w:val="26"/>
        </w:rPr>
        <w:t>FES Comments at 4.</w:t>
      </w:r>
      <w:proofErr w:type="gramEnd"/>
      <w:r>
        <w:rPr>
          <w:sz w:val="26"/>
          <w:szCs w:val="26"/>
        </w:rPr>
        <w:t xml:space="preserve">  </w:t>
      </w:r>
    </w:p>
    <w:p w:rsidR="009050AC" w:rsidRDefault="009050AC" w:rsidP="00AE2709">
      <w:pPr>
        <w:spacing w:line="360" w:lineRule="auto"/>
        <w:ind w:firstLine="720"/>
        <w:rPr>
          <w:sz w:val="26"/>
          <w:szCs w:val="26"/>
        </w:rPr>
      </w:pPr>
    </w:p>
    <w:p w:rsidR="008900D2" w:rsidRDefault="00D85C4D" w:rsidP="008900D2">
      <w:pPr>
        <w:spacing w:line="360" w:lineRule="auto"/>
        <w:ind w:firstLine="720"/>
        <w:rPr>
          <w:sz w:val="26"/>
          <w:szCs w:val="26"/>
        </w:rPr>
      </w:pPr>
      <w:r>
        <w:rPr>
          <w:sz w:val="26"/>
          <w:szCs w:val="26"/>
        </w:rPr>
        <w:t>RESA also ask</w:t>
      </w:r>
      <w:r w:rsidR="00AC59EF">
        <w:rPr>
          <w:sz w:val="26"/>
          <w:szCs w:val="26"/>
        </w:rPr>
        <w:t xml:space="preserve">s </w:t>
      </w:r>
      <w:r>
        <w:rPr>
          <w:sz w:val="26"/>
          <w:szCs w:val="26"/>
        </w:rPr>
        <w:t xml:space="preserve">the Commission to “adopt a timely and administratively efficient process for modifying each EGS’s financial security requirements” consistent with the Commission’s final determination in this proceeding.  </w:t>
      </w:r>
      <w:proofErr w:type="gramStart"/>
      <w:r>
        <w:rPr>
          <w:sz w:val="26"/>
          <w:szCs w:val="26"/>
        </w:rPr>
        <w:t>Comments at 18.</w:t>
      </w:r>
      <w:proofErr w:type="gramEnd"/>
      <w:r>
        <w:rPr>
          <w:sz w:val="26"/>
          <w:szCs w:val="26"/>
        </w:rPr>
        <w:t xml:space="preserve">  RESA recommends that the Commission not require an EGS to file a new or amended application with the Commission, but allow the EGS to work with staff outside of a formal filing to demonstrate proof that the EGS has complied with the Commission’</w:t>
      </w:r>
      <w:r w:rsidR="000B7917">
        <w:rPr>
          <w:sz w:val="26"/>
          <w:szCs w:val="26"/>
        </w:rPr>
        <w:t>s FSR</w:t>
      </w:r>
      <w:r>
        <w:rPr>
          <w:sz w:val="26"/>
          <w:szCs w:val="26"/>
        </w:rPr>
        <w:t xml:space="preserve">s.  </w:t>
      </w:r>
      <w:proofErr w:type="gramStart"/>
      <w:r w:rsidR="00AC59EF">
        <w:rPr>
          <w:i/>
          <w:sz w:val="26"/>
          <w:szCs w:val="26"/>
        </w:rPr>
        <w:t>Id.</w:t>
      </w:r>
      <w:r>
        <w:rPr>
          <w:sz w:val="26"/>
          <w:szCs w:val="26"/>
        </w:rPr>
        <w:t xml:space="preserve"> at 19, fn. 40.</w:t>
      </w:r>
      <w:proofErr w:type="gramEnd"/>
      <w:r w:rsidR="00AC59EF">
        <w:rPr>
          <w:sz w:val="26"/>
          <w:szCs w:val="26"/>
        </w:rPr>
        <w:t xml:space="preserve">  Under this approach, the Commission would receive updated documentation and information regarding</w:t>
      </w:r>
      <w:r>
        <w:rPr>
          <w:sz w:val="26"/>
          <w:szCs w:val="26"/>
        </w:rPr>
        <w:t xml:space="preserve"> </w:t>
      </w:r>
      <w:r w:rsidR="00AC59EF">
        <w:rPr>
          <w:sz w:val="26"/>
          <w:szCs w:val="26"/>
        </w:rPr>
        <w:t xml:space="preserve">an EGS’s form </w:t>
      </w:r>
      <w:r w:rsidR="00911471">
        <w:rPr>
          <w:sz w:val="26"/>
          <w:szCs w:val="26"/>
        </w:rPr>
        <w:t xml:space="preserve">and amount </w:t>
      </w:r>
      <w:r w:rsidR="00AC59EF">
        <w:rPr>
          <w:sz w:val="26"/>
          <w:szCs w:val="26"/>
        </w:rPr>
        <w:t xml:space="preserve">of security without the need for the Commission to engage in a more burdensome and time-consuming approval process through the issuance of an Order or Secretarial Letter.  </w:t>
      </w:r>
      <w:r w:rsidR="00AC59EF">
        <w:rPr>
          <w:i/>
          <w:sz w:val="26"/>
          <w:szCs w:val="26"/>
        </w:rPr>
        <w:t>Id.</w:t>
      </w:r>
      <w:r w:rsidR="00AC59EF">
        <w:rPr>
          <w:sz w:val="26"/>
          <w:szCs w:val="26"/>
        </w:rPr>
        <w:t xml:space="preserve"> at 18-19.    </w:t>
      </w:r>
      <w:r>
        <w:rPr>
          <w:sz w:val="26"/>
          <w:szCs w:val="26"/>
        </w:rPr>
        <w:t xml:space="preserve"> </w:t>
      </w:r>
    </w:p>
    <w:p w:rsidR="00F174F9" w:rsidRDefault="00F174F9" w:rsidP="000C7796">
      <w:pPr>
        <w:rPr>
          <w:b/>
          <w:sz w:val="26"/>
          <w:szCs w:val="26"/>
        </w:rPr>
      </w:pPr>
    </w:p>
    <w:p w:rsidR="00F174F9" w:rsidRDefault="00F174F9" w:rsidP="000C7796">
      <w:pPr>
        <w:rPr>
          <w:b/>
          <w:sz w:val="26"/>
          <w:szCs w:val="26"/>
        </w:rPr>
      </w:pPr>
    </w:p>
    <w:p w:rsidR="00AD0A28" w:rsidRDefault="00AD0A28" w:rsidP="000C7796">
      <w:pPr>
        <w:rPr>
          <w:b/>
          <w:sz w:val="26"/>
          <w:szCs w:val="26"/>
        </w:rPr>
      </w:pPr>
      <w:r>
        <w:rPr>
          <w:b/>
          <w:sz w:val="26"/>
          <w:szCs w:val="26"/>
        </w:rPr>
        <w:t>Disposition</w:t>
      </w:r>
    </w:p>
    <w:p w:rsidR="00DD3115" w:rsidRPr="00B55FF4" w:rsidRDefault="00F174F9" w:rsidP="00DD3115">
      <w:pPr>
        <w:spacing w:line="360" w:lineRule="auto"/>
        <w:rPr>
          <w:sz w:val="26"/>
          <w:szCs w:val="26"/>
          <w:u w:val="single"/>
        </w:rPr>
      </w:pPr>
      <w:r>
        <w:rPr>
          <w:sz w:val="26"/>
          <w:szCs w:val="26"/>
          <w:u w:val="single"/>
        </w:rPr>
        <w:t>Amount</w:t>
      </w:r>
      <w:r w:rsidR="00DD3115">
        <w:rPr>
          <w:sz w:val="26"/>
          <w:szCs w:val="26"/>
          <w:u w:val="single"/>
        </w:rPr>
        <w:t xml:space="preserve"> of Bonding/Financial Security </w:t>
      </w:r>
      <w:r w:rsidR="0032104C">
        <w:rPr>
          <w:sz w:val="26"/>
          <w:szCs w:val="26"/>
          <w:u w:val="single"/>
        </w:rPr>
        <w:t>Requirement</w:t>
      </w:r>
    </w:p>
    <w:p w:rsidR="00F64F54" w:rsidRDefault="008C7025" w:rsidP="00F64F54">
      <w:pPr>
        <w:spacing w:line="360" w:lineRule="auto"/>
        <w:ind w:firstLine="720"/>
        <w:rPr>
          <w:sz w:val="26"/>
          <w:szCs w:val="26"/>
        </w:rPr>
      </w:pPr>
      <w:r>
        <w:rPr>
          <w:sz w:val="26"/>
          <w:szCs w:val="26"/>
        </w:rPr>
        <w:t>Based upon our review of OCMO</w:t>
      </w:r>
      <w:r w:rsidR="007D70A0">
        <w:rPr>
          <w:sz w:val="26"/>
          <w:szCs w:val="26"/>
        </w:rPr>
        <w:t>’s</w:t>
      </w:r>
      <w:r>
        <w:rPr>
          <w:sz w:val="26"/>
          <w:szCs w:val="26"/>
        </w:rPr>
        <w:t xml:space="preserve"> informal proposal, the </w:t>
      </w:r>
      <w:r w:rsidR="00316C75">
        <w:rPr>
          <w:sz w:val="26"/>
          <w:szCs w:val="26"/>
        </w:rPr>
        <w:t xml:space="preserve">informal </w:t>
      </w:r>
      <w:r>
        <w:rPr>
          <w:sz w:val="26"/>
          <w:szCs w:val="26"/>
        </w:rPr>
        <w:t xml:space="preserve">comments </w:t>
      </w:r>
      <w:r>
        <w:rPr>
          <w:sz w:val="26"/>
          <w:szCs w:val="26"/>
        </w:rPr>
        <w:lastRenderedPageBreak/>
        <w:t xml:space="preserve">submitted thereto, </w:t>
      </w:r>
      <w:r w:rsidR="00316C75">
        <w:rPr>
          <w:sz w:val="26"/>
          <w:szCs w:val="26"/>
        </w:rPr>
        <w:t xml:space="preserve">and the formal comments submitted to our December 5, 2013 Tentative Order, </w:t>
      </w:r>
      <w:r w:rsidR="007B0508">
        <w:rPr>
          <w:sz w:val="26"/>
          <w:szCs w:val="26"/>
        </w:rPr>
        <w:t xml:space="preserve">we </w:t>
      </w:r>
      <w:r w:rsidR="00BB0DD7">
        <w:rPr>
          <w:sz w:val="26"/>
          <w:szCs w:val="26"/>
        </w:rPr>
        <w:t>will maintain our current re</w:t>
      </w:r>
      <w:r w:rsidR="00EF1747">
        <w:rPr>
          <w:sz w:val="26"/>
          <w:szCs w:val="26"/>
        </w:rPr>
        <w:t>quirement for an initial security</w:t>
      </w:r>
      <w:r w:rsidR="00BB0DD7">
        <w:rPr>
          <w:sz w:val="26"/>
          <w:szCs w:val="26"/>
        </w:rPr>
        <w:t xml:space="preserve"> amount of $250,000 for the first year of an EGS’s operation</w:t>
      </w:r>
      <w:r w:rsidR="0000076D">
        <w:rPr>
          <w:sz w:val="26"/>
          <w:szCs w:val="26"/>
        </w:rPr>
        <w:t xml:space="preserve"> for </w:t>
      </w:r>
      <w:r w:rsidR="00EF1747">
        <w:rPr>
          <w:sz w:val="26"/>
          <w:szCs w:val="26"/>
        </w:rPr>
        <w:t xml:space="preserve">an </w:t>
      </w:r>
      <w:r w:rsidR="0000076D">
        <w:rPr>
          <w:sz w:val="26"/>
          <w:szCs w:val="26"/>
        </w:rPr>
        <w:t>EGS that intend</w:t>
      </w:r>
      <w:r w:rsidR="00EF1747">
        <w:rPr>
          <w:sz w:val="26"/>
          <w:szCs w:val="26"/>
        </w:rPr>
        <w:t>s</w:t>
      </w:r>
      <w:r w:rsidR="0000076D">
        <w:rPr>
          <w:sz w:val="26"/>
          <w:szCs w:val="26"/>
        </w:rPr>
        <w:t xml:space="preserve"> to take title to electricity</w:t>
      </w:r>
      <w:r w:rsidR="00BB0DD7">
        <w:rPr>
          <w:sz w:val="26"/>
          <w:szCs w:val="26"/>
        </w:rPr>
        <w:t xml:space="preserve">.  </w:t>
      </w:r>
      <w:r w:rsidR="00BB0DD7">
        <w:rPr>
          <w:i/>
          <w:sz w:val="26"/>
          <w:szCs w:val="26"/>
        </w:rPr>
        <w:t>See</w:t>
      </w:r>
      <w:r w:rsidR="00BB0DD7">
        <w:rPr>
          <w:sz w:val="26"/>
          <w:szCs w:val="26"/>
        </w:rPr>
        <w:t xml:space="preserve"> 52 Pa. Code § 54.40(c). </w:t>
      </w:r>
      <w:r w:rsidR="000C7796">
        <w:rPr>
          <w:sz w:val="26"/>
          <w:szCs w:val="26"/>
        </w:rPr>
        <w:t xml:space="preserve"> </w:t>
      </w:r>
      <w:r w:rsidR="00F64F54">
        <w:rPr>
          <w:sz w:val="26"/>
          <w:szCs w:val="26"/>
        </w:rPr>
        <w:t>U</w:t>
      </w:r>
      <w:r w:rsidR="00BB0DD7">
        <w:rPr>
          <w:sz w:val="26"/>
          <w:szCs w:val="26"/>
        </w:rPr>
        <w:t xml:space="preserve">pon review, we also </w:t>
      </w:r>
      <w:r w:rsidR="007B0508">
        <w:rPr>
          <w:sz w:val="26"/>
          <w:szCs w:val="26"/>
        </w:rPr>
        <w:t>find that requiring an EGS to post</w:t>
      </w:r>
      <w:r>
        <w:rPr>
          <w:sz w:val="26"/>
          <w:szCs w:val="26"/>
        </w:rPr>
        <w:t xml:space="preserve"> a bond or </w:t>
      </w:r>
      <w:r w:rsidR="00316C75">
        <w:rPr>
          <w:sz w:val="26"/>
          <w:szCs w:val="26"/>
        </w:rPr>
        <w:t>security</w:t>
      </w:r>
      <w:r>
        <w:rPr>
          <w:sz w:val="26"/>
          <w:szCs w:val="26"/>
        </w:rPr>
        <w:t xml:space="preserve"> in the amount of 10% of </w:t>
      </w:r>
      <w:r w:rsidR="00911471">
        <w:rPr>
          <w:sz w:val="26"/>
          <w:szCs w:val="26"/>
        </w:rPr>
        <w:t xml:space="preserve">reported </w:t>
      </w:r>
      <w:r>
        <w:rPr>
          <w:sz w:val="26"/>
          <w:szCs w:val="26"/>
        </w:rPr>
        <w:t>gross receipts</w:t>
      </w:r>
      <w:r w:rsidR="007B0508">
        <w:rPr>
          <w:sz w:val="26"/>
          <w:szCs w:val="26"/>
        </w:rPr>
        <w:t xml:space="preserve"> after the first year of EGS operation </w:t>
      </w:r>
      <w:r w:rsidR="00BB3312">
        <w:rPr>
          <w:sz w:val="26"/>
          <w:szCs w:val="26"/>
        </w:rPr>
        <w:t xml:space="preserve">may be </w:t>
      </w:r>
      <w:r w:rsidR="004540DA">
        <w:rPr>
          <w:sz w:val="26"/>
          <w:szCs w:val="26"/>
        </w:rPr>
        <w:t xml:space="preserve">excessive in relation to the risk intended to be secured, unnecessarily </w:t>
      </w:r>
      <w:r w:rsidR="00BB3312">
        <w:rPr>
          <w:sz w:val="26"/>
          <w:szCs w:val="26"/>
        </w:rPr>
        <w:t xml:space="preserve">burdening </w:t>
      </w:r>
      <w:r w:rsidR="007B0508">
        <w:rPr>
          <w:sz w:val="26"/>
          <w:szCs w:val="26"/>
        </w:rPr>
        <w:t>EGS</w:t>
      </w:r>
      <w:r w:rsidR="00BB3312">
        <w:rPr>
          <w:sz w:val="26"/>
          <w:szCs w:val="26"/>
        </w:rPr>
        <w:t>s</w:t>
      </w:r>
      <w:r w:rsidR="00FB2D9A">
        <w:rPr>
          <w:sz w:val="26"/>
          <w:szCs w:val="26"/>
        </w:rPr>
        <w:t>,</w:t>
      </w:r>
      <w:r w:rsidR="004540DA">
        <w:rPr>
          <w:sz w:val="26"/>
          <w:szCs w:val="26"/>
        </w:rPr>
        <w:t xml:space="preserve"> and present</w:t>
      </w:r>
      <w:r w:rsidR="00BB3312">
        <w:rPr>
          <w:sz w:val="26"/>
          <w:szCs w:val="26"/>
        </w:rPr>
        <w:t>ing</w:t>
      </w:r>
      <w:r w:rsidR="004540DA">
        <w:rPr>
          <w:sz w:val="26"/>
          <w:szCs w:val="26"/>
        </w:rPr>
        <w:t xml:space="preserve"> a </w:t>
      </w:r>
      <w:r w:rsidR="007B0508">
        <w:rPr>
          <w:sz w:val="26"/>
          <w:szCs w:val="26"/>
        </w:rPr>
        <w:t xml:space="preserve">potential </w:t>
      </w:r>
      <w:r w:rsidR="004540DA">
        <w:rPr>
          <w:sz w:val="26"/>
          <w:szCs w:val="26"/>
        </w:rPr>
        <w:t>barrier to entry into Pennsylvania’s retail electric market.</w:t>
      </w:r>
      <w:r w:rsidR="00BB0DD7">
        <w:rPr>
          <w:sz w:val="26"/>
          <w:szCs w:val="26"/>
        </w:rPr>
        <w:t xml:space="preserve">  </w:t>
      </w:r>
      <w:r w:rsidR="00554D00">
        <w:rPr>
          <w:i/>
          <w:sz w:val="26"/>
          <w:szCs w:val="26"/>
        </w:rPr>
        <w:t>See</w:t>
      </w:r>
      <w:r w:rsidR="00554D00">
        <w:rPr>
          <w:sz w:val="26"/>
          <w:szCs w:val="26"/>
        </w:rPr>
        <w:t xml:space="preserve"> NAPG Comments at 1-2; DLE Comments at 1-2; Plymouth Comments at 3; Starion Comments at 2; FES Comment</w:t>
      </w:r>
      <w:r w:rsidR="00AC2DFC">
        <w:rPr>
          <w:sz w:val="26"/>
          <w:szCs w:val="26"/>
        </w:rPr>
        <w:t xml:space="preserve">s at 2-3; RESA Comments at 3-11. </w:t>
      </w:r>
      <w:r w:rsidR="00F64F54">
        <w:rPr>
          <w:sz w:val="26"/>
          <w:szCs w:val="26"/>
        </w:rPr>
        <w:t xml:space="preserve"> We find persuasive comments suggesting that Pennsylvania’s higher FSRs may negatively impact consumers</w:t>
      </w:r>
      <w:r w:rsidR="00577767">
        <w:rPr>
          <w:sz w:val="26"/>
          <w:szCs w:val="26"/>
        </w:rPr>
        <w:t xml:space="preserve"> by resulting in products higher in price than they otherwise would be without this requirement</w:t>
      </w:r>
      <w:r w:rsidR="00F64F54">
        <w:rPr>
          <w:sz w:val="26"/>
          <w:szCs w:val="26"/>
        </w:rPr>
        <w:t xml:space="preserve">.  RESA Comments at 1, 4-6); </w:t>
      </w:r>
      <w:r w:rsidR="00F64F54">
        <w:rPr>
          <w:i/>
          <w:sz w:val="26"/>
          <w:szCs w:val="26"/>
        </w:rPr>
        <w:t xml:space="preserve">see </w:t>
      </w:r>
      <w:r w:rsidR="00F64F54" w:rsidRPr="00F64F54">
        <w:rPr>
          <w:i/>
          <w:sz w:val="26"/>
          <w:szCs w:val="26"/>
        </w:rPr>
        <w:t>also</w:t>
      </w:r>
      <w:r w:rsidR="00F64F54">
        <w:rPr>
          <w:sz w:val="26"/>
          <w:szCs w:val="26"/>
        </w:rPr>
        <w:t xml:space="preserve"> </w:t>
      </w:r>
      <w:r w:rsidR="00A342DE">
        <w:rPr>
          <w:sz w:val="26"/>
          <w:szCs w:val="26"/>
        </w:rPr>
        <w:t>N</w:t>
      </w:r>
      <w:r w:rsidR="00F64F54" w:rsidRPr="00F64F54">
        <w:rPr>
          <w:sz w:val="26"/>
          <w:szCs w:val="26"/>
        </w:rPr>
        <w:t>APG</w:t>
      </w:r>
      <w:r w:rsidR="00F64F54">
        <w:rPr>
          <w:sz w:val="26"/>
          <w:szCs w:val="26"/>
        </w:rPr>
        <w:t xml:space="preserve"> Comments at 2.   </w:t>
      </w:r>
    </w:p>
    <w:p w:rsidR="00554D00" w:rsidRDefault="00554D00" w:rsidP="0077706A">
      <w:pPr>
        <w:spacing w:line="360" w:lineRule="auto"/>
        <w:ind w:firstLine="720"/>
        <w:rPr>
          <w:sz w:val="26"/>
          <w:szCs w:val="26"/>
        </w:rPr>
      </w:pPr>
    </w:p>
    <w:p w:rsidR="00554D00" w:rsidRPr="00D418B1" w:rsidRDefault="00AC2DFC" w:rsidP="0077706A">
      <w:pPr>
        <w:spacing w:line="360" w:lineRule="auto"/>
        <w:ind w:firstLine="720"/>
        <w:rPr>
          <w:sz w:val="26"/>
          <w:szCs w:val="26"/>
        </w:rPr>
      </w:pPr>
      <w:r>
        <w:rPr>
          <w:sz w:val="26"/>
          <w:szCs w:val="26"/>
        </w:rPr>
        <w:t xml:space="preserve">We </w:t>
      </w:r>
      <w:r w:rsidR="00F64F54">
        <w:rPr>
          <w:sz w:val="26"/>
          <w:szCs w:val="26"/>
        </w:rPr>
        <w:t xml:space="preserve">also </w:t>
      </w:r>
      <w:r>
        <w:rPr>
          <w:sz w:val="26"/>
          <w:szCs w:val="26"/>
        </w:rPr>
        <w:t xml:space="preserve">find persuasive </w:t>
      </w:r>
      <w:r w:rsidR="00554D00">
        <w:rPr>
          <w:sz w:val="26"/>
          <w:szCs w:val="26"/>
        </w:rPr>
        <w:t>RESA</w:t>
      </w:r>
      <w:r>
        <w:rPr>
          <w:sz w:val="26"/>
          <w:szCs w:val="26"/>
        </w:rPr>
        <w:t>’s comments that</w:t>
      </w:r>
      <w:r w:rsidR="00554D00">
        <w:rPr>
          <w:sz w:val="26"/>
          <w:szCs w:val="26"/>
        </w:rPr>
        <w:t xml:space="preserve"> provide empirical evidence comparing the FSR requirements in Pennsylvania </w:t>
      </w:r>
      <w:r w:rsidR="00A342DE">
        <w:rPr>
          <w:sz w:val="26"/>
          <w:szCs w:val="26"/>
        </w:rPr>
        <w:t xml:space="preserve">to other </w:t>
      </w:r>
      <w:r w:rsidR="00E772FC">
        <w:rPr>
          <w:sz w:val="26"/>
          <w:szCs w:val="26"/>
        </w:rPr>
        <w:t xml:space="preserve">restructured states </w:t>
      </w:r>
      <w:r w:rsidR="00554D00">
        <w:rPr>
          <w:sz w:val="26"/>
          <w:szCs w:val="26"/>
        </w:rPr>
        <w:t xml:space="preserve">to demonstrate that </w:t>
      </w:r>
      <w:r w:rsidR="00F82DD1">
        <w:rPr>
          <w:sz w:val="26"/>
          <w:szCs w:val="26"/>
        </w:rPr>
        <w:t>Pennsylvania’s</w:t>
      </w:r>
      <w:r w:rsidR="00577767">
        <w:rPr>
          <w:sz w:val="26"/>
          <w:szCs w:val="26"/>
        </w:rPr>
        <w:t xml:space="preserve"> adjusted </w:t>
      </w:r>
      <w:r w:rsidR="00F82DD1">
        <w:rPr>
          <w:sz w:val="26"/>
          <w:szCs w:val="26"/>
        </w:rPr>
        <w:t xml:space="preserve">FSRs </w:t>
      </w:r>
      <w:r w:rsidR="00577767">
        <w:rPr>
          <w:sz w:val="26"/>
          <w:szCs w:val="26"/>
        </w:rPr>
        <w:t>as a result of this Order will</w:t>
      </w:r>
      <w:r w:rsidR="00F82DD1">
        <w:rPr>
          <w:sz w:val="26"/>
          <w:szCs w:val="26"/>
        </w:rPr>
        <w:t xml:space="preserve"> </w:t>
      </w:r>
      <w:r w:rsidR="00554D00">
        <w:rPr>
          <w:sz w:val="26"/>
          <w:szCs w:val="26"/>
        </w:rPr>
        <w:t>still</w:t>
      </w:r>
      <w:r w:rsidR="00577767">
        <w:rPr>
          <w:sz w:val="26"/>
          <w:szCs w:val="26"/>
        </w:rPr>
        <w:t xml:space="preserve"> be</w:t>
      </w:r>
      <w:r w:rsidR="00554D00">
        <w:rPr>
          <w:sz w:val="26"/>
          <w:szCs w:val="26"/>
        </w:rPr>
        <w:t xml:space="preserve"> more stringent than FSRs</w:t>
      </w:r>
      <w:r w:rsidR="00D418B1">
        <w:rPr>
          <w:sz w:val="26"/>
          <w:szCs w:val="26"/>
        </w:rPr>
        <w:t xml:space="preserve"> in </w:t>
      </w:r>
      <w:r w:rsidR="00A342DE">
        <w:rPr>
          <w:sz w:val="26"/>
          <w:szCs w:val="26"/>
        </w:rPr>
        <w:t>those</w:t>
      </w:r>
      <w:r w:rsidR="00D418B1">
        <w:rPr>
          <w:sz w:val="26"/>
          <w:szCs w:val="26"/>
        </w:rPr>
        <w:t xml:space="preserve"> restructured states.  Comments at </w:t>
      </w:r>
      <w:r w:rsidR="00E772FC">
        <w:rPr>
          <w:sz w:val="26"/>
          <w:szCs w:val="26"/>
        </w:rPr>
        <w:t>9</w:t>
      </w:r>
      <w:r w:rsidR="00D418B1">
        <w:rPr>
          <w:sz w:val="26"/>
          <w:szCs w:val="26"/>
        </w:rPr>
        <w:t>-11.  RESA also provided a hypothetical example to demonstrate that</w:t>
      </w:r>
      <w:r w:rsidR="00554D00">
        <w:rPr>
          <w:sz w:val="26"/>
          <w:szCs w:val="26"/>
        </w:rPr>
        <w:t xml:space="preserve"> </w:t>
      </w:r>
      <w:r w:rsidR="00D418B1">
        <w:rPr>
          <w:sz w:val="26"/>
          <w:szCs w:val="26"/>
        </w:rPr>
        <w:t xml:space="preserve">the 5% reduction in security amount is more than sufficient to cover GRT liability for the current year.  </w:t>
      </w:r>
      <w:r w:rsidR="00D418B1">
        <w:rPr>
          <w:i/>
          <w:sz w:val="26"/>
          <w:szCs w:val="26"/>
        </w:rPr>
        <w:t>Id.</w:t>
      </w:r>
      <w:r w:rsidR="00D418B1">
        <w:rPr>
          <w:sz w:val="26"/>
          <w:szCs w:val="26"/>
        </w:rPr>
        <w:t xml:space="preserve"> at 6-7.  </w:t>
      </w:r>
      <w:r w:rsidR="00E772FC">
        <w:rPr>
          <w:sz w:val="26"/>
          <w:szCs w:val="26"/>
        </w:rPr>
        <w:t>Similarly, FES asserted that the 10% bond</w:t>
      </w:r>
      <w:r w:rsidR="00F64F54">
        <w:rPr>
          <w:sz w:val="26"/>
          <w:szCs w:val="26"/>
        </w:rPr>
        <w:t>ing</w:t>
      </w:r>
      <w:r w:rsidR="00E772FC">
        <w:rPr>
          <w:sz w:val="26"/>
          <w:szCs w:val="26"/>
        </w:rPr>
        <w:t xml:space="preserve"> requirement “far exceeds the potential credit risk the obligation is intended to cover [the GRT], and is much larger than bonding requirements of public utility commissions in other states.”  </w:t>
      </w:r>
      <w:proofErr w:type="gramStart"/>
      <w:r w:rsidR="00E772FC">
        <w:rPr>
          <w:sz w:val="26"/>
          <w:szCs w:val="26"/>
        </w:rPr>
        <w:t>Comments at 2.</w:t>
      </w:r>
      <w:proofErr w:type="gramEnd"/>
      <w:r w:rsidR="00F82DD1">
        <w:rPr>
          <w:sz w:val="26"/>
          <w:szCs w:val="26"/>
        </w:rPr>
        <w:t xml:space="preserve">  </w:t>
      </w:r>
    </w:p>
    <w:p w:rsidR="0032104C" w:rsidRDefault="0032104C" w:rsidP="0077706A">
      <w:pPr>
        <w:spacing w:line="360" w:lineRule="auto"/>
        <w:ind w:firstLine="720"/>
        <w:rPr>
          <w:sz w:val="26"/>
          <w:szCs w:val="26"/>
        </w:rPr>
      </w:pPr>
    </w:p>
    <w:p w:rsidR="00CB0B11" w:rsidRDefault="006F31BA" w:rsidP="0077706A">
      <w:pPr>
        <w:spacing w:line="360" w:lineRule="auto"/>
        <w:ind w:firstLine="720"/>
        <w:rPr>
          <w:sz w:val="26"/>
          <w:szCs w:val="26"/>
        </w:rPr>
      </w:pPr>
      <w:r>
        <w:rPr>
          <w:sz w:val="26"/>
          <w:szCs w:val="26"/>
        </w:rPr>
        <w:t>Therefore</w:t>
      </w:r>
      <w:r w:rsidR="00BB0DD7">
        <w:rPr>
          <w:sz w:val="26"/>
          <w:szCs w:val="26"/>
        </w:rPr>
        <w:t>, we find that</w:t>
      </w:r>
      <w:r w:rsidR="009050AC">
        <w:rPr>
          <w:sz w:val="26"/>
          <w:szCs w:val="26"/>
        </w:rPr>
        <w:t>, after the first year of EGS operation,</w:t>
      </w:r>
      <w:r w:rsidR="00BB0DD7">
        <w:rPr>
          <w:sz w:val="26"/>
          <w:szCs w:val="26"/>
        </w:rPr>
        <w:t xml:space="preserve"> </w:t>
      </w:r>
      <w:r w:rsidR="00BB3312">
        <w:rPr>
          <w:sz w:val="26"/>
          <w:szCs w:val="26"/>
        </w:rPr>
        <w:t>a security level of</w:t>
      </w:r>
      <w:r w:rsidR="00AD0A28">
        <w:rPr>
          <w:sz w:val="26"/>
          <w:szCs w:val="26"/>
        </w:rPr>
        <w:t xml:space="preserve"> 5% of </w:t>
      </w:r>
      <w:r w:rsidR="0023790B">
        <w:rPr>
          <w:sz w:val="26"/>
          <w:szCs w:val="26"/>
        </w:rPr>
        <w:t xml:space="preserve">an EGS’s most recent 12 months of </w:t>
      </w:r>
      <w:r w:rsidR="00AD0A28">
        <w:rPr>
          <w:sz w:val="26"/>
          <w:szCs w:val="26"/>
        </w:rPr>
        <w:t>re</w:t>
      </w:r>
      <w:r w:rsidR="00F44740">
        <w:rPr>
          <w:sz w:val="26"/>
          <w:szCs w:val="26"/>
        </w:rPr>
        <w:t>venue</w:t>
      </w:r>
      <w:r w:rsidR="00BB0DD7">
        <w:rPr>
          <w:sz w:val="26"/>
          <w:szCs w:val="26"/>
        </w:rPr>
        <w:t xml:space="preserve"> </w:t>
      </w:r>
      <w:r w:rsidR="0023790B">
        <w:rPr>
          <w:sz w:val="26"/>
          <w:szCs w:val="26"/>
        </w:rPr>
        <w:t>or $250,000, whichever is higher,</w:t>
      </w:r>
      <w:r w:rsidR="0077706A">
        <w:rPr>
          <w:sz w:val="26"/>
          <w:szCs w:val="26"/>
        </w:rPr>
        <w:t xml:space="preserve"> </w:t>
      </w:r>
      <w:r w:rsidR="00E51B82">
        <w:rPr>
          <w:sz w:val="26"/>
          <w:szCs w:val="26"/>
        </w:rPr>
        <w:t>i</w:t>
      </w:r>
      <w:r w:rsidR="00BB3312">
        <w:rPr>
          <w:sz w:val="26"/>
          <w:szCs w:val="26"/>
        </w:rPr>
        <w:t>s adequate to meet the intended risks in most circumstances</w:t>
      </w:r>
      <w:r w:rsidR="0077706A">
        <w:rPr>
          <w:sz w:val="26"/>
          <w:szCs w:val="26"/>
        </w:rPr>
        <w:t xml:space="preserve">.  </w:t>
      </w:r>
      <w:r w:rsidR="003C15AE">
        <w:rPr>
          <w:sz w:val="26"/>
          <w:szCs w:val="26"/>
        </w:rPr>
        <w:t>Therefore,</w:t>
      </w:r>
      <w:r w:rsidR="004D0DB3">
        <w:rPr>
          <w:sz w:val="26"/>
          <w:szCs w:val="26"/>
        </w:rPr>
        <w:t xml:space="preserve"> we</w:t>
      </w:r>
      <w:r w:rsidR="00B102F1">
        <w:rPr>
          <w:sz w:val="26"/>
          <w:szCs w:val="26"/>
        </w:rPr>
        <w:t xml:space="preserve"> </w:t>
      </w:r>
      <w:r w:rsidR="00BB0DD7">
        <w:rPr>
          <w:sz w:val="26"/>
          <w:szCs w:val="26"/>
        </w:rPr>
        <w:t xml:space="preserve">announce </w:t>
      </w:r>
      <w:r w:rsidR="004D0DB3">
        <w:rPr>
          <w:sz w:val="26"/>
          <w:szCs w:val="26"/>
        </w:rPr>
        <w:t>our</w:t>
      </w:r>
      <w:r w:rsidR="00BB0DD7">
        <w:rPr>
          <w:sz w:val="26"/>
          <w:szCs w:val="26"/>
        </w:rPr>
        <w:t xml:space="preserve"> </w:t>
      </w:r>
      <w:r w:rsidR="004D0DB3">
        <w:rPr>
          <w:sz w:val="26"/>
          <w:szCs w:val="26"/>
        </w:rPr>
        <w:t xml:space="preserve">new </w:t>
      </w:r>
      <w:r w:rsidR="00BB0DD7">
        <w:rPr>
          <w:sz w:val="26"/>
          <w:szCs w:val="26"/>
        </w:rPr>
        <w:t xml:space="preserve">policy </w:t>
      </w:r>
      <w:r w:rsidR="00BB3312">
        <w:rPr>
          <w:sz w:val="26"/>
          <w:szCs w:val="26"/>
        </w:rPr>
        <w:t>that</w:t>
      </w:r>
      <w:r w:rsidR="008900D2">
        <w:rPr>
          <w:sz w:val="26"/>
          <w:szCs w:val="26"/>
        </w:rPr>
        <w:t xml:space="preserve"> the bond or security for </w:t>
      </w:r>
      <w:r w:rsidR="009050AC">
        <w:rPr>
          <w:sz w:val="26"/>
          <w:szCs w:val="26"/>
        </w:rPr>
        <w:t xml:space="preserve">an </w:t>
      </w:r>
      <w:r w:rsidR="00BA2100">
        <w:rPr>
          <w:sz w:val="26"/>
          <w:szCs w:val="26"/>
        </w:rPr>
        <w:t xml:space="preserve">EGS </w:t>
      </w:r>
      <w:r w:rsidR="009050AC">
        <w:rPr>
          <w:sz w:val="26"/>
          <w:szCs w:val="26"/>
        </w:rPr>
        <w:t xml:space="preserve">after the first year of </w:t>
      </w:r>
      <w:r w:rsidR="00BA2100">
        <w:rPr>
          <w:sz w:val="26"/>
          <w:szCs w:val="26"/>
        </w:rPr>
        <w:t>operation should be</w:t>
      </w:r>
      <w:r w:rsidR="00E51B82">
        <w:rPr>
          <w:sz w:val="26"/>
          <w:szCs w:val="26"/>
        </w:rPr>
        <w:t xml:space="preserve"> </w:t>
      </w:r>
      <w:r w:rsidR="00E51B82">
        <w:rPr>
          <w:sz w:val="26"/>
          <w:szCs w:val="26"/>
        </w:rPr>
        <w:lastRenderedPageBreak/>
        <w:t>in the amount of</w:t>
      </w:r>
      <w:r w:rsidR="00BA2100">
        <w:rPr>
          <w:sz w:val="26"/>
          <w:szCs w:val="26"/>
        </w:rPr>
        <w:t xml:space="preserve"> </w:t>
      </w:r>
      <w:r w:rsidR="008900D2">
        <w:rPr>
          <w:sz w:val="26"/>
          <w:szCs w:val="26"/>
        </w:rPr>
        <w:t xml:space="preserve">5% of the EGS’s </w:t>
      </w:r>
      <w:r w:rsidR="00F44740">
        <w:rPr>
          <w:sz w:val="26"/>
          <w:szCs w:val="26"/>
        </w:rPr>
        <w:t>most recent 12 months of revenue</w:t>
      </w:r>
      <w:r w:rsidR="00F44740">
        <w:rPr>
          <w:rStyle w:val="FootnoteReference"/>
          <w:sz w:val="26"/>
          <w:szCs w:val="26"/>
        </w:rPr>
        <w:footnoteReference w:id="5"/>
      </w:r>
      <w:r w:rsidR="00E51B82">
        <w:rPr>
          <w:sz w:val="26"/>
          <w:szCs w:val="26"/>
        </w:rPr>
        <w:t xml:space="preserve"> or $250,000</w:t>
      </w:r>
      <w:r w:rsidR="003C15AE">
        <w:rPr>
          <w:sz w:val="26"/>
          <w:szCs w:val="26"/>
        </w:rPr>
        <w:t>,</w:t>
      </w:r>
      <w:r w:rsidR="00520723">
        <w:rPr>
          <w:sz w:val="26"/>
          <w:szCs w:val="26"/>
        </w:rPr>
        <w:t xml:space="preserve"> </w:t>
      </w:r>
      <w:r w:rsidR="00E51B82">
        <w:rPr>
          <w:sz w:val="26"/>
          <w:szCs w:val="26"/>
        </w:rPr>
        <w:t xml:space="preserve">whichever is higher, </w:t>
      </w:r>
      <w:r w:rsidR="00520723">
        <w:rPr>
          <w:sz w:val="26"/>
          <w:szCs w:val="26"/>
        </w:rPr>
        <w:t xml:space="preserve">as we find that </w:t>
      </w:r>
      <w:r w:rsidR="00FB2D9A">
        <w:rPr>
          <w:sz w:val="26"/>
          <w:szCs w:val="26"/>
        </w:rPr>
        <w:t>this</w:t>
      </w:r>
      <w:r w:rsidR="00520723">
        <w:rPr>
          <w:sz w:val="26"/>
          <w:szCs w:val="26"/>
        </w:rPr>
        <w:t xml:space="preserve"> bonding</w:t>
      </w:r>
      <w:r w:rsidR="00EF1747">
        <w:rPr>
          <w:sz w:val="26"/>
          <w:szCs w:val="26"/>
        </w:rPr>
        <w:t>/security</w:t>
      </w:r>
      <w:r w:rsidR="00520723">
        <w:rPr>
          <w:sz w:val="26"/>
          <w:szCs w:val="26"/>
        </w:rPr>
        <w:t xml:space="preserve"> </w:t>
      </w:r>
      <w:r w:rsidR="005D0012">
        <w:rPr>
          <w:sz w:val="26"/>
          <w:szCs w:val="26"/>
        </w:rPr>
        <w:t>amount</w:t>
      </w:r>
      <w:r w:rsidR="00520723">
        <w:rPr>
          <w:sz w:val="26"/>
          <w:szCs w:val="26"/>
        </w:rPr>
        <w:t xml:space="preserve"> is </w:t>
      </w:r>
      <w:r w:rsidR="00FB2D9A">
        <w:rPr>
          <w:sz w:val="26"/>
          <w:szCs w:val="26"/>
        </w:rPr>
        <w:t>commensurate</w:t>
      </w:r>
      <w:r w:rsidR="00520723">
        <w:rPr>
          <w:sz w:val="26"/>
          <w:szCs w:val="26"/>
        </w:rPr>
        <w:t xml:space="preserve"> with the nature and scope of a typical EGS’s operations</w:t>
      </w:r>
      <w:r w:rsidR="00BB0DD7">
        <w:rPr>
          <w:sz w:val="26"/>
          <w:szCs w:val="26"/>
        </w:rPr>
        <w:t>.</w:t>
      </w:r>
      <w:r w:rsidR="00FB2D9A">
        <w:rPr>
          <w:sz w:val="26"/>
          <w:szCs w:val="26"/>
        </w:rPr>
        <w:t xml:space="preserve">  </w:t>
      </w:r>
      <w:r w:rsidR="00FB2D9A">
        <w:rPr>
          <w:i/>
          <w:sz w:val="26"/>
          <w:szCs w:val="26"/>
        </w:rPr>
        <w:t xml:space="preserve">See </w:t>
      </w:r>
      <w:r w:rsidR="00FB2D9A">
        <w:rPr>
          <w:sz w:val="26"/>
          <w:szCs w:val="26"/>
        </w:rPr>
        <w:t>52 Pa. Code § 54.40(d).</w:t>
      </w:r>
      <w:r w:rsidR="00F64F54">
        <w:rPr>
          <w:sz w:val="26"/>
          <w:szCs w:val="26"/>
        </w:rPr>
        <w:t xml:space="preserve">  </w:t>
      </w:r>
      <w:r w:rsidR="00CB0B11">
        <w:rPr>
          <w:sz w:val="26"/>
          <w:szCs w:val="26"/>
        </w:rPr>
        <w:t>Accordingly, it shall be the policy of the Commission to a</w:t>
      </w:r>
      <w:r>
        <w:rPr>
          <w:sz w:val="26"/>
          <w:szCs w:val="26"/>
        </w:rPr>
        <w:t>ccept</w:t>
      </w:r>
      <w:r w:rsidR="00CB0B11">
        <w:rPr>
          <w:sz w:val="26"/>
          <w:szCs w:val="26"/>
        </w:rPr>
        <w:t xml:space="preserve"> a</w:t>
      </w:r>
      <w:r>
        <w:rPr>
          <w:sz w:val="26"/>
          <w:szCs w:val="26"/>
        </w:rPr>
        <w:t xml:space="preserve"> </w:t>
      </w:r>
      <w:r w:rsidR="00CB0B11">
        <w:rPr>
          <w:sz w:val="26"/>
          <w:szCs w:val="26"/>
        </w:rPr>
        <w:t xml:space="preserve">request by an EGS to reduce its level of </w:t>
      </w:r>
      <w:r w:rsidR="00044E24">
        <w:rPr>
          <w:sz w:val="26"/>
          <w:szCs w:val="26"/>
        </w:rPr>
        <w:t>security</w:t>
      </w:r>
      <w:r w:rsidR="00CB0B11">
        <w:rPr>
          <w:sz w:val="26"/>
          <w:szCs w:val="26"/>
        </w:rPr>
        <w:t xml:space="preserve"> </w:t>
      </w:r>
      <w:r w:rsidR="009050AC">
        <w:rPr>
          <w:sz w:val="26"/>
          <w:szCs w:val="26"/>
        </w:rPr>
        <w:t xml:space="preserve">after </w:t>
      </w:r>
      <w:r w:rsidR="00CB0B11">
        <w:rPr>
          <w:sz w:val="26"/>
          <w:szCs w:val="26"/>
        </w:rPr>
        <w:t>the first year of operation</w:t>
      </w:r>
      <w:r>
        <w:rPr>
          <w:sz w:val="26"/>
          <w:szCs w:val="26"/>
        </w:rPr>
        <w:t>,</w:t>
      </w:r>
      <w:r w:rsidR="00E51B82">
        <w:rPr>
          <w:sz w:val="26"/>
          <w:szCs w:val="26"/>
        </w:rPr>
        <w:t xml:space="preserve"> </w:t>
      </w:r>
      <w:r>
        <w:rPr>
          <w:sz w:val="26"/>
          <w:szCs w:val="26"/>
        </w:rPr>
        <w:t>consistent with</w:t>
      </w:r>
      <w:r w:rsidR="00E51B82">
        <w:rPr>
          <w:sz w:val="26"/>
          <w:szCs w:val="26"/>
        </w:rPr>
        <w:t xml:space="preserve"> this Final Order</w:t>
      </w:r>
      <w:r w:rsidR="00732C81">
        <w:rPr>
          <w:sz w:val="26"/>
          <w:szCs w:val="26"/>
        </w:rPr>
        <w:t xml:space="preserve">, </w:t>
      </w:r>
      <w:r>
        <w:rPr>
          <w:sz w:val="26"/>
          <w:szCs w:val="26"/>
        </w:rPr>
        <w:t>the Public Utility Code</w:t>
      </w:r>
      <w:r w:rsidR="00732C81">
        <w:rPr>
          <w:sz w:val="26"/>
          <w:szCs w:val="26"/>
        </w:rPr>
        <w:t>,</w:t>
      </w:r>
      <w:r>
        <w:rPr>
          <w:sz w:val="26"/>
          <w:szCs w:val="26"/>
        </w:rPr>
        <w:t xml:space="preserve"> and our regulations</w:t>
      </w:r>
      <w:r w:rsidR="00E51B82">
        <w:rPr>
          <w:sz w:val="26"/>
          <w:szCs w:val="26"/>
        </w:rPr>
        <w:t>.</w:t>
      </w:r>
      <w:r>
        <w:rPr>
          <w:sz w:val="26"/>
          <w:szCs w:val="26"/>
        </w:rPr>
        <w:t xml:space="preserve">   </w:t>
      </w:r>
    </w:p>
    <w:p w:rsidR="0077706A" w:rsidRDefault="0077706A" w:rsidP="000C07DE">
      <w:pPr>
        <w:spacing w:line="360" w:lineRule="auto"/>
        <w:rPr>
          <w:sz w:val="26"/>
          <w:szCs w:val="26"/>
        </w:rPr>
      </w:pPr>
    </w:p>
    <w:p w:rsidR="0032104C" w:rsidRPr="0032104C" w:rsidRDefault="0032104C" w:rsidP="0032104C">
      <w:pPr>
        <w:spacing w:line="360" w:lineRule="auto"/>
        <w:rPr>
          <w:sz w:val="26"/>
          <w:szCs w:val="26"/>
          <w:u w:val="single"/>
        </w:rPr>
      </w:pPr>
      <w:r>
        <w:rPr>
          <w:sz w:val="26"/>
          <w:szCs w:val="26"/>
          <w:u w:val="single"/>
        </w:rPr>
        <w:t xml:space="preserve">The Commission’s Process </w:t>
      </w:r>
      <w:r w:rsidR="00A342DE">
        <w:rPr>
          <w:sz w:val="26"/>
          <w:szCs w:val="26"/>
          <w:u w:val="single"/>
        </w:rPr>
        <w:t>for Allowing</w:t>
      </w:r>
      <w:r>
        <w:rPr>
          <w:sz w:val="26"/>
          <w:szCs w:val="26"/>
          <w:u w:val="single"/>
        </w:rPr>
        <w:t xml:space="preserve"> the Reduction in Bonding/Security</w:t>
      </w:r>
    </w:p>
    <w:p w:rsidR="00971B65" w:rsidRDefault="007D70A0" w:rsidP="00971B65">
      <w:pPr>
        <w:spacing w:line="360" w:lineRule="auto"/>
        <w:ind w:firstLine="720"/>
        <w:rPr>
          <w:sz w:val="26"/>
          <w:szCs w:val="26"/>
        </w:rPr>
      </w:pPr>
      <w:r>
        <w:rPr>
          <w:sz w:val="26"/>
          <w:szCs w:val="26"/>
        </w:rPr>
        <w:t>Regarding</w:t>
      </w:r>
      <w:r w:rsidR="004D0DB3">
        <w:rPr>
          <w:sz w:val="26"/>
          <w:szCs w:val="26"/>
        </w:rPr>
        <w:t xml:space="preserve"> the issue o</w:t>
      </w:r>
      <w:r>
        <w:rPr>
          <w:sz w:val="26"/>
          <w:szCs w:val="26"/>
        </w:rPr>
        <w:t>f</w:t>
      </w:r>
      <w:r w:rsidR="004D0DB3">
        <w:rPr>
          <w:sz w:val="26"/>
          <w:szCs w:val="26"/>
        </w:rPr>
        <w:t xml:space="preserve"> whether a rulemaking is necessary to implement these changes, we appreciate the comments submitted by RESA, the OCA, DLE, and FES, all of whom agreed that the Commission could immediately implement these changes under the current regulation.  </w:t>
      </w:r>
      <w:r w:rsidR="004D0DB3">
        <w:rPr>
          <w:i/>
          <w:sz w:val="26"/>
          <w:szCs w:val="26"/>
        </w:rPr>
        <w:t>See</w:t>
      </w:r>
      <w:r w:rsidR="004D0DB3" w:rsidRPr="00A112FE">
        <w:rPr>
          <w:sz w:val="26"/>
          <w:szCs w:val="26"/>
        </w:rPr>
        <w:t xml:space="preserve"> </w:t>
      </w:r>
      <w:r w:rsidR="004D0DB3">
        <w:rPr>
          <w:sz w:val="26"/>
          <w:szCs w:val="26"/>
        </w:rPr>
        <w:t xml:space="preserve">FES Comments at 4, RESA Comments at 15-16, OCA Comments at 5, DLE Comments at 3. </w:t>
      </w:r>
      <w:r w:rsidR="000C7796">
        <w:rPr>
          <w:sz w:val="26"/>
          <w:szCs w:val="26"/>
        </w:rPr>
        <w:t xml:space="preserve"> However, DLE, the OCA, and FES believe that the Commission must soon implement a rulemaking to permanently effectuate these changes since</w:t>
      </w:r>
      <w:r w:rsidR="005D0012">
        <w:rPr>
          <w:sz w:val="26"/>
          <w:szCs w:val="26"/>
        </w:rPr>
        <w:t xml:space="preserve"> current</w:t>
      </w:r>
      <w:r w:rsidR="000C7796">
        <w:rPr>
          <w:sz w:val="26"/>
          <w:szCs w:val="26"/>
        </w:rPr>
        <w:t xml:space="preserve"> Commission regulations</w:t>
      </w:r>
      <w:r w:rsidR="00AD0A28">
        <w:rPr>
          <w:sz w:val="26"/>
          <w:szCs w:val="26"/>
        </w:rPr>
        <w:t xml:space="preserve"> provide for a 10% security requirement</w:t>
      </w:r>
      <w:r w:rsidR="00911471">
        <w:rPr>
          <w:sz w:val="26"/>
          <w:szCs w:val="26"/>
        </w:rPr>
        <w:t>.</w:t>
      </w:r>
      <w:r w:rsidR="000C7796">
        <w:rPr>
          <w:sz w:val="26"/>
          <w:szCs w:val="26"/>
        </w:rPr>
        <w:t xml:space="preserve">  </w:t>
      </w:r>
      <w:r w:rsidR="000C7796">
        <w:rPr>
          <w:i/>
          <w:sz w:val="26"/>
          <w:szCs w:val="26"/>
        </w:rPr>
        <w:t>See</w:t>
      </w:r>
      <w:r w:rsidR="000C7796">
        <w:rPr>
          <w:sz w:val="26"/>
          <w:szCs w:val="26"/>
        </w:rPr>
        <w:t xml:space="preserve"> DLE Comments at 2-3, OCA Comments at 5-6, FES Comments at 4-5. </w:t>
      </w:r>
      <w:r w:rsidR="001D3BE1">
        <w:rPr>
          <w:sz w:val="26"/>
          <w:szCs w:val="26"/>
        </w:rPr>
        <w:t xml:space="preserve"> RESA also asked the Commission to “adopt a timely and administratively efficient process for modifying each EGS’s financial security requirements” consistent with the Commission’s final determination in this proceeding.  </w:t>
      </w:r>
      <w:r w:rsidR="003C15AE">
        <w:rPr>
          <w:i/>
          <w:sz w:val="26"/>
          <w:szCs w:val="26"/>
        </w:rPr>
        <w:t xml:space="preserve">See </w:t>
      </w:r>
      <w:r w:rsidR="001D3BE1">
        <w:rPr>
          <w:sz w:val="26"/>
          <w:szCs w:val="26"/>
        </w:rPr>
        <w:t xml:space="preserve">Comments at 18.  </w:t>
      </w:r>
    </w:p>
    <w:p w:rsidR="00971B65" w:rsidRDefault="00971B65" w:rsidP="00971B65">
      <w:pPr>
        <w:spacing w:line="360" w:lineRule="auto"/>
        <w:ind w:firstLine="720"/>
        <w:rPr>
          <w:sz w:val="26"/>
          <w:szCs w:val="26"/>
        </w:rPr>
      </w:pPr>
    </w:p>
    <w:p w:rsidR="00FB2D9A" w:rsidRDefault="001D3BE1" w:rsidP="00FB2D9A">
      <w:pPr>
        <w:spacing w:line="360" w:lineRule="auto"/>
        <w:ind w:firstLine="720"/>
        <w:rPr>
          <w:sz w:val="26"/>
          <w:szCs w:val="26"/>
        </w:rPr>
      </w:pPr>
      <w:r>
        <w:rPr>
          <w:sz w:val="26"/>
          <w:szCs w:val="26"/>
        </w:rPr>
        <w:t>As to our authority</w:t>
      </w:r>
      <w:r w:rsidR="005D0012">
        <w:rPr>
          <w:sz w:val="26"/>
          <w:szCs w:val="26"/>
        </w:rPr>
        <w:t xml:space="preserve"> to implement these changes</w:t>
      </w:r>
      <w:r>
        <w:rPr>
          <w:sz w:val="26"/>
          <w:szCs w:val="26"/>
        </w:rPr>
        <w:t xml:space="preserve">, we recognize that authorized regulations of an agency have the force of law and bind not only the regulated community, but the agency as well.  </w:t>
      </w:r>
      <w:r>
        <w:rPr>
          <w:i/>
          <w:sz w:val="26"/>
          <w:szCs w:val="26"/>
        </w:rPr>
        <w:t xml:space="preserve">See </w:t>
      </w:r>
      <w:proofErr w:type="spellStart"/>
      <w:r>
        <w:rPr>
          <w:i/>
          <w:sz w:val="26"/>
          <w:szCs w:val="26"/>
        </w:rPr>
        <w:t>Herdelin</w:t>
      </w:r>
      <w:proofErr w:type="spellEnd"/>
      <w:r>
        <w:rPr>
          <w:i/>
          <w:sz w:val="26"/>
          <w:szCs w:val="26"/>
        </w:rPr>
        <w:t xml:space="preserve"> v. Greenberg</w:t>
      </w:r>
      <w:r>
        <w:rPr>
          <w:sz w:val="26"/>
          <w:szCs w:val="26"/>
        </w:rPr>
        <w:t xml:space="preserve">, </w:t>
      </w:r>
      <w:proofErr w:type="gramStart"/>
      <w:r>
        <w:rPr>
          <w:sz w:val="26"/>
          <w:szCs w:val="26"/>
        </w:rPr>
        <w:t>3</w:t>
      </w:r>
      <w:r w:rsidR="00FF048B">
        <w:rPr>
          <w:sz w:val="26"/>
          <w:szCs w:val="26"/>
        </w:rPr>
        <w:t>28 A.2d 552, 554-5</w:t>
      </w:r>
      <w:proofErr w:type="gramEnd"/>
      <w:r w:rsidR="00FF048B">
        <w:rPr>
          <w:sz w:val="26"/>
          <w:szCs w:val="26"/>
        </w:rPr>
        <w:t xml:space="preserve"> (Pa. </w:t>
      </w:r>
      <w:proofErr w:type="spellStart"/>
      <w:r w:rsidR="00FF048B">
        <w:rPr>
          <w:sz w:val="26"/>
          <w:szCs w:val="26"/>
        </w:rPr>
        <w:t>Cmwlth</w:t>
      </w:r>
      <w:proofErr w:type="spellEnd"/>
      <w:r w:rsidR="00FF048B">
        <w:rPr>
          <w:sz w:val="26"/>
          <w:szCs w:val="26"/>
        </w:rPr>
        <w:t xml:space="preserve">. </w:t>
      </w:r>
      <w:r>
        <w:rPr>
          <w:sz w:val="26"/>
          <w:szCs w:val="26"/>
        </w:rPr>
        <w:t>1974).  Accordingly, we</w:t>
      </w:r>
      <w:r w:rsidR="003E3820">
        <w:rPr>
          <w:sz w:val="26"/>
          <w:szCs w:val="26"/>
        </w:rPr>
        <w:t xml:space="preserve"> </w:t>
      </w:r>
      <w:r w:rsidR="00996E91">
        <w:rPr>
          <w:sz w:val="26"/>
          <w:szCs w:val="26"/>
        </w:rPr>
        <w:t xml:space="preserve">are not </w:t>
      </w:r>
      <w:r>
        <w:rPr>
          <w:sz w:val="26"/>
          <w:szCs w:val="26"/>
        </w:rPr>
        <w:t>issu</w:t>
      </w:r>
      <w:r w:rsidR="003E3820">
        <w:rPr>
          <w:sz w:val="26"/>
          <w:szCs w:val="26"/>
        </w:rPr>
        <w:t>ing</w:t>
      </w:r>
      <w:r>
        <w:rPr>
          <w:sz w:val="26"/>
          <w:szCs w:val="26"/>
        </w:rPr>
        <w:t xml:space="preserve"> a blanket waiver of </w:t>
      </w:r>
      <w:r w:rsidR="007D70A0">
        <w:rPr>
          <w:sz w:val="26"/>
          <w:szCs w:val="26"/>
        </w:rPr>
        <w:t xml:space="preserve">our </w:t>
      </w:r>
      <w:r>
        <w:rPr>
          <w:sz w:val="26"/>
          <w:szCs w:val="26"/>
        </w:rPr>
        <w:t>regulations to substitute</w:t>
      </w:r>
      <w:r w:rsidR="003E3820">
        <w:rPr>
          <w:sz w:val="26"/>
          <w:szCs w:val="26"/>
        </w:rPr>
        <w:t xml:space="preserve"> 5% </w:t>
      </w:r>
      <w:r w:rsidR="00996E91">
        <w:rPr>
          <w:sz w:val="26"/>
          <w:szCs w:val="26"/>
        </w:rPr>
        <w:t xml:space="preserve">for 10% </w:t>
      </w:r>
      <w:r w:rsidR="003E3820">
        <w:rPr>
          <w:sz w:val="26"/>
          <w:szCs w:val="26"/>
        </w:rPr>
        <w:t>into the regulatory language</w:t>
      </w:r>
      <w:r>
        <w:rPr>
          <w:sz w:val="26"/>
          <w:szCs w:val="26"/>
        </w:rPr>
        <w:t xml:space="preserve"> </w:t>
      </w:r>
      <w:r w:rsidR="00996E91">
        <w:rPr>
          <w:sz w:val="26"/>
          <w:szCs w:val="26"/>
        </w:rPr>
        <w:t xml:space="preserve">that states </w:t>
      </w:r>
      <w:r w:rsidR="00971B65">
        <w:rPr>
          <w:sz w:val="26"/>
          <w:szCs w:val="26"/>
        </w:rPr>
        <w:t xml:space="preserve">the </w:t>
      </w:r>
      <w:r w:rsidR="00996E91">
        <w:rPr>
          <w:sz w:val="26"/>
          <w:szCs w:val="26"/>
        </w:rPr>
        <w:t xml:space="preserve">“security level will </w:t>
      </w:r>
      <w:r w:rsidR="00996E91">
        <w:rPr>
          <w:sz w:val="26"/>
          <w:szCs w:val="26"/>
        </w:rPr>
        <w:lastRenderedPageBreak/>
        <w:t>be 10% of the licensee’s reported gross receipts</w:t>
      </w:r>
      <w:r>
        <w:rPr>
          <w:sz w:val="26"/>
          <w:szCs w:val="26"/>
        </w:rPr>
        <w:t>.”</w:t>
      </w:r>
      <w:r w:rsidR="00996E91">
        <w:rPr>
          <w:sz w:val="26"/>
          <w:szCs w:val="26"/>
        </w:rPr>
        <w:t xml:space="preserve">  </w:t>
      </w:r>
      <w:r w:rsidR="00996E91">
        <w:rPr>
          <w:i/>
          <w:sz w:val="26"/>
          <w:szCs w:val="26"/>
        </w:rPr>
        <w:t>See</w:t>
      </w:r>
      <w:r w:rsidR="00996E91">
        <w:rPr>
          <w:sz w:val="26"/>
          <w:szCs w:val="26"/>
        </w:rPr>
        <w:t xml:space="preserve"> 52 Pa. Code § 54.40(d).</w:t>
      </w:r>
      <w:r>
        <w:rPr>
          <w:sz w:val="26"/>
          <w:szCs w:val="26"/>
        </w:rPr>
        <w:t xml:space="preserve"> </w:t>
      </w:r>
      <w:r w:rsidR="00996E91">
        <w:rPr>
          <w:sz w:val="26"/>
          <w:szCs w:val="26"/>
        </w:rPr>
        <w:t xml:space="preserve"> Rather</w:t>
      </w:r>
      <w:r>
        <w:rPr>
          <w:sz w:val="26"/>
          <w:szCs w:val="26"/>
        </w:rPr>
        <w:t xml:space="preserve">, </w:t>
      </w:r>
      <w:r w:rsidR="00996E91">
        <w:rPr>
          <w:sz w:val="26"/>
          <w:szCs w:val="26"/>
        </w:rPr>
        <w:t xml:space="preserve">we issue this Final Order pursuant to our </w:t>
      </w:r>
      <w:r>
        <w:rPr>
          <w:sz w:val="26"/>
          <w:szCs w:val="26"/>
        </w:rPr>
        <w:t>discretion</w:t>
      </w:r>
      <w:r w:rsidR="00996E91">
        <w:rPr>
          <w:sz w:val="26"/>
          <w:szCs w:val="26"/>
        </w:rPr>
        <w:t xml:space="preserve">ary </w:t>
      </w:r>
      <w:r>
        <w:rPr>
          <w:sz w:val="26"/>
          <w:szCs w:val="26"/>
        </w:rPr>
        <w:t>authority under the Public Utility Code</w:t>
      </w:r>
      <w:r w:rsidR="005D0012">
        <w:rPr>
          <w:sz w:val="26"/>
          <w:szCs w:val="26"/>
        </w:rPr>
        <w:t xml:space="preserve"> to approve a form and amount as determined by the Commission</w:t>
      </w:r>
      <w:r>
        <w:rPr>
          <w:sz w:val="26"/>
          <w:szCs w:val="26"/>
        </w:rPr>
        <w:t xml:space="preserve"> and our current regulations t</w:t>
      </w:r>
      <w:r w:rsidR="00996E91">
        <w:rPr>
          <w:sz w:val="26"/>
          <w:szCs w:val="26"/>
        </w:rPr>
        <w:t>hat allow an EGS to seek an alternative level of bonding</w:t>
      </w:r>
      <w:r w:rsidR="00044E24">
        <w:rPr>
          <w:sz w:val="26"/>
          <w:szCs w:val="26"/>
        </w:rPr>
        <w:t>/security</w:t>
      </w:r>
      <w:r w:rsidR="00C9720C">
        <w:rPr>
          <w:sz w:val="26"/>
          <w:szCs w:val="26"/>
        </w:rPr>
        <w:t xml:space="preserve"> commensurate with its nature and scope of operations</w:t>
      </w:r>
      <w:r w:rsidR="00996E91">
        <w:rPr>
          <w:sz w:val="26"/>
          <w:szCs w:val="26"/>
        </w:rPr>
        <w:t xml:space="preserve"> and for us to accept that alternative level. </w:t>
      </w:r>
      <w:r w:rsidR="003E3820">
        <w:rPr>
          <w:sz w:val="26"/>
          <w:szCs w:val="26"/>
        </w:rPr>
        <w:t xml:space="preserve"> </w:t>
      </w:r>
      <w:r w:rsidR="003E3820">
        <w:rPr>
          <w:i/>
          <w:sz w:val="26"/>
          <w:szCs w:val="26"/>
        </w:rPr>
        <w:t>See</w:t>
      </w:r>
      <w:r w:rsidR="003E3820">
        <w:rPr>
          <w:sz w:val="26"/>
          <w:szCs w:val="26"/>
        </w:rPr>
        <w:t xml:space="preserve"> 66 Pa. C.S. § 2809(c); 52 Pa. Code</w:t>
      </w:r>
      <w:r w:rsidR="00FF048B">
        <w:rPr>
          <w:sz w:val="26"/>
          <w:szCs w:val="26"/>
        </w:rPr>
        <w:t xml:space="preserve"> §</w:t>
      </w:r>
      <w:r w:rsidR="003E3820">
        <w:rPr>
          <w:sz w:val="26"/>
          <w:szCs w:val="26"/>
        </w:rPr>
        <w:t xml:space="preserve"> 54.40(d).</w:t>
      </w:r>
      <w:r w:rsidR="00996E91">
        <w:rPr>
          <w:sz w:val="26"/>
          <w:szCs w:val="26"/>
        </w:rPr>
        <w:t xml:space="preserve">  </w:t>
      </w:r>
      <w:r w:rsidR="004D2140">
        <w:rPr>
          <w:sz w:val="26"/>
          <w:szCs w:val="26"/>
        </w:rPr>
        <w:t>Thus</w:t>
      </w:r>
      <w:r w:rsidR="00996E91">
        <w:rPr>
          <w:sz w:val="26"/>
          <w:szCs w:val="26"/>
        </w:rPr>
        <w:t xml:space="preserve">, </w:t>
      </w:r>
      <w:r w:rsidR="004D2140">
        <w:rPr>
          <w:sz w:val="26"/>
          <w:szCs w:val="26"/>
        </w:rPr>
        <w:t xml:space="preserve">upon the effective date of </w:t>
      </w:r>
      <w:r w:rsidR="00996E91">
        <w:rPr>
          <w:sz w:val="26"/>
          <w:szCs w:val="26"/>
        </w:rPr>
        <w:t xml:space="preserve">this Final Order, we </w:t>
      </w:r>
      <w:r w:rsidR="004D2140">
        <w:rPr>
          <w:sz w:val="26"/>
          <w:szCs w:val="26"/>
        </w:rPr>
        <w:t>will</w:t>
      </w:r>
      <w:r w:rsidR="00971B65">
        <w:rPr>
          <w:sz w:val="26"/>
          <w:szCs w:val="26"/>
        </w:rPr>
        <w:t xml:space="preserve"> accept a bond/security sought by an EGS</w:t>
      </w:r>
      <w:r w:rsidR="00A43049">
        <w:rPr>
          <w:sz w:val="26"/>
          <w:szCs w:val="26"/>
        </w:rPr>
        <w:t xml:space="preserve"> for subsequent years </w:t>
      </w:r>
      <w:r w:rsidR="007A5E5D">
        <w:rPr>
          <w:sz w:val="26"/>
          <w:szCs w:val="26"/>
        </w:rPr>
        <w:t xml:space="preserve">of </w:t>
      </w:r>
      <w:r w:rsidR="00A43049">
        <w:rPr>
          <w:sz w:val="26"/>
          <w:szCs w:val="26"/>
        </w:rPr>
        <w:t>operation</w:t>
      </w:r>
      <w:r w:rsidR="00996E91">
        <w:rPr>
          <w:sz w:val="26"/>
          <w:szCs w:val="26"/>
        </w:rPr>
        <w:t xml:space="preserve"> at a level of 5% of </w:t>
      </w:r>
      <w:r w:rsidR="00A43049">
        <w:rPr>
          <w:sz w:val="26"/>
          <w:szCs w:val="26"/>
        </w:rPr>
        <w:t>the</w:t>
      </w:r>
      <w:r w:rsidR="00996E91">
        <w:rPr>
          <w:sz w:val="26"/>
          <w:szCs w:val="26"/>
        </w:rPr>
        <w:t xml:space="preserve"> EGS’s </w:t>
      </w:r>
      <w:r w:rsidR="00F64F54">
        <w:rPr>
          <w:sz w:val="26"/>
          <w:szCs w:val="26"/>
        </w:rPr>
        <w:t>most recent 12 months of revenue</w:t>
      </w:r>
      <w:r w:rsidR="00FE21BD">
        <w:rPr>
          <w:sz w:val="26"/>
          <w:szCs w:val="26"/>
        </w:rPr>
        <w:t xml:space="preserve"> or $250,000, whichever is higher,</w:t>
      </w:r>
      <w:r w:rsidR="004D2140">
        <w:rPr>
          <w:sz w:val="26"/>
          <w:szCs w:val="26"/>
        </w:rPr>
        <w:t xml:space="preserve"> so long as the </w:t>
      </w:r>
      <w:r w:rsidR="005B0AE4">
        <w:rPr>
          <w:sz w:val="26"/>
          <w:szCs w:val="26"/>
        </w:rPr>
        <w:t xml:space="preserve">revised </w:t>
      </w:r>
      <w:r w:rsidR="004D2140">
        <w:rPr>
          <w:sz w:val="26"/>
          <w:szCs w:val="26"/>
        </w:rPr>
        <w:t>bond</w:t>
      </w:r>
      <w:r w:rsidR="00971B65">
        <w:rPr>
          <w:sz w:val="26"/>
          <w:szCs w:val="26"/>
        </w:rPr>
        <w:t>/security</w:t>
      </w:r>
      <w:r w:rsidR="004D2140">
        <w:rPr>
          <w:sz w:val="26"/>
          <w:szCs w:val="26"/>
        </w:rPr>
        <w:t xml:space="preserve"> still meets the </w:t>
      </w:r>
      <w:r w:rsidR="007D70A0">
        <w:rPr>
          <w:sz w:val="26"/>
          <w:szCs w:val="26"/>
        </w:rPr>
        <w:t>other</w:t>
      </w:r>
      <w:r w:rsidR="004D2140">
        <w:rPr>
          <w:sz w:val="26"/>
          <w:szCs w:val="26"/>
        </w:rPr>
        <w:t xml:space="preserve"> criteria that we already require under our regulations</w:t>
      </w:r>
      <w:r w:rsidR="00996E91">
        <w:rPr>
          <w:sz w:val="26"/>
          <w:szCs w:val="26"/>
        </w:rPr>
        <w:t>.</w:t>
      </w:r>
      <w:r w:rsidR="004D2140">
        <w:rPr>
          <w:sz w:val="26"/>
          <w:szCs w:val="26"/>
        </w:rPr>
        <w:t xml:space="preserve">  </w:t>
      </w:r>
      <w:r w:rsidR="004D2140">
        <w:rPr>
          <w:i/>
          <w:sz w:val="26"/>
          <w:szCs w:val="26"/>
        </w:rPr>
        <w:t>See</w:t>
      </w:r>
      <w:r w:rsidR="00FF048B">
        <w:rPr>
          <w:sz w:val="26"/>
          <w:szCs w:val="26"/>
        </w:rPr>
        <w:t xml:space="preserve"> 52 Pa. Code § </w:t>
      </w:r>
      <w:r w:rsidR="004D2140">
        <w:rPr>
          <w:sz w:val="26"/>
          <w:szCs w:val="26"/>
        </w:rPr>
        <w:t>54.40(f) (providing criteria that must be stated in writing in the bond).</w:t>
      </w:r>
      <w:r w:rsidR="00737842">
        <w:rPr>
          <w:sz w:val="26"/>
          <w:szCs w:val="26"/>
        </w:rPr>
        <w:t xml:space="preserve">  Due to this reduction in the amount of bonding/security required, we emphasize the importance of ongoing EGS compliance with our reporting requirements at 52 Pa. Code § 54.39</w:t>
      </w:r>
      <w:r w:rsidR="00B4405A">
        <w:rPr>
          <w:sz w:val="26"/>
          <w:szCs w:val="26"/>
        </w:rPr>
        <w:t xml:space="preserve"> (</w:t>
      </w:r>
      <w:r w:rsidR="00737842">
        <w:rPr>
          <w:sz w:val="26"/>
          <w:szCs w:val="26"/>
        </w:rPr>
        <w:t>re</w:t>
      </w:r>
      <w:r w:rsidR="00B4405A">
        <w:rPr>
          <w:sz w:val="26"/>
          <w:szCs w:val="26"/>
        </w:rPr>
        <w:t>quiring</w:t>
      </w:r>
      <w:r w:rsidR="00737842">
        <w:rPr>
          <w:sz w:val="26"/>
          <w:szCs w:val="26"/>
        </w:rPr>
        <w:t xml:space="preserve"> </w:t>
      </w:r>
      <w:r w:rsidR="00B4405A">
        <w:rPr>
          <w:sz w:val="26"/>
          <w:szCs w:val="26"/>
        </w:rPr>
        <w:t>an EGS to submit quarterly gross receipts and an annual report to the Commission)</w:t>
      </w:r>
      <w:r w:rsidR="00737842">
        <w:rPr>
          <w:sz w:val="26"/>
          <w:szCs w:val="26"/>
        </w:rPr>
        <w:t>.</w:t>
      </w:r>
      <w:r w:rsidR="004D2140">
        <w:rPr>
          <w:sz w:val="26"/>
          <w:szCs w:val="26"/>
        </w:rPr>
        <w:t xml:space="preserve"> </w:t>
      </w:r>
    </w:p>
    <w:p w:rsidR="00FB2D9A" w:rsidRDefault="00FB2D9A" w:rsidP="0032104C">
      <w:pPr>
        <w:spacing w:line="360" w:lineRule="auto"/>
        <w:rPr>
          <w:sz w:val="26"/>
          <w:szCs w:val="26"/>
        </w:rPr>
      </w:pPr>
    </w:p>
    <w:p w:rsidR="00FB2D9A" w:rsidRDefault="005B0AE4" w:rsidP="00FB2D9A">
      <w:pPr>
        <w:spacing w:line="360" w:lineRule="auto"/>
        <w:ind w:firstLine="720"/>
        <w:rPr>
          <w:sz w:val="26"/>
          <w:szCs w:val="26"/>
        </w:rPr>
      </w:pPr>
      <w:r>
        <w:rPr>
          <w:sz w:val="26"/>
          <w:szCs w:val="26"/>
        </w:rPr>
        <w:t xml:space="preserve">As to </w:t>
      </w:r>
      <w:r w:rsidR="007D70A0">
        <w:rPr>
          <w:sz w:val="26"/>
          <w:szCs w:val="26"/>
        </w:rPr>
        <w:t xml:space="preserve">our </w:t>
      </w:r>
      <w:r>
        <w:rPr>
          <w:sz w:val="26"/>
          <w:szCs w:val="26"/>
        </w:rPr>
        <w:t xml:space="preserve">process for implementing these changes, </w:t>
      </w:r>
      <w:r w:rsidR="001D3BE1">
        <w:rPr>
          <w:sz w:val="26"/>
          <w:szCs w:val="26"/>
        </w:rPr>
        <w:t xml:space="preserve">RESA recommends that the Commission not require an EGS to file a new or amended application with the Commission, but allow the EGS to work with </w:t>
      </w:r>
      <w:r w:rsidR="00944D29">
        <w:rPr>
          <w:sz w:val="26"/>
          <w:szCs w:val="26"/>
        </w:rPr>
        <w:t xml:space="preserve">Commission </w:t>
      </w:r>
      <w:r w:rsidR="001D3BE1">
        <w:rPr>
          <w:sz w:val="26"/>
          <w:szCs w:val="26"/>
        </w:rPr>
        <w:t xml:space="preserve">staff outside of a formal filing to demonstrate proof that the EGS has complied with the Commission’s financial security requirements.  </w:t>
      </w:r>
      <w:r w:rsidR="00AF07E3">
        <w:rPr>
          <w:i/>
          <w:sz w:val="26"/>
          <w:szCs w:val="26"/>
        </w:rPr>
        <w:t xml:space="preserve">See </w:t>
      </w:r>
      <w:r w:rsidR="001D3BE1">
        <w:rPr>
          <w:sz w:val="26"/>
          <w:szCs w:val="26"/>
        </w:rPr>
        <w:t>Comments at 19, fn. 40.</w:t>
      </w:r>
      <w:r w:rsidR="0077706A">
        <w:rPr>
          <w:sz w:val="26"/>
          <w:szCs w:val="26"/>
        </w:rPr>
        <w:t xml:space="preserve">  </w:t>
      </w:r>
      <w:r w:rsidR="00A43049">
        <w:rPr>
          <w:sz w:val="26"/>
          <w:szCs w:val="26"/>
        </w:rPr>
        <w:t>We agree with RESA that this should be a timely and administratively efficient process, as requiring an EGS to submit a formal petition followed by a Commission order could be needlessly burdensome and time-consuming for both parties.  However, just like an EGS formally files a Certificate of Continuation to renew an annual bond with the Commission, an EGS must formally file a petition to amend its Application to revise or reduce its bond/security with the Secretary’s Bureau so that the most updated</w:t>
      </w:r>
      <w:r w:rsidR="00C9720C">
        <w:rPr>
          <w:sz w:val="26"/>
          <w:szCs w:val="26"/>
        </w:rPr>
        <w:t xml:space="preserve"> and approved</w:t>
      </w:r>
      <w:r w:rsidR="004C6DA6">
        <w:rPr>
          <w:sz w:val="26"/>
          <w:szCs w:val="26"/>
        </w:rPr>
        <w:t xml:space="preserve"> </w:t>
      </w:r>
      <w:r w:rsidR="00A43049">
        <w:rPr>
          <w:sz w:val="26"/>
          <w:szCs w:val="26"/>
        </w:rPr>
        <w:t xml:space="preserve">bond/security is documented on the record at the EGS’s Application docket number.  </w:t>
      </w:r>
      <w:r w:rsidR="00AF07E3">
        <w:rPr>
          <w:sz w:val="26"/>
          <w:szCs w:val="26"/>
        </w:rPr>
        <w:t xml:space="preserve">We </w:t>
      </w:r>
      <w:r w:rsidR="0077706A">
        <w:rPr>
          <w:sz w:val="26"/>
          <w:szCs w:val="26"/>
        </w:rPr>
        <w:t xml:space="preserve">invite EGSs seeking a reduction in security from 10% to 5% to </w:t>
      </w:r>
      <w:r w:rsidR="00A037E6">
        <w:rPr>
          <w:sz w:val="26"/>
          <w:szCs w:val="26"/>
        </w:rPr>
        <w:t xml:space="preserve">work </w:t>
      </w:r>
      <w:r w:rsidR="0077706A">
        <w:rPr>
          <w:sz w:val="26"/>
          <w:szCs w:val="26"/>
        </w:rPr>
        <w:t xml:space="preserve">informally with </w:t>
      </w:r>
      <w:r w:rsidR="00A037E6">
        <w:rPr>
          <w:sz w:val="26"/>
          <w:szCs w:val="26"/>
        </w:rPr>
        <w:t xml:space="preserve">Commission </w:t>
      </w:r>
      <w:r w:rsidR="0077706A">
        <w:rPr>
          <w:sz w:val="26"/>
          <w:szCs w:val="26"/>
        </w:rPr>
        <w:t>staff</w:t>
      </w:r>
      <w:r w:rsidR="007F4796">
        <w:rPr>
          <w:sz w:val="26"/>
          <w:szCs w:val="26"/>
        </w:rPr>
        <w:t xml:space="preserve"> during the filing process</w:t>
      </w:r>
      <w:r w:rsidR="007A5E5D">
        <w:rPr>
          <w:sz w:val="26"/>
          <w:szCs w:val="26"/>
        </w:rPr>
        <w:t xml:space="preserve"> to </w:t>
      </w:r>
      <w:r w:rsidR="007A5E5D">
        <w:rPr>
          <w:sz w:val="26"/>
          <w:szCs w:val="26"/>
        </w:rPr>
        <w:lastRenderedPageBreak/>
        <w:t>obtain guidance</w:t>
      </w:r>
      <w:r w:rsidR="007F4796">
        <w:rPr>
          <w:sz w:val="26"/>
          <w:szCs w:val="26"/>
        </w:rPr>
        <w:t xml:space="preserve"> </w:t>
      </w:r>
      <w:r w:rsidR="00500960">
        <w:rPr>
          <w:sz w:val="26"/>
          <w:szCs w:val="26"/>
        </w:rPr>
        <w:t>from staff as to the ap</w:t>
      </w:r>
      <w:r w:rsidR="007F4796">
        <w:rPr>
          <w:sz w:val="26"/>
          <w:szCs w:val="26"/>
        </w:rPr>
        <w:t>propriate information</w:t>
      </w:r>
      <w:r w:rsidR="007F4796">
        <w:rPr>
          <w:rStyle w:val="FootnoteReference"/>
          <w:sz w:val="26"/>
          <w:szCs w:val="26"/>
        </w:rPr>
        <w:footnoteReference w:id="6"/>
      </w:r>
      <w:r w:rsidR="007F4796">
        <w:rPr>
          <w:sz w:val="26"/>
          <w:szCs w:val="26"/>
        </w:rPr>
        <w:t xml:space="preserve"> t</w:t>
      </w:r>
      <w:r w:rsidR="00500960">
        <w:rPr>
          <w:sz w:val="26"/>
          <w:szCs w:val="26"/>
        </w:rPr>
        <w:t>hat</w:t>
      </w:r>
      <w:r w:rsidR="007F4796">
        <w:rPr>
          <w:sz w:val="26"/>
          <w:szCs w:val="26"/>
        </w:rPr>
        <w:t xml:space="preserve"> staff </w:t>
      </w:r>
      <w:r w:rsidR="00500960">
        <w:rPr>
          <w:sz w:val="26"/>
          <w:szCs w:val="26"/>
        </w:rPr>
        <w:t xml:space="preserve">will require in </w:t>
      </w:r>
      <w:r w:rsidR="007F4796">
        <w:rPr>
          <w:sz w:val="26"/>
          <w:szCs w:val="26"/>
        </w:rPr>
        <w:t xml:space="preserve">processing </w:t>
      </w:r>
      <w:r w:rsidR="00500960">
        <w:rPr>
          <w:sz w:val="26"/>
          <w:szCs w:val="26"/>
        </w:rPr>
        <w:t>these</w:t>
      </w:r>
      <w:r w:rsidR="007F4796">
        <w:rPr>
          <w:sz w:val="26"/>
          <w:szCs w:val="26"/>
        </w:rPr>
        <w:t xml:space="preserve"> requests.</w:t>
      </w:r>
      <w:r w:rsidR="0077706A">
        <w:rPr>
          <w:sz w:val="26"/>
          <w:szCs w:val="26"/>
        </w:rPr>
        <w:t xml:space="preserve">  </w:t>
      </w:r>
    </w:p>
    <w:p w:rsidR="00FB2D9A" w:rsidRDefault="00FB2D9A" w:rsidP="00A34EEA">
      <w:pPr>
        <w:spacing w:line="360" w:lineRule="auto"/>
        <w:ind w:firstLine="720"/>
        <w:rPr>
          <w:sz w:val="26"/>
          <w:szCs w:val="26"/>
        </w:rPr>
      </w:pPr>
    </w:p>
    <w:p w:rsidR="007A5E5D" w:rsidRDefault="00BB0DF3" w:rsidP="00A34EEA">
      <w:pPr>
        <w:spacing w:line="360" w:lineRule="auto"/>
        <w:ind w:firstLine="720"/>
        <w:rPr>
          <w:sz w:val="26"/>
          <w:szCs w:val="26"/>
        </w:rPr>
      </w:pPr>
      <w:r>
        <w:rPr>
          <w:sz w:val="26"/>
          <w:szCs w:val="26"/>
        </w:rPr>
        <w:t>To expedit</w:t>
      </w:r>
      <w:r w:rsidR="00F73132">
        <w:rPr>
          <w:sz w:val="26"/>
          <w:szCs w:val="26"/>
        </w:rPr>
        <w:t>e the process for approving these</w:t>
      </w:r>
      <w:r>
        <w:rPr>
          <w:sz w:val="26"/>
          <w:szCs w:val="26"/>
        </w:rPr>
        <w:t xml:space="preserve"> petitions, the Commission is delegating </w:t>
      </w:r>
      <w:r w:rsidR="00F70063">
        <w:rPr>
          <w:sz w:val="26"/>
          <w:szCs w:val="26"/>
        </w:rPr>
        <w:t xml:space="preserve">its authority to </w:t>
      </w:r>
      <w:r w:rsidR="00FB4004">
        <w:rPr>
          <w:sz w:val="26"/>
          <w:szCs w:val="26"/>
        </w:rPr>
        <w:t xml:space="preserve">review </w:t>
      </w:r>
      <w:r w:rsidR="00F70063">
        <w:rPr>
          <w:sz w:val="26"/>
          <w:szCs w:val="26"/>
        </w:rPr>
        <w:t xml:space="preserve">uncontested petitions </w:t>
      </w:r>
      <w:r w:rsidR="00A112FE">
        <w:rPr>
          <w:sz w:val="26"/>
          <w:szCs w:val="26"/>
        </w:rPr>
        <w:t>t</w:t>
      </w:r>
      <w:r w:rsidR="00F70063">
        <w:rPr>
          <w:sz w:val="26"/>
          <w:szCs w:val="26"/>
        </w:rPr>
        <w:t>o the Bureau of Technical Utility Services</w:t>
      </w:r>
      <w:r w:rsidR="002F5D26">
        <w:rPr>
          <w:sz w:val="26"/>
          <w:szCs w:val="26"/>
        </w:rPr>
        <w:t xml:space="preserve"> through issuance of a Secretarial Letter</w:t>
      </w:r>
      <w:r w:rsidR="00FB4004">
        <w:rPr>
          <w:sz w:val="26"/>
          <w:szCs w:val="26"/>
        </w:rPr>
        <w:t xml:space="preserve"> approving or denying the reduction in the bonding request</w:t>
      </w:r>
      <w:r w:rsidR="00F70063">
        <w:rPr>
          <w:sz w:val="26"/>
          <w:szCs w:val="26"/>
        </w:rPr>
        <w:t xml:space="preserve">.  </w:t>
      </w:r>
      <w:r w:rsidR="00314038">
        <w:rPr>
          <w:i/>
          <w:sz w:val="26"/>
          <w:szCs w:val="26"/>
        </w:rPr>
        <w:t>See</w:t>
      </w:r>
      <w:r w:rsidR="00314038">
        <w:rPr>
          <w:sz w:val="26"/>
          <w:szCs w:val="26"/>
        </w:rPr>
        <w:t xml:space="preserve"> 66 Pa. C.S. § 305(c) </w:t>
      </w:r>
      <w:r w:rsidR="008625FA">
        <w:rPr>
          <w:sz w:val="26"/>
          <w:szCs w:val="26"/>
        </w:rPr>
        <w:t>(</w:t>
      </w:r>
      <w:r w:rsidR="00314038">
        <w:rPr>
          <w:sz w:val="26"/>
          <w:szCs w:val="26"/>
        </w:rPr>
        <w:t xml:space="preserve">providing </w:t>
      </w:r>
      <w:r w:rsidR="008625FA">
        <w:rPr>
          <w:sz w:val="26"/>
          <w:szCs w:val="26"/>
        </w:rPr>
        <w:t xml:space="preserve">the </w:t>
      </w:r>
      <w:r w:rsidR="00314038">
        <w:rPr>
          <w:sz w:val="26"/>
          <w:szCs w:val="26"/>
        </w:rPr>
        <w:t xml:space="preserve">Commission </w:t>
      </w:r>
      <w:r w:rsidR="008625FA">
        <w:rPr>
          <w:sz w:val="26"/>
          <w:szCs w:val="26"/>
        </w:rPr>
        <w:t xml:space="preserve">the </w:t>
      </w:r>
      <w:r w:rsidR="00314038">
        <w:rPr>
          <w:sz w:val="26"/>
          <w:szCs w:val="26"/>
        </w:rPr>
        <w:t>power to delegate more routine and ministerial work to Commission staff).</w:t>
      </w:r>
      <w:r w:rsidR="002E173C">
        <w:rPr>
          <w:sz w:val="26"/>
          <w:szCs w:val="26"/>
        </w:rPr>
        <w:t xml:space="preserve">  </w:t>
      </w:r>
      <w:r w:rsidR="00B62836">
        <w:rPr>
          <w:sz w:val="26"/>
          <w:szCs w:val="26"/>
        </w:rPr>
        <w:t>For any denial, t</w:t>
      </w:r>
      <w:r w:rsidR="00FB4004">
        <w:rPr>
          <w:sz w:val="26"/>
          <w:szCs w:val="26"/>
        </w:rPr>
        <w:t>he Bureau of Technical Utility Services will</w:t>
      </w:r>
      <w:r w:rsidR="00B62836">
        <w:rPr>
          <w:sz w:val="26"/>
          <w:szCs w:val="26"/>
        </w:rPr>
        <w:t xml:space="preserve"> state how the request is not consistent with the Public Utility Code and the Commission’s bond</w:t>
      </w:r>
      <w:r w:rsidR="004C6DA6">
        <w:rPr>
          <w:sz w:val="26"/>
          <w:szCs w:val="26"/>
        </w:rPr>
        <w:t>ing</w:t>
      </w:r>
      <w:r w:rsidR="00B62836">
        <w:rPr>
          <w:sz w:val="26"/>
          <w:szCs w:val="26"/>
        </w:rPr>
        <w:t xml:space="preserve">/security regulations.  </w:t>
      </w:r>
      <w:r w:rsidR="004C6DA6">
        <w:rPr>
          <w:i/>
          <w:sz w:val="26"/>
          <w:szCs w:val="26"/>
        </w:rPr>
        <w:t>See</w:t>
      </w:r>
      <w:r w:rsidR="004C6DA6">
        <w:rPr>
          <w:sz w:val="26"/>
          <w:szCs w:val="26"/>
        </w:rPr>
        <w:t xml:space="preserve"> 52 Pa. Code §§ 54.31-54.43</w:t>
      </w:r>
      <w:r w:rsidR="00FB4004">
        <w:rPr>
          <w:sz w:val="26"/>
          <w:szCs w:val="26"/>
        </w:rPr>
        <w:t xml:space="preserve">.  An EGS may appeal the determination of the Bureau of Technical Utility Services to the Commission in accordance with 52 Pa. Code § 5.44 (relating to petitions for appeal from actions of the staff).  </w:t>
      </w:r>
      <w:r w:rsidR="004D02F1">
        <w:rPr>
          <w:sz w:val="26"/>
          <w:szCs w:val="26"/>
        </w:rPr>
        <w:t xml:space="preserve">Contested petitions </w:t>
      </w:r>
      <w:r w:rsidR="00645EAF">
        <w:rPr>
          <w:sz w:val="26"/>
          <w:szCs w:val="26"/>
        </w:rPr>
        <w:t>will</w:t>
      </w:r>
      <w:r w:rsidR="004D02F1">
        <w:rPr>
          <w:sz w:val="26"/>
          <w:szCs w:val="26"/>
        </w:rPr>
        <w:t xml:space="preserve"> be</w:t>
      </w:r>
      <w:r w:rsidR="00645EAF">
        <w:rPr>
          <w:sz w:val="26"/>
          <w:szCs w:val="26"/>
        </w:rPr>
        <w:t xml:space="preserve"> </w:t>
      </w:r>
      <w:r w:rsidR="002472DE">
        <w:rPr>
          <w:sz w:val="26"/>
          <w:szCs w:val="26"/>
        </w:rPr>
        <w:t xml:space="preserve">transferred to the Office of Administrative Law Judge and </w:t>
      </w:r>
      <w:r w:rsidR="00645EAF">
        <w:rPr>
          <w:sz w:val="26"/>
          <w:szCs w:val="26"/>
        </w:rPr>
        <w:t>ruled upon by the Commission following notice and an opportunity for a hearing as necessary</w:t>
      </w:r>
      <w:r w:rsidR="002E173C">
        <w:rPr>
          <w:sz w:val="26"/>
          <w:szCs w:val="26"/>
        </w:rPr>
        <w:t>.</w:t>
      </w:r>
      <w:r w:rsidR="00334EE7">
        <w:rPr>
          <w:sz w:val="26"/>
          <w:szCs w:val="26"/>
        </w:rPr>
        <w:t xml:space="preserve">  </w:t>
      </w:r>
      <w:r w:rsidR="00334EE7">
        <w:rPr>
          <w:i/>
          <w:sz w:val="26"/>
          <w:szCs w:val="26"/>
        </w:rPr>
        <w:t>See</w:t>
      </w:r>
      <w:r w:rsidR="00725FFE">
        <w:rPr>
          <w:sz w:val="26"/>
          <w:szCs w:val="26"/>
        </w:rPr>
        <w:t xml:space="preserve"> 66 Pa. C.S. § 703; </w:t>
      </w:r>
      <w:r w:rsidR="008F7C6A">
        <w:rPr>
          <w:i/>
          <w:sz w:val="26"/>
          <w:szCs w:val="26"/>
        </w:rPr>
        <w:t xml:space="preserve">see also </w:t>
      </w:r>
      <w:r w:rsidR="00725FFE">
        <w:rPr>
          <w:sz w:val="26"/>
          <w:szCs w:val="26"/>
        </w:rPr>
        <w:t>52 Pa. Code § 5</w:t>
      </w:r>
      <w:r w:rsidR="00F73132">
        <w:rPr>
          <w:sz w:val="26"/>
          <w:szCs w:val="26"/>
        </w:rPr>
        <w:t>4</w:t>
      </w:r>
      <w:r w:rsidR="00725FFE">
        <w:rPr>
          <w:sz w:val="26"/>
          <w:szCs w:val="26"/>
        </w:rPr>
        <w:t>.</w:t>
      </w:r>
      <w:r w:rsidR="00F73132">
        <w:rPr>
          <w:sz w:val="26"/>
          <w:szCs w:val="26"/>
        </w:rPr>
        <w:t>3</w:t>
      </w:r>
      <w:r w:rsidR="00725FFE">
        <w:rPr>
          <w:sz w:val="26"/>
          <w:szCs w:val="26"/>
        </w:rPr>
        <w:t>6</w:t>
      </w:r>
      <w:r w:rsidR="008F7C6A">
        <w:rPr>
          <w:sz w:val="26"/>
          <w:szCs w:val="26"/>
        </w:rPr>
        <w:t>.</w:t>
      </w:r>
      <w:r w:rsidR="007A5E5D" w:rsidRPr="007A5E5D">
        <w:rPr>
          <w:sz w:val="26"/>
          <w:szCs w:val="26"/>
        </w:rPr>
        <w:t xml:space="preserve"> </w:t>
      </w:r>
    </w:p>
    <w:p w:rsidR="007F4796" w:rsidRDefault="007F4796" w:rsidP="00A34EEA">
      <w:pPr>
        <w:spacing w:line="360" w:lineRule="auto"/>
        <w:ind w:firstLine="720"/>
        <w:rPr>
          <w:sz w:val="26"/>
          <w:szCs w:val="26"/>
        </w:rPr>
      </w:pPr>
    </w:p>
    <w:p w:rsidR="00725FFE" w:rsidRDefault="0001696B" w:rsidP="00A34EEA">
      <w:pPr>
        <w:spacing w:line="360" w:lineRule="auto"/>
        <w:ind w:firstLine="720"/>
        <w:rPr>
          <w:sz w:val="26"/>
          <w:szCs w:val="26"/>
        </w:rPr>
      </w:pPr>
      <w:r>
        <w:rPr>
          <w:sz w:val="26"/>
          <w:szCs w:val="26"/>
        </w:rPr>
        <w:t xml:space="preserve">Consistent with other </w:t>
      </w:r>
      <w:r w:rsidR="009D0B6C">
        <w:rPr>
          <w:sz w:val="26"/>
          <w:szCs w:val="26"/>
        </w:rPr>
        <w:t>amendments</w:t>
      </w:r>
      <w:r>
        <w:rPr>
          <w:sz w:val="26"/>
          <w:szCs w:val="26"/>
        </w:rPr>
        <w:t xml:space="preserve"> to an EGS’s license</w:t>
      </w:r>
      <w:r w:rsidR="009D0B6C">
        <w:rPr>
          <w:sz w:val="26"/>
          <w:szCs w:val="26"/>
        </w:rPr>
        <w:t>, w</w:t>
      </w:r>
      <w:r w:rsidR="007A5E5D">
        <w:rPr>
          <w:sz w:val="26"/>
          <w:szCs w:val="26"/>
        </w:rPr>
        <w:t>e will require a</w:t>
      </w:r>
      <w:r w:rsidR="007A5E5D">
        <w:rPr>
          <w:sz w:val="26"/>
        </w:rPr>
        <w:t xml:space="preserve"> $350 fee</w:t>
      </w:r>
      <w:r w:rsidR="007A5E5D">
        <w:rPr>
          <w:rStyle w:val="FootnoteReference"/>
          <w:sz w:val="26"/>
        </w:rPr>
        <w:footnoteReference w:id="7"/>
      </w:r>
      <w:r w:rsidR="007A5E5D">
        <w:rPr>
          <w:sz w:val="26"/>
        </w:rPr>
        <w:t xml:space="preserve"> for </w:t>
      </w:r>
      <w:r w:rsidR="007A5E5D">
        <w:rPr>
          <w:sz w:val="26"/>
          <w:szCs w:val="26"/>
        </w:rPr>
        <w:t xml:space="preserve">a request by a Commission-licensed electric generation supplier to reduce its level of bonding following the first year of operation from 10% to 5% of the electric generation supplier’s last 12 months of revenue.  We impose this $350 fee pursuant to our authority under the Public Utility Code and our regulations to require information we deem appropriate to accompany an EGS license application or an amendment thereto.  </w:t>
      </w:r>
      <w:r w:rsidR="007A5E5D">
        <w:rPr>
          <w:i/>
          <w:sz w:val="26"/>
          <w:szCs w:val="26"/>
        </w:rPr>
        <w:t>See</w:t>
      </w:r>
      <w:r w:rsidR="007A5E5D">
        <w:rPr>
          <w:sz w:val="26"/>
          <w:szCs w:val="26"/>
        </w:rPr>
        <w:t xml:space="preserve"> 66 Pa</w:t>
      </w:r>
      <w:r w:rsidR="00FF048B">
        <w:rPr>
          <w:sz w:val="26"/>
          <w:szCs w:val="26"/>
        </w:rPr>
        <w:t>. C.S. § 2809(b); 52 Pa. Code § </w:t>
      </w:r>
      <w:r w:rsidR="007A5E5D">
        <w:rPr>
          <w:sz w:val="26"/>
          <w:szCs w:val="26"/>
        </w:rPr>
        <w:t>54.32(c</w:t>
      </w:r>
      <w:proofErr w:type="gramStart"/>
      <w:r w:rsidR="007A5E5D">
        <w:rPr>
          <w:sz w:val="26"/>
          <w:szCs w:val="26"/>
        </w:rPr>
        <w:t>)(</w:t>
      </w:r>
      <w:proofErr w:type="gramEnd"/>
      <w:r w:rsidR="007A5E5D">
        <w:rPr>
          <w:sz w:val="26"/>
          <w:szCs w:val="26"/>
        </w:rPr>
        <w:t>requiring an application fee for an EGS lice</w:t>
      </w:r>
      <w:r w:rsidR="00FF048B">
        <w:rPr>
          <w:sz w:val="26"/>
          <w:szCs w:val="26"/>
        </w:rPr>
        <w:t>nse application); 52 Pa. Code § </w:t>
      </w:r>
      <w:r w:rsidR="007A5E5D">
        <w:rPr>
          <w:sz w:val="26"/>
          <w:szCs w:val="26"/>
        </w:rPr>
        <w:t xml:space="preserve">1.43 (requiring a $350 fee for each filing of an </w:t>
      </w:r>
      <w:r w:rsidR="007A5E5D">
        <w:rPr>
          <w:sz w:val="26"/>
          <w:szCs w:val="26"/>
        </w:rPr>
        <w:lastRenderedPageBreak/>
        <w:t xml:space="preserve">amendment </w:t>
      </w:r>
      <w:r w:rsidR="00500960">
        <w:rPr>
          <w:sz w:val="26"/>
          <w:szCs w:val="26"/>
        </w:rPr>
        <w:t>to</w:t>
      </w:r>
      <w:r w:rsidR="007A5E5D">
        <w:rPr>
          <w:sz w:val="26"/>
          <w:szCs w:val="26"/>
        </w:rPr>
        <w:t xml:space="preserve"> a certificate, permit, or license).    </w:t>
      </w:r>
    </w:p>
    <w:p w:rsidR="00DD3115" w:rsidRDefault="00DD3115" w:rsidP="00A34EEA">
      <w:pPr>
        <w:spacing w:line="360" w:lineRule="auto"/>
        <w:ind w:firstLine="720"/>
        <w:rPr>
          <w:sz w:val="26"/>
          <w:szCs w:val="26"/>
        </w:rPr>
      </w:pPr>
    </w:p>
    <w:p w:rsidR="00DD3115" w:rsidRDefault="00DD3115" w:rsidP="00DD3115">
      <w:pPr>
        <w:spacing w:line="360" w:lineRule="auto"/>
        <w:rPr>
          <w:sz w:val="26"/>
          <w:szCs w:val="26"/>
        </w:rPr>
      </w:pPr>
      <w:r>
        <w:rPr>
          <w:sz w:val="26"/>
          <w:szCs w:val="26"/>
          <w:u w:val="single"/>
        </w:rPr>
        <w:t>The Nature and Forms of Acceptable Security Instruments</w:t>
      </w:r>
    </w:p>
    <w:p w:rsidR="00B515C3" w:rsidRDefault="004540DA" w:rsidP="008F7C6A">
      <w:pPr>
        <w:spacing w:line="360" w:lineRule="auto"/>
        <w:ind w:firstLine="720"/>
        <w:rPr>
          <w:sz w:val="26"/>
          <w:szCs w:val="26"/>
        </w:rPr>
      </w:pPr>
      <w:r>
        <w:rPr>
          <w:sz w:val="26"/>
          <w:szCs w:val="26"/>
        </w:rPr>
        <w:t xml:space="preserve">Furthermore, based upon our review of </w:t>
      </w:r>
      <w:r w:rsidR="00F2594A">
        <w:rPr>
          <w:sz w:val="26"/>
          <w:szCs w:val="26"/>
        </w:rPr>
        <w:t>the</w:t>
      </w:r>
      <w:r>
        <w:rPr>
          <w:sz w:val="26"/>
          <w:szCs w:val="26"/>
        </w:rPr>
        <w:t xml:space="preserve"> comments to</w:t>
      </w:r>
      <w:r w:rsidR="00316C75">
        <w:rPr>
          <w:sz w:val="26"/>
          <w:szCs w:val="26"/>
        </w:rPr>
        <w:t xml:space="preserve"> the December 5, 2013</w:t>
      </w:r>
      <w:r w:rsidR="00F615DB">
        <w:rPr>
          <w:sz w:val="26"/>
          <w:szCs w:val="26"/>
        </w:rPr>
        <w:t xml:space="preserve"> Tentative Order</w:t>
      </w:r>
      <w:r>
        <w:rPr>
          <w:sz w:val="26"/>
          <w:szCs w:val="26"/>
        </w:rPr>
        <w:t xml:space="preserve">, </w:t>
      </w:r>
      <w:r w:rsidR="007B0508">
        <w:rPr>
          <w:sz w:val="26"/>
          <w:szCs w:val="26"/>
        </w:rPr>
        <w:t>we find it</w:t>
      </w:r>
      <w:r>
        <w:rPr>
          <w:sz w:val="26"/>
          <w:szCs w:val="26"/>
        </w:rPr>
        <w:t xml:space="preserve"> </w:t>
      </w:r>
      <w:r w:rsidR="00B515C3">
        <w:rPr>
          <w:sz w:val="26"/>
          <w:szCs w:val="26"/>
        </w:rPr>
        <w:t xml:space="preserve">reasonable to expand the </w:t>
      </w:r>
      <w:r w:rsidR="000A7F28">
        <w:rPr>
          <w:sz w:val="26"/>
          <w:szCs w:val="26"/>
        </w:rPr>
        <w:t>form</w:t>
      </w:r>
      <w:r w:rsidR="00B515C3">
        <w:rPr>
          <w:sz w:val="26"/>
          <w:szCs w:val="26"/>
        </w:rPr>
        <w:t xml:space="preserve">s of security instruments </w:t>
      </w:r>
      <w:r>
        <w:rPr>
          <w:sz w:val="26"/>
          <w:szCs w:val="26"/>
        </w:rPr>
        <w:t>that should</w:t>
      </w:r>
      <w:r w:rsidR="00B515C3">
        <w:rPr>
          <w:sz w:val="26"/>
          <w:szCs w:val="26"/>
        </w:rPr>
        <w:t xml:space="preserve"> be </w:t>
      </w:r>
      <w:r w:rsidR="00D46F92">
        <w:rPr>
          <w:sz w:val="26"/>
          <w:szCs w:val="26"/>
        </w:rPr>
        <w:t>accepted by</w:t>
      </w:r>
      <w:r w:rsidR="00B515C3">
        <w:rPr>
          <w:sz w:val="26"/>
          <w:szCs w:val="26"/>
        </w:rPr>
        <w:t xml:space="preserve"> the Commission</w:t>
      </w:r>
      <w:r w:rsidR="00DD3115">
        <w:rPr>
          <w:sz w:val="26"/>
          <w:szCs w:val="26"/>
        </w:rPr>
        <w:t xml:space="preserve"> in an EGS’s initial licensure application and for subsequent years of EGS operation</w:t>
      </w:r>
      <w:r w:rsidR="00B515C3">
        <w:rPr>
          <w:sz w:val="26"/>
          <w:szCs w:val="26"/>
        </w:rPr>
        <w:t xml:space="preserve">.  </w:t>
      </w:r>
      <w:r>
        <w:rPr>
          <w:sz w:val="26"/>
          <w:szCs w:val="26"/>
        </w:rPr>
        <w:t>Specifically</w:t>
      </w:r>
      <w:r w:rsidR="00B515C3">
        <w:rPr>
          <w:sz w:val="26"/>
          <w:szCs w:val="26"/>
        </w:rPr>
        <w:t xml:space="preserve">, </w:t>
      </w:r>
      <w:r w:rsidR="00A037E6">
        <w:rPr>
          <w:sz w:val="26"/>
          <w:szCs w:val="26"/>
        </w:rPr>
        <w:t xml:space="preserve">aside from surety bonds and letters of credit, we will also accept </w:t>
      </w:r>
      <w:r w:rsidR="00B515C3">
        <w:rPr>
          <w:sz w:val="26"/>
          <w:szCs w:val="26"/>
        </w:rPr>
        <w:t xml:space="preserve">the following </w:t>
      </w:r>
      <w:r w:rsidR="000A7F28">
        <w:rPr>
          <w:sz w:val="26"/>
          <w:szCs w:val="26"/>
        </w:rPr>
        <w:t>form</w:t>
      </w:r>
      <w:r w:rsidR="00B515C3">
        <w:rPr>
          <w:sz w:val="26"/>
          <w:szCs w:val="26"/>
        </w:rPr>
        <w:t>s of security:</w:t>
      </w:r>
    </w:p>
    <w:p w:rsidR="0001696B" w:rsidRDefault="0001696B" w:rsidP="0001696B">
      <w:pPr>
        <w:ind w:firstLine="720"/>
        <w:rPr>
          <w:sz w:val="26"/>
          <w:szCs w:val="26"/>
        </w:rPr>
      </w:pPr>
    </w:p>
    <w:p w:rsidR="00B515C3" w:rsidRDefault="00B515C3" w:rsidP="00B515C3">
      <w:pPr>
        <w:pStyle w:val="ListParagraph"/>
        <w:numPr>
          <w:ilvl w:val="0"/>
          <w:numId w:val="3"/>
        </w:numPr>
        <w:rPr>
          <w:sz w:val="26"/>
          <w:szCs w:val="26"/>
        </w:rPr>
      </w:pPr>
      <w:r>
        <w:rPr>
          <w:sz w:val="26"/>
          <w:szCs w:val="26"/>
        </w:rPr>
        <w:t>Parent</w:t>
      </w:r>
      <w:r w:rsidR="00C250AE">
        <w:rPr>
          <w:sz w:val="26"/>
          <w:szCs w:val="26"/>
        </w:rPr>
        <w:t>al</w:t>
      </w:r>
      <w:r w:rsidR="00F2056B">
        <w:rPr>
          <w:sz w:val="26"/>
          <w:szCs w:val="26"/>
        </w:rPr>
        <w:t xml:space="preserve"> or corporate</w:t>
      </w:r>
      <w:r>
        <w:rPr>
          <w:sz w:val="26"/>
          <w:szCs w:val="26"/>
        </w:rPr>
        <w:t xml:space="preserve"> guarantee, in a form acceptable to the Commission, where the</w:t>
      </w:r>
      <w:r w:rsidR="00C250AE">
        <w:rPr>
          <w:sz w:val="26"/>
          <w:szCs w:val="26"/>
        </w:rPr>
        <w:t xml:space="preserve"> parent</w:t>
      </w:r>
      <w:r w:rsidR="00F2056B">
        <w:rPr>
          <w:sz w:val="26"/>
          <w:szCs w:val="26"/>
        </w:rPr>
        <w:t xml:space="preserve"> or corporate relation</w:t>
      </w:r>
      <w:r w:rsidR="00C250AE">
        <w:rPr>
          <w:sz w:val="26"/>
          <w:szCs w:val="26"/>
        </w:rPr>
        <w:t xml:space="preserve"> maintains an investment-</w:t>
      </w:r>
      <w:r>
        <w:rPr>
          <w:sz w:val="26"/>
          <w:szCs w:val="26"/>
        </w:rPr>
        <w:t>grade</w:t>
      </w:r>
      <w:r w:rsidR="00C250AE">
        <w:rPr>
          <w:sz w:val="26"/>
          <w:szCs w:val="26"/>
        </w:rPr>
        <w:t xml:space="preserve"> long-term bond</w:t>
      </w:r>
      <w:r>
        <w:rPr>
          <w:sz w:val="26"/>
          <w:szCs w:val="26"/>
        </w:rPr>
        <w:t xml:space="preserve"> rating from</w:t>
      </w:r>
      <w:r w:rsidR="008409B8">
        <w:rPr>
          <w:sz w:val="26"/>
          <w:szCs w:val="26"/>
        </w:rPr>
        <w:t xml:space="preserve"> at least</w:t>
      </w:r>
      <w:r>
        <w:rPr>
          <w:sz w:val="26"/>
          <w:szCs w:val="26"/>
        </w:rPr>
        <w:t xml:space="preserve"> two of the four </w:t>
      </w:r>
      <w:r w:rsidR="008409B8">
        <w:rPr>
          <w:sz w:val="26"/>
          <w:szCs w:val="26"/>
        </w:rPr>
        <w:t xml:space="preserve">following </w:t>
      </w:r>
      <w:r>
        <w:rPr>
          <w:sz w:val="26"/>
          <w:szCs w:val="26"/>
        </w:rPr>
        <w:t>rating agencies</w:t>
      </w:r>
      <w:r w:rsidR="00E639CA">
        <w:rPr>
          <w:sz w:val="26"/>
          <w:szCs w:val="26"/>
        </w:rPr>
        <w:t>:</w:t>
      </w:r>
    </w:p>
    <w:p w:rsidR="00B515C3" w:rsidRPr="00C250AE" w:rsidRDefault="00B515C3" w:rsidP="00C250AE">
      <w:pPr>
        <w:ind w:left="1440"/>
        <w:rPr>
          <w:sz w:val="26"/>
          <w:szCs w:val="26"/>
        </w:rPr>
      </w:pPr>
    </w:p>
    <w:p w:rsidR="00B515C3" w:rsidRDefault="00B515C3" w:rsidP="00B515C3">
      <w:pPr>
        <w:ind w:left="1440"/>
        <w:rPr>
          <w:sz w:val="26"/>
          <w:szCs w:val="26"/>
        </w:rPr>
      </w:pPr>
      <w:r w:rsidRPr="00B515C3">
        <w:rPr>
          <w:sz w:val="26"/>
          <w:szCs w:val="26"/>
        </w:rPr>
        <w:tab/>
      </w:r>
      <w:r>
        <w:rPr>
          <w:sz w:val="26"/>
          <w:szCs w:val="26"/>
        </w:rPr>
        <w:tab/>
        <w:t>Standard &amp; Poors</w:t>
      </w:r>
      <w:r>
        <w:rPr>
          <w:sz w:val="26"/>
          <w:szCs w:val="26"/>
        </w:rPr>
        <w:tab/>
      </w:r>
      <w:r>
        <w:rPr>
          <w:sz w:val="26"/>
          <w:szCs w:val="26"/>
        </w:rPr>
        <w:tab/>
      </w:r>
      <w:r>
        <w:rPr>
          <w:sz w:val="26"/>
          <w:szCs w:val="26"/>
        </w:rPr>
        <w:tab/>
        <w:t>BBB- or higher</w:t>
      </w:r>
    </w:p>
    <w:p w:rsidR="00B515C3" w:rsidRDefault="00B515C3" w:rsidP="00B515C3">
      <w:pPr>
        <w:ind w:left="1440"/>
        <w:rPr>
          <w:sz w:val="26"/>
          <w:szCs w:val="26"/>
        </w:rPr>
      </w:pPr>
      <w:r>
        <w:rPr>
          <w:sz w:val="26"/>
          <w:szCs w:val="26"/>
        </w:rPr>
        <w:tab/>
      </w:r>
      <w:r>
        <w:rPr>
          <w:sz w:val="26"/>
          <w:szCs w:val="26"/>
        </w:rPr>
        <w:tab/>
        <w:t xml:space="preserve">Moody’s Investors’ Services </w:t>
      </w:r>
      <w:r>
        <w:rPr>
          <w:sz w:val="26"/>
          <w:szCs w:val="26"/>
        </w:rPr>
        <w:tab/>
        <w:t>Baa3 or higher</w:t>
      </w:r>
    </w:p>
    <w:p w:rsidR="00B515C3" w:rsidRDefault="00B515C3" w:rsidP="00B515C3">
      <w:pPr>
        <w:ind w:left="1440"/>
        <w:rPr>
          <w:sz w:val="26"/>
          <w:szCs w:val="26"/>
        </w:rPr>
      </w:pPr>
      <w:r>
        <w:rPr>
          <w:sz w:val="26"/>
          <w:szCs w:val="26"/>
        </w:rPr>
        <w:tab/>
      </w:r>
      <w:r>
        <w:rPr>
          <w:sz w:val="26"/>
          <w:szCs w:val="26"/>
        </w:rPr>
        <w:tab/>
        <w:t>Fitch IBCA</w:t>
      </w:r>
      <w:r>
        <w:rPr>
          <w:sz w:val="26"/>
          <w:szCs w:val="26"/>
        </w:rPr>
        <w:tab/>
      </w:r>
      <w:r>
        <w:rPr>
          <w:sz w:val="26"/>
          <w:szCs w:val="26"/>
        </w:rPr>
        <w:tab/>
      </w:r>
      <w:r>
        <w:rPr>
          <w:sz w:val="26"/>
          <w:szCs w:val="26"/>
        </w:rPr>
        <w:tab/>
      </w:r>
      <w:r>
        <w:rPr>
          <w:sz w:val="26"/>
          <w:szCs w:val="26"/>
        </w:rPr>
        <w:tab/>
        <w:t>BBB- or higher</w:t>
      </w:r>
    </w:p>
    <w:p w:rsidR="00B515C3" w:rsidRDefault="00B515C3" w:rsidP="00C250AE">
      <w:pPr>
        <w:keepNext/>
        <w:keepLines/>
        <w:ind w:left="1440"/>
        <w:rPr>
          <w:sz w:val="26"/>
          <w:szCs w:val="26"/>
        </w:rPr>
      </w:pPr>
      <w:r>
        <w:rPr>
          <w:sz w:val="26"/>
          <w:szCs w:val="26"/>
        </w:rPr>
        <w:tab/>
      </w:r>
      <w:r>
        <w:rPr>
          <w:sz w:val="26"/>
          <w:szCs w:val="26"/>
        </w:rPr>
        <w:tab/>
        <w:t>Duff and Phelps Credit</w:t>
      </w:r>
      <w:r>
        <w:rPr>
          <w:sz w:val="26"/>
          <w:szCs w:val="26"/>
        </w:rPr>
        <w:tab/>
      </w:r>
      <w:r>
        <w:rPr>
          <w:sz w:val="26"/>
          <w:szCs w:val="26"/>
        </w:rPr>
        <w:tab/>
        <w:t>BBB- or higher</w:t>
      </w:r>
    </w:p>
    <w:p w:rsidR="00B515C3" w:rsidRPr="00B515C3" w:rsidRDefault="00B515C3" w:rsidP="00C250AE">
      <w:pPr>
        <w:keepNext/>
        <w:keepLines/>
        <w:ind w:left="1440"/>
        <w:rPr>
          <w:sz w:val="26"/>
          <w:szCs w:val="26"/>
        </w:rPr>
      </w:pPr>
      <w:r>
        <w:rPr>
          <w:sz w:val="26"/>
          <w:szCs w:val="26"/>
        </w:rPr>
        <w:tab/>
      </w:r>
      <w:r>
        <w:rPr>
          <w:sz w:val="26"/>
          <w:szCs w:val="26"/>
        </w:rPr>
        <w:tab/>
        <w:t>Rating Company</w:t>
      </w:r>
    </w:p>
    <w:p w:rsidR="00CE119A" w:rsidRDefault="00B515C3" w:rsidP="00B611B1">
      <w:pPr>
        <w:spacing w:line="360" w:lineRule="auto"/>
        <w:ind w:firstLine="720"/>
        <w:rPr>
          <w:sz w:val="26"/>
          <w:szCs w:val="26"/>
        </w:rPr>
      </w:pPr>
      <w:r>
        <w:rPr>
          <w:sz w:val="26"/>
          <w:szCs w:val="26"/>
        </w:rPr>
        <w:tab/>
      </w:r>
    </w:p>
    <w:p w:rsidR="00B515C3" w:rsidRDefault="00C250AE" w:rsidP="00C250AE">
      <w:pPr>
        <w:pStyle w:val="ListParagraph"/>
        <w:numPr>
          <w:ilvl w:val="0"/>
          <w:numId w:val="3"/>
        </w:numPr>
        <w:rPr>
          <w:sz w:val="26"/>
          <w:szCs w:val="26"/>
        </w:rPr>
      </w:pPr>
      <w:r>
        <w:rPr>
          <w:sz w:val="26"/>
          <w:szCs w:val="26"/>
        </w:rPr>
        <w:t>Segregated cash accounts, held by federally insured financial institutions, specific to Pennsylvania customers and callable only by the Commission</w:t>
      </w:r>
      <w:r w:rsidR="00B82D52">
        <w:rPr>
          <w:sz w:val="26"/>
          <w:szCs w:val="26"/>
        </w:rPr>
        <w:t>.</w:t>
      </w:r>
      <w:r>
        <w:rPr>
          <w:sz w:val="26"/>
          <w:szCs w:val="26"/>
        </w:rPr>
        <w:t xml:space="preserve"> </w:t>
      </w:r>
    </w:p>
    <w:p w:rsidR="004D5E7B" w:rsidRPr="004D5E7B" w:rsidRDefault="004D5E7B" w:rsidP="004D5E7B">
      <w:pPr>
        <w:ind w:left="1440"/>
        <w:rPr>
          <w:sz w:val="26"/>
          <w:szCs w:val="26"/>
        </w:rPr>
      </w:pPr>
    </w:p>
    <w:p w:rsidR="00C250AE" w:rsidRPr="00B515C3" w:rsidRDefault="007A5791" w:rsidP="00C250AE">
      <w:pPr>
        <w:pStyle w:val="ListParagraph"/>
        <w:numPr>
          <w:ilvl w:val="0"/>
          <w:numId w:val="3"/>
        </w:numPr>
        <w:rPr>
          <w:sz w:val="26"/>
          <w:szCs w:val="26"/>
        </w:rPr>
      </w:pPr>
      <w:r>
        <w:rPr>
          <w:sz w:val="26"/>
          <w:szCs w:val="26"/>
        </w:rPr>
        <w:t xml:space="preserve">A mix of </w:t>
      </w:r>
      <w:r w:rsidR="00AF598C">
        <w:rPr>
          <w:sz w:val="26"/>
          <w:szCs w:val="26"/>
        </w:rPr>
        <w:t xml:space="preserve">security instruments through the use of </w:t>
      </w:r>
      <w:r>
        <w:rPr>
          <w:sz w:val="26"/>
          <w:szCs w:val="26"/>
        </w:rPr>
        <w:t>bonds,</w:t>
      </w:r>
      <w:r w:rsidR="00C250AE">
        <w:rPr>
          <w:sz w:val="26"/>
          <w:szCs w:val="26"/>
        </w:rPr>
        <w:t xml:space="preserve"> LOCs</w:t>
      </w:r>
      <w:r>
        <w:rPr>
          <w:sz w:val="26"/>
          <w:szCs w:val="26"/>
        </w:rPr>
        <w:t>, p</w:t>
      </w:r>
      <w:r w:rsidR="00C250AE">
        <w:rPr>
          <w:sz w:val="26"/>
          <w:szCs w:val="26"/>
        </w:rPr>
        <w:t>arental</w:t>
      </w:r>
      <w:r w:rsidR="00FF640E">
        <w:rPr>
          <w:sz w:val="26"/>
          <w:szCs w:val="26"/>
        </w:rPr>
        <w:t>/corporate</w:t>
      </w:r>
      <w:r w:rsidR="00C250AE">
        <w:rPr>
          <w:sz w:val="26"/>
          <w:szCs w:val="26"/>
        </w:rPr>
        <w:t xml:space="preserve"> guarantees</w:t>
      </w:r>
      <w:r>
        <w:rPr>
          <w:sz w:val="26"/>
          <w:szCs w:val="26"/>
        </w:rPr>
        <w:t>,</w:t>
      </w:r>
      <w:r w:rsidR="00C250AE">
        <w:rPr>
          <w:sz w:val="26"/>
          <w:szCs w:val="26"/>
        </w:rPr>
        <w:t xml:space="preserve"> and/or segregated cash accounts as set forth above sufficient meet the required security </w:t>
      </w:r>
      <w:r w:rsidR="00AF598C">
        <w:rPr>
          <w:sz w:val="26"/>
          <w:szCs w:val="26"/>
        </w:rPr>
        <w:t>amount</w:t>
      </w:r>
      <w:r w:rsidR="00C250AE">
        <w:rPr>
          <w:sz w:val="26"/>
          <w:szCs w:val="26"/>
        </w:rPr>
        <w:t>.</w:t>
      </w:r>
    </w:p>
    <w:p w:rsidR="007B0508" w:rsidRDefault="007B0508" w:rsidP="007B0508">
      <w:pPr>
        <w:spacing w:line="360" w:lineRule="auto"/>
        <w:rPr>
          <w:sz w:val="26"/>
          <w:szCs w:val="26"/>
        </w:rPr>
      </w:pPr>
    </w:p>
    <w:p w:rsidR="00A037E6" w:rsidRDefault="00F2056B" w:rsidP="00A037E6">
      <w:pPr>
        <w:spacing w:line="360" w:lineRule="auto"/>
        <w:ind w:firstLine="720"/>
        <w:rPr>
          <w:sz w:val="26"/>
          <w:szCs w:val="26"/>
        </w:rPr>
      </w:pPr>
      <w:r>
        <w:rPr>
          <w:sz w:val="26"/>
          <w:szCs w:val="26"/>
        </w:rPr>
        <w:t>As indicated above, w</w:t>
      </w:r>
      <w:r w:rsidR="00A037E6">
        <w:rPr>
          <w:sz w:val="26"/>
          <w:szCs w:val="26"/>
        </w:rPr>
        <w:t>e agree with the comments of NAPG and RESA that parental guarantee</w:t>
      </w:r>
      <w:r w:rsidR="00AD0A28">
        <w:rPr>
          <w:sz w:val="26"/>
          <w:szCs w:val="26"/>
        </w:rPr>
        <w:t>s</w:t>
      </w:r>
      <w:r w:rsidR="00A037E6">
        <w:rPr>
          <w:sz w:val="26"/>
          <w:szCs w:val="26"/>
        </w:rPr>
        <w:t xml:space="preserve"> should be extended to encompass other corporate relationships, such as guarantees from affiliates or subsidiaries.</w:t>
      </w:r>
      <w:r>
        <w:rPr>
          <w:sz w:val="26"/>
          <w:szCs w:val="26"/>
        </w:rPr>
        <w:t xml:space="preserve">  However, we emphasize that the corporate parent, relation, affiliate, or subsidiary</w:t>
      </w:r>
      <w:r w:rsidR="00A23976">
        <w:rPr>
          <w:sz w:val="26"/>
          <w:szCs w:val="26"/>
        </w:rPr>
        <w:t xml:space="preserve"> used</w:t>
      </w:r>
      <w:r w:rsidR="008D4902">
        <w:rPr>
          <w:sz w:val="26"/>
          <w:szCs w:val="26"/>
        </w:rPr>
        <w:t xml:space="preserve"> </w:t>
      </w:r>
      <w:r w:rsidR="00B62BF3">
        <w:rPr>
          <w:sz w:val="26"/>
          <w:szCs w:val="26"/>
        </w:rPr>
        <w:t xml:space="preserve">by the EGS </w:t>
      </w:r>
      <w:r w:rsidR="008D4902">
        <w:rPr>
          <w:sz w:val="26"/>
          <w:szCs w:val="26"/>
        </w:rPr>
        <w:t>for the security</w:t>
      </w:r>
      <w:r w:rsidR="00B62BF3">
        <w:rPr>
          <w:sz w:val="26"/>
          <w:szCs w:val="26"/>
        </w:rPr>
        <w:t xml:space="preserve"> requirement</w:t>
      </w:r>
      <w:r w:rsidR="006E3CAD">
        <w:rPr>
          <w:sz w:val="26"/>
          <w:szCs w:val="26"/>
        </w:rPr>
        <w:t xml:space="preserve"> </w:t>
      </w:r>
      <w:r>
        <w:rPr>
          <w:sz w:val="26"/>
          <w:szCs w:val="26"/>
        </w:rPr>
        <w:t>must maintain an investment-grade</w:t>
      </w:r>
      <w:r w:rsidR="001E4A75">
        <w:rPr>
          <w:rStyle w:val="FootnoteReference"/>
          <w:sz w:val="26"/>
          <w:szCs w:val="26"/>
        </w:rPr>
        <w:footnoteReference w:id="8"/>
      </w:r>
      <w:r>
        <w:rPr>
          <w:sz w:val="26"/>
          <w:szCs w:val="26"/>
        </w:rPr>
        <w:t xml:space="preserve"> long-term bond </w:t>
      </w:r>
      <w:r w:rsidR="00AD0A28">
        <w:rPr>
          <w:sz w:val="26"/>
          <w:szCs w:val="26"/>
        </w:rPr>
        <w:t xml:space="preserve">rating </w:t>
      </w:r>
      <w:r>
        <w:rPr>
          <w:sz w:val="26"/>
          <w:szCs w:val="26"/>
        </w:rPr>
        <w:t xml:space="preserve">from </w:t>
      </w:r>
      <w:r w:rsidR="00502DD9">
        <w:rPr>
          <w:sz w:val="26"/>
          <w:szCs w:val="26"/>
        </w:rPr>
        <w:t>at least</w:t>
      </w:r>
      <w:r w:rsidR="00590E37">
        <w:rPr>
          <w:sz w:val="26"/>
          <w:szCs w:val="26"/>
        </w:rPr>
        <w:t xml:space="preserve"> </w:t>
      </w:r>
      <w:r>
        <w:rPr>
          <w:sz w:val="26"/>
          <w:szCs w:val="26"/>
        </w:rPr>
        <w:t xml:space="preserve">two of the four </w:t>
      </w:r>
      <w:r w:rsidR="00220155">
        <w:rPr>
          <w:sz w:val="26"/>
          <w:szCs w:val="26"/>
        </w:rPr>
        <w:lastRenderedPageBreak/>
        <w:t xml:space="preserve">aforementioned </w:t>
      </w:r>
      <w:r>
        <w:rPr>
          <w:sz w:val="26"/>
          <w:szCs w:val="26"/>
        </w:rPr>
        <w:t>rating agencies</w:t>
      </w:r>
      <w:r w:rsidR="003526C6">
        <w:rPr>
          <w:sz w:val="26"/>
          <w:szCs w:val="26"/>
        </w:rPr>
        <w:t xml:space="preserve"> with ratings at least as high as stated </w:t>
      </w:r>
      <w:r w:rsidR="008409B8">
        <w:rPr>
          <w:sz w:val="26"/>
          <w:szCs w:val="26"/>
        </w:rPr>
        <w:t>above</w:t>
      </w:r>
      <w:r w:rsidR="00220155">
        <w:rPr>
          <w:sz w:val="26"/>
          <w:szCs w:val="26"/>
        </w:rPr>
        <w:t>.</w:t>
      </w:r>
      <w:r w:rsidR="006E3CAD">
        <w:rPr>
          <w:sz w:val="26"/>
          <w:szCs w:val="26"/>
        </w:rPr>
        <w:t xml:space="preserve"> </w:t>
      </w:r>
      <w:r w:rsidR="00A23976">
        <w:rPr>
          <w:sz w:val="26"/>
          <w:szCs w:val="26"/>
        </w:rPr>
        <w:t xml:space="preserve"> </w:t>
      </w:r>
      <w:r w:rsidR="00220155">
        <w:rPr>
          <w:sz w:val="26"/>
          <w:szCs w:val="26"/>
        </w:rPr>
        <w:t>All</w:t>
      </w:r>
      <w:r w:rsidR="00FE37F0">
        <w:rPr>
          <w:sz w:val="26"/>
          <w:szCs w:val="26"/>
        </w:rPr>
        <w:t xml:space="preserve"> available additional</w:t>
      </w:r>
      <w:r w:rsidR="00220155">
        <w:rPr>
          <w:sz w:val="26"/>
          <w:szCs w:val="26"/>
        </w:rPr>
        <w:t xml:space="preserve"> </w:t>
      </w:r>
      <w:r w:rsidR="00323C0E">
        <w:rPr>
          <w:sz w:val="26"/>
          <w:szCs w:val="26"/>
        </w:rPr>
        <w:t>ratings</w:t>
      </w:r>
      <w:r w:rsidR="00B62BF3">
        <w:rPr>
          <w:sz w:val="26"/>
          <w:szCs w:val="26"/>
        </w:rPr>
        <w:t xml:space="preserve"> </w:t>
      </w:r>
      <w:r w:rsidR="007A5791">
        <w:rPr>
          <w:sz w:val="26"/>
          <w:szCs w:val="26"/>
        </w:rPr>
        <w:t xml:space="preserve">of an EGS’s guarantor </w:t>
      </w:r>
      <w:r w:rsidR="00323C0E">
        <w:rPr>
          <w:sz w:val="26"/>
          <w:szCs w:val="26"/>
        </w:rPr>
        <w:t xml:space="preserve">from </w:t>
      </w:r>
      <w:r w:rsidR="00B62BF3">
        <w:rPr>
          <w:sz w:val="26"/>
          <w:szCs w:val="26"/>
        </w:rPr>
        <w:t>any of</w:t>
      </w:r>
      <w:r w:rsidR="00A23976">
        <w:rPr>
          <w:sz w:val="26"/>
          <w:szCs w:val="26"/>
        </w:rPr>
        <w:t xml:space="preserve"> </w:t>
      </w:r>
      <w:r w:rsidR="00B62BF3">
        <w:rPr>
          <w:sz w:val="26"/>
          <w:szCs w:val="26"/>
        </w:rPr>
        <w:t xml:space="preserve">the </w:t>
      </w:r>
      <w:r w:rsidR="00AE1B3D">
        <w:rPr>
          <w:sz w:val="26"/>
          <w:szCs w:val="26"/>
        </w:rPr>
        <w:t xml:space="preserve">above-listed </w:t>
      </w:r>
      <w:r w:rsidR="00323C0E">
        <w:rPr>
          <w:sz w:val="26"/>
          <w:szCs w:val="26"/>
        </w:rPr>
        <w:t>agencies</w:t>
      </w:r>
      <w:r w:rsidR="00FE37F0">
        <w:rPr>
          <w:sz w:val="26"/>
          <w:szCs w:val="26"/>
        </w:rPr>
        <w:t xml:space="preserve"> </w:t>
      </w:r>
      <w:r w:rsidR="00323C0E">
        <w:rPr>
          <w:sz w:val="26"/>
          <w:szCs w:val="26"/>
        </w:rPr>
        <w:t>must</w:t>
      </w:r>
      <w:r w:rsidR="004C4DB9">
        <w:rPr>
          <w:sz w:val="26"/>
          <w:szCs w:val="26"/>
        </w:rPr>
        <w:t xml:space="preserve"> also</w:t>
      </w:r>
      <w:r w:rsidR="00323C0E">
        <w:rPr>
          <w:sz w:val="26"/>
          <w:szCs w:val="26"/>
        </w:rPr>
        <w:t xml:space="preserve"> </w:t>
      </w:r>
      <w:r w:rsidR="00A23976">
        <w:rPr>
          <w:sz w:val="26"/>
          <w:szCs w:val="26"/>
        </w:rPr>
        <w:t>be</w:t>
      </w:r>
      <w:r w:rsidR="00323C0E">
        <w:rPr>
          <w:sz w:val="26"/>
          <w:szCs w:val="26"/>
        </w:rPr>
        <w:t xml:space="preserve"> investment-grade.  </w:t>
      </w:r>
      <w:r w:rsidR="00737842">
        <w:rPr>
          <w:sz w:val="26"/>
          <w:szCs w:val="26"/>
        </w:rPr>
        <w:t>An EGS must inform the Commission when</w:t>
      </w:r>
      <w:r w:rsidR="00220155">
        <w:rPr>
          <w:sz w:val="26"/>
          <w:szCs w:val="26"/>
        </w:rPr>
        <w:t xml:space="preserve"> the EGS’s guarantor’s rating from</w:t>
      </w:r>
      <w:r w:rsidR="00737842">
        <w:rPr>
          <w:sz w:val="26"/>
          <w:szCs w:val="26"/>
        </w:rPr>
        <w:t xml:space="preserve"> any </w:t>
      </w:r>
      <w:r w:rsidR="00220155">
        <w:rPr>
          <w:sz w:val="26"/>
          <w:szCs w:val="26"/>
        </w:rPr>
        <w:t>of the</w:t>
      </w:r>
      <w:r w:rsidR="00737842">
        <w:rPr>
          <w:sz w:val="26"/>
          <w:szCs w:val="26"/>
        </w:rPr>
        <w:t xml:space="preserve"> above-listed agenc</w:t>
      </w:r>
      <w:r w:rsidR="00220155">
        <w:rPr>
          <w:sz w:val="26"/>
          <w:szCs w:val="26"/>
        </w:rPr>
        <w:t>ies</w:t>
      </w:r>
      <w:r w:rsidR="00737842">
        <w:rPr>
          <w:sz w:val="26"/>
          <w:szCs w:val="26"/>
        </w:rPr>
        <w:t xml:space="preserve"> falls below investment grade.  </w:t>
      </w:r>
      <w:r w:rsidR="00FF640E">
        <w:rPr>
          <w:sz w:val="26"/>
          <w:szCs w:val="26"/>
        </w:rPr>
        <w:t>Furthermore,</w:t>
      </w:r>
      <w:r w:rsidR="00B82D52">
        <w:rPr>
          <w:sz w:val="26"/>
          <w:szCs w:val="26"/>
        </w:rPr>
        <w:t xml:space="preserve"> </w:t>
      </w:r>
      <w:r w:rsidR="00334EE7">
        <w:rPr>
          <w:sz w:val="26"/>
          <w:szCs w:val="26"/>
        </w:rPr>
        <w:t>all</w:t>
      </w:r>
      <w:r w:rsidR="00B82D52">
        <w:rPr>
          <w:sz w:val="26"/>
          <w:szCs w:val="26"/>
        </w:rPr>
        <w:t xml:space="preserve"> </w:t>
      </w:r>
      <w:r w:rsidR="000A7F28">
        <w:rPr>
          <w:sz w:val="26"/>
          <w:szCs w:val="26"/>
        </w:rPr>
        <w:t>form</w:t>
      </w:r>
      <w:r w:rsidR="00334EE7">
        <w:rPr>
          <w:sz w:val="26"/>
          <w:szCs w:val="26"/>
        </w:rPr>
        <w:t xml:space="preserve">s of </w:t>
      </w:r>
      <w:r w:rsidR="00B82D52">
        <w:rPr>
          <w:sz w:val="26"/>
          <w:szCs w:val="26"/>
        </w:rPr>
        <w:t xml:space="preserve">securities </w:t>
      </w:r>
      <w:r w:rsidR="00FF640E">
        <w:rPr>
          <w:sz w:val="26"/>
          <w:szCs w:val="26"/>
        </w:rPr>
        <w:t xml:space="preserve">must </w:t>
      </w:r>
      <w:r w:rsidR="00B82D52">
        <w:rPr>
          <w:sz w:val="26"/>
          <w:szCs w:val="26"/>
        </w:rPr>
        <w:t>comply with</w:t>
      </w:r>
      <w:r w:rsidR="00AE1B3D">
        <w:rPr>
          <w:sz w:val="26"/>
          <w:szCs w:val="26"/>
        </w:rPr>
        <w:t xml:space="preserve"> the requirements of</w:t>
      </w:r>
      <w:r w:rsidR="00B82D52">
        <w:rPr>
          <w:sz w:val="26"/>
          <w:szCs w:val="26"/>
        </w:rPr>
        <w:t xml:space="preserve"> 52 Pa. Code § 54.40(f).</w:t>
      </w:r>
    </w:p>
    <w:p w:rsidR="00A43721" w:rsidRDefault="00A43721" w:rsidP="00A037E6">
      <w:pPr>
        <w:spacing w:line="360" w:lineRule="auto"/>
        <w:ind w:firstLine="720"/>
        <w:rPr>
          <w:sz w:val="26"/>
          <w:szCs w:val="26"/>
        </w:rPr>
      </w:pPr>
    </w:p>
    <w:p w:rsidR="007A5791" w:rsidRDefault="007A5791" w:rsidP="007A5791">
      <w:pPr>
        <w:spacing w:line="360" w:lineRule="auto"/>
        <w:ind w:firstLine="720"/>
        <w:rPr>
          <w:sz w:val="26"/>
          <w:szCs w:val="26"/>
        </w:rPr>
      </w:pPr>
      <w:r w:rsidRPr="00AF598C">
        <w:rPr>
          <w:sz w:val="26"/>
          <w:szCs w:val="26"/>
        </w:rPr>
        <w:t>As to the mix of security instruments, we will accept any mix of security instruments</w:t>
      </w:r>
      <w:r w:rsidR="003526C6">
        <w:rPr>
          <w:sz w:val="26"/>
          <w:szCs w:val="26"/>
        </w:rPr>
        <w:t xml:space="preserve"> as described in this Final Order</w:t>
      </w:r>
      <w:r w:rsidRPr="00AF598C">
        <w:rPr>
          <w:sz w:val="26"/>
          <w:szCs w:val="26"/>
        </w:rPr>
        <w:t xml:space="preserve"> that is sufficient to cover the required</w:t>
      </w:r>
      <w:r w:rsidR="00AF598C">
        <w:rPr>
          <w:sz w:val="26"/>
          <w:szCs w:val="26"/>
        </w:rPr>
        <w:t xml:space="preserve"> security </w:t>
      </w:r>
      <w:r w:rsidRPr="00AF598C">
        <w:rPr>
          <w:sz w:val="26"/>
          <w:szCs w:val="26"/>
        </w:rPr>
        <w:t>amount</w:t>
      </w:r>
      <w:r w:rsidR="00DD3115">
        <w:rPr>
          <w:sz w:val="26"/>
          <w:szCs w:val="26"/>
        </w:rPr>
        <w:t>, either for an EGS’s initial licensure application for the first year of operation or for subsequent years of EGS operation</w:t>
      </w:r>
      <w:r w:rsidRPr="00AF598C">
        <w:rPr>
          <w:sz w:val="26"/>
          <w:szCs w:val="26"/>
        </w:rPr>
        <w:t>.</w:t>
      </w:r>
      <w:r>
        <w:rPr>
          <w:sz w:val="26"/>
          <w:szCs w:val="26"/>
        </w:rPr>
        <w:t xml:space="preserve">  </w:t>
      </w:r>
    </w:p>
    <w:p w:rsidR="007A5791" w:rsidRDefault="007A5791" w:rsidP="007B0508">
      <w:pPr>
        <w:spacing w:line="360" w:lineRule="auto"/>
        <w:rPr>
          <w:sz w:val="26"/>
          <w:szCs w:val="26"/>
        </w:rPr>
      </w:pPr>
    </w:p>
    <w:p w:rsidR="0032104C" w:rsidRDefault="005B0AE4" w:rsidP="004D5E7B">
      <w:pPr>
        <w:spacing w:line="360" w:lineRule="auto"/>
        <w:ind w:firstLine="720"/>
        <w:rPr>
          <w:sz w:val="26"/>
          <w:szCs w:val="26"/>
        </w:rPr>
      </w:pPr>
      <w:r>
        <w:rPr>
          <w:sz w:val="26"/>
          <w:szCs w:val="26"/>
        </w:rPr>
        <w:t xml:space="preserve">The Public Utility Code and our regulations provide us with the discretionary authority to expand the </w:t>
      </w:r>
      <w:r w:rsidR="000A7F28">
        <w:rPr>
          <w:sz w:val="26"/>
          <w:szCs w:val="26"/>
        </w:rPr>
        <w:t>form</w:t>
      </w:r>
      <w:r w:rsidR="00AF07E3">
        <w:rPr>
          <w:sz w:val="26"/>
          <w:szCs w:val="26"/>
        </w:rPr>
        <w:t>s of s</w:t>
      </w:r>
      <w:r>
        <w:rPr>
          <w:sz w:val="26"/>
          <w:szCs w:val="26"/>
        </w:rPr>
        <w:t>ecurity instruments</w:t>
      </w:r>
      <w:r w:rsidR="00AF07E3">
        <w:rPr>
          <w:sz w:val="26"/>
          <w:szCs w:val="26"/>
        </w:rPr>
        <w:t xml:space="preserve"> to for</w:t>
      </w:r>
      <w:r>
        <w:rPr>
          <w:sz w:val="26"/>
          <w:szCs w:val="26"/>
        </w:rPr>
        <w:t>ms acceptable to the Commission.</w:t>
      </w:r>
      <w:r w:rsidR="007D70A0">
        <w:rPr>
          <w:sz w:val="26"/>
          <w:szCs w:val="26"/>
        </w:rPr>
        <w:t xml:space="preserve">  </w:t>
      </w:r>
      <w:r w:rsidR="007D70A0">
        <w:rPr>
          <w:i/>
          <w:sz w:val="26"/>
          <w:szCs w:val="26"/>
        </w:rPr>
        <w:t>See</w:t>
      </w:r>
      <w:r w:rsidR="007D70A0">
        <w:rPr>
          <w:sz w:val="26"/>
          <w:szCs w:val="26"/>
        </w:rPr>
        <w:t xml:space="preserve"> </w:t>
      </w:r>
      <w:r w:rsidR="00252448">
        <w:rPr>
          <w:sz w:val="26"/>
          <w:szCs w:val="26"/>
        </w:rPr>
        <w:t xml:space="preserve">66 Pa. C.S. § 2809(c); 52 Pa. Code </w:t>
      </w:r>
      <w:r w:rsidR="001E4A75">
        <w:rPr>
          <w:sz w:val="26"/>
          <w:szCs w:val="26"/>
        </w:rPr>
        <w:t xml:space="preserve">§ </w:t>
      </w:r>
      <w:r w:rsidR="00252448">
        <w:rPr>
          <w:sz w:val="26"/>
          <w:szCs w:val="26"/>
        </w:rPr>
        <w:t xml:space="preserve">54.40(d).  </w:t>
      </w:r>
      <w:r>
        <w:rPr>
          <w:sz w:val="26"/>
          <w:szCs w:val="26"/>
        </w:rPr>
        <w:t xml:space="preserve">Accordingly, we will </w:t>
      </w:r>
      <w:r w:rsidR="008409B8">
        <w:rPr>
          <w:sz w:val="26"/>
          <w:szCs w:val="26"/>
        </w:rPr>
        <w:t xml:space="preserve">begin </w:t>
      </w:r>
      <w:r>
        <w:rPr>
          <w:sz w:val="26"/>
          <w:szCs w:val="26"/>
        </w:rPr>
        <w:t>accept</w:t>
      </w:r>
      <w:r w:rsidR="008409B8">
        <w:rPr>
          <w:sz w:val="26"/>
          <w:szCs w:val="26"/>
        </w:rPr>
        <w:t>ing</w:t>
      </w:r>
      <w:r>
        <w:rPr>
          <w:sz w:val="26"/>
          <w:szCs w:val="26"/>
        </w:rPr>
        <w:t xml:space="preserve"> the aforementioned </w:t>
      </w:r>
      <w:r w:rsidR="000A7F28">
        <w:rPr>
          <w:sz w:val="26"/>
          <w:szCs w:val="26"/>
        </w:rPr>
        <w:t>form</w:t>
      </w:r>
      <w:r w:rsidR="002164D8">
        <w:rPr>
          <w:sz w:val="26"/>
          <w:szCs w:val="26"/>
        </w:rPr>
        <w:t xml:space="preserve">s of </w:t>
      </w:r>
      <w:r>
        <w:rPr>
          <w:sz w:val="26"/>
          <w:szCs w:val="26"/>
        </w:rPr>
        <w:t xml:space="preserve">security instruments upon the effective date of this Final Order.  </w:t>
      </w:r>
    </w:p>
    <w:p w:rsidR="0032104C" w:rsidRDefault="0032104C" w:rsidP="0032104C">
      <w:pPr>
        <w:spacing w:line="360" w:lineRule="auto"/>
        <w:rPr>
          <w:sz w:val="26"/>
          <w:szCs w:val="26"/>
          <w:u w:val="single"/>
        </w:rPr>
      </w:pPr>
    </w:p>
    <w:p w:rsidR="0032104C" w:rsidRDefault="0032104C" w:rsidP="0032104C">
      <w:pPr>
        <w:spacing w:line="360" w:lineRule="auto"/>
        <w:rPr>
          <w:sz w:val="26"/>
          <w:szCs w:val="26"/>
        </w:rPr>
      </w:pPr>
      <w:r>
        <w:rPr>
          <w:sz w:val="26"/>
          <w:szCs w:val="26"/>
          <w:u w:val="single"/>
        </w:rPr>
        <w:t>The Commission’s Process for Accepting Requests to Change EGS’s Form of Security</w:t>
      </w:r>
    </w:p>
    <w:p w:rsidR="00FB4004" w:rsidRDefault="00FB4004" w:rsidP="00FB4004">
      <w:pPr>
        <w:spacing w:line="360" w:lineRule="auto"/>
        <w:ind w:firstLine="720"/>
        <w:rPr>
          <w:sz w:val="26"/>
          <w:szCs w:val="26"/>
        </w:rPr>
      </w:pPr>
      <w:r>
        <w:rPr>
          <w:sz w:val="26"/>
          <w:szCs w:val="26"/>
        </w:rPr>
        <w:t xml:space="preserve">To expedite </w:t>
      </w:r>
      <w:r w:rsidR="0001696B">
        <w:rPr>
          <w:sz w:val="26"/>
          <w:szCs w:val="26"/>
        </w:rPr>
        <w:t xml:space="preserve">the process for approving </w:t>
      </w:r>
      <w:r>
        <w:rPr>
          <w:sz w:val="26"/>
          <w:szCs w:val="26"/>
        </w:rPr>
        <w:t xml:space="preserve">petitions to change the EGS’s form of security instrument, the Commission is also delegating its authority to review uncontested petitions to the Bureau of Technical Utility Services through issuance of a Secretarial Letter approving or denying </w:t>
      </w:r>
      <w:r w:rsidR="0001696B">
        <w:rPr>
          <w:sz w:val="26"/>
          <w:szCs w:val="26"/>
        </w:rPr>
        <w:t>the EGS’s</w:t>
      </w:r>
      <w:r>
        <w:rPr>
          <w:sz w:val="26"/>
          <w:szCs w:val="26"/>
        </w:rPr>
        <w:t xml:space="preserve"> request</w:t>
      </w:r>
      <w:r w:rsidR="0001696B">
        <w:rPr>
          <w:sz w:val="26"/>
          <w:szCs w:val="26"/>
        </w:rPr>
        <w:t xml:space="preserve"> to change its form of security</w:t>
      </w:r>
      <w:r>
        <w:rPr>
          <w:sz w:val="26"/>
          <w:szCs w:val="26"/>
        </w:rPr>
        <w:t xml:space="preserve">.  </w:t>
      </w:r>
      <w:r>
        <w:rPr>
          <w:i/>
          <w:sz w:val="26"/>
          <w:szCs w:val="26"/>
        </w:rPr>
        <w:t>See</w:t>
      </w:r>
      <w:r w:rsidR="00FF048B">
        <w:rPr>
          <w:sz w:val="26"/>
          <w:szCs w:val="26"/>
        </w:rPr>
        <w:t xml:space="preserve"> 66 Pa. C.S. § </w:t>
      </w:r>
      <w:r>
        <w:rPr>
          <w:sz w:val="26"/>
          <w:szCs w:val="26"/>
        </w:rPr>
        <w:t xml:space="preserve">305(c) (providing the Commission the power to delegate more routine and ministerial work to Commission staff).  </w:t>
      </w:r>
      <w:r w:rsidR="004F249C">
        <w:rPr>
          <w:sz w:val="26"/>
          <w:szCs w:val="26"/>
        </w:rPr>
        <w:t xml:space="preserve">If a request is denied, the Bureau of Technical Utility Services will state </w:t>
      </w:r>
      <w:r w:rsidR="00B1275F">
        <w:rPr>
          <w:sz w:val="26"/>
          <w:szCs w:val="26"/>
        </w:rPr>
        <w:t>how</w:t>
      </w:r>
      <w:r w:rsidR="004F249C">
        <w:rPr>
          <w:sz w:val="26"/>
          <w:szCs w:val="26"/>
        </w:rPr>
        <w:t xml:space="preserve"> the request is not consi</w:t>
      </w:r>
      <w:r w:rsidR="004C6DA6">
        <w:rPr>
          <w:sz w:val="26"/>
          <w:szCs w:val="26"/>
        </w:rPr>
        <w:t>st</w:t>
      </w:r>
      <w:r w:rsidR="004F249C">
        <w:rPr>
          <w:sz w:val="26"/>
          <w:szCs w:val="26"/>
        </w:rPr>
        <w:t>ent with the Public Utility Code and the Commission’s bond</w:t>
      </w:r>
      <w:r w:rsidR="004C6DA6">
        <w:rPr>
          <w:sz w:val="26"/>
          <w:szCs w:val="26"/>
        </w:rPr>
        <w:t>ing</w:t>
      </w:r>
      <w:r w:rsidR="004F249C">
        <w:rPr>
          <w:sz w:val="26"/>
          <w:szCs w:val="26"/>
        </w:rPr>
        <w:t xml:space="preserve">/security regulations. </w:t>
      </w:r>
      <w:r w:rsidR="004C6DA6">
        <w:rPr>
          <w:sz w:val="26"/>
          <w:szCs w:val="26"/>
        </w:rPr>
        <w:t xml:space="preserve"> </w:t>
      </w:r>
      <w:r w:rsidR="004C6DA6">
        <w:rPr>
          <w:i/>
          <w:sz w:val="26"/>
          <w:szCs w:val="26"/>
        </w:rPr>
        <w:t xml:space="preserve">See </w:t>
      </w:r>
      <w:r w:rsidR="004C6DA6">
        <w:rPr>
          <w:sz w:val="26"/>
          <w:szCs w:val="26"/>
        </w:rPr>
        <w:t xml:space="preserve">52 Pa. Code §§ 54.31-54.43.  </w:t>
      </w:r>
      <w:r>
        <w:rPr>
          <w:sz w:val="26"/>
          <w:szCs w:val="26"/>
        </w:rPr>
        <w:t xml:space="preserve">An EGS may appeal the determination of the Bureau of Technical Utility Services to the Commission in accordance with 52 Pa. Code § 5.44.  Contested petitions will be </w:t>
      </w:r>
      <w:r>
        <w:rPr>
          <w:sz w:val="26"/>
          <w:szCs w:val="26"/>
        </w:rPr>
        <w:lastRenderedPageBreak/>
        <w:t xml:space="preserve">transferred to the Office of Administrative Law Judge and ruled upon by the Commission following notice and an opportunity for a hearing as necessary.  </w:t>
      </w:r>
      <w:r>
        <w:rPr>
          <w:i/>
          <w:sz w:val="26"/>
          <w:szCs w:val="26"/>
        </w:rPr>
        <w:t>See</w:t>
      </w:r>
      <w:r>
        <w:rPr>
          <w:sz w:val="26"/>
          <w:szCs w:val="26"/>
        </w:rPr>
        <w:t xml:space="preserve"> 66 Pa. C.S. § 703; </w:t>
      </w:r>
      <w:r>
        <w:rPr>
          <w:i/>
          <w:sz w:val="26"/>
          <w:szCs w:val="26"/>
        </w:rPr>
        <w:t xml:space="preserve">see also </w:t>
      </w:r>
      <w:r>
        <w:rPr>
          <w:sz w:val="26"/>
          <w:szCs w:val="26"/>
        </w:rPr>
        <w:t>52 Pa. Code § 54.36.</w:t>
      </w:r>
    </w:p>
    <w:p w:rsidR="00944D29" w:rsidRDefault="00944D29" w:rsidP="00FB4004">
      <w:pPr>
        <w:spacing w:line="360" w:lineRule="auto"/>
        <w:ind w:firstLine="720"/>
        <w:rPr>
          <w:sz w:val="26"/>
          <w:szCs w:val="26"/>
        </w:rPr>
      </w:pPr>
    </w:p>
    <w:p w:rsidR="00944D29" w:rsidRDefault="00944D29" w:rsidP="00FB4004">
      <w:pPr>
        <w:spacing w:line="360" w:lineRule="auto"/>
        <w:ind w:firstLine="720"/>
        <w:rPr>
          <w:sz w:val="26"/>
          <w:szCs w:val="26"/>
        </w:rPr>
      </w:pPr>
      <w:r>
        <w:rPr>
          <w:sz w:val="26"/>
          <w:szCs w:val="26"/>
        </w:rPr>
        <w:t>Unlike an EGS</w:t>
      </w:r>
      <w:r w:rsidR="005F0964">
        <w:rPr>
          <w:sz w:val="26"/>
          <w:szCs w:val="26"/>
        </w:rPr>
        <w:t>’s</w:t>
      </w:r>
      <w:r>
        <w:rPr>
          <w:sz w:val="26"/>
          <w:szCs w:val="26"/>
        </w:rPr>
        <w:t xml:space="preserve"> request to lower its bonding/security</w:t>
      </w:r>
      <w:r w:rsidR="005229A4">
        <w:rPr>
          <w:sz w:val="26"/>
          <w:szCs w:val="26"/>
        </w:rPr>
        <w:t xml:space="preserve"> amount</w:t>
      </w:r>
      <w:r w:rsidR="005F0964">
        <w:rPr>
          <w:sz w:val="26"/>
          <w:szCs w:val="26"/>
        </w:rPr>
        <w:t xml:space="preserve"> from 10% to 5% of the most recent 12 months of revenues</w:t>
      </w:r>
      <w:r>
        <w:rPr>
          <w:sz w:val="26"/>
          <w:szCs w:val="26"/>
        </w:rPr>
        <w:t>, we will not impose a separate $350 fee to process an EGS’s request to change its form of security.</w:t>
      </w:r>
      <w:r w:rsidR="005F0964">
        <w:rPr>
          <w:sz w:val="26"/>
          <w:szCs w:val="26"/>
        </w:rPr>
        <w:t xml:space="preserve">   </w:t>
      </w:r>
      <w:r>
        <w:rPr>
          <w:sz w:val="26"/>
          <w:szCs w:val="26"/>
        </w:rPr>
        <w:t xml:space="preserve">  </w:t>
      </w:r>
    </w:p>
    <w:p w:rsidR="005F0964" w:rsidRDefault="005F0964" w:rsidP="00FB4004">
      <w:pPr>
        <w:spacing w:line="360" w:lineRule="auto"/>
        <w:rPr>
          <w:sz w:val="26"/>
          <w:szCs w:val="26"/>
        </w:rPr>
      </w:pPr>
    </w:p>
    <w:p w:rsidR="00FB4004" w:rsidRPr="00FB4004" w:rsidRDefault="00FB4004" w:rsidP="00FB4004">
      <w:pPr>
        <w:spacing w:line="360" w:lineRule="auto"/>
        <w:rPr>
          <w:sz w:val="26"/>
          <w:szCs w:val="26"/>
          <w:u w:val="single"/>
        </w:rPr>
      </w:pPr>
      <w:r>
        <w:rPr>
          <w:sz w:val="26"/>
          <w:szCs w:val="26"/>
          <w:u w:val="single"/>
        </w:rPr>
        <w:t>Bureau of Technical Utility Services Staff Review of EGS Requests</w:t>
      </w:r>
    </w:p>
    <w:p w:rsidR="005605B8" w:rsidRDefault="005605B8" w:rsidP="0011430E">
      <w:pPr>
        <w:spacing w:line="360" w:lineRule="auto"/>
        <w:ind w:firstLine="720"/>
        <w:rPr>
          <w:sz w:val="26"/>
          <w:szCs w:val="26"/>
        </w:rPr>
      </w:pPr>
      <w:r>
        <w:rPr>
          <w:sz w:val="26"/>
          <w:szCs w:val="26"/>
        </w:rPr>
        <w:t>Commission staff will still apply careful scrutiny in reviewing an EGS’s request to reduce the level of bonding</w:t>
      </w:r>
      <w:r w:rsidR="00044E24">
        <w:rPr>
          <w:sz w:val="26"/>
          <w:szCs w:val="26"/>
        </w:rPr>
        <w:t>/security</w:t>
      </w:r>
      <w:r>
        <w:rPr>
          <w:sz w:val="26"/>
          <w:szCs w:val="26"/>
        </w:rPr>
        <w:t xml:space="preserve"> from 10% to 5% of the </w:t>
      </w:r>
      <w:r w:rsidR="002E7554">
        <w:rPr>
          <w:sz w:val="26"/>
          <w:szCs w:val="26"/>
        </w:rPr>
        <w:t>most recent</w:t>
      </w:r>
      <w:r>
        <w:rPr>
          <w:sz w:val="26"/>
          <w:szCs w:val="26"/>
        </w:rPr>
        <w:t xml:space="preserve"> 12 months of revenue or </w:t>
      </w:r>
      <w:r w:rsidR="00FE37F0">
        <w:rPr>
          <w:sz w:val="26"/>
          <w:szCs w:val="26"/>
        </w:rPr>
        <w:t>an EGS’s request to change its</w:t>
      </w:r>
      <w:r>
        <w:rPr>
          <w:sz w:val="26"/>
          <w:szCs w:val="26"/>
        </w:rPr>
        <w:t xml:space="preserve"> form of security.  </w:t>
      </w:r>
      <w:r w:rsidR="0011430E">
        <w:rPr>
          <w:sz w:val="26"/>
          <w:szCs w:val="26"/>
        </w:rPr>
        <w:t xml:space="preserve">At a minimum, Commission staff will require </w:t>
      </w:r>
      <w:r w:rsidR="00550DB9">
        <w:rPr>
          <w:sz w:val="26"/>
          <w:szCs w:val="26"/>
        </w:rPr>
        <w:t>each</w:t>
      </w:r>
      <w:r w:rsidR="0011430E">
        <w:rPr>
          <w:sz w:val="26"/>
          <w:szCs w:val="26"/>
        </w:rPr>
        <w:t xml:space="preserve"> EGS </w:t>
      </w:r>
      <w:r w:rsidR="00550DB9">
        <w:rPr>
          <w:sz w:val="26"/>
          <w:szCs w:val="26"/>
        </w:rPr>
        <w:t xml:space="preserve">seeking this change </w:t>
      </w:r>
      <w:r w:rsidR="0011430E">
        <w:rPr>
          <w:sz w:val="26"/>
          <w:szCs w:val="26"/>
        </w:rPr>
        <w:t xml:space="preserve">to: </w:t>
      </w:r>
    </w:p>
    <w:p w:rsidR="0011430E" w:rsidRDefault="0011430E" w:rsidP="00FE37F0">
      <w:pPr>
        <w:ind w:firstLine="720"/>
        <w:rPr>
          <w:sz w:val="26"/>
          <w:szCs w:val="26"/>
        </w:rPr>
      </w:pPr>
    </w:p>
    <w:p w:rsidR="00FE37F0" w:rsidRDefault="008D77BB" w:rsidP="00FE37F0">
      <w:pPr>
        <w:pStyle w:val="ListParagraph"/>
        <w:widowControl/>
        <w:numPr>
          <w:ilvl w:val="0"/>
          <w:numId w:val="4"/>
        </w:numPr>
        <w:rPr>
          <w:sz w:val="26"/>
          <w:szCs w:val="26"/>
        </w:rPr>
      </w:pPr>
      <w:r>
        <w:rPr>
          <w:sz w:val="26"/>
          <w:szCs w:val="26"/>
        </w:rPr>
        <w:t>Provide its</w:t>
      </w:r>
      <w:r w:rsidR="005605B8" w:rsidRPr="00FE37F0">
        <w:rPr>
          <w:sz w:val="26"/>
          <w:szCs w:val="26"/>
        </w:rPr>
        <w:t xml:space="preserve"> gross revenues for the sale of electricity to retail customers in Pennsylvania for the most recent 12 months</w:t>
      </w:r>
      <w:r w:rsidR="00550DB9">
        <w:rPr>
          <w:sz w:val="26"/>
          <w:szCs w:val="26"/>
        </w:rPr>
        <w:t>;</w:t>
      </w:r>
    </w:p>
    <w:p w:rsidR="00FE37F0" w:rsidRDefault="00FE37F0" w:rsidP="00FE37F0">
      <w:pPr>
        <w:pStyle w:val="ListParagraph"/>
        <w:widowControl/>
        <w:ind w:left="1080"/>
        <w:rPr>
          <w:sz w:val="26"/>
          <w:szCs w:val="26"/>
        </w:rPr>
      </w:pPr>
    </w:p>
    <w:p w:rsidR="0011430E" w:rsidRDefault="0011430E" w:rsidP="00FE37F0">
      <w:pPr>
        <w:pStyle w:val="ListParagraph"/>
        <w:widowControl/>
        <w:numPr>
          <w:ilvl w:val="0"/>
          <w:numId w:val="4"/>
        </w:numPr>
        <w:rPr>
          <w:sz w:val="26"/>
          <w:szCs w:val="26"/>
        </w:rPr>
      </w:pPr>
      <w:r w:rsidRPr="00FE37F0">
        <w:rPr>
          <w:sz w:val="26"/>
          <w:szCs w:val="26"/>
        </w:rPr>
        <w:t>Provide the amount of gross receipts taxes that the EGS has prepaid towards its estimated revenues for the current calendar year</w:t>
      </w:r>
      <w:r w:rsidR="00550DB9">
        <w:rPr>
          <w:sz w:val="26"/>
          <w:szCs w:val="26"/>
        </w:rPr>
        <w:t>;</w:t>
      </w:r>
      <w:r w:rsidRPr="00FE37F0">
        <w:rPr>
          <w:sz w:val="26"/>
          <w:szCs w:val="26"/>
        </w:rPr>
        <w:t xml:space="preserve"> </w:t>
      </w:r>
    </w:p>
    <w:p w:rsidR="00FE37F0" w:rsidRPr="00FE37F0" w:rsidRDefault="00FE37F0" w:rsidP="00FE37F0">
      <w:pPr>
        <w:widowControl/>
        <w:rPr>
          <w:sz w:val="26"/>
          <w:szCs w:val="26"/>
        </w:rPr>
      </w:pPr>
    </w:p>
    <w:p w:rsidR="0011430E" w:rsidRDefault="0011430E" w:rsidP="0011430E">
      <w:pPr>
        <w:pStyle w:val="ListParagraph"/>
        <w:widowControl/>
        <w:numPr>
          <w:ilvl w:val="0"/>
          <w:numId w:val="4"/>
        </w:numPr>
        <w:rPr>
          <w:sz w:val="26"/>
          <w:szCs w:val="26"/>
        </w:rPr>
      </w:pPr>
      <w:r>
        <w:rPr>
          <w:sz w:val="26"/>
          <w:szCs w:val="26"/>
        </w:rPr>
        <w:t>S</w:t>
      </w:r>
      <w:r w:rsidRPr="00FE37F0">
        <w:rPr>
          <w:sz w:val="26"/>
          <w:szCs w:val="26"/>
        </w:rPr>
        <w:t>ubmit documentation</w:t>
      </w:r>
      <w:r w:rsidR="008D77BB">
        <w:rPr>
          <w:sz w:val="26"/>
          <w:szCs w:val="26"/>
        </w:rPr>
        <w:t>,</w:t>
      </w:r>
      <w:r w:rsidRPr="00FE37F0">
        <w:rPr>
          <w:sz w:val="26"/>
          <w:szCs w:val="26"/>
        </w:rPr>
        <w:t xml:space="preserve"> </w:t>
      </w:r>
      <w:r w:rsidR="008D77BB">
        <w:rPr>
          <w:sz w:val="26"/>
          <w:szCs w:val="26"/>
        </w:rPr>
        <w:t>if</w:t>
      </w:r>
      <w:r>
        <w:rPr>
          <w:sz w:val="26"/>
          <w:szCs w:val="26"/>
        </w:rPr>
        <w:t xml:space="preserve"> </w:t>
      </w:r>
      <w:r w:rsidR="008D77BB">
        <w:rPr>
          <w:sz w:val="26"/>
          <w:szCs w:val="26"/>
        </w:rPr>
        <w:t xml:space="preserve">the </w:t>
      </w:r>
      <w:r>
        <w:rPr>
          <w:sz w:val="26"/>
          <w:szCs w:val="26"/>
        </w:rPr>
        <w:t>EGS</w:t>
      </w:r>
      <w:r w:rsidRPr="001F4FA9">
        <w:rPr>
          <w:sz w:val="26"/>
          <w:szCs w:val="26"/>
        </w:rPr>
        <w:t xml:space="preserve"> </w:t>
      </w:r>
      <w:r w:rsidR="008D77BB">
        <w:rPr>
          <w:sz w:val="26"/>
          <w:szCs w:val="26"/>
        </w:rPr>
        <w:t xml:space="preserve">is </w:t>
      </w:r>
      <w:r w:rsidRPr="001F4FA9">
        <w:rPr>
          <w:sz w:val="26"/>
          <w:szCs w:val="26"/>
        </w:rPr>
        <w:t>proposing to utilize a parental or corporate guarantee</w:t>
      </w:r>
      <w:r w:rsidR="008D77BB">
        <w:rPr>
          <w:sz w:val="26"/>
          <w:szCs w:val="26"/>
        </w:rPr>
        <w:t>,</w:t>
      </w:r>
      <w:r w:rsidRPr="0011430E">
        <w:rPr>
          <w:sz w:val="26"/>
          <w:szCs w:val="26"/>
        </w:rPr>
        <w:t xml:space="preserve"> </w:t>
      </w:r>
      <w:r>
        <w:rPr>
          <w:sz w:val="26"/>
          <w:szCs w:val="26"/>
        </w:rPr>
        <w:t xml:space="preserve">that </w:t>
      </w:r>
      <w:r w:rsidRPr="00FE37F0">
        <w:rPr>
          <w:sz w:val="26"/>
          <w:szCs w:val="26"/>
        </w:rPr>
        <w:t>demonstrat</w:t>
      </w:r>
      <w:r>
        <w:rPr>
          <w:sz w:val="26"/>
          <w:szCs w:val="26"/>
        </w:rPr>
        <w:t>es</w:t>
      </w:r>
      <w:r w:rsidRPr="00FE37F0">
        <w:rPr>
          <w:sz w:val="26"/>
          <w:szCs w:val="26"/>
        </w:rPr>
        <w:t xml:space="preserve"> t</w:t>
      </w:r>
      <w:r w:rsidR="001A10EA">
        <w:rPr>
          <w:sz w:val="26"/>
          <w:szCs w:val="26"/>
        </w:rPr>
        <w:t>h</w:t>
      </w:r>
      <w:r w:rsidRPr="00FE37F0">
        <w:rPr>
          <w:sz w:val="26"/>
          <w:szCs w:val="26"/>
        </w:rPr>
        <w:t>at the guarant</w:t>
      </w:r>
      <w:r w:rsidR="008D77BB">
        <w:rPr>
          <w:sz w:val="26"/>
          <w:szCs w:val="26"/>
        </w:rPr>
        <w:t>or</w:t>
      </w:r>
      <w:r w:rsidRPr="00FE37F0">
        <w:rPr>
          <w:sz w:val="26"/>
          <w:szCs w:val="26"/>
        </w:rPr>
        <w:t xml:space="preserve"> meets the required long-term bond rating from </w:t>
      </w:r>
      <w:r w:rsidR="003526C6">
        <w:rPr>
          <w:sz w:val="26"/>
          <w:szCs w:val="26"/>
        </w:rPr>
        <w:t>two of the</w:t>
      </w:r>
      <w:r w:rsidRPr="00FE37F0">
        <w:rPr>
          <w:sz w:val="26"/>
          <w:szCs w:val="26"/>
        </w:rPr>
        <w:t xml:space="preserve"> appro</w:t>
      </w:r>
      <w:r w:rsidR="001A10EA">
        <w:rPr>
          <w:sz w:val="26"/>
          <w:szCs w:val="26"/>
        </w:rPr>
        <w:t>ved</w:t>
      </w:r>
      <w:r w:rsidRPr="00FE37F0">
        <w:rPr>
          <w:sz w:val="26"/>
          <w:szCs w:val="26"/>
        </w:rPr>
        <w:t xml:space="preserve"> rating agenc</w:t>
      </w:r>
      <w:r w:rsidR="003526C6">
        <w:rPr>
          <w:sz w:val="26"/>
          <w:szCs w:val="26"/>
        </w:rPr>
        <w:t>ies</w:t>
      </w:r>
      <w:r w:rsidR="00550DB9">
        <w:rPr>
          <w:sz w:val="26"/>
          <w:szCs w:val="26"/>
        </w:rPr>
        <w:t>;</w:t>
      </w:r>
      <w:r w:rsidRPr="00FE37F0">
        <w:rPr>
          <w:sz w:val="26"/>
          <w:szCs w:val="26"/>
        </w:rPr>
        <w:t xml:space="preserve"> </w:t>
      </w:r>
    </w:p>
    <w:p w:rsidR="00A34EEA" w:rsidRPr="00A34EEA" w:rsidRDefault="00A34EEA" w:rsidP="00A34EEA">
      <w:pPr>
        <w:pStyle w:val="ListParagraph"/>
        <w:rPr>
          <w:sz w:val="26"/>
          <w:szCs w:val="26"/>
        </w:rPr>
      </w:pPr>
    </w:p>
    <w:p w:rsidR="00FE37F0" w:rsidRDefault="00A34EEA" w:rsidP="00FE37F0">
      <w:pPr>
        <w:pStyle w:val="ListParagraph"/>
        <w:widowControl/>
        <w:numPr>
          <w:ilvl w:val="0"/>
          <w:numId w:val="4"/>
        </w:numPr>
        <w:rPr>
          <w:sz w:val="26"/>
          <w:szCs w:val="26"/>
        </w:rPr>
      </w:pPr>
      <w:r>
        <w:rPr>
          <w:sz w:val="26"/>
          <w:szCs w:val="26"/>
        </w:rPr>
        <w:t xml:space="preserve">Provide </w:t>
      </w:r>
      <w:r w:rsidR="00DD3115">
        <w:rPr>
          <w:sz w:val="26"/>
          <w:szCs w:val="26"/>
        </w:rPr>
        <w:t xml:space="preserve">available </w:t>
      </w:r>
      <w:r>
        <w:rPr>
          <w:sz w:val="26"/>
          <w:szCs w:val="26"/>
        </w:rPr>
        <w:t>AEPS compliance data from the most recent 12 months</w:t>
      </w:r>
      <w:r w:rsidR="00550DB9">
        <w:rPr>
          <w:sz w:val="26"/>
          <w:szCs w:val="26"/>
        </w:rPr>
        <w:t>; and</w:t>
      </w:r>
    </w:p>
    <w:p w:rsidR="00FE37F0" w:rsidRPr="00FE37F0" w:rsidRDefault="00FE37F0" w:rsidP="00FE37F0">
      <w:pPr>
        <w:pStyle w:val="ListParagraph"/>
        <w:rPr>
          <w:sz w:val="26"/>
          <w:szCs w:val="26"/>
        </w:rPr>
      </w:pPr>
    </w:p>
    <w:p w:rsidR="0011430E" w:rsidRPr="00FE37F0" w:rsidRDefault="0011430E" w:rsidP="00FE37F0">
      <w:pPr>
        <w:pStyle w:val="ListParagraph"/>
        <w:widowControl/>
        <w:numPr>
          <w:ilvl w:val="0"/>
          <w:numId w:val="4"/>
        </w:numPr>
        <w:rPr>
          <w:sz w:val="26"/>
          <w:szCs w:val="26"/>
        </w:rPr>
      </w:pPr>
      <w:r w:rsidRPr="00FE37F0">
        <w:rPr>
          <w:sz w:val="26"/>
          <w:szCs w:val="26"/>
        </w:rPr>
        <w:t xml:space="preserve">Provide copies of all Department of Revenue documents that support </w:t>
      </w:r>
      <w:r w:rsidR="001A10EA" w:rsidRPr="00FE37F0">
        <w:rPr>
          <w:sz w:val="26"/>
          <w:szCs w:val="26"/>
        </w:rPr>
        <w:t>the EGS’s</w:t>
      </w:r>
      <w:r w:rsidRPr="00FE37F0">
        <w:rPr>
          <w:sz w:val="26"/>
          <w:szCs w:val="26"/>
        </w:rPr>
        <w:t xml:space="preserve"> request.</w:t>
      </w:r>
    </w:p>
    <w:p w:rsidR="00737842" w:rsidRDefault="00737842" w:rsidP="00FE37F0">
      <w:pPr>
        <w:spacing w:line="360" w:lineRule="auto"/>
        <w:rPr>
          <w:sz w:val="26"/>
          <w:szCs w:val="26"/>
        </w:rPr>
      </w:pPr>
    </w:p>
    <w:p w:rsidR="0011430E" w:rsidRDefault="0011430E" w:rsidP="00FE37F0">
      <w:pPr>
        <w:spacing w:line="360" w:lineRule="auto"/>
        <w:rPr>
          <w:sz w:val="26"/>
          <w:szCs w:val="26"/>
        </w:rPr>
      </w:pPr>
      <w:r>
        <w:rPr>
          <w:sz w:val="26"/>
          <w:szCs w:val="26"/>
        </w:rPr>
        <w:t xml:space="preserve">Depending on the nature of the EGS’s request, Commission staff </w:t>
      </w:r>
      <w:r w:rsidR="001A10EA">
        <w:rPr>
          <w:sz w:val="26"/>
          <w:szCs w:val="26"/>
        </w:rPr>
        <w:t xml:space="preserve">may </w:t>
      </w:r>
      <w:r>
        <w:rPr>
          <w:sz w:val="26"/>
          <w:szCs w:val="26"/>
        </w:rPr>
        <w:t xml:space="preserve">seek more information from the EGS, such as demonstration that the EGS has paid Pennsylvania </w:t>
      </w:r>
      <w:r w:rsidR="00550DB9">
        <w:rPr>
          <w:sz w:val="26"/>
          <w:szCs w:val="26"/>
        </w:rPr>
        <w:t>GRT</w:t>
      </w:r>
      <w:r w:rsidR="004C6DA6">
        <w:rPr>
          <w:sz w:val="26"/>
          <w:szCs w:val="26"/>
        </w:rPr>
        <w:t xml:space="preserve"> </w:t>
      </w:r>
      <w:r>
        <w:rPr>
          <w:sz w:val="26"/>
          <w:szCs w:val="26"/>
        </w:rPr>
        <w:t>for the previous calendar year</w:t>
      </w:r>
      <w:r w:rsidR="00AF6828">
        <w:rPr>
          <w:sz w:val="26"/>
          <w:szCs w:val="26"/>
        </w:rPr>
        <w:t>(s)</w:t>
      </w:r>
      <w:r>
        <w:rPr>
          <w:sz w:val="26"/>
          <w:szCs w:val="26"/>
        </w:rPr>
        <w:t>.</w:t>
      </w:r>
      <w:r w:rsidR="008B4038">
        <w:rPr>
          <w:sz w:val="26"/>
          <w:szCs w:val="26"/>
        </w:rPr>
        <w:t xml:space="preserve">  We note that submission of this information alone will not result in automatic approval, as the bond/security</w:t>
      </w:r>
      <w:r w:rsidR="003526C6">
        <w:rPr>
          <w:sz w:val="26"/>
          <w:szCs w:val="26"/>
        </w:rPr>
        <w:t xml:space="preserve"> instrument(s)</w:t>
      </w:r>
      <w:r w:rsidR="008B4038">
        <w:rPr>
          <w:sz w:val="26"/>
          <w:szCs w:val="26"/>
        </w:rPr>
        <w:t xml:space="preserve"> must still comply with the </w:t>
      </w:r>
      <w:r w:rsidR="004D02F1">
        <w:rPr>
          <w:sz w:val="26"/>
          <w:szCs w:val="26"/>
        </w:rPr>
        <w:t xml:space="preserve">Public Utility Code and </w:t>
      </w:r>
      <w:r w:rsidR="008B4038">
        <w:rPr>
          <w:sz w:val="26"/>
          <w:szCs w:val="26"/>
        </w:rPr>
        <w:t>Commission re</w:t>
      </w:r>
      <w:r w:rsidR="004D02F1">
        <w:rPr>
          <w:sz w:val="26"/>
          <w:szCs w:val="26"/>
        </w:rPr>
        <w:t xml:space="preserve">gulations.  </w:t>
      </w:r>
      <w:r w:rsidR="004D02F1" w:rsidRPr="004D02F1">
        <w:rPr>
          <w:i/>
          <w:sz w:val="26"/>
          <w:szCs w:val="26"/>
        </w:rPr>
        <w:t>See</w:t>
      </w:r>
      <w:r w:rsidR="00667C51">
        <w:rPr>
          <w:sz w:val="26"/>
          <w:szCs w:val="26"/>
        </w:rPr>
        <w:t xml:space="preserve"> 66 Pa. C.S. </w:t>
      </w:r>
      <w:r w:rsidR="00A92C52">
        <w:rPr>
          <w:sz w:val="26"/>
          <w:szCs w:val="26"/>
        </w:rPr>
        <w:t xml:space="preserve">         </w:t>
      </w:r>
      <w:r w:rsidR="00667C51">
        <w:rPr>
          <w:sz w:val="26"/>
          <w:szCs w:val="26"/>
        </w:rPr>
        <w:lastRenderedPageBreak/>
        <w:t>§ 2809,</w:t>
      </w:r>
      <w:r w:rsidR="004D02F1">
        <w:rPr>
          <w:sz w:val="26"/>
          <w:szCs w:val="26"/>
        </w:rPr>
        <w:t xml:space="preserve"> </w:t>
      </w:r>
      <w:r w:rsidR="008B4038">
        <w:rPr>
          <w:sz w:val="26"/>
          <w:szCs w:val="26"/>
        </w:rPr>
        <w:t xml:space="preserve">52 Pa. Code § 54.40.  </w:t>
      </w:r>
      <w:r>
        <w:rPr>
          <w:sz w:val="26"/>
          <w:szCs w:val="26"/>
        </w:rPr>
        <w:t xml:space="preserve">  </w:t>
      </w:r>
    </w:p>
    <w:p w:rsidR="0091003B" w:rsidRDefault="0091003B" w:rsidP="00FE37F0">
      <w:pPr>
        <w:spacing w:line="360" w:lineRule="auto"/>
        <w:rPr>
          <w:sz w:val="26"/>
          <w:szCs w:val="26"/>
        </w:rPr>
      </w:pPr>
    </w:p>
    <w:p w:rsidR="006A20C0" w:rsidRDefault="00AE1B3D" w:rsidP="006A20C0">
      <w:pPr>
        <w:spacing w:line="360" w:lineRule="auto"/>
        <w:ind w:firstLine="720"/>
        <w:rPr>
          <w:sz w:val="26"/>
          <w:szCs w:val="26"/>
        </w:rPr>
      </w:pPr>
      <w:r>
        <w:rPr>
          <w:sz w:val="26"/>
          <w:szCs w:val="26"/>
        </w:rPr>
        <w:t xml:space="preserve">Within </w:t>
      </w:r>
      <w:r w:rsidR="00562DF6">
        <w:rPr>
          <w:sz w:val="26"/>
          <w:szCs w:val="26"/>
        </w:rPr>
        <w:t xml:space="preserve">approximately </w:t>
      </w:r>
      <w:r>
        <w:rPr>
          <w:sz w:val="26"/>
          <w:szCs w:val="26"/>
        </w:rPr>
        <w:t>nine months of the entry date of this Order</w:t>
      </w:r>
      <w:r w:rsidR="006A20C0">
        <w:rPr>
          <w:sz w:val="26"/>
          <w:szCs w:val="26"/>
        </w:rPr>
        <w:t xml:space="preserve"> we </w:t>
      </w:r>
      <w:r w:rsidR="00550DB9">
        <w:rPr>
          <w:sz w:val="26"/>
          <w:szCs w:val="26"/>
        </w:rPr>
        <w:t>plan to</w:t>
      </w:r>
      <w:r w:rsidR="006A20C0">
        <w:rPr>
          <w:sz w:val="26"/>
          <w:szCs w:val="26"/>
        </w:rPr>
        <w:t xml:space="preserve"> initiate a rulemaking to effectuate </w:t>
      </w:r>
      <w:r w:rsidR="00F2056B">
        <w:rPr>
          <w:sz w:val="26"/>
          <w:szCs w:val="26"/>
        </w:rPr>
        <w:t xml:space="preserve">and codify </w:t>
      </w:r>
      <w:r w:rsidR="006A20C0">
        <w:rPr>
          <w:sz w:val="26"/>
          <w:szCs w:val="26"/>
        </w:rPr>
        <w:t xml:space="preserve">these </w:t>
      </w:r>
      <w:r w:rsidR="002164D8">
        <w:rPr>
          <w:sz w:val="26"/>
          <w:szCs w:val="26"/>
        </w:rPr>
        <w:t xml:space="preserve">policy </w:t>
      </w:r>
      <w:r w:rsidR="006A20C0">
        <w:rPr>
          <w:sz w:val="26"/>
          <w:szCs w:val="26"/>
        </w:rPr>
        <w:t xml:space="preserve">changes in our regulations.  In that rulemaking, we </w:t>
      </w:r>
      <w:r w:rsidR="00252448">
        <w:rPr>
          <w:sz w:val="26"/>
          <w:szCs w:val="26"/>
        </w:rPr>
        <w:t>will</w:t>
      </w:r>
      <w:r w:rsidR="006A20C0">
        <w:rPr>
          <w:sz w:val="26"/>
          <w:szCs w:val="26"/>
        </w:rPr>
        <w:t xml:space="preserve"> invite comments from stakeholders and the regulated community concerning any potential revisions to Section 54.40 of our regulations to ensure that the </w:t>
      </w:r>
      <w:r w:rsidR="00667C51">
        <w:rPr>
          <w:sz w:val="26"/>
          <w:szCs w:val="26"/>
        </w:rPr>
        <w:t>amount</w:t>
      </w:r>
      <w:r w:rsidR="003526C6">
        <w:rPr>
          <w:sz w:val="26"/>
          <w:szCs w:val="26"/>
        </w:rPr>
        <w:t xml:space="preserve"> of </w:t>
      </w:r>
      <w:r w:rsidR="00667C51">
        <w:rPr>
          <w:sz w:val="26"/>
          <w:szCs w:val="26"/>
        </w:rPr>
        <w:t xml:space="preserve">the </w:t>
      </w:r>
      <w:r w:rsidR="006A20C0">
        <w:rPr>
          <w:sz w:val="26"/>
          <w:szCs w:val="26"/>
        </w:rPr>
        <w:t xml:space="preserve">bonds and securities we approve </w:t>
      </w:r>
      <w:r w:rsidR="00667C51">
        <w:rPr>
          <w:sz w:val="26"/>
          <w:szCs w:val="26"/>
        </w:rPr>
        <w:t>is</w:t>
      </w:r>
      <w:r w:rsidR="006A20C0">
        <w:rPr>
          <w:sz w:val="26"/>
          <w:szCs w:val="26"/>
        </w:rPr>
        <w:t xml:space="preserve"> proportionate to the risk the security obligation is intended to cover </w:t>
      </w:r>
      <w:r w:rsidR="00667C51">
        <w:rPr>
          <w:sz w:val="26"/>
          <w:szCs w:val="26"/>
        </w:rPr>
        <w:t>and</w:t>
      </w:r>
      <w:r w:rsidR="00550DB9">
        <w:rPr>
          <w:sz w:val="26"/>
          <w:szCs w:val="26"/>
        </w:rPr>
        <w:t xml:space="preserve"> </w:t>
      </w:r>
      <w:r w:rsidR="006A20C0">
        <w:rPr>
          <w:sz w:val="26"/>
          <w:szCs w:val="26"/>
        </w:rPr>
        <w:t>account</w:t>
      </w:r>
      <w:r w:rsidR="00667C51">
        <w:rPr>
          <w:sz w:val="26"/>
          <w:szCs w:val="26"/>
        </w:rPr>
        <w:t>s</w:t>
      </w:r>
      <w:r w:rsidR="006A20C0">
        <w:rPr>
          <w:sz w:val="26"/>
          <w:szCs w:val="26"/>
        </w:rPr>
        <w:t xml:space="preserve"> for all identifiable risks to the Commonwealth and the consumers of Pennsylvania. </w:t>
      </w:r>
      <w:r w:rsidR="00D1742A">
        <w:rPr>
          <w:sz w:val="26"/>
          <w:szCs w:val="26"/>
        </w:rPr>
        <w:t xml:space="preserve"> </w:t>
      </w:r>
      <w:r w:rsidR="00D1742A">
        <w:rPr>
          <w:i/>
          <w:sz w:val="26"/>
          <w:szCs w:val="26"/>
        </w:rPr>
        <w:t>See</w:t>
      </w:r>
      <w:r w:rsidR="00D1742A">
        <w:rPr>
          <w:sz w:val="26"/>
          <w:szCs w:val="26"/>
        </w:rPr>
        <w:t xml:space="preserve"> OCA Comments at 5.  </w:t>
      </w:r>
      <w:r w:rsidR="006A20C0">
        <w:rPr>
          <w:sz w:val="26"/>
          <w:szCs w:val="26"/>
        </w:rPr>
        <w:t xml:space="preserve"> </w:t>
      </w:r>
    </w:p>
    <w:p w:rsidR="00D1139B" w:rsidRDefault="00D1139B" w:rsidP="006A20C0">
      <w:pPr>
        <w:spacing w:line="360" w:lineRule="auto"/>
        <w:ind w:firstLine="720"/>
        <w:rPr>
          <w:sz w:val="26"/>
          <w:szCs w:val="26"/>
        </w:rPr>
      </w:pPr>
    </w:p>
    <w:p w:rsidR="00CA43A5" w:rsidRPr="00CA43A5" w:rsidRDefault="00CA43A5" w:rsidP="00CA43A5">
      <w:pPr>
        <w:spacing w:line="360" w:lineRule="auto"/>
        <w:jc w:val="center"/>
        <w:rPr>
          <w:b/>
          <w:sz w:val="26"/>
          <w:szCs w:val="26"/>
        </w:rPr>
      </w:pPr>
      <w:r w:rsidRPr="00CA43A5">
        <w:rPr>
          <w:b/>
          <w:sz w:val="26"/>
          <w:szCs w:val="26"/>
        </w:rPr>
        <w:t>Conclusion</w:t>
      </w:r>
    </w:p>
    <w:p w:rsidR="00CA43A5" w:rsidRPr="00CA43A5" w:rsidRDefault="00CA43A5" w:rsidP="00A63924">
      <w:pPr>
        <w:spacing w:line="360" w:lineRule="auto"/>
        <w:ind w:firstLine="720"/>
        <w:rPr>
          <w:sz w:val="26"/>
          <w:szCs w:val="26"/>
        </w:rPr>
      </w:pPr>
      <w:r w:rsidRPr="00CA43A5">
        <w:rPr>
          <w:sz w:val="26"/>
          <w:szCs w:val="26"/>
        </w:rPr>
        <w:t xml:space="preserve">Based upon the foregoing discussion, </w:t>
      </w:r>
      <w:r w:rsidR="00A35863">
        <w:rPr>
          <w:sz w:val="26"/>
          <w:szCs w:val="26"/>
        </w:rPr>
        <w:t xml:space="preserve">we </w:t>
      </w:r>
      <w:r w:rsidR="007B0508">
        <w:rPr>
          <w:sz w:val="26"/>
          <w:szCs w:val="26"/>
        </w:rPr>
        <w:t>finalize the proposals of the December 5, 2013 Tentative Order</w:t>
      </w:r>
      <w:r w:rsidR="00C83425">
        <w:rPr>
          <w:sz w:val="26"/>
          <w:szCs w:val="26"/>
        </w:rPr>
        <w:t xml:space="preserve"> </w:t>
      </w:r>
      <w:r w:rsidR="002164D8">
        <w:rPr>
          <w:sz w:val="26"/>
          <w:szCs w:val="26"/>
        </w:rPr>
        <w:t xml:space="preserve">consistent </w:t>
      </w:r>
      <w:r w:rsidR="00C83425">
        <w:rPr>
          <w:sz w:val="26"/>
          <w:szCs w:val="26"/>
        </w:rPr>
        <w:t xml:space="preserve">with this Final Order.  </w:t>
      </w:r>
      <w:r w:rsidR="00741990">
        <w:rPr>
          <w:sz w:val="26"/>
          <w:szCs w:val="26"/>
        </w:rPr>
        <w:t>Accordingly, it shall be the policy of the Commission to a</w:t>
      </w:r>
      <w:r w:rsidR="00550DB9">
        <w:rPr>
          <w:sz w:val="26"/>
          <w:szCs w:val="26"/>
        </w:rPr>
        <w:t>ccept</w:t>
      </w:r>
      <w:r w:rsidR="00741990">
        <w:rPr>
          <w:sz w:val="26"/>
          <w:szCs w:val="26"/>
        </w:rPr>
        <w:t xml:space="preserve"> a request by an EGS to reduce its level of bonding</w:t>
      </w:r>
      <w:r w:rsidR="00044E24">
        <w:rPr>
          <w:sz w:val="26"/>
          <w:szCs w:val="26"/>
        </w:rPr>
        <w:t>/security</w:t>
      </w:r>
      <w:r w:rsidR="00741990">
        <w:rPr>
          <w:sz w:val="26"/>
          <w:szCs w:val="26"/>
        </w:rPr>
        <w:t xml:space="preserve"> </w:t>
      </w:r>
      <w:r w:rsidR="009050AC">
        <w:rPr>
          <w:sz w:val="26"/>
          <w:szCs w:val="26"/>
        </w:rPr>
        <w:t>after</w:t>
      </w:r>
      <w:r w:rsidR="00741990">
        <w:rPr>
          <w:sz w:val="26"/>
          <w:szCs w:val="26"/>
        </w:rPr>
        <w:t xml:space="preserve"> the first year of operation to 5% of </w:t>
      </w:r>
      <w:r w:rsidR="006E3CAD">
        <w:rPr>
          <w:sz w:val="26"/>
          <w:szCs w:val="26"/>
        </w:rPr>
        <w:t>the EGS’s most recent 12 months of revenue or $250,000, whichever is higher</w:t>
      </w:r>
      <w:r w:rsidR="00741990">
        <w:rPr>
          <w:sz w:val="26"/>
          <w:szCs w:val="26"/>
        </w:rPr>
        <w:t xml:space="preserve">.  </w:t>
      </w:r>
      <w:r w:rsidR="008B4038">
        <w:rPr>
          <w:sz w:val="26"/>
          <w:szCs w:val="26"/>
        </w:rPr>
        <w:t>I</w:t>
      </w:r>
      <w:r w:rsidR="005D5BC3">
        <w:rPr>
          <w:sz w:val="26"/>
          <w:szCs w:val="26"/>
        </w:rPr>
        <w:t xml:space="preserve">t shall also be the policy of the Commission to expand the </w:t>
      </w:r>
      <w:r w:rsidR="000A7F28">
        <w:rPr>
          <w:sz w:val="26"/>
          <w:szCs w:val="26"/>
        </w:rPr>
        <w:t>form</w:t>
      </w:r>
      <w:r w:rsidR="005D5BC3">
        <w:rPr>
          <w:sz w:val="26"/>
          <w:szCs w:val="26"/>
        </w:rPr>
        <w:t xml:space="preserve">s of </w:t>
      </w:r>
      <w:r w:rsidR="00A159C5">
        <w:rPr>
          <w:sz w:val="26"/>
          <w:szCs w:val="26"/>
        </w:rPr>
        <w:t xml:space="preserve">allowable </w:t>
      </w:r>
      <w:r w:rsidR="00D1139B">
        <w:rPr>
          <w:sz w:val="26"/>
          <w:szCs w:val="26"/>
        </w:rPr>
        <w:t>security instruments</w:t>
      </w:r>
      <w:r w:rsidR="008D77BB">
        <w:rPr>
          <w:sz w:val="26"/>
          <w:szCs w:val="26"/>
        </w:rPr>
        <w:t>,</w:t>
      </w:r>
      <w:r w:rsidR="00D1139B">
        <w:rPr>
          <w:sz w:val="26"/>
          <w:szCs w:val="26"/>
        </w:rPr>
        <w:t xml:space="preserve"> consistent with</w:t>
      </w:r>
      <w:r w:rsidR="008D77BB">
        <w:rPr>
          <w:sz w:val="26"/>
          <w:szCs w:val="26"/>
        </w:rPr>
        <w:t xml:space="preserve"> this Final Order</w:t>
      </w:r>
      <w:r w:rsidR="005D5BC3">
        <w:rPr>
          <w:sz w:val="26"/>
          <w:szCs w:val="26"/>
        </w:rPr>
        <w:t>.</w:t>
      </w:r>
      <w:r w:rsidR="00741990">
        <w:rPr>
          <w:sz w:val="26"/>
          <w:szCs w:val="26"/>
        </w:rPr>
        <w:t xml:space="preserve">  We delegate our authority </w:t>
      </w:r>
      <w:r w:rsidR="002472DE">
        <w:rPr>
          <w:sz w:val="26"/>
          <w:szCs w:val="26"/>
        </w:rPr>
        <w:t xml:space="preserve">to the Bureau of Technical Utility Services </w:t>
      </w:r>
      <w:r w:rsidR="00741990">
        <w:rPr>
          <w:sz w:val="26"/>
          <w:szCs w:val="26"/>
        </w:rPr>
        <w:t xml:space="preserve">to approve uncontested petitions </w:t>
      </w:r>
      <w:r w:rsidR="002472DE">
        <w:rPr>
          <w:sz w:val="26"/>
          <w:szCs w:val="26"/>
        </w:rPr>
        <w:t xml:space="preserve">regarding an EGS’s request </w:t>
      </w:r>
      <w:r w:rsidR="008D77BB">
        <w:rPr>
          <w:sz w:val="26"/>
          <w:szCs w:val="26"/>
        </w:rPr>
        <w:t xml:space="preserve">to reduce </w:t>
      </w:r>
      <w:r w:rsidR="001113DB">
        <w:rPr>
          <w:sz w:val="26"/>
          <w:szCs w:val="26"/>
        </w:rPr>
        <w:t xml:space="preserve">its </w:t>
      </w:r>
      <w:r w:rsidR="008D77BB">
        <w:rPr>
          <w:sz w:val="26"/>
          <w:szCs w:val="26"/>
        </w:rPr>
        <w:t>bonding/security amount from 10% to 5% of the EGS’s most recent 12 months of revenue or an EGS’s request to change its form of security</w:t>
      </w:r>
      <w:r w:rsidR="00550DB9">
        <w:rPr>
          <w:sz w:val="26"/>
          <w:szCs w:val="26"/>
        </w:rPr>
        <w:t xml:space="preserve"> when it is found that the revised security/bond compl</w:t>
      </w:r>
      <w:r w:rsidR="00667C51">
        <w:rPr>
          <w:sz w:val="26"/>
          <w:szCs w:val="26"/>
        </w:rPr>
        <w:t>ies</w:t>
      </w:r>
      <w:r w:rsidR="00550DB9">
        <w:rPr>
          <w:sz w:val="26"/>
          <w:szCs w:val="26"/>
        </w:rPr>
        <w:t xml:space="preserve"> with the</w:t>
      </w:r>
      <w:r w:rsidR="007164E8">
        <w:rPr>
          <w:sz w:val="26"/>
          <w:szCs w:val="26"/>
        </w:rPr>
        <w:t xml:space="preserve"> Public Utility Code and the Commission’s</w:t>
      </w:r>
      <w:r w:rsidR="00550DB9">
        <w:rPr>
          <w:sz w:val="26"/>
          <w:szCs w:val="26"/>
        </w:rPr>
        <w:t xml:space="preserve"> regulations</w:t>
      </w:r>
      <w:r w:rsidR="00741990">
        <w:rPr>
          <w:sz w:val="26"/>
          <w:szCs w:val="26"/>
        </w:rPr>
        <w:t>.</w:t>
      </w:r>
      <w:r w:rsidR="002472DE">
        <w:rPr>
          <w:sz w:val="26"/>
          <w:szCs w:val="26"/>
        </w:rPr>
        <w:t xml:space="preserve">  Contested petitions will be transferred to the Office of Administrative Law Judge.  </w:t>
      </w:r>
      <w:r w:rsidR="002472DE">
        <w:rPr>
          <w:i/>
          <w:sz w:val="26"/>
          <w:szCs w:val="26"/>
        </w:rPr>
        <w:t>See</w:t>
      </w:r>
      <w:r w:rsidR="002472DE">
        <w:rPr>
          <w:sz w:val="26"/>
          <w:szCs w:val="26"/>
        </w:rPr>
        <w:t xml:space="preserve"> 66 Pa. C.S. § 703; </w:t>
      </w:r>
      <w:r w:rsidR="002472DE">
        <w:rPr>
          <w:i/>
          <w:sz w:val="26"/>
          <w:szCs w:val="26"/>
        </w:rPr>
        <w:t xml:space="preserve">see also </w:t>
      </w:r>
      <w:r w:rsidR="002472DE">
        <w:rPr>
          <w:sz w:val="26"/>
          <w:szCs w:val="26"/>
        </w:rPr>
        <w:t xml:space="preserve">52 Pa. Code § 54.36. </w:t>
      </w:r>
      <w:r w:rsidR="00741990">
        <w:rPr>
          <w:sz w:val="26"/>
          <w:szCs w:val="26"/>
        </w:rPr>
        <w:t xml:space="preserve"> </w:t>
      </w:r>
      <w:r w:rsidR="00A34EEA">
        <w:rPr>
          <w:sz w:val="26"/>
          <w:szCs w:val="26"/>
        </w:rPr>
        <w:t xml:space="preserve">Within </w:t>
      </w:r>
      <w:r w:rsidR="00562DF6">
        <w:rPr>
          <w:sz w:val="26"/>
          <w:szCs w:val="26"/>
        </w:rPr>
        <w:t xml:space="preserve">approximately </w:t>
      </w:r>
      <w:r w:rsidR="00A34EEA">
        <w:rPr>
          <w:sz w:val="26"/>
          <w:szCs w:val="26"/>
        </w:rPr>
        <w:t>nine months</w:t>
      </w:r>
      <w:r w:rsidR="00A63924">
        <w:rPr>
          <w:sz w:val="26"/>
          <w:szCs w:val="26"/>
        </w:rPr>
        <w:t xml:space="preserve">, we </w:t>
      </w:r>
      <w:r w:rsidR="007164E8">
        <w:rPr>
          <w:sz w:val="26"/>
          <w:szCs w:val="26"/>
        </w:rPr>
        <w:t>plan to</w:t>
      </w:r>
      <w:r w:rsidR="00A63924">
        <w:rPr>
          <w:sz w:val="26"/>
          <w:szCs w:val="26"/>
        </w:rPr>
        <w:t xml:space="preserve"> </w:t>
      </w:r>
      <w:r w:rsidR="005A272C">
        <w:rPr>
          <w:sz w:val="26"/>
        </w:rPr>
        <w:t xml:space="preserve">initiate a rulemaking </w:t>
      </w:r>
      <w:r w:rsidR="00AD0A28">
        <w:rPr>
          <w:sz w:val="26"/>
        </w:rPr>
        <w:t>consistent with</w:t>
      </w:r>
      <w:r w:rsidR="005A272C">
        <w:rPr>
          <w:sz w:val="26"/>
        </w:rPr>
        <w:t xml:space="preserve"> this Final Order regarding revisions to the Commission’s bonding and security regulations for electric generation suppliers in Section 54.40 of Title 52 of the Pennsylvania Code</w:t>
      </w:r>
      <w:r w:rsidRPr="00CA43A5">
        <w:rPr>
          <w:sz w:val="26"/>
          <w:szCs w:val="26"/>
        </w:rPr>
        <w:t xml:space="preserve">; </w:t>
      </w:r>
      <w:r w:rsidRPr="00CA43A5">
        <w:rPr>
          <w:b/>
          <w:sz w:val="26"/>
          <w:szCs w:val="26"/>
        </w:rPr>
        <w:t>THEREFORE,</w:t>
      </w:r>
      <w:r w:rsidRPr="00CA43A5">
        <w:rPr>
          <w:sz w:val="26"/>
          <w:szCs w:val="26"/>
        </w:rPr>
        <w:t xml:space="preserve"> </w:t>
      </w:r>
    </w:p>
    <w:p w:rsidR="000B7917" w:rsidRDefault="000B7917" w:rsidP="00CA43A5">
      <w:pPr>
        <w:ind w:firstLine="1440"/>
        <w:rPr>
          <w:b/>
          <w:sz w:val="26"/>
          <w:szCs w:val="26"/>
        </w:rPr>
      </w:pPr>
    </w:p>
    <w:p w:rsidR="00CA43A5" w:rsidRDefault="00CA43A5" w:rsidP="00CA43A5">
      <w:pPr>
        <w:ind w:firstLine="1440"/>
        <w:rPr>
          <w:b/>
          <w:sz w:val="26"/>
          <w:szCs w:val="26"/>
        </w:rPr>
      </w:pPr>
      <w:r w:rsidRPr="00CA43A5">
        <w:rPr>
          <w:b/>
          <w:sz w:val="26"/>
          <w:szCs w:val="26"/>
        </w:rPr>
        <w:t xml:space="preserve">IT </w:t>
      </w:r>
      <w:r w:rsidR="00A35863">
        <w:rPr>
          <w:b/>
          <w:sz w:val="26"/>
          <w:szCs w:val="26"/>
        </w:rPr>
        <w:t xml:space="preserve">IS </w:t>
      </w:r>
      <w:r w:rsidRPr="00CA43A5">
        <w:rPr>
          <w:b/>
          <w:sz w:val="26"/>
          <w:szCs w:val="26"/>
        </w:rPr>
        <w:t>ORDERED:</w:t>
      </w:r>
    </w:p>
    <w:p w:rsidR="009A5ED7" w:rsidRDefault="00A63924" w:rsidP="00520EB8">
      <w:pPr>
        <w:spacing w:line="360" w:lineRule="auto"/>
        <w:ind w:firstLine="720"/>
        <w:rPr>
          <w:sz w:val="26"/>
          <w:szCs w:val="26"/>
        </w:rPr>
      </w:pPr>
      <w:r>
        <w:rPr>
          <w:sz w:val="26"/>
          <w:szCs w:val="26"/>
        </w:rPr>
        <w:lastRenderedPageBreak/>
        <w:t>1</w:t>
      </w:r>
      <w:r w:rsidR="00520EB8" w:rsidRPr="00F03CBD">
        <w:rPr>
          <w:sz w:val="26"/>
          <w:szCs w:val="26"/>
        </w:rPr>
        <w:t xml:space="preserve">.  That this </w:t>
      </w:r>
      <w:r>
        <w:rPr>
          <w:sz w:val="26"/>
          <w:szCs w:val="26"/>
        </w:rPr>
        <w:t>Final</w:t>
      </w:r>
      <w:r w:rsidR="00520EB8" w:rsidRPr="00F03CBD">
        <w:rPr>
          <w:sz w:val="26"/>
          <w:szCs w:val="26"/>
        </w:rPr>
        <w:t xml:space="preserve"> Order shall be served </w:t>
      </w:r>
      <w:r w:rsidR="00FF3B40" w:rsidRPr="00F03CBD">
        <w:rPr>
          <w:sz w:val="26"/>
          <w:szCs w:val="26"/>
        </w:rPr>
        <w:t>on all Electric Distribution Companies, all licensed Electric Generation Suppliers</w:t>
      </w:r>
      <w:r w:rsidR="000A4523">
        <w:rPr>
          <w:sz w:val="26"/>
          <w:szCs w:val="26"/>
        </w:rPr>
        <w:t>,</w:t>
      </w:r>
      <w:r w:rsidR="00FF3B40" w:rsidRPr="00F03CBD">
        <w:rPr>
          <w:sz w:val="26"/>
          <w:szCs w:val="26"/>
        </w:rPr>
        <w:t xml:space="preserve"> </w:t>
      </w:r>
      <w:r w:rsidR="00520EB8" w:rsidRPr="00F03CBD">
        <w:rPr>
          <w:sz w:val="26"/>
          <w:szCs w:val="26"/>
        </w:rPr>
        <w:t xml:space="preserve">the Bureau of Investigation </w:t>
      </w:r>
      <w:r w:rsidR="00EC688A">
        <w:rPr>
          <w:sz w:val="26"/>
          <w:szCs w:val="26"/>
        </w:rPr>
        <w:t>&amp;</w:t>
      </w:r>
      <w:r w:rsidR="00520EB8" w:rsidRPr="00F03CBD">
        <w:rPr>
          <w:sz w:val="26"/>
          <w:szCs w:val="26"/>
        </w:rPr>
        <w:t xml:space="preserve"> Enforcement, the Office of Consumer Advocate, the Office of Small Business Advocate,</w:t>
      </w:r>
      <w:r w:rsidR="00520EB8">
        <w:rPr>
          <w:sz w:val="26"/>
          <w:szCs w:val="26"/>
        </w:rPr>
        <w:t xml:space="preserve"> </w:t>
      </w:r>
      <w:r w:rsidR="0070249C">
        <w:rPr>
          <w:sz w:val="26"/>
          <w:szCs w:val="26"/>
        </w:rPr>
        <w:t>t</w:t>
      </w:r>
      <w:r w:rsidR="009A5ED7">
        <w:rPr>
          <w:sz w:val="26"/>
          <w:szCs w:val="26"/>
        </w:rPr>
        <w:t>he Pennsylvania Department of Revenue</w:t>
      </w:r>
      <w:r>
        <w:rPr>
          <w:sz w:val="26"/>
          <w:szCs w:val="26"/>
        </w:rPr>
        <w:t>,</w:t>
      </w:r>
      <w:r w:rsidR="009A5ED7">
        <w:rPr>
          <w:sz w:val="26"/>
          <w:szCs w:val="26"/>
        </w:rPr>
        <w:t xml:space="preserve"> </w:t>
      </w:r>
      <w:r w:rsidR="00520EB8" w:rsidRPr="00F03CBD">
        <w:rPr>
          <w:sz w:val="26"/>
          <w:szCs w:val="26"/>
        </w:rPr>
        <w:t xml:space="preserve">the </w:t>
      </w:r>
      <w:r>
        <w:rPr>
          <w:sz w:val="26"/>
          <w:szCs w:val="26"/>
        </w:rPr>
        <w:t xml:space="preserve">Retail Energy Supply Association, </w:t>
      </w:r>
      <w:r w:rsidR="00096303">
        <w:rPr>
          <w:sz w:val="26"/>
          <w:szCs w:val="26"/>
        </w:rPr>
        <w:t xml:space="preserve">the </w:t>
      </w:r>
      <w:r w:rsidR="00520EB8" w:rsidRPr="00F03CBD">
        <w:rPr>
          <w:sz w:val="26"/>
          <w:szCs w:val="26"/>
        </w:rPr>
        <w:t>Energy Association of Pennsylvania</w:t>
      </w:r>
      <w:r w:rsidR="00EC688A">
        <w:rPr>
          <w:sz w:val="26"/>
          <w:szCs w:val="26"/>
        </w:rPr>
        <w:t>, and the parties that filed comments to the December 5, 2013 Tentative Order</w:t>
      </w:r>
      <w:r w:rsidR="00520EB8">
        <w:rPr>
          <w:sz w:val="26"/>
          <w:szCs w:val="26"/>
        </w:rPr>
        <w:t>.</w:t>
      </w:r>
    </w:p>
    <w:p w:rsidR="00A43721" w:rsidRDefault="00A43721" w:rsidP="00520EB8">
      <w:pPr>
        <w:spacing w:line="360" w:lineRule="auto"/>
        <w:ind w:firstLine="720"/>
        <w:rPr>
          <w:sz w:val="26"/>
          <w:szCs w:val="26"/>
        </w:rPr>
      </w:pPr>
    </w:p>
    <w:p w:rsidR="00520EB8" w:rsidRDefault="00FF3B40" w:rsidP="00520EB8">
      <w:pPr>
        <w:spacing w:line="360" w:lineRule="auto"/>
        <w:ind w:firstLine="720"/>
        <w:rPr>
          <w:sz w:val="26"/>
          <w:szCs w:val="26"/>
        </w:rPr>
      </w:pPr>
      <w:r>
        <w:rPr>
          <w:sz w:val="26"/>
          <w:szCs w:val="26"/>
        </w:rPr>
        <w:t>2</w:t>
      </w:r>
      <w:r w:rsidR="009A5ED7">
        <w:rPr>
          <w:sz w:val="26"/>
          <w:szCs w:val="26"/>
        </w:rPr>
        <w:t xml:space="preserve">.  That the Secretary shall deposit a copy of this </w:t>
      </w:r>
      <w:r w:rsidR="00A63924">
        <w:rPr>
          <w:sz w:val="26"/>
          <w:szCs w:val="26"/>
        </w:rPr>
        <w:t>Final</w:t>
      </w:r>
      <w:r w:rsidR="009A5ED7">
        <w:rPr>
          <w:sz w:val="26"/>
          <w:szCs w:val="26"/>
        </w:rPr>
        <w:t xml:space="preserve"> Order with the Legislative Reference Bureau for publication in the </w:t>
      </w:r>
      <w:r w:rsidR="009A5ED7" w:rsidRPr="00E4001A">
        <w:rPr>
          <w:i/>
          <w:sz w:val="26"/>
          <w:szCs w:val="26"/>
        </w:rPr>
        <w:t>Pennsylvania Bulletin</w:t>
      </w:r>
      <w:r w:rsidR="009A5ED7">
        <w:rPr>
          <w:sz w:val="26"/>
          <w:szCs w:val="26"/>
        </w:rPr>
        <w:t>.</w:t>
      </w:r>
      <w:r w:rsidR="00520EB8">
        <w:rPr>
          <w:sz w:val="26"/>
          <w:szCs w:val="26"/>
        </w:rPr>
        <w:t xml:space="preserve">   </w:t>
      </w:r>
      <w:r w:rsidR="00520EB8" w:rsidRPr="00F03CBD">
        <w:rPr>
          <w:sz w:val="26"/>
          <w:szCs w:val="26"/>
        </w:rPr>
        <w:t xml:space="preserve"> </w:t>
      </w:r>
    </w:p>
    <w:p w:rsidR="00D1139B" w:rsidRPr="00F03CBD" w:rsidRDefault="00D1139B" w:rsidP="00520EB8">
      <w:pPr>
        <w:spacing w:line="360" w:lineRule="auto"/>
        <w:ind w:firstLine="720"/>
        <w:rPr>
          <w:sz w:val="26"/>
          <w:szCs w:val="26"/>
        </w:rPr>
      </w:pPr>
    </w:p>
    <w:p w:rsidR="00520EB8" w:rsidRDefault="00FF3B40" w:rsidP="00520EB8">
      <w:pPr>
        <w:spacing w:line="360" w:lineRule="auto"/>
        <w:ind w:firstLine="720"/>
        <w:rPr>
          <w:sz w:val="26"/>
        </w:rPr>
      </w:pPr>
      <w:r>
        <w:rPr>
          <w:sz w:val="26"/>
        </w:rPr>
        <w:t>3</w:t>
      </w:r>
      <w:r w:rsidR="00520EB8">
        <w:rPr>
          <w:sz w:val="26"/>
        </w:rPr>
        <w:t xml:space="preserve">.  That a copy of this </w:t>
      </w:r>
      <w:r w:rsidR="002C50D7">
        <w:rPr>
          <w:sz w:val="26"/>
        </w:rPr>
        <w:t>Final</w:t>
      </w:r>
      <w:r w:rsidR="00520EB8">
        <w:rPr>
          <w:sz w:val="26"/>
        </w:rPr>
        <w:t xml:space="preserve"> Order shall be posted on the Commission’s website at the Office of Competitive Market Oversight’s web page. </w:t>
      </w:r>
    </w:p>
    <w:p w:rsidR="00520EB8" w:rsidRDefault="00520EB8" w:rsidP="00520EB8">
      <w:pPr>
        <w:spacing w:line="360" w:lineRule="auto"/>
        <w:ind w:firstLine="1440"/>
        <w:rPr>
          <w:sz w:val="26"/>
        </w:rPr>
      </w:pPr>
    </w:p>
    <w:p w:rsidR="00520EB8" w:rsidRDefault="00FF3B40" w:rsidP="00520EB8">
      <w:pPr>
        <w:spacing w:line="360" w:lineRule="auto"/>
        <w:ind w:firstLine="720"/>
        <w:rPr>
          <w:sz w:val="26"/>
        </w:rPr>
      </w:pPr>
      <w:r>
        <w:rPr>
          <w:sz w:val="26"/>
        </w:rPr>
        <w:t>4</w:t>
      </w:r>
      <w:r w:rsidR="00520EB8" w:rsidRPr="006724E4">
        <w:rPr>
          <w:sz w:val="26"/>
        </w:rPr>
        <w:t xml:space="preserve">.  That the Office of Competitive Market Oversight shall electronically </w:t>
      </w:r>
      <w:r w:rsidR="00520EB8">
        <w:rPr>
          <w:sz w:val="26"/>
        </w:rPr>
        <w:t>serve</w:t>
      </w:r>
      <w:r w:rsidR="00520EB8" w:rsidRPr="006724E4">
        <w:rPr>
          <w:sz w:val="26"/>
        </w:rPr>
        <w:t xml:space="preserve"> a copy of this </w:t>
      </w:r>
      <w:r w:rsidR="00A63924">
        <w:rPr>
          <w:sz w:val="26"/>
        </w:rPr>
        <w:t>Final</w:t>
      </w:r>
      <w:r w:rsidR="00520EB8" w:rsidRPr="006724E4">
        <w:rPr>
          <w:sz w:val="26"/>
        </w:rPr>
        <w:t xml:space="preserve"> Order on all persons on the contact list for the Committee Handling Activities for Retail Growth in Electricity.</w:t>
      </w:r>
    </w:p>
    <w:p w:rsidR="00DD3115" w:rsidRDefault="00DD3115" w:rsidP="00520EB8">
      <w:pPr>
        <w:spacing w:line="360" w:lineRule="auto"/>
        <w:ind w:firstLine="720"/>
        <w:rPr>
          <w:sz w:val="26"/>
        </w:rPr>
      </w:pPr>
    </w:p>
    <w:p w:rsidR="00520EB8" w:rsidRDefault="00FF3B40" w:rsidP="00A63924">
      <w:pPr>
        <w:spacing w:line="360" w:lineRule="auto"/>
        <w:ind w:firstLine="720"/>
        <w:rPr>
          <w:sz w:val="26"/>
        </w:rPr>
      </w:pPr>
      <w:r>
        <w:rPr>
          <w:sz w:val="26"/>
        </w:rPr>
        <w:t>5</w:t>
      </w:r>
      <w:r w:rsidR="00F15B8D">
        <w:rPr>
          <w:sz w:val="26"/>
        </w:rPr>
        <w:t xml:space="preserve">. That the Commission </w:t>
      </w:r>
      <w:r w:rsidR="00645EAF">
        <w:rPr>
          <w:sz w:val="26"/>
        </w:rPr>
        <w:t>delegates</w:t>
      </w:r>
      <w:r w:rsidR="00F15B8D">
        <w:rPr>
          <w:sz w:val="26"/>
        </w:rPr>
        <w:t xml:space="preserve"> its authority to </w:t>
      </w:r>
      <w:r w:rsidR="00645EAF">
        <w:rPr>
          <w:sz w:val="26"/>
        </w:rPr>
        <w:t>approve uncontested petitions to revise or reduce the level of bonding</w:t>
      </w:r>
      <w:r w:rsidR="00044E24">
        <w:rPr>
          <w:sz w:val="26"/>
        </w:rPr>
        <w:t>/security</w:t>
      </w:r>
      <w:r w:rsidR="00645EAF">
        <w:rPr>
          <w:sz w:val="26"/>
        </w:rPr>
        <w:t xml:space="preserve"> </w:t>
      </w:r>
      <w:r w:rsidR="003749D6">
        <w:rPr>
          <w:sz w:val="26"/>
        </w:rPr>
        <w:t xml:space="preserve">or change the form of security </w:t>
      </w:r>
      <w:r w:rsidR="00645EAF">
        <w:rPr>
          <w:sz w:val="26"/>
        </w:rPr>
        <w:t xml:space="preserve">for an electric generation supplier to </w:t>
      </w:r>
      <w:r w:rsidR="00F15B8D">
        <w:rPr>
          <w:sz w:val="26"/>
        </w:rPr>
        <w:t xml:space="preserve">the Bureau of Technical Utility Services </w:t>
      </w:r>
      <w:r w:rsidR="00645EAF">
        <w:rPr>
          <w:sz w:val="26"/>
        </w:rPr>
        <w:t xml:space="preserve">consistent with this </w:t>
      </w:r>
      <w:r w:rsidR="000B7917">
        <w:rPr>
          <w:sz w:val="26"/>
        </w:rPr>
        <w:t xml:space="preserve">Final </w:t>
      </w:r>
      <w:r w:rsidR="00645EAF">
        <w:rPr>
          <w:sz w:val="26"/>
        </w:rPr>
        <w:t>Order</w:t>
      </w:r>
      <w:r w:rsidR="00F15B8D">
        <w:rPr>
          <w:sz w:val="26"/>
        </w:rPr>
        <w:t>.</w:t>
      </w:r>
      <w:r w:rsidR="00A63924">
        <w:rPr>
          <w:sz w:val="26"/>
        </w:rPr>
        <w:tab/>
      </w:r>
    </w:p>
    <w:p w:rsidR="000A7F28" w:rsidRDefault="000A7F28" w:rsidP="00562DF6">
      <w:pPr>
        <w:spacing w:line="360" w:lineRule="auto"/>
        <w:rPr>
          <w:sz w:val="26"/>
        </w:rPr>
      </w:pPr>
    </w:p>
    <w:p w:rsidR="008D37D0" w:rsidRDefault="000A7F28" w:rsidP="00D1139B">
      <w:pPr>
        <w:spacing w:line="360" w:lineRule="auto"/>
        <w:rPr>
          <w:sz w:val="26"/>
          <w:szCs w:val="26"/>
        </w:rPr>
      </w:pPr>
      <w:r>
        <w:rPr>
          <w:sz w:val="26"/>
        </w:rPr>
        <w:tab/>
      </w:r>
      <w:r w:rsidR="00FF3B40">
        <w:rPr>
          <w:sz w:val="26"/>
        </w:rPr>
        <w:t>6</w:t>
      </w:r>
      <w:r>
        <w:rPr>
          <w:sz w:val="26"/>
        </w:rPr>
        <w:t xml:space="preserve">. That a $350 fee shall be required for </w:t>
      </w:r>
      <w:r w:rsidR="003749D6">
        <w:rPr>
          <w:sz w:val="26"/>
          <w:szCs w:val="26"/>
        </w:rPr>
        <w:t>a request by a</w:t>
      </w:r>
      <w:r>
        <w:rPr>
          <w:sz w:val="26"/>
          <w:szCs w:val="26"/>
        </w:rPr>
        <w:t xml:space="preserve"> Commission-licensed electric generation supplier</w:t>
      </w:r>
      <w:r w:rsidR="003749D6">
        <w:rPr>
          <w:sz w:val="26"/>
          <w:szCs w:val="26"/>
        </w:rPr>
        <w:t xml:space="preserve"> to reduce its level of bonding following the first year of operation from 10% to 5% of the electric generation supplier’s last 12 months of revenue.</w:t>
      </w:r>
    </w:p>
    <w:p w:rsidR="008D37D0" w:rsidRDefault="008D37D0" w:rsidP="00D1139B">
      <w:pPr>
        <w:spacing w:line="360" w:lineRule="auto"/>
        <w:rPr>
          <w:sz w:val="26"/>
          <w:szCs w:val="26"/>
        </w:rPr>
      </w:pPr>
    </w:p>
    <w:p w:rsidR="00D1139B" w:rsidRDefault="00FF3B40" w:rsidP="00D1139B">
      <w:pPr>
        <w:spacing w:line="360" w:lineRule="auto"/>
        <w:rPr>
          <w:sz w:val="26"/>
          <w:szCs w:val="26"/>
        </w:rPr>
      </w:pPr>
      <w:r>
        <w:rPr>
          <w:sz w:val="26"/>
          <w:szCs w:val="26"/>
        </w:rPr>
        <w:tab/>
        <w:t>7</w:t>
      </w:r>
      <w:r w:rsidR="008D37D0">
        <w:rPr>
          <w:sz w:val="26"/>
          <w:szCs w:val="26"/>
        </w:rPr>
        <w:t xml:space="preserve">. That the contact information for this Final Order is the Bureau of Technical Utility Services, Energy Section, (717)-783-5242.  </w:t>
      </w:r>
      <w:r w:rsidR="003749D6">
        <w:rPr>
          <w:sz w:val="26"/>
          <w:szCs w:val="26"/>
        </w:rPr>
        <w:t xml:space="preserve"> </w:t>
      </w:r>
    </w:p>
    <w:p w:rsidR="00D1139B" w:rsidRDefault="00D1139B" w:rsidP="00E4001A">
      <w:pPr>
        <w:keepNext/>
        <w:keepLines/>
        <w:tabs>
          <w:tab w:val="left" w:pos="-720"/>
        </w:tabs>
        <w:ind w:firstLine="5040"/>
        <w:rPr>
          <w:b/>
          <w:sz w:val="26"/>
          <w:szCs w:val="26"/>
        </w:rPr>
      </w:pPr>
    </w:p>
    <w:p w:rsidR="00667C51" w:rsidRDefault="00667C51" w:rsidP="00E4001A">
      <w:pPr>
        <w:keepNext/>
        <w:keepLines/>
        <w:tabs>
          <w:tab w:val="left" w:pos="-720"/>
        </w:tabs>
        <w:ind w:firstLine="5040"/>
        <w:rPr>
          <w:b/>
          <w:sz w:val="26"/>
          <w:szCs w:val="26"/>
        </w:rPr>
      </w:pPr>
    </w:p>
    <w:p w:rsidR="009A4EF4" w:rsidRDefault="009A4EF4" w:rsidP="00E4001A">
      <w:pPr>
        <w:keepNext/>
        <w:keepLines/>
        <w:tabs>
          <w:tab w:val="left" w:pos="-720"/>
        </w:tabs>
        <w:ind w:firstLine="5040"/>
        <w:rPr>
          <w:b/>
          <w:sz w:val="26"/>
          <w:szCs w:val="26"/>
        </w:rPr>
      </w:pPr>
    </w:p>
    <w:p w:rsidR="00CA43A5" w:rsidRPr="00CA43A5" w:rsidRDefault="004F1BDC" w:rsidP="00E4001A">
      <w:pPr>
        <w:keepNext/>
        <w:keepLines/>
        <w:tabs>
          <w:tab w:val="left" w:pos="-720"/>
        </w:tabs>
        <w:ind w:firstLine="5040"/>
        <w:rPr>
          <w:sz w:val="26"/>
          <w:szCs w:val="26"/>
        </w:rPr>
      </w:pPr>
      <w:bookmarkStart w:id="0" w:name="_GoBack"/>
      <w:r w:rsidRPr="00B17BB3">
        <w:rPr>
          <w:noProof/>
        </w:rPr>
        <w:drawing>
          <wp:anchor distT="0" distB="0" distL="114300" distR="114300" simplePos="0" relativeHeight="251659264" behindDoc="1" locked="0" layoutInCell="1" allowOverlap="1" wp14:anchorId="7532BE9B" wp14:editId="36C73845">
            <wp:simplePos x="0" y="0"/>
            <wp:positionH relativeFrom="column">
              <wp:posOffset>3157220</wp:posOffset>
            </wp:positionH>
            <wp:positionV relativeFrom="paragraph">
              <wp:posOffset>34925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CA43A5" w:rsidRPr="00CA43A5">
        <w:rPr>
          <w:b/>
          <w:sz w:val="26"/>
          <w:szCs w:val="26"/>
        </w:rPr>
        <w:t>BY THE COMMISSION,</w:t>
      </w:r>
    </w:p>
    <w:p w:rsidR="00CA43A5" w:rsidRPr="00CA43A5" w:rsidRDefault="00CA43A5" w:rsidP="00E4001A">
      <w:pPr>
        <w:keepNext/>
        <w:keepLines/>
        <w:tabs>
          <w:tab w:val="left" w:pos="-720"/>
        </w:tabs>
        <w:rPr>
          <w:sz w:val="26"/>
          <w:szCs w:val="26"/>
        </w:rPr>
      </w:pPr>
    </w:p>
    <w:p w:rsidR="00CA43A5" w:rsidRPr="00CA43A5" w:rsidRDefault="00CA43A5" w:rsidP="00E4001A">
      <w:pPr>
        <w:keepNext/>
        <w:keepLines/>
        <w:tabs>
          <w:tab w:val="left" w:pos="-720"/>
        </w:tabs>
        <w:rPr>
          <w:sz w:val="26"/>
          <w:szCs w:val="26"/>
        </w:rPr>
      </w:pPr>
    </w:p>
    <w:p w:rsidR="00CA43A5" w:rsidRPr="00CA43A5" w:rsidRDefault="00CA43A5" w:rsidP="00E4001A">
      <w:pPr>
        <w:keepNext/>
        <w:keepLines/>
        <w:tabs>
          <w:tab w:val="left" w:pos="-720"/>
        </w:tabs>
        <w:rPr>
          <w:sz w:val="26"/>
          <w:szCs w:val="26"/>
        </w:rPr>
      </w:pPr>
    </w:p>
    <w:p w:rsidR="00CA43A5" w:rsidRPr="00CA43A5" w:rsidRDefault="00564565" w:rsidP="00E4001A">
      <w:pPr>
        <w:keepNext/>
        <w:keepLines/>
        <w:tabs>
          <w:tab w:val="left" w:pos="-720"/>
        </w:tabs>
        <w:ind w:firstLine="5040"/>
        <w:rPr>
          <w:b/>
          <w:sz w:val="26"/>
          <w:szCs w:val="26"/>
        </w:rPr>
      </w:pPr>
      <w:r>
        <w:rPr>
          <w:sz w:val="26"/>
          <w:szCs w:val="26"/>
        </w:rPr>
        <w:t>Rosemary Chiavetta</w:t>
      </w:r>
    </w:p>
    <w:p w:rsidR="00CA43A5" w:rsidRPr="00CA43A5" w:rsidRDefault="00CA43A5" w:rsidP="00E4001A">
      <w:pPr>
        <w:keepNext/>
        <w:keepLines/>
        <w:tabs>
          <w:tab w:val="left" w:pos="-720"/>
        </w:tabs>
        <w:ind w:firstLine="5040"/>
        <w:rPr>
          <w:sz w:val="26"/>
          <w:szCs w:val="26"/>
        </w:rPr>
      </w:pPr>
      <w:r w:rsidRPr="00CA43A5">
        <w:rPr>
          <w:sz w:val="26"/>
          <w:szCs w:val="26"/>
        </w:rPr>
        <w:t>Secretary</w:t>
      </w:r>
    </w:p>
    <w:p w:rsidR="00CA43A5" w:rsidRPr="00CA43A5" w:rsidRDefault="00CA43A5" w:rsidP="00E4001A">
      <w:pPr>
        <w:keepNext/>
        <w:keepLines/>
        <w:tabs>
          <w:tab w:val="left" w:pos="-720"/>
        </w:tabs>
        <w:rPr>
          <w:sz w:val="26"/>
          <w:szCs w:val="26"/>
        </w:rPr>
      </w:pPr>
    </w:p>
    <w:p w:rsidR="00CA43A5" w:rsidRPr="00CA43A5" w:rsidRDefault="00CA43A5" w:rsidP="00E4001A">
      <w:pPr>
        <w:keepNext/>
        <w:keepLines/>
        <w:tabs>
          <w:tab w:val="left" w:pos="-720"/>
        </w:tabs>
        <w:rPr>
          <w:sz w:val="26"/>
          <w:szCs w:val="26"/>
        </w:rPr>
      </w:pPr>
      <w:r w:rsidRPr="00CA43A5">
        <w:rPr>
          <w:sz w:val="26"/>
          <w:szCs w:val="26"/>
        </w:rPr>
        <w:t>(SEAL)</w:t>
      </w:r>
    </w:p>
    <w:p w:rsidR="00CA43A5" w:rsidRPr="00CA43A5" w:rsidRDefault="00CA43A5" w:rsidP="00E4001A">
      <w:pPr>
        <w:keepNext/>
        <w:keepLines/>
        <w:tabs>
          <w:tab w:val="left" w:pos="-720"/>
        </w:tabs>
        <w:rPr>
          <w:sz w:val="26"/>
          <w:szCs w:val="26"/>
        </w:rPr>
      </w:pPr>
    </w:p>
    <w:p w:rsidR="00857172" w:rsidRDefault="00CA43A5" w:rsidP="00E4001A">
      <w:pPr>
        <w:keepNext/>
        <w:keepLines/>
        <w:tabs>
          <w:tab w:val="left" w:pos="-720"/>
        </w:tabs>
        <w:rPr>
          <w:sz w:val="26"/>
          <w:szCs w:val="26"/>
        </w:rPr>
      </w:pPr>
      <w:r w:rsidRPr="00CA43A5">
        <w:rPr>
          <w:sz w:val="26"/>
          <w:szCs w:val="26"/>
        </w:rPr>
        <w:t xml:space="preserve">ORDER ADOPTED: </w:t>
      </w:r>
      <w:r w:rsidR="00EF0139">
        <w:rPr>
          <w:sz w:val="26"/>
          <w:szCs w:val="26"/>
        </w:rPr>
        <w:t>July 24</w:t>
      </w:r>
      <w:r w:rsidR="001928F0">
        <w:rPr>
          <w:sz w:val="26"/>
          <w:szCs w:val="26"/>
        </w:rPr>
        <w:t>, 201</w:t>
      </w:r>
      <w:r w:rsidR="00A35863">
        <w:rPr>
          <w:sz w:val="26"/>
          <w:szCs w:val="26"/>
        </w:rPr>
        <w:t>4</w:t>
      </w:r>
    </w:p>
    <w:p w:rsidR="001928F0" w:rsidRDefault="001928F0" w:rsidP="00E4001A">
      <w:pPr>
        <w:keepNext/>
        <w:keepLines/>
        <w:tabs>
          <w:tab w:val="left" w:pos="-720"/>
        </w:tabs>
        <w:rPr>
          <w:sz w:val="26"/>
          <w:szCs w:val="26"/>
        </w:rPr>
      </w:pPr>
    </w:p>
    <w:p w:rsidR="00CA43A5" w:rsidRPr="00324E0D" w:rsidRDefault="00CA43A5" w:rsidP="00E4001A">
      <w:pPr>
        <w:keepNext/>
        <w:keepLines/>
        <w:tabs>
          <w:tab w:val="left" w:pos="-720"/>
        </w:tabs>
        <w:rPr>
          <w:b/>
          <w:sz w:val="26"/>
          <w:szCs w:val="26"/>
        </w:rPr>
      </w:pPr>
      <w:r w:rsidRPr="00CA43A5">
        <w:rPr>
          <w:sz w:val="26"/>
          <w:szCs w:val="26"/>
        </w:rPr>
        <w:t xml:space="preserve">ORDER ENTERED:  </w:t>
      </w:r>
      <w:r w:rsidR="004F1BDC">
        <w:rPr>
          <w:sz w:val="26"/>
          <w:szCs w:val="26"/>
        </w:rPr>
        <w:t>July 24, 2014</w:t>
      </w:r>
    </w:p>
    <w:p w:rsidR="00344804" w:rsidRPr="00CA43A5" w:rsidRDefault="00344804" w:rsidP="00E4001A">
      <w:pPr>
        <w:keepNext/>
        <w:keepLines/>
        <w:widowControl/>
        <w:ind w:right="360"/>
        <w:rPr>
          <w:sz w:val="26"/>
          <w:szCs w:val="26"/>
        </w:rPr>
      </w:pPr>
    </w:p>
    <w:sectPr w:rsidR="00344804" w:rsidRPr="00CA43A5" w:rsidSect="00B25433">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D78" w:rsidRDefault="00081D78" w:rsidP="00803FAF">
      <w:r>
        <w:separator/>
      </w:r>
    </w:p>
  </w:endnote>
  <w:endnote w:type="continuationSeparator" w:id="0">
    <w:p w:rsidR="00081D78" w:rsidRDefault="00081D78" w:rsidP="00803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749164"/>
      <w:docPartObj>
        <w:docPartGallery w:val="Page Numbers (Bottom of Page)"/>
        <w:docPartUnique/>
      </w:docPartObj>
    </w:sdtPr>
    <w:sdtEndPr>
      <w:rPr>
        <w:noProof/>
      </w:rPr>
    </w:sdtEndPr>
    <w:sdtContent>
      <w:p w:rsidR="00550DB9" w:rsidRDefault="00550DB9">
        <w:pPr>
          <w:pStyle w:val="Footer"/>
          <w:jc w:val="center"/>
        </w:pPr>
        <w:r>
          <w:fldChar w:fldCharType="begin"/>
        </w:r>
        <w:r>
          <w:instrText xml:space="preserve"> PAGE   \* MERGEFORMAT </w:instrText>
        </w:r>
        <w:r>
          <w:fldChar w:fldCharType="separate"/>
        </w:r>
        <w:r w:rsidR="004F1BDC">
          <w:rPr>
            <w:noProof/>
          </w:rPr>
          <w:t>19</w:t>
        </w:r>
        <w:r>
          <w:rPr>
            <w:noProof/>
          </w:rPr>
          <w:fldChar w:fldCharType="end"/>
        </w:r>
      </w:p>
    </w:sdtContent>
  </w:sdt>
  <w:p w:rsidR="00550DB9" w:rsidRDefault="00550D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D78" w:rsidRDefault="00081D78" w:rsidP="00803FAF">
      <w:r>
        <w:separator/>
      </w:r>
    </w:p>
  </w:footnote>
  <w:footnote w:type="continuationSeparator" w:id="0">
    <w:p w:rsidR="00081D78" w:rsidRDefault="00081D78" w:rsidP="00803FAF">
      <w:r>
        <w:continuationSeparator/>
      </w:r>
    </w:p>
  </w:footnote>
  <w:footnote w:id="1">
    <w:p w:rsidR="00363FA8" w:rsidRDefault="00363FA8">
      <w:pPr>
        <w:pStyle w:val="FootnoteText"/>
      </w:pPr>
      <w:r>
        <w:rPr>
          <w:rStyle w:val="FootnoteReference"/>
        </w:rPr>
        <w:footnoteRef/>
      </w:r>
      <w:r>
        <w:t xml:space="preserve"> Under </w:t>
      </w:r>
      <w:r w:rsidR="002C3ED2">
        <w:t>our</w:t>
      </w:r>
      <w:r>
        <w:t xml:space="preserve"> regulations, the Commission has routinely approved a reduced bonding level in the amount of $10,000 for broker</w:t>
      </w:r>
      <w:r w:rsidR="00930654">
        <w:t>s</w:t>
      </w:r>
      <w:r w:rsidR="00732C81">
        <w:t>/marketers,</w:t>
      </w:r>
      <w:r>
        <w:t xml:space="preserve"> who do not take title to electricity, do not pay gross receipts taxes</w:t>
      </w:r>
      <w:r w:rsidR="002C3ED2">
        <w:t>,</w:t>
      </w:r>
      <w:r>
        <w:t xml:space="preserve"> and do not make payments on behalf of clients.</w:t>
      </w:r>
    </w:p>
  </w:footnote>
  <w:footnote w:id="2">
    <w:p w:rsidR="00550DB9" w:rsidRPr="002C3ED2" w:rsidRDefault="00550DB9">
      <w:pPr>
        <w:pStyle w:val="FootnoteText"/>
      </w:pPr>
      <w:r w:rsidRPr="002C3ED2">
        <w:rPr>
          <w:rStyle w:val="FootnoteReference"/>
        </w:rPr>
        <w:footnoteRef/>
      </w:r>
      <w:r w:rsidRPr="002C3ED2">
        <w:t xml:space="preserve"> Section 2809(c) of the Public Utility Code requires the EGS licensee to certify to the Commission that the EGS will pay in full the taxes owed to the Commonwealth or face revocation of its license.  66 Pa. C.S. § 2809(c</w:t>
      </w:r>
      <w:proofErr w:type="gramStart"/>
      <w:r w:rsidRPr="002C3ED2">
        <w:t>)(</w:t>
      </w:r>
      <w:proofErr w:type="gramEnd"/>
      <w:r w:rsidRPr="002C3ED2">
        <w:t xml:space="preserve">ii)-(iv).  </w:t>
      </w:r>
    </w:p>
  </w:footnote>
  <w:footnote w:id="3">
    <w:p w:rsidR="00550DB9" w:rsidRPr="002C3ED2" w:rsidRDefault="00550DB9">
      <w:pPr>
        <w:pStyle w:val="FootnoteText"/>
      </w:pPr>
      <w:r w:rsidRPr="002C3ED2">
        <w:rPr>
          <w:rStyle w:val="FootnoteReference"/>
        </w:rPr>
        <w:footnoteRef/>
      </w:r>
      <w:r w:rsidRPr="002C3ED2">
        <w:t xml:space="preserve"> If an EGS fails to pay its GRT, the EDC in that EGS’s territory must “remit the unpaid tax, as a tax on the use of electricity in [the] Commonwealth, to the Department of Revenue and may collect or seek reimbursement of the tax so paid.”  66 Pa. C.S. § 2809(c</w:t>
      </w:r>
      <w:proofErr w:type="gramStart"/>
      <w:r w:rsidRPr="002C3ED2">
        <w:t>)(</w:t>
      </w:r>
      <w:proofErr w:type="gramEnd"/>
      <w:r w:rsidRPr="002C3ED2">
        <w:t xml:space="preserve">2).  </w:t>
      </w:r>
    </w:p>
  </w:footnote>
  <w:footnote w:id="4">
    <w:p w:rsidR="00550DB9" w:rsidRPr="00FB2D9A" w:rsidRDefault="00550DB9">
      <w:pPr>
        <w:pStyle w:val="FootnoteText"/>
        <w:rPr>
          <w:sz w:val="22"/>
          <w:szCs w:val="22"/>
        </w:rPr>
      </w:pPr>
      <w:r w:rsidRPr="002C3ED2">
        <w:rPr>
          <w:rStyle w:val="FootnoteReference"/>
        </w:rPr>
        <w:footnoteRef/>
      </w:r>
      <w:r w:rsidRPr="002C3ED2">
        <w:t xml:space="preserve"> ACPs are imposed on EGSs that fail to comply with the AEPS Act’s alternative energy portfolio standards requirements.  </w:t>
      </w:r>
      <w:proofErr w:type="gramStart"/>
      <w:r w:rsidRPr="002C3ED2">
        <w:t>73 P.S. § 1648.3(f).</w:t>
      </w:r>
      <w:proofErr w:type="gramEnd"/>
      <w:r w:rsidRPr="00FB2D9A">
        <w:rPr>
          <w:sz w:val="22"/>
          <w:szCs w:val="22"/>
        </w:rPr>
        <w:t xml:space="preserve">  </w:t>
      </w:r>
    </w:p>
  </w:footnote>
  <w:footnote w:id="5">
    <w:p w:rsidR="00550DB9" w:rsidRDefault="00550DB9" w:rsidP="00427903">
      <w:pPr>
        <w:pStyle w:val="FootnoteText"/>
        <w:keepNext/>
        <w:keepLines/>
      </w:pPr>
      <w:r>
        <w:rPr>
          <w:rStyle w:val="FootnoteReference"/>
        </w:rPr>
        <w:footnoteRef/>
      </w:r>
      <w:r>
        <w:t xml:space="preserve"> Previously, as a matter of internal practice, we used an EGS’s reported gross receipts from the last annual reporting of those revenues and not necessarily the most recent 12 months of revenues to determine the bonding requirement for subsequent years of EGS operation.  Since using the most recent 12 months of revenue is more accurate and more likely to protect against risk, especially in light of our new policy through this Order that lowers bonding/security requirements, we will ask each</w:t>
      </w:r>
      <w:r w:rsidR="00A70820">
        <w:t xml:space="preserve"> </w:t>
      </w:r>
      <w:r>
        <w:t xml:space="preserve">EGS to provide us with its most recent 12 months of revenue as an EGS requests to lower its bonding/security.   </w:t>
      </w:r>
    </w:p>
  </w:footnote>
  <w:footnote w:id="6">
    <w:p w:rsidR="00550DB9" w:rsidRDefault="00550DB9">
      <w:pPr>
        <w:pStyle w:val="FootnoteText"/>
      </w:pPr>
      <w:r>
        <w:rPr>
          <w:rStyle w:val="FootnoteReference"/>
        </w:rPr>
        <w:footnoteRef/>
      </w:r>
      <w:r>
        <w:t xml:space="preserve"> In processing these requests to revise an EGS’s security amount or form, the Commission’s Bureau of Technical Utility Services will require an EGS to submit certain information, which is discussed on pages 15-16 of this Order.</w:t>
      </w:r>
    </w:p>
  </w:footnote>
  <w:footnote w:id="7">
    <w:p w:rsidR="00550DB9" w:rsidRDefault="00550DB9" w:rsidP="007A5E5D">
      <w:pPr>
        <w:pStyle w:val="FootnoteText"/>
      </w:pPr>
      <w:r>
        <w:rPr>
          <w:rStyle w:val="FootnoteReference"/>
        </w:rPr>
        <w:footnoteRef/>
      </w:r>
      <w:r>
        <w:t xml:space="preserve"> Presently, the Commission charges a $350 fee for</w:t>
      </w:r>
      <w:r w:rsidR="004C6DA6">
        <w:t xml:space="preserve"> </w:t>
      </w:r>
      <w:r>
        <w:t>Initial Licensure Applications and for license amendments</w:t>
      </w:r>
      <w:r w:rsidR="004C6DA6">
        <w:t>.</w:t>
      </w:r>
      <w:r>
        <w:t xml:space="preserve">  Since the Commission will incur more work in processing a request to reduce a bonding level, which, if approved, results in a change to an EGS’s Application, the Commission finds it reasonable to charge a $350 fee for this request.  </w:t>
      </w:r>
    </w:p>
  </w:footnote>
  <w:footnote w:id="8">
    <w:p w:rsidR="00550DB9" w:rsidRDefault="00550DB9">
      <w:pPr>
        <w:pStyle w:val="FootnoteText"/>
      </w:pPr>
      <w:r>
        <w:rPr>
          <w:rStyle w:val="FootnoteReference"/>
        </w:rPr>
        <w:footnoteRef/>
      </w:r>
      <w:r>
        <w:t xml:space="preserve"> We define investment-grade with reference to those above listed ratings of t</w:t>
      </w:r>
      <w:r w:rsidR="00667C51">
        <w:t>he four list</w:t>
      </w:r>
      <w:r>
        <w:t xml:space="preserve">ed rating agencies: BBB- or higher for Standard &amp; Poors, Baa3 or higher for Moody’s Investors’ Services, BBB- or higher for Fitch </w:t>
      </w:r>
      <w:proofErr w:type="gramStart"/>
      <w:r>
        <w:t>IBCA,</w:t>
      </w:r>
      <w:proofErr w:type="gramEnd"/>
      <w:r>
        <w:t xml:space="preserve"> and BBB- or higher for Duff and Phelps Credit Rating Company.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26ED1872"/>
    <w:multiLevelType w:val="hybridMultilevel"/>
    <w:tmpl w:val="E848C740"/>
    <w:lvl w:ilvl="0" w:tplc="04090001">
      <w:start w:val="1"/>
      <w:numFmt w:val="bullet"/>
      <w:lvlText w:val=""/>
      <w:lvlJc w:val="left"/>
      <w:pPr>
        <w:ind w:left="2285" w:hanging="360"/>
      </w:pPr>
      <w:rPr>
        <w:rFonts w:ascii="Symbol" w:hAnsi="Symbol" w:hint="default"/>
      </w:rPr>
    </w:lvl>
    <w:lvl w:ilvl="1" w:tplc="04090003" w:tentative="1">
      <w:start w:val="1"/>
      <w:numFmt w:val="bullet"/>
      <w:lvlText w:val="o"/>
      <w:lvlJc w:val="left"/>
      <w:pPr>
        <w:ind w:left="3005" w:hanging="360"/>
      </w:pPr>
      <w:rPr>
        <w:rFonts w:ascii="Courier New" w:hAnsi="Courier New" w:cs="Courier New" w:hint="default"/>
      </w:rPr>
    </w:lvl>
    <w:lvl w:ilvl="2" w:tplc="04090005" w:tentative="1">
      <w:start w:val="1"/>
      <w:numFmt w:val="bullet"/>
      <w:lvlText w:val=""/>
      <w:lvlJc w:val="left"/>
      <w:pPr>
        <w:ind w:left="3725" w:hanging="360"/>
      </w:pPr>
      <w:rPr>
        <w:rFonts w:ascii="Wingdings" w:hAnsi="Wingdings" w:hint="default"/>
      </w:rPr>
    </w:lvl>
    <w:lvl w:ilvl="3" w:tplc="04090001" w:tentative="1">
      <w:start w:val="1"/>
      <w:numFmt w:val="bullet"/>
      <w:lvlText w:val=""/>
      <w:lvlJc w:val="left"/>
      <w:pPr>
        <w:ind w:left="4445" w:hanging="360"/>
      </w:pPr>
      <w:rPr>
        <w:rFonts w:ascii="Symbol" w:hAnsi="Symbol" w:hint="default"/>
      </w:rPr>
    </w:lvl>
    <w:lvl w:ilvl="4" w:tplc="04090003" w:tentative="1">
      <w:start w:val="1"/>
      <w:numFmt w:val="bullet"/>
      <w:lvlText w:val="o"/>
      <w:lvlJc w:val="left"/>
      <w:pPr>
        <w:ind w:left="5165" w:hanging="360"/>
      </w:pPr>
      <w:rPr>
        <w:rFonts w:ascii="Courier New" w:hAnsi="Courier New" w:cs="Courier New" w:hint="default"/>
      </w:rPr>
    </w:lvl>
    <w:lvl w:ilvl="5" w:tplc="04090005" w:tentative="1">
      <w:start w:val="1"/>
      <w:numFmt w:val="bullet"/>
      <w:lvlText w:val=""/>
      <w:lvlJc w:val="left"/>
      <w:pPr>
        <w:ind w:left="5885" w:hanging="360"/>
      </w:pPr>
      <w:rPr>
        <w:rFonts w:ascii="Wingdings" w:hAnsi="Wingdings" w:hint="default"/>
      </w:rPr>
    </w:lvl>
    <w:lvl w:ilvl="6" w:tplc="04090001" w:tentative="1">
      <w:start w:val="1"/>
      <w:numFmt w:val="bullet"/>
      <w:lvlText w:val=""/>
      <w:lvlJc w:val="left"/>
      <w:pPr>
        <w:ind w:left="6605" w:hanging="360"/>
      </w:pPr>
      <w:rPr>
        <w:rFonts w:ascii="Symbol" w:hAnsi="Symbol" w:hint="default"/>
      </w:rPr>
    </w:lvl>
    <w:lvl w:ilvl="7" w:tplc="04090003" w:tentative="1">
      <w:start w:val="1"/>
      <w:numFmt w:val="bullet"/>
      <w:lvlText w:val="o"/>
      <w:lvlJc w:val="left"/>
      <w:pPr>
        <w:ind w:left="7325" w:hanging="360"/>
      </w:pPr>
      <w:rPr>
        <w:rFonts w:ascii="Courier New" w:hAnsi="Courier New" w:cs="Courier New" w:hint="default"/>
      </w:rPr>
    </w:lvl>
    <w:lvl w:ilvl="8" w:tplc="04090005" w:tentative="1">
      <w:start w:val="1"/>
      <w:numFmt w:val="bullet"/>
      <w:lvlText w:val=""/>
      <w:lvlJc w:val="left"/>
      <w:pPr>
        <w:ind w:left="8045" w:hanging="360"/>
      </w:pPr>
      <w:rPr>
        <w:rFonts w:ascii="Wingdings" w:hAnsi="Wingdings" w:hint="default"/>
      </w:rPr>
    </w:lvl>
  </w:abstractNum>
  <w:abstractNum w:abstractNumId="2">
    <w:nsid w:val="4E207087"/>
    <w:multiLevelType w:val="hybridMultilevel"/>
    <w:tmpl w:val="BB7E4C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51723F7D"/>
    <w:multiLevelType w:val="hybridMultilevel"/>
    <w:tmpl w:val="2ABCD4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66F780F"/>
    <w:multiLevelType w:val="hybridMultilevel"/>
    <w:tmpl w:val="30B4E18A"/>
    <w:lvl w:ilvl="0" w:tplc="CB1A32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76D"/>
    <w:rsid w:val="00000D47"/>
    <w:rsid w:val="00001FC8"/>
    <w:rsid w:val="00002AAF"/>
    <w:rsid w:val="0000606F"/>
    <w:rsid w:val="00006685"/>
    <w:rsid w:val="00006F35"/>
    <w:rsid w:val="0001696B"/>
    <w:rsid w:val="00016D57"/>
    <w:rsid w:val="00017852"/>
    <w:rsid w:val="00021E46"/>
    <w:rsid w:val="00022B74"/>
    <w:rsid w:val="0002524C"/>
    <w:rsid w:val="00025F3F"/>
    <w:rsid w:val="00026CD2"/>
    <w:rsid w:val="00040A8E"/>
    <w:rsid w:val="00040AEA"/>
    <w:rsid w:val="00044E24"/>
    <w:rsid w:val="0004761E"/>
    <w:rsid w:val="00047874"/>
    <w:rsid w:val="00047F4A"/>
    <w:rsid w:val="00050D66"/>
    <w:rsid w:val="00050EB1"/>
    <w:rsid w:val="000523D1"/>
    <w:rsid w:val="00052B8F"/>
    <w:rsid w:val="00054612"/>
    <w:rsid w:val="0005572E"/>
    <w:rsid w:val="00056286"/>
    <w:rsid w:val="000612FD"/>
    <w:rsid w:val="000642AA"/>
    <w:rsid w:val="000649EC"/>
    <w:rsid w:val="00065C5C"/>
    <w:rsid w:val="00066EE5"/>
    <w:rsid w:val="00067260"/>
    <w:rsid w:val="00072808"/>
    <w:rsid w:val="00076F35"/>
    <w:rsid w:val="00077BC6"/>
    <w:rsid w:val="00081D78"/>
    <w:rsid w:val="00084573"/>
    <w:rsid w:val="00084AF9"/>
    <w:rsid w:val="000918D4"/>
    <w:rsid w:val="00093164"/>
    <w:rsid w:val="00095E4E"/>
    <w:rsid w:val="0009612D"/>
    <w:rsid w:val="00096303"/>
    <w:rsid w:val="00097504"/>
    <w:rsid w:val="000A0B21"/>
    <w:rsid w:val="000A365D"/>
    <w:rsid w:val="000A4523"/>
    <w:rsid w:val="000A7F28"/>
    <w:rsid w:val="000B216D"/>
    <w:rsid w:val="000B2755"/>
    <w:rsid w:val="000B3493"/>
    <w:rsid w:val="000B46CA"/>
    <w:rsid w:val="000B4EAE"/>
    <w:rsid w:val="000B5238"/>
    <w:rsid w:val="000B5D6D"/>
    <w:rsid w:val="000B607A"/>
    <w:rsid w:val="000B6B15"/>
    <w:rsid w:val="000B7917"/>
    <w:rsid w:val="000C07DE"/>
    <w:rsid w:val="000C2AE3"/>
    <w:rsid w:val="000C53EC"/>
    <w:rsid w:val="000C709A"/>
    <w:rsid w:val="000C7796"/>
    <w:rsid w:val="000D1E0E"/>
    <w:rsid w:val="000F179E"/>
    <w:rsid w:val="000F4307"/>
    <w:rsid w:val="0010158F"/>
    <w:rsid w:val="00101F51"/>
    <w:rsid w:val="001026CA"/>
    <w:rsid w:val="00104D9B"/>
    <w:rsid w:val="001113DB"/>
    <w:rsid w:val="00112BD4"/>
    <w:rsid w:val="0011430E"/>
    <w:rsid w:val="00117CB2"/>
    <w:rsid w:val="00120B39"/>
    <w:rsid w:val="001238E5"/>
    <w:rsid w:val="00123A2E"/>
    <w:rsid w:val="00124071"/>
    <w:rsid w:val="001255DC"/>
    <w:rsid w:val="001267D4"/>
    <w:rsid w:val="00135972"/>
    <w:rsid w:val="001360FC"/>
    <w:rsid w:val="00144050"/>
    <w:rsid w:val="001447A0"/>
    <w:rsid w:val="0014497F"/>
    <w:rsid w:val="00146DDD"/>
    <w:rsid w:val="00146E58"/>
    <w:rsid w:val="00147145"/>
    <w:rsid w:val="00150096"/>
    <w:rsid w:val="001508E4"/>
    <w:rsid w:val="0015380A"/>
    <w:rsid w:val="00153AC0"/>
    <w:rsid w:val="00154CB6"/>
    <w:rsid w:val="00164DA4"/>
    <w:rsid w:val="00166298"/>
    <w:rsid w:val="001663C8"/>
    <w:rsid w:val="00174D3D"/>
    <w:rsid w:val="0017719A"/>
    <w:rsid w:val="00182478"/>
    <w:rsid w:val="001842BB"/>
    <w:rsid w:val="00186A97"/>
    <w:rsid w:val="001928F0"/>
    <w:rsid w:val="0019530E"/>
    <w:rsid w:val="00195F2E"/>
    <w:rsid w:val="00196888"/>
    <w:rsid w:val="001970DA"/>
    <w:rsid w:val="001A0BEF"/>
    <w:rsid w:val="001A10EA"/>
    <w:rsid w:val="001A2594"/>
    <w:rsid w:val="001A2FAF"/>
    <w:rsid w:val="001B1DB4"/>
    <w:rsid w:val="001B4EE1"/>
    <w:rsid w:val="001B5AC6"/>
    <w:rsid w:val="001B5F60"/>
    <w:rsid w:val="001C4978"/>
    <w:rsid w:val="001D0ED2"/>
    <w:rsid w:val="001D3BE1"/>
    <w:rsid w:val="001E0B61"/>
    <w:rsid w:val="001E1276"/>
    <w:rsid w:val="001E46A8"/>
    <w:rsid w:val="001E4A75"/>
    <w:rsid w:val="001F285E"/>
    <w:rsid w:val="00202524"/>
    <w:rsid w:val="00210736"/>
    <w:rsid w:val="00210F81"/>
    <w:rsid w:val="00211622"/>
    <w:rsid w:val="00214B3E"/>
    <w:rsid w:val="002164D8"/>
    <w:rsid w:val="002166D4"/>
    <w:rsid w:val="00220155"/>
    <w:rsid w:val="002214AD"/>
    <w:rsid w:val="0022698E"/>
    <w:rsid w:val="00227912"/>
    <w:rsid w:val="0023004C"/>
    <w:rsid w:val="002311EE"/>
    <w:rsid w:val="00236A44"/>
    <w:rsid w:val="002370F5"/>
    <w:rsid w:val="0023790B"/>
    <w:rsid w:val="00237AAB"/>
    <w:rsid w:val="00240ACA"/>
    <w:rsid w:val="00240D7B"/>
    <w:rsid w:val="00241299"/>
    <w:rsid w:val="002435E2"/>
    <w:rsid w:val="00244F81"/>
    <w:rsid w:val="002472DE"/>
    <w:rsid w:val="00252448"/>
    <w:rsid w:val="00252AEB"/>
    <w:rsid w:val="00255462"/>
    <w:rsid w:val="00260957"/>
    <w:rsid w:val="00264646"/>
    <w:rsid w:val="0027232D"/>
    <w:rsid w:val="00274D0F"/>
    <w:rsid w:val="00277500"/>
    <w:rsid w:val="00281A5F"/>
    <w:rsid w:val="00282925"/>
    <w:rsid w:val="00283C1C"/>
    <w:rsid w:val="00291F68"/>
    <w:rsid w:val="002926D5"/>
    <w:rsid w:val="002A060A"/>
    <w:rsid w:val="002A4450"/>
    <w:rsid w:val="002A6750"/>
    <w:rsid w:val="002B2296"/>
    <w:rsid w:val="002B4407"/>
    <w:rsid w:val="002B67B7"/>
    <w:rsid w:val="002B6857"/>
    <w:rsid w:val="002C0429"/>
    <w:rsid w:val="002C19E4"/>
    <w:rsid w:val="002C3ED2"/>
    <w:rsid w:val="002C50D7"/>
    <w:rsid w:val="002C6CC4"/>
    <w:rsid w:val="002D0733"/>
    <w:rsid w:val="002D13C4"/>
    <w:rsid w:val="002D275E"/>
    <w:rsid w:val="002D3EC2"/>
    <w:rsid w:val="002D3F0E"/>
    <w:rsid w:val="002D4396"/>
    <w:rsid w:val="002D5EBB"/>
    <w:rsid w:val="002D6357"/>
    <w:rsid w:val="002D7584"/>
    <w:rsid w:val="002E173C"/>
    <w:rsid w:val="002E3026"/>
    <w:rsid w:val="002E3F06"/>
    <w:rsid w:val="002E6FFA"/>
    <w:rsid w:val="002E7554"/>
    <w:rsid w:val="002E7913"/>
    <w:rsid w:val="002E7F8F"/>
    <w:rsid w:val="002F093E"/>
    <w:rsid w:val="002F3F04"/>
    <w:rsid w:val="002F41BA"/>
    <w:rsid w:val="002F5D26"/>
    <w:rsid w:val="00300F3C"/>
    <w:rsid w:val="003018AA"/>
    <w:rsid w:val="00303B99"/>
    <w:rsid w:val="00306CC1"/>
    <w:rsid w:val="0030714F"/>
    <w:rsid w:val="00307155"/>
    <w:rsid w:val="003073E2"/>
    <w:rsid w:val="00307DDF"/>
    <w:rsid w:val="00314038"/>
    <w:rsid w:val="00314A43"/>
    <w:rsid w:val="00316C75"/>
    <w:rsid w:val="0032104C"/>
    <w:rsid w:val="00322040"/>
    <w:rsid w:val="00323C0E"/>
    <w:rsid w:val="003240B8"/>
    <w:rsid w:val="00324E0D"/>
    <w:rsid w:val="00325422"/>
    <w:rsid w:val="00331D78"/>
    <w:rsid w:val="00333FDA"/>
    <w:rsid w:val="003340DE"/>
    <w:rsid w:val="00334505"/>
    <w:rsid w:val="00334EE7"/>
    <w:rsid w:val="00335D27"/>
    <w:rsid w:val="00336A9E"/>
    <w:rsid w:val="00340D19"/>
    <w:rsid w:val="00344804"/>
    <w:rsid w:val="003518C8"/>
    <w:rsid w:val="00351E99"/>
    <w:rsid w:val="003526C6"/>
    <w:rsid w:val="003533B5"/>
    <w:rsid w:val="00355C63"/>
    <w:rsid w:val="003622CA"/>
    <w:rsid w:val="00363030"/>
    <w:rsid w:val="00363FA8"/>
    <w:rsid w:val="003645B3"/>
    <w:rsid w:val="0036462C"/>
    <w:rsid w:val="00364A42"/>
    <w:rsid w:val="003749D6"/>
    <w:rsid w:val="003755FB"/>
    <w:rsid w:val="0037577C"/>
    <w:rsid w:val="00377AF0"/>
    <w:rsid w:val="00381293"/>
    <w:rsid w:val="00385502"/>
    <w:rsid w:val="00391A43"/>
    <w:rsid w:val="003A26CA"/>
    <w:rsid w:val="003B0611"/>
    <w:rsid w:val="003B215B"/>
    <w:rsid w:val="003B422D"/>
    <w:rsid w:val="003B42D9"/>
    <w:rsid w:val="003C15AE"/>
    <w:rsid w:val="003C3140"/>
    <w:rsid w:val="003C3E02"/>
    <w:rsid w:val="003C3FE8"/>
    <w:rsid w:val="003C4068"/>
    <w:rsid w:val="003C73F9"/>
    <w:rsid w:val="003D5F07"/>
    <w:rsid w:val="003D6AB5"/>
    <w:rsid w:val="003E07AF"/>
    <w:rsid w:val="003E3820"/>
    <w:rsid w:val="003E3B8E"/>
    <w:rsid w:val="003E3FF5"/>
    <w:rsid w:val="003E41BC"/>
    <w:rsid w:val="003E5354"/>
    <w:rsid w:val="003F51F4"/>
    <w:rsid w:val="003F52C6"/>
    <w:rsid w:val="003F558E"/>
    <w:rsid w:val="00403D6E"/>
    <w:rsid w:val="00404494"/>
    <w:rsid w:val="00407AC0"/>
    <w:rsid w:val="00412E30"/>
    <w:rsid w:val="00415AA8"/>
    <w:rsid w:val="004170AF"/>
    <w:rsid w:val="00417991"/>
    <w:rsid w:val="00427903"/>
    <w:rsid w:val="00431DC5"/>
    <w:rsid w:val="004328DC"/>
    <w:rsid w:val="00432BB7"/>
    <w:rsid w:val="004331E9"/>
    <w:rsid w:val="00433E8D"/>
    <w:rsid w:val="0043592C"/>
    <w:rsid w:val="004411B9"/>
    <w:rsid w:val="00441207"/>
    <w:rsid w:val="00442010"/>
    <w:rsid w:val="004422CA"/>
    <w:rsid w:val="00443807"/>
    <w:rsid w:val="00444F53"/>
    <w:rsid w:val="004462F7"/>
    <w:rsid w:val="00450F0C"/>
    <w:rsid w:val="00451485"/>
    <w:rsid w:val="004540DA"/>
    <w:rsid w:val="00454A06"/>
    <w:rsid w:val="00456B3F"/>
    <w:rsid w:val="0046019D"/>
    <w:rsid w:val="004634FE"/>
    <w:rsid w:val="00464536"/>
    <w:rsid w:val="00464F7D"/>
    <w:rsid w:val="0046500A"/>
    <w:rsid w:val="0046514E"/>
    <w:rsid w:val="0046623C"/>
    <w:rsid w:val="00467739"/>
    <w:rsid w:val="00470D0C"/>
    <w:rsid w:val="00474E22"/>
    <w:rsid w:val="0047608F"/>
    <w:rsid w:val="00476554"/>
    <w:rsid w:val="004813D4"/>
    <w:rsid w:val="00487A88"/>
    <w:rsid w:val="00491D91"/>
    <w:rsid w:val="0049580C"/>
    <w:rsid w:val="0049768F"/>
    <w:rsid w:val="004A04E5"/>
    <w:rsid w:val="004A1495"/>
    <w:rsid w:val="004A2165"/>
    <w:rsid w:val="004A5F74"/>
    <w:rsid w:val="004B1052"/>
    <w:rsid w:val="004B43AB"/>
    <w:rsid w:val="004B6B14"/>
    <w:rsid w:val="004C4DB9"/>
    <w:rsid w:val="004C6DA6"/>
    <w:rsid w:val="004D02F1"/>
    <w:rsid w:val="004D0DB3"/>
    <w:rsid w:val="004D2140"/>
    <w:rsid w:val="004D3FEE"/>
    <w:rsid w:val="004D5388"/>
    <w:rsid w:val="004D5E7B"/>
    <w:rsid w:val="004E2534"/>
    <w:rsid w:val="004E47EC"/>
    <w:rsid w:val="004E514F"/>
    <w:rsid w:val="004E6F97"/>
    <w:rsid w:val="004E737F"/>
    <w:rsid w:val="004F03DE"/>
    <w:rsid w:val="004F1BDC"/>
    <w:rsid w:val="004F22DA"/>
    <w:rsid w:val="004F249C"/>
    <w:rsid w:val="00500960"/>
    <w:rsid w:val="00502165"/>
    <w:rsid w:val="00502DD9"/>
    <w:rsid w:val="00504497"/>
    <w:rsid w:val="00504834"/>
    <w:rsid w:val="00504C7A"/>
    <w:rsid w:val="00505AEE"/>
    <w:rsid w:val="0050632E"/>
    <w:rsid w:val="0050752D"/>
    <w:rsid w:val="00511EF3"/>
    <w:rsid w:val="00514507"/>
    <w:rsid w:val="00520723"/>
    <w:rsid w:val="00520931"/>
    <w:rsid w:val="00520EB8"/>
    <w:rsid w:val="00521350"/>
    <w:rsid w:val="005229A4"/>
    <w:rsid w:val="00532AAF"/>
    <w:rsid w:val="0053341B"/>
    <w:rsid w:val="005351B9"/>
    <w:rsid w:val="005354A5"/>
    <w:rsid w:val="00536011"/>
    <w:rsid w:val="00536966"/>
    <w:rsid w:val="0054563D"/>
    <w:rsid w:val="00550B79"/>
    <w:rsid w:val="00550DB9"/>
    <w:rsid w:val="0055150B"/>
    <w:rsid w:val="005532F9"/>
    <w:rsid w:val="0055440B"/>
    <w:rsid w:val="00554D00"/>
    <w:rsid w:val="0055708D"/>
    <w:rsid w:val="005605B8"/>
    <w:rsid w:val="00561CA6"/>
    <w:rsid w:val="00562DF6"/>
    <w:rsid w:val="00564565"/>
    <w:rsid w:val="005647BE"/>
    <w:rsid w:val="00566299"/>
    <w:rsid w:val="005725F6"/>
    <w:rsid w:val="00577767"/>
    <w:rsid w:val="00577B2B"/>
    <w:rsid w:val="00584893"/>
    <w:rsid w:val="00586817"/>
    <w:rsid w:val="00586D92"/>
    <w:rsid w:val="00587507"/>
    <w:rsid w:val="00590E37"/>
    <w:rsid w:val="00590FE2"/>
    <w:rsid w:val="00596A0B"/>
    <w:rsid w:val="00596E05"/>
    <w:rsid w:val="00596F85"/>
    <w:rsid w:val="005970FA"/>
    <w:rsid w:val="005A0176"/>
    <w:rsid w:val="005A088E"/>
    <w:rsid w:val="005A159C"/>
    <w:rsid w:val="005A2298"/>
    <w:rsid w:val="005A272C"/>
    <w:rsid w:val="005A28C1"/>
    <w:rsid w:val="005A6421"/>
    <w:rsid w:val="005A72FC"/>
    <w:rsid w:val="005B0388"/>
    <w:rsid w:val="005B0AE4"/>
    <w:rsid w:val="005B109A"/>
    <w:rsid w:val="005B64B2"/>
    <w:rsid w:val="005C2FD5"/>
    <w:rsid w:val="005C360D"/>
    <w:rsid w:val="005C5378"/>
    <w:rsid w:val="005C700A"/>
    <w:rsid w:val="005D0012"/>
    <w:rsid w:val="005D2AB9"/>
    <w:rsid w:val="005D34E2"/>
    <w:rsid w:val="005D496E"/>
    <w:rsid w:val="005D50EF"/>
    <w:rsid w:val="005D5BC3"/>
    <w:rsid w:val="005D7C20"/>
    <w:rsid w:val="005E6960"/>
    <w:rsid w:val="005E7EB8"/>
    <w:rsid w:val="005F0964"/>
    <w:rsid w:val="005F18D6"/>
    <w:rsid w:val="00603024"/>
    <w:rsid w:val="006063EA"/>
    <w:rsid w:val="0061092E"/>
    <w:rsid w:val="006116E3"/>
    <w:rsid w:val="00616C67"/>
    <w:rsid w:val="00617778"/>
    <w:rsid w:val="00621166"/>
    <w:rsid w:val="00624400"/>
    <w:rsid w:val="00624E51"/>
    <w:rsid w:val="00626162"/>
    <w:rsid w:val="00626F3F"/>
    <w:rsid w:val="00634719"/>
    <w:rsid w:val="00643CFE"/>
    <w:rsid w:val="00645EAF"/>
    <w:rsid w:val="006469BE"/>
    <w:rsid w:val="006476BC"/>
    <w:rsid w:val="006503E8"/>
    <w:rsid w:val="00654A4A"/>
    <w:rsid w:val="0065545A"/>
    <w:rsid w:val="006661CF"/>
    <w:rsid w:val="0066712C"/>
    <w:rsid w:val="00667C51"/>
    <w:rsid w:val="0067026D"/>
    <w:rsid w:val="00670BFD"/>
    <w:rsid w:val="00671E4C"/>
    <w:rsid w:val="00674295"/>
    <w:rsid w:val="0067792B"/>
    <w:rsid w:val="006818A8"/>
    <w:rsid w:val="00681A51"/>
    <w:rsid w:val="00682469"/>
    <w:rsid w:val="00683AD7"/>
    <w:rsid w:val="00683D97"/>
    <w:rsid w:val="00684FCA"/>
    <w:rsid w:val="00686B5C"/>
    <w:rsid w:val="00695F5F"/>
    <w:rsid w:val="00696997"/>
    <w:rsid w:val="006A20C0"/>
    <w:rsid w:val="006A758C"/>
    <w:rsid w:val="006C1EEC"/>
    <w:rsid w:val="006C3D03"/>
    <w:rsid w:val="006C3FEA"/>
    <w:rsid w:val="006C667A"/>
    <w:rsid w:val="006C69E7"/>
    <w:rsid w:val="006D10AE"/>
    <w:rsid w:val="006D29F2"/>
    <w:rsid w:val="006D7BF1"/>
    <w:rsid w:val="006D7CA2"/>
    <w:rsid w:val="006E065B"/>
    <w:rsid w:val="006E09D3"/>
    <w:rsid w:val="006E0B2D"/>
    <w:rsid w:val="006E1E6C"/>
    <w:rsid w:val="006E3CAD"/>
    <w:rsid w:val="006E5505"/>
    <w:rsid w:val="006F0301"/>
    <w:rsid w:val="006F240A"/>
    <w:rsid w:val="006F2FB3"/>
    <w:rsid w:val="006F31BA"/>
    <w:rsid w:val="006F433E"/>
    <w:rsid w:val="006F4378"/>
    <w:rsid w:val="006F4740"/>
    <w:rsid w:val="006F531B"/>
    <w:rsid w:val="006F62BC"/>
    <w:rsid w:val="00702493"/>
    <w:rsid w:val="0070249C"/>
    <w:rsid w:val="0070466D"/>
    <w:rsid w:val="00712DA8"/>
    <w:rsid w:val="00714F3B"/>
    <w:rsid w:val="007164E8"/>
    <w:rsid w:val="007166F7"/>
    <w:rsid w:val="00716AEF"/>
    <w:rsid w:val="00717076"/>
    <w:rsid w:val="00717296"/>
    <w:rsid w:val="00725FFE"/>
    <w:rsid w:val="00727370"/>
    <w:rsid w:val="00731E68"/>
    <w:rsid w:val="00732C81"/>
    <w:rsid w:val="00735D9E"/>
    <w:rsid w:val="00737842"/>
    <w:rsid w:val="0074109C"/>
    <w:rsid w:val="00741925"/>
    <w:rsid w:val="00741990"/>
    <w:rsid w:val="00742335"/>
    <w:rsid w:val="00742842"/>
    <w:rsid w:val="00753376"/>
    <w:rsid w:val="007543B0"/>
    <w:rsid w:val="007568A9"/>
    <w:rsid w:val="00761514"/>
    <w:rsid w:val="00763CE7"/>
    <w:rsid w:val="007717D5"/>
    <w:rsid w:val="00772177"/>
    <w:rsid w:val="00775C65"/>
    <w:rsid w:val="0077639A"/>
    <w:rsid w:val="0077706A"/>
    <w:rsid w:val="0078100C"/>
    <w:rsid w:val="0078157F"/>
    <w:rsid w:val="00786B9C"/>
    <w:rsid w:val="00786F48"/>
    <w:rsid w:val="0078772C"/>
    <w:rsid w:val="007878E4"/>
    <w:rsid w:val="00787A62"/>
    <w:rsid w:val="007963BD"/>
    <w:rsid w:val="007A1A9D"/>
    <w:rsid w:val="007A4783"/>
    <w:rsid w:val="007A5191"/>
    <w:rsid w:val="007A5791"/>
    <w:rsid w:val="007A5E5D"/>
    <w:rsid w:val="007B0500"/>
    <w:rsid w:val="007B0508"/>
    <w:rsid w:val="007B111B"/>
    <w:rsid w:val="007B3AE8"/>
    <w:rsid w:val="007B4418"/>
    <w:rsid w:val="007B5F62"/>
    <w:rsid w:val="007B66B3"/>
    <w:rsid w:val="007B7077"/>
    <w:rsid w:val="007C3003"/>
    <w:rsid w:val="007C6B60"/>
    <w:rsid w:val="007C6F85"/>
    <w:rsid w:val="007C7FA6"/>
    <w:rsid w:val="007D3AA0"/>
    <w:rsid w:val="007D3FE2"/>
    <w:rsid w:val="007D5690"/>
    <w:rsid w:val="007D6438"/>
    <w:rsid w:val="007D69FA"/>
    <w:rsid w:val="007D70A0"/>
    <w:rsid w:val="007E1600"/>
    <w:rsid w:val="007E357A"/>
    <w:rsid w:val="007F4796"/>
    <w:rsid w:val="00800616"/>
    <w:rsid w:val="00803FAF"/>
    <w:rsid w:val="00807993"/>
    <w:rsid w:val="00810603"/>
    <w:rsid w:val="00814283"/>
    <w:rsid w:val="00820209"/>
    <w:rsid w:val="0082036D"/>
    <w:rsid w:val="00820F35"/>
    <w:rsid w:val="00820FEC"/>
    <w:rsid w:val="008223BC"/>
    <w:rsid w:val="0082393D"/>
    <w:rsid w:val="0083324D"/>
    <w:rsid w:val="008409B8"/>
    <w:rsid w:val="00841733"/>
    <w:rsid w:val="00844D38"/>
    <w:rsid w:val="00844D85"/>
    <w:rsid w:val="008524BE"/>
    <w:rsid w:val="00853BC2"/>
    <w:rsid w:val="00854278"/>
    <w:rsid w:val="00856063"/>
    <w:rsid w:val="00857172"/>
    <w:rsid w:val="008616F2"/>
    <w:rsid w:val="0086236A"/>
    <w:rsid w:val="008625FA"/>
    <w:rsid w:val="0087035A"/>
    <w:rsid w:val="0087347D"/>
    <w:rsid w:val="008764B3"/>
    <w:rsid w:val="00880A77"/>
    <w:rsid w:val="00882DAD"/>
    <w:rsid w:val="00885263"/>
    <w:rsid w:val="008900D2"/>
    <w:rsid w:val="00892DA5"/>
    <w:rsid w:val="008949B1"/>
    <w:rsid w:val="0089713E"/>
    <w:rsid w:val="008A10F3"/>
    <w:rsid w:val="008A4A81"/>
    <w:rsid w:val="008A5C0F"/>
    <w:rsid w:val="008B1596"/>
    <w:rsid w:val="008B4038"/>
    <w:rsid w:val="008B7577"/>
    <w:rsid w:val="008C09C4"/>
    <w:rsid w:val="008C1F44"/>
    <w:rsid w:val="008C2D70"/>
    <w:rsid w:val="008C4154"/>
    <w:rsid w:val="008C646F"/>
    <w:rsid w:val="008C7025"/>
    <w:rsid w:val="008D37D0"/>
    <w:rsid w:val="008D41D4"/>
    <w:rsid w:val="008D4902"/>
    <w:rsid w:val="008D77BB"/>
    <w:rsid w:val="008E2166"/>
    <w:rsid w:val="008E3E4B"/>
    <w:rsid w:val="008E4EF9"/>
    <w:rsid w:val="008E6DFC"/>
    <w:rsid w:val="008E7710"/>
    <w:rsid w:val="008E7F47"/>
    <w:rsid w:val="008F7C6A"/>
    <w:rsid w:val="0090038E"/>
    <w:rsid w:val="00900D4D"/>
    <w:rsid w:val="009019F1"/>
    <w:rsid w:val="00903F34"/>
    <w:rsid w:val="009050AC"/>
    <w:rsid w:val="00905C0A"/>
    <w:rsid w:val="00905E80"/>
    <w:rsid w:val="0091003B"/>
    <w:rsid w:val="00911471"/>
    <w:rsid w:val="009122F8"/>
    <w:rsid w:val="00915520"/>
    <w:rsid w:val="009155F7"/>
    <w:rsid w:val="00917154"/>
    <w:rsid w:val="00917EDE"/>
    <w:rsid w:val="00921131"/>
    <w:rsid w:val="009247F5"/>
    <w:rsid w:val="00926AB2"/>
    <w:rsid w:val="00930654"/>
    <w:rsid w:val="00930BDE"/>
    <w:rsid w:val="009407FE"/>
    <w:rsid w:val="00941CAF"/>
    <w:rsid w:val="00942436"/>
    <w:rsid w:val="00943522"/>
    <w:rsid w:val="00944D29"/>
    <w:rsid w:val="00950FFE"/>
    <w:rsid w:val="009575CD"/>
    <w:rsid w:val="00957603"/>
    <w:rsid w:val="00957A1D"/>
    <w:rsid w:val="00957BC0"/>
    <w:rsid w:val="00957E9E"/>
    <w:rsid w:val="00962055"/>
    <w:rsid w:val="0096399B"/>
    <w:rsid w:val="0096487B"/>
    <w:rsid w:val="00971B65"/>
    <w:rsid w:val="009757D1"/>
    <w:rsid w:val="00980754"/>
    <w:rsid w:val="00981535"/>
    <w:rsid w:val="009825C8"/>
    <w:rsid w:val="00983D5B"/>
    <w:rsid w:val="0098409F"/>
    <w:rsid w:val="00985537"/>
    <w:rsid w:val="00991698"/>
    <w:rsid w:val="00991C17"/>
    <w:rsid w:val="00992D1E"/>
    <w:rsid w:val="00995300"/>
    <w:rsid w:val="009966F4"/>
    <w:rsid w:val="00996E91"/>
    <w:rsid w:val="00997EB2"/>
    <w:rsid w:val="009A06F5"/>
    <w:rsid w:val="009A0788"/>
    <w:rsid w:val="009A0E92"/>
    <w:rsid w:val="009A17EC"/>
    <w:rsid w:val="009A4EF4"/>
    <w:rsid w:val="009A5ED7"/>
    <w:rsid w:val="009B03DF"/>
    <w:rsid w:val="009B2C17"/>
    <w:rsid w:val="009B5625"/>
    <w:rsid w:val="009B6AF0"/>
    <w:rsid w:val="009C06F2"/>
    <w:rsid w:val="009C292D"/>
    <w:rsid w:val="009C3D26"/>
    <w:rsid w:val="009C496C"/>
    <w:rsid w:val="009C5496"/>
    <w:rsid w:val="009C5F0C"/>
    <w:rsid w:val="009C67C0"/>
    <w:rsid w:val="009D0B6C"/>
    <w:rsid w:val="009D1035"/>
    <w:rsid w:val="009D13D0"/>
    <w:rsid w:val="009D162A"/>
    <w:rsid w:val="009D2068"/>
    <w:rsid w:val="009D7D33"/>
    <w:rsid w:val="009E4DD4"/>
    <w:rsid w:val="009E4E3F"/>
    <w:rsid w:val="009E698B"/>
    <w:rsid w:val="009E6CAD"/>
    <w:rsid w:val="009F1547"/>
    <w:rsid w:val="009F4ABA"/>
    <w:rsid w:val="00A037E6"/>
    <w:rsid w:val="00A066AE"/>
    <w:rsid w:val="00A10DD9"/>
    <w:rsid w:val="00A112FE"/>
    <w:rsid w:val="00A12C6B"/>
    <w:rsid w:val="00A14117"/>
    <w:rsid w:val="00A149FA"/>
    <w:rsid w:val="00A159C5"/>
    <w:rsid w:val="00A17DF0"/>
    <w:rsid w:val="00A20F78"/>
    <w:rsid w:val="00A218F1"/>
    <w:rsid w:val="00A23976"/>
    <w:rsid w:val="00A27DEE"/>
    <w:rsid w:val="00A31B93"/>
    <w:rsid w:val="00A342DE"/>
    <w:rsid w:val="00A34EEA"/>
    <w:rsid w:val="00A35863"/>
    <w:rsid w:val="00A375EF"/>
    <w:rsid w:val="00A43049"/>
    <w:rsid w:val="00A43721"/>
    <w:rsid w:val="00A50C68"/>
    <w:rsid w:val="00A528C2"/>
    <w:rsid w:val="00A530F9"/>
    <w:rsid w:val="00A54AFD"/>
    <w:rsid w:val="00A54E69"/>
    <w:rsid w:val="00A61B06"/>
    <w:rsid w:val="00A61F28"/>
    <w:rsid w:val="00A62113"/>
    <w:rsid w:val="00A63924"/>
    <w:rsid w:val="00A6759C"/>
    <w:rsid w:val="00A67923"/>
    <w:rsid w:val="00A70820"/>
    <w:rsid w:val="00A713ED"/>
    <w:rsid w:val="00A714B8"/>
    <w:rsid w:val="00A74901"/>
    <w:rsid w:val="00A75733"/>
    <w:rsid w:val="00A762D5"/>
    <w:rsid w:val="00A76308"/>
    <w:rsid w:val="00A77C08"/>
    <w:rsid w:val="00A81527"/>
    <w:rsid w:val="00A82058"/>
    <w:rsid w:val="00A84868"/>
    <w:rsid w:val="00A84AE7"/>
    <w:rsid w:val="00A869B0"/>
    <w:rsid w:val="00A92738"/>
    <w:rsid w:val="00A9289F"/>
    <w:rsid w:val="00A92C1D"/>
    <w:rsid w:val="00A92C52"/>
    <w:rsid w:val="00AA0C77"/>
    <w:rsid w:val="00AA1D27"/>
    <w:rsid w:val="00AA204C"/>
    <w:rsid w:val="00AA2D57"/>
    <w:rsid w:val="00AA2F6D"/>
    <w:rsid w:val="00AA3941"/>
    <w:rsid w:val="00AA56D0"/>
    <w:rsid w:val="00AA67CE"/>
    <w:rsid w:val="00AA6B57"/>
    <w:rsid w:val="00AB0C9F"/>
    <w:rsid w:val="00AB143A"/>
    <w:rsid w:val="00AB4CE3"/>
    <w:rsid w:val="00AB5F8F"/>
    <w:rsid w:val="00AC003C"/>
    <w:rsid w:val="00AC0103"/>
    <w:rsid w:val="00AC1404"/>
    <w:rsid w:val="00AC2DFC"/>
    <w:rsid w:val="00AC59EF"/>
    <w:rsid w:val="00AC6622"/>
    <w:rsid w:val="00AD039F"/>
    <w:rsid w:val="00AD0A28"/>
    <w:rsid w:val="00AD3902"/>
    <w:rsid w:val="00AD4D12"/>
    <w:rsid w:val="00AD6010"/>
    <w:rsid w:val="00AE0D78"/>
    <w:rsid w:val="00AE1B3D"/>
    <w:rsid w:val="00AE2709"/>
    <w:rsid w:val="00AE33FF"/>
    <w:rsid w:val="00AF06D5"/>
    <w:rsid w:val="00AF07E3"/>
    <w:rsid w:val="00AF09DD"/>
    <w:rsid w:val="00AF24CC"/>
    <w:rsid w:val="00AF5407"/>
    <w:rsid w:val="00AF598C"/>
    <w:rsid w:val="00AF6828"/>
    <w:rsid w:val="00B02655"/>
    <w:rsid w:val="00B05102"/>
    <w:rsid w:val="00B05601"/>
    <w:rsid w:val="00B066E1"/>
    <w:rsid w:val="00B102F1"/>
    <w:rsid w:val="00B1275F"/>
    <w:rsid w:val="00B12DD8"/>
    <w:rsid w:val="00B135A3"/>
    <w:rsid w:val="00B16A34"/>
    <w:rsid w:val="00B25433"/>
    <w:rsid w:val="00B25453"/>
    <w:rsid w:val="00B31B9C"/>
    <w:rsid w:val="00B34D6C"/>
    <w:rsid w:val="00B40588"/>
    <w:rsid w:val="00B4405A"/>
    <w:rsid w:val="00B4652E"/>
    <w:rsid w:val="00B515C3"/>
    <w:rsid w:val="00B5544F"/>
    <w:rsid w:val="00B55E5D"/>
    <w:rsid w:val="00B55FF4"/>
    <w:rsid w:val="00B60A36"/>
    <w:rsid w:val="00B611B1"/>
    <w:rsid w:val="00B62836"/>
    <w:rsid w:val="00B62BF3"/>
    <w:rsid w:val="00B66867"/>
    <w:rsid w:val="00B66994"/>
    <w:rsid w:val="00B71AFB"/>
    <w:rsid w:val="00B71F3A"/>
    <w:rsid w:val="00B7338A"/>
    <w:rsid w:val="00B73C97"/>
    <w:rsid w:val="00B76340"/>
    <w:rsid w:val="00B80C43"/>
    <w:rsid w:val="00B82D52"/>
    <w:rsid w:val="00B93482"/>
    <w:rsid w:val="00B93F92"/>
    <w:rsid w:val="00B94786"/>
    <w:rsid w:val="00BA0E4A"/>
    <w:rsid w:val="00BA2100"/>
    <w:rsid w:val="00BA78B6"/>
    <w:rsid w:val="00BB0DD7"/>
    <w:rsid w:val="00BB0DF3"/>
    <w:rsid w:val="00BB26AD"/>
    <w:rsid w:val="00BB3312"/>
    <w:rsid w:val="00BB674C"/>
    <w:rsid w:val="00BB79BD"/>
    <w:rsid w:val="00BC1D67"/>
    <w:rsid w:val="00BC7208"/>
    <w:rsid w:val="00BD0B48"/>
    <w:rsid w:val="00BD2A0A"/>
    <w:rsid w:val="00BD5D0F"/>
    <w:rsid w:val="00BD7C68"/>
    <w:rsid w:val="00BE05E5"/>
    <w:rsid w:val="00BE1CBC"/>
    <w:rsid w:val="00BE29DC"/>
    <w:rsid w:val="00BE4B03"/>
    <w:rsid w:val="00BF0793"/>
    <w:rsid w:val="00BF09FC"/>
    <w:rsid w:val="00BF697A"/>
    <w:rsid w:val="00BF6ADB"/>
    <w:rsid w:val="00C03776"/>
    <w:rsid w:val="00C13821"/>
    <w:rsid w:val="00C14051"/>
    <w:rsid w:val="00C150BB"/>
    <w:rsid w:val="00C15F73"/>
    <w:rsid w:val="00C174EB"/>
    <w:rsid w:val="00C2037B"/>
    <w:rsid w:val="00C22FF7"/>
    <w:rsid w:val="00C234C2"/>
    <w:rsid w:val="00C250AE"/>
    <w:rsid w:val="00C27F76"/>
    <w:rsid w:val="00C30DA4"/>
    <w:rsid w:val="00C44009"/>
    <w:rsid w:val="00C44719"/>
    <w:rsid w:val="00C50108"/>
    <w:rsid w:val="00C54344"/>
    <w:rsid w:val="00C56742"/>
    <w:rsid w:val="00C6572C"/>
    <w:rsid w:val="00C6634C"/>
    <w:rsid w:val="00C70CFF"/>
    <w:rsid w:val="00C75655"/>
    <w:rsid w:val="00C82C6E"/>
    <w:rsid w:val="00C83425"/>
    <w:rsid w:val="00C837C3"/>
    <w:rsid w:val="00C84497"/>
    <w:rsid w:val="00C868F6"/>
    <w:rsid w:val="00C90F6A"/>
    <w:rsid w:val="00C9137C"/>
    <w:rsid w:val="00C91644"/>
    <w:rsid w:val="00C9663B"/>
    <w:rsid w:val="00C9720C"/>
    <w:rsid w:val="00CA43A5"/>
    <w:rsid w:val="00CA7C0B"/>
    <w:rsid w:val="00CB0B11"/>
    <w:rsid w:val="00CB6E2B"/>
    <w:rsid w:val="00CB6FF7"/>
    <w:rsid w:val="00CB7302"/>
    <w:rsid w:val="00CC1E9F"/>
    <w:rsid w:val="00CC4087"/>
    <w:rsid w:val="00CC5896"/>
    <w:rsid w:val="00CC73A2"/>
    <w:rsid w:val="00CD25E2"/>
    <w:rsid w:val="00CE084D"/>
    <w:rsid w:val="00CE0C35"/>
    <w:rsid w:val="00CE119A"/>
    <w:rsid w:val="00CE24E7"/>
    <w:rsid w:val="00CE3810"/>
    <w:rsid w:val="00CE52B4"/>
    <w:rsid w:val="00CE5DCD"/>
    <w:rsid w:val="00CE701C"/>
    <w:rsid w:val="00CE7599"/>
    <w:rsid w:val="00CF0916"/>
    <w:rsid w:val="00CF1E39"/>
    <w:rsid w:val="00CF35FE"/>
    <w:rsid w:val="00CF3891"/>
    <w:rsid w:val="00CF414A"/>
    <w:rsid w:val="00CF4FF0"/>
    <w:rsid w:val="00CF5B47"/>
    <w:rsid w:val="00D104F9"/>
    <w:rsid w:val="00D1139B"/>
    <w:rsid w:val="00D14323"/>
    <w:rsid w:val="00D16008"/>
    <w:rsid w:val="00D166D4"/>
    <w:rsid w:val="00D1742A"/>
    <w:rsid w:val="00D20B5C"/>
    <w:rsid w:val="00D30254"/>
    <w:rsid w:val="00D33768"/>
    <w:rsid w:val="00D33D87"/>
    <w:rsid w:val="00D35077"/>
    <w:rsid w:val="00D35A6E"/>
    <w:rsid w:val="00D408A8"/>
    <w:rsid w:val="00D40B7C"/>
    <w:rsid w:val="00D418B1"/>
    <w:rsid w:val="00D448E5"/>
    <w:rsid w:val="00D46DAE"/>
    <w:rsid w:val="00D46F92"/>
    <w:rsid w:val="00D51C8F"/>
    <w:rsid w:val="00D5204B"/>
    <w:rsid w:val="00D53547"/>
    <w:rsid w:val="00D54C10"/>
    <w:rsid w:val="00D55191"/>
    <w:rsid w:val="00D55CD0"/>
    <w:rsid w:val="00D57544"/>
    <w:rsid w:val="00D57973"/>
    <w:rsid w:val="00D60C44"/>
    <w:rsid w:val="00D60CE2"/>
    <w:rsid w:val="00D612EC"/>
    <w:rsid w:val="00D6153E"/>
    <w:rsid w:val="00D623C4"/>
    <w:rsid w:val="00D6537A"/>
    <w:rsid w:val="00D722DF"/>
    <w:rsid w:val="00D77C63"/>
    <w:rsid w:val="00D84675"/>
    <w:rsid w:val="00D8526A"/>
    <w:rsid w:val="00D85C4D"/>
    <w:rsid w:val="00D86252"/>
    <w:rsid w:val="00D86A82"/>
    <w:rsid w:val="00D917F3"/>
    <w:rsid w:val="00D97BAA"/>
    <w:rsid w:val="00DA3AF3"/>
    <w:rsid w:val="00DA5455"/>
    <w:rsid w:val="00DA599A"/>
    <w:rsid w:val="00DA5C2B"/>
    <w:rsid w:val="00DB5EFB"/>
    <w:rsid w:val="00DB6EF1"/>
    <w:rsid w:val="00DB7F34"/>
    <w:rsid w:val="00DC19BB"/>
    <w:rsid w:val="00DC6404"/>
    <w:rsid w:val="00DC7585"/>
    <w:rsid w:val="00DD3115"/>
    <w:rsid w:val="00DD47DC"/>
    <w:rsid w:val="00DD7FDF"/>
    <w:rsid w:val="00DE1703"/>
    <w:rsid w:val="00DE25AC"/>
    <w:rsid w:val="00DF362E"/>
    <w:rsid w:val="00DF568D"/>
    <w:rsid w:val="00E00CCB"/>
    <w:rsid w:val="00E042C7"/>
    <w:rsid w:val="00E0781A"/>
    <w:rsid w:val="00E11475"/>
    <w:rsid w:val="00E175A7"/>
    <w:rsid w:val="00E20168"/>
    <w:rsid w:val="00E20740"/>
    <w:rsid w:val="00E20E92"/>
    <w:rsid w:val="00E21EBE"/>
    <w:rsid w:val="00E245DA"/>
    <w:rsid w:val="00E24645"/>
    <w:rsid w:val="00E31BCB"/>
    <w:rsid w:val="00E32963"/>
    <w:rsid w:val="00E337BC"/>
    <w:rsid w:val="00E350CD"/>
    <w:rsid w:val="00E372A9"/>
    <w:rsid w:val="00E4001A"/>
    <w:rsid w:val="00E4001B"/>
    <w:rsid w:val="00E40401"/>
    <w:rsid w:val="00E47E96"/>
    <w:rsid w:val="00E51B82"/>
    <w:rsid w:val="00E51FDE"/>
    <w:rsid w:val="00E534B2"/>
    <w:rsid w:val="00E56B66"/>
    <w:rsid w:val="00E579AF"/>
    <w:rsid w:val="00E639CA"/>
    <w:rsid w:val="00E64649"/>
    <w:rsid w:val="00E674C4"/>
    <w:rsid w:val="00E705B7"/>
    <w:rsid w:val="00E7086E"/>
    <w:rsid w:val="00E70ECC"/>
    <w:rsid w:val="00E71A89"/>
    <w:rsid w:val="00E77197"/>
    <w:rsid w:val="00E772FC"/>
    <w:rsid w:val="00E81B1A"/>
    <w:rsid w:val="00E8268C"/>
    <w:rsid w:val="00E84FB3"/>
    <w:rsid w:val="00E85863"/>
    <w:rsid w:val="00E87037"/>
    <w:rsid w:val="00E91371"/>
    <w:rsid w:val="00E91657"/>
    <w:rsid w:val="00E967D2"/>
    <w:rsid w:val="00EA0F03"/>
    <w:rsid w:val="00EA1EF9"/>
    <w:rsid w:val="00EA2CA0"/>
    <w:rsid w:val="00EA624F"/>
    <w:rsid w:val="00EA7237"/>
    <w:rsid w:val="00EB055B"/>
    <w:rsid w:val="00EB069E"/>
    <w:rsid w:val="00EB112A"/>
    <w:rsid w:val="00EB1BF4"/>
    <w:rsid w:val="00EC1212"/>
    <w:rsid w:val="00EC1D3D"/>
    <w:rsid w:val="00EC3331"/>
    <w:rsid w:val="00EC677E"/>
    <w:rsid w:val="00EC688A"/>
    <w:rsid w:val="00EC7E67"/>
    <w:rsid w:val="00ED5B5C"/>
    <w:rsid w:val="00ED70BD"/>
    <w:rsid w:val="00EE0B3E"/>
    <w:rsid w:val="00EE37BB"/>
    <w:rsid w:val="00EF0139"/>
    <w:rsid w:val="00EF1747"/>
    <w:rsid w:val="00EF4099"/>
    <w:rsid w:val="00EF6BDC"/>
    <w:rsid w:val="00F01C4C"/>
    <w:rsid w:val="00F02786"/>
    <w:rsid w:val="00F034A1"/>
    <w:rsid w:val="00F0434F"/>
    <w:rsid w:val="00F06580"/>
    <w:rsid w:val="00F0670F"/>
    <w:rsid w:val="00F07FA6"/>
    <w:rsid w:val="00F11897"/>
    <w:rsid w:val="00F11BB3"/>
    <w:rsid w:val="00F13036"/>
    <w:rsid w:val="00F15B8D"/>
    <w:rsid w:val="00F174F9"/>
    <w:rsid w:val="00F2056B"/>
    <w:rsid w:val="00F21D1A"/>
    <w:rsid w:val="00F22865"/>
    <w:rsid w:val="00F24D75"/>
    <w:rsid w:val="00F2594A"/>
    <w:rsid w:val="00F261E3"/>
    <w:rsid w:val="00F34B2F"/>
    <w:rsid w:val="00F34F33"/>
    <w:rsid w:val="00F36D1F"/>
    <w:rsid w:val="00F3769E"/>
    <w:rsid w:val="00F37DAC"/>
    <w:rsid w:val="00F40F06"/>
    <w:rsid w:val="00F42669"/>
    <w:rsid w:val="00F4357E"/>
    <w:rsid w:val="00F44740"/>
    <w:rsid w:val="00F4749B"/>
    <w:rsid w:val="00F514FB"/>
    <w:rsid w:val="00F56CE9"/>
    <w:rsid w:val="00F61151"/>
    <w:rsid w:val="00F615DB"/>
    <w:rsid w:val="00F64ECE"/>
    <w:rsid w:val="00F64F54"/>
    <w:rsid w:val="00F6595D"/>
    <w:rsid w:val="00F67B6E"/>
    <w:rsid w:val="00F70063"/>
    <w:rsid w:val="00F73132"/>
    <w:rsid w:val="00F74636"/>
    <w:rsid w:val="00F77765"/>
    <w:rsid w:val="00F77EC3"/>
    <w:rsid w:val="00F8110D"/>
    <w:rsid w:val="00F82DD1"/>
    <w:rsid w:val="00F85E98"/>
    <w:rsid w:val="00FA7213"/>
    <w:rsid w:val="00FA7C8B"/>
    <w:rsid w:val="00FB0249"/>
    <w:rsid w:val="00FB2D9A"/>
    <w:rsid w:val="00FB4004"/>
    <w:rsid w:val="00FB793A"/>
    <w:rsid w:val="00FC5915"/>
    <w:rsid w:val="00FC5D6D"/>
    <w:rsid w:val="00FD2290"/>
    <w:rsid w:val="00FD6657"/>
    <w:rsid w:val="00FE05E3"/>
    <w:rsid w:val="00FE0F25"/>
    <w:rsid w:val="00FE21BD"/>
    <w:rsid w:val="00FE30D4"/>
    <w:rsid w:val="00FE37F0"/>
    <w:rsid w:val="00FF048B"/>
    <w:rsid w:val="00FF1A54"/>
    <w:rsid w:val="00FF3B40"/>
    <w:rsid w:val="00FF5A7E"/>
    <w:rsid w:val="00FF640E"/>
    <w:rsid w:val="00FF6D95"/>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803FAF"/>
  </w:style>
  <w:style w:type="character" w:customStyle="1" w:styleId="FootnoteTextChar">
    <w:name w:val="Footnote Text Char"/>
    <w:basedOn w:val="DefaultParagraphFont"/>
    <w:link w:val="FootnoteText"/>
    <w:uiPriority w:val="99"/>
    <w:semiHidden/>
    <w:rsid w:val="00803FAF"/>
    <w:rPr>
      <w:rFonts w:ascii="Times New Roman" w:eastAsia="Times New Roman" w:hAnsi="Times New Roman" w:cs="Times New Roman"/>
      <w:sz w:val="20"/>
      <w:szCs w:val="20"/>
    </w:rPr>
  </w:style>
  <w:style w:type="paragraph" w:styleId="ListParagraph">
    <w:name w:val="List Paragraph"/>
    <w:basedOn w:val="Normal"/>
    <w:uiPriority w:val="34"/>
    <w:qFormat/>
    <w:rsid w:val="006C667A"/>
    <w:pPr>
      <w:ind w:left="720"/>
      <w:contextualSpacing/>
    </w:pPr>
  </w:style>
  <w:style w:type="paragraph" w:styleId="Header">
    <w:name w:val="header"/>
    <w:basedOn w:val="Normal"/>
    <w:link w:val="HeaderChar"/>
    <w:uiPriority w:val="99"/>
    <w:unhideWhenUsed/>
    <w:rsid w:val="00B25433"/>
    <w:pPr>
      <w:tabs>
        <w:tab w:val="center" w:pos="4680"/>
        <w:tab w:val="right" w:pos="9360"/>
      </w:tabs>
    </w:pPr>
  </w:style>
  <w:style w:type="character" w:customStyle="1" w:styleId="HeaderChar">
    <w:name w:val="Header Char"/>
    <w:basedOn w:val="DefaultParagraphFont"/>
    <w:link w:val="Header"/>
    <w:uiPriority w:val="99"/>
    <w:rsid w:val="00B2543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25433"/>
    <w:pPr>
      <w:tabs>
        <w:tab w:val="center" w:pos="4680"/>
        <w:tab w:val="right" w:pos="9360"/>
      </w:tabs>
    </w:pPr>
  </w:style>
  <w:style w:type="character" w:customStyle="1" w:styleId="FooterChar">
    <w:name w:val="Footer Char"/>
    <w:basedOn w:val="DefaultParagraphFont"/>
    <w:link w:val="Footer"/>
    <w:uiPriority w:val="99"/>
    <w:rsid w:val="00B25433"/>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46F92"/>
    <w:rPr>
      <w:sz w:val="16"/>
      <w:szCs w:val="16"/>
    </w:rPr>
  </w:style>
  <w:style w:type="paragraph" w:styleId="CommentText">
    <w:name w:val="annotation text"/>
    <w:basedOn w:val="Normal"/>
    <w:link w:val="CommentTextChar"/>
    <w:uiPriority w:val="99"/>
    <w:semiHidden/>
    <w:unhideWhenUsed/>
    <w:rsid w:val="00D46F92"/>
  </w:style>
  <w:style w:type="character" w:customStyle="1" w:styleId="CommentTextChar">
    <w:name w:val="Comment Text Char"/>
    <w:basedOn w:val="DefaultParagraphFont"/>
    <w:link w:val="CommentText"/>
    <w:uiPriority w:val="99"/>
    <w:semiHidden/>
    <w:rsid w:val="00D46F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6F92"/>
    <w:rPr>
      <w:b/>
      <w:bCs/>
    </w:rPr>
  </w:style>
  <w:style w:type="character" w:customStyle="1" w:styleId="CommentSubjectChar">
    <w:name w:val="Comment Subject Char"/>
    <w:basedOn w:val="CommentTextChar"/>
    <w:link w:val="CommentSubject"/>
    <w:uiPriority w:val="99"/>
    <w:semiHidden/>
    <w:rsid w:val="00D46F92"/>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2435E2"/>
    <w:pPr>
      <w:widowControl/>
      <w:spacing w:before="100" w:beforeAutospacing="1" w:after="100" w:afterAutospacing="1"/>
    </w:pPr>
    <w:rPr>
      <w:sz w:val="24"/>
      <w:szCs w:val="24"/>
    </w:rPr>
  </w:style>
  <w:style w:type="paragraph" w:styleId="EndnoteText">
    <w:name w:val="endnote text"/>
    <w:basedOn w:val="Normal"/>
    <w:link w:val="EndnoteTextChar"/>
    <w:uiPriority w:val="99"/>
    <w:semiHidden/>
    <w:unhideWhenUsed/>
    <w:rsid w:val="00363FA8"/>
  </w:style>
  <w:style w:type="character" w:customStyle="1" w:styleId="EndnoteTextChar">
    <w:name w:val="Endnote Text Char"/>
    <w:basedOn w:val="DefaultParagraphFont"/>
    <w:link w:val="EndnoteText"/>
    <w:uiPriority w:val="99"/>
    <w:semiHidden/>
    <w:rsid w:val="00363FA8"/>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63FA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803FAF"/>
  </w:style>
  <w:style w:type="character" w:customStyle="1" w:styleId="FootnoteTextChar">
    <w:name w:val="Footnote Text Char"/>
    <w:basedOn w:val="DefaultParagraphFont"/>
    <w:link w:val="FootnoteText"/>
    <w:uiPriority w:val="99"/>
    <w:semiHidden/>
    <w:rsid w:val="00803FAF"/>
    <w:rPr>
      <w:rFonts w:ascii="Times New Roman" w:eastAsia="Times New Roman" w:hAnsi="Times New Roman" w:cs="Times New Roman"/>
      <w:sz w:val="20"/>
      <w:szCs w:val="20"/>
    </w:rPr>
  </w:style>
  <w:style w:type="paragraph" w:styleId="ListParagraph">
    <w:name w:val="List Paragraph"/>
    <w:basedOn w:val="Normal"/>
    <w:uiPriority w:val="34"/>
    <w:qFormat/>
    <w:rsid w:val="006C667A"/>
    <w:pPr>
      <w:ind w:left="720"/>
      <w:contextualSpacing/>
    </w:pPr>
  </w:style>
  <w:style w:type="paragraph" w:styleId="Header">
    <w:name w:val="header"/>
    <w:basedOn w:val="Normal"/>
    <w:link w:val="HeaderChar"/>
    <w:uiPriority w:val="99"/>
    <w:unhideWhenUsed/>
    <w:rsid w:val="00B25433"/>
    <w:pPr>
      <w:tabs>
        <w:tab w:val="center" w:pos="4680"/>
        <w:tab w:val="right" w:pos="9360"/>
      </w:tabs>
    </w:pPr>
  </w:style>
  <w:style w:type="character" w:customStyle="1" w:styleId="HeaderChar">
    <w:name w:val="Header Char"/>
    <w:basedOn w:val="DefaultParagraphFont"/>
    <w:link w:val="Header"/>
    <w:uiPriority w:val="99"/>
    <w:rsid w:val="00B2543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25433"/>
    <w:pPr>
      <w:tabs>
        <w:tab w:val="center" w:pos="4680"/>
        <w:tab w:val="right" w:pos="9360"/>
      </w:tabs>
    </w:pPr>
  </w:style>
  <w:style w:type="character" w:customStyle="1" w:styleId="FooterChar">
    <w:name w:val="Footer Char"/>
    <w:basedOn w:val="DefaultParagraphFont"/>
    <w:link w:val="Footer"/>
    <w:uiPriority w:val="99"/>
    <w:rsid w:val="00B25433"/>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46F92"/>
    <w:rPr>
      <w:sz w:val="16"/>
      <w:szCs w:val="16"/>
    </w:rPr>
  </w:style>
  <w:style w:type="paragraph" w:styleId="CommentText">
    <w:name w:val="annotation text"/>
    <w:basedOn w:val="Normal"/>
    <w:link w:val="CommentTextChar"/>
    <w:uiPriority w:val="99"/>
    <w:semiHidden/>
    <w:unhideWhenUsed/>
    <w:rsid w:val="00D46F92"/>
  </w:style>
  <w:style w:type="character" w:customStyle="1" w:styleId="CommentTextChar">
    <w:name w:val="Comment Text Char"/>
    <w:basedOn w:val="DefaultParagraphFont"/>
    <w:link w:val="CommentText"/>
    <w:uiPriority w:val="99"/>
    <w:semiHidden/>
    <w:rsid w:val="00D46F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6F92"/>
    <w:rPr>
      <w:b/>
      <w:bCs/>
    </w:rPr>
  </w:style>
  <w:style w:type="character" w:customStyle="1" w:styleId="CommentSubjectChar">
    <w:name w:val="Comment Subject Char"/>
    <w:basedOn w:val="CommentTextChar"/>
    <w:link w:val="CommentSubject"/>
    <w:uiPriority w:val="99"/>
    <w:semiHidden/>
    <w:rsid w:val="00D46F92"/>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2435E2"/>
    <w:pPr>
      <w:widowControl/>
      <w:spacing w:before="100" w:beforeAutospacing="1" w:after="100" w:afterAutospacing="1"/>
    </w:pPr>
    <w:rPr>
      <w:sz w:val="24"/>
      <w:szCs w:val="24"/>
    </w:rPr>
  </w:style>
  <w:style w:type="paragraph" w:styleId="EndnoteText">
    <w:name w:val="endnote text"/>
    <w:basedOn w:val="Normal"/>
    <w:link w:val="EndnoteTextChar"/>
    <w:uiPriority w:val="99"/>
    <w:semiHidden/>
    <w:unhideWhenUsed/>
    <w:rsid w:val="00363FA8"/>
  </w:style>
  <w:style w:type="character" w:customStyle="1" w:styleId="EndnoteTextChar">
    <w:name w:val="Endnote Text Char"/>
    <w:basedOn w:val="DefaultParagraphFont"/>
    <w:link w:val="EndnoteText"/>
    <w:uiPriority w:val="99"/>
    <w:semiHidden/>
    <w:rsid w:val="00363FA8"/>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63F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892615">
      <w:bodyDiv w:val="1"/>
      <w:marLeft w:val="0"/>
      <w:marRight w:val="0"/>
      <w:marTop w:val="0"/>
      <w:marBottom w:val="0"/>
      <w:divBdr>
        <w:top w:val="none" w:sz="0" w:space="0" w:color="auto"/>
        <w:left w:val="none" w:sz="0" w:space="0" w:color="auto"/>
        <w:bottom w:val="none" w:sz="0" w:space="0" w:color="auto"/>
        <w:right w:val="none" w:sz="0" w:space="0" w:color="auto"/>
      </w:divBdr>
      <w:divsChild>
        <w:div w:id="206726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00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81010-1F5E-42EE-AFDE-EFBE28393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5150</Words>
  <Characters>29360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34442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Farner, Joyce</cp:lastModifiedBy>
  <cp:revision>4</cp:revision>
  <cp:lastPrinted>2014-07-23T18:15:00Z</cp:lastPrinted>
  <dcterms:created xsi:type="dcterms:W3CDTF">2014-07-23T16:00:00Z</dcterms:created>
  <dcterms:modified xsi:type="dcterms:W3CDTF">2014-07-23T18:15:00Z</dcterms:modified>
</cp:coreProperties>
</file>