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PENNSYLVANIA</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PUBLIC UTILITY COMMISSION</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Harrisburg, PA  17105-3265</w:t>
      </w:r>
    </w:p>
    <w:p w:rsidR="00C2455C" w:rsidRPr="007620D2" w:rsidRDefault="00C2455C" w:rsidP="00C2455C">
      <w:pPr>
        <w:tabs>
          <w:tab w:val="center" w:pos="4680"/>
        </w:tabs>
        <w:suppressAutoHyphens/>
        <w:jc w:val="center"/>
        <w:rPr>
          <w:b/>
          <w:bCs/>
          <w:spacing w:val="-3"/>
          <w:sz w:val="26"/>
          <w:szCs w:val="26"/>
        </w:rPr>
      </w:pPr>
    </w:p>
    <w:p w:rsidR="000B6331" w:rsidRPr="007620D2" w:rsidRDefault="000B6331" w:rsidP="000B6331">
      <w:pPr>
        <w:tabs>
          <w:tab w:val="right" w:pos="9360"/>
        </w:tabs>
        <w:suppressAutoHyphens/>
        <w:rPr>
          <w:sz w:val="26"/>
          <w:szCs w:val="26"/>
        </w:rPr>
      </w:pPr>
      <w:r w:rsidRPr="007620D2">
        <w:rPr>
          <w:sz w:val="26"/>
        </w:rPr>
        <w:tab/>
        <w:t>P</w:t>
      </w:r>
      <w:r w:rsidRPr="007620D2">
        <w:rPr>
          <w:sz w:val="26"/>
          <w:szCs w:val="26"/>
        </w:rPr>
        <w:t>ublic Meeting held</w:t>
      </w:r>
      <w:r w:rsidR="007B42FB">
        <w:rPr>
          <w:sz w:val="26"/>
          <w:szCs w:val="26"/>
        </w:rPr>
        <w:t xml:space="preserve"> </w:t>
      </w:r>
      <w:r w:rsidR="004D74D5">
        <w:rPr>
          <w:sz w:val="26"/>
          <w:szCs w:val="26"/>
        </w:rPr>
        <w:t>July</w:t>
      </w:r>
      <w:r w:rsidR="007B42FB">
        <w:rPr>
          <w:sz w:val="26"/>
          <w:szCs w:val="26"/>
        </w:rPr>
        <w:t xml:space="preserve"> 9</w:t>
      </w:r>
      <w:r w:rsidR="003016E4">
        <w:rPr>
          <w:sz w:val="26"/>
          <w:szCs w:val="26"/>
        </w:rPr>
        <w:t>, 201</w:t>
      </w:r>
      <w:r w:rsidR="00C03AA3">
        <w:rPr>
          <w:sz w:val="26"/>
          <w:szCs w:val="26"/>
        </w:rPr>
        <w:t>4</w:t>
      </w:r>
    </w:p>
    <w:p w:rsidR="000B6331" w:rsidRPr="007620D2" w:rsidRDefault="000B6331" w:rsidP="000B6331">
      <w:pPr>
        <w:tabs>
          <w:tab w:val="right" w:pos="9360"/>
        </w:tabs>
        <w:suppressAutoHyphens/>
        <w:rPr>
          <w:sz w:val="26"/>
          <w:szCs w:val="26"/>
        </w:rPr>
      </w:pPr>
    </w:p>
    <w:p w:rsidR="000B6331" w:rsidRPr="007620D2" w:rsidRDefault="000B6331" w:rsidP="000B6331">
      <w:pPr>
        <w:tabs>
          <w:tab w:val="left" w:pos="-720"/>
        </w:tabs>
        <w:suppressAutoHyphens/>
        <w:rPr>
          <w:sz w:val="26"/>
        </w:rPr>
      </w:pPr>
    </w:p>
    <w:p w:rsidR="000B6331" w:rsidRPr="007620D2" w:rsidRDefault="000B6331" w:rsidP="000B6331">
      <w:pPr>
        <w:tabs>
          <w:tab w:val="left" w:pos="-720"/>
        </w:tabs>
        <w:suppressAutoHyphens/>
        <w:rPr>
          <w:sz w:val="26"/>
        </w:rPr>
      </w:pPr>
      <w:r w:rsidRPr="007620D2">
        <w:rPr>
          <w:sz w:val="26"/>
        </w:rPr>
        <w:t>Commissioners Present:</w:t>
      </w:r>
    </w:p>
    <w:p w:rsidR="000B6331" w:rsidRPr="007620D2" w:rsidRDefault="000B6331" w:rsidP="000B6331">
      <w:pPr>
        <w:tabs>
          <w:tab w:val="left" w:pos="-720"/>
        </w:tabs>
        <w:suppressAutoHyphens/>
        <w:rPr>
          <w:sz w:val="26"/>
        </w:rPr>
      </w:pPr>
    </w:p>
    <w:p w:rsidR="000B6331" w:rsidRPr="007620D2" w:rsidRDefault="000B6331" w:rsidP="000B6331">
      <w:pPr>
        <w:tabs>
          <w:tab w:val="left" w:pos="-720"/>
          <w:tab w:val="left" w:pos="0"/>
        </w:tabs>
        <w:suppressAutoHyphens/>
        <w:rPr>
          <w:sz w:val="26"/>
          <w:szCs w:val="26"/>
        </w:rPr>
      </w:pPr>
      <w:r w:rsidRPr="007620D2">
        <w:rPr>
          <w:sz w:val="26"/>
        </w:rPr>
        <w:tab/>
      </w:r>
      <w:r w:rsidR="00C03AA3">
        <w:rPr>
          <w:sz w:val="26"/>
          <w:szCs w:val="26"/>
        </w:rPr>
        <w:t>Robert F. Powelson</w:t>
      </w:r>
      <w:r w:rsidRPr="007620D2">
        <w:rPr>
          <w:sz w:val="26"/>
          <w:szCs w:val="26"/>
        </w:rPr>
        <w:t>, Chairman</w:t>
      </w:r>
    </w:p>
    <w:p w:rsidR="000B6331" w:rsidRPr="007620D2" w:rsidRDefault="000B6331" w:rsidP="000B6331">
      <w:pPr>
        <w:tabs>
          <w:tab w:val="left" w:pos="-720"/>
          <w:tab w:val="left" w:pos="0"/>
        </w:tabs>
        <w:suppressAutoHyphens/>
        <w:rPr>
          <w:sz w:val="26"/>
          <w:szCs w:val="26"/>
        </w:rPr>
      </w:pPr>
      <w:r w:rsidRPr="007620D2">
        <w:rPr>
          <w:sz w:val="26"/>
          <w:szCs w:val="26"/>
        </w:rPr>
        <w:tab/>
      </w:r>
      <w:r w:rsidR="00C03AA3">
        <w:rPr>
          <w:sz w:val="26"/>
          <w:szCs w:val="26"/>
        </w:rPr>
        <w:t>John F. Coleman, Jr.</w:t>
      </w:r>
      <w:r w:rsidRPr="007620D2">
        <w:rPr>
          <w:sz w:val="26"/>
          <w:szCs w:val="26"/>
        </w:rPr>
        <w:t>, Vice Chairman</w:t>
      </w:r>
    </w:p>
    <w:p w:rsidR="00041DF4" w:rsidRDefault="000B6331" w:rsidP="000B6331">
      <w:pPr>
        <w:tabs>
          <w:tab w:val="left" w:pos="-720"/>
          <w:tab w:val="left" w:pos="0"/>
        </w:tabs>
        <w:suppressAutoHyphens/>
        <w:rPr>
          <w:sz w:val="26"/>
          <w:szCs w:val="26"/>
        </w:rPr>
      </w:pPr>
      <w:r w:rsidRPr="007620D2">
        <w:rPr>
          <w:sz w:val="26"/>
          <w:szCs w:val="26"/>
        </w:rPr>
        <w:tab/>
      </w:r>
      <w:r w:rsidR="00C03AA3">
        <w:rPr>
          <w:sz w:val="26"/>
          <w:szCs w:val="26"/>
        </w:rPr>
        <w:t>James H. Cawley</w:t>
      </w:r>
    </w:p>
    <w:p w:rsidR="000B6331" w:rsidRPr="007620D2" w:rsidRDefault="00041DF4" w:rsidP="000B6331">
      <w:pPr>
        <w:tabs>
          <w:tab w:val="left" w:pos="-720"/>
          <w:tab w:val="left" w:pos="0"/>
        </w:tabs>
        <w:suppressAutoHyphens/>
        <w:rPr>
          <w:sz w:val="26"/>
          <w:szCs w:val="26"/>
        </w:rPr>
      </w:pPr>
      <w:r>
        <w:rPr>
          <w:sz w:val="26"/>
          <w:szCs w:val="26"/>
        </w:rPr>
        <w:tab/>
      </w:r>
      <w:r w:rsidR="00C03AA3">
        <w:rPr>
          <w:sz w:val="26"/>
          <w:szCs w:val="26"/>
        </w:rPr>
        <w:t>Pamela A. Witmer</w:t>
      </w:r>
    </w:p>
    <w:p w:rsidR="000B6331" w:rsidRPr="007620D2" w:rsidRDefault="000B6331" w:rsidP="000B6331">
      <w:pPr>
        <w:tabs>
          <w:tab w:val="left" w:pos="-720"/>
          <w:tab w:val="left" w:pos="0"/>
        </w:tabs>
        <w:suppressAutoHyphens/>
        <w:rPr>
          <w:sz w:val="26"/>
          <w:szCs w:val="26"/>
        </w:rPr>
      </w:pPr>
      <w:r w:rsidRPr="007620D2">
        <w:rPr>
          <w:sz w:val="26"/>
          <w:szCs w:val="26"/>
        </w:rPr>
        <w:tab/>
      </w:r>
      <w:r w:rsidR="00C03AA3">
        <w:rPr>
          <w:sz w:val="26"/>
          <w:szCs w:val="26"/>
        </w:rPr>
        <w:t>Gladys M. Brown</w:t>
      </w:r>
    </w:p>
    <w:p w:rsidR="000B6331" w:rsidRPr="007620D2" w:rsidRDefault="000B6331" w:rsidP="000B6331">
      <w:pPr>
        <w:tabs>
          <w:tab w:val="left" w:pos="-720"/>
          <w:tab w:val="left" w:pos="0"/>
        </w:tabs>
        <w:suppressAutoHyphens/>
        <w:rPr>
          <w:sz w:val="26"/>
          <w:szCs w:val="26"/>
        </w:rPr>
      </w:pPr>
    </w:p>
    <w:p w:rsidR="00C2455C" w:rsidRPr="007620D2" w:rsidRDefault="00C2455C" w:rsidP="00C2455C">
      <w:pPr>
        <w:tabs>
          <w:tab w:val="left" w:pos="-720"/>
        </w:tabs>
        <w:suppressAutoHyphens/>
        <w:jc w:val="both"/>
        <w:rPr>
          <w:spacing w:val="-3"/>
          <w:sz w:val="26"/>
          <w:szCs w:val="26"/>
        </w:rPr>
      </w:pPr>
    </w:p>
    <w:p w:rsidR="00772553" w:rsidRDefault="004D74D5" w:rsidP="00496F8D">
      <w:pPr>
        <w:tabs>
          <w:tab w:val="left" w:pos="-720"/>
        </w:tabs>
        <w:suppressAutoHyphens/>
        <w:jc w:val="both"/>
        <w:rPr>
          <w:spacing w:val="-3"/>
          <w:sz w:val="26"/>
          <w:szCs w:val="26"/>
        </w:rPr>
      </w:pPr>
      <w:proofErr w:type="gramStart"/>
      <w:r>
        <w:rPr>
          <w:spacing w:val="-3"/>
          <w:sz w:val="26"/>
          <w:szCs w:val="26"/>
        </w:rPr>
        <w:t>Request for Clarification</w:t>
      </w:r>
      <w:r>
        <w:rPr>
          <w:spacing w:val="-3"/>
          <w:sz w:val="26"/>
          <w:szCs w:val="26"/>
        </w:rPr>
        <w:tab/>
        <w:t xml:space="preserve">     </w:t>
      </w:r>
      <w:r w:rsidR="00772553">
        <w:rPr>
          <w:spacing w:val="-3"/>
          <w:sz w:val="26"/>
          <w:szCs w:val="26"/>
        </w:rPr>
        <w:tab/>
      </w:r>
      <w:r w:rsidR="00772553">
        <w:rPr>
          <w:spacing w:val="-3"/>
          <w:sz w:val="26"/>
          <w:szCs w:val="26"/>
        </w:rPr>
        <w:tab/>
      </w:r>
      <w:r w:rsidR="00772553">
        <w:rPr>
          <w:spacing w:val="-3"/>
          <w:sz w:val="26"/>
          <w:szCs w:val="26"/>
        </w:rPr>
        <w:tab/>
      </w:r>
      <w:r w:rsidR="00860BA4">
        <w:rPr>
          <w:spacing w:val="-3"/>
          <w:sz w:val="26"/>
          <w:szCs w:val="26"/>
        </w:rPr>
        <w:tab/>
      </w:r>
      <w:r w:rsidR="00B05506">
        <w:rPr>
          <w:spacing w:val="-3"/>
          <w:sz w:val="26"/>
          <w:szCs w:val="26"/>
        </w:rPr>
        <w:t xml:space="preserve">         </w:t>
      </w:r>
      <w:r w:rsidR="00637C77">
        <w:rPr>
          <w:spacing w:val="-3"/>
          <w:sz w:val="26"/>
          <w:szCs w:val="26"/>
        </w:rPr>
        <w:t>Docket No.</w:t>
      </w:r>
      <w:proofErr w:type="gramEnd"/>
      <w:r w:rsidR="00637C77" w:rsidRPr="00637C77">
        <w:rPr>
          <w:spacing w:val="-3"/>
          <w:sz w:val="26"/>
          <w:szCs w:val="26"/>
        </w:rPr>
        <w:t xml:space="preserve"> </w:t>
      </w:r>
      <w:r w:rsidRPr="007B6A61">
        <w:rPr>
          <w:sz w:val="26"/>
          <w:szCs w:val="26"/>
        </w:rPr>
        <w:t>L-2014-2409385</w:t>
      </w:r>
    </w:p>
    <w:p w:rsidR="004D74D5" w:rsidRDefault="004D74D5" w:rsidP="00496F8D">
      <w:pPr>
        <w:tabs>
          <w:tab w:val="left" w:pos="-720"/>
        </w:tabs>
        <w:suppressAutoHyphens/>
        <w:jc w:val="both"/>
        <w:rPr>
          <w:spacing w:val="-3"/>
          <w:sz w:val="26"/>
          <w:szCs w:val="26"/>
        </w:rPr>
      </w:pPr>
      <w:proofErr w:type="gramStart"/>
      <w:r>
        <w:rPr>
          <w:spacing w:val="-3"/>
          <w:sz w:val="26"/>
          <w:szCs w:val="26"/>
        </w:rPr>
        <w:t>on</w:t>
      </w:r>
      <w:proofErr w:type="gramEnd"/>
      <w:r>
        <w:rPr>
          <w:spacing w:val="-3"/>
          <w:sz w:val="26"/>
          <w:szCs w:val="26"/>
        </w:rPr>
        <w:t xml:space="preserve"> Notice Requirements for</w:t>
      </w:r>
    </w:p>
    <w:p w:rsidR="004D74D5" w:rsidRDefault="004D74D5" w:rsidP="00496F8D">
      <w:pPr>
        <w:tabs>
          <w:tab w:val="left" w:pos="-720"/>
        </w:tabs>
        <w:suppressAutoHyphens/>
        <w:jc w:val="both"/>
        <w:rPr>
          <w:spacing w:val="-3"/>
          <w:sz w:val="26"/>
          <w:szCs w:val="26"/>
        </w:rPr>
      </w:pPr>
      <w:r>
        <w:rPr>
          <w:spacing w:val="-3"/>
          <w:sz w:val="26"/>
          <w:szCs w:val="26"/>
        </w:rPr>
        <w:t>Combined Electricity and Natural</w:t>
      </w:r>
    </w:p>
    <w:p w:rsidR="004D74D5" w:rsidRDefault="004D74D5" w:rsidP="00496F8D">
      <w:pPr>
        <w:tabs>
          <w:tab w:val="left" w:pos="-720"/>
        </w:tabs>
        <w:suppressAutoHyphens/>
        <w:jc w:val="both"/>
        <w:rPr>
          <w:spacing w:val="-3"/>
          <w:sz w:val="26"/>
          <w:szCs w:val="26"/>
        </w:rPr>
      </w:pPr>
      <w:r>
        <w:rPr>
          <w:spacing w:val="-3"/>
          <w:sz w:val="26"/>
          <w:szCs w:val="26"/>
        </w:rPr>
        <w:t>Gas Disclosure Statements; 52 Pa</w:t>
      </w:r>
      <w:r w:rsidR="00B33DCB">
        <w:rPr>
          <w:spacing w:val="-3"/>
          <w:sz w:val="26"/>
          <w:szCs w:val="26"/>
        </w:rPr>
        <w:t>.</w:t>
      </w:r>
      <w:r>
        <w:rPr>
          <w:spacing w:val="-3"/>
          <w:sz w:val="26"/>
          <w:szCs w:val="26"/>
        </w:rPr>
        <w:t xml:space="preserve"> </w:t>
      </w:r>
      <w:proofErr w:type="gramStart"/>
      <w:r>
        <w:rPr>
          <w:spacing w:val="-3"/>
          <w:sz w:val="26"/>
          <w:szCs w:val="26"/>
        </w:rPr>
        <w:t>Code</w:t>
      </w:r>
      <w:proofErr w:type="gramEnd"/>
    </w:p>
    <w:p w:rsidR="0028199C" w:rsidRPr="007620D2" w:rsidRDefault="004D74D5" w:rsidP="00496F8D">
      <w:pPr>
        <w:tabs>
          <w:tab w:val="left" w:pos="-720"/>
        </w:tabs>
        <w:suppressAutoHyphens/>
        <w:jc w:val="both"/>
        <w:rPr>
          <w:spacing w:val="-3"/>
          <w:sz w:val="26"/>
          <w:szCs w:val="26"/>
        </w:rPr>
      </w:pPr>
      <w:proofErr w:type="gramStart"/>
      <w:r>
        <w:rPr>
          <w:spacing w:val="-3"/>
          <w:sz w:val="26"/>
          <w:szCs w:val="26"/>
        </w:rPr>
        <w:t>Sections 54.5, 54.10 and 62.75.</w:t>
      </w:r>
      <w:proofErr w:type="gramEnd"/>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r w:rsidR="00637C77">
        <w:rPr>
          <w:spacing w:val="-3"/>
          <w:sz w:val="26"/>
          <w:szCs w:val="26"/>
        </w:rPr>
        <w:tab/>
      </w:r>
    </w:p>
    <w:p w:rsidR="004063F8" w:rsidRPr="007620D2" w:rsidRDefault="004063F8" w:rsidP="007620D2">
      <w:pPr>
        <w:tabs>
          <w:tab w:val="left" w:pos="-720"/>
        </w:tabs>
        <w:suppressAutoHyphens/>
        <w:spacing w:line="360" w:lineRule="auto"/>
        <w:jc w:val="both"/>
        <w:rPr>
          <w:spacing w:val="-3"/>
          <w:sz w:val="26"/>
          <w:szCs w:val="26"/>
        </w:rPr>
      </w:pPr>
    </w:p>
    <w:p w:rsidR="00C2455C" w:rsidRPr="007620D2" w:rsidRDefault="00C03AA3" w:rsidP="007620D2">
      <w:pPr>
        <w:tabs>
          <w:tab w:val="center" w:pos="4680"/>
        </w:tabs>
        <w:suppressAutoHyphens/>
        <w:spacing w:line="360" w:lineRule="auto"/>
        <w:jc w:val="center"/>
        <w:rPr>
          <w:b/>
          <w:bCs/>
          <w:spacing w:val="-3"/>
          <w:sz w:val="26"/>
          <w:szCs w:val="26"/>
        </w:rPr>
      </w:pPr>
      <w:r>
        <w:rPr>
          <w:b/>
          <w:bCs/>
          <w:spacing w:val="-3"/>
          <w:sz w:val="26"/>
          <w:szCs w:val="26"/>
        </w:rPr>
        <w:t>TENTATIVE ORDER</w:t>
      </w:r>
    </w:p>
    <w:p w:rsidR="00C2455C" w:rsidRPr="007620D2" w:rsidRDefault="00C2455C" w:rsidP="007620D2">
      <w:pPr>
        <w:tabs>
          <w:tab w:val="center" w:pos="4680"/>
        </w:tabs>
        <w:suppressAutoHyphens/>
        <w:spacing w:line="360" w:lineRule="auto"/>
        <w:jc w:val="center"/>
        <w:rPr>
          <w:b/>
          <w:bCs/>
          <w:spacing w:val="-3"/>
          <w:sz w:val="26"/>
          <w:szCs w:val="26"/>
          <w:u w:val="single"/>
        </w:rPr>
      </w:pPr>
    </w:p>
    <w:p w:rsidR="00C2455C" w:rsidRPr="007620D2" w:rsidRDefault="00C2455C" w:rsidP="007620D2">
      <w:pPr>
        <w:spacing w:line="360" w:lineRule="auto"/>
        <w:rPr>
          <w:b/>
          <w:bCs/>
          <w:spacing w:val="-3"/>
          <w:sz w:val="26"/>
          <w:szCs w:val="26"/>
        </w:rPr>
      </w:pPr>
      <w:r w:rsidRPr="007620D2">
        <w:rPr>
          <w:b/>
          <w:bCs/>
          <w:spacing w:val="-3"/>
          <w:sz w:val="26"/>
          <w:szCs w:val="26"/>
        </w:rPr>
        <w:t>BY THE COMMISSION:</w:t>
      </w:r>
    </w:p>
    <w:p w:rsidR="007620D2" w:rsidRPr="007620D2" w:rsidRDefault="007620D2" w:rsidP="007620D2">
      <w:pPr>
        <w:spacing w:line="360" w:lineRule="auto"/>
        <w:rPr>
          <w:b/>
          <w:bCs/>
          <w:spacing w:val="-3"/>
          <w:sz w:val="26"/>
          <w:szCs w:val="26"/>
        </w:rPr>
      </w:pPr>
    </w:p>
    <w:p w:rsidR="007946C0" w:rsidRDefault="007620D2" w:rsidP="00D22E94">
      <w:pPr>
        <w:spacing w:line="360" w:lineRule="auto"/>
        <w:rPr>
          <w:bCs/>
          <w:spacing w:val="-3"/>
          <w:sz w:val="26"/>
          <w:szCs w:val="26"/>
        </w:rPr>
      </w:pPr>
      <w:r w:rsidRPr="007620D2">
        <w:rPr>
          <w:b/>
          <w:bCs/>
          <w:spacing w:val="-3"/>
          <w:sz w:val="26"/>
          <w:szCs w:val="26"/>
        </w:rPr>
        <w:tab/>
      </w:r>
      <w:r w:rsidRPr="00A55BB2">
        <w:rPr>
          <w:bCs/>
          <w:spacing w:val="-3"/>
          <w:sz w:val="26"/>
          <w:szCs w:val="26"/>
        </w:rPr>
        <w:t>Before the Commission is a recommendation from the Commission’s Office of Competitive Market Oversight (OCMO) to</w:t>
      </w:r>
      <w:r w:rsidR="00A55BB2" w:rsidRPr="00A55BB2">
        <w:rPr>
          <w:bCs/>
          <w:spacing w:val="-3"/>
          <w:sz w:val="26"/>
          <w:szCs w:val="26"/>
        </w:rPr>
        <w:t xml:space="preserve"> </w:t>
      </w:r>
      <w:r w:rsidR="004D74D5" w:rsidRPr="00A55BB2">
        <w:rPr>
          <w:bCs/>
          <w:spacing w:val="-3"/>
          <w:sz w:val="26"/>
          <w:szCs w:val="26"/>
        </w:rPr>
        <w:t xml:space="preserve">address a request for clarification of the applicability of the Commission’s </w:t>
      </w:r>
      <w:r w:rsidR="00A55BB2" w:rsidRPr="00A55BB2">
        <w:rPr>
          <w:bCs/>
          <w:spacing w:val="-3"/>
          <w:sz w:val="26"/>
          <w:szCs w:val="26"/>
        </w:rPr>
        <w:t xml:space="preserve">electric disclosure and contract renewal notice </w:t>
      </w:r>
      <w:r w:rsidR="004D74D5" w:rsidRPr="00A55BB2">
        <w:rPr>
          <w:bCs/>
          <w:spacing w:val="-3"/>
          <w:sz w:val="26"/>
          <w:szCs w:val="26"/>
        </w:rPr>
        <w:t>regulations</w:t>
      </w:r>
      <w:r w:rsidR="00A55BB2" w:rsidRPr="00A55BB2">
        <w:rPr>
          <w:bCs/>
          <w:spacing w:val="-3"/>
          <w:sz w:val="26"/>
          <w:szCs w:val="26"/>
        </w:rPr>
        <w:t xml:space="preserve"> at 52 Pa</w:t>
      </w:r>
      <w:r w:rsidR="00B33DCB">
        <w:rPr>
          <w:bCs/>
          <w:spacing w:val="-3"/>
          <w:sz w:val="26"/>
          <w:szCs w:val="26"/>
        </w:rPr>
        <w:t>.</w:t>
      </w:r>
      <w:r w:rsidR="00A55BB2" w:rsidRPr="00A55BB2">
        <w:rPr>
          <w:bCs/>
          <w:spacing w:val="-3"/>
          <w:sz w:val="26"/>
          <w:szCs w:val="26"/>
        </w:rPr>
        <w:t xml:space="preserve"> Code §§</w:t>
      </w:r>
      <w:r w:rsidR="00A55BB2" w:rsidRPr="00A55BB2">
        <w:rPr>
          <w:sz w:val="26"/>
          <w:szCs w:val="26"/>
        </w:rPr>
        <w:t xml:space="preserve"> 54.5 and 54.10 and the analogous gas industry regulations at 52 Pa</w:t>
      </w:r>
      <w:r w:rsidR="00B33DCB">
        <w:rPr>
          <w:sz w:val="26"/>
          <w:szCs w:val="26"/>
        </w:rPr>
        <w:t>.</w:t>
      </w:r>
      <w:r w:rsidR="00A55BB2" w:rsidRPr="00A55BB2">
        <w:rPr>
          <w:sz w:val="26"/>
          <w:szCs w:val="26"/>
        </w:rPr>
        <w:t xml:space="preserve"> Code § 62.75.   The request for clarification concerns the appropriate contract expiration notice timeframes that should be applied to those customers who obtain competitive electric generation and gas supply service from the same supplier.</w:t>
      </w:r>
      <w:r w:rsidR="00A55BB2">
        <w:t xml:space="preserve"> </w:t>
      </w:r>
      <w:r w:rsidR="004D74D5">
        <w:rPr>
          <w:bCs/>
          <w:spacing w:val="-3"/>
          <w:sz w:val="26"/>
          <w:szCs w:val="26"/>
        </w:rPr>
        <w:t xml:space="preserve"> </w:t>
      </w:r>
      <w:r w:rsidR="00B773DE">
        <w:rPr>
          <w:bCs/>
          <w:spacing w:val="-3"/>
          <w:sz w:val="26"/>
          <w:szCs w:val="26"/>
        </w:rPr>
        <w:t>Through</w:t>
      </w:r>
      <w:r w:rsidR="00EA62D4">
        <w:rPr>
          <w:bCs/>
          <w:spacing w:val="-3"/>
          <w:sz w:val="26"/>
          <w:szCs w:val="26"/>
        </w:rPr>
        <w:t xml:space="preserve"> this Tentative Order, we </w:t>
      </w:r>
      <w:r w:rsidR="00B773DE">
        <w:rPr>
          <w:bCs/>
          <w:spacing w:val="-3"/>
          <w:sz w:val="26"/>
          <w:szCs w:val="26"/>
        </w:rPr>
        <w:t>seek</w:t>
      </w:r>
      <w:r w:rsidR="00EA62D4">
        <w:rPr>
          <w:bCs/>
          <w:spacing w:val="-3"/>
          <w:sz w:val="26"/>
          <w:szCs w:val="26"/>
        </w:rPr>
        <w:t xml:space="preserve"> public comment </w:t>
      </w:r>
      <w:r w:rsidR="00B773DE">
        <w:rPr>
          <w:bCs/>
          <w:spacing w:val="-3"/>
          <w:sz w:val="26"/>
          <w:szCs w:val="26"/>
        </w:rPr>
        <w:t xml:space="preserve">regarding </w:t>
      </w:r>
      <w:r w:rsidR="00C03AA3">
        <w:rPr>
          <w:bCs/>
          <w:spacing w:val="-3"/>
          <w:sz w:val="26"/>
          <w:szCs w:val="26"/>
        </w:rPr>
        <w:t>OCMO’s propos</w:t>
      </w:r>
      <w:r w:rsidR="00A55BB2">
        <w:rPr>
          <w:bCs/>
          <w:spacing w:val="-3"/>
          <w:sz w:val="26"/>
          <w:szCs w:val="26"/>
        </w:rPr>
        <w:t>ed re</w:t>
      </w:r>
      <w:r w:rsidR="0055110A">
        <w:rPr>
          <w:bCs/>
          <w:spacing w:val="-3"/>
          <w:sz w:val="26"/>
          <w:szCs w:val="26"/>
        </w:rPr>
        <w:t>solution</w:t>
      </w:r>
      <w:r w:rsidR="00EA62D4">
        <w:rPr>
          <w:bCs/>
          <w:spacing w:val="-3"/>
          <w:sz w:val="26"/>
          <w:szCs w:val="26"/>
        </w:rPr>
        <w:t>.</w:t>
      </w:r>
      <w:r w:rsidR="00D22E94">
        <w:rPr>
          <w:bCs/>
          <w:spacing w:val="-3"/>
          <w:sz w:val="26"/>
          <w:szCs w:val="26"/>
        </w:rPr>
        <w:t xml:space="preserve">  </w:t>
      </w:r>
      <w:r w:rsidR="00511D0F">
        <w:rPr>
          <w:bCs/>
          <w:spacing w:val="-3"/>
          <w:sz w:val="26"/>
          <w:szCs w:val="26"/>
        </w:rPr>
        <w:br/>
      </w:r>
    </w:p>
    <w:p w:rsidR="00D22E94" w:rsidRPr="007620D2" w:rsidRDefault="00D22E94" w:rsidP="00D22E94">
      <w:pPr>
        <w:spacing w:line="360" w:lineRule="auto"/>
        <w:rPr>
          <w:bCs/>
          <w:spacing w:val="-3"/>
          <w:sz w:val="26"/>
          <w:szCs w:val="26"/>
        </w:rPr>
      </w:pPr>
    </w:p>
    <w:p w:rsidR="0008766F" w:rsidRDefault="00B773DE" w:rsidP="007946C0">
      <w:pPr>
        <w:spacing w:line="360" w:lineRule="auto"/>
        <w:jc w:val="center"/>
        <w:rPr>
          <w:b/>
          <w:bCs/>
          <w:spacing w:val="-3"/>
          <w:sz w:val="26"/>
          <w:szCs w:val="26"/>
        </w:rPr>
      </w:pPr>
      <w:r>
        <w:rPr>
          <w:b/>
          <w:bCs/>
          <w:spacing w:val="-3"/>
          <w:sz w:val="26"/>
          <w:szCs w:val="26"/>
        </w:rPr>
        <w:lastRenderedPageBreak/>
        <w:t>Background</w:t>
      </w:r>
    </w:p>
    <w:p w:rsidR="00D22E94" w:rsidRPr="007620D2" w:rsidRDefault="00D22E94" w:rsidP="007946C0">
      <w:pPr>
        <w:spacing w:line="360" w:lineRule="auto"/>
        <w:jc w:val="center"/>
        <w:rPr>
          <w:b/>
          <w:bCs/>
          <w:spacing w:val="-3"/>
          <w:sz w:val="26"/>
          <w:szCs w:val="26"/>
        </w:rPr>
      </w:pPr>
    </w:p>
    <w:p w:rsidR="00A55BB2" w:rsidRPr="00A55BB2" w:rsidRDefault="00C82891" w:rsidP="00A55BB2">
      <w:pPr>
        <w:tabs>
          <w:tab w:val="center" w:pos="0"/>
          <w:tab w:val="left" w:pos="720"/>
        </w:tabs>
        <w:spacing w:line="360" w:lineRule="auto"/>
        <w:rPr>
          <w:sz w:val="26"/>
        </w:rPr>
      </w:pPr>
      <w:r w:rsidRPr="007620D2">
        <w:rPr>
          <w:sz w:val="26"/>
        </w:rPr>
        <w:tab/>
      </w:r>
      <w:r w:rsidR="00A55BB2">
        <w:rPr>
          <w:sz w:val="26"/>
        </w:rPr>
        <w:t xml:space="preserve">On </w:t>
      </w:r>
      <w:r w:rsidR="00A55BB2" w:rsidRPr="00A55BB2">
        <w:rPr>
          <w:bCs/>
          <w:sz w:val="26"/>
        </w:rPr>
        <w:t>April 3, 2014</w:t>
      </w:r>
      <w:r w:rsidR="00A55BB2">
        <w:rPr>
          <w:bCs/>
          <w:sz w:val="26"/>
        </w:rPr>
        <w:t xml:space="preserve">, the </w:t>
      </w:r>
      <w:r w:rsidR="00A55BB2" w:rsidRPr="00A55BB2">
        <w:rPr>
          <w:sz w:val="26"/>
        </w:rPr>
        <w:t>Commission finalized regulation</w:t>
      </w:r>
      <w:r w:rsidR="00526823">
        <w:rPr>
          <w:sz w:val="26"/>
        </w:rPr>
        <w:t>s</w:t>
      </w:r>
      <w:r w:rsidR="00A55BB2" w:rsidRPr="00A55BB2">
        <w:rPr>
          <w:sz w:val="26"/>
        </w:rPr>
        <w:t xml:space="preserve"> </w:t>
      </w:r>
      <w:r w:rsidR="00C94551">
        <w:rPr>
          <w:sz w:val="26"/>
        </w:rPr>
        <w:t>to</w:t>
      </w:r>
      <w:r w:rsidR="00A55BB2" w:rsidRPr="00A55BB2">
        <w:rPr>
          <w:sz w:val="26"/>
        </w:rPr>
        <w:t xml:space="preserve"> provide electric shopping customers with greater</w:t>
      </w:r>
      <w:r w:rsidR="00133724">
        <w:rPr>
          <w:sz w:val="26"/>
        </w:rPr>
        <w:t xml:space="preserve"> and more</w:t>
      </w:r>
      <w:r w:rsidR="00A55BB2" w:rsidRPr="00A55BB2">
        <w:rPr>
          <w:sz w:val="26"/>
        </w:rPr>
        <w:t xml:space="preserve"> uniform detail in electric </w:t>
      </w:r>
      <w:r w:rsidR="00133724">
        <w:rPr>
          <w:sz w:val="26"/>
        </w:rPr>
        <w:t xml:space="preserve">generation </w:t>
      </w:r>
      <w:r w:rsidR="00A55BB2" w:rsidRPr="00A55BB2">
        <w:rPr>
          <w:sz w:val="26"/>
        </w:rPr>
        <w:t>supplier</w:t>
      </w:r>
      <w:r w:rsidR="00133724">
        <w:rPr>
          <w:sz w:val="26"/>
        </w:rPr>
        <w:t xml:space="preserve"> (EGS)</w:t>
      </w:r>
      <w:r w:rsidR="00A55BB2" w:rsidRPr="00A55BB2">
        <w:rPr>
          <w:sz w:val="26"/>
        </w:rPr>
        <w:t xml:space="preserve"> disclosure statements and more timely information on “contract renewal” and “change in terms” notices.</w:t>
      </w:r>
      <w:r w:rsidR="00B05506">
        <w:rPr>
          <w:rStyle w:val="FootnoteReference"/>
          <w:sz w:val="26"/>
        </w:rPr>
        <w:footnoteReference w:id="1"/>
      </w:r>
      <w:r w:rsidR="00C94551">
        <w:rPr>
          <w:sz w:val="26"/>
        </w:rPr>
        <w:t xml:space="preserve">  </w:t>
      </w:r>
      <w:r w:rsidR="00A55BB2" w:rsidRPr="00A55BB2">
        <w:rPr>
          <w:sz w:val="26"/>
        </w:rPr>
        <w:t>The changes are designed to provide additional information and greater protections for residential and small business customers choosing a competitive supplier for their electric generation.</w:t>
      </w:r>
      <w:r w:rsidR="00C94551">
        <w:rPr>
          <w:sz w:val="26"/>
        </w:rPr>
        <w:t xml:space="preserve">  </w:t>
      </w:r>
      <w:r w:rsidR="00A55BB2" w:rsidRPr="00A55BB2">
        <w:rPr>
          <w:sz w:val="26"/>
        </w:rPr>
        <w:t>The new regulations include:</w:t>
      </w:r>
      <w:r w:rsidR="00C94551">
        <w:rPr>
          <w:sz w:val="26"/>
        </w:rPr>
        <w:br/>
      </w:r>
    </w:p>
    <w:p w:rsidR="00A55BB2" w:rsidRPr="00A55BB2" w:rsidRDefault="00A55BB2" w:rsidP="00A55BB2">
      <w:pPr>
        <w:numPr>
          <w:ilvl w:val="0"/>
          <w:numId w:val="25"/>
        </w:numPr>
        <w:tabs>
          <w:tab w:val="center" w:pos="0"/>
          <w:tab w:val="left" w:pos="720"/>
        </w:tabs>
        <w:spacing w:line="360" w:lineRule="auto"/>
        <w:rPr>
          <w:sz w:val="26"/>
        </w:rPr>
      </w:pPr>
      <w:r w:rsidRPr="00A55BB2">
        <w:rPr>
          <w:sz w:val="26"/>
        </w:rPr>
        <w:t>More contractual information on conditions of price variability, including whether there are limits on variability;</w:t>
      </w:r>
    </w:p>
    <w:p w:rsidR="00A55BB2" w:rsidRPr="00A55BB2" w:rsidRDefault="00A55BB2" w:rsidP="00A55BB2">
      <w:pPr>
        <w:numPr>
          <w:ilvl w:val="0"/>
          <w:numId w:val="25"/>
        </w:numPr>
        <w:tabs>
          <w:tab w:val="center" w:pos="0"/>
          <w:tab w:val="left" w:pos="720"/>
        </w:tabs>
        <w:spacing w:line="360" w:lineRule="auto"/>
        <w:rPr>
          <w:sz w:val="26"/>
        </w:rPr>
      </w:pPr>
      <w:r w:rsidRPr="00A55BB2">
        <w:rPr>
          <w:sz w:val="26"/>
        </w:rPr>
        <w:t>A clear statement of the price per kilowatt hour for the first billing cycle of electric generation</w:t>
      </w:r>
      <w:r w:rsidR="00133724">
        <w:rPr>
          <w:sz w:val="26"/>
        </w:rPr>
        <w:t xml:space="preserve"> service</w:t>
      </w:r>
      <w:r w:rsidRPr="00A55BB2">
        <w:rPr>
          <w:sz w:val="26"/>
        </w:rPr>
        <w:t>;</w:t>
      </w:r>
    </w:p>
    <w:p w:rsidR="00A55BB2" w:rsidRPr="00A55BB2" w:rsidRDefault="00A55BB2" w:rsidP="00A55BB2">
      <w:pPr>
        <w:numPr>
          <w:ilvl w:val="0"/>
          <w:numId w:val="25"/>
        </w:numPr>
        <w:tabs>
          <w:tab w:val="center" w:pos="0"/>
          <w:tab w:val="left" w:pos="720"/>
        </w:tabs>
        <w:spacing w:line="360" w:lineRule="auto"/>
        <w:rPr>
          <w:sz w:val="26"/>
        </w:rPr>
      </w:pPr>
      <w:r w:rsidRPr="00A55BB2">
        <w:rPr>
          <w:sz w:val="26"/>
        </w:rPr>
        <w:t>Customer access to historical pricing information</w:t>
      </w:r>
      <w:r w:rsidR="00133724">
        <w:rPr>
          <w:sz w:val="26"/>
        </w:rPr>
        <w:t xml:space="preserve"> for variable-price products</w:t>
      </w:r>
      <w:r w:rsidRPr="00A55BB2">
        <w:rPr>
          <w:sz w:val="26"/>
        </w:rPr>
        <w:t>;</w:t>
      </w:r>
    </w:p>
    <w:p w:rsidR="00A55BB2" w:rsidRPr="00A55BB2" w:rsidRDefault="00A55BB2" w:rsidP="00A55BB2">
      <w:pPr>
        <w:numPr>
          <w:ilvl w:val="0"/>
          <w:numId w:val="25"/>
        </w:numPr>
        <w:tabs>
          <w:tab w:val="center" w:pos="0"/>
          <w:tab w:val="left" w:pos="720"/>
        </w:tabs>
        <w:spacing w:line="360" w:lineRule="auto"/>
        <w:rPr>
          <w:sz w:val="26"/>
        </w:rPr>
      </w:pPr>
      <w:r w:rsidRPr="00A55BB2">
        <w:rPr>
          <w:sz w:val="26"/>
        </w:rPr>
        <w:t>Separate mailings for either fixed-term contracts that are expiring, or any changes to terms of service;</w:t>
      </w:r>
    </w:p>
    <w:p w:rsidR="00A55BB2" w:rsidRPr="00A55BB2" w:rsidRDefault="00A55BB2" w:rsidP="00A55BB2">
      <w:pPr>
        <w:numPr>
          <w:ilvl w:val="0"/>
          <w:numId w:val="25"/>
        </w:numPr>
        <w:tabs>
          <w:tab w:val="center" w:pos="0"/>
          <w:tab w:val="left" w:pos="720"/>
        </w:tabs>
        <w:spacing w:line="360" w:lineRule="auto"/>
        <w:rPr>
          <w:sz w:val="26"/>
        </w:rPr>
      </w:pPr>
      <w:r w:rsidRPr="00A55BB2">
        <w:rPr>
          <w:sz w:val="26"/>
        </w:rPr>
        <w:t>A separate EGS contract summary along with the full disclosure statement to ensure EGSs highlight key terms and conditions in a uniform, consistent manner;</w:t>
      </w:r>
    </w:p>
    <w:p w:rsidR="00A55BB2" w:rsidRPr="00A55BB2" w:rsidRDefault="00A55BB2" w:rsidP="00A55BB2">
      <w:pPr>
        <w:numPr>
          <w:ilvl w:val="0"/>
          <w:numId w:val="25"/>
        </w:numPr>
        <w:tabs>
          <w:tab w:val="center" w:pos="0"/>
          <w:tab w:val="left" w:pos="720"/>
        </w:tabs>
        <w:spacing w:line="360" w:lineRule="auto"/>
        <w:rPr>
          <w:sz w:val="26"/>
        </w:rPr>
      </w:pPr>
      <w:r w:rsidRPr="00A55BB2">
        <w:rPr>
          <w:sz w:val="26"/>
        </w:rPr>
        <w:t xml:space="preserve">New requirements for contract “Initial Notices” and customer “Options Notice” prior to the expiration of a </w:t>
      </w:r>
      <w:r w:rsidR="00133724">
        <w:rPr>
          <w:sz w:val="26"/>
        </w:rPr>
        <w:t xml:space="preserve">fixed-term </w:t>
      </w:r>
      <w:r w:rsidRPr="00A55BB2">
        <w:rPr>
          <w:sz w:val="26"/>
        </w:rPr>
        <w:t>contract or change in terms;</w:t>
      </w:r>
    </w:p>
    <w:p w:rsidR="00A55BB2" w:rsidRPr="00A55BB2" w:rsidRDefault="00A55BB2" w:rsidP="00A55BB2">
      <w:pPr>
        <w:numPr>
          <w:ilvl w:val="0"/>
          <w:numId w:val="25"/>
        </w:numPr>
        <w:tabs>
          <w:tab w:val="center" w:pos="0"/>
          <w:tab w:val="left" w:pos="720"/>
        </w:tabs>
        <w:spacing w:line="360" w:lineRule="auto"/>
        <w:rPr>
          <w:sz w:val="26"/>
        </w:rPr>
      </w:pPr>
      <w:r w:rsidRPr="00A55BB2">
        <w:rPr>
          <w:sz w:val="26"/>
        </w:rPr>
        <w:t>A renewed emphasis on highlighting changes in pricing or any terms and conditions - including a fixed rate becoming a month-to-month rate that includes a 30-day notice of any price change; and</w:t>
      </w:r>
    </w:p>
    <w:p w:rsidR="00A55BB2" w:rsidRPr="00A55BB2" w:rsidRDefault="00A55BB2" w:rsidP="00A55BB2">
      <w:pPr>
        <w:numPr>
          <w:ilvl w:val="0"/>
          <w:numId w:val="25"/>
        </w:numPr>
        <w:tabs>
          <w:tab w:val="center" w:pos="0"/>
          <w:tab w:val="left" w:pos="720"/>
        </w:tabs>
        <w:spacing w:line="360" w:lineRule="auto"/>
        <w:rPr>
          <w:sz w:val="26"/>
        </w:rPr>
      </w:pPr>
      <w:r w:rsidRPr="00A55BB2">
        <w:rPr>
          <w:sz w:val="26"/>
        </w:rPr>
        <w:t>Prominent marking on front of the “Options Notice” envelope clearly stating that it contains important information regarding the expiration or changes in terms of a customer’s electric supply contract.</w:t>
      </w:r>
    </w:p>
    <w:p w:rsidR="002676CE" w:rsidRPr="007620D2" w:rsidRDefault="002676CE" w:rsidP="00A55BB2">
      <w:pPr>
        <w:tabs>
          <w:tab w:val="center" w:pos="0"/>
          <w:tab w:val="left" w:pos="720"/>
        </w:tabs>
        <w:spacing w:line="360" w:lineRule="auto"/>
        <w:rPr>
          <w:sz w:val="26"/>
        </w:rPr>
      </w:pPr>
    </w:p>
    <w:p w:rsidR="00A92586" w:rsidRDefault="00C94551" w:rsidP="00C94551">
      <w:pPr>
        <w:tabs>
          <w:tab w:val="center" w:pos="0"/>
          <w:tab w:val="left" w:pos="720"/>
        </w:tabs>
        <w:spacing w:line="360" w:lineRule="auto"/>
        <w:rPr>
          <w:sz w:val="26"/>
        </w:rPr>
      </w:pPr>
      <w:r>
        <w:rPr>
          <w:sz w:val="26"/>
        </w:rPr>
        <w:lastRenderedPageBreak/>
        <w:tab/>
        <w:t>On May 22, 2014</w:t>
      </w:r>
      <w:r w:rsidR="00133724">
        <w:rPr>
          <w:sz w:val="26"/>
        </w:rPr>
        <w:t>,</w:t>
      </w:r>
      <w:r>
        <w:rPr>
          <w:sz w:val="26"/>
        </w:rPr>
        <w:t xml:space="preserve"> the Independent Regulatory Review Commission approved the new regulations, which were subsequently published in the </w:t>
      </w:r>
      <w:r w:rsidRPr="00C94551">
        <w:rPr>
          <w:sz w:val="26"/>
          <w:u w:val="single"/>
        </w:rPr>
        <w:t>Pennsylvania Bulletin</w:t>
      </w:r>
      <w:r>
        <w:rPr>
          <w:sz w:val="26"/>
        </w:rPr>
        <w:t xml:space="preserve"> on June 14</w:t>
      </w:r>
      <w:r w:rsidR="00133724">
        <w:rPr>
          <w:sz w:val="26"/>
        </w:rPr>
        <w:t>, 2014</w:t>
      </w:r>
      <w:r>
        <w:rPr>
          <w:sz w:val="26"/>
        </w:rPr>
        <w:t xml:space="preserve">.  The new regulations go into effect July 14, 2014.  As we approach implementation of the new regulations, suppliers have </w:t>
      </w:r>
      <w:r w:rsidR="00133724">
        <w:rPr>
          <w:sz w:val="26"/>
        </w:rPr>
        <w:t>requested informal guidance on various implementation issues</w:t>
      </w:r>
      <w:r>
        <w:rPr>
          <w:sz w:val="26"/>
        </w:rPr>
        <w:t xml:space="preserve">.  OCMO </w:t>
      </w:r>
      <w:r w:rsidR="00526823">
        <w:rPr>
          <w:sz w:val="26"/>
        </w:rPr>
        <w:t xml:space="preserve">informally </w:t>
      </w:r>
      <w:r>
        <w:rPr>
          <w:sz w:val="26"/>
        </w:rPr>
        <w:t>addressed many of the issues that have been raised via a July 1</w:t>
      </w:r>
      <w:r w:rsidR="00133724">
        <w:rPr>
          <w:sz w:val="26"/>
        </w:rPr>
        <w:t>, 2014</w:t>
      </w:r>
      <w:r>
        <w:rPr>
          <w:sz w:val="26"/>
        </w:rPr>
        <w:t xml:space="preserve"> conference call </w:t>
      </w:r>
      <w:r w:rsidR="00133724">
        <w:rPr>
          <w:sz w:val="26"/>
        </w:rPr>
        <w:t xml:space="preserve">in which </w:t>
      </w:r>
      <w:r>
        <w:rPr>
          <w:sz w:val="26"/>
        </w:rPr>
        <w:t xml:space="preserve">all </w:t>
      </w:r>
      <w:r w:rsidR="00133724">
        <w:rPr>
          <w:sz w:val="26"/>
        </w:rPr>
        <w:t>EGSs</w:t>
      </w:r>
      <w:r>
        <w:rPr>
          <w:sz w:val="26"/>
        </w:rPr>
        <w:t xml:space="preserve">, along with </w:t>
      </w:r>
      <w:r w:rsidR="00D55FFA">
        <w:rPr>
          <w:sz w:val="26"/>
        </w:rPr>
        <w:t>the</w:t>
      </w:r>
      <w:r>
        <w:rPr>
          <w:sz w:val="26"/>
        </w:rPr>
        <w:t xml:space="preserve"> </w:t>
      </w:r>
      <w:r w:rsidR="00D55FFA" w:rsidRPr="00D97CBF">
        <w:rPr>
          <w:sz w:val="26"/>
        </w:rPr>
        <w:t>Committee Handling Activities for Retail Growth in Electricity (CHARGE</w:t>
      </w:r>
      <w:r w:rsidR="00D55FFA">
        <w:t>)</w:t>
      </w:r>
      <w:r>
        <w:rPr>
          <w:sz w:val="26"/>
        </w:rPr>
        <w:t>,</w:t>
      </w:r>
      <w:r w:rsidR="00D55FFA">
        <w:rPr>
          <w:sz w:val="26"/>
        </w:rPr>
        <w:t xml:space="preserve"> </w:t>
      </w:r>
      <w:r>
        <w:rPr>
          <w:sz w:val="26"/>
        </w:rPr>
        <w:t>were invited to participate.</w:t>
      </w:r>
      <w:r w:rsidR="00D55FFA">
        <w:rPr>
          <w:sz w:val="26"/>
        </w:rPr>
        <w:t xml:space="preserve">  </w:t>
      </w:r>
      <w:r w:rsidR="00A92586">
        <w:rPr>
          <w:sz w:val="26"/>
        </w:rPr>
        <w:t xml:space="preserve">However, </w:t>
      </w:r>
      <w:r w:rsidR="00133724">
        <w:rPr>
          <w:sz w:val="26"/>
        </w:rPr>
        <w:t xml:space="preserve">OCMO believes that </w:t>
      </w:r>
      <w:r w:rsidR="00A92586">
        <w:rPr>
          <w:sz w:val="26"/>
        </w:rPr>
        <w:t xml:space="preserve">one of the questions recently presented to the Commission </w:t>
      </w:r>
      <w:r w:rsidR="00133724">
        <w:rPr>
          <w:sz w:val="26"/>
        </w:rPr>
        <w:t>requires more than OCMO’s informal guidance</w:t>
      </w:r>
      <w:r w:rsidR="00A92586">
        <w:rPr>
          <w:sz w:val="26"/>
        </w:rPr>
        <w:t>.</w:t>
      </w:r>
      <w:r w:rsidR="00133724">
        <w:rPr>
          <w:sz w:val="26"/>
        </w:rPr>
        <w:t xml:space="preserve">  Therefore, </w:t>
      </w:r>
      <w:r w:rsidR="00526823">
        <w:rPr>
          <w:sz w:val="26"/>
        </w:rPr>
        <w:t>the Commission</w:t>
      </w:r>
      <w:r w:rsidR="00CE3B1B">
        <w:rPr>
          <w:sz w:val="26"/>
        </w:rPr>
        <w:t xml:space="preserve"> </w:t>
      </w:r>
      <w:r w:rsidR="00526823">
        <w:rPr>
          <w:sz w:val="26"/>
        </w:rPr>
        <w:t>is</w:t>
      </w:r>
      <w:r w:rsidR="00133724">
        <w:rPr>
          <w:sz w:val="26"/>
        </w:rPr>
        <w:t xml:space="preserve"> proposing, for public comment, </w:t>
      </w:r>
      <w:r w:rsidR="00526823">
        <w:rPr>
          <w:sz w:val="26"/>
        </w:rPr>
        <w:t>OCMO’s</w:t>
      </w:r>
      <w:r w:rsidR="00133724">
        <w:rPr>
          <w:sz w:val="26"/>
        </w:rPr>
        <w:t xml:space="preserve"> </w:t>
      </w:r>
      <w:r w:rsidR="0019281F">
        <w:rPr>
          <w:sz w:val="26"/>
        </w:rPr>
        <w:t xml:space="preserve">tentative </w:t>
      </w:r>
      <w:r w:rsidR="00133724">
        <w:rPr>
          <w:sz w:val="26"/>
        </w:rPr>
        <w:t>resolution to the issue outlined herein.</w:t>
      </w:r>
      <w:r w:rsidR="00A92586">
        <w:rPr>
          <w:sz w:val="26"/>
        </w:rPr>
        <w:t xml:space="preserve">  </w:t>
      </w:r>
    </w:p>
    <w:p w:rsidR="003B5DA4" w:rsidRDefault="003B5DA4" w:rsidP="00C94551">
      <w:pPr>
        <w:tabs>
          <w:tab w:val="center" w:pos="0"/>
          <w:tab w:val="left" w:pos="720"/>
        </w:tabs>
        <w:spacing w:line="360" w:lineRule="auto"/>
        <w:rPr>
          <w:sz w:val="26"/>
        </w:rPr>
      </w:pPr>
    </w:p>
    <w:p w:rsidR="0003403A" w:rsidRDefault="003B5DA4" w:rsidP="003B5DA4">
      <w:pPr>
        <w:spacing w:line="360" w:lineRule="auto"/>
        <w:ind w:firstLine="720"/>
        <w:rPr>
          <w:sz w:val="26"/>
          <w:szCs w:val="26"/>
        </w:rPr>
      </w:pPr>
      <w:r>
        <w:rPr>
          <w:sz w:val="26"/>
          <w:szCs w:val="26"/>
        </w:rPr>
        <w:t>On June 16, 2014</w:t>
      </w:r>
      <w:r w:rsidR="00133724">
        <w:rPr>
          <w:sz w:val="26"/>
          <w:szCs w:val="26"/>
        </w:rPr>
        <w:t>,</w:t>
      </w:r>
      <w:r>
        <w:rPr>
          <w:sz w:val="26"/>
          <w:szCs w:val="26"/>
        </w:rPr>
        <w:t xml:space="preserve"> </w:t>
      </w:r>
      <w:r w:rsidRPr="009D1819">
        <w:rPr>
          <w:sz w:val="26"/>
          <w:szCs w:val="26"/>
        </w:rPr>
        <w:t>Independence Energy Group LLC d/b/a Energy Rewards (Energy Rewards)</w:t>
      </w:r>
      <w:r>
        <w:rPr>
          <w:sz w:val="26"/>
          <w:szCs w:val="26"/>
        </w:rPr>
        <w:t xml:space="preserve"> filed a letter with the Commission’s Secretary to </w:t>
      </w:r>
      <w:r w:rsidRPr="009D1819">
        <w:rPr>
          <w:sz w:val="26"/>
          <w:szCs w:val="26"/>
        </w:rPr>
        <w:t xml:space="preserve">request clarification of the </w:t>
      </w:r>
      <w:r>
        <w:rPr>
          <w:sz w:val="26"/>
          <w:szCs w:val="26"/>
        </w:rPr>
        <w:t xml:space="preserve">contract renewal/expiration </w:t>
      </w:r>
      <w:r w:rsidRPr="009D1819">
        <w:rPr>
          <w:sz w:val="26"/>
          <w:szCs w:val="26"/>
        </w:rPr>
        <w:t>notice requirements applicable to electric and natural gas suppliers</w:t>
      </w:r>
      <w:r>
        <w:rPr>
          <w:sz w:val="26"/>
          <w:szCs w:val="26"/>
        </w:rPr>
        <w:t>.</w:t>
      </w:r>
      <w:r w:rsidR="0003403A">
        <w:rPr>
          <w:sz w:val="26"/>
          <w:szCs w:val="26"/>
        </w:rPr>
        <w:t xml:space="preserve"> The letter, essentially a </w:t>
      </w:r>
      <w:r w:rsidR="00526823">
        <w:rPr>
          <w:sz w:val="26"/>
          <w:szCs w:val="26"/>
        </w:rPr>
        <w:t>P</w:t>
      </w:r>
      <w:r w:rsidR="0003403A">
        <w:rPr>
          <w:sz w:val="26"/>
          <w:szCs w:val="26"/>
        </w:rPr>
        <w:t xml:space="preserve">etition for </w:t>
      </w:r>
      <w:r w:rsidR="00526823">
        <w:rPr>
          <w:sz w:val="26"/>
          <w:szCs w:val="26"/>
        </w:rPr>
        <w:t>C</w:t>
      </w:r>
      <w:r w:rsidR="0003403A">
        <w:rPr>
          <w:sz w:val="26"/>
          <w:szCs w:val="26"/>
        </w:rPr>
        <w:t xml:space="preserve">larification and </w:t>
      </w:r>
      <w:r w:rsidR="00526823">
        <w:rPr>
          <w:sz w:val="26"/>
          <w:szCs w:val="26"/>
        </w:rPr>
        <w:t>R</w:t>
      </w:r>
      <w:r w:rsidR="0003403A">
        <w:rPr>
          <w:sz w:val="26"/>
          <w:szCs w:val="26"/>
        </w:rPr>
        <w:t xml:space="preserve">elief, was </w:t>
      </w:r>
      <w:r w:rsidR="00EB675A">
        <w:rPr>
          <w:sz w:val="26"/>
          <w:szCs w:val="26"/>
        </w:rPr>
        <w:t xml:space="preserve">also </w:t>
      </w:r>
      <w:r w:rsidR="0003403A">
        <w:rPr>
          <w:sz w:val="26"/>
          <w:szCs w:val="26"/>
        </w:rPr>
        <w:t xml:space="preserve">sent via email to the Commission’s Office of Competitive Market Oversight.  </w:t>
      </w:r>
      <w:r w:rsidR="0019281F">
        <w:rPr>
          <w:sz w:val="26"/>
          <w:szCs w:val="26"/>
        </w:rPr>
        <w:t>I</w:t>
      </w:r>
      <w:r w:rsidR="0003403A">
        <w:rPr>
          <w:sz w:val="26"/>
          <w:szCs w:val="26"/>
        </w:rPr>
        <w:t>n the letter</w:t>
      </w:r>
      <w:r w:rsidR="00BD5C56">
        <w:rPr>
          <w:sz w:val="26"/>
          <w:szCs w:val="26"/>
        </w:rPr>
        <w:t>/Petition</w:t>
      </w:r>
      <w:r w:rsidR="0019281F">
        <w:rPr>
          <w:sz w:val="26"/>
          <w:szCs w:val="26"/>
        </w:rPr>
        <w:t>,</w:t>
      </w:r>
      <w:r w:rsidR="0003403A">
        <w:rPr>
          <w:sz w:val="26"/>
          <w:szCs w:val="26"/>
        </w:rPr>
        <w:t xml:space="preserve"> Energy Rewards inquired as to the necessity of serving any other entities.    </w:t>
      </w:r>
      <w:r>
        <w:rPr>
          <w:sz w:val="26"/>
          <w:szCs w:val="26"/>
        </w:rPr>
        <w:t xml:space="preserve">  </w:t>
      </w:r>
    </w:p>
    <w:p w:rsidR="0003403A" w:rsidRDefault="0003403A" w:rsidP="003B5DA4">
      <w:pPr>
        <w:spacing w:line="360" w:lineRule="auto"/>
        <w:ind w:firstLine="720"/>
        <w:rPr>
          <w:sz w:val="26"/>
          <w:szCs w:val="26"/>
        </w:rPr>
      </w:pPr>
    </w:p>
    <w:p w:rsidR="003B5DA4" w:rsidRDefault="003B5DA4" w:rsidP="003B5DA4">
      <w:pPr>
        <w:spacing w:line="360" w:lineRule="auto"/>
        <w:ind w:firstLine="720"/>
        <w:rPr>
          <w:sz w:val="26"/>
          <w:szCs w:val="26"/>
        </w:rPr>
      </w:pPr>
      <w:r w:rsidRPr="009D1819">
        <w:rPr>
          <w:sz w:val="26"/>
          <w:szCs w:val="26"/>
        </w:rPr>
        <w:t xml:space="preserve">Energy Rewards is licensed by the Commission to serve both </w:t>
      </w:r>
      <w:r w:rsidR="00133724">
        <w:rPr>
          <w:sz w:val="26"/>
          <w:szCs w:val="26"/>
        </w:rPr>
        <w:t xml:space="preserve">retail </w:t>
      </w:r>
      <w:r w:rsidRPr="009D1819">
        <w:rPr>
          <w:sz w:val="26"/>
          <w:szCs w:val="26"/>
        </w:rPr>
        <w:t>electricity and</w:t>
      </w:r>
      <w:r w:rsidR="00133724">
        <w:rPr>
          <w:sz w:val="26"/>
          <w:szCs w:val="26"/>
        </w:rPr>
        <w:t xml:space="preserve"> retail</w:t>
      </w:r>
      <w:r w:rsidRPr="009D1819">
        <w:rPr>
          <w:sz w:val="26"/>
          <w:szCs w:val="26"/>
        </w:rPr>
        <w:t xml:space="preserve"> natural gas customers in the Commonwealth (License Nos. </w:t>
      </w:r>
      <w:proofErr w:type="gramStart"/>
      <w:r w:rsidRPr="009D1819">
        <w:rPr>
          <w:sz w:val="26"/>
          <w:szCs w:val="26"/>
        </w:rPr>
        <w:t>A-2011-2262337 and A-2013-2396449).</w:t>
      </w:r>
      <w:proofErr w:type="gramEnd"/>
      <w:r w:rsidRPr="009D1819">
        <w:rPr>
          <w:sz w:val="26"/>
          <w:szCs w:val="26"/>
        </w:rPr>
        <w:t xml:space="preserve"> </w:t>
      </w:r>
      <w:r>
        <w:rPr>
          <w:sz w:val="26"/>
          <w:szCs w:val="26"/>
        </w:rPr>
        <w:t xml:space="preserve">  </w:t>
      </w:r>
      <w:r w:rsidRPr="009D1819">
        <w:rPr>
          <w:sz w:val="26"/>
          <w:szCs w:val="26"/>
        </w:rPr>
        <w:t>Energy Rewards sells electricity only products, natural gas only products, and</w:t>
      </w:r>
      <w:r>
        <w:rPr>
          <w:sz w:val="26"/>
          <w:szCs w:val="26"/>
        </w:rPr>
        <w:t xml:space="preserve"> most importantly in the context of this </w:t>
      </w:r>
      <w:r w:rsidRPr="00ED707E">
        <w:rPr>
          <w:sz w:val="26"/>
          <w:szCs w:val="26"/>
        </w:rPr>
        <w:t>Tentative Order</w:t>
      </w:r>
      <w:r>
        <w:rPr>
          <w:sz w:val="26"/>
          <w:szCs w:val="26"/>
        </w:rPr>
        <w:t>,</w:t>
      </w:r>
      <w:r w:rsidRPr="009D1819">
        <w:rPr>
          <w:sz w:val="26"/>
          <w:szCs w:val="26"/>
        </w:rPr>
        <w:t xml:space="preserve"> combined electricity and natural gas products. </w:t>
      </w:r>
      <w:r>
        <w:rPr>
          <w:sz w:val="26"/>
          <w:szCs w:val="26"/>
        </w:rPr>
        <w:t xml:space="preserve"> </w:t>
      </w:r>
      <w:r w:rsidRPr="009D1819">
        <w:rPr>
          <w:sz w:val="26"/>
          <w:szCs w:val="26"/>
        </w:rPr>
        <w:t>In preparing contract documents for its combined electricity and natural gas product offers, Energy Rewards became aware of an inconsistency in the Commission's current notice provision requirements for these two commodities</w:t>
      </w:r>
      <w:r>
        <w:rPr>
          <w:sz w:val="26"/>
          <w:szCs w:val="26"/>
        </w:rPr>
        <w:t xml:space="preserve">.  </w:t>
      </w:r>
      <w:r w:rsidRPr="009D1819">
        <w:rPr>
          <w:sz w:val="26"/>
          <w:szCs w:val="26"/>
        </w:rPr>
        <w:t xml:space="preserve"> </w:t>
      </w:r>
    </w:p>
    <w:p w:rsidR="003B5DA4" w:rsidRDefault="003B5DA4" w:rsidP="003B5DA4">
      <w:pPr>
        <w:spacing w:line="360" w:lineRule="auto"/>
        <w:ind w:firstLine="720"/>
        <w:rPr>
          <w:sz w:val="26"/>
          <w:szCs w:val="26"/>
        </w:rPr>
      </w:pPr>
    </w:p>
    <w:p w:rsidR="003B5DA4" w:rsidRDefault="003B5DA4" w:rsidP="003B5DA4">
      <w:pPr>
        <w:spacing w:line="360" w:lineRule="auto"/>
        <w:ind w:firstLine="720"/>
        <w:rPr>
          <w:sz w:val="26"/>
        </w:rPr>
      </w:pPr>
      <w:r>
        <w:rPr>
          <w:sz w:val="26"/>
          <w:szCs w:val="26"/>
        </w:rPr>
        <w:lastRenderedPageBreak/>
        <w:t>Energy Rewards notes that t</w:t>
      </w:r>
      <w:r w:rsidRPr="004619A4">
        <w:rPr>
          <w:sz w:val="26"/>
          <w:szCs w:val="26"/>
        </w:rPr>
        <w:t xml:space="preserve">he notice provisions in </w:t>
      </w:r>
      <w:r>
        <w:rPr>
          <w:sz w:val="26"/>
          <w:szCs w:val="26"/>
        </w:rPr>
        <w:t>the</w:t>
      </w:r>
      <w:r w:rsidR="00133724">
        <w:rPr>
          <w:sz w:val="26"/>
          <w:szCs w:val="26"/>
        </w:rPr>
        <w:t xml:space="preserve"> natural</w:t>
      </w:r>
      <w:r>
        <w:rPr>
          <w:sz w:val="26"/>
          <w:szCs w:val="26"/>
        </w:rPr>
        <w:t xml:space="preserve"> gas industry disclosure regulations at </w:t>
      </w:r>
      <w:r w:rsidRPr="004619A4">
        <w:rPr>
          <w:sz w:val="26"/>
          <w:szCs w:val="26"/>
        </w:rPr>
        <w:t>52 Pa. Code §</w:t>
      </w:r>
      <w:r w:rsidR="00D3514F">
        <w:rPr>
          <w:sz w:val="26"/>
          <w:szCs w:val="26"/>
        </w:rPr>
        <w:t xml:space="preserve"> </w:t>
      </w:r>
      <w:r w:rsidRPr="004619A4">
        <w:rPr>
          <w:sz w:val="26"/>
          <w:szCs w:val="26"/>
        </w:rPr>
        <w:t>62.75.(g)(1) require two notices to be sent</w:t>
      </w:r>
      <w:r w:rsidR="00133724">
        <w:rPr>
          <w:sz w:val="26"/>
          <w:szCs w:val="26"/>
        </w:rPr>
        <w:t xml:space="preserve"> </w:t>
      </w:r>
      <w:r w:rsidRPr="004619A4">
        <w:rPr>
          <w:sz w:val="26"/>
          <w:szCs w:val="26"/>
        </w:rPr>
        <w:t>—</w:t>
      </w:r>
      <w:r w:rsidR="00133724">
        <w:rPr>
          <w:sz w:val="26"/>
          <w:szCs w:val="26"/>
        </w:rPr>
        <w:t xml:space="preserve"> </w:t>
      </w:r>
      <w:r w:rsidRPr="004619A4">
        <w:rPr>
          <w:sz w:val="26"/>
          <w:szCs w:val="26"/>
        </w:rPr>
        <w:t xml:space="preserve">one at </w:t>
      </w:r>
      <w:r w:rsidR="00ED707E">
        <w:rPr>
          <w:sz w:val="26"/>
          <w:szCs w:val="26"/>
        </w:rPr>
        <w:t xml:space="preserve">about </w:t>
      </w:r>
      <w:r w:rsidRPr="004619A4">
        <w:rPr>
          <w:sz w:val="26"/>
          <w:szCs w:val="26"/>
        </w:rPr>
        <w:t>90 days and the second at</w:t>
      </w:r>
      <w:r w:rsidR="00ED707E">
        <w:rPr>
          <w:sz w:val="26"/>
          <w:szCs w:val="26"/>
        </w:rPr>
        <w:t xml:space="preserve"> about</w:t>
      </w:r>
      <w:r w:rsidRPr="004619A4">
        <w:rPr>
          <w:sz w:val="26"/>
          <w:szCs w:val="26"/>
        </w:rPr>
        <w:t xml:space="preserve"> 60 days — prior to the expiration of a natural gas contract to explain the customer's contract renewal options. </w:t>
      </w:r>
      <w:r>
        <w:rPr>
          <w:sz w:val="26"/>
          <w:szCs w:val="26"/>
        </w:rPr>
        <w:t xml:space="preserve"> However, </w:t>
      </w:r>
      <w:r w:rsidRPr="004619A4">
        <w:rPr>
          <w:sz w:val="26"/>
          <w:szCs w:val="26"/>
        </w:rPr>
        <w:t xml:space="preserve">the Commission's </w:t>
      </w:r>
      <w:r>
        <w:rPr>
          <w:sz w:val="26"/>
          <w:szCs w:val="26"/>
        </w:rPr>
        <w:t xml:space="preserve">new electric industry rules at </w:t>
      </w:r>
      <w:r w:rsidRPr="004619A4">
        <w:rPr>
          <w:sz w:val="26"/>
          <w:szCs w:val="26"/>
        </w:rPr>
        <w:t>52 Pa. Code § 54.10(a)(1) require an initial notice to be sent 45-60 days prior to contract expiration and an options notice to be sent at least 30 days prior to contract expiration.</w:t>
      </w:r>
      <w:r>
        <w:rPr>
          <w:sz w:val="26"/>
          <w:szCs w:val="26"/>
        </w:rPr>
        <w:t xml:space="preserve">  </w:t>
      </w:r>
      <w:r w:rsidRPr="004619A4">
        <w:rPr>
          <w:sz w:val="26"/>
          <w:szCs w:val="26"/>
        </w:rPr>
        <w:t>Energy Rewards is concerned that</w:t>
      </w:r>
      <w:r>
        <w:rPr>
          <w:sz w:val="26"/>
          <w:szCs w:val="26"/>
        </w:rPr>
        <w:t xml:space="preserve">, in complying </w:t>
      </w:r>
      <w:r w:rsidRPr="004619A4">
        <w:rPr>
          <w:sz w:val="26"/>
          <w:szCs w:val="26"/>
        </w:rPr>
        <w:t xml:space="preserve">with all of these notice timeline requirements, sending four notices to a customer </w:t>
      </w:r>
      <w:r w:rsidR="00616C32">
        <w:rPr>
          <w:sz w:val="26"/>
          <w:szCs w:val="26"/>
        </w:rPr>
        <w:t>receiving</w:t>
      </w:r>
      <w:r w:rsidRPr="004619A4">
        <w:rPr>
          <w:sz w:val="26"/>
          <w:szCs w:val="26"/>
        </w:rPr>
        <w:t xml:space="preserve"> </w:t>
      </w:r>
      <w:r w:rsidR="00B92D2C">
        <w:rPr>
          <w:sz w:val="26"/>
          <w:szCs w:val="26"/>
        </w:rPr>
        <w:t xml:space="preserve">both retail electric and retail natural gas </w:t>
      </w:r>
      <w:r w:rsidRPr="004619A4">
        <w:rPr>
          <w:sz w:val="26"/>
          <w:szCs w:val="26"/>
        </w:rPr>
        <w:t xml:space="preserve">service </w:t>
      </w:r>
      <w:r w:rsidR="00B92D2C">
        <w:rPr>
          <w:sz w:val="26"/>
          <w:szCs w:val="26"/>
        </w:rPr>
        <w:t>from the same supplier</w:t>
      </w:r>
      <w:r w:rsidRPr="004619A4">
        <w:rPr>
          <w:sz w:val="26"/>
          <w:szCs w:val="26"/>
        </w:rPr>
        <w:t xml:space="preserve"> will cause unnecessary confusion and result in a poor shopping experience for the customer. </w:t>
      </w:r>
      <w:r>
        <w:rPr>
          <w:sz w:val="26"/>
          <w:szCs w:val="26"/>
        </w:rPr>
        <w:t xml:space="preserve"> Accordingly</w:t>
      </w:r>
      <w:r w:rsidRPr="004619A4">
        <w:rPr>
          <w:sz w:val="26"/>
          <w:szCs w:val="26"/>
        </w:rPr>
        <w:t>, Energy Rewards</w:t>
      </w:r>
      <w:r>
        <w:rPr>
          <w:sz w:val="26"/>
          <w:szCs w:val="26"/>
        </w:rPr>
        <w:t xml:space="preserve"> proposes to instead send two notices to </w:t>
      </w:r>
      <w:r w:rsidR="00B92D2C">
        <w:rPr>
          <w:sz w:val="26"/>
          <w:szCs w:val="26"/>
        </w:rPr>
        <w:t xml:space="preserve">those </w:t>
      </w:r>
      <w:r>
        <w:rPr>
          <w:sz w:val="26"/>
          <w:szCs w:val="26"/>
        </w:rPr>
        <w:t>cu</w:t>
      </w:r>
      <w:r w:rsidRPr="004619A4">
        <w:rPr>
          <w:sz w:val="26"/>
          <w:szCs w:val="26"/>
        </w:rPr>
        <w:t>stomers taking combined electric</w:t>
      </w:r>
      <w:r>
        <w:rPr>
          <w:sz w:val="26"/>
          <w:szCs w:val="26"/>
        </w:rPr>
        <w:t>/</w:t>
      </w:r>
      <w:r w:rsidR="00B92D2C">
        <w:rPr>
          <w:sz w:val="26"/>
          <w:szCs w:val="26"/>
        </w:rPr>
        <w:t xml:space="preserve">natural </w:t>
      </w:r>
      <w:r w:rsidRPr="004619A4">
        <w:rPr>
          <w:sz w:val="26"/>
          <w:szCs w:val="26"/>
        </w:rPr>
        <w:t xml:space="preserve">gas service in accordance with the </w:t>
      </w:r>
      <w:r>
        <w:rPr>
          <w:sz w:val="26"/>
          <w:szCs w:val="26"/>
        </w:rPr>
        <w:t xml:space="preserve">electric </w:t>
      </w:r>
      <w:r w:rsidRPr="004619A4">
        <w:rPr>
          <w:sz w:val="26"/>
          <w:szCs w:val="26"/>
        </w:rPr>
        <w:t xml:space="preserve">contract expiration notice </w:t>
      </w:r>
      <w:r>
        <w:rPr>
          <w:sz w:val="26"/>
          <w:szCs w:val="26"/>
        </w:rPr>
        <w:t>timeframes</w:t>
      </w:r>
      <w:r w:rsidRPr="004619A4">
        <w:rPr>
          <w:sz w:val="26"/>
          <w:szCs w:val="26"/>
        </w:rPr>
        <w:t xml:space="preserve"> included in Section</w:t>
      </w:r>
      <w:r w:rsidR="00616C32">
        <w:rPr>
          <w:sz w:val="26"/>
          <w:szCs w:val="26"/>
        </w:rPr>
        <w:t>s</w:t>
      </w:r>
      <w:r w:rsidRPr="004619A4">
        <w:rPr>
          <w:sz w:val="26"/>
          <w:szCs w:val="26"/>
        </w:rPr>
        <w:t xml:space="preserve"> 54.10 (a) (1) and (2)</w:t>
      </w:r>
      <w:r w:rsidR="00616C32">
        <w:rPr>
          <w:sz w:val="26"/>
          <w:szCs w:val="26"/>
        </w:rPr>
        <w:t xml:space="preserve"> of the Commission’s regulations</w:t>
      </w:r>
      <w:r>
        <w:rPr>
          <w:sz w:val="26"/>
          <w:szCs w:val="26"/>
        </w:rPr>
        <w:t xml:space="preserve">.  </w:t>
      </w:r>
    </w:p>
    <w:p w:rsidR="00287715" w:rsidRDefault="00C94551" w:rsidP="00C94551">
      <w:pPr>
        <w:tabs>
          <w:tab w:val="center" w:pos="0"/>
          <w:tab w:val="left" w:pos="720"/>
        </w:tabs>
        <w:spacing w:line="360" w:lineRule="auto"/>
        <w:rPr>
          <w:b/>
          <w:sz w:val="26"/>
          <w:szCs w:val="26"/>
        </w:rPr>
      </w:pPr>
      <w:r>
        <w:rPr>
          <w:sz w:val="26"/>
        </w:rPr>
        <w:t xml:space="preserve">  </w:t>
      </w:r>
    </w:p>
    <w:p w:rsidR="00094678" w:rsidRDefault="00094678" w:rsidP="00256B16">
      <w:pPr>
        <w:keepNext/>
        <w:keepLines/>
        <w:spacing w:line="360" w:lineRule="auto"/>
        <w:jc w:val="center"/>
        <w:rPr>
          <w:b/>
          <w:sz w:val="26"/>
          <w:szCs w:val="26"/>
        </w:rPr>
      </w:pPr>
      <w:r w:rsidRPr="007620D2">
        <w:rPr>
          <w:b/>
          <w:sz w:val="26"/>
          <w:szCs w:val="26"/>
        </w:rPr>
        <w:t>D</w:t>
      </w:r>
      <w:r w:rsidR="00441EBF" w:rsidRPr="007620D2">
        <w:rPr>
          <w:b/>
          <w:sz w:val="26"/>
          <w:szCs w:val="26"/>
        </w:rPr>
        <w:t>iscussion</w:t>
      </w:r>
    </w:p>
    <w:p w:rsidR="00B521B2" w:rsidRPr="007620D2" w:rsidRDefault="00B521B2" w:rsidP="00256B16">
      <w:pPr>
        <w:keepNext/>
        <w:keepLines/>
        <w:spacing w:line="360" w:lineRule="auto"/>
        <w:jc w:val="center"/>
        <w:rPr>
          <w:b/>
          <w:sz w:val="26"/>
          <w:szCs w:val="26"/>
        </w:rPr>
      </w:pPr>
    </w:p>
    <w:p w:rsidR="00654D5D" w:rsidRDefault="00957E24" w:rsidP="003B5DA4">
      <w:pPr>
        <w:spacing w:line="360" w:lineRule="auto"/>
        <w:rPr>
          <w:sz w:val="26"/>
          <w:szCs w:val="26"/>
        </w:rPr>
      </w:pPr>
      <w:r>
        <w:rPr>
          <w:sz w:val="26"/>
          <w:szCs w:val="26"/>
        </w:rPr>
        <w:tab/>
      </w:r>
      <w:r w:rsidR="003B5DA4" w:rsidRPr="003B5DA4">
        <w:rPr>
          <w:sz w:val="26"/>
          <w:szCs w:val="26"/>
        </w:rPr>
        <w:t xml:space="preserve">Upon review of this </w:t>
      </w:r>
      <w:r w:rsidR="00DE52DB">
        <w:rPr>
          <w:sz w:val="26"/>
          <w:szCs w:val="26"/>
        </w:rPr>
        <w:t>inquiry</w:t>
      </w:r>
      <w:r w:rsidR="003B5DA4" w:rsidRPr="003B5DA4">
        <w:rPr>
          <w:sz w:val="26"/>
          <w:szCs w:val="26"/>
        </w:rPr>
        <w:t xml:space="preserve"> and the applicable regulations, </w:t>
      </w:r>
      <w:r w:rsidR="003B5DA4">
        <w:rPr>
          <w:sz w:val="26"/>
          <w:szCs w:val="26"/>
        </w:rPr>
        <w:t>OCMO</w:t>
      </w:r>
      <w:r w:rsidR="003B5DA4" w:rsidRPr="003B5DA4">
        <w:rPr>
          <w:sz w:val="26"/>
          <w:szCs w:val="26"/>
        </w:rPr>
        <w:t xml:space="preserve"> agrees with Energy Rewards that sending four </w:t>
      </w:r>
      <w:r w:rsidR="00DE52DB">
        <w:rPr>
          <w:sz w:val="26"/>
          <w:szCs w:val="26"/>
        </w:rPr>
        <w:t xml:space="preserve">renewal </w:t>
      </w:r>
      <w:r w:rsidR="003B5DA4" w:rsidRPr="003B5DA4">
        <w:rPr>
          <w:sz w:val="26"/>
          <w:szCs w:val="26"/>
        </w:rPr>
        <w:t>notices at varying timeframes to combined electric/</w:t>
      </w:r>
      <w:r w:rsidR="00B92D2C">
        <w:rPr>
          <w:sz w:val="26"/>
          <w:szCs w:val="26"/>
        </w:rPr>
        <w:t xml:space="preserve">natural </w:t>
      </w:r>
      <w:r w:rsidR="003B5DA4" w:rsidRPr="003B5DA4">
        <w:rPr>
          <w:sz w:val="26"/>
          <w:szCs w:val="26"/>
        </w:rPr>
        <w:t xml:space="preserve">gas customers </w:t>
      </w:r>
      <w:r w:rsidR="00DE52DB">
        <w:rPr>
          <w:sz w:val="26"/>
          <w:szCs w:val="26"/>
        </w:rPr>
        <w:t>would be</w:t>
      </w:r>
      <w:r w:rsidR="003B5DA4" w:rsidRPr="003B5DA4">
        <w:rPr>
          <w:sz w:val="26"/>
          <w:szCs w:val="26"/>
        </w:rPr>
        <w:t xml:space="preserve"> possibly confusing for </w:t>
      </w:r>
      <w:r w:rsidR="0003403A">
        <w:rPr>
          <w:sz w:val="26"/>
          <w:szCs w:val="26"/>
        </w:rPr>
        <w:t>those</w:t>
      </w:r>
      <w:r w:rsidR="003B5DA4" w:rsidRPr="003B5DA4">
        <w:rPr>
          <w:sz w:val="26"/>
          <w:szCs w:val="26"/>
        </w:rPr>
        <w:t xml:space="preserve"> customer</w:t>
      </w:r>
      <w:r w:rsidR="00B92D2C">
        <w:rPr>
          <w:sz w:val="26"/>
          <w:szCs w:val="26"/>
        </w:rPr>
        <w:t>s</w:t>
      </w:r>
      <w:r w:rsidR="00654D5D">
        <w:rPr>
          <w:sz w:val="26"/>
          <w:szCs w:val="26"/>
        </w:rPr>
        <w:t xml:space="preserve"> receiving both electric and gas services from the same supplier</w:t>
      </w:r>
      <w:r w:rsidR="003B5DA4" w:rsidRPr="003B5DA4">
        <w:rPr>
          <w:sz w:val="26"/>
          <w:szCs w:val="26"/>
        </w:rPr>
        <w:t xml:space="preserve">.  Since the electric and </w:t>
      </w:r>
      <w:r w:rsidR="00B92D2C">
        <w:rPr>
          <w:sz w:val="26"/>
          <w:szCs w:val="26"/>
        </w:rPr>
        <w:t xml:space="preserve">natural </w:t>
      </w:r>
      <w:r w:rsidR="003B5DA4" w:rsidRPr="003B5DA4">
        <w:rPr>
          <w:sz w:val="26"/>
          <w:szCs w:val="26"/>
        </w:rPr>
        <w:t xml:space="preserve">gas restructuring efforts were initiated in the 1990s, the Commission has attempted to keep electric and </w:t>
      </w:r>
      <w:r w:rsidR="00B92D2C">
        <w:rPr>
          <w:sz w:val="26"/>
          <w:szCs w:val="26"/>
        </w:rPr>
        <w:t xml:space="preserve">natural </w:t>
      </w:r>
      <w:r w:rsidR="003B5DA4" w:rsidRPr="003B5DA4">
        <w:rPr>
          <w:sz w:val="26"/>
          <w:szCs w:val="26"/>
        </w:rPr>
        <w:t xml:space="preserve">gas consumer protection rules </w:t>
      </w:r>
      <w:r w:rsidR="00DE52DB">
        <w:rPr>
          <w:sz w:val="26"/>
          <w:szCs w:val="26"/>
        </w:rPr>
        <w:t xml:space="preserve">as </w:t>
      </w:r>
      <w:r w:rsidR="003B5DA4" w:rsidRPr="003B5DA4">
        <w:rPr>
          <w:sz w:val="26"/>
          <w:szCs w:val="26"/>
        </w:rPr>
        <w:t>consistent</w:t>
      </w:r>
      <w:r w:rsidR="00DE52DB">
        <w:rPr>
          <w:sz w:val="26"/>
          <w:szCs w:val="26"/>
        </w:rPr>
        <w:t xml:space="preserve"> as possible</w:t>
      </w:r>
      <w:r w:rsidR="003B5DA4" w:rsidRPr="003B5DA4">
        <w:rPr>
          <w:sz w:val="26"/>
          <w:szCs w:val="26"/>
        </w:rPr>
        <w:t xml:space="preserve">.  </w:t>
      </w:r>
      <w:r w:rsidR="00654D5D">
        <w:rPr>
          <w:sz w:val="26"/>
          <w:szCs w:val="26"/>
        </w:rPr>
        <w:t xml:space="preserve">We note that our finding here is limited to circumstances in which a customer </w:t>
      </w:r>
      <w:r w:rsidR="002709FE">
        <w:rPr>
          <w:sz w:val="26"/>
          <w:szCs w:val="26"/>
        </w:rPr>
        <w:t>contracts for</w:t>
      </w:r>
      <w:r w:rsidR="00654D5D">
        <w:rPr>
          <w:sz w:val="26"/>
          <w:szCs w:val="26"/>
        </w:rPr>
        <w:t xml:space="preserve"> both electric and gas services from one supplier </w:t>
      </w:r>
      <w:r w:rsidR="0041602A">
        <w:rPr>
          <w:sz w:val="26"/>
          <w:szCs w:val="26"/>
        </w:rPr>
        <w:t>at</w:t>
      </w:r>
      <w:r w:rsidR="002709FE">
        <w:rPr>
          <w:sz w:val="26"/>
          <w:szCs w:val="26"/>
        </w:rPr>
        <w:t xml:space="preserve"> the same </w:t>
      </w:r>
      <w:r w:rsidR="0041602A">
        <w:rPr>
          <w:sz w:val="26"/>
          <w:szCs w:val="26"/>
        </w:rPr>
        <w:t>time</w:t>
      </w:r>
      <w:r w:rsidR="002709FE">
        <w:rPr>
          <w:sz w:val="26"/>
          <w:szCs w:val="26"/>
        </w:rPr>
        <w:t xml:space="preserve"> under contracts with </w:t>
      </w:r>
      <w:r w:rsidR="00ED707E">
        <w:rPr>
          <w:sz w:val="26"/>
          <w:szCs w:val="26"/>
        </w:rPr>
        <w:t xml:space="preserve">approximately </w:t>
      </w:r>
      <w:r w:rsidR="002709FE">
        <w:rPr>
          <w:sz w:val="26"/>
          <w:szCs w:val="26"/>
        </w:rPr>
        <w:t>the same expiration date.</w:t>
      </w:r>
    </w:p>
    <w:p w:rsidR="00654D5D" w:rsidRDefault="00654D5D" w:rsidP="003B5DA4">
      <w:pPr>
        <w:spacing w:line="360" w:lineRule="auto"/>
        <w:rPr>
          <w:sz w:val="26"/>
          <w:szCs w:val="26"/>
        </w:rPr>
      </w:pPr>
    </w:p>
    <w:p w:rsidR="003B5DA4" w:rsidRPr="003B5DA4" w:rsidRDefault="00DE52DB" w:rsidP="00ED707E">
      <w:pPr>
        <w:spacing w:line="360" w:lineRule="auto"/>
        <w:ind w:firstLine="720"/>
        <w:rPr>
          <w:sz w:val="26"/>
          <w:szCs w:val="26"/>
        </w:rPr>
      </w:pPr>
      <w:r>
        <w:rPr>
          <w:sz w:val="26"/>
          <w:szCs w:val="26"/>
        </w:rPr>
        <w:t>Over time, i</w:t>
      </w:r>
      <w:r w:rsidR="003B5DA4" w:rsidRPr="003B5DA4">
        <w:rPr>
          <w:sz w:val="26"/>
          <w:szCs w:val="26"/>
        </w:rPr>
        <w:t xml:space="preserve">t </w:t>
      </w:r>
      <w:r>
        <w:rPr>
          <w:sz w:val="26"/>
          <w:szCs w:val="26"/>
        </w:rPr>
        <w:t xml:space="preserve">has </w:t>
      </w:r>
      <w:r w:rsidR="001C1489">
        <w:rPr>
          <w:sz w:val="26"/>
          <w:szCs w:val="26"/>
        </w:rPr>
        <w:t>bec</w:t>
      </w:r>
      <w:r>
        <w:rPr>
          <w:sz w:val="26"/>
          <w:szCs w:val="26"/>
        </w:rPr>
        <w:t>o</w:t>
      </w:r>
      <w:r w:rsidR="001C1489">
        <w:rPr>
          <w:sz w:val="26"/>
          <w:szCs w:val="26"/>
        </w:rPr>
        <w:t>me</w:t>
      </w:r>
      <w:r w:rsidR="003B5DA4" w:rsidRPr="003B5DA4">
        <w:rPr>
          <w:sz w:val="26"/>
          <w:szCs w:val="26"/>
        </w:rPr>
        <w:t xml:space="preserve"> apparent that some consumers will be receiving both electric and</w:t>
      </w:r>
      <w:r w:rsidR="00B92D2C">
        <w:rPr>
          <w:sz w:val="26"/>
          <w:szCs w:val="26"/>
        </w:rPr>
        <w:t xml:space="preserve"> natural</w:t>
      </w:r>
      <w:r w:rsidR="003B5DA4" w:rsidRPr="003B5DA4">
        <w:rPr>
          <w:sz w:val="26"/>
          <w:szCs w:val="26"/>
        </w:rPr>
        <w:t xml:space="preserve"> gas competitive services from the same supplier</w:t>
      </w:r>
      <w:r w:rsidR="00654D5D">
        <w:rPr>
          <w:sz w:val="26"/>
          <w:szCs w:val="26"/>
        </w:rPr>
        <w:t xml:space="preserve"> under the same </w:t>
      </w:r>
      <w:r w:rsidR="00654D5D">
        <w:rPr>
          <w:sz w:val="26"/>
          <w:szCs w:val="26"/>
        </w:rPr>
        <w:lastRenderedPageBreak/>
        <w:t>contract</w:t>
      </w:r>
      <w:r w:rsidR="003B5DA4" w:rsidRPr="003B5DA4">
        <w:rPr>
          <w:sz w:val="26"/>
          <w:szCs w:val="26"/>
        </w:rPr>
        <w:t>.  Having similar rules for both services</w:t>
      </w:r>
      <w:r w:rsidR="0041602A">
        <w:rPr>
          <w:sz w:val="26"/>
          <w:szCs w:val="26"/>
        </w:rPr>
        <w:t>,</w:t>
      </w:r>
      <w:r>
        <w:rPr>
          <w:sz w:val="26"/>
          <w:szCs w:val="26"/>
        </w:rPr>
        <w:t xml:space="preserve"> when possible</w:t>
      </w:r>
      <w:r w:rsidR="0041602A">
        <w:rPr>
          <w:sz w:val="26"/>
          <w:szCs w:val="26"/>
        </w:rPr>
        <w:t>,</w:t>
      </w:r>
      <w:r>
        <w:rPr>
          <w:sz w:val="26"/>
          <w:szCs w:val="26"/>
        </w:rPr>
        <w:t xml:space="preserve"> </w:t>
      </w:r>
      <w:r w:rsidR="003B5DA4" w:rsidRPr="003B5DA4">
        <w:rPr>
          <w:sz w:val="26"/>
          <w:szCs w:val="26"/>
        </w:rPr>
        <w:t xml:space="preserve">helps minimize confusion for consumers and avoids unnecessary costs for suppliers.  However, recent developments in the electric industry, especially the </w:t>
      </w:r>
      <w:r w:rsidR="00B92D2C">
        <w:rPr>
          <w:sz w:val="26"/>
          <w:szCs w:val="26"/>
        </w:rPr>
        <w:t>implementation</w:t>
      </w:r>
      <w:r w:rsidR="00B92D2C" w:rsidRPr="003B5DA4">
        <w:rPr>
          <w:sz w:val="26"/>
          <w:szCs w:val="26"/>
        </w:rPr>
        <w:t xml:space="preserve"> </w:t>
      </w:r>
      <w:r w:rsidR="003B5DA4" w:rsidRPr="003B5DA4">
        <w:rPr>
          <w:sz w:val="26"/>
          <w:szCs w:val="26"/>
        </w:rPr>
        <w:t xml:space="preserve">of advanced metering, have made </w:t>
      </w:r>
      <w:r w:rsidR="001C1489">
        <w:rPr>
          <w:sz w:val="26"/>
          <w:szCs w:val="26"/>
        </w:rPr>
        <w:t>processes</w:t>
      </w:r>
      <w:r w:rsidR="001C1489" w:rsidRPr="003B5DA4">
        <w:rPr>
          <w:sz w:val="26"/>
          <w:szCs w:val="26"/>
        </w:rPr>
        <w:t xml:space="preserve"> </w:t>
      </w:r>
      <w:r w:rsidR="003B5DA4" w:rsidRPr="003B5DA4">
        <w:rPr>
          <w:sz w:val="26"/>
          <w:szCs w:val="26"/>
        </w:rPr>
        <w:t xml:space="preserve">like accelerated switching possible.  Similar advances have not occurred in the retail </w:t>
      </w:r>
      <w:r w:rsidR="00B92D2C">
        <w:rPr>
          <w:sz w:val="26"/>
          <w:szCs w:val="26"/>
        </w:rPr>
        <w:t xml:space="preserve">natural </w:t>
      </w:r>
      <w:r w:rsidR="003B5DA4" w:rsidRPr="003B5DA4">
        <w:rPr>
          <w:sz w:val="26"/>
          <w:szCs w:val="26"/>
        </w:rPr>
        <w:t xml:space="preserve">gas market.  The different technological capabilities between the two industries </w:t>
      </w:r>
      <w:r>
        <w:rPr>
          <w:sz w:val="26"/>
          <w:szCs w:val="26"/>
        </w:rPr>
        <w:t xml:space="preserve">at times </w:t>
      </w:r>
      <w:r w:rsidR="003B5DA4" w:rsidRPr="003B5DA4">
        <w:rPr>
          <w:sz w:val="26"/>
          <w:szCs w:val="26"/>
        </w:rPr>
        <w:t>will cause some</w:t>
      </w:r>
      <w:r>
        <w:rPr>
          <w:sz w:val="26"/>
          <w:szCs w:val="26"/>
        </w:rPr>
        <w:t xml:space="preserve"> </w:t>
      </w:r>
      <w:r w:rsidR="003B5DA4" w:rsidRPr="003B5DA4">
        <w:rPr>
          <w:sz w:val="26"/>
          <w:szCs w:val="26"/>
        </w:rPr>
        <w:t xml:space="preserve">significant differences </w:t>
      </w:r>
      <w:r w:rsidR="00B92D2C">
        <w:rPr>
          <w:sz w:val="26"/>
          <w:szCs w:val="26"/>
        </w:rPr>
        <w:t>between</w:t>
      </w:r>
      <w:r w:rsidR="00B92D2C" w:rsidRPr="003B5DA4">
        <w:rPr>
          <w:sz w:val="26"/>
          <w:szCs w:val="26"/>
        </w:rPr>
        <w:t xml:space="preserve"> </w:t>
      </w:r>
      <w:r w:rsidR="003B5DA4" w:rsidRPr="003B5DA4">
        <w:rPr>
          <w:sz w:val="26"/>
          <w:szCs w:val="26"/>
        </w:rPr>
        <w:t>the</w:t>
      </w:r>
      <w:r w:rsidR="00B92D2C">
        <w:rPr>
          <w:sz w:val="26"/>
          <w:szCs w:val="26"/>
        </w:rPr>
        <w:t xml:space="preserve"> natural</w:t>
      </w:r>
      <w:r w:rsidR="003B5DA4" w:rsidRPr="003B5DA4">
        <w:rPr>
          <w:sz w:val="26"/>
          <w:szCs w:val="26"/>
        </w:rPr>
        <w:t xml:space="preserve"> gas and electric rules and procedures that apply to customer switching and disclosure.  </w:t>
      </w:r>
    </w:p>
    <w:p w:rsidR="003B5DA4" w:rsidRPr="003B5DA4" w:rsidRDefault="003B5DA4" w:rsidP="003B5DA4">
      <w:pPr>
        <w:spacing w:line="360" w:lineRule="auto"/>
        <w:rPr>
          <w:sz w:val="26"/>
          <w:szCs w:val="26"/>
        </w:rPr>
      </w:pPr>
    </w:p>
    <w:p w:rsidR="003B5DA4" w:rsidRPr="003B5DA4" w:rsidRDefault="003B5DA4" w:rsidP="003B5DA4">
      <w:pPr>
        <w:spacing w:line="360" w:lineRule="auto"/>
        <w:ind w:firstLine="720"/>
        <w:rPr>
          <w:sz w:val="26"/>
          <w:szCs w:val="26"/>
        </w:rPr>
      </w:pPr>
      <w:r>
        <w:rPr>
          <w:sz w:val="26"/>
          <w:szCs w:val="26"/>
        </w:rPr>
        <w:t xml:space="preserve">OCMO believes that </w:t>
      </w:r>
      <w:r w:rsidRPr="003B5DA4">
        <w:rPr>
          <w:sz w:val="26"/>
          <w:szCs w:val="26"/>
        </w:rPr>
        <w:t>Energy Reward’s proposal to send only two renewal notices to combined electric/</w:t>
      </w:r>
      <w:r w:rsidR="00B92D2C">
        <w:rPr>
          <w:sz w:val="26"/>
          <w:szCs w:val="26"/>
        </w:rPr>
        <w:t xml:space="preserve">natural </w:t>
      </w:r>
      <w:r w:rsidRPr="003B5DA4">
        <w:rPr>
          <w:sz w:val="26"/>
          <w:szCs w:val="26"/>
        </w:rPr>
        <w:t>gas customers is reasonable</w:t>
      </w:r>
      <w:r w:rsidR="00020C93">
        <w:rPr>
          <w:sz w:val="26"/>
          <w:szCs w:val="26"/>
        </w:rPr>
        <w:t xml:space="preserve"> when the customer’s expiration date for each service are within 30 days of each other</w:t>
      </w:r>
      <w:r w:rsidR="00861B8C">
        <w:rPr>
          <w:sz w:val="26"/>
          <w:szCs w:val="26"/>
        </w:rPr>
        <w:t xml:space="preserve"> and assuming the combined service is for the same customer and service location</w:t>
      </w:r>
      <w:r w:rsidRPr="003B5DA4">
        <w:rPr>
          <w:sz w:val="26"/>
          <w:szCs w:val="26"/>
        </w:rPr>
        <w:t xml:space="preserve">.  However, the suggestion to use the timeframes found in the electric regulations (Section 54.10 (a) (1) and (2)) for this purpose will not provide adequate notice to the customers </w:t>
      </w:r>
      <w:r w:rsidR="00B92D2C">
        <w:rPr>
          <w:sz w:val="26"/>
          <w:szCs w:val="26"/>
        </w:rPr>
        <w:t>regarding</w:t>
      </w:r>
      <w:r w:rsidR="00B92D2C" w:rsidRPr="003B5DA4">
        <w:rPr>
          <w:sz w:val="26"/>
          <w:szCs w:val="26"/>
        </w:rPr>
        <w:t xml:space="preserve"> </w:t>
      </w:r>
      <w:r w:rsidRPr="003B5DA4">
        <w:rPr>
          <w:sz w:val="26"/>
          <w:szCs w:val="26"/>
        </w:rPr>
        <w:t>the</w:t>
      </w:r>
      <w:r w:rsidR="00B92D2C">
        <w:rPr>
          <w:sz w:val="26"/>
          <w:szCs w:val="26"/>
        </w:rPr>
        <w:t>ir</w:t>
      </w:r>
      <w:r w:rsidRPr="003B5DA4">
        <w:rPr>
          <w:sz w:val="26"/>
          <w:szCs w:val="26"/>
        </w:rPr>
        <w:t xml:space="preserve"> </w:t>
      </w:r>
      <w:r w:rsidR="00B92D2C">
        <w:rPr>
          <w:sz w:val="26"/>
          <w:szCs w:val="26"/>
        </w:rPr>
        <w:t xml:space="preserve">natural </w:t>
      </w:r>
      <w:r w:rsidRPr="003B5DA4">
        <w:rPr>
          <w:sz w:val="26"/>
          <w:szCs w:val="26"/>
        </w:rPr>
        <w:t>gas service.  The electric rule specifies an initial notice at 45 – 60 days followed by the options notice at 30 days.  As noted above, these compressed timeframes are now possible in the electric industry due to the 3-day supplier switching that is to be implemented by the end of 2014.</w:t>
      </w:r>
      <w:r w:rsidR="00D1756F">
        <w:rPr>
          <w:rStyle w:val="FootnoteReference"/>
          <w:sz w:val="26"/>
          <w:szCs w:val="26"/>
        </w:rPr>
        <w:footnoteReference w:id="2"/>
      </w:r>
      <w:r w:rsidRPr="003B5DA4">
        <w:rPr>
          <w:sz w:val="26"/>
          <w:szCs w:val="26"/>
        </w:rPr>
        <w:t xml:space="preserve">  </w:t>
      </w:r>
      <w:r w:rsidR="00EB675A">
        <w:rPr>
          <w:sz w:val="26"/>
          <w:szCs w:val="26"/>
        </w:rPr>
        <w:t>Importantly</w:t>
      </w:r>
      <w:r w:rsidRPr="003B5DA4">
        <w:rPr>
          <w:sz w:val="26"/>
          <w:szCs w:val="26"/>
        </w:rPr>
        <w:t xml:space="preserve">, supplier switching in the gas industry is not accelerated and it can still take several weeks to effectuate a switch.  This important distinction is the reason that the two renewal notices provided to </w:t>
      </w:r>
      <w:proofErr w:type="gramStart"/>
      <w:r w:rsidRPr="003B5DA4">
        <w:rPr>
          <w:sz w:val="26"/>
          <w:szCs w:val="26"/>
        </w:rPr>
        <w:t>combined</w:t>
      </w:r>
      <w:proofErr w:type="gramEnd"/>
      <w:r w:rsidRPr="003B5DA4">
        <w:rPr>
          <w:sz w:val="26"/>
          <w:szCs w:val="26"/>
        </w:rPr>
        <w:t xml:space="preserve"> electric/</w:t>
      </w:r>
      <w:r w:rsidR="00B92D2C">
        <w:rPr>
          <w:sz w:val="26"/>
          <w:szCs w:val="26"/>
        </w:rPr>
        <w:t xml:space="preserve">natural </w:t>
      </w:r>
      <w:r w:rsidRPr="003B5DA4">
        <w:rPr>
          <w:sz w:val="26"/>
          <w:szCs w:val="26"/>
        </w:rPr>
        <w:t xml:space="preserve">gas customers must comply with the extended timeframes found in the </w:t>
      </w:r>
      <w:r w:rsidR="00B92D2C">
        <w:rPr>
          <w:sz w:val="26"/>
          <w:szCs w:val="26"/>
        </w:rPr>
        <w:t xml:space="preserve">natural </w:t>
      </w:r>
      <w:r w:rsidRPr="003B5DA4">
        <w:rPr>
          <w:sz w:val="26"/>
          <w:szCs w:val="26"/>
        </w:rPr>
        <w:t>gas disclosure regulations.</w:t>
      </w:r>
      <w:r>
        <w:rPr>
          <w:rStyle w:val="FootnoteReference"/>
          <w:sz w:val="26"/>
          <w:szCs w:val="26"/>
        </w:rPr>
        <w:footnoteReference w:id="3"/>
      </w:r>
      <w:r w:rsidRPr="003B5DA4">
        <w:rPr>
          <w:sz w:val="26"/>
          <w:szCs w:val="26"/>
        </w:rPr>
        <w:t xml:space="preserve">  Providing these notices on the abbreviated timeframes in the new electric regulations (</w:t>
      </w:r>
      <w:r w:rsidR="00105DC3">
        <w:rPr>
          <w:sz w:val="26"/>
          <w:szCs w:val="26"/>
        </w:rPr>
        <w:t xml:space="preserve">at least </w:t>
      </w:r>
      <w:r w:rsidRPr="003B5DA4">
        <w:rPr>
          <w:sz w:val="26"/>
          <w:szCs w:val="26"/>
        </w:rPr>
        <w:t xml:space="preserve">45 and 30 days) </w:t>
      </w:r>
      <w:r w:rsidR="00105DC3">
        <w:rPr>
          <w:sz w:val="26"/>
          <w:szCs w:val="26"/>
        </w:rPr>
        <w:t>may</w:t>
      </w:r>
      <w:r w:rsidRPr="003B5DA4">
        <w:rPr>
          <w:sz w:val="26"/>
          <w:szCs w:val="26"/>
        </w:rPr>
        <w:t xml:space="preserve"> not provide the customer with enough time to shop and switch </w:t>
      </w:r>
      <w:r w:rsidR="00B92D2C">
        <w:rPr>
          <w:sz w:val="26"/>
          <w:szCs w:val="26"/>
        </w:rPr>
        <w:t xml:space="preserve">retail natural </w:t>
      </w:r>
      <w:r w:rsidRPr="003B5DA4">
        <w:rPr>
          <w:sz w:val="26"/>
          <w:szCs w:val="26"/>
        </w:rPr>
        <w:t xml:space="preserve">gas suppliers should they so wish.   </w:t>
      </w:r>
    </w:p>
    <w:p w:rsidR="003B5DA4" w:rsidRPr="003B5DA4" w:rsidRDefault="003B5DA4" w:rsidP="003B5DA4">
      <w:pPr>
        <w:spacing w:line="360" w:lineRule="auto"/>
        <w:rPr>
          <w:sz w:val="26"/>
          <w:szCs w:val="26"/>
        </w:rPr>
      </w:pPr>
    </w:p>
    <w:p w:rsidR="00D3514F" w:rsidRDefault="003B5DA4" w:rsidP="003B5DA4">
      <w:pPr>
        <w:spacing w:line="360" w:lineRule="auto"/>
        <w:ind w:firstLine="720"/>
        <w:rPr>
          <w:sz w:val="26"/>
          <w:szCs w:val="26"/>
        </w:rPr>
      </w:pPr>
      <w:r w:rsidRPr="003B5DA4">
        <w:rPr>
          <w:sz w:val="26"/>
          <w:szCs w:val="26"/>
        </w:rPr>
        <w:t xml:space="preserve">While </w:t>
      </w:r>
      <w:r>
        <w:rPr>
          <w:sz w:val="26"/>
          <w:szCs w:val="26"/>
        </w:rPr>
        <w:t xml:space="preserve">OCMO proposes </w:t>
      </w:r>
      <w:r w:rsidRPr="003B5DA4">
        <w:rPr>
          <w:sz w:val="26"/>
          <w:szCs w:val="26"/>
        </w:rPr>
        <w:t xml:space="preserve">the use of two notices that will be issued per the </w:t>
      </w:r>
      <w:r w:rsidR="00B92D2C">
        <w:rPr>
          <w:sz w:val="26"/>
          <w:szCs w:val="26"/>
        </w:rPr>
        <w:t xml:space="preserve">natural </w:t>
      </w:r>
      <w:r w:rsidRPr="003B5DA4">
        <w:rPr>
          <w:sz w:val="26"/>
          <w:szCs w:val="26"/>
        </w:rPr>
        <w:t>gas regulation timeframes, we emphasize that the other provisions of the relevant electric regulation</w:t>
      </w:r>
      <w:r w:rsidR="0019281F">
        <w:rPr>
          <w:sz w:val="26"/>
          <w:szCs w:val="26"/>
        </w:rPr>
        <w:t>,</w:t>
      </w:r>
      <w:r w:rsidRPr="003B5DA4">
        <w:rPr>
          <w:sz w:val="26"/>
          <w:szCs w:val="26"/>
        </w:rPr>
        <w:t xml:space="preserve"> 52 Pa Code § 54.10</w:t>
      </w:r>
      <w:r w:rsidR="0019281F">
        <w:rPr>
          <w:sz w:val="26"/>
          <w:szCs w:val="26"/>
        </w:rPr>
        <w:t>,</w:t>
      </w:r>
      <w:r w:rsidRPr="003B5DA4">
        <w:rPr>
          <w:sz w:val="26"/>
          <w:szCs w:val="26"/>
        </w:rPr>
        <w:t xml:space="preserve"> still apply.  This means that when presenting notice information for the customer’s electric generation service, the contents of the notice and how </w:t>
      </w:r>
      <w:r w:rsidR="00EB675A">
        <w:rPr>
          <w:sz w:val="26"/>
          <w:szCs w:val="26"/>
        </w:rPr>
        <w:t xml:space="preserve">the </w:t>
      </w:r>
      <w:r w:rsidRPr="003B5DA4">
        <w:rPr>
          <w:sz w:val="26"/>
          <w:szCs w:val="26"/>
        </w:rPr>
        <w:t>customer</w:t>
      </w:r>
      <w:r w:rsidR="00EB675A">
        <w:rPr>
          <w:sz w:val="26"/>
          <w:szCs w:val="26"/>
        </w:rPr>
        <w:t>’s</w:t>
      </w:r>
      <w:r w:rsidRPr="003B5DA4">
        <w:rPr>
          <w:sz w:val="26"/>
          <w:szCs w:val="26"/>
        </w:rPr>
        <w:t xml:space="preserve"> non-response is treated, must comply with Section 54.10.  We acknowledge that this means that the customer will have certain rights regarding their electric service that technically do not apply to their</w:t>
      </w:r>
      <w:r w:rsidR="00B92D2C">
        <w:rPr>
          <w:sz w:val="26"/>
          <w:szCs w:val="26"/>
        </w:rPr>
        <w:t xml:space="preserve"> natural</w:t>
      </w:r>
      <w:r w:rsidRPr="003B5DA4">
        <w:rPr>
          <w:sz w:val="26"/>
          <w:szCs w:val="26"/>
        </w:rPr>
        <w:t xml:space="preserve"> gas service.</w:t>
      </w:r>
      <w:r w:rsidRPr="003B5DA4">
        <w:rPr>
          <w:sz w:val="26"/>
          <w:szCs w:val="26"/>
          <w:vertAlign w:val="superscript"/>
        </w:rPr>
        <w:footnoteReference w:id="4"/>
      </w:r>
      <w:r w:rsidRPr="003B5DA4">
        <w:rPr>
          <w:sz w:val="26"/>
          <w:szCs w:val="26"/>
        </w:rPr>
        <w:t xml:space="preserve">  </w:t>
      </w:r>
      <w:r w:rsidR="00EB675A">
        <w:rPr>
          <w:sz w:val="26"/>
          <w:szCs w:val="26"/>
        </w:rPr>
        <w:t>To maintain</w:t>
      </w:r>
      <w:r w:rsidRPr="003B5DA4">
        <w:rPr>
          <w:sz w:val="26"/>
          <w:szCs w:val="26"/>
        </w:rPr>
        <w:t xml:space="preserve"> consistency and </w:t>
      </w:r>
      <w:r w:rsidR="00EB675A">
        <w:rPr>
          <w:sz w:val="26"/>
          <w:szCs w:val="26"/>
        </w:rPr>
        <w:t>minimize</w:t>
      </w:r>
      <w:r w:rsidR="00EB675A" w:rsidRPr="003B5DA4">
        <w:rPr>
          <w:sz w:val="26"/>
          <w:szCs w:val="26"/>
        </w:rPr>
        <w:t xml:space="preserve"> </w:t>
      </w:r>
      <w:r w:rsidRPr="003B5DA4">
        <w:rPr>
          <w:sz w:val="26"/>
          <w:szCs w:val="26"/>
        </w:rPr>
        <w:t>customer confusion,</w:t>
      </w:r>
      <w:r w:rsidR="00EB675A">
        <w:rPr>
          <w:sz w:val="26"/>
          <w:szCs w:val="26"/>
        </w:rPr>
        <w:t xml:space="preserve"> we recommend the following:</w:t>
      </w:r>
      <w:r w:rsidRPr="003B5DA4">
        <w:rPr>
          <w:sz w:val="26"/>
          <w:szCs w:val="26"/>
        </w:rPr>
        <w:t xml:space="preserve"> if a supplier wants to make the terms of the customer’s electric and</w:t>
      </w:r>
      <w:r w:rsidR="00B92D2C">
        <w:rPr>
          <w:sz w:val="26"/>
          <w:szCs w:val="26"/>
        </w:rPr>
        <w:t xml:space="preserve"> natural</w:t>
      </w:r>
      <w:r w:rsidRPr="003B5DA4">
        <w:rPr>
          <w:sz w:val="26"/>
          <w:szCs w:val="26"/>
        </w:rPr>
        <w:t xml:space="preserve"> gas service more similar, the</w:t>
      </w:r>
      <w:r w:rsidR="00EB675A">
        <w:rPr>
          <w:sz w:val="26"/>
          <w:szCs w:val="26"/>
        </w:rPr>
        <w:t xml:space="preserve"> supplier is</w:t>
      </w:r>
      <w:r w:rsidRPr="003B5DA4">
        <w:rPr>
          <w:sz w:val="26"/>
          <w:szCs w:val="26"/>
        </w:rPr>
        <w:t xml:space="preserve"> free to provide the customer with the same rights for the </w:t>
      </w:r>
      <w:r w:rsidR="00B92D2C">
        <w:rPr>
          <w:sz w:val="26"/>
          <w:szCs w:val="26"/>
        </w:rPr>
        <w:t xml:space="preserve">natural </w:t>
      </w:r>
      <w:r w:rsidRPr="003B5DA4">
        <w:rPr>
          <w:sz w:val="26"/>
          <w:szCs w:val="26"/>
        </w:rPr>
        <w:t xml:space="preserve">gas service that apply to the electric service (generally, it is acceptable to provide a </w:t>
      </w:r>
      <w:r w:rsidR="00D1756F">
        <w:rPr>
          <w:sz w:val="26"/>
          <w:szCs w:val="26"/>
        </w:rPr>
        <w:t>customer</w:t>
      </w:r>
      <w:r w:rsidRPr="003B5DA4">
        <w:rPr>
          <w:sz w:val="26"/>
          <w:szCs w:val="26"/>
        </w:rPr>
        <w:t xml:space="preserve"> with a greater level of protection than required by a regulation – it is not acceptable to provide a lesser level of protection than required).  </w:t>
      </w:r>
    </w:p>
    <w:p w:rsidR="00D3514F" w:rsidRDefault="00D3514F" w:rsidP="003B5DA4">
      <w:pPr>
        <w:spacing w:line="360" w:lineRule="auto"/>
        <w:ind w:firstLine="720"/>
        <w:rPr>
          <w:sz w:val="26"/>
          <w:szCs w:val="26"/>
        </w:rPr>
      </w:pPr>
    </w:p>
    <w:p w:rsidR="002709FE" w:rsidRDefault="00020C93" w:rsidP="003B5DA4">
      <w:pPr>
        <w:spacing w:line="360" w:lineRule="auto"/>
        <w:ind w:firstLine="720"/>
        <w:rPr>
          <w:sz w:val="26"/>
          <w:szCs w:val="26"/>
        </w:rPr>
      </w:pPr>
      <w:r>
        <w:rPr>
          <w:sz w:val="26"/>
          <w:szCs w:val="26"/>
        </w:rPr>
        <w:t>We also note that this guidance is the same regardless of whether the customer receives both electric and gas distribution service form the same utility or two different utilities.  In instances where natural gas and electric service is distributed by two different utilities, it is very unlikely that the customer’s electric and gas expiration dates will align</w:t>
      </w:r>
      <w:r w:rsidR="00861B8C">
        <w:rPr>
          <w:sz w:val="26"/>
          <w:szCs w:val="26"/>
        </w:rPr>
        <w:t xml:space="preserve">.  </w:t>
      </w:r>
      <w:r w:rsidR="00861B8C" w:rsidRPr="00861B8C">
        <w:rPr>
          <w:sz w:val="26"/>
          <w:szCs w:val="26"/>
        </w:rPr>
        <w:t xml:space="preserve">In the notices, suppliers are obligated to clearly communicate the differing expiration dates for each service.  The two </w:t>
      </w:r>
      <w:proofErr w:type="gramStart"/>
      <w:r w:rsidR="00861B8C" w:rsidRPr="00861B8C">
        <w:rPr>
          <w:sz w:val="26"/>
          <w:szCs w:val="26"/>
        </w:rPr>
        <w:t>notices,</w:t>
      </w:r>
      <w:proofErr w:type="gramEnd"/>
      <w:r w:rsidR="00861B8C" w:rsidRPr="00861B8C">
        <w:rPr>
          <w:sz w:val="26"/>
          <w:szCs w:val="26"/>
        </w:rPr>
        <w:t xml:space="preserve"> initial and options, must always be provided as the contract nears expiration, regardless if terms and conditions are changing.  The notices need to clearly make the needed distinctions between the prices and terms of the customer’s electric service and their natural gas service.   </w:t>
      </w:r>
      <w:r>
        <w:rPr>
          <w:sz w:val="26"/>
          <w:szCs w:val="26"/>
        </w:rPr>
        <w:t xml:space="preserve">  </w:t>
      </w:r>
    </w:p>
    <w:p w:rsidR="002709FE" w:rsidRDefault="002709FE" w:rsidP="003B5DA4">
      <w:pPr>
        <w:spacing w:line="360" w:lineRule="auto"/>
        <w:ind w:firstLine="720"/>
        <w:rPr>
          <w:sz w:val="26"/>
          <w:szCs w:val="26"/>
        </w:rPr>
      </w:pPr>
    </w:p>
    <w:p w:rsidR="005965BB" w:rsidRDefault="00D3514F" w:rsidP="003B5DA4">
      <w:pPr>
        <w:spacing w:line="360" w:lineRule="auto"/>
        <w:ind w:firstLine="720"/>
        <w:rPr>
          <w:sz w:val="26"/>
          <w:szCs w:val="26"/>
        </w:rPr>
      </w:pPr>
      <w:r>
        <w:rPr>
          <w:sz w:val="26"/>
          <w:szCs w:val="26"/>
        </w:rPr>
        <w:t xml:space="preserve">Additionally, </w:t>
      </w:r>
      <w:r w:rsidR="002709FE">
        <w:rPr>
          <w:sz w:val="26"/>
          <w:szCs w:val="26"/>
        </w:rPr>
        <w:t xml:space="preserve">while we are allowing a supplier to use two notices instead of four in these limited circumstances, we are not requiring the supplier to limit their mailings to </w:t>
      </w:r>
      <w:r w:rsidR="002709FE">
        <w:rPr>
          <w:sz w:val="26"/>
          <w:szCs w:val="26"/>
        </w:rPr>
        <w:lastRenderedPageBreak/>
        <w:t xml:space="preserve">two notices.  Suppliers may continue to follow the separate regulations for electric and natural gas supply notice requirements.  </w:t>
      </w:r>
      <w:r w:rsidR="005965BB">
        <w:rPr>
          <w:sz w:val="26"/>
          <w:szCs w:val="26"/>
        </w:rPr>
        <w:br/>
      </w:r>
    </w:p>
    <w:p w:rsidR="003B5DA4" w:rsidRPr="003B5DA4" w:rsidRDefault="005965BB" w:rsidP="003B5DA4">
      <w:pPr>
        <w:spacing w:line="360" w:lineRule="auto"/>
        <w:ind w:firstLine="720"/>
        <w:rPr>
          <w:sz w:val="26"/>
          <w:szCs w:val="26"/>
        </w:rPr>
      </w:pPr>
      <w:r>
        <w:rPr>
          <w:sz w:val="26"/>
          <w:szCs w:val="26"/>
        </w:rPr>
        <w:t xml:space="preserve">As for the inconsistencies between the </w:t>
      </w:r>
      <w:r w:rsidR="00B92D2C">
        <w:rPr>
          <w:sz w:val="26"/>
          <w:szCs w:val="26"/>
        </w:rPr>
        <w:t xml:space="preserve">natural </w:t>
      </w:r>
      <w:r>
        <w:rPr>
          <w:sz w:val="26"/>
          <w:szCs w:val="26"/>
        </w:rPr>
        <w:t xml:space="preserve">gas and electric regulations noted above, OCMO will be examining these issues in a more comprehensive manner as part of the </w:t>
      </w:r>
      <w:r w:rsidR="00071C72">
        <w:rPr>
          <w:sz w:val="26"/>
          <w:szCs w:val="26"/>
        </w:rPr>
        <w:t xml:space="preserve">Natural </w:t>
      </w:r>
      <w:r>
        <w:rPr>
          <w:sz w:val="26"/>
          <w:szCs w:val="26"/>
        </w:rPr>
        <w:t>Gas Retail Markets Investigation that the Commission initiated in September 2013.</w:t>
      </w:r>
      <w:r>
        <w:rPr>
          <w:rStyle w:val="FootnoteReference"/>
          <w:sz w:val="26"/>
          <w:szCs w:val="26"/>
        </w:rPr>
        <w:footnoteReference w:id="5"/>
      </w:r>
      <w:r>
        <w:rPr>
          <w:sz w:val="26"/>
          <w:szCs w:val="26"/>
        </w:rPr>
        <w:t xml:space="preserve">  This investigation will explore, among other things, what can be done to restore some level of consistency between </w:t>
      </w:r>
      <w:r w:rsidR="00B92D2C">
        <w:rPr>
          <w:sz w:val="26"/>
          <w:szCs w:val="26"/>
        </w:rPr>
        <w:t xml:space="preserve">natural </w:t>
      </w:r>
      <w:r>
        <w:rPr>
          <w:sz w:val="26"/>
          <w:szCs w:val="26"/>
        </w:rPr>
        <w:t xml:space="preserve">gas and electric consumer protection regulations, especially disclosure and supplier switching requirements.  </w:t>
      </w:r>
      <w:r w:rsidR="00071C72">
        <w:rPr>
          <w:sz w:val="26"/>
          <w:szCs w:val="26"/>
        </w:rPr>
        <w:t xml:space="preserve">OCMO expects to be communicating with stakeholders in the third quarter of 2014 as to the next steps of this investigation.  </w:t>
      </w:r>
      <w:r>
        <w:rPr>
          <w:sz w:val="26"/>
          <w:szCs w:val="26"/>
        </w:rPr>
        <w:t xml:space="preserve">   </w:t>
      </w:r>
      <w:r w:rsidR="00511D0F">
        <w:rPr>
          <w:sz w:val="26"/>
          <w:szCs w:val="26"/>
        </w:rPr>
        <w:br/>
      </w:r>
    </w:p>
    <w:p w:rsidR="00511D0F" w:rsidRDefault="00337442" w:rsidP="00511D0F">
      <w:pPr>
        <w:spacing w:after="120" w:line="360" w:lineRule="auto"/>
        <w:jc w:val="center"/>
        <w:rPr>
          <w:b/>
          <w:spacing w:val="-3"/>
          <w:sz w:val="26"/>
          <w:szCs w:val="26"/>
        </w:rPr>
      </w:pPr>
      <w:r w:rsidRPr="007620D2">
        <w:rPr>
          <w:b/>
          <w:spacing w:val="-3"/>
          <w:sz w:val="26"/>
          <w:szCs w:val="26"/>
        </w:rPr>
        <w:t>Conclusion</w:t>
      </w:r>
    </w:p>
    <w:p w:rsidR="003B5DA4" w:rsidRPr="003B5DA4" w:rsidRDefault="00680965" w:rsidP="00511D0F">
      <w:pPr>
        <w:spacing w:after="120" w:line="360" w:lineRule="auto"/>
        <w:ind w:firstLine="720"/>
        <w:rPr>
          <w:sz w:val="26"/>
          <w:szCs w:val="26"/>
        </w:rPr>
      </w:pPr>
      <w:r>
        <w:rPr>
          <w:sz w:val="26"/>
          <w:szCs w:val="26"/>
        </w:rPr>
        <w:t>Through</w:t>
      </w:r>
      <w:r w:rsidR="00CB26AE" w:rsidRPr="00522FC0">
        <w:rPr>
          <w:sz w:val="26"/>
          <w:szCs w:val="26"/>
        </w:rPr>
        <w:t xml:space="preserve"> this Tentative Order, the Commission seeks comments on the proposed </w:t>
      </w:r>
      <w:r w:rsidR="00071C72">
        <w:rPr>
          <w:sz w:val="26"/>
          <w:szCs w:val="26"/>
        </w:rPr>
        <w:t xml:space="preserve">OCMO </w:t>
      </w:r>
      <w:r w:rsidR="00CB26AE">
        <w:rPr>
          <w:sz w:val="26"/>
          <w:szCs w:val="26"/>
        </w:rPr>
        <w:t>recommendation</w:t>
      </w:r>
      <w:r w:rsidR="003B5DA4">
        <w:rPr>
          <w:sz w:val="26"/>
          <w:szCs w:val="26"/>
        </w:rPr>
        <w:t xml:space="preserve"> for contract renewal timeframes for those customers receiving both competitive </w:t>
      </w:r>
      <w:r w:rsidR="00B92D2C">
        <w:rPr>
          <w:sz w:val="26"/>
          <w:szCs w:val="26"/>
        </w:rPr>
        <w:t xml:space="preserve">retail </w:t>
      </w:r>
      <w:r w:rsidR="003B5DA4">
        <w:rPr>
          <w:sz w:val="26"/>
          <w:szCs w:val="26"/>
        </w:rPr>
        <w:t xml:space="preserve">electric generation and </w:t>
      </w:r>
      <w:r w:rsidR="00B92D2C">
        <w:rPr>
          <w:sz w:val="26"/>
          <w:szCs w:val="26"/>
        </w:rPr>
        <w:t xml:space="preserve">natural </w:t>
      </w:r>
      <w:r w:rsidR="003B5DA4">
        <w:rPr>
          <w:sz w:val="26"/>
          <w:szCs w:val="26"/>
        </w:rPr>
        <w:t xml:space="preserve">gas supply service from the same supplier.  </w:t>
      </w:r>
      <w:r w:rsidR="003B5DA4" w:rsidRPr="003B5DA4">
        <w:rPr>
          <w:sz w:val="26"/>
          <w:szCs w:val="26"/>
        </w:rPr>
        <w:t xml:space="preserve">In instances where a customer is receiving both electric generation and </w:t>
      </w:r>
      <w:r w:rsidR="00B92D2C">
        <w:rPr>
          <w:sz w:val="26"/>
          <w:szCs w:val="26"/>
        </w:rPr>
        <w:t xml:space="preserve">natural </w:t>
      </w:r>
      <w:r w:rsidR="003B5DA4" w:rsidRPr="003B5DA4">
        <w:rPr>
          <w:sz w:val="26"/>
          <w:szCs w:val="26"/>
        </w:rPr>
        <w:t>gas supply service from the same competitive supplier</w:t>
      </w:r>
      <w:r w:rsidR="00020C93">
        <w:rPr>
          <w:sz w:val="26"/>
          <w:szCs w:val="26"/>
        </w:rPr>
        <w:t xml:space="preserve"> and the terms for both services expire within 30 days of each other</w:t>
      </w:r>
      <w:r w:rsidR="003B5DA4" w:rsidRPr="003B5DA4">
        <w:rPr>
          <w:sz w:val="26"/>
          <w:szCs w:val="26"/>
        </w:rPr>
        <w:t xml:space="preserve">, it is acceptable to send two contract expiration notices that address both services.  The timing of the two notices shall comply with the timeframes found in the </w:t>
      </w:r>
      <w:r w:rsidR="00B92D2C">
        <w:rPr>
          <w:sz w:val="26"/>
          <w:szCs w:val="26"/>
        </w:rPr>
        <w:t xml:space="preserve">natural </w:t>
      </w:r>
      <w:r w:rsidR="003B5DA4" w:rsidRPr="003B5DA4">
        <w:rPr>
          <w:sz w:val="26"/>
          <w:szCs w:val="26"/>
        </w:rPr>
        <w:t>gas disclosure regulations; 52 Pa. Code §62.75(g</w:t>
      </w:r>
      <w:proofErr w:type="gramStart"/>
      <w:r w:rsidR="003B5DA4" w:rsidRPr="003B5DA4">
        <w:rPr>
          <w:sz w:val="26"/>
          <w:szCs w:val="26"/>
        </w:rPr>
        <w:t>)(</w:t>
      </w:r>
      <w:proofErr w:type="gramEnd"/>
      <w:r w:rsidR="003B5DA4" w:rsidRPr="003B5DA4">
        <w:rPr>
          <w:sz w:val="26"/>
          <w:szCs w:val="26"/>
        </w:rPr>
        <w:t>1) —one at 90 days and the second at 60 days.  However, all other aspects of the electric regulations (52 Pa Code §§ 54.5 and 54.10) must be applied to the customer’s electric</w:t>
      </w:r>
      <w:r w:rsidR="00B92D2C">
        <w:rPr>
          <w:sz w:val="26"/>
          <w:szCs w:val="26"/>
        </w:rPr>
        <w:t xml:space="preserve"> generation</w:t>
      </w:r>
      <w:r w:rsidR="003B5DA4" w:rsidRPr="003B5DA4">
        <w:rPr>
          <w:sz w:val="26"/>
          <w:szCs w:val="26"/>
        </w:rPr>
        <w:t xml:space="preserve"> service.     </w:t>
      </w:r>
    </w:p>
    <w:p w:rsidR="003B5DA4" w:rsidRDefault="003B5DA4">
      <w:pPr>
        <w:keepNext/>
        <w:keepLines/>
        <w:tabs>
          <w:tab w:val="left" w:pos="204"/>
        </w:tabs>
        <w:spacing w:line="360" w:lineRule="auto"/>
        <w:rPr>
          <w:sz w:val="26"/>
          <w:szCs w:val="26"/>
        </w:rPr>
      </w:pPr>
    </w:p>
    <w:p w:rsidR="005C63D6" w:rsidRDefault="005C63D6">
      <w:pPr>
        <w:keepNext/>
        <w:keepLines/>
        <w:tabs>
          <w:tab w:val="left" w:pos="204"/>
        </w:tabs>
        <w:spacing w:line="360" w:lineRule="auto"/>
        <w:rPr>
          <w:sz w:val="26"/>
          <w:szCs w:val="26"/>
        </w:rPr>
      </w:pPr>
    </w:p>
    <w:p w:rsidR="00F05DFC" w:rsidRDefault="00C2455C">
      <w:pPr>
        <w:keepNext/>
        <w:keepLines/>
        <w:tabs>
          <w:tab w:val="left" w:pos="204"/>
        </w:tabs>
        <w:spacing w:line="360" w:lineRule="auto"/>
        <w:rPr>
          <w:b/>
          <w:sz w:val="26"/>
          <w:szCs w:val="26"/>
        </w:rPr>
      </w:pPr>
      <w:r w:rsidRPr="007620D2">
        <w:rPr>
          <w:b/>
          <w:sz w:val="26"/>
          <w:szCs w:val="26"/>
        </w:rPr>
        <w:t>THEREFORE,</w:t>
      </w:r>
    </w:p>
    <w:p w:rsidR="00D76D23" w:rsidRDefault="00D76D23" w:rsidP="00D76D23">
      <w:pPr>
        <w:tabs>
          <w:tab w:val="left" w:pos="204"/>
        </w:tabs>
        <w:spacing w:line="360" w:lineRule="auto"/>
        <w:rPr>
          <w:b/>
          <w:sz w:val="26"/>
          <w:szCs w:val="26"/>
        </w:rPr>
      </w:pPr>
    </w:p>
    <w:p w:rsidR="002F793F" w:rsidRDefault="00D76D23" w:rsidP="00522A1D">
      <w:pPr>
        <w:keepNext/>
        <w:keepLines/>
        <w:tabs>
          <w:tab w:val="left" w:pos="0"/>
        </w:tabs>
        <w:spacing w:line="360" w:lineRule="auto"/>
        <w:rPr>
          <w:b/>
          <w:sz w:val="26"/>
        </w:rPr>
      </w:pPr>
      <w:r>
        <w:rPr>
          <w:b/>
          <w:sz w:val="26"/>
        </w:rPr>
        <w:tab/>
      </w:r>
      <w:r w:rsidR="009F59C8" w:rsidRPr="007620D2">
        <w:rPr>
          <w:b/>
          <w:sz w:val="26"/>
        </w:rPr>
        <w:t xml:space="preserve">IT IS ORDERED:  </w:t>
      </w:r>
    </w:p>
    <w:p w:rsidR="009666AA" w:rsidRPr="0035798D" w:rsidRDefault="009666AA" w:rsidP="00522A1D">
      <w:pPr>
        <w:keepNext/>
        <w:keepLines/>
        <w:tabs>
          <w:tab w:val="left" w:pos="0"/>
        </w:tabs>
        <w:spacing w:line="360" w:lineRule="auto"/>
        <w:rPr>
          <w:sz w:val="26"/>
        </w:rPr>
      </w:pPr>
    </w:p>
    <w:p w:rsidR="009666AA" w:rsidRPr="0035798D" w:rsidRDefault="00CB26AE" w:rsidP="00511D0F">
      <w:pPr>
        <w:keepNext/>
        <w:keepLines/>
        <w:spacing w:line="360" w:lineRule="auto"/>
        <w:ind w:left="360" w:hanging="360"/>
        <w:rPr>
          <w:sz w:val="26"/>
          <w:szCs w:val="26"/>
        </w:rPr>
      </w:pPr>
      <w:r>
        <w:rPr>
          <w:sz w:val="26"/>
        </w:rPr>
        <w:t>1.  That this</w:t>
      </w:r>
      <w:r w:rsidR="0037739B" w:rsidRPr="0037739B">
        <w:rPr>
          <w:sz w:val="26"/>
        </w:rPr>
        <w:t xml:space="preserve"> Tentative Order </w:t>
      </w:r>
      <w:r>
        <w:rPr>
          <w:sz w:val="26"/>
        </w:rPr>
        <w:t>be</w:t>
      </w:r>
      <w:r w:rsidR="0037739B" w:rsidRPr="0037739B">
        <w:rPr>
          <w:sz w:val="26"/>
        </w:rPr>
        <w:t xml:space="preserve"> issued for</w:t>
      </w:r>
      <w:r>
        <w:rPr>
          <w:sz w:val="26"/>
        </w:rPr>
        <w:t xml:space="preserve"> public</w:t>
      </w:r>
      <w:r w:rsidR="0037739B" w:rsidRPr="0037739B">
        <w:rPr>
          <w:sz w:val="26"/>
        </w:rPr>
        <w:t xml:space="preserve"> comment.</w:t>
      </w:r>
    </w:p>
    <w:p w:rsidR="00320525" w:rsidRDefault="00320525" w:rsidP="00511D0F">
      <w:pPr>
        <w:spacing w:line="360" w:lineRule="auto"/>
        <w:ind w:left="360" w:hanging="360"/>
        <w:rPr>
          <w:sz w:val="26"/>
          <w:szCs w:val="26"/>
        </w:rPr>
      </w:pPr>
    </w:p>
    <w:p w:rsidR="00320525" w:rsidRPr="00F03CBD" w:rsidRDefault="00320525" w:rsidP="00511D0F">
      <w:pPr>
        <w:spacing w:line="360" w:lineRule="auto"/>
        <w:ind w:left="360" w:hanging="360"/>
        <w:rPr>
          <w:sz w:val="26"/>
          <w:szCs w:val="26"/>
        </w:rPr>
      </w:pPr>
      <w:r>
        <w:rPr>
          <w:sz w:val="26"/>
        </w:rPr>
        <w:t xml:space="preserve">2.  </w:t>
      </w:r>
      <w:r w:rsidRPr="00F03CBD">
        <w:rPr>
          <w:sz w:val="26"/>
          <w:szCs w:val="26"/>
        </w:rPr>
        <w:t xml:space="preserve">That </w:t>
      </w:r>
      <w:r w:rsidRPr="00522FC0">
        <w:rPr>
          <w:sz w:val="26"/>
          <w:szCs w:val="26"/>
        </w:rPr>
        <w:t xml:space="preserve">interested parties shall have </w:t>
      </w:r>
      <w:r w:rsidR="00511D0F">
        <w:rPr>
          <w:sz w:val="26"/>
          <w:szCs w:val="26"/>
        </w:rPr>
        <w:t>20</w:t>
      </w:r>
      <w:r w:rsidRPr="00522FC0">
        <w:rPr>
          <w:sz w:val="26"/>
          <w:szCs w:val="26"/>
        </w:rPr>
        <w:t xml:space="preserve"> days from the </w:t>
      </w:r>
      <w:r>
        <w:rPr>
          <w:sz w:val="26"/>
          <w:szCs w:val="26"/>
        </w:rPr>
        <w:t xml:space="preserve">date of entry of this Tentative Order to submit </w:t>
      </w:r>
      <w:r w:rsidRPr="00522FC0">
        <w:rPr>
          <w:sz w:val="26"/>
          <w:szCs w:val="26"/>
        </w:rPr>
        <w:t>written comments</w:t>
      </w:r>
      <w:r>
        <w:rPr>
          <w:sz w:val="26"/>
          <w:szCs w:val="26"/>
        </w:rPr>
        <w:t xml:space="preserve"> with</w:t>
      </w:r>
      <w:r w:rsidRPr="00522FC0">
        <w:rPr>
          <w:sz w:val="26"/>
          <w:szCs w:val="26"/>
        </w:rPr>
        <w:t xml:space="preserve"> the Pennsylvania Public Utility Commission</w:t>
      </w:r>
      <w:r>
        <w:rPr>
          <w:sz w:val="26"/>
          <w:szCs w:val="26"/>
        </w:rPr>
        <w:t>.</w:t>
      </w:r>
    </w:p>
    <w:p w:rsidR="00320525" w:rsidRDefault="00320525" w:rsidP="00511D0F">
      <w:pPr>
        <w:spacing w:line="360" w:lineRule="auto"/>
        <w:ind w:left="360" w:hanging="360"/>
        <w:rPr>
          <w:sz w:val="26"/>
        </w:rPr>
      </w:pPr>
    </w:p>
    <w:p w:rsidR="00854598" w:rsidRDefault="00320525" w:rsidP="00511D0F">
      <w:pPr>
        <w:spacing w:line="360" w:lineRule="auto"/>
        <w:ind w:left="360" w:hanging="360"/>
        <w:rPr>
          <w:sz w:val="26"/>
        </w:rPr>
      </w:pPr>
      <w:r>
        <w:rPr>
          <w:sz w:val="26"/>
        </w:rPr>
        <w:t xml:space="preserve">3.  </w:t>
      </w:r>
      <w:r w:rsidR="00C00A9E">
        <w:rPr>
          <w:sz w:val="26"/>
        </w:rPr>
        <w:t>That this Tentative Order shall be served on all licensed Electric Generation Suppliers</w:t>
      </w:r>
      <w:r w:rsidR="00511D0F">
        <w:rPr>
          <w:sz w:val="26"/>
        </w:rPr>
        <w:t xml:space="preserve"> and Natural Gas Suppliers</w:t>
      </w:r>
      <w:r w:rsidR="00C00A9E">
        <w:rPr>
          <w:sz w:val="26"/>
        </w:rPr>
        <w:t xml:space="preserve">, </w:t>
      </w:r>
      <w:r w:rsidR="0035798D">
        <w:rPr>
          <w:sz w:val="26"/>
        </w:rPr>
        <w:t xml:space="preserve">the </w:t>
      </w:r>
      <w:r w:rsidR="00AF3EF2">
        <w:rPr>
          <w:sz w:val="26"/>
        </w:rPr>
        <w:t>Bureau of Investigation and Enforcement</w:t>
      </w:r>
      <w:r w:rsidR="0035798D">
        <w:rPr>
          <w:sz w:val="26"/>
        </w:rPr>
        <w:t xml:space="preserve">, </w:t>
      </w:r>
      <w:r w:rsidR="00854598">
        <w:rPr>
          <w:sz w:val="26"/>
        </w:rPr>
        <w:t>the Office of Consumer Advocate</w:t>
      </w:r>
      <w:r w:rsidR="0035798D">
        <w:rPr>
          <w:sz w:val="26"/>
        </w:rPr>
        <w:t>,</w:t>
      </w:r>
      <w:r w:rsidR="002A4E62">
        <w:rPr>
          <w:sz w:val="26"/>
        </w:rPr>
        <w:t xml:space="preserve"> t</w:t>
      </w:r>
      <w:r w:rsidR="00C00A9E">
        <w:rPr>
          <w:sz w:val="26"/>
        </w:rPr>
        <w:t>he Office of Small Business Advocate</w:t>
      </w:r>
      <w:r w:rsidR="00157147">
        <w:rPr>
          <w:sz w:val="26"/>
        </w:rPr>
        <w:t xml:space="preserve">, </w:t>
      </w:r>
      <w:r w:rsidR="002A4E62">
        <w:rPr>
          <w:sz w:val="26"/>
        </w:rPr>
        <w:t>the Energy Association of Pennsylvania</w:t>
      </w:r>
      <w:r w:rsidR="00535B76">
        <w:rPr>
          <w:sz w:val="26"/>
        </w:rPr>
        <w:t xml:space="preserve">, and all parties that filed comments at Docket No. </w:t>
      </w:r>
      <w:proofErr w:type="gramStart"/>
      <w:r w:rsidR="00535B76" w:rsidRPr="007B6A61">
        <w:rPr>
          <w:sz w:val="26"/>
          <w:szCs w:val="26"/>
        </w:rPr>
        <w:t>L-2014-2409385</w:t>
      </w:r>
      <w:r w:rsidR="00511D0F">
        <w:rPr>
          <w:sz w:val="26"/>
        </w:rPr>
        <w:t>.</w:t>
      </w:r>
      <w:proofErr w:type="gramEnd"/>
      <w:r w:rsidR="00511D0F">
        <w:rPr>
          <w:sz w:val="26"/>
        </w:rPr>
        <w:t xml:space="preserve">  </w:t>
      </w:r>
      <w:r w:rsidR="00157147">
        <w:rPr>
          <w:sz w:val="26"/>
        </w:rPr>
        <w:t xml:space="preserve"> </w:t>
      </w:r>
    </w:p>
    <w:p w:rsidR="00854598" w:rsidRDefault="00854598" w:rsidP="00511D0F">
      <w:pPr>
        <w:spacing w:line="360" w:lineRule="auto"/>
        <w:ind w:firstLine="1440"/>
        <w:rPr>
          <w:sz w:val="26"/>
        </w:rPr>
      </w:pPr>
    </w:p>
    <w:p w:rsidR="00C00A9E" w:rsidRDefault="00020C93" w:rsidP="00511D0F">
      <w:pPr>
        <w:spacing w:line="360" w:lineRule="auto"/>
        <w:ind w:left="360" w:hanging="360"/>
        <w:rPr>
          <w:sz w:val="26"/>
        </w:rPr>
      </w:pPr>
      <w:r>
        <w:rPr>
          <w:sz w:val="26"/>
        </w:rPr>
        <w:t>4</w:t>
      </w:r>
      <w:r w:rsidR="00854598" w:rsidRPr="006724E4">
        <w:rPr>
          <w:sz w:val="26"/>
        </w:rPr>
        <w:t xml:space="preserve">.  That the Office of Competitive Market Oversight </w:t>
      </w:r>
      <w:r w:rsidR="006724E4" w:rsidRPr="006724E4">
        <w:rPr>
          <w:sz w:val="26"/>
        </w:rPr>
        <w:t xml:space="preserve">shall electronically </w:t>
      </w:r>
      <w:r w:rsidR="002A4E62">
        <w:rPr>
          <w:sz w:val="26"/>
        </w:rPr>
        <w:t>serve</w:t>
      </w:r>
      <w:r w:rsidR="006724E4" w:rsidRPr="006724E4">
        <w:rPr>
          <w:sz w:val="26"/>
        </w:rPr>
        <w:t xml:space="preserve"> a copy of this Tentative Order on </w:t>
      </w:r>
      <w:r w:rsidR="00C00A9E" w:rsidRPr="006724E4">
        <w:rPr>
          <w:sz w:val="26"/>
        </w:rPr>
        <w:t>all persons on the contact list for the Committee Handling Activities for Retail Growth in Electricity.</w:t>
      </w:r>
    </w:p>
    <w:p w:rsidR="002A4E62" w:rsidRDefault="002A4E62" w:rsidP="00511D0F">
      <w:pPr>
        <w:spacing w:line="360" w:lineRule="auto"/>
        <w:ind w:firstLine="1440"/>
        <w:rPr>
          <w:sz w:val="26"/>
        </w:rPr>
      </w:pPr>
    </w:p>
    <w:p w:rsidR="002A4E62" w:rsidRDefault="00020C93" w:rsidP="00511D0F">
      <w:pPr>
        <w:spacing w:line="360" w:lineRule="auto"/>
        <w:ind w:left="360" w:hanging="360"/>
        <w:rPr>
          <w:sz w:val="26"/>
        </w:rPr>
      </w:pPr>
      <w:r>
        <w:rPr>
          <w:sz w:val="26"/>
        </w:rPr>
        <w:t>5</w:t>
      </w:r>
      <w:r w:rsidR="002A4E62">
        <w:rPr>
          <w:sz w:val="26"/>
        </w:rPr>
        <w:t xml:space="preserve">.  That </w:t>
      </w:r>
      <w:r w:rsidR="009B19E6">
        <w:rPr>
          <w:sz w:val="26"/>
        </w:rPr>
        <w:t>a copy of this Tentative Order shall be posted on the Commission’s website</w:t>
      </w:r>
      <w:r w:rsidR="00680965" w:rsidRPr="00680965">
        <w:rPr>
          <w:sz w:val="26"/>
        </w:rPr>
        <w:t xml:space="preserve"> </w:t>
      </w:r>
      <w:r w:rsidR="00680965">
        <w:rPr>
          <w:sz w:val="26"/>
        </w:rPr>
        <w:t>at the Office of Competitive Market Oversight’s web page</w:t>
      </w:r>
      <w:r w:rsidR="009B19E6">
        <w:rPr>
          <w:sz w:val="26"/>
        </w:rPr>
        <w:t>.</w:t>
      </w:r>
    </w:p>
    <w:p w:rsidR="009B19E6" w:rsidRDefault="005C63D6" w:rsidP="00511D0F">
      <w:pPr>
        <w:spacing w:line="360" w:lineRule="auto"/>
        <w:ind w:firstLine="1440"/>
        <w:rPr>
          <w:sz w:val="26"/>
        </w:rPr>
      </w:pPr>
      <w:r>
        <w:rPr>
          <w:sz w:val="26"/>
        </w:rPr>
        <w:br/>
      </w:r>
      <w:r>
        <w:rPr>
          <w:sz w:val="26"/>
        </w:rPr>
        <w:br/>
      </w:r>
      <w:r>
        <w:rPr>
          <w:sz w:val="26"/>
        </w:rPr>
        <w:br/>
      </w:r>
      <w:r>
        <w:rPr>
          <w:sz w:val="26"/>
        </w:rPr>
        <w:br/>
      </w:r>
    </w:p>
    <w:p w:rsidR="009B19E6" w:rsidRDefault="00020C93" w:rsidP="00D1756F">
      <w:pPr>
        <w:spacing w:line="360" w:lineRule="auto"/>
        <w:ind w:left="360" w:hanging="360"/>
        <w:rPr>
          <w:sz w:val="26"/>
        </w:rPr>
      </w:pPr>
      <w:r>
        <w:rPr>
          <w:sz w:val="26"/>
        </w:rPr>
        <w:lastRenderedPageBreak/>
        <w:t>6</w:t>
      </w:r>
      <w:r w:rsidR="009B19E6">
        <w:rPr>
          <w:sz w:val="26"/>
        </w:rPr>
        <w:t xml:space="preserve">.  That the </w:t>
      </w:r>
      <w:r w:rsidR="009B19E6" w:rsidRPr="00535B76">
        <w:rPr>
          <w:sz w:val="26"/>
          <w:szCs w:val="26"/>
        </w:rPr>
        <w:t xml:space="preserve">contact persons for this matter are </w:t>
      </w:r>
      <w:r w:rsidR="00511D0F" w:rsidRPr="00535B76">
        <w:rPr>
          <w:sz w:val="26"/>
          <w:szCs w:val="26"/>
        </w:rPr>
        <w:t>Dan Mumford</w:t>
      </w:r>
      <w:r w:rsidR="00AF3EF2" w:rsidRPr="0055110A">
        <w:rPr>
          <w:sz w:val="26"/>
          <w:szCs w:val="26"/>
        </w:rPr>
        <w:t xml:space="preserve">, </w:t>
      </w:r>
      <w:r w:rsidR="00511D0F" w:rsidRPr="0055110A">
        <w:rPr>
          <w:sz w:val="26"/>
          <w:szCs w:val="26"/>
        </w:rPr>
        <w:t>Deputy Director, Office of Competitive Market Oversight</w:t>
      </w:r>
      <w:r w:rsidR="00AF3EF2" w:rsidRPr="0055110A">
        <w:rPr>
          <w:sz w:val="26"/>
          <w:szCs w:val="26"/>
        </w:rPr>
        <w:t>, 717-</w:t>
      </w:r>
      <w:r w:rsidR="00511D0F" w:rsidRPr="00EB675A">
        <w:rPr>
          <w:sz w:val="26"/>
          <w:szCs w:val="26"/>
        </w:rPr>
        <w:t>783</w:t>
      </w:r>
      <w:r w:rsidR="00AF3EF2" w:rsidRPr="00EB675A">
        <w:rPr>
          <w:sz w:val="26"/>
          <w:szCs w:val="26"/>
        </w:rPr>
        <w:t>-</w:t>
      </w:r>
      <w:r w:rsidR="00511D0F" w:rsidRPr="00EB675A">
        <w:rPr>
          <w:sz w:val="26"/>
          <w:szCs w:val="26"/>
        </w:rPr>
        <w:t>1957</w:t>
      </w:r>
      <w:r w:rsidR="00AF3EF2" w:rsidRPr="00EB675A">
        <w:rPr>
          <w:sz w:val="26"/>
          <w:szCs w:val="26"/>
        </w:rPr>
        <w:t xml:space="preserve"> or</w:t>
      </w:r>
      <w:r w:rsidR="00D1756F">
        <w:rPr>
          <w:sz w:val="26"/>
          <w:szCs w:val="26"/>
        </w:rPr>
        <w:t xml:space="preserve"> </w:t>
      </w:r>
      <w:r w:rsidR="00D1756F" w:rsidRPr="00D1756F">
        <w:rPr>
          <w:sz w:val="26"/>
          <w:szCs w:val="26"/>
          <w:u w:val="single"/>
        </w:rPr>
        <w:t>dmumford@pa.gov</w:t>
      </w:r>
      <w:r w:rsidR="00B92D2C" w:rsidRPr="00535B76">
        <w:rPr>
          <w:sz w:val="26"/>
          <w:szCs w:val="26"/>
        </w:rPr>
        <w:t xml:space="preserve"> </w:t>
      </w:r>
      <w:r w:rsidR="00AF3EF2" w:rsidRPr="00535B76">
        <w:rPr>
          <w:sz w:val="26"/>
          <w:szCs w:val="26"/>
        </w:rPr>
        <w:t xml:space="preserve"> or </w:t>
      </w:r>
      <w:r w:rsidR="000823C9" w:rsidRPr="0055110A">
        <w:rPr>
          <w:sz w:val="26"/>
          <w:szCs w:val="26"/>
        </w:rPr>
        <w:t xml:space="preserve">H. Kirk House, </w:t>
      </w:r>
      <w:r w:rsidR="00511D0F" w:rsidRPr="0055110A">
        <w:rPr>
          <w:sz w:val="26"/>
          <w:szCs w:val="26"/>
        </w:rPr>
        <w:t xml:space="preserve">Director, </w:t>
      </w:r>
      <w:r w:rsidR="000823C9" w:rsidRPr="0055110A">
        <w:rPr>
          <w:sz w:val="26"/>
          <w:szCs w:val="26"/>
        </w:rPr>
        <w:t>Office of Competitive Market Oversight, 717-772-8495 or</w:t>
      </w:r>
      <w:r w:rsidR="00D1756F">
        <w:rPr>
          <w:sz w:val="26"/>
          <w:szCs w:val="26"/>
        </w:rPr>
        <w:t xml:space="preserve"> </w:t>
      </w:r>
      <w:r w:rsidR="00D1756F" w:rsidRPr="00D1756F">
        <w:rPr>
          <w:sz w:val="26"/>
          <w:szCs w:val="26"/>
          <w:u w:val="single"/>
        </w:rPr>
        <w:t>HHOUSE@pa.gov</w:t>
      </w:r>
      <w:r w:rsidR="009B19E6" w:rsidRPr="00535B76">
        <w:rPr>
          <w:sz w:val="26"/>
          <w:szCs w:val="26"/>
        </w:rPr>
        <w:t>.</w:t>
      </w:r>
    </w:p>
    <w:p w:rsidR="00AF3EF2" w:rsidRDefault="00AF3EF2" w:rsidP="004C0C8E">
      <w:pPr>
        <w:keepNext/>
        <w:keepLines/>
        <w:spacing w:line="360" w:lineRule="auto"/>
        <w:rPr>
          <w:b/>
          <w:sz w:val="26"/>
        </w:rPr>
      </w:pPr>
    </w:p>
    <w:p w:rsidR="0097630D" w:rsidRPr="007620D2" w:rsidRDefault="0023352A" w:rsidP="004C0C8E">
      <w:pPr>
        <w:keepNext/>
        <w:keepLines/>
        <w:spacing w:line="360" w:lineRule="auto"/>
        <w:rPr>
          <w:b/>
          <w:sz w:val="26"/>
          <w:szCs w:val="26"/>
        </w:rPr>
      </w:pPr>
      <w:bookmarkStart w:id="0" w:name="_GoBack"/>
      <w:r>
        <w:rPr>
          <w:noProof/>
        </w:rPr>
        <w:drawing>
          <wp:anchor distT="0" distB="0" distL="114300" distR="114300" simplePos="0" relativeHeight="251659264" behindDoc="1" locked="0" layoutInCell="1" allowOverlap="1" wp14:anchorId="1BE26D96" wp14:editId="5892CB03">
            <wp:simplePos x="0" y="0"/>
            <wp:positionH relativeFrom="column">
              <wp:posOffset>3561080</wp:posOffset>
            </wp:positionH>
            <wp:positionV relativeFrom="paragraph">
              <wp:posOffset>156210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7630D" w:rsidRPr="007620D2">
        <w:rPr>
          <w:b/>
          <w:sz w:val="26"/>
        </w:rPr>
        <w:tab/>
      </w:r>
      <w:r w:rsidR="0097630D" w:rsidRPr="007620D2">
        <w:rPr>
          <w:b/>
          <w:sz w:val="26"/>
        </w:rPr>
        <w:tab/>
      </w:r>
      <w:r w:rsidR="0097630D" w:rsidRPr="007620D2">
        <w:rPr>
          <w:b/>
          <w:sz w:val="26"/>
        </w:rPr>
        <w:tab/>
      </w:r>
      <w:r w:rsidR="0097630D" w:rsidRPr="007620D2">
        <w:rPr>
          <w:b/>
          <w:sz w:val="26"/>
          <w:szCs w:val="26"/>
        </w:rPr>
        <w:t>BY THE COMMISSION,</w:t>
      </w:r>
    </w:p>
    <w:p w:rsidR="0097630D" w:rsidRPr="007620D2" w:rsidRDefault="0097630D" w:rsidP="004C0C8E">
      <w:pPr>
        <w:keepNext/>
        <w:keepLines/>
        <w:rPr>
          <w:sz w:val="26"/>
          <w:szCs w:val="26"/>
        </w:rPr>
      </w:pPr>
    </w:p>
    <w:p w:rsidR="0097630D" w:rsidRDefault="0097630D" w:rsidP="004C0C8E">
      <w:pPr>
        <w:keepNext/>
        <w:keepLines/>
        <w:rPr>
          <w:sz w:val="26"/>
          <w:szCs w:val="26"/>
        </w:rPr>
      </w:pPr>
    </w:p>
    <w:p w:rsidR="000823C9" w:rsidRPr="007620D2" w:rsidRDefault="000823C9" w:rsidP="004C0C8E">
      <w:pPr>
        <w:keepNext/>
        <w:keepLines/>
        <w:rPr>
          <w:sz w:val="26"/>
          <w:szCs w:val="26"/>
        </w:rPr>
      </w:pP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00E1098C" w:rsidRPr="007620D2">
        <w:rPr>
          <w:sz w:val="26"/>
          <w:szCs w:val="26"/>
        </w:rPr>
        <w:t>Rosemary Chiavetta</w:t>
      </w: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97630D" w:rsidRPr="007620D2" w:rsidRDefault="0097630D" w:rsidP="004C0C8E">
      <w:pPr>
        <w:keepNext/>
        <w:keepLines/>
        <w:rPr>
          <w:sz w:val="26"/>
          <w:szCs w:val="26"/>
        </w:rPr>
      </w:pPr>
    </w:p>
    <w:p w:rsidR="0097630D" w:rsidRDefault="0097630D" w:rsidP="004C0C8E">
      <w:pPr>
        <w:keepNext/>
        <w:keepLines/>
        <w:rPr>
          <w:sz w:val="26"/>
          <w:szCs w:val="26"/>
        </w:rPr>
      </w:pPr>
    </w:p>
    <w:p w:rsidR="00AF3EF2" w:rsidRPr="007620D2" w:rsidRDefault="00AF3EF2" w:rsidP="004C0C8E">
      <w:pPr>
        <w:keepNext/>
        <w:keepLines/>
        <w:rPr>
          <w:sz w:val="26"/>
          <w:szCs w:val="26"/>
        </w:rPr>
      </w:pPr>
    </w:p>
    <w:p w:rsidR="0097630D" w:rsidRPr="007620D2" w:rsidRDefault="0097630D" w:rsidP="004C0C8E">
      <w:pPr>
        <w:keepNext/>
        <w:keepLines/>
        <w:rPr>
          <w:sz w:val="26"/>
          <w:szCs w:val="26"/>
        </w:rPr>
      </w:pPr>
      <w:r w:rsidRPr="007620D2">
        <w:rPr>
          <w:sz w:val="26"/>
          <w:szCs w:val="26"/>
        </w:rPr>
        <w:t xml:space="preserve">ORDER ADOPTED:  </w:t>
      </w:r>
      <w:r w:rsidR="00511D0F">
        <w:rPr>
          <w:sz w:val="26"/>
          <w:szCs w:val="26"/>
        </w:rPr>
        <w:t>July</w:t>
      </w:r>
      <w:r w:rsidR="00CE1B69">
        <w:rPr>
          <w:sz w:val="26"/>
          <w:szCs w:val="26"/>
        </w:rPr>
        <w:t xml:space="preserve"> 9, 2014</w:t>
      </w:r>
    </w:p>
    <w:p w:rsidR="0097630D" w:rsidRPr="007620D2" w:rsidRDefault="0097630D" w:rsidP="004C0C8E">
      <w:pPr>
        <w:keepNext/>
        <w:keepLines/>
        <w:rPr>
          <w:sz w:val="26"/>
          <w:szCs w:val="26"/>
        </w:rPr>
      </w:pPr>
    </w:p>
    <w:p w:rsidR="00C2455C" w:rsidRPr="00202B39" w:rsidRDefault="0097630D" w:rsidP="004C0C8E">
      <w:pPr>
        <w:keepNext/>
        <w:keepLines/>
        <w:rPr>
          <w:b/>
          <w:sz w:val="26"/>
        </w:rPr>
      </w:pPr>
      <w:r w:rsidRPr="007620D2">
        <w:rPr>
          <w:sz w:val="26"/>
          <w:szCs w:val="26"/>
        </w:rPr>
        <w:t xml:space="preserve">ORDER ENTERED:  </w:t>
      </w:r>
      <w:r w:rsidR="00CE1B69">
        <w:rPr>
          <w:sz w:val="26"/>
          <w:szCs w:val="26"/>
        </w:rPr>
        <w:t>Ju</w:t>
      </w:r>
      <w:r w:rsidR="00511D0F">
        <w:rPr>
          <w:sz w:val="26"/>
          <w:szCs w:val="26"/>
        </w:rPr>
        <w:t>ly</w:t>
      </w:r>
      <w:r w:rsidR="00CE1B69">
        <w:rPr>
          <w:sz w:val="26"/>
          <w:szCs w:val="26"/>
        </w:rPr>
        <w:t xml:space="preserve"> </w:t>
      </w:r>
      <w:r w:rsidR="0023352A">
        <w:rPr>
          <w:sz w:val="26"/>
          <w:szCs w:val="26"/>
        </w:rPr>
        <w:t>9</w:t>
      </w:r>
      <w:r w:rsidR="00CE1B69">
        <w:rPr>
          <w:sz w:val="26"/>
          <w:szCs w:val="26"/>
        </w:rPr>
        <w:t>, 2014</w:t>
      </w:r>
    </w:p>
    <w:sectPr w:rsidR="00C2455C" w:rsidRPr="00202B39" w:rsidSect="009F59C8">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DB6" w:rsidRDefault="008D2DB6">
      <w:r>
        <w:separator/>
      </w:r>
    </w:p>
  </w:endnote>
  <w:endnote w:type="continuationSeparator" w:id="0">
    <w:p w:rsidR="008D2DB6" w:rsidRDefault="008D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BB" w:rsidRDefault="005965BB"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65BB" w:rsidRDefault="00596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BB" w:rsidRDefault="005965BB">
    <w:pPr>
      <w:pStyle w:val="Footer"/>
      <w:jc w:val="center"/>
    </w:pPr>
    <w:r>
      <w:fldChar w:fldCharType="begin"/>
    </w:r>
    <w:r>
      <w:instrText xml:space="preserve"> PAGE   \* MERGEFORMAT </w:instrText>
    </w:r>
    <w:r>
      <w:fldChar w:fldCharType="separate"/>
    </w:r>
    <w:r w:rsidR="0023352A">
      <w:rPr>
        <w:noProof/>
      </w:rPr>
      <w:t>9</w:t>
    </w:r>
    <w:r>
      <w:rPr>
        <w:noProof/>
      </w:rPr>
      <w:fldChar w:fldCharType="end"/>
    </w:r>
  </w:p>
  <w:p w:rsidR="005965BB" w:rsidRPr="006C38B6" w:rsidRDefault="005965B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DB6" w:rsidRDefault="008D2DB6">
      <w:r>
        <w:separator/>
      </w:r>
    </w:p>
  </w:footnote>
  <w:footnote w:type="continuationSeparator" w:id="0">
    <w:p w:rsidR="008D2DB6" w:rsidRDefault="008D2DB6">
      <w:r>
        <w:continuationSeparator/>
      </w:r>
    </w:p>
  </w:footnote>
  <w:footnote w:id="1">
    <w:p w:rsidR="005965BB" w:rsidRDefault="005965BB">
      <w:pPr>
        <w:pStyle w:val="FootnoteText"/>
      </w:pPr>
      <w:r>
        <w:rPr>
          <w:rStyle w:val="FootnoteReference"/>
        </w:rPr>
        <w:footnoteRef/>
      </w:r>
      <w:r>
        <w:t xml:space="preserve">  </w:t>
      </w:r>
      <w:r w:rsidRPr="00B05506">
        <w:rPr>
          <w:i/>
        </w:rPr>
        <w:t>See Final-Omitted Rulemaking Order Regarding the Provisions of Notices of Contract Expiration or Changes in Terms for Residential &amp; Small Business Customers</w:t>
      </w:r>
      <w:r>
        <w:rPr>
          <w:i/>
        </w:rPr>
        <w:t>,</w:t>
      </w:r>
      <w:r w:rsidRPr="00B05506">
        <w:t xml:space="preserve"> Docket No. L-2014-2409385</w:t>
      </w:r>
      <w:r>
        <w:t xml:space="preserve"> (entered April</w:t>
      </w:r>
      <w:r w:rsidRPr="00B05506">
        <w:t xml:space="preserve"> 3, 2014</w:t>
      </w:r>
      <w:r>
        <w:t>).</w:t>
      </w:r>
    </w:p>
  </w:footnote>
  <w:footnote w:id="2">
    <w:p w:rsidR="00D1756F" w:rsidRDefault="00D1756F">
      <w:pPr>
        <w:pStyle w:val="FootnoteText"/>
      </w:pPr>
      <w:r>
        <w:rPr>
          <w:rStyle w:val="FootnoteReference"/>
        </w:rPr>
        <w:footnoteRef/>
      </w:r>
      <w:r>
        <w:t xml:space="preserve"> </w:t>
      </w:r>
      <w:r w:rsidRPr="00D1756F">
        <w:rPr>
          <w:i/>
        </w:rPr>
        <w:t>See Rulemaking t</w:t>
      </w:r>
      <w:r w:rsidR="001F5A09">
        <w:rPr>
          <w:i/>
        </w:rPr>
        <w:t>o</w:t>
      </w:r>
      <w:r w:rsidRPr="00D1756F">
        <w:rPr>
          <w:i/>
        </w:rPr>
        <w:t xml:space="preserve"> Amend the Provisions of 52 Pa. Code, Chapter 57 Regulations Regarding Standards for Changing a Customer’s Electricity Generation Supplier</w:t>
      </w:r>
      <w:r>
        <w:t xml:space="preserve">, Docket L-2014-2409383 (entered April 3, 2014). </w:t>
      </w:r>
      <w:r>
        <w:br/>
      </w:r>
    </w:p>
  </w:footnote>
  <w:footnote w:id="3">
    <w:p w:rsidR="005965BB" w:rsidRPr="003B5DA4" w:rsidRDefault="005965BB" w:rsidP="003B5DA4">
      <w:pPr>
        <w:pStyle w:val="FootnoteText"/>
      </w:pPr>
      <w:r>
        <w:rPr>
          <w:rStyle w:val="FootnoteReference"/>
        </w:rPr>
        <w:footnoteRef/>
      </w:r>
      <w:r>
        <w:t xml:space="preserve"> </w:t>
      </w:r>
      <w:r w:rsidRPr="003B5DA4">
        <w:t xml:space="preserve">52 Pa. Code §62.75.(g)(1) requires two notices to be sent—one at 90 days and the second at 60 days.  </w:t>
      </w:r>
    </w:p>
    <w:p w:rsidR="005965BB" w:rsidRDefault="005965BB">
      <w:pPr>
        <w:pStyle w:val="FootnoteText"/>
      </w:pPr>
    </w:p>
  </w:footnote>
  <w:footnote w:id="4">
    <w:p w:rsidR="005965BB" w:rsidRPr="003B5DA4" w:rsidRDefault="005965BB" w:rsidP="003B5DA4">
      <w:pPr>
        <w:pStyle w:val="FootnoteText"/>
        <w:rPr>
          <w:color w:val="000000" w:themeColor="text1"/>
        </w:rPr>
      </w:pPr>
      <w:r>
        <w:rPr>
          <w:rStyle w:val="FootnoteReference"/>
        </w:rPr>
        <w:footnoteRef/>
      </w:r>
      <w:r>
        <w:t xml:space="preserve">  </w:t>
      </w:r>
      <w:r w:rsidRPr="003B5DA4">
        <w:rPr>
          <w:color w:val="000000" w:themeColor="text1"/>
        </w:rPr>
        <w:t xml:space="preserve">For example, electric consumers that fail to respond to their notices and are rolled-off onto a variable-price product are to receive 30-day notice of subsequent price changes.  The analogous gas regulations do not have this same requirement.  </w:t>
      </w:r>
    </w:p>
  </w:footnote>
  <w:footnote w:id="5">
    <w:p w:rsidR="005965BB" w:rsidRDefault="005965BB">
      <w:pPr>
        <w:pStyle w:val="FootnoteText"/>
      </w:pPr>
      <w:r>
        <w:rPr>
          <w:rStyle w:val="FootnoteReference"/>
        </w:rPr>
        <w:footnoteRef/>
      </w:r>
      <w:r>
        <w:t xml:space="preserve"> </w:t>
      </w:r>
      <w:r w:rsidRPr="005965BB">
        <w:rPr>
          <w:i/>
        </w:rPr>
        <w:t>See Investigation of Pennsylvania’s Retail Natural Gas Supply Market</w:t>
      </w:r>
      <w:r>
        <w:t>, Docket I-2013-2381742, (Order entered September 12,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BB" w:rsidRDefault="005965BB">
    <w:pPr>
      <w:pStyle w:val="Header"/>
      <w:jc w:val="right"/>
      <w:rPr>
        <w:rFonts w:ascii="Arial" w:hAnsi="Arial" w:cs="Arial"/>
      </w:rPr>
    </w:pPr>
    <w:r>
      <w:tab/>
    </w:r>
    <w:r>
      <w:tab/>
    </w:r>
  </w:p>
  <w:p w:rsidR="005965BB" w:rsidRDefault="005965BB">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7C34622"/>
    <w:multiLevelType w:val="multilevel"/>
    <w:tmpl w:val="B20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18"/>
  </w:num>
  <w:num w:numId="4">
    <w:abstractNumId w:val="24"/>
  </w:num>
  <w:num w:numId="5">
    <w:abstractNumId w:val="20"/>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5"/>
  </w:num>
  <w:num w:numId="19">
    <w:abstractNumId w:val="21"/>
  </w:num>
  <w:num w:numId="20">
    <w:abstractNumId w:val="13"/>
  </w:num>
  <w:num w:numId="21">
    <w:abstractNumId w:val="16"/>
  </w:num>
  <w:num w:numId="22">
    <w:abstractNumId w:val="22"/>
  </w:num>
  <w:num w:numId="23">
    <w:abstractNumId w:val="17"/>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A6"/>
    <w:rsid w:val="0000005D"/>
    <w:rsid w:val="0000017F"/>
    <w:rsid w:val="00000502"/>
    <w:rsid w:val="00000737"/>
    <w:rsid w:val="0000087F"/>
    <w:rsid w:val="00000896"/>
    <w:rsid w:val="00000ABB"/>
    <w:rsid w:val="00000EED"/>
    <w:rsid w:val="000026BD"/>
    <w:rsid w:val="000027B4"/>
    <w:rsid w:val="00003933"/>
    <w:rsid w:val="00003F31"/>
    <w:rsid w:val="00004478"/>
    <w:rsid w:val="0000526C"/>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C93"/>
    <w:rsid w:val="00020D14"/>
    <w:rsid w:val="000211AF"/>
    <w:rsid w:val="00021239"/>
    <w:rsid w:val="00021575"/>
    <w:rsid w:val="0002177B"/>
    <w:rsid w:val="000219EC"/>
    <w:rsid w:val="00021CBA"/>
    <w:rsid w:val="00021D94"/>
    <w:rsid w:val="00021EC8"/>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04D"/>
    <w:rsid w:val="000331E5"/>
    <w:rsid w:val="00033249"/>
    <w:rsid w:val="00033402"/>
    <w:rsid w:val="00033706"/>
    <w:rsid w:val="00033DC2"/>
    <w:rsid w:val="00033DE5"/>
    <w:rsid w:val="00033EB1"/>
    <w:rsid w:val="0003403A"/>
    <w:rsid w:val="000345FE"/>
    <w:rsid w:val="00034EE0"/>
    <w:rsid w:val="0003540D"/>
    <w:rsid w:val="0003542A"/>
    <w:rsid w:val="000359BE"/>
    <w:rsid w:val="00035D9E"/>
    <w:rsid w:val="00035FEC"/>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1C72"/>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3C9"/>
    <w:rsid w:val="000824B9"/>
    <w:rsid w:val="00082BCE"/>
    <w:rsid w:val="000830C3"/>
    <w:rsid w:val="00083464"/>
    <w:rsid w:val="000843BD"/>
    <w:rsid w:val="00084780"/>
    <w:rsid w:val="00084E89"/>
    <w:rsid w:val="000851A8"/>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189"/>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42C"/>
    <w:rsid w:val="000E55B5"/>
    <w:rsid w:val="000E55DF"/>
    <w:rsid w:val="000E5938"/>
    <w:rsid w:val="000E5A74"/>
    <w:rsid w:val="000E5F57"/>
    <w:rsid w:val="000E61A4"/>
    <w:rsid w:val="000E692F"/>
    <w:rsid w:val="000E7E56"/>
    <w:rsid w:val="000F053F"/>
    <w:rsid w:val="000F0C2A"/>
    <w:rsid w:val="000F170A"/>
    <w:rsid w:val="000F2322"/>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5DC3"/>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626"/>
    <w:rsid w:val="001207D7"/>
    <w:rsid w:val="001207ED"/>
    <w:rsid w:val="001209FB"/>
    <w:rsid w:val="00120DEF"/>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B79"/>
    <w:rsid w:val="00131F87"/>
    <w:rsid w:val="0013225B"/>
    <w:rsid w:val="001323D5"/>
    <w:rsid w:val="001324AE"/>
    <w:rsid w:val="00132957"/>
    <w:rsid w:val="00132FF0"/>
    <w:rsid w:val="001335E2"/>
    <w:rsid w:val="00133724"/>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796B"/>
    <w:rsid w:val="001500FE"/>
    <w:rsid w:val="00150616"/>
    <w:rsid w:val="001511F2"/>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15BB"/>
    <w:rsid w:val="001615ED"/>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281F"/>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08E"/>
    <w:rsid w:val="001B5352"/>
    <w:rsid w:val="001B5EE4"/>
    <w:rsid w:val="001B62FD"/>
    <w:rsid w:val="001B6719"/>
    <w:rsid w:val="001B678F"/>
    <w:rsid w:val="001B6C99"/>
    <w:rsid w:val="001B713A"/>
    <w:rsid w:val="001B7191"/>
    <w:rsid w:val="001C076F"/>
    <w:rsid w:val="001C1489"/>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6A4"/>
    <w:rsid w:val="001D2A56"/>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020"/>
    <w:rsid w:val="001F317D"/>
    <w:rsid w:val="001F31AD"/>
    <w:rsid w:val="001F367F"/>
    <w:rsid w:val="001F38F7"/>
    <w:rsid w:val="001F44D6"/>
    <w:rsid w:val="001F46BD"/>
    <w:rsid w:val="001F48C1"/>
    <w:rsid w:val="001F5010"/>
    <w:rsid w:val="001F57FE"/>
    <w:rsid w:val="001F5A09"/>
    <w:rsid w:val="001F5AF6"/>
    <w:rsid w:val="001F600F"/>
    <w:rsid w:val="001F60A9"/>
    <w:rsid w:val="001F697E"/>
    <w:rsid w:val="001F6D8E"/>
    <w:rsid w:val="001F6DFF"/>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48F"/>
    <w:rsid w:val="002036A4"/>
    <w:rsid w:val="00204099"/>
    <w:rsid w:val="0020453C"/>
    <w:rsid w:val="0020478B"/>
    <w:rsid w:val="00204A36"/>
    <w:rsid w:val="00204D33"/>
    <w:rsid w:val="002051B2"/>
    <w:rsid w:val="00205EE0"/>
    <w:rsid w:val="002063A2"/>
    <w:rsid w:val="00207027"/>
    <w:rsid w:val="00207090"/>
    <w:rsid w:val="002075F4"/>
    <w:rsid w:val="002075F8"/>
    <w:rsid w:val="002102FD"/>
    <w:rsid w:val="00210361"/>
    <w:rsid w:val="00210A1F"/>
    <w:rsid w:val="00210B41"/>
    <w:rsid w:val="00210FA6"/>
    <w:rsid w:val="00211231"/>
    <w:rsid w:val="0021159F"/>
    <w:rsid w:val="002115D7"/>
    <w:rsid w:val="002118A8"/>
    <w:rsid w:val="00211B93"/>
    <w:rsid w:val="00211EEB"/>
    <w:rsid w:val="00211F52"/>
    <w:rsid w:val="00212076"/>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352A"/>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675E"/>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9FE"/>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AA5"/>
    <w:rsid w:val="00286C52"/>
    <w:rsid w:val="002870C4"/>
    <w:rsid w:val="0028758F"/>
    <w:rsid w:val="00287715"/>
    <w:rsid w:val="00287B19"/>
    <w:rsid w:val="00287BEF"/>
    <w:rsid w:val="00290043"/>
    <w:rsid w:val="00290104"/>
    <w:rsid w:val="00290212"/>
    <w:rsid w:val="00290786"/>
    <w:rsid w:val="00290DB5"/>
    <w:rsid w:val="00291556"/>
    <w:rsid w:val="00291929"/>
    <w:rsid w:val="00291C05"/>
    <w:rsid w:val="00291FA6"/>
    <w:rsid w:val="00292912"/>
    <w:rsid w:val="00292950"/>
    <w:rsid w:val="002929A9"/>
    <w:rsid w:val="00292B33"/>
    <w:rsid w:val="00292C0B"/>
    <w:rsid w:val="00292EA4"/>
    <w:rsid w:val="00293D4C"/>
    <w:rsid w:val="00294AF9"/>
    <w:rsid w:val="00294B6D"/>
    <w:rsid w:val="0029580E"/>
    <w:rsid w:val="002958A4"/>
    <w:rsid w:val="0029620A"/>
    <w:rsid w:val="00296C8C"/>
    <w:rsid w:val="002970D3"/>
    <w:rsid w:val="002972B4"/>
    <w:rsid w:val="002977E2"/>
    <w:rsid w:val="0029794F"/>
    <w:rsid w:val="00297EA4"/>
    <w:rsid w:val="002A02DD"/>
    <w:rsid w:val="002A047C"/>
    <w:rsid w:val="002A0483"/>
    <w:rsid w:val="002A09BF"/>
    <w:rsid w:val="002A0C51"/>
    <w:rsid w:val="002A1B86"/>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0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195"/>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FF1"/>
    <w:rsid w:val="00301076"/>
    <w:rsid w:val="00301275"/>
    <w:rsid w:val="003016E4"/>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525"/>
    <w:rsid w:val="00320665"/>
    <w:rsid w:val="00320CF3"/>
    <w:rsid w:val="00320DA7"/>
    <w:rsid w:val="00321117"/>
    <w:rsid w:val="00321707"/>
    <w:rsid w:val="00321ABA"/>
    <w:rsid w:val="00321F95"/>
    <w:rsid w:val="003226D6"/>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BB"/>
    <w:rsid w:val="003472F1"/>
    <w:rsid w:val="00347736"/>
    <w:rsid w:val="003477A4"/>
    <w:rsid w:val="00347800"/>
    <w:rsid w:val="00347B56"/>
    <w:rsid w:val="00347D7B"/>
    <w:rsid w:val="00347EBB"/>
    <w:rsid w:val="0035013D"/>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5E3"/>
    <w:rsid w:val="00375866"/>
    <w:rsid w:val="00375B9A"/>
    <w:rsid w:val="00375BF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586"/>
    <w:rsid w:val="00385F38"/>
    <w:rsid w:val="003860D5"/>
    <w:rsid w:val="00386434"/>
    <w:rsid w:val="00386814"/>
    <w:rsid w:val="003868AB"/>
    <w:rsid w:val="00386C9E"/>
    <w:rsid w:val="00386D06"/>
    <w:rsid w:val="0038723C"/>
    <w:rsid w:val="003875D4"/>
    <w:rsid w:val="00390189"/>
    <w:rsid w:val="00390533"/>
    <w:rsid w:val="00390C2B"/>
    <w:rsid w:val="003915C7"/>
    <w:rsid w:val="003918D8"/>
    <w:rsid w:val="00391EB0"/>
    <w:rsid w:val="0039217E"/>
    <w:rsid w:val="00392769"/>
    <w:rsid w:val="003928C2"/>
    <w:rsid w:val="00393031"/>
    <w:rsid w:val="0039322F"/>
    <w:rsid w:val="003936D7"/>
    <w:rsid w:val="00393870"/>
    <w:rsid w:val="00393B0D"/>
    <w:rsid w:val="00393C68"/>
    <w:rsid w:val="00394560"/>
    <w:rsid w:val="0039464B"/>
    <w:rsid w:val="00394FAB"/>
    <w:rsid w:val="0039564D"/>
    <w:rsid w:val="00395701"/>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AC6"/>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5DA4"/>
    <w:rsid w:val="003B6097"/>
    <w:rsid w:val="003B6303"/>
    <w:rsid w:val="003B645E"/>
    <w:rsid w:val="003B6520"/>
    <w:rsid w:val="003B6A2E"/>
    <w:rsid w:val="003B6D48"/>
    <w:rsid w:val="003B7442"/>
    <w:rsid w:val="003B770E"/>
    <w:rsid w:val="003B7981"/>
    <w:rsid w:val="003B7D8C"/>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02A"/>
    <w:rsid w:val="00416516"/>
    <w:rsid w:val="00416946"/>
    <w:rsid w:val="004174DF"/>
    <w:rsid w:val="00417644"/>
    <w:rsid w:val="00417915"/>
    <w:rsid w:val="00417C11"/>
    <w:rsid w:val="00420223"/>
    <w:rsid w:val="00420312"/>
    <w:rsid w:val="004209B6"/>
    <w:rsid w:val="00420B97"/>
    <w:rsid w:val="00421C86"/>
    <w:rsid w:val="00421DCB"/>
    <w:rsid w:val="00423B40"/>
    <w:rsid w:val="00423C17"/>
    <w:rsid w:val="00423D12"/>
    <w:rsid w:val="0042407A"/>
    <w:rsid w:val="00424431"/>
    <w:rsid w:val="004249AC"/>
    <w:rsid w:val="0042507F"/>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6F54"/>
    <w:rsid w:val="0045714D"/>
    <w:rsid w:val="004578BE"/>
    <w:rsid w:val="00457ABE"/>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8F"/>
    <w:rsid w:val="00475DC7"/>
    <w:rsid w:val="004760C1"/>
    <w:rsid w:val="00476680"/>
    <w:rsid w:val="00476EF6"/>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DF5"/>
    <w:rsid w:val="00492017"/>
    <w:rsid w:val="0049251E"/>
    <w:rsid w:val="00492555"/>
    <w:rsid w:val="00492C1D"/>
    <w:rsid w:val="0049301D"/>
    <w:rsid w:val="0049368C"/>
    <w:rsid w:val="00493B07"/>
    <w:rsid w:val="004948DE"/>
    <w:rsid w:val="00494B0C"/>
    <w:rsid w:val="004955F8"/>
    <w:rsid w:val="004959D9"/>
    <w:rsid w:val="004962AE"/>
    <w:rsid w:val="0049699F"/>
    <w:rsid w:val="00496CFB"/>
    <w:rsid w:val="00496F5C"/>
    <w:rsid w:val="00496F8D"/>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D46"/>
    <w:rsid w:val="004D6F04"/>
    <w:rsid w:val="004D739C"/>
    <w:rsid w:val="004D74D5"/>
    <w:rsid w:val="004D7CF2"/>
    <w:rsid w:val="004E0337"/>
    <w:rsid w:val="004E0BAA"/>
    <w:rsid w:val="004E0F63"/>
    <w:rsid w:val="004E19DF"/>
    <w:rsid w:val="004E1B3A"/>
    <w:rsid w:val="004E224E"/>
    <w:rsid w:val="004E2572"/>
    <w:rsid w:val="004E2D42"/>
    <w:rsid w:val="004E2D81"/>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1CC"/>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18A"/>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07E71"/>
    <w:rsid w:val="00510586"/>
    <w:rsid w:val="00510989"/>
    <w:rsid w:val="00510C6F"/>
    <w:rsid w:val="00511394"/>
    <w:rsid w:val="005115F1"/>
    <w:rsid w:val="0051185E"/>
    <w:rsid w:val="00511D0F"/>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9A4"/>
    <w:rsid w:val="00521B29"/>
    <w:rsid w:val="00522A1D"/>
    <w:rsid w:val="00522C3F"/>
    <w:rsid w:val="00523225"/>
    <w:rsid w:val="0052328E"/>
    <w:rsid w:val="005242D1"/>
    <w:rsid w:val="00524BD1"/>
    <w:rsid w:val="00524EC6"/>
    <w:rsid w:val="0052514B"/>
    <w:rsid w:val="00525574"/>
    <w:rsid w:val="00525889"/>
    <w:rsid w:val="00525B1C"/>
    <w:rsid w:val="00526754"/>
    <w:rsid w:val="00526823"/>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13"/>
    <w:rsid w:val="005325B7"/>
    <w:rsid w:val="0053320F"/>
    <w:rsid w:val="0053323B"/>
    <w:rsid w:val="00533851"/>
    <w:rsid w:val="00534A0D"/>
    <w:rsid w:val="00534C02"/>
    <w:rsid w:val="00534D8A"/>
    <w:rsid w:val="0053503C"/>
    <w:rsid w:val="00535B31"/>
    <w:rsid w:val="00535B76"/>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10A"/>
    <w:rsid w:val="00551284"/>
    <w:rsid w:val="0055139D"/>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E3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5BB"/>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E1B"/>
    <w:rsid w:val="005C4FD5"/>
    <w:rsid w:val="005C5030"/>
    <w:rsid w:val="005C5442"/>
    <w:rsid w:val="005C55AE"/>
    <w:rsid w:val="005C6137"/>
    <w:rsid w:val="005C63D6"/>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3A0"/>
    <w:rsid w:val="005F241A"/>
    <w:rsid w:val="005F29C4"/>
    <w:rsid w:val="005F3056"/>
    <w:rsid w:val="005F30B7"/>
    <w:rsid w:val="005F34BA"/>
    <w:rsid w:val="005F37D1"/>
    <w:rsid w:val="005F3883"/>
    <w:rsid w:val="005F3B9B"/>
    <w:rsid w:val="005F3EA2"/>
    <w:rsid w:val="005F4496"/>
    <w:rsid w:val="005F4B15"/>
    <w:rsid w:val="005F4FBF"/>
    <w:rsid w:val="005F5728"/>
    <w:rsid w:val="005F6C31"/>
    <w:rsid w:val="005F6FAC"/>
    <w:rsid w:val="005F7261"/>
    <w:rsid w:val="005F7B65"/>
    <w:rsid w:val="005F7CE9"/>
    <w:rsid w:val="005F7DDF"/>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6F"/>
    <w:rsid w:val="006133DE"/>
    <w:rsid w:val="006140C3"/>
    <w:rsid w:val="00614263"/>
    <w:rsid w:val="00615020"/>
    <w:rsid w:val="00615054"/>
    <w:rsid w:val="00615182"/>
    <w:rsid w:val="00615399"/>
    <w:rsid w:val="00615622"/>
    <w:rsid w:val="0061595F"/>
    <w:rsid w:val="00615A5A"/>
    <w:rsid w:val="00615EB1"/>
    <w:rsid w:val="00615FC3"/>
    <w:rsid w:val="00616027"/>
    <w:rsid w:val="00616B10"/>
    <w:rsid w:val="00616C32"/>
    <w:rsid w:val="00616D1B"/>
    <w:rsid w:val="00616D50"/>
    <w:rsid w:val="00616EBE"/>
    <w:rsid w:val="00617218"/>
    <w:rsid w:val="0061743C"/>
    <w:rsid w:val="006176E9"/>
    <w:rsid w:val="00617888"/>
    <w:rsid w:val="00617B92"/>
    <w:rsid w:val="00617BF0"/>
    <w:rsid w:val="00617C61"/>
    <w:rsid w:val="0062092A"/>
    <w:rsid w:val="00620E8C"/>
    <w:rsid w:val="006213CC"/>
    <w:rsid w:val="00621799"/>
    <w:rsid w:val="00622398"/>
    <w:rsid w:val="006223AD"/>
    <w:rsid w:val="00622726"/>
    <w:rsid w:val="006234CD"/>
    <w:rsid w:val="006234D5"/>
    <w:rsid w:val="006237D2"/>
    <w:rsid w:val="00624A2D"/>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AA3"/>
    <w:rsid w:val="00634C70"/>
    <w:rsid w:val="006352F0"/>
    <w:rsid w:val="006353D1"/>
    <w:rsid w:val="00635CA6"/>
    <w:rsid w:val="00635CD7"/>
    <w:rsid w:val="00635EA9"/>
    <w:rsid w:val="00636345"/>
    <w:rsid w:val="00636564"/>
    <w:rsid w:val="006374A4"/>
    <w:rsid w:val="00637C77"/>
    <w:rsid w:val="0064022E"/>
    <w:rsid w:val="006402CB"/>
    <w:rsid w:val="006403CF"/>
    <w:rsid w:val="00640DDE"/>
    <w:rsid w:val="00641687"/>
    <w:rsid w:val="006418D2"/>
    <w:rsid w:val="00641971"/>
    <w:rsid w:val="0064198F"/>
    <w:rsid w:val="00642579"/>
    <w:rsid w:val="00643180"/>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0F36"/>
    <w:rsid w:val="00651612"/>
    <w:rsid w:val="00651966"/>
    <w:rsid w:val="00651CB6"/>
    <w:rsid w:val="00651DFE"/>
    <w:rsid w:val="0065219C"/>
    <w:rsid w:val="006537F3"/>
    <w:rsid w:val="006539F5"/>
    <w:rsid w:val="00653E29"/>
    <w:rsid w:val="00654076"/>
    <w:rsid w:val="00654281"/>
    <w:rsid w:val="00654D5D"/>
    <w:rsid w:val="006554FD"/>
    <w:rsid w:val="0065597A"/>
    <w:rsid w:val="00655A9A"/>
    <w:rsid w:val="00656323"/>
    <w:rsid w:val="00656E2B"/>
    <w:rsid w:val="0065755C"/>
    <w:rsid w:val="006605DD"/>
    <w:rsid w:val="00660CEB"/>
    <w:rsid w:val="00661154"/>
    <w:rsid w:val="006618FB"/>
    <w:rsid w:val="00661FBE"/>
    <w:rsid w:val="00662834"/>
    <w:rsid w:val="00662A04"/>
    <w:rsid w:val="00662FEA"/>
    <w:rsid w:val="00663069"/>
    <w:rsid w:val="00663292"/>
    <w:rsid w:val="00663B01"/>
    <w:rsid w:val="00663B99"/>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1118"/>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544"/>
    <w:rsid w:val="0067661C"/>
    <w:rsid w:val="00676E4E"/>
    <w:rsid w:val="00677104"/>
    <w:rsid w:val="00677131"/>
    <w:rsid w:val="00677186"/>
    <w:rsid w:val="00677197"/>
    <w:rsid w:val="0067729D"/>
    <w:rsid w:val="00677A3D"/>
    <w:rsid w:val="00677B70"/>
    <w:rsid w:val="00677B77"/>
    <w:rsid w:val="00677C5A"/>
    <w:rsid w:val="006804E5"/>
    <w:rsid w:val="00680660"/>
    <w:rsid w:val="00680965"/>
    <w:rsid w:val="00680DD9"/>
    <w:rsid w:val="006812AD"/>
    <w:rsid w:val="006817CB"/>
    <w:rsid w:val="00681943"/>
    <w:rsid w:val="00681E63"/>
    <w:rsid w:val="00681F70"/>
    <w:rsid w:val="00682B38"/>
    <w:rsid w:val="00682EEB"/>
    <w:rsid w:val="006831DA"/>
    <w:rsid w:val="00683648"/>
    <w:rsid w:val="00683869"/>
    <w:rsid w:val="006845FF"/>
    <w:rsid w:val="006848E1"/>
    <w:rsid w:val="00685063"/>
    <w:rsid w:val="006855AE"/>
    <w:rsid w:val="00685680"/>
    <w:rsid w:val="00685BB0"/>
    <w:rsid w:val="00685BFC"/>
    <w:rsid w:val="00686337"/>
    <w:rsid w:val="0068647B"/>
    <w:rsid w:val="0068669B"/>
    <w:rsid w:val="00686A45"/>
    <w:rsid w:val="00686B19"/>
    <w:rsid w:val="006876DB"/>
    <w:rsid w:val="006879BA"/>
    <w:rsid w:val="00687CC4"/>
    <w:rsid w:val="00690497"/>
    <w:rsid w:val="00690593"/>
    <w:rsid w:val="00690670"/>
    <w:rsid w:val="00690735"/>
    <w:rsid w:val="00690989"/>
    <w:rsid w:val="006914CA"/>
    <w:rsid w:val="00691976"/>
    <w:rsid w:val="00691FCE"/>
    <w:rsid w:val="006923A3"/>
    <w:rsid w:val="006928C9"/>
    <w:rsid w:val="00692A54"/>
    <w:rsid w:val="006939C1"/>
    <w:rsid w:val="00693B3B"/>
    <w:rsid w:val="00693F65"/>
    <w:rsid w:val="006947E1"/>
    <w:rsid w:val="00694C9B"/>
    <w:rsid w:val="006954B8"/>
    <w:rsid w:val="00695AB8"/>
    <w:rsid w:val="00695E75"/>
    <w:rsid w:val="00696A51"/>
    <w:rsid w:val="00697400"/>
    <w:rsid w:val="0069741D"/>
    <w:rsid w:val="00697B4F"/>
    <w:rsid w:val="006A0B80"/>
    <w:rsid w:val="006A10B9"/>
    <w:rsid w:val="006A128A"/>
    <w:rsid w:val="006A14B8"/>
    <w:rsid w:val="006A1ABA"/>
    <w:rsid w:val="006A1CAC"/>
    <w:rsid w:val="006A1F7C"/>
    <w:rsid w:val="006A2195"/>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0EB6"/>
    <w:rsid w:val="006B12C6"/>
    <w:rsid w:val="006B1390"/>
    <w:rsid w:val="006B16F5"/>
    <w:rsid w:val="006B18DC"/>
    <w:rsid w:val="006B1E93"/>
    <w:rsid w:val="006B2427"/>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2E2F"/>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D84"/>
    <w:rsid w:val="006D439A"/>
    <w:rsid w:val="006D5291"/>
    <w:rsid w:val="006D5774"/>
    <w:rsid w:val="006D5917"/>
    <w:rsid w:val="006D5D76"/>
    <w:rsid w:val="006D60E4"/>
    <w:rsid w:val="006D67A6"/>
    <w:rsid w:val="006D6B35"/>
    <w:rsid w:val="006D7AA5"/>
    <w:rsid w:val="006D7E92"/>
    <w:rsid w:val="006E1778"/>
    <w:rsid w:val="006E1AA6"/>
    <w:rsid w:val="006E1C71"/>
    <w:rsid w:val="006E1F03"/>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F07EC"/>
    <w:rsid w:val="006F0AAC"/>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38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0A74"/>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064C"/>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553"/>
    <w:rsid w:val="00772C47"/>
    <w:rsid w:val="00772E5C"/>
    <w:rsid w:val="007732D4"/>
    <w:rsid w:val="007737BF"/>
    <w:rsid w:val="00773AE9"/>
    <w:rsid w:val="00773E73"/>
    <w:rsid w:val="00774437"/>
    <w:rsid w:val="007747B4"/>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6C0"/>
    <w:rsid w:val="00794882"/>
    <w:rsid w:val="00794901"/>
    <w:rsid w:val="007949E2"/>
    <w:rsid w:val="00794A3B"/>
    <w:rsid w:val="00794C7C"/>
    <w:rsid w:val="0079578F"/>
    <w:rsid w:val="00796231"/>
    <w:rsid w:val="00796857"/>
    <w:rsid w:val="00796E51"/>
    <w:rsid w:val="00796F90"/>
    <w:rsid w:val="00797098"/>
    <w:rsid w:val="007971EA"/>
    <w:rsid w:val="007973E8"/>
    <w:rsid w:val="00797746"/>
    <w:rsid w:val="00797C50"/>
    <w:rsid w:val="00797DAE"/>
    <w:rsid w:val="00797ECC"/>
    <w:rsid w:val="007A0C98"/>
    <w:rsid w:val="007A10F6"/>
    <w:rsid w:val="007A13FD"/>
    <w:rsid w:val="007A1409"/>
    <w:rsid w:val="007A18EF"/>
    <w:rsid w:val="007A2E4E"/>
    <w:rsid w:val="007A386B"/>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2FB"/>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D57"/>
    <w:rsid w:val="007E0E42"/>
    <w:rsid w:val="007E0E88"/>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53E"/>
    <w:rsid w:val="007F4835"/>
    <w:rsid w:val="007F4FC6"/>
    <w:rsid w:val="007F5326"/>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452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DC6"/>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94F"/>
    <w:rsid w:val="00827CAC"/>
    <w:rsid w:val="00827E9C"/>
    <w:rsid w:val="0083011A"/>
    <w:rsid w:val="0083023E"/>
    <w:rsid w:val="008302E8"/>
    <w:rsid w:val="00830426"/>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7C4"/>
    <w:rsid w:val="008443B0"/>
    <w:rsid w:val="00844628"/>
    <w:rsid w:val="00846674"/>
    <w:rsid w:val="00846756"/>
    <w:rsid w:val="00846F20"/>
    <w:rsid w:val="00846F27"/>
    <w:rsid w:val="00847333"/>
    <w:rsid w:val="008475F5"/>
    <w:rsid w:val="008476A1"/>
    <w:rsid w:val="00847709"/>
    <w:rsid w:val="00847CD0"/>
    <w:rsid w:val="00847D19"/>
    <w:rsid w:val="00847FB0"/>
    <w:rsid w:val="008505B8"/>
    <w:rsid w:val="00850636"/>
    <w:rsid w:val="00850895"/>
    <w:rsid w:val="00850B7A"/>
    <w:rsid w:val="008510E7"/>
    <w:rsid w:val="00852325"/>
    <w:rsid w:val="0085282E"/>
    <w:rsid w:val="0085314A"/>
    <w:rsid w:val="0085320D"/>
    <w:rsid w:val="008535F8"/>
    <w:rsid w:val="00853686"/>
    <w:rsid w:val="00853E3C"/>
    <w:rsid w:val="00854598"/>
    <w:rsid w:val="008550B6"/>
    <w:rsid w:val="0085550C"/>
    <w:rsid w:val="0085623B"/>
    <w:rsid w:val="0085651F"/>
    <w:rsid w:val="00856930"/>
    <w:rsid w:val="00856DF5"/>
    <w:rsid w:val="008571B2"/>
    <w:rsid w:val="008576F6"/>
    <w:rsid w:val="008577EE"/>
    <w:rsid w:val="00860205"/>
    <w:rsid w:val="008609DC"/>
    <w:rsid w:val="00860BA4"/>
    <w:rsid w:val="00860D16"/>
    <w:rsid w:val="00860EFF"/>
    <w:rsid w:val="0086166F"/>
    <w:rsid w:val="00861A52"/>
    <w:rsid w:val="00861B8C"/>
    <w:rsid w:val="00861BA9"/>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D96"/>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4C1"/>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7E"/>
    <w:rsid w:val="008C6EF6"/>
    <w:rsid w:val="008C75E2"/>
    <w:rsid w:val="008C76C8"/>
    <w:rsid w:val="008C7908"/>
    <w:rsid w:val="008C7A1D"/>
    <w:rsid w:val="008D040E"/>
    <w:rsid w:val="008D0B19"/>
    <w:rsid w:val="008D0BAF"/>
    <w:rsid w:val="008D1529"/>
    <w:rsid w:val="008D1690"/>
    <w:rsid w:val="008D1A92"/>
    <w:rsid w:val="008D1D2A"/>
    <w:rsid w:val="008D1E08"/>
    <w:rsid w:val="008D278F"/>
    <w:rsid w:val="008D2A8A"/>
    <w:rsid w:val="008D2DB6"/>
    <w:rsid w:val="008D370F"/>
    <w:rsid w:val="008D4A10"/>
    <w:rsid w:val="008D4A34"/>
    <w:rsid w:val="008D4BFA"/>
    <w:rsid w:val="008D513C"/>
    <w:rsid w:val="008D525F"/>
    <w:rsid w:val="008D54AA"/>
    <w:rsid w:val="008D556A"/>
    <w:rsid w:val="008D56ED"/>
    <w:rsid w:val="008D596E"/>
    <w:rsid w:val="008D5D74"/>
    <w:rsid w:val="008D78C5"/>
    <w:rsid w:val="008E062E"/>
    <w:rsid w:val="008E0AF9"/>
    <w:rsid w:val="008E1AB0"/>
    <w:rsid w:val="008E1D18"/>
    <w:rsid w:val="008E21EF"/>
    <w:rsid w:val="008E2E41"/>
    <w:rsid w:val="008E3046"/>
    <w:rsid w:val="008E34B8"/>
    <w:rsid w:val="008E37C2"/>
    <w:rsid w:val="008E3E80"/>
    <w:rsid w:val="008E4C0B"/>
    <w:rsid w:val="008E4C3F"/>
    <w:rsid w:val="008E4C99"/>
    <w:rsid w:val="008E558D"/>
    <w:rsid w:val="008E56E2"/>
    <w:rsid w:val="008E6850"/>
    <w:rsid w:val="008E68F2"/>
    <w:rsid w:val="008E68FD"/>
    <w:rsid w:val="008E6925"/>
    <w:rsid w:val="008E6F78"/>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0D1"/>
    <w:rsid w:val="009046C4"/>
    <w:rsid w:val="00904A7E"/>
    <w:rsid w:val="00904A9F"/>
    <w:rsid w:val="0090542B"/>
    <w:rsid w:val="0090578F"/>
    <w:rsid w:val="00905C92"/>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17F1B"/>
    <w:rsid w:val="0092026E"/>
    <w:rsid w:val="00920671"/>
    <w:rsid w:val="00920F69"/>
    <w:rsid w:val="00921069"/>
    <w:rsid w:val="0092106B"/>
    <w:rsid w:val="00921373"/>
    <w:rsid w:val="0092158E"/>
    <w:rsid w:val="00921851"/>
    <w:rsid w:val="00921CFD"/>
    <w:rsid w:val="0092203B"/>
    <w:rsid w:val="00922941"/>
    <w:rsid w:val="00923201"/>
    <w:rsid w:val="00923B92"/>
    <w:rsid w:val="009241EF"/>
    <w:rsid w:val="0092440C"/>
    <w:rsid w:val="00924A97"/>
    <w:rsid w:val="00924ACA"/>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816"/>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BBC"/>
    <w:rsid w:val="00946FAA"/>
    <w:rsid w:val="009473AD"/>
    <w:rsid w:val="00947638"/>
    <w:rsid w:val="00947C4B"/>
    <w:rsid w:val="009500A1"/>
    <w:rsid w:val="00950D71"/>
    <w:rsid w:val="00950F03"/>
    <w:rsid w:val="009515CA"/>
    <w:rsid w:val="009520D6"/>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D3F"/>
    <w:rsid w:val="0095756D"/>
    <w:rsid w:val="00957896"/>
    <w:rsid w:val="00957E24"/>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6AA"/>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51F"/>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87E"/>
    <w:rsid w:val="009A6C13"/>
    <w:rsid w:val="009A6C2E"/>
    <w:rsid w:val="009A6CA6"/>
    <w:rsid w:val="009A7581"/>
    <w:rsid w:val="009A7620"/>
    <w:rsid w:val="009A767D"/>
    <w:rsid w:val="009B02E3"/>
    <w:rsid w:val="009B08AE"/>
    <w:rsid w:val="009B10EE"/>
    <w:rsid w:val="009B1542"/>
    <w:rsid w:val="009B176B"/>
    <w:rsid w:val="009B19E6"/>
    <w:rsid w:val="009B1E9C"/>
    <w:rsid w:val="009B298D"/>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604"/>
    <w:rsid w:val="009D5757"/>
    <w:rsid w:val="009D6224"/>
    <w:rsid w:val="009D68EF"/>
    <w:rsid w:val="009D70BF"/>
    <w:rsid w:val="009D70F9"/>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5E84"/>
    <w:rsid w:val="00A16465"/>
    <w:rsid w:val="00A168B0"/>
    <w:rsid w:val="00A16A23"/>
    <w:rsid w:val="00A16B54"/>
    <w:rsid w:val="00A16F62"/>
    <w:rsid w:val="00A1749C"/>
    <w:rsid w:val="00A179CD"/>
    <w:rsid w:val="00A17DE7"/>
    <w:rsid w:val="00A203EE"/>
    <w:rsid w:val="00A206DC"/>
    <w:rsid w:val="00A20C00"/>
    <w:rsid w:val="00A21001"/>
    <w:rsid w:val="00A2175D"/>
    <w:rsid w:val="00A21994"/>
    <w:rsid w:val="00A21E03"/>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632"/>
    <w:rsid w:val="00A43BC5"/>
    <w:rsid w:val="00A4406B"/>
    <w:rsid w:val="00A448A9"/>
    <w:rsid w:val="00A44F0D"/>
    <w:rsid w:val="00A45EB0"/>
    <w:rsid w:val="00A45F6A"/>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5BB2"/>
    <w:rsid w:val="00A560A4"/>
    <w:rsid w:val="00A576FF"/>
    <w:rsid w:val="00A6148F"/>
    <w:rsid w:val="00A61648"/>
    <w:rsid w:val="00A617DD"/>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832"/>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586"/>
    <w:rsid w:val="00A9273E"/>
    <w:rsid w:val="00A929F6"/>
    <w:rsid w:val="00A92B02"/>
    <w:rsid w:val="00A92B11"/>
    <w:rsid w:val="00A92C37"/>
    <w:rsid w:val="00A92D06"/>
    <w:rsid w:val="00A93562"/>
    <w:rsid w:val="00A937D7"/>
    <w:rsid w:val="00A93A44"/>
    <w:rsid w:val="00A9418A"/>
    <w:rsid w:val="00A944AA"/>
    <w:rsid w:val="00A94C1C"/>
    <w:rsid w:val="00A94C9E"/>
    <w:rsid w:val="00A95159"/>
    <w:rsid w:val="00A95267"/>
    <w:rsid w:val="00A95AE9"/>
    <w:rsid w:val="00A95BDB"/>
    <w:rsid w:val="00A96065"/>
    <w:rsid w:val="00A964BE"/>
    <w:rsid w:val="00A96681"/>
    <w:rsid w:val="00A96A89"/>
    <w:rsid w:val="00A976DD"/>
    <w:rsid w:val="00A977D7"/>
    <w:rsid w:val="00AA035C"/>
    <w:rsid w:val="00AA0635"/>
    <w:rsid w:val="00AA0731"/>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124"/>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8AF"/>
    <w:rsid w:val="00AD098B"/>
    <w:rsid w:val="00AD0C39"/>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28A"/>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24A3"/>
    <w:rsid w:val="00AF2635"/>
    <w:rsid w:val="00AF2B29"/>
    <w:rsid w:val="00AF2D33"/>
    <w:rsid w:val="00AF32EE"/>
    <w:rsid w:val="00AF3514"/>
    <w:rsid w:val="00AF3A76"/>
    <w:rsid w:val="00AF3A80"/>
    <w:rsid w:val="00AF3D8A"/>
    <w:rsid w:val="00AF3EF2"/>
    <w:rsid w:val="00AF415D"/>
    <w:rsid w:val="00AF4390"/>
    <w:rsid w:val="00AF44FE"/>
    <w:rsid w:val="00AF4725"/>
    <w:rsid w:val="00AF5721"/>
    <w:rsid w:val="00AF575A"/>
    <w:rsid w:val="00AF5785"/>
    <w:rsid w:val="00AF57B2"/>
    <w:rsid w:val="00AF5CC7"/>
    <w:rsid w:val="00AF5F27"/>
    <w:rsid w:val="00AF6073"/>
    <w:rsid w:val="00AF6261"/>
    <w:rsid w:val="00AF63A2"/>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37A"/>
    <w:rsid w:val="00B04454"/>
    <w:rsid w:val="00B04B3A"/>
    <w:rsid w:val="00B052DE"/>
    <w:rsid w:val="00B05506"/>
    <w:rsid w:val="00B0554F"/>
    <w:rsid w:val="00B0574F"/>
    <w:rsid w:val="00B05C10"/>
    <w:rsid w:val="00B06235"/>
    <w:rsid w:val="00B07033"/>
    <w:rsid w:val="00B071C5"/>
    <w:rsid w:val="00B07639"/>
    <w:rsid w:val="00B102EA"/>
    <w:rsid w:val="00B10C2A"/>
    <w:rsid w:val="00B10D51"/>
    <w:rsid w:val="00B10D66"/>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3BF"/>
    <w:rsid w:val="00B17659"/>
    <w:rsid w:val="00B17716"/>
    <w:rsid w:val="00B20704"/>
    <w:rsid w:val="00B20D78"/>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1EC5"/>
    <w:rsid w:val="00B327BE"/>
    <w:rsid w:val="00B32D5A"/>
    <w:rsid w:val="00B339E0"/>
    <w:rsid w:val="00B33D2E"/>
    <w:rsid w:val="00B33DCB"/>
    <w:rsid w:val="00B34472"/>
    <w:rsid w:val="00B34783"/>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3DE"/>
    <w:rsid w:val="00B77C6D"/>
    <w:rsid w:val="00B80E71"/>
    <w:rsid w:val="00B8122C"/>
    <w:rsid w:val="00B81415"/>
    <w:rsid w:val="00B8170D"/>
    <w:rsid w:val="00B81750"/>
    <w:rsid w:val="00B82943"/>
    <w:rsid w:val="00B82F58"/>
    <w:rsid w:val="00B839C5"/>
    <w:rsid w:val="00B839D8"/>
    <w:rsid w:val="00B83B41"/>
    <w:rsid w:val="00B83B92"/>
    <w:rsid w:val="00B83BA4"/>
    <w:rsid w:val="00B83E52"/>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2D2C"/>
    <w:rsid w:val="00B934CC"/>
    <w:rsid w:val="00B936E0"/>
    <w:rsid w:val="00B93812"/>
    <w:rsid w:val="00B93973"/>
    <w:rsid w:val="00B93D12"/>
    <w:rsid w:val="00B93F60"/>
    <w:rsid w:val="00B9413C"/>
    <w:rsid w:val="00B94321"/>
    <w:rsid w:val="00B9469A"/>
    <w:rsid w:val="00B95137"/>
    <w:rsid w:val="00B95187"/>
    <w:rsid w:val="00B95492"/>
    <w:rsid w:val="00B9603B"/>
    <w:rsid w:val="00B961D0"/>
    <w:rsid w:val="00B967C6"/>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15D"/>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18F"/>
    <w:rsid w:val="00BC23A5"/>
    <w:rsid w:val="00BC24B7"/>
    <w:rsid w:val="00BC25A0"/>
    <w:rsid w:val="00BC2AB4"/>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5C56"/>
    <w:rsid w:val="00BD6048"/>
    <w:rsid w:val="00BD60E5"/>
    <w:rsid w:val="00BD638A"/>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EA3"/>
    <w:rsid w:val="00C02327"/>
    <w:rsid w:val="00C02DC4"/>
    <w:rsid w:val="00C02F16"/>
    <w:rsid w:val="00C02FD0"/>
    <w:rsid w:val="00C03120"/>
    <w:rsid w:val="00C03AA3"/>
    <w:rsid w:val="00C046DF"/>
    <w:rsid w:val="00C04AE8"/>
    <w:rsid w:val="00C04D20"/>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95"/>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03"/>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9FC"/>
    <w:rsid w:val="00C55B68"/>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75"/>
    <w:rsid w:val="00C70EDF"/>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987"/>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91"/>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551"/>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6AE"/>
    <w:rsid w:val="00CB278D"/>
    <w:rsid w:val="00CB2C96"/>
    <w:rsid w:val="00CB314A"/>
    <w:rsid w:val="00CB3541"/>
    <w:rsid w:val="00CB467C"/>
    <w:rsid w:val="00CB4C75"/>
    <w:rsid w:val="00CB4F20"/>
    <w:rsid w:val="00CB50C3"/>
    <w:rsid w:val="00CB59A2"/>
    <w:rsid w:val="00CB5AD3"/>
    <w:rsid w:val="00CB6FD0"/>
    <w:rsid w:val="00CB745B"/>
    <w:rsid w:val="00CB74D0"/>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B69"/>
    <w:rsid w:val="00CE1FA0"/>
    <w:rsid w:val="00CE201F"/>
    <w:rsid w:val="00CE23E8"/>
    <w:rsid w:val="00CE2B8C"/>
    <w:rsid w:val="00CE2E5F"/>
    <w:rsid w:val="00CE36A8"/>
    <w:rsid w:val="00CE38EF"/>
    <w:rsid w:val="00CE3B1B"/>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1756F"/>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14F"/>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5FFA"/>
    <w:rsid w:val="00D56548"/>
    <w:rsid w:val="00D56A0D"/>
    <w:rsid w:val="00D56D37"/>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101C"/>
    <w:rsid w:val="00D816BA"/>
    <w:rsid w:val="00D81A34"/>
    <w:rsid w:val="00D81D7D"/>
    <w:rsid w:val="00D82B03"/>
    <w:rsid w:val="00D82CC9"/>
    <w:rsid w:val="00D830A0"/>
    <w:rsid w:val="00D83439"/>
    <w:rsid w:val="00D83627"/>
    <w:rsid w:val="00D845B0"/>
    <w:rsid w:val="00D84C3A"/>
    <w:rsid w:val="00D84CDC"/>
    <w:rsid w:val="00D8558B"/>
    <w:rsid w:val="00D85722"/>
    <w:rsid w:val="00D85812"/>
    <w:rsid w:val="00D85E9C"/>
    <w:rsid w:val="00D8602E"/>
    <w:rsid w:val="00D86DBD"/>
    <w:rsid w:val="00D86F41"/>
    <w:rsid w:val="00D86F7E"/>
    <w:rsid w:val="00D87673"/>
    <w:rsid w:val="00D90833"/>
    <w:rsid w:val="00D90970"/>
    <w:rsid w:val="00D910B6"/>
    <w:rsid w:val="00D91288"/>
    <w:rsid w:val="00D91E82"/>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660"/>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753"/>
    <w:rsid w:val="00DC1C3C"/>
    <w:rsid w:val="00DC1D8E"/>
    <w:rsid w:val="00DC24E6"/>
    <w:rsid w:val="00DC2775"/>
    <w:rsid w:val="00DC27C8"/>
    <w:rsid w:val="00DC2EF3"/>
    <w:rsid w:val="00DC2FBE"/>
    <w:rsid w:val="00DC33E0"/>
    <w:rsid w:val="00DC3525"/>
    <w:rsid w:val="00DC4691"/>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6B7"/>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2D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4FC5"/>
    <w:rsid w:val="00E2550E"/>
    <w:rsid w:val="00E25AD6"/>
    <w:rsid w:val="00E262DD"/>
    <w:rsid w:val="00E26B79"/>
    <w:rsid w:val="00E26DB3"/>
    <w:rsid w:val="00E2780C"/>
    <w:rsid w:val="00E302AC"/>
    <w:rsid w:val="00E308A1"/>
    <w:rsid w:val="00E31A32"/>
    <w:rsid w:val="00E325BB"/>
    <w:rsid w:val="00E338D2"/>
    <w:rsid w:val="00E33F59"/>
    <w:rsid w:val="00E34282"/>
    <w:rsid w:val="00E350CA"/>
    <w:rsid w:val="00E3568E"/>
    <w:rsid w:val="00E35E94"/>
    <w:rsid w:val="00E35F54"/>
    <w:rsid w:val="00E362E8"/>
    <w:rsid w:val="00E36787"/>
    <w:rsid w:val="00E368DB"/>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666"/>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3F"/>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1325"/>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6DF"/>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75A"/>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5B67"/>
    <w:rsid w:val="00EC64B9"/>
    <w:rsid w:val="00EC68EC"/>
    <w:rsid w:val="00EC691A"/>
    <w:rsid w:val="00EC6A6E"/>
    <w:rsid w:val="00EC6E67"/>
    <w:rsid w:val="00EC75BB"/>
    <w:rsid w:val="00EC7DAE"/>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07E"/>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857"/>
    <w:rsid w:val="00EF0C04"/>
    <w:rsid w:val="00EF152F"/>
    <w:rsid w:val="00EF1597"/>
    <w:rsid w:val="00EF190F"/>
    <w:rsid w:val="00EF1955"/>
    <w:rsid w:val="00EF1AEF"/>
    <w:rsid w:val="00EF1DA6"/>
    <w:rsid w:val="00EF2B6F"/>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592"/>
    <w:rsid w:val="00EF7602"/>
    <w:rsid w:val="00F0000B"/>
    <w:rsid w:val="00F003A3"/>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505"/>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B34"/>
    <w:rsid w:val="00F34DB3"/>
    <w:rsid w:val="00F34E2C"/>
    <w:rsid w:val="00F34EC7"/>
    <w:rsid w:val="00F34FE6"/>
    <w:rsid w:val="00F353DF"/>
    <w:rsid w:val="00F3542B"/>
    <w:rsid w:val="00F3618F"/>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232"/>
    <w:rsid w:val="00F534E1"/>
    <w:rsid w:val="00F53637"/>
    <w:rsid w:val="00F538BB"/>
    <w:rsid w:val="00F53C02"/>
    <w:rsid w:val="00F5405E"/>
    <w:rsid w:val="00F543D9"/>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A"/>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3DFA"/>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48B"/>
    <w:rsid w:val="00FB7A7B"/>
    <w:rsid w:val="00FC0175"/>
    <w:rsid w:val="00FC020D"/>
    <w:rsid w:val="00FC0508"/>
    <w:rsid w:val="00FC0607"/>
    <w:rsid w:val="00FC062C"/>
    <w:rsid w:val="00FC0687"/>
    <w:rsid w:val="00FC08A7"/>
    <w:rsid w:val="00FC0CC5"/>
    <w:rsid w:val="00FC1034"/>
    <w:rsid w:val="00FC10AE"/>
    <w:rsid w:val="00FC1140"/>
    <w:rsid w:val="00FC1155"/>
    <w:rsid w:val="00FC1296"/>
    <w:rsid w:val="00FC12EF"/>
    <w:rsid w:val="00FC1D77"/>
    <w:rsid w:val="00FC1FDF"/>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3D75"/>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rsid w:val="00101D71"/>
    <w:rPr>
      <w:sz w:val="20"/>
      <w:szCs w:val="20"/>
    </w:rPr>
  </w:style>
  <w:style w:type="character" w:styleId="FootnoteReference">
    <w:name w:val="footnote reference"/>
    <w:basedOn w:val="DefaultParagraphFont"/>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rsid w:val="00101D71"/>
    <w:rPr>
      <w:sz w:val="20"/>
      <w:szCs w:val="20"/>
    </w:rPr>
  </w:style>
  <w:style w:type="character" w:styleId="FootnoteReference">
    <w:name w:val="footnote reference"/>
    <w:basedOn w:val="DefaultParagraphFont"/>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2081">
      <w:bodyDiv w:val="1"/>
      <w:marLeft w:val="0"/>
      <w:marRight w:val="0"/>
      <w:marTop w:val="0"/>
      <w:marBottom w:val="0"/>
      <w:divBdr>
        <w:top w:val="none" w:sz="0" w:space="0" w:color="auto"/>
        <w:left w:val="none" w:sz="0" w:space="0" w:color="auto"/>
        <w:bottom w:val="none" w:sz="0" w:space="0" w:color="auto"/>
        <w:right w:val="none" w:sz="0" w:space="0" w:color="auto"/>
      </w:divBdr>
    </w:div>
    <w:div w:id="328024104">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1205168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1584">
          <w:marLeft w:val="0"/>
          <w:marRight w:val="0"/>
          <w:marTop w:val="0"/>
          <w:marBottom w:val="0"/>
          <w:divBdr>
            <w:top w:val="none" w:sz="0" w:space="0" w:color="auto"/>
            <w:left w:val="none" w:sz="0" w:space="0" w:color="auto"/>
            <w:bottom w:val="none" w:sz="0" w:space="0" w:color="auto"/>
            <w:right w:val="none" w:sz="0" w:space="0" w:color="auto"/>
          </w:divBdr>
          <w:divsChild>
            <w:div w:id="1710257784">
              <w:marLeft w:val="0"/>
              <w:marRight w:val="0"/>
              <w:marTop w:val="0"/>
              <w:marBottom w:val="0"/>
              <w:divBdr>
                <w:top w:val="none" w:sz="0" w:space="0" w:color="auto"/>
                <w:left w:val="none" w:sz="0" w:space="0" w:color="auto"/>
                <w:bottom w:val="none" w:sz="0" w:space="0" w:color="auto"/>
                <w:right w:val="none" w:sz="0" w:space="0" w:color="auto"/>
              </w:divBdr>
              <w:divsChild>
                <w:div w:id="2103915790">
                  <w:marLeft w:val="0"/>
                  <w:marRight w:val="0"/>
                  <w:marTop w:val="0"/>
                  <w:marBottom w:val="0"/>
                  <w:divBdr>
                    <w:top w:val="none" w:sz="0" w:space="0" w:color="auto"/>
                    <w:left w:val="none" w:sz="0" w:space="0" w:color="auto"/>
                    <w:bottom w:val="none" w:sz="0" w:space="0" w:color="auto"/>
                    <w:right w:val="none" w:sz="0" w:space="0" w:color="auto"/>
                  </w:divBdr>
                  <w:divsChild>
                    <w:div w:id="5424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5F98-9E3A-4C79-AE8B-1F3A1C0D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Farner, Joyce</cp:lastModifiedBy>
  <cp:revision>4</cp:revision>
  <cp:lastPrinted>2014-07-09T13:48:00Z</cp:lastPrinted>
  <dcterms:created xsi:type="dcterms:W3CDTF">2014-07-09T12:57:00Z</dcterms:created>
  <dcterms:modified xsi:type="dcterms:W3CDTF">2014-07-09T13:59:00Z</dcterms:modified>
</cp:coreProperties>
</file>