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PENNSYLVANIA</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PUBLIC UTILITY COMMISSION</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Harrisburg, PA  17105-3265</w:t>
      </w:r>
    </w:p>
    <w:p w:rsidR="00C2455C" w:rsidRPr="007620D2" w:rsidRDefault="00C2455C" w:rsidP="00C2455C">
      <w:pPr>
        <w:tabs>
          <w:tab w:val="center" w:pos="4680"/>
        </w:tabs>
        <w:suppressAutoHyphens/>
        <w:jc w:val="center"/>
        <w:rPr>
          <w:b/>
          <w:bCs/>
          <w:spacing w:val="-3"/>
          <w:sz w:val="26"/>
          <w:szCs w:val="26"/>
        </w:rPr>
      </w:pPr>
    </w:p>
    <w:p w:rsidR="000B6331" w:rsidRPr="007620D2" w:rsidRDefault="000B6331" w:rsidP="000B6331">
      <w:pPr>
        <w:tabs>
          <w:tab w:val="right" w:pos="9360"/>
        </w:tabs>
        <w:suppressAutoHyphens/>
        <w:rPr>
          <w:sz w:val="26"/>
          <w:szCs w:val="26"/>
        </w:rPr>
      </w:pPr>
      <w:r w:rsidRPr="007620D2">
        <w:rPr>
          <w:sz w:val="26"/>
        </w:rPr>
        <w:tab/>
        <w:t>P</w:t>
      </w:r>
      <w:r w:rsidRPr="007620D2">
        <w:rPr>
          <w:sz w:val="26"/>
          <w:szCs w:val="26"/>
        </w:rPr>
        <w:t>ublic Meeting held</w:t>
      </w:r>
      <w:r w:rsidR="007B42FB">
        <w:rPr>
          <w:sz w:val="26"/>
          <w:szCs w:val="26"/>
        </w:rPr>
        <w:t xml:space="preserve"> June 19</w:t>
      </w:r>
      <w:r w:rsidR="003016E4">
        <w:rPr>
          <w:sz w:val="26"/>
          <w:szCs w:val="26"/>
        </w:rPr>
        <w:t>, 201</w:t>
      </w:r>
      <w:r w:rsidR="00C03AA3">
        <w:rPr>
          <w:sz w:val="26"/>
          <w:szCs w:val="26"/>
        </w:rPr>
        <w:t>4</w:t>
      </w:r>
    </w:p>
    <w:p w:rsidR="000B6331" w:rsidRPr="007620D2" w:rsidRDefault="000B6331" w:rsidP="000B6331">
      <w:pPr>
        <w:tabs>
          <w:tab w:val="right" w:pos="9360"/>
        </w:tabs>
        <w:suppressAutoHyphens/>
        <w:rPr>
          <w:sz w:val="26"/>
          <w:szCs w:val="26"/>
        </w:rPr>
      </w:pPr>
    </w:p>
    <w:p w:rsidR="000B6331" w:rsidRPr="007620D2" w:rsidRDefault="000B6331" w:rsidP="000B6331">
      <w:pPr>
        <w:tabs>
          <w:tab w:val="left" w:pos="-720"/>
        </w:tabs>
        <w:suppressAutoHyphens/>
        <w:rPr>
          <w:sz w:val="26"/>
        </w:rPr>
      </w:pPr>
    </w:p>
    <w:p w:rsidR="000B6331" w:rsidRPr="007620D2" w:rsidRDefault="000B6331" w:rsidP="000B6331">
      <w:pPr>
        <w:tabs>
          <w:tab w:val="left" w:pos="-720"/>
        </w:tabs>
        <w:suppressAutoHyphens/>
        <w:rPr>
          <w:sz w:val="26"/>
        </w:rPr>
      </w:pPr>
      <w:r w:rsidRPr="007620D2">
        <w:rPr>
          <w:sz w:val="26"/>
        </w:rPr>
        <w:t>Commissioners Present:</w:t>
      </w:r>
    </w:p>
    <w:p w:rsidR="000B6331" w:rsidRPr="007620D2" w:rsidRDefault="000B6331" w:rsidP="000B6331">
      <w:pPr>
        <w:tabs>
          <w:tab w:val="left" w:pos="-720"/>
        </w:tabs>
        <w:suppressAutoHyphens/>
        <w:rPr>
          <w:sz w:val="26"/>
        </w:rPr>
      </w:pPr>
    </w:p>
    <w:p w:rsidR="000B6331" w:rsidRPr="007620D2" w:rsidRDefault="000B6331" w:rsidP="000B6331">
      <w:pPr>
        <w:tabs>
          <w:tab w:val="left" w:pos="-720"/>
          <w:tab w:val="left" w:pos="0"/>
        </w:tabs>
        <w:suppressAutoHyphens/>
        <w:rPr>
          <w:sz w:val="26"/>
          <w:szCs w:val="26"/>
        </w:rPr>
      </w:pPr>
      <w:r w:rsidRPr="007620D2">
        <w:rPr>
          <w:sz w:val="26"/>
        </w:rPr>
        <w:tab/>
      </w:r>
      <w:r w:rsidR="00C03AA3">
        <w:rPr>
          <w:sz w:val="26"/>
          <w:szCs w:val="26"/>
        </w:rPr>
        <w:t>Robert F. Powelson</w:t>
      </w:r>
      <w:r w:rsidRPr="007620D2">
        <w:rPr>
          <w:sz w:val="26"/>
          <w:szCs w:val="26"/>
        </w:rPr>
        <w:t>, Chairman</w:t>
      </w:r>
    </w:p>
    <w:p w:rsidR="000B6331" w:rsidRPr="007620D2" w:rsidRDefault="000B6331" w:rsidP="000B6331">
      <w:pPr>
        <w:tabs>
          <w:tab w:val="left" w:pos="-720"/>
          <w:tab w:val="left" w:pos="0"/>
        </w:tabs>
        <w:suppressAutoHyphens/>
        <w:rPr>
          <w:sz w:val="26"/>
          <w:szCs w:val="26"/>
        </w:rPr>
      </w:pPr>
      <w:r w:rsidRPr="007620D2">
        <w:rPr>
          <w:sz w:val="26"/>
          <w:szCs w:val="26"/>
        </w:rPr>
        <w:tab/>
      </w:r>
      <w:r w:rsidR="00C03AA3">
        <w:rPr>
          <w:sz w:val="26"/>
          <w:szCs w:val="26"/>
        </w:rPr>
        <w:t>John F. Coleman, Jr.</w:t>
      </w:r>
      <w:r w:rsidRPr="007620D2">
        <w:rPr>
          <w:sz w:val="26"/>
          <w:szCs w:val="26"/>
        </w:rPr>
        <w:t>, Vice Chairman</w:t>
      </w:r>
    </w:p>
    <w:p w:rsidR="00041DF4" w:rsidRDefault="000B6331" w:rsidP="000B6331">
      <w:pPr>
        <w:tabs>
          <w:tab w:val="left" w:pos="-720"/>
          <w:tab w:val="left" w:pos="0"/>
        </w:tabs>
        <w:suppressAutoHyphens/>
        <w:rPr>
          <w:sz w:val="26"/>
          <w:szCs w:val="26"/>
        </w:rPr>
      </w:pPr>
      <w:r w:rsidRPr="007620D2">
        <w:rPr>
          <w:sz w:val="26"/>
          <w:szCs w:val="26"/>
        </w:rPr>
        <w:tab/>
      </w:r>
      <w:r w:rsidR="00C03AA3">
        <w:rPr>
          <w:sz w:val="26"/>
          <w:szCs w:val="26"/>
        </w:rPr>
        <w:t>James H. Cawley</w:t>
      </w:r>
    </w:p>
    <w:p w:rsidR="000B6331" w:rsidRPr="007620D2" w:rsidRDefault="00041DF4" w:rsidP="000B6331">
      <w:pPr>
        <w:tabs>
          <w:tab w:val="left" w:pos="-720"/>
          <w:tab w:val="left" w:pos="0"/>
        </w:tabs>
        <w:suppressAutoHyphens/>
        <w:rPr>
          <w:sz w:val="26"/>
          <w:szCs w:val="26"/>
        </w:rPr>
      </w:pPr>
      <w:r>
        <w:rPr>
          <w:sz w:val="26"/>
          <w:szCs w:val="26"/>
        </w:rPr>
        <w:tab/>
      </w:r>
      <w:r w:rsidR="00C03AA3">
        <w:rPr>
          <w:sz w:val="26"/>
          <w:szCs w:val="26"/>
        </w:rPr>
        <w:t>Pamela A. Witmer</w:t>
      </w:r>
    </w:p>
    <w:p w:rsidR="000B6331" w:rsidRPr="007620D2" w:rsidRDefault="000B6331" w:rsidP="000B6331">
      <w:pPr>
        <w:tabs>
          <w:tab w:val="left" w:pos="-720"/>
          <w:tab w:val="left" w:pos="0"/>
        </w:tabs>
        <w:suppressAutoHyphens/>
        <w:rPr>
          <w:sz w:val="26"/>
          <w:szCs w:val="26"/>
        </w:rPr>
      </w:pPr>
      <w:r w:rsidRPr="007620D2">
        <w:rPr>
          <w:sz w:val="26"/>
          <w:szCs w:val="26"/>
        </w:rPr>
        <w:tab/>
      </w:r>
      <w:r w:rsidR="00C03AA3">
        <w:rPr>
          <w:sz w:val="26"/>
          <w:szCs w:val="26"/>
        </w:rPr>
        <w:t>Gladys M. Brown</w:t>
      </w:r>
    </w:p>
    <w:p w:rsidR="000B6331" w:rsidRPr="007620D2" w:rsidRDefault="000B6331" w:rsidP="000B6331">
      <w:pPr>
        <w:tabs>
          <w:tab w:val="left" w:pos="-720"/>
          <w:tab w:val="left" w:pos="0"/>
        </w:tabs>
        <w:suppressAutoHyphens/>
        <w:rPr>
          <w:sz w:val="26"/>
          <w:szCs w:val="26"/>
        </w:rPr>
      </w:pPr>
    </w:p>
    <w:p w:rsidR="00C2455C" w:rsidRPr="007620D2" w:rsidRDefault="00C2455C" w:rsidP="00C2455C">
      <w:pPr>
        <w:tabs>
          <w:tab w:val="left" w:pos="-720"/>
        </w:tabs>
        <w:suppressAutoHyphens/>
        <w:jc w:val="both"/>
        <w:rPr>
          <w:spacing w:val="-3"/>
          <w:sz w:val="26"/>
          <w:szCs w:val="26"/>
        </w:rPr>
      </w:pPr>
    </w:p>
    <w:p w:rsidR="00772553" w:rsidRDefault="00490DDD" w:rsidP="00496F8D">
      <w:pPr>
        <w:tabs>
          <w:tab w:val="left" w:pos="-720"/>
        </w:tabs>
        <w:suppressAutoHyphens/>
        <w:jc w:val="both"/>
        <w:rPr>
          <w:spacing w:val="-3"/>
          <w:sz w:val="26"/>
          <w:szCs w:val="26"/>
        </w:rPr>
      </w:pPr>
      <w:r>
        <w:rPr>
          <w:spacing w:val="-3"/>
          <w:sz w:val="26"/>
          <w:szCs w:val="26"/>
        </w:rPr>
        <w:t>Interim</w:t>
      </w:r>
      <w:r w:rsidR="00496F8D">
        <w:rPr>
          <w:spacing w:val="-3"/>
          <w:sz w:val="26"/>
          <w:szCs w:val="26"/>
        </w:rPr>
        <w:t xml:space="preserve"> Guidelines</w:t>
      </w:r>
      <w:r w:rsidR="00772553">
        <w:rPr>
          <w:spacing w:val="-3"/>
          <w:sz w:val="26"/>
          <w:szCs w:val="26"/>
        </w:rPr>
        <w:tab/>
      </w:r>
      <w:r w:rsidR="00772553">
        <w:rPr>
          <w:spacing w:val="-3"/>
          <w:sz w:val="26"/>
          <w:szCs w:val="26"/>
        </w:rPr>
        <w:tab/>
      </w:r>
      <w:r w:rsidR="00772553">
        <w:rPr>
          <w:spacing w:val="-3"/>
          <w:sz w:val="26"/>
          <w:szCs w:val="26"/>
        </w:rPr>
        <w:tab/>
      </w:r>
      <w:r w:rsidR="00772553">
        <w:rPr>
          <w:spacing w:val="-3"/>
          <w:sz w:val="26"/>
          <w:szCs w:val="26"/>
        </w:rPr>
        <w:tab/>
      </w:r>
      <w:r w:rsidR="00772553">
        <w:rPr>
          <w:spacing w:val="-3"/>
          <w:sz w:val="26"/>
          <w:szCs w:val="26"/>
        </w:rPr>
        <w:tab/>
      </w:r>
      <w:r w:rsidR="00860BA4">
        <w:rPr>
          <w:spacing w:val="-3"/>
          <w:sz w:val="26"/>
          <w:szCs w:val="26"/>
        </w:rPr>
        <w:tab/>
      </w:r>
      <w:r w:rsidR="00637C77">
        <w:rPr>
          <w:spacing w:val="-3"/>
          <w:sz w:val="26"/>
          <w:szCs w:val="26"/>
        </w:rPr>
        <w:t>Docket No.</w:t>
      </w:r>
      <w:r w:rsidR="00637C77" w:rsidRPr="00637C77">
        <w:rPr>
          <w:spacing w:val="-3"/>
          <w:sz w:val="26"/>
          <w:szCs w:val="26"/>
        </w:rPr>
        <w:t xml:space="preserve"> </w:t>
      </w:r>
      <w:r w:rsidR="00637C77">
        <w:rPr>
          <w:spacing w:val="-3"/>
          <w:sz w:val="26"/>
          <w:szCs w:val="26"/>
        </w:rPr>
        <w:t>M-2010-2183412</w:t>
      </w:r>
    </w:p>
    <w:p w:rsidR="0028199C" w:rsidRPr="007620D2" w:rsidRDefault="00496F8D" w:rsidP="00496F8D">
      <w:pPr>
        <w:tabs>
          <w:tab w:val="left" w:pos="-720"/>
        </w:tabs>
        <w:suppressAutoHyphens/>
        <w:jc w:val="both"/>
        <w:rPr>
          <w:spacing w:val="-3"/>
          <w:sz w:val="26"/>
          <w:szCs w:val="26"/>
        </w:rPr>
      </w:pPr>
      <w:r>
        <w:rPr>
          <w:spacing w:val="-3"/>
          <w:sz w:val="26"/>
          <w:szCs w:val="26"/>
        </w:rPr>
        <w:t>For Eligible Customer Lists</w:t>
      </w:r>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p>
    <w:p w:rsidR="004063F8" w:rsidRPr="007620D2" w:rsidRDefault="004063F8" w:rsidP="007620D2">
      <w:pPr>
        <w:tabs>
          <w:tab w:val="left" w:pos="-720"/>
        </w:tabs>
        <w:suppressAutoHyphens/>
        <w:spacing w:line="360" w:lineRule="auto"/>
        <w:jc w:val="both"/>
        <w:rPr>
          <w:spacing w:val="-3"/>
          <w:sz w:val="26"/>
          <w:szCs w:val="26"/>
        </w:rPr>
      </w:pPr>
    </w:p>
    <w:p w:rsidR="00C2455C" w:rsidRPr="007620D2" w:rsidRDefault="00C03AA3" w:rsidP="007620D2">
      <w:pPr>
        <w:tabs>
          <w:tab w:val="center" w:pos="4680"/>
        </w:tabs>
        <w:suppressAutoHyphens/>
        <w:spacing w:line="360" w:lineRule="auto"/>
        <w:jc w:val="center"/>
        <w:rPr>
          <w:b/>
          <w:bCs/>
          <w:spacing w:val="-3"/>
          <w:sz w:val="26"/>
          <w:szCs w:val="26"/>
        </w:rPr>
      </w:pPr>
      <w:r>
        <w:rPr>
          <w:b/>
          <w:bCs/>
          <w:spacing w:val="-3"/>
          <w:sz w:val="26"/>
          <w:szCs w:val="26"/>
        </w:rPr>
        <w:t>TENTATIVE ORDER</w:t>
      </w:r>
    </w:p>
    <w:p w:rsidR="00C2455C" w:rsidRPr="007620D2" w:rsidRDefault="00C2455C" w:rsidP="007620D2">
      <w:pPr>
        <w:tabs>
          <w:tab w:val="center" w:pos="4680"/>
        </w:tabs>
        <w:suppressAutoHyphens/>
        <w:spacing w:line="360" w:lineRule="auto"/>
        <w:jc w:val="center"/>
        <w:rPr>
          <w:b/>
          <w:bCs/>
          <w:spacing w:val="-3"/>
          <w:sz w:val="26"/>
          <w:szCs w:val="26"/>
          <w:u w:val="single"/>
        </w:rPr>
      </w:pPr>
    </w:p>
    <w:p w:rsidR="00C2455C" w:rsidRPr="007620D2" w:rsidRDefault="00C2455C" w:rsidP="007620D2">
      <w:pPr>
        <w:spacing w:line="360" w:lineRule="auto"/>
        <w:rPr>
          <w:b/>
          <w:bCs/>
          <w:spacing w:val="-3"/>
          <w:sz w:val="26"/>
          <w:szCs w:val="26"/>
        </w:rPr>
      </w:pPr>
      <w:r w:rsidRPr="007620D2">
        <w:rPr>
          <w:b/>
          <w:bCs/>
          <w:spacing w:val="-3"/>
          <w:sz w:val="26"/>
          <w:szCs w:val="26"/>
        </w:rPr>
        <w:t>BY THE COMMISSION:</w:t>
      </w:r>
    </w:p>
    <w:p w:rsidR="007620D2" w:rsidRPr="007620D2" w:rsidRDefault="007620D2" w:rsidP="007620D2">
      <w:pPr>
        <w:spacing w:line="360" w:lineRule="auto"/>
        <w:rPr>
          <w:b/>
          <w:bCs/>
          <w:spacing w:val="-3"/>
          <w:sz w:val="26"/>
          <w:szCs w:val="26"/>
        </w:rPr>
      </w:pPr>
    </w:p>
    <w:p w:rsidR="007946C0" w:rsidRDefault="007620D2" w:rsidP="00D22E94">
      <w:pPr>
        <w:spacing w:line="360" w:lineRule="auto"/>
        <w:rPr>
          <w:bCs/>
          <w:spacing w:val="-3"/>
          <w:sz w:val="26"/>
          <w:szCs w:val="26"/>
        </w:rPr>
      </w:pPr>
      <w:r w:rsidRPr="007620D2">
        <w:rPr>
          <w:b/>
          <w:bCs/>
          <w:spacing w:val="-3"/>
          <w:sz w:val="26"/>
          <w:szCs w:val="26"/>
        </w:rPr>
        <w:tab/>
      </w:r>
      <w:r w:rsidRPr="007620D2">
        <w:rPr>
          <w:bCs/>
          <w:spacing w:val="-3"/>
          <w:sz w:val="26"/>
          <w:szCs w:val="26"/>
        </w:rPr>
        <w:t>Before the Commission is a recommendation from the Commission’s Office of Competitive Market Oversight</w:t>
      </w:r>
      <w:r>
        <w:rPr>
          <w:bCs/>
          <w:spacing w:val="-3"/>
          <w:sz w:val="26"/>
          <w:szCs w:val="26"/>
        </w:rPr>
        <w:t xml:space="preserve"> (OCMO) to </w:t>
      </w:r>
      <w:r w:rsidR="00C03AA3">
        <w:rPr>
          <w:bCs/>
          <w:spacing w:val="-3"/>
          <w:sz w:val="26"/>
          <w:szCs w:val="26"/>
        </w:rPr>
        <w:t>require triennial company</w:t>
      </w:r>
      <w:r w:rsidR="00B773DE">
        <w:rPr>
          <w:bCs/>
          <w:spacing w:val="-3"/>
          <w:sz w:val="26"/>
          <w:szCs w:val="26"/>
        </w:rPr>
        <w:t>-</w:t>
      </w:r>
      <w:r w:rsidR="00C03AA3">
        <w:rPr>
          <w:bCs/>
          <w:spacing w:val="-3"/>
          <w:sz w:val="26"/>
          <w:szCs w:val="26"/>
        </w:rPr>
        <w:t xml:space="preserve">wide solicitations of residential and small commercial customers by the </w:t>
      </w:r>
      <w:r w:rsidR="00490DDD">
        <w:rPr>
          <w:bCs/>
          <w:spacing w:val="-3"/>
          <w:sz w:val="26"/>
          <w:szCs w:val="26"/>
        </w:rPr>
        <w:t>E</w:t>
      </w:r>
      <w:r>
        <w:rPr>
          <w:bCs/>
          <w:spacing w:val="-3"/>
          <w:sz w:val="26"/>
          <w:szCs w:val="26"/>
        </w:rPr>
        <w:t xml:space="preserve">lectric </w:t>
      </w:r>
      <w:r w:rsidR="00490DDD">
        <w:rPr>
          <w:bCs/>
          <w:spacing w:val="-3"/>
          <w:sz w:val="26"/>
          <w:szCs w:val="26"/>
        </w:rPr>
        <w:t>D</w:t>
      </w:r>
      <w:r>
        <w:rPr>
          <w:bCs/>
          <w:spacing w:val="-3"/>
          <w:sz w:val="26"/>
          <w:szCs w:val="26"/>
        </w:rPr>
        <w:t xml:space="preserve">istribution </w:t>
      </w:r>
      <w:r w:rsidR="00490DDD">
        <w:rPr>
          <w:bCs/>
          <w:spacing w:val="-3"/>
          <w:sz w:val="26"/>
          <w:szCs w:val="26"/>
        </w:rPr>
        <w:t>C</w:t>
      </w:r>
      <w:r>
        <w:rPr>
          <w:bCs/>
          <w:spacing w:val="-3"/>
          <w:sz w:val="26"/>
          <w:szCs w:val="26"/>
        </w:rPr>
        <w:t xml:space="preserve">ompanies </w:t>
      </w:r>
      <w:r w:rsidR="00D22E94">
        <w:rPr>
          <w:bCs/>
          <w:spacing w:val="-3"/>
          <w:sz w:val="26"/>
          <w:szCs w:val="26"/>
        </w:rPr>
        <w:t>(EDC</w:t>
      </w:r>
      <w:r w:rsidR="00496F8D">
        <w:rPr>
          <w:bCs/>
          <w:spacing w:val="-3"/>
          <w:sz w:val="26"/>
          <w:szCs w:val="26"/>
        </w:rPr>
        <w:t>s</w:t>
      </w:r>
      <w:r w:rsidR="00D22E94">
        <w:rPr>
          <w:bCs/>
          <w:spacing w:val="-3"/>
          <w:sz w:val="26"/>
          <w:szCs w:val="26"/>
        </w:rPr>
        <w:t xml:space="preserve">) </w:t>
      </w:r>
      <w:r w:rsidR="00C03AA3">
        <w:rPr>
          <w:bCs/>
          <w:spacing w:val="-3"/>
          <w:sz w:val="26"/>
          <w:szCs w:val="26"/>
        </w:rPr>
        <w:t xml:space="preserve">in order to update the electric </w:t>
      </w:r>
      <w:r>
        <w:rPr>
          <w:bCs/>
          <w:spacing w:val="-3"/>
          <w:sz w:val="26"/>
          <w:szCs w:val="26"/>
        </w:rPr>
        <w:t>Eligible Customer Lists</w:t>
      </w:r>
      <w:r w:rsidR="00D22E94">
        <w:rPr>
          <w:bCs/>
          <w:spacing w:val="-3"/>
          <w:sz w:val="26"/>
          <w:szCs w:val="26"/>
        </w:rPr>
        <w:t xml:space="preserve"> (ECL)</w:t>
      </w:r>
      <w:r w:rsidR="00490DDD">
        <w:rPr>
          <w:bCs/>
          <w:spacing w:val="-3"/>
          <w:sz w:val="26"/>
          <w:szCs w:val="26"/>
        </w:rPr>
        <w:t>,</w:t>
      </w:r>
      <w:r w:rsidR="00D22E94">
        <w:rPr>
          <w:bCs/>
          <w:spacing w:val="-3"/>
          <w:sz w:val="26"/>
          <w:szCs w:val="26"/>
        </w:rPr>
        <w:t xml:space="preserve"> which are made available to Electric Generation Suppliers</w:t>
      </w:r>
      <w:r w:rsidR="00496F8D">
        <w:rPr>
          <w:bCs/>
          <w:spacing w:val="-3"/>
          <w:sz w:val="26"/>
          <w:szCs w:val="26"/>
        </w:rPr>
        <w:t xml:space="preserve"> (EGSs)</w:t>
      </w:r>
      <w:r w:rsidR="00D22E94">
        <w:rPr>
          <w:bCs/>
          <w:spacing w:val="-3"/>
          <w:sz w:val="26"/>
          <w:szCs w:val="26"/>
        </w:rPr>
        <w:t>.</w:t>
      </w:r>
      <w:r w:rsidR="00EA62D4">
        <w:rPr>
          <w:bCs/>
          <w:spacing w:val="-3"/>
          <w:sz w:val="26"/>
          <w:szCs w:val="26"/>
        </w:rPr>
        <w:t xml:space="preserve">  </w:t>
      </w:r>
      <w:r w:rsidR="00B773DE">
        <w:rPr>
          <w:bCs/>
          <w:spacing w:val="-3"/>
          <w:sz w:val="26"/>
          <w:szCs w:val="26"/>
        </w:rPr>
        <w:t>Through</w:t>
      </w:r>
      <w:r w:rsidR="00EA62D4">
        <w:rPr>
          <w:bCs/>
          <w:spacing w:val="-3"/>
          <w:sz w:val="26"/>
          <w:szCs w:val="26"/>
        </w:rPr>
        <w:t xml:space="preserve"> this Tentative Order, we </w:t>
      </w:r>
      <w:r w:rsidR="00B773DE">
        <w:rPr>
          <w:bCs/>
          <w:spacing w:val="-3"/>
          <w:sz w:val="26"/>
          <w:szCs w:val="26"/>
        </w:rPr>
        <w:t>seek</w:t>
      </w:r>
      <w:r w:rsidR="00EA62D4">
        <w:rPr>
          <w:bCs/>
          <w:spacing w:val="-3"/>
          <w:sz w:val="26"/>
          <w:szCs w:val="26"/>
        </w:rPr>
        <w:t xml:space="preserve"> public comment </w:t>
      </w:r>
      <w:r w:rsidR="00B773DE">
        <w:rPr>
          <w:bCs/>
          <w:spacing w:val="-3"/>
          <w:sz w:val="26"/>
          <w:szCs w:val="26"/>
        </w:rPr>
        <w:t xml:space="preserve">regarding </w:t>
      </w:r>
      <w:r w:rsidR="00C03AA3">
        <w:rPr>
          <w:bCs/>
          <w:spacing w:val="-3"/>
          <w:sz w:val="26"/>
          <w:szCs w:val="26"/>
        </w:rPr>
        <w:t>OCMO’s proposal</w:t>
      </w:r>
      <w:r w:rsidR="00EA62D4">
        <w:rPr>
          <w:bCs/>
          <w:spacing w:val="-3"/>
          <w:sz w:val="26"/>
          <w:szCs w:val="26"/>
        </w:rPr>
        <w:t>.</w:t>
      </w:r>
      <w:r w:rsidR="00D22E94">
        <w:rPr>
          <w:bCs/>
          <w:spacing w:val="-3"/>
          <w:sz w:val="26"/>
          <w:szCs w:val="26"/>
        </w:rPr>
        <w:t xml:space="preserve">  </w:t>
      </w:r>
    </w:p>
    <w:p w:rsidR="00D22E94" w:rsidRPr="007620D2" w:rsidRDefault="00D22E94" w:rsidP="00D22E94">
      <w:pPr>
        <w:spacing w:line="360" w:lineRule="auto"/>
        <w:rPr>
          <w:bCs/>
          <w:spacing w:val="-3"/>
          <w:sz w:val="26"/>
          <w:szCs w:val="26"/>
        </w:rPr>
      </w:pPr>
    </w:p>
    <w:p w:rsidR="0008766F" w:rsidRDefault="00B773DE" w:rsidP="007946C0">
      <w:pPr>
        <w:spacing w:line="360" w:lineRule="auto"/>
        <w:jc w:val="center"/>
        <w:rPr>
          <w:b/>
          <w:bCs/>
          <w:spacing w:val="-3"/>
          <w:sz w:val="26"/>
          <w:szCs w:val="26"/>
        </w:rPr>
      </w:pPr>
      <w:r>
        <w:rPr>
          <w:b/>
          <w:bCs/>
          <w:spacing w:val="-3"/>
          <w:sz w:val="26"/>
          <w:szCs w:val="26"/>
        </w:rPr>
        <w:t>Background</w:t>
      </w:r>
    </w:p>
    <w:p w:rsidR="00D22E94" w:rsidRPr="007620D2" w:rsidRDefault="00D22E94" w:rsidP="007946C0">
      <w:pPr>
        <w:spacing w:line="360" w:lineRule="auto"/>
        <w:jc w:val="center"/>
        <w:rPr>
          <w:b/>
          <w:bCs/>
          <w:spacing w:val="-3"/>
          <w:sz w:val="26"/>
          <w:szCs w:val="26"/>
        </w:rPr>
      </w:pPr>
    </w:p>
    <w:p w:rsidR="00E61325" w:rsidRPr="007620D2" w:rsidRDefault="00C82891" w:rsidP="00E61325">
      <w:pPr>
        <w:tabs>
          <w:tab w:val="center" w:pos="0"/>
          <w:tab w:val="left" w:pos="720"/>
        </w:tabs>
        <w:spacing w:line="360" w:lineRule="auto"/>
        <w:rPr>
          <w:sz w:val="26"/>
        </w:rPr>
      </w:pPr>
      <w:r w:rsidRPr="007620D2">
        <w:rPr>
          <w:sz w:val="26"/>
        </w:rPr>
        <w:tab/>
      </w:r>
      <w:r w:rsidR="00E61325" w:rsidRPr="007620D2">
        <w:rPr>
          <w:sz w:val="26"/>
        </w:rPr>
        <w:t xml:space="preserve">On January 9, 2009, the Pennsylvania Public Utility Commission announced the formation of OCMO to oversee the development and functioning of the competitive retail </w:t>
      </w:r>
      <w:r w:rsidR="00E61325" w:rsidRPr="007620D2">
        <w:rPr>
          <w:sz w:val="26"/>
        </w:rPr>
        <w:lastRenderedPageBreak/>
        <w:t>natural gas supply market.</w:t>
      </w:r>
      <w:r w:rsidR="00E61325">
        <w:rPr>
          <w:rStyle w:val="FootnoteReference"/>
          <w:sz w:val="26"/>
        </w:rPr>
        <w:footnoteReference w:id="1"/>
      </w:r>
      <w:r w:rsidR="00E61325" w:rsidRPr="007620D2">
        <w:rPr>
          <w:sz w:val="26"/>
        </w:rPr>
        <w:t xml:space="preserve">  Since then, OCMO has</w:t>
      </w:r>
      <w:r w:rsidR="007747B4">
        <w:rPr>
          <w:sz w:val="26"/>
        </w:rPr>
        <w:t xml:space="preserve"> been handling issues with </w:t>
      </w:r>
      <w:r w:rsidR="00E61325" w:rsidRPr="007620D2">
        <w:rPr>
          <w:sz w:val="26"/>
        </w:rPr>
        <w:t xml:space="preserve">the assistance of a group of legal, technical and policy staff members from various Commission bureaus and offices.  </w:t>
      </w:r>
    </w:p>
    <w:p w:rsidR="00E61325" w:rsidRPr="007620D2" w:rsidRDefault="00E61325" w:rsidP="00E61325">
      <w:pPr>
        <w:tabs>
          <w:tab w:val="center" w:pos="0"/>
          <w:tab w:val="left" w:pos="720"/>
        </w:tabs>
        <w:spacing w:line="360" w:lineRule="auto"/>
        <w:rPr>
          <w:sz w:val="26"/>
        </w:rPr>
      </w:pPr>
    </w:p>
    <w:p w:rsidR="00E61325" w:rsidRPr="007620D2" w:rsidRDefault="00E61325" w:rsidP="00E61325">
      <w:pPr>
        <w:tabs>
          <w:tab w:val="center" w:pos="0"/>
          <w:tab w:val="left" w:pos="720"/>
        </w:tabs>
        <w:spacing w:line="360" w:lineRule="auto"/>
        <w:rPr>
          <w:sz w:val="26"/>
        </w:rPr>
      </w:pPr>
      <w:r w:rsidRPr="007620D2">
        <w:rPr>
          <w:sz w:val="26"/>
        </w:rPr>
        <w:tab/>
        <w:t>Pursuant to a Secretarial Letter issued on December 10, 2009, the Commission expanded the role of OCMO to serve as the Commission’s electric retail choice ombudsman, as described in the Default Service and Retail Electric Markets Policy Statement at 52 Pa. Code §69.1817.</w:t>
      </w:r>
      <w:r>
        <w:rPr>
          <w:rStyle w:val="FootnoteReference"/>
          <w:sz w:val="26"/>
        </w:rPr>
        <w:footnoteReference w:id="2"/>
      </w:r>
      <w:r w:rsidRPr="007620D2">
        <w:rPr>
          <w:sz w:val="26"/>
        </w:rPr>
        <w:t xml:space="preserve">  Specifically, OCMO was given responsibility for responding to questions from </w:t>
      </w:r>
      <w:r>
        <w:rPr>
          <w:sz w:val="26"/>
        </w:rPr>
        <w:t>EGSs and other market participants</w:t>
      </w:r>
      <w:r w:rsidRPr="007620D2">
        <w:rPr>
          <w:sz w:val="26"/>
        </w:rPr>
        <w:t>, monitoring competitive market complaints and facilitating informal dispute resolution between the EDCs and EGSs</w:t>
      </w:r>
      <w:r w:rsidR="00B773DE">
        <w:rPr>
          <w:sz w:val="26"/>
        </w:rPr>
        <w:t>.</w:t>
      </w:r>
    </w:p>
    <w:p w:rsidR="002676CE" w:rsidRPr="007620D2" w:rsidRDefault="002676CE" w:rsidP="00E61325">
      <w:pPr>
        <w:tabs>
          <w:tab w:val="center" w:pos="0"/>
          <w:tab w:val="left" w:pos="720"/>
        </w:tabs>
        <w:spacing w:line="360" w:lineRule="auto"/>
        <w:rPr>
          <w:sz w:val="26"/>
        </w:rPr>
      </w:pPr>
    </w:p>
    <w:p w:rsidR="00E35F54" w:rsidRPr="007620D2" w:rsidRDefault="002676CE" w:rsidP="00A21E03">
      <w:pPr>
        <w:tabs>
          <w:tab w:val="center" w:pos="0"/>
          <w:tab w:val="left" w:pos="720"/>
        </w:tabs>
        <w:spacing w:line="360" w:lineRule="auto"/>
        <w:rPr>
          <w:b/>
          <w:bCs/>
          <w:spacing w:val="-3"/>
          <w:sz w:val="26"/>
          <w:szCs w:val="26"/>
        </w:rPr>
      </w:pPr>
      <w:r w:rsidRPr="007620D2">
        <w:rPr>
          <w:sz w:val="26"/>
        </w:rPr>
        <w:tab/>
      </w:r>
      <w:r w:rsidR="00A21E03" w:rsidRPr="007620D2">
        <w:rPr>
          <w:sz w:val="26"/>
        </w:rPr>
        <w:t xml:space="preserve">In the course of a meeting held by OCMO </w:t>
      </w:r>
      <w:r w:rsidR="00A21E03">
        <w:rPr>
          <w:sz w:val="26"/>
        </w:rPr>
        <w:t xml:space="preserve">through the </w:t>
      </w:r>
      <w:r w:rsidR="00A21E03" w:rsidRPr="00D97CBF">
        <w:rPr>
          <w:sz w:val="26"/>
        </w:rPr>
        <w:t>Committee Handling Activities for Retail Growth in Electricity (CHARGE</w:t>
      </w:r>
      <w:r w:rsidR="00A21E03">
        <w:t xml:space="preserve">) </w:t>
      </w:r>
      <w:r w:rsidR="00A21E03" w:rsidRPr="007620D2">
        <w:rPr>
          <w:sz w:val="26"/>
        </w:rPr>
        <w:t xml:space="preserve">on April 8, 2010, the issue of creating a </w:t>
      </w:r>
      <w:r w:rsidR="00A21E03">
        <w:rPr>
          <w:sz w:val="26"/>
        </w:rPr>
        <w:t>uniform</w:t>
      </w:r>
      <w:r w:rsidR="00A21E03" w:rsidRPr="007620D2">
        <w:rPr>
          <w:sz w:val="26"/>
        </w:rPr>
        <w:t xml:space="preserve"> ECL was raised.</w:t>
      </w:r>
      <w:r w:rsidR="00AD08AF">
        <w:rPr>
          <w:rStyle w:val="FootnoteReference"/>
          <w:sz w:val="26"/>
        </w:rPr>
        <w:footnoteReference w:id="3"/>
      </w:r>
      <w:r w:rsidR="00A21E03" w:rsidRPr="007620D2">
        <w:rPr>
          <w:sz w:val="26"/>
        </w:rPr>
        <w:t xml:space="preserve">  This issue had previously been committed to and discussed by the </w:t>
      </w:r>
      <w:r w:rsidR="00A21E03">
        <w:rPr>
          <w:sz w:val="26"/>
        </w:rPr>
        <w:t xml:space="preserve">Commission’s </w:t>
      </w:r>
      <w:r w:rsidR="00A21E03" w:rsidRPr="007620D2">
        <w:rPr>
          <w:sz w:val="26"/>
        </w:rPr>
        <w:t xml:space="preserve">Electronic Data Exchange Working Group (EDEWG).  Following the discussion </w:t>
      </w:r>
      <w:r w:rsidR="00A21E03">
        <w:rPr>
          <w:sz w:val="26"/>
        </w:rPr>
        <w:t>at</w:t>
      </w:r>
      <w:r w:rsidR="00A21E03" w:rsidRPr="007620D2">
        <w:rPr>
          <w:sz w:val="26"/>
        </w:rPr>
        <w:t xml:space="preserve"> the April 8 </w:t>
      </w:r>
      <w:r w:rsidR="00A21E03">
        <w:rPr>
          <w:sz w:val="26"/>
        </w:rPr>
        <w:t xml:space="preserve">CHARGE </w:t>
      </w:r>
      <w:r w:rsidR="00A21E03" w:rsidRPr="007620D2">
        <w:rPr>
          <w:sz w:val="26"/>
        </w:rPr>
        <w:t xml:space="preserve">meeting, a team was assigned the task of continuing the discussion held by EDEWG and determining which </w:t>
      </w:r>
      <w:r w:rsidR="00A21E03">
        <w:rPr>
          <w:sz w:val="26"/>
        </w:rPr>
        <w:t xml:space="preserve">ECL </w:t>
      </w:r>
      <w:r w:rsidR="00A21E03" w:rsidRPr="007620D2">
        <w:rPr>
          <w:sz w:val="26"/>
        </w:rPr>
        <w:t xml:space="preserve">issues could be solved by consensus between the EDCs and EGSs and which issues would </w:t>
      </w:r>
      <w:r w:rsidR="00A21E03">
        <w:rPr>
          <w:sz w:val="26"/>
        </w:rPr>
        <w:t xml:space="preserve">need to </w:t>
      </w:r>
      <w:r w:rsidR="00A21E03" w:rsidRPr="007620D2">
        <w:rPr>
          <w:sz w:val="26"/>
        </w:rPr>
        <w:t xml:space="preserve">be resolved with Commission guidance.  </w:t>
      </w:r>
      <w:r w:rsidR="00A21E03">
        <w:rPr>
          <w:sz w:val="26"/>
        </w:rPr>
        <w:t xml:space="preserve">At the conclusion of those discussions, the team reported back to CHARGE during </w:t>
      </w:r>
      <w:r w:rsidR="006B2427">
        <w:rPr>
          <w:sz w:val="26"/>
        </w:rPr>
        <w:t>a</w:t>
      </w:r>
      <w:r w:rsidR="00A21E03">
        <w:rPr>
          <w:sz w:val="26"/>
        </w:rPr>
        <w:t xml:space="preserve"> teleconference held on April 29, 2010.  Various aspects of the ECL were d</w:t>
      </w:r>
      <w:r w:rsidR="00B773DE">
        <w:rPr>
          <w:sz w:val="26"/>
        </w:rPr>
        <w:t xml:space="preserve">iscussed, including </w:t>
      </w:r>
      <w:r w:rsidR="00A21E03">
        <w:rPr>
          <w:sz w:val="26"/>
        </w:rPr>
        <w:t>consensus items,</w:t>
      </w:r>
      <w:r w:rsidR="00B773DE">
        <w:rPr>
          <w:sz w:val="26"/>
        </w:rPr>
        <w:t xml:space="preserve"> non-consensus items</w:t>
      </w:r>
      <w:r w:rsidR="00A21E03">
        <w:rPr>
          <w:sz w:val="26"/>
        </w:rPr>
        <w:t xml:space="preserve"> and the various positions taken on the non-consensus items.  At the conclusion of the discussion, Commission Staff stated that it would take</w:t>
      </w:r>
      <w:r w:rsidR="00D845B0">
        <w:rPr>
          <w:sz w:val="26"/>
        </w:rPr>
        <w:t xml:space="preserve"> under advisement</w:t>
      </w:r>
      <w:r w:rsidR="00A21E03">
        <w:rPr>
          <w:sz w:val="26"/>
        </w:rPr>
        <w:t xml:space="preserve"> the team</w:t>
      </w:r>
      <w:r w:rsidR="00E35F54">
        <w:rPr>
          <w:sz w:val="26"/>
        </w:rPr>
        <w:t>’s</w:t>
      </w:r>
      <w:r w:rsidR="00A21E03">
        <w:rPr>
          <w:sz w:val="26"/>
        </w:rPr>
        <w:t xml:space="preserve"> ECL report and the CHARGE discussion </w:t>
      </w:r>
      <w:r w:rsidR="00D845B0">
        <w:rPr>
          <w:sz w:val="26"/>
        </w:rPr>
        <w:t>and prepare a r</w:t>
      </w:r>
      <w:r w:rsidR="00A21E03">
        <w:rPr>
          <w:sz w:val="26"/>
        </w:rPr>
        <w:t>ecommendation for</w:t>
      </w:r>
      <w:r w:rsidR="00B773DE">
        <w:rPr>
          <w:sz w:val="26"/>
        </w:rPr>
        <w:t xml:space="preserve"> the Commission’s consideration.  </w:t>
      </w:r>
      <w:r w:rsidR="004760C1">
        <w:rPr>
          <w:sz w:val="26"/>
        </w:rPr>
        <w:t xml:space="preserve">At its July 15, 2010 Public Meeting, the Commission adopted for public </w:t>
      </w:r>
      <w:r w:rsidR="004760C1">
        <w:rPr>
          <w:sz w:val="26"/>
        </w:rPr>
        <w:lastRenderedPageBreak/>
        <w:t xml:space="preserve">comment a Tentative Order outlining OCMO’s </w:t>
      </w:r>
      <w:r w:rsidR="004760C1">
        <w:rPr>
          <w:bCs/>
          <w:spacing w:val="-3"/>
          <w:sz w:val="26"/>
          <w:szCs w:val="26"/>
        </w:rPr>
        <w:t>proposal for the provision of more uniformity in the information to be provided in the EDCs’ ECLs.</w:t>
      </w:r>
      <w:r w:rsidR="004760C1">
        <w:rPr>
          <w:rStyle w:val="FootnoteReference"/>
          <w:bCs/>
          <w:spacing w:val="-3"/>
          <w:sz w:val="26"/>
          <w:szCs w:val="26"/>
        </w:rPr>
        <w:footnoteReference w:id="4"/>
      </w:r>
      <w:r w:rsidR="004760C1">
        <w:rPr>
          <w:bCs/>
          <w:spacing w:val="-3"/>
          <w:sz w:val="26"/>
          <w:szCs w:val="26"/>
        </w:rPr>
        <w:t xml:space="preserve">  </w:t>
      </w:r>
      <w:r w:rsidR="00E35F54">
        <w:rPr>
          <w:sz w:val="26"/>
        </w:rPr>
        <w:t>On November 15, 2011, the Commission adopted a Final Order, at the above-referenced docket, which outlined interim guidelines for the EDCs’ provision of the ECLs.</w:t>
      </w:r>
      <w:r w:rsidR="00E35F54">
        <w:rPr>
          <w:rStyle w:val="FootnoteReference"/>
          <w:sz w:val="26"/>
        </w:rPr>
        <w:footnoteReference w:id="5"/>
      </w:r>
      <w:r w:rsidR="00E35F54">
        <w:rPr>
          <w:sz w:val="26"/>
        </w:rPr>
        <w:t xml:space="preserve">  </w:t>
      </w:r>
    </w:p>
    <w:p w:rsidR="00E1098C" w:rsidRPr="007620D2" w:rsidRDefault="00E1098C" w:rsidP="00E61325">
      <w:pPr>
        <w:tabs>
          <w:tab w:val="center" w:pos="0"/>
          <w:tab w:val="left" w:pos="720"/>
        </w:tabs>
        <w:spacing w:line="360" w:lineRule="auto"/>
        <w:rPr>
          <w:b/>
          <w:bCs/>
          <w:spacing w:val="-3"/>
          <w:sz w:val="26"/>
          <w:szCs w:val="26"/>
        </w:rPr>
      </w:pPr>
    </w:p>
    <w:p w:rsidR="00940816" w:rsidRDefault="007E0E88" w:rsidP="009A687E">
      <w:pPr>
        <w:spacing w:line="360" w:lineRule="auto"/>
        <w:ind w:firstLine="720"/>
        <w:rPr>
          <w:sz w:val="26"/>
          <w:szCs w:val="26"/>
        </w:rPr>
      </w:pPr>
      <w:r>
        <w:rPr>
          <w:sz w:val="26"/>
          <w:szCs w:val="26"/>
        </w:rPr>
        <w:t>The issue of the provision of ECLs was again raised o</w:t>
      </w:r>
      <w:r w:rsidR="009A687E" w:rsidRPr="007747B4">
        <w:rPr>
          <w:sz w:val="26"/>
          <w:szCs w:val="26"/>
        </w:rPr>
        <w:t>n March 6, 2012,</w:t>
      </w:r>
      <w:r>
        <w:rPr>
          <w:sz w:val="26"/>
          <w:szCs w:val="26"/>
        </w:rPr>
        <w:t xml:space="preserve"> this time in relation to the Commonwealth’s competitive retail natural gas market.  On March 6, 2012,</w:t>
      </w:r>
      <w:r w:rsidR="009A687E" w:rsidRPr="007747B4">
        <w:rPr>
          <w:sz w:val="26"/>
          <w:szCs w:val="26"/>
        </w:rPr>
        <w:t xml:space="preserve"> Dominion Retail, Inc., Interstate Gas Supply, Inc., and Shipley Choice, LLC, petitioned the Commission, at Docket No. P-2012-2291983 (Petition), for a declaratory order stating that natural gas distribution companies (NGDCs) were under a continuing obligation to provide complete </w:t>
      </w:r>
      <w:r w:rsidR="00656E2B">
        <w:rPr>
          <w:sz w:val="26"/>
          <w:szCs w:val="26"/>
        </w:rPr>
        <w:t>ECLs</w:t>
      </w:r>
      <w:r w:rsidR="009A687E" w:rsidRPr="007747B4">
        <w:rPr>
          <w:sz w:val="26"/>
          <w:szCs w:val="26"/>
        </w:rPr>
        <w:t xml:space="preserve"> to retail natural gas suppliers (NGSs) operating in their service territories without the imposition of fees on the NGSs.</w:t>
      </w:r>
      <w:r w:rsidR="006B2427">
        <w:rPr>
          <w:rStyle w:val="FootnoteReference"/>
          <w:sz w:val="26"/>
          <w:szCs w:val="26"/>
        </w:rPr>
        <w:footnoteReference w:id="6"/>
      </w:r>
      <w:r w:rsidR="009A687E" w:rsidRPr="007747B4">
        <w:rPr>
          <w:sz w:val="26"/>
          <w:szCs w:val="26"/>
        </w:rPr>
        <w:t xml:space="preserve">  </w:t>
      </w:r>
      <w:r w:rsidR="00695AB8" w:rsidRPr="007747B4">
        <w:rPr>
          <w:sz w:val="26"/>
          <w:szCs w:val="26"/>
        </w:rPr>
        <w:t xml:space="preserve">By an Order adopted at </w:t>
      </w:r>
      <w:r w:rsidR="0025675E">
        <w:rPr>
          <w:sz w:val="26"/>
          <w:szCs w:val="26"/>
        </w:rPr>
        <w:t>its</w:t>
      </w:r>
      <w:r w:rsidR="00695AB8" w:rsidRPr="007747B4">
        <w:rPr>
          <w:sz w:val="26"/>
          <w:szCs w:val="26"/>
        </w:rPr>
        <w:t xml:space="preserve"> September 27, 2012 Public Meeting, the Commission determined that NGDCs were not required to continually provide </w:t>
      </w:r>
      <w:r w:rsidR="0025675E">
        <w:rPr>
          <w:sz w:val="26"/>
          <w:szCs w:val="26"/>
        </w:rPr>
        <w:t xml:space="preserve">ECLs </w:t>
      </w:r>
      <w:r w:rsidR="00695AB8" w:rsidRPr="007747B4">
        <w:rPr>
          <w:sz w:val="26"/>
          <w:szCs w:val="26"/>
        </w:rPr>
        <w:t>at no cost to the NGS</w:t>
      </w:r>
      <w:r w:rsidR="0025675E">
        <w:rPr>
          <w:sz w:val="26"/>
          <w:szCs w:val="26"/>
        </w:rPr>
        <w:t>s</w:t>
      </w:r>
      <w:r w:rsidR="00695AB8" w:rsidRPr="007747B4">
        <w:rPr>
          <w:sz w:val="26"/>
          <w:szCs w:val="26"/>
        </w:rPr>
        <w:t xml:space="preserve"> and denied the Petition.</w:t>
      </w:r>
      <w:r w:rsidR="00695AB8" w:rsidRPr="007747B4">
        <w:rPr>
          <w:rStyle w:val="FootnoteReference"/>
          <w:sz w:val="26"/>
          <w:szCs w:val="26"/>
        </w:rPr>
        <w:footnoteReference w:id="7"/>
      </w:r>
    </w:p>
    <w:p w:rsidR="00940816" w:rsidRDefault="00940816" w:rsidP="009A687E">
      <w:pPr>
        <w:spacing w:line="360" w:lineRule="auto"/>
        <w:ind w:firstLine="720"/>
        <w:rPr>
          <w:sz w:val="26"/>
          <w:szCs w:val="26"/>
        </w:rPr>
      </w:pPr>
    </w:p>
    <w:p w:rsidR="009A687E" w:rsidRDefault="0042507F" w:rsidP="009A687E">
      <w:pPr>
        <w:spacing w:line="360" w:lineRule="auto"/>
        <w:ind w:firstLine="720"/>
        <w:rPr>
          <w:sz w:val="26"/>
          <w:szCs w:val="26"/>
        </w:rPr>
      </w:pPr>
      <w:r w:rsidRPr="007747B4">
        <w:rPr>
          <w:sz w:val="26"/>
          <w:szCs w:val="26"/>
        </w:rPr>
        <w:t>In a</w:t>
      </w:r>
      <w:r w:rsidR="009A687E" w:rsidRPr="007747B4">
        <w:rPr>
          <w:sz w:val="26"/>
          <w:szCs w:val="26"/>
        </w:rPr>
        <w:t xml:space="preserve"> separate Order, </w:t>
      </w:r>
      <w:r w:rsidR="00695AB8" w:rsidRPr="007747B4">
        <w:rPr>
          <w:sz w:val="26"/>
          <w:szCs w:val="26"/>
        </w:rPr>
        <w:t xml:space="preserve">also </w:t>
      </w:r>
      <w:r w:rsidR="009A687E" w:rsidRPr="007747B4">
        <w:rPr>
          <w:sz w:val="26"/>
          <w:szCs w:val="26"/>
        </w:rPr>
        <w:t>adopted at the September 27, 2012 Public Meeting, the Commission determined that it was apparent from the pleading</w:t>
      </w:r>
      <w:r w:rsidR="0025675E">
        <w:rPr>
          <w:sz w:val="26"/>
          <w:szCs w:val="26"/>
        </w:rPr>
        <w:t>s in the</w:t>
      </w:r>
      <w:r w:rsidR="009A687E" w:rsidRPr="007747B4">
        <w:rPr>
          <w:sz w:val="26"/>
          <w:szCs w:val="26"/>
        </w:rPr>
        <w:t xml:space="preserve"> declaratory order proceeding at P-2012-2291983 that there is much divergence among NGDCs concerning the provision of customer lists.  Accordingly, the Commission issued a </w:t>
      </w:r>
      <w:r w:rsidR="009A687E" w:rsidRPr="0025675E">
        <w:rPr>
          <w:sz w:val="26"/>
          <w:szCs w:val="26"/>
        </w:rPr>
        <w:t>Tentative Order</w:t>
      </w:r>
      <w:r w:rsidR="009A687E" w:rsidRPr="007747B4">
        <w:rPr>
          <w:sz w:val="26"/>
          <w:szCs w:val="26"/>
        </w:rPr>
        <w:t xml:space="preserve"> setting forth proposed guidelines in order to provide uniformity in the customer account information provided by NGDCs to NGSs.</w:t>
      </w:r>
      <w:r w:rsidR="0025675E">
        <w:rPr>
          <w:rStyle w:val="FootnoteReference"/>
          <w:sz w:val="26"/>
          <w:szCs w:val="26"/>
        </w:rPr>
        <w:footnoteReference w:id="8"/>
      </w:r>
      <w:r w:rsidR="009A687E" w:rsidRPr="007747B4">
        <w:rPr>
          <w:sz w:val="26"/>
          <w:szCs w:val="26"/>
        </w:rPr>
        <w:t xml:space="preserve">  </w:t>
      </w:r>
      <w:r w:rsidR="00940816">
        <w:rPr>
          <w:sz w:val="26"/>
          <w:szCs w:val="26"/>
        </w:rPr>
        <w:t xml:space="preserve">At its August 15, 2013 Public Meeting, the Commission </w:t>
      </w:r>
      <w:r w:rsidR="00476EF6">
        <w:rPr>
          <w:sz w:val="26"/>
          <w:szCs w:val="26"/>
        </w:rPr>
        <w:t xml:space="preserve">unanimously </w:t>
      </w:r>
      <w:r w:rsidR="00940816">
        <w:rPr>
          <w:sz w:val="26"/>
          <w:szCs w:val="26"/>
        </w:rPr>
        <w:t xml:space="preserve">adopted the Joint Motion of Commissioners Pamela A. </w:t>
      </w:r>
      <w:r w:rsidR="00940816">
        <w:rPr>
          <w:sz w:val="26"/>
          <w:szCs w:val="26"/>
        </w:rPr>
        <w:lastRenderedPageBreak/>
        <w:t>Witmer and James H. Cawley regarding a Final Order</w:t>
      </w:r>
      <w:r w:rsidR="00940816">
        <w:rPr>
          <w:rStyle w:val="FootnoteReference"/>
          <w:sz w:val="26"/>
          <w:szCs w:val="26"/>
        </w:rPr>
        <w:footnoteReference w:id="9"/>
      </w:r>
      <w:r w:rsidR="00940816">
        <w:rPr>
          <w:sz w:val="26"/>
          <w:szCs w:val="26"/>
        </w:rPr>
        <w:t xml:space="preserve"> outlining final interim guidelines</w:t>
      </w:r>
      <w:r w:rsidR="00476EF6">
        <w:rPr>
          <w:sz w:val="26"/>
          <w:szCs w:val="26"/>
        </w:rPr>
        <w:t xml:space="preserve"> for the NGDC provision of ECLs.  In the Joint Motion, the Commissioners stated the following:</w:t>
      </w:r>
    </w:p>
    <w:p w:rsidR="00476EF6" w:rsidRPr="009D5604" w:rsidRDefault="00476EF6" w:rsidP="007B42FB">
      <w:pPr>
        <w:ind w:left="720" w:right="720"/>
        <w:rPr>
          <w:sz w:val="26"/>
          <w:szCs w:val="26"/>
        </w:rPr>
      </w:pPr>
      <w:r>
        <w:rPr>
          <w:sz w:val="26"/>
          <w:szCs w:val="26"/>
        </w:rPr>
        <w:t xml:space="preserve">Additionally, upon further review of the </w:t>
      </w:r>
      <w:r>
        <w:rPr>
          <w:i/>
          <w:sz w:val="26"/>
          <w:szCs w:val="26"/>
        </w:rPr>
        <w:t>Electric ECL Order</w:t>
      </w:r>
      <w:r>
        <w:rPr>
          <w:sz w:val="26"/>
          <w:szCs w:val="26"/>
        </w:rPr>
        <w:t xml:space="preserve">, it has come to our attention that while we determined that “[i]n lieu of annual companywide solicitations, EDCs shall actively notify customers of their withholding options through each new customer’s welcome package and </w:t>
      </w:r>
      <w:r w:rsidRPr="009D5604">
        <w:rPr>
          <w:sz w:val="26"/>
          <w:szCs w:val="26"/>
        </w:rPr>
        <w:t>through periodic announcements in customer bill inserts, e-mail, or a separate announcement included in the customer’s paper bill or electronic notification, if available,” we failed to institute any sort of dedicated solicitation to “refresh” an EDC’s ECL on a company-wide basis.  Accordingly, as part of this Motion, we suggest referring this issue to the Office of Competitive Markets Oversight (OCMO) for discussion by its CHARGE</w:t>
      </w:r>
      <w:r w:rsidRPr="009D5604">
        <w:rPr>
          <w:rStyle w:val="FootnoteReference"/>
          <w:sz w:val="26"/>
          <w:szCs w:val="26"/>
        </w:rPr>
        <w:footnoteReference w:id="10"/>
      </w:r>
      <w:r w:rsidRPr="009D5604">
        <w:rPr>
          <w:sz w:val="26"/>
          <w:szCs w:val="26"/>
        </w:rPr>
        <w:t xml:space="preserve"> group in order to explore the necessity of such a requirement for EDCs.</w:t>
      </w:r>
      <w:r w:rsidR="00F003A3" w:rsidRPr="009D5604">
        <w:rPr>
          <w:sz w:val="26"/>
          <w:szCs w:val="26"/>
        </w:rPr>
        <w:t xml:space="preserve"> </w:t>
      </w:r>
    </w:p>
    <w:p w:rsidR="007B42FB" w:rsidRPr="009D5604" w:rsidRDefault="007B42FB" w:rsidP="00476EF6">
      <w:pPr>
        <w:ind w:left="720"/>
        <w:rPr>
          <w:sz w:val="26"/>
          <w:szCs w:val="26"/>
        </w:rPr>
      </w:pPr>
    </w:p>
    <w:p w:rsidR="009D5604" w:rsidRPr="009D5604" w:rsidRDefault="009D5604" w:rsidP="009D5604">
      <w:pPr>
        <w:spacing w:line="360" w:lineRule="auto"/>
        <w:rPr>
          <w:sz w:val="26"/>
          <w:szCs w:val="26"/>
        </w:rPr>
      </w:pPr>
      <w:r w:rsidRPr="009D5604">
        <w:rPr>
          <w:sz w:val="26"/>
          <w:szCs w:val="26"/>
        </w:rPr>
        <w:t xml:space="preserve">Joint Motion of Commissioners Pamela A. Witmer and James H. Cawley, </w:t>
      </w:r>
      <w:r w:rsidRPr="009D5604">
        <w:rPr>
          <w:i/>
          <w:sz w:val="26"/>
          <w:szCs w:val="26"/>
        </w:rPr>
        <w:t>Interim Guidelines for Natural Gas Distribution Company Eligible Customer Lists</w:t>
      </w:r>
      <w:r w:rsidRPr="009D5604">
        <w:rPr>
          <w:sz w:val="26"/>
          <w:szCs w:val="26"/>
        </w:rPr>
        <w:t>, Docket No. M-2012-2324075 (Aug. 15, 2013 Public Meeting) (hereinafter Joint Motion).</w:t>
      </w:r>
    </w:p>
    <w:p w:rsidR="000823C9" w:rsidRPr="009D5604" w:rsidRDefault="000823C9" w:rsidP="00957E24">
      <w:pPr>
        <w:spacing w:line="360" w:lineRule="auto"/>
        <w:ind w:firstLine="720"/>
        <w:rPr>
          <w:sz w:val="26"/>
          <w:szCs w:val="26"/>
        </w:rPr>
      </w:pPr>
    </w:p>
    <w:p w:rsidR="009A687E" w:rsidRDefault="00476EF6" w:rsidP="00957E24">
      <w:pPr>
        <w:spacing w:line="360" w:lineRule="auto"/>
        <w:ind w:firstLine="720"/>
        <w:rPr>
          <w:sz w:val="26"/>
          <w:szCs w:val="26"/>
        </w:rPr>
      </w:pPr>
      <w:r w:rsidRPr="009D5604">
        <w:rPr>
          <w:sz w:val="26"/>
          <w:szCs w:val="26"/>
        </w:rPr>
        <w:t>In meeting this requirement,</w:t>
      </w:r>
      <w:r w:rsidR="00120626" w:rsidRPr="009D5604">
        <w:rPr>
          <w:sz w:val="26"/>
          <w:szCs w:val="26"/>
        </w:rPr>
        <w:t xml:space="preserve"> OCMO, during its January 16, 2014 CHARGE call, requested that interested parties submit informal comments on the issue of company-wide </w:t>
      </w:r>
      <w:r w:rsidR="00F003A3" w:rsidRPr="009D5604">
        <w:rPr>
          <w:sz w:val="26"/>
          <w:szCs w:val="26"/>
        </w:rPr>
        <w:t>electric ECL solicitations</w:t>
      </w:r>
      <w:r w:rsidR="00120626" w:rsidRPr="009D5604">
        <w:rPr>
          <w:sz w:val="26"/>
          <w:szCs w:val="26"/>
        </w:rPr>
        <w:t>.  Informal comments were due to OCMO by February 28, 2014.  Informal comments were submitted</w:t>
      </w:r>
      <w:r w:rsidR="00120626">
        <w:rPr>
          <w:sz w:val="26"/>
          <w:szCs w:val="26"/>
        </w:rPr>
        <w:t xml:space="preserve"> by Citizens’ Electric Company of Lewisburg and Wellsboro Electric Company</w:t>
      </w:r>
      <w:r w:rsidR="00957E24">
        <w:rPr>
          <w:sz w:val="26"/>
          <w:szCs w:val="26"/>
        </w:rPr>
        <w:t xml:space="preserve"> (Citizens’ &amp; Wellsboro)</w:t>
      </w:r>
      <w:r w:rsidR="00120626">
        <w:rPr>
          <w:sz w:val="26"/>
          <w:szCs w:val="26"/>
        </w:rPr>
        <w:t>; FirstEnergy Solutions Corporation</w:t>
      </w:r>
      <w:r w:rsidR="00957E24">
        <w:rPr>
          <w:sz w:val="26"/>
          <w:szCs w:val="26"/>
        </w:rPr>
        <w:t xml:space="preserve"> (FES)</w:t>
      </w:r>
      <w:r w:rsidR="00120626">
        <w:rPr>
          <w:sz w:val="26"/>
          <w:szCs w:val="26"/>
        </w:rPr>
        <w:t>; Office of Consumer Advocate</w:t>
      </w:r>
      <w:r w:rsidR="00957E24">
        <w:rPr>
          <w:sz w:val="26"/>
          <w:szCs w:val="26"/>
        </w:rPr>
        <w:t xml:space="preserve"> (OCA)</w:t>
      </w:r>
      <w:r w:rsidR="00120626">
        <w:rPr>
          <w:sz w:val="26"/>
          <w:szCs w:val="26"/>
        </w:rPr>
        <w:t xml:space="preserve">; PECO Energy Company </w:t>
      </w:r>
      <w:r w:rsidR="00957E24">
        <w:rPr>
          <w:sz w:val="26"/>
          <w:szCs w:val="26"/>
        </w:rPr>
        <w:t xml:space="preserve">(PECO) </w:t>
      </w:r>
      <w:r w:rsidR="00120626">
        <w:rPr>
          <w:sz w:val="26"/>
          <w:szCs w:val="26"/>
        </w:rPr>
        <w:t>and PPL Electric Utilities Corporation</w:t>
      </w:r>
      <w:r w:rsidR="00957E24">
        <w:rPr>
          <w:sz w:val="26"/>
          <w:szCs w:val="26"/>
        </w:rPr>
        <w:t xml:space="preserve"> (PPL)</w:t>
      </w:r>
      <w:r w:rsidR="00120626">
        <w:rPr>
          <w:sz w:val="26"/>
          <w:szCs w:val="26"/>
        </w:rPr>
        <w:t>.</w:t>
      </w:r>
      <w:r w:rsidR="00393C68">
        <w:rPr>
          <w:rStyle w:val="FootnoteReference"/>
          <w:sz w:val="26"/>
          <w:szCs w:val="26"/>
        </w:rPr>
        <w:footnoteReference w:id="11"/>
      </w:r>
      <w:r w:rsidR="00120626">
        <w:rPr>
          <w:sz w:val="26"/>
          <w:szCs w:val="26"/>
        </w:rPr>
        <w:t xml:space="preserve">  </w:t>
      </w:r>
    </w:p>
    <w:p w:rsidR="00287715" w:rsidRDefault="00287715" w:rsidP="00256B16">
      <w:pPr>
        <w:keepNext/>
        <w:keepLines/>
        <w:spacing w:line="360" w:lineRule="auto"/>
        <w:jc w:val="center"/>
        <w:rPr>
          <w:b/>
          <w:sz w:val="26"/>
          <w:szCs w:val="26"/>
        </w:rPr>
      </w:pPr>
    </w:p>
    <w:p w:rsidR="00094678" w:rsidRDefault="00094678" w:rsidP="00256B16">
      <w:pPr>
        <w:keepNext/>
        <w:keepLines/>
        <w:spacing w:line="360" w:lineRule="auto"/>
        <w:jc w:val="center"/>
        <w:rPr>
          <w:b/>
          <w:sz w:val="26"/>
          <w:szCs w:val="26"/>
        </w:rPr>
      </w:pPr>
      <w:r w:rsidRPr="007620D2">
        <w:rPr>
          <w:b/>
          <w:sz w:val="26"/>
          <w:szCs w:val="26"/>
        </w:rPr>
        <w:t>D</w:t>
      </w:r>
      <w:r w:rsidR="00441EBF" w:rsidRPr="007620D2">
        <w:rPr>
          <w:b/>
          <w:sz w:val="26"/>
          <w:szCs w:val="26"/>
        </w:rPr>
        <w:t>iscussion</w:t>
      </w:r>
    </w:p>
    <w:p w:rsidR="00B521B2" w:rsidRPr="007620D2" w:rsidRDefault="00B521B2" w:rsidP="00256B16">
      <w:pPr>
        <w:keepNext/>
        <w:keepLines/>
        <w:spacing w:line="360" w:lineRule="auto"/>
        <w:jc w:val="center"/>
        <w:rPr>
          <w:b/>
          <w:sz w:val="26"/>
          <w:szCs w:val="26"/>
        </w:rPr>
      </w:pPr>
    </w:p>
    <w:p w:rsidR="00A95AE9" w:rsidRDefault="00957E24" w:rsidP="00256B16">
      <w:pPr>
        <w:spacing w:line="360" w:lineRule="auto"/>
        <w:rPr>
          <w:sz w:val="26"/>
          <w:szCs w:val="26"/>
        </w:rPr>
      </w:pPr>
      <w:r>
        <w:rPr>
          <w:sz w:val="26"/>
          <w:szCs w:val="26"/>
        </w:rPr>
        <w:tab/>
        <w:t>OCMO, in developing the proposal included herein, has reviewed and taken into consideration the informal comments provided by the aforementioned parties</w:t>
      </w:r>
      <w:r w:rsidR="00287715">
        <w:rPr>
          <w:sz w:val="26"/>
          <w:szCs w:val="26"/>
        </w:rPr>
        <w:t>.</w:t>
      </w:r>
    </w:p>
    <w:p w:rsidR="00287715" w:rsidRDefault="00287715" w:rsidP="00256B16">
      <w:pPr>
        <w:spacing w:line="360" w:lineRule="auto"/>
        <w:rPr>
          <w:sz w:val="26"/>
          <w:szCs w:val="26"/>
        </w:rPr>
      </w:pPr>
    </w:p>
    <w:p w:rsidR="00905C92" w:rsidRDefault="00905C92" w:rsidP="00287715">
      <w:pPr>
        <w:spacing w:line="360" w:lineRule="auto"/>
        <w:rPr>
          <w:sz w:val="26"/>
          <w:szCs w:val="26"/>
        </w:rPr>
      </w:pPr>
      <w:r>
        <w:rPr>
          <w:b/>
          <w:sz w:val="26"/>
          <w:szCs w:val="26"/>
        </w:rPr>
        <w:t>A.</w:t>
      </w:r>
      <w:r>
        <w:rPr>
          <w:b/>
          <w:sz w:val="26"/>
          <w:szCs w:val="26"/>
        </w:rPr>
        <w:tab/>
        <w:t>Summary of Informal Comments</w:t>
      </w:r>
      <w:r w:rsidR="00287715">
        <w:rPr>
          <w:sz w:val="26"/>
          <w:szCs w:val="26"/>
        </w:rPr>
        <w:tab/>
      </w:r>
    </w:p>
    <w:p w:rsidR="00905C92" w:rsidRDefault="00905C92" w:rsidP="00287715">
      <w:pPr>
        <w:spacing w:line="360" w:lineRule="auto"/>
        <w:rPr>
          <w:sz w:val="26"/>
          <w:szCs w:val="26"/>
        </w:rPr>
      </w:pPr>
    </w:p>
    <w:p w:rsidR="00287715" w:rsidRDefault="00905C92" w:rsidP="00287715">
      <w:pPr>
        <w:spacing w:line="360" w:lineRule="auto"/>
        <w:rPr>
          <w:sz w:val="26"/>
          <w:szCs w:val="26"/>
        </w:rPr>
      </w:pPr>
      <w:r>
        <w:rPr>
          <w:sz w:val="26"/>
          <w:szCs w:val="26"/>
        </w:rPr>
        <w:tab/>
      </w:r>
      <w:r w:rsidR="00287715">
        <w:rPr>
          <w:sz w:val="26"/>
          <w:szCs w:val="26"/>
        </w:rPr>
        <w:t>In their informal comments, Citizens’ &amp; Wellsboro agree with a three-year refresh procedure as it would be a reasonable balance between the goals of providing EGSs with updated information while preserving customers’ right to restrict information released through the ECL.  Additionally, Citizens’ &amp; Wellsboro believe such a schedule would not impose an undue administrative burden on EDCs.</w:t>
      </w:r>
      <w:r w:rsidR="00917F1B">
        <w:rPr>
          <w:rStyle w:val="FootnoteReference"/>
          <w:sz w:val="26"/>
          <w:szCs w:val="26"/>
        </w:rPr>
        <w:footnoteReference w:id="12"/>
      </w:r>
      <w:r w:rsidR="00287715">
        <w:rPr>
          <w:sz w:val="26"/>
          <w:szCs w:val="26"/>
        </w:rPr>
        <w:t xml:space="preserve">  </w:t>
      </w:r>
    </w:p>
    <w:p w:rsidR="00287715" w:rsidRDefault="00287715" w:rsidP="00287715">
      <w:pPr>
        <w:spacing w:line="360" w:lineRule="auto"/>
        <w:rPr>
          <w:sz w:val="26"/>
          <w:szCs w:val="26"/>
        </w:rPr>
      </w:pPr>
    </w:p>
    <w:p w:rsidR="00287715" w:rsidRDefault="00287715" w:rsidP="00287715">
      <w:pPr>
        <w:spacing w:line="360" w:lineRule="auto"/>
        <w:rPr>
          <w:sz w:val="26"/>
          <w:szCs w:val="26"/>
        </w:rPr>
      </w:pPr>
      <w:r>
        <w:rPr>
          <w:sz w:val="26"/>
          <w:szCs w:val="26"/>
        </w:rPr>
        <w:tab/>
        <w:t>Similarly, FES and PECO do not oppose a triennial refresh requirement.</w:t>
      </w:r>
      <w:r w:rsidR="00917F1B">
        <w:rPr>
          <w:rStyle w:val="FootnoteReference"/>
          <w:sz w:val="26"/>
          <w:szCs w:val="26"/>
        </w:rPr>
        <w:footnoteReference w:id="13"/>
      </w:r>
      <w:r>
        <w:rPr>
          <w:sz w:val="26"/>
          <w:szCs w:val="26"/>
        </w:rPr>
        <w:t xml:space="preserve">  PECO requests that those utilities with both electric and gas services be allowed to perform a single solicitation to dual-service customers and also requests full cost recovery for the preparation, distribution and solicitation of natural gas ECLs.</w:t>
      </w:r>
    </w:p>
    <w:p w:rsidR="00287715" w:rsidRDefault="00287715" w:rsidP="00287715">
      <w:pPr>
        <w:spacing w:line="360" w:lineRule="auto"/>
        <w:rPr>
          <w:sz w:val="26"/>
          <w:szCs w:val="26"/>
        </w:rPr>
      </w:pPr>
    </w:p>
    <w:p w:rsidR="00287715" w:rsidRDefault="00287715" w:rsidP="00287715">
      <w:pPr>
        <w:spacing w:line="360" w:lineRule="auto"/>
        <w:rPr>
          <w:sz w:val="26"/>
          <w:szCs w:val="26"/>
        </w:rPr>
      </w:pPr>
      <w:r>
        <w:rPr>
          <w:sz w:val="26"/>
          <w:szCs w:val="26"/>
        </w:rPr>
        <w:tab/>
      </w:r>
      <w:r w:rsidR="00917F1B">
        <w:rPr>
          <w:sz w:val="26"/>
          <w:szCs w:val="26"/>
        </w:rPr>
        <w:t>PPL and OCA disagree with a three-year requirement.</w:t>
      </w:r>
      <w:r w:rsidR="00917F1B">
        <w:rPr>
          <w:rStyle w:val="FootnoteReference"/>
          <w:sz w:val="26"/>
          <w:szCs w:val="26"/>
        </w:rPr>
        <w:footnoteReference w:id="14"/>
      </w:r>
      <w:r w:rsidR="00917F1B">
        <w:rPr>
          <w:sz w:val="26"/>
          <w:szCs w:val="26"/>
        </w:rPr>
        <w:t xml:space="preserve">  PPL believes company-wide refreshing is unnecessary because new customers receive information about their options in welcome packets while existing customers receive reminders of those options through PPL’s periodic articles and Internet and social media outreach.  PPL and OCA both believe triennial refreshing would be confusing to customers who already opt</w:t>
      </w:r>
      <w:r w:rsidR="00690497">
        <w:rPr>
          <w:sz w:val="26"/>
          <w:szCs w:val="26"/>
        </w:rPr>
        <w:t>ed</w:t>
      </w:r>
      <w:r w:rsidR="00917F1B">
        <w:rPr>
          <w:sz w:val="26"/>
          <w:szCs w:val="26"/>
        </w:rPr>
        <w:t>-out of including any, or all, information in the ECLs and may prove to be costly endeavors for the EDCs.</w:t>
      </w:r>
      <w:r w:rsidR="009B298D">
        <w:rPr>
          <w:sz w:val="26"/>
          <w:szCs w:val="26"/>
        </w:rPr>
        <w:t xml:space="preserve">  OCA also notes that the competitive retail electric market is considerably more developed than the natural gas retail market and that a customer opting out of the </w:t>
      </w:r>
      <w:r w:rsidR="009B298D">
        <w:rPr>
          <w:sz w:val="26"/>
          <w:szCs w:val="26"/>
        </w:rPr>
        <w:lastRenderedPageBreak/>
        <w:t xml:space="preserve">ECL is still exposed to substantial EGS advertising efforts.  OCA submits that it is counterproductive to require customers who </w:t>
      </w:r>
      <w:r w:rsidR="009D5604">
        <w:rPr>
          <w:sz w:val="26"/>
          <w:szCs w:val="26"/>
        </w:rPr>
        <w:t xml:space="preserve">already opted out of the ECL </w:t>
      </w:r>
      <w:r w:rsidR="009B298D">
        <w:rPr>
          <w:sz w:val="26"/>
          <w:szCs w:val="26"/>
        </w:rPr>
        <w:t>to affirm that decision every three years</w:t>
      </w:r>
      <w:r w:rsidR="009D5604">
        <w:rPr>
          <w:sz w:val="26"/>
          <w:szCs w:val="26"/>
        </w:rPr>
        <w:t>; rather, OCA</w:t>
      </w:r>
      <w:r w:rsidR="009B298D">
        <w:rPr>
          <w:sz w:val="26"/>
          <w:szCs w:val="26"/>
        </w:rPr>
        <w:t xml:space="preserve"> believes that a customer’s decision to opt out of including information on the ECL should be maintained unless or until the customer requests a change.  </w:t>
      </w:r>
      <w:r w:rsidR="00830426">
        <w:rPr>
          <w:sz w:val="26"/>
          <w:szCs w:val="26"/>
        </w:rPr>
        <w:t>OCA expresses concern that continuous solicitations may “add to the negative impression of electric choice” that has caused the Commission concern in the past.</w:t>
      </w:r>
      <w:r w:rsidR="009D5604">
        <w:rPr>
          <w:rStyle w:val="FootnoteReference"/>
          <w:sz w:val="26"/>
          <w:szCs w:val="26"/>
        </w:rPr>
        <w:footnoteReference w:id="15"/>
      </w:r>
      <w:r w:rsidR="00830426">
        <w:rPr>
          <w:sz w:val="26"/>
          <w:szCs w:val="26"/>
        </w:rPr>
        <w:t xml:space="preserve">  </w:t>
      </w:r>
      <w:r w:rsidR="009D5604">
        <w:rPr>
          <w:sz w:val="26"/>
          <w:szCs w:val="26"/>
        </w:rPr>
        <w:t>OCA</w:t>
      </w:r>
      <w:r w:rsidR="009B298D">
        <w:rPr>
          <w:sz w:val="26"/>
          <w:szCs w:val="26"/>
        </w:rPr>
        <w:t xml:space="preserve"> also agrees with PPL that the EDCs should provide periodic information to customers about the ECL, its benefits and the mechanism to change preferences regarding the information, if any, included on the ECL.</w:t>
      </w:r>
    </w:p>
    <w:p w:rsidR="00287715" w:rsidRDefault="00287715" w:rsidP="00256B16">
      <w:pPr>
        <w:spacing w:line="360" w:lineRule="auto"/>
        <w:rPr>
          <w:sz w:val="26"/>
        </w:rPr>
      </w:pPr>
    </w:p>
    <w:p w:rsidR="00905C92" w:rsidRPr="00905C92" w:rsidRDefault="00905C92" w:rsidP="00256B16">
      <w:pPr>
        <w:spacing w:line="360" w:lineRule="auto"/>
        <w:rPr>
          <w:b/>
          <w:sz w:val="26"/>
        </w:rPr>
      </w:pPr>
      <w:r>
        <w:rPr>
          <w:b/>
          <w:sz w:val="26"/>
        </w:rPr>
        <w:t>B.</w:t>
      </w:r>
      <w:r>
        <w:rPr>
          <w:b/>
          <w:sz w:val="26"/>
        </w:rPr>
        <w:tab/>
        <w:t>Frequency of Company-</w:t>
      </w:r>
      <w:r w:rsidR="00615054">
        <w:rPr>
          <w:b/>
          <w:sz w:val="26"/>
        </w:rPr>
        <w:t>w</w:t>
      </w:r>
      <w:r>
        <w:rPr>
          <w:b/>
          <w:sz w:val="26"/>
        </w:rPr>
        <w:t>ide Solicitation</w:t>
      </w:r>
      <w:r w:rsidR="00615054">
        <w:rPr>
          <w:b/>
          <w:sz w:val="26"/>
        </w:rPr>
        <w:t>s</w:t>
      </w:r>
    </w:p>
    <w:p w:rsidR="00905C92" w:rsidRDefault="00905C92" w:rsidP="00256B16">
      <w:pPr>
        <w:spacing w:line="360" w:lineRule="auto"/>
        <w:rPr>
          <w:sz w:val="26"/>
        </w:rPr>
      </w:pPr>
    </w:p>
    <w:p w:rsidR="006B0EB6" w:rsidRDefault="009B298D" w:rsidP="00256B16">
      <w:pPr>
        <w:spacing w:line="360" w:lineRule="auto"/>
        <w:rPr>
          <w:sz w:val="26"/>
          <w:szCs w:val="26"/>
        </w:rPr>
      </w:pPr>
      <w:r>
        <w:rPr>
          <w:sz w:val="26"/>
          <w:szCs w:val="26"/>
        </w:rPr>
        <w:tab/>
      </w:r>
      <w:r w:rsidRPr="00456F54">
        <w:rPr>
          <w:sz w:val="26"/>
          <w:szCs w:val="26"/>
        </w:rPr>
        <w:t xml:space="preserve">Based on </w:t>
      </w:r>
      <w:r w:rsidR="006B0EB6">
        <w:rPr>
          <w:sz w:val="26"/>
          <w:szCs w:val="26"/>
        </w:rPr>
        <w:t>our</w:t>
      </w:r>
      <w:r w:rsidR="00287715" w:rsidRPr="00456F54">
        <w:rPr>
          <w:sz w:val="26"/>
          <w:szCs w:val="26"/>
        </w:rPr>
        <w:t xml:space="preserve"> revie</w:t>
      </w:r>
      <w:r w:rsidR="006B0EB6">
        <w:rPr>
          <w:sz w:val="26"/>
          <w:szCs w:val="26"/>
        </w:rPr>
        <w:t xml:space="preserve">w of the informal comments provided, we </w:t>
      </w:r>
      <w:r w:rsidR="00287715" w:rsidRPr="00456F54">
        <w:rPr>
          <w:sz w:val="26"/>
          <w:szCs w:val="26"/>
        </w:rPr>
        <w:t xml:space="preserve">propose a triennial company-wide requirement for the EDCs to refresh their ECLs.  </w:t>
      </w:r>
      <w:r w:rsidR="006B0EB6">
        <w:rPr>
          <w:sz w:val="26"/>
          <w:szCs w:val="26"/>
        </w:rPr>
        <w:t xml:space="preserve">While the Commission recognizes the ongoing ECL education efforts offered by the EDCs, such as welcome packets, bill inserts, Internet and social media outreach, etc., we believe many customers would benefit from a direct outreach from the EDC via a separate communication, detailing their options with regard to the ECL.  In our </w:t>
      </w:r>
      <w:r w:rsidR="006B0EB6">
        <w:rPr>
          <w:i/>
          <w:sz w:val="26"/>
          <w:szCs w:val="26"/>
        </w:rPr>
        <w:t xml:space="preserve">November 15, 2011 </w:t>
      </w:r>
      <w:r w:rsidR="0038723C">
        <w:rPr>
          <w:i/>
          <w:sz w:val="26"/>
          <w:szCs w:val="26"/>
        </w:rPr>
        <w:t xml:space="preserve">Electricity </w:t>
      </w:r>
      <w:r w:rsidR="006B0EB6">
        <w:rPr>
          <w:i/>
          <w:sz w:val="26"/>
          <w:szCs w:val="26"/>
        </w:rPr>
        <w:t>ECL Order</w:t>
      </w:r>
      <w:r w:rsidR="006B0EB6">
        <w:rPr>
          <w:sz w:val="26"/>
          <w:szCs w:val="26"/>
        </w:rPr>
        <w:t>, we rejected the idea of annual company-wide solicitations and, as previously noted, allowed EDCs to simply provide such education efforts.</w:t>
      </w:r>
      <w:r w:rsidR="0098451F">
        <w:rPr>
          <w:rStyle w:val="FootnoteReference"/>
          <w:sz w:val="26"/>
          <w:szCs w:val="26"/>
        </w:rPr>
        <w:footnoteReference w:id="16"/>
      </w:r>
      <w:r w:rsidR="006B0EB6">
        <w:rPr>
          <w:sz w:val="26"/>
          <w:szCs w:val="26"/>
        </w:rPr>
        <w:t xml:space="preserve">  Howeve</w:t>
      </w:r>
      <w:r w:rsidR="000823C9">
        <w:rPr>
          <w:sz w:val="26"/>
          <w:szCs w:val="26"/>
        </w:rPr>
        <w:t xml:space="preserve">r, we believe this issue needs to be revisited </w:t>
      </w:r>
      <w:r w:rsidR="006B0EB6">
        <w:rPr>
          <w:sz w:val="26"/>
          <w:szCs w:val="26"/>
        </w:rPr>
        <w:t xml:space="preserve">and, after reviewing the decisions made with regard to the natural gas ECL, we believe consistencies </w:t>
      </w:r>
      <w:r w:rsidR="00F003A3">
        <w:rPr>
          <w:sz w:val="26"/>
          <w:szCs w:val="26"/>
        </w:rPr>
        <w:t>in</w:t>
      </w:r>
      <w:r w:rsidR="006B0EB6">
        <w:rPr>
          <w:sz w:val="26"/>
          <w:szCs w:val="26"/>
        </w:rPr>
        <w:t xml:space="preserve"> actions between</w:t>
      </w:r>
      <w:r w:rsidR="000823C9">
        <w:rPr>
          <w:sz w:val="26"/>
          <w:szCs w:val="26"/>
        </w:rPr>
        <w:t xml:space="preserve"> the</w:t>
      </w:r>
      <w:r w:rsidR="006B0EB6">
        <w:rPr>
          <w:sz w:val="26"/>
          <w:szCs w:val="26"/>
        </w:rPr>
        <w:t xml:space="preserve"> natural gas and electricity retail markets, where possible, are beneficial to all parties.  </w:t>
      </w:r>
      <w:r w:rsidR="00690497">
        <w:rPr>
          <w:sz w:val="26"/>
          <w:szCs w:val="26"/>
        </w:rPr>
        <w:t>Accordingly</w:t>
      </w:r>
      <w:r w:rsidR="006B0EB6">
        <w:rPr>
          <w:sz w:val="26"/>
          <w:szCs w:val="26"/>
        </w:rPr>
        <w:t xml:space="preserve">, we are proposing a consistent methodology for company-wide ECL refreshes.  </w:t>
      </w:r>
    </w:p>
    <w:p w:rsidR="006B0EB6" w:rsidRDefault="006B0EB6" w:rsidP="00256B16">
      <w:pPr>
        <w:spacing w:line="360" w:lineRule="auto"/>
        <w:rPr>
          <w:sz w:val="26"/>
          <w:szCs w:val="26"/>
        </w:rPr>
      </w:pPr>
    </w:p>
    <w:p w:rsidR="0098451F" w:rsidRDefault="0098451F" w:rsidP="00256B16">
      <w:pPr>
        <w:spacing w:line="360" w:lineRule="auto"/>
        <w:rPr>
          <w:sz w:val="26"/>
          <w:szCs w:val="26"/>
        </w:rPr>
      </w:pPr>
      <w:r>
        <w:rPr>
          <w:sz w:val="26"/>
          <w:szCs w:val="26"/>
        </w:rPr>
        <w:tab/>
        <w:t xml:space="preserve">We </w:t>
      </w:r>
      <w:r w:rsidR="000823C9">
        <w:rPr>
          <w:sz w:val="26"/>
          <w:szCs w:val="26"/>
        </w:rPr>
        <w:t>acknowledge</w:t>
      </w:r>
      <w:r>
        <w:rPr>
          <w:sz w:val="26"/>
          <w:szCs w:val="26"/>
        </w:rPr>
        <w:t xml:space="preserve"> the informal comments provided by OCA, who appears to be concerned with the communications provided to customers who ha</w:t>
      </w:r>
      <w:r w:rsidRPr="00475D8F">
        <w:rPr>
          <w:sz w:val="26"/>
          <w:szCs w:val="26"/>
        </w:rPr>
        <w:t>ve already opted</w:t>
      </w:r>
      <w:r w:rsidR="00FC1FDF">
        <w:rPr>
          <w:sz w:val="26"/>
          <w:szCs w:val="26"/>
        </w:rPr>
        <w:t>-</w:t>
      </w:r>
      <w:r w:rsidRPr="00475D8F">
        <w:rPr>
          <w:sz w:val="26"/>
          <w:szCs w:val="26"/>
        </w:rPr>
        <w:t>out</w:t>
      </w:r>
      <w:r w:rsidR="00035D9E">
        <w:rPr>
          <w:sz w:val="26"/>
          <w:szCs w:val="26"/>
        </w:rPr>
        <w:t xml:space="preserve"> </w:t>
      </w:r>
      <w:r w:rsidR="00035D9E">
        <w:rPr>
          <w:sz w:val="26"/>
          <w:szCs w:val="26"/>
        </w:rPr>
        <w:lastRenderedPageBreak/>
        <w:t xml:space="preserve">of including </w:t>
      </w:r>
      <w:r w:rsidRPr="00475D8F">
        <w:rPr>
          <w:sz w:val="26"/>
          <w:szCs w:val="26"/>
        </w:rPr>
        <w:t>any</w:t>
      </w:r>
      <w:r w:rsidR="00035D9E">
        <w:rPr>
          <w:sz w:val="26"/>
          <w:szCs w:val="26"/>
        </w:rPr>
        <w:t>,</w:t>
      </w:r>
      <w:r w:rsidRPr="00475D8F">
        <w:rPr>
          <w:sz w:val="26"/>
          <w:szCs w:val="26"/>
        </w:rPr>
        <w:t xml:space="preserve"> or all</w:t>
      </w:r>
      <w:r w:rsidR="00035D9E">
        <w:rPr>
          <w:sz w:val="26"/>
          <w:szCs w:val="26"/>
        </w:rPr>
        <w:t>,</w:t>
      </w:r>
      <w:r w:rsidRPr="00475D8F">
        <w:rPr>
          <w:sz w:val="26"/>
          <w:szCs w:val="26"/>
        </w:rPr>
        <w:t xml:space="preserve"> of their information from their EDC’s ECL.  However, we believe triennial solicitations will provide a reminder to those customers who have not opted out </w:t>
      </w:r>
      <w:r w:rsidR="00035D9E">
        <w:rPr>
          <w:sz w:val="26"/>
          <w:szCs w:val="26"/>
        </w:rPr>
        <w:t>of including</w:t>
      </w:r>
      <w:r w:rsidRPr="00475D8F">
        <w:rPr>
          <w:sz w:val="26"/>
          <w:szCs w:val="26"/>
        </w:rPr>
        <w:t xml:space="preserve"> their information from the ECL that they have the ability to do so.  Additionally, we believe it is also beneficial to remind those customers who have opted</w:t>
      </w:r>
      <w:r>
        <w:rPr>
          <w:sz w:val="26"/>
          <w:szCs w:val="26"/>
        </w:rPr>
        <w:t xml:space="preserve"> out</w:t>
      </w:r>
      <w:r w:rsidR="00035D9E">
        <w:rPr>
          <w:sz w:val="26"/>
          <w:szCs w:val="26"/>
        </w:rPr>
        <w:t xml:space="preserve"> of including</w:t>
      </w:r>
      <w:r>
        <w:rPr>
          <w:sz w:val="26"/>
          <w:szCs w:val="26"/>
        </w:rPr>
        <w:t xml:space="preserve"> information that they have the ability to include their information on future ECLs.</w:t>
      </w:r>
    </w:p>
    <w:p w:rsidR="0098451F" w:rsidRDefault="0098451F" w:rsidP="00256B16">
      <w:pPr>
        <w:spacing w:line="360" w:lineRule="auto"/>
        <w:rPr>
          <w:sz w:val="26"/>
          <w:szCs w:val="26"/>
        </w:rPr>
      </w:pPr>
    </w:p>
    <w:p w:rsidR="001615ED" w:rsidRDefault="0098451F" w:rsidP="00256B16">
      <w:pPr>
        <w:spacing w:line="360" w:lineRule="auto"/>
        <w:rPr>
          <w:sz w:val="26"/>
          <w:szCs w:val="26"/>
        </w:rPr>
      </w:pPr>
      <w:r>
        <w:rPr>
          <w:sz w:val="26"/>
          <w:szCs w:val="26"/>
        </w:rPr>
        <w:tab/>
        <w:t xml:space="preserve">In our </w:t>
      </w:r>
      <w:r>
        <w:rPr>
          <w:i/>
          <w:sz w:val="26"/>
          <w:szCs w:val="26"/>
        </w:rPr>
        <w:t xml:space="preserve">November 15, 2011 </w:t>
      </w:r>
      <w:r w:rsidR="0038723C">
        <w:rPr>
          <w:i/>
          <w:sz w:val="26"/>
          <w:szCs w:val="26"/>
        </w:rPr>
        <w:t xml:space="preserve">Electricity </w:t>
      </w:r>
      <w:r>
        <w:rPr>
          <w:i/>
          <w:sz w:val="26"/>
          <w:szCs w:val="26"/>
        </w:rPr>
        <w:t>ECL Order</w:t>
      </w:r>
      <w:r w:rsidR="004E51CC">
        <w:rPr>
          <w:sz w:val="26"/>
          <w:szCs w:val="26"/>
        </w:rPr>
        <w:t xml:space="preserve">, the Commission </w:t>
      </w:r>
      <w:r>
        <w:rPr>
          <w:sz w:val="26"/>
          <w:szCs w:val="26"/>
        </w:rPr>
        <w:t>directed the EDCs to perform, by the end of the first quarter of 2012, a single company-wide solicitation to refresh their ECLs.</w:t>
      </w:r>
      <w:r w:rsidR="001615ED">
        <w:rPr>
          <w:rStyle w:val="FootnoteReference"/>
          <w:sz w:val="26"/>
          <w:szCs w:val="26"/>
        </w:rPr>
        <w:footnoteReference w:id="17"/>
      </w:r>
      <w:r>
        <w:rPr>
          <w:sz w:val="26"/>
          <w:szCs w:val="26"/>
        </w:rPr>
        <w:t xml:space="preserve">  Because we are proposing a triennial refresh schedule within this Tentative Order, we also propose that the EDCs perform their next company-wide solicitation by end of the first quarter of 2015, three years after the previous solicitation.  The triennial process would continue on from that </w:t>
      </w:r>
      <w:r w:rsidR="000851A8">
        <w:rPr>
          <w:sz w:val="26"/>
          <w:szCs w:val="26"/>
        </w:rPr>
        <w:t>time</w:t>
      </w:r>
      <w:r>
        <w:rPr>
          <w:sz w:val="26"/>
          <w:szCs w:val="26"/>
        </w:rPr>
        <w:t xml:space="preserve"> – first quarter 2018</w:t>
      </w:r>
      <w:r w:rsidR="00850895">
        <w:rPr>
          <w:sz w:val="26"/>
          <w:szCs w:val="26"/>
        </w:rPr>
        <w:t>,</w:t>
      </w:r>
      <w:r>
        <w:rPr>
          <w:sz w:val="26"/>
          <w:szCs w:val="26"/>
        </w:rPr>
        <w:t xml:space="preserve"> first quarter 2021</w:t>
      </w:r>
      <w:r w:rsidR="00850895">
        <w:rPr>
          <w:sz w:val="26"/>
          <w:szCs w:val="26"/>
        </w:rPr>
        <w:t>,</w:t>
      </w:r>
      <w:r>
        <w:rPr>
          <w:sz w:val="26"/>
          <w:szCs w:val="26"/>
        </w:rPr>
        <w:t xml:space="preserve"> and so </w:t>
      </w:r>
      <w:r w:rsidR="001615ED">
        <w:rPr>
          <w:sz w:val="26"/>
          <w:szCs w:val="26"/>
        </w:rPr>
        <w:t>on.</w:t>
      </w:r>
    </w:p>
    <w:p w:rsidR="001615ED" w:rsidRDefault="001615ED" w:rsidP="00256B16">
      <w:pPr>
        <w:spacing w:line="360" w:lineRule="auto"/>
        <w:rPr>
          <w:sz w:val="26"/>
          <w:szCs w:val="26"/>
        </w:rPr>
      </w:pPr>
    </w:p>
    <w:p w:rsidR="00905C92" w:rsidRPr="0085550C" w:rsidRDefault="00CB26AE" w:rsidP="00256B16">
      <w:pPr>
        <w:spacing w:line="360" w:lineRule="auto"/>
        <w:rPr>
          <w:b/>
          <w:sz w:val="26"/>
          <w:szCs w:val="26"/>
        </w:rPr>
      </w:pPr>
      <w:r>
        <w:rPr>
          <w:b/>
          <w:sz w:val="26"/>
          <w:szCs w:val="26"/>
        </w:rPr>
        <w:t>C</w:t>
      </w:r>
      <w:r w:rsidR="00EF2B6F" w:rsidRPr="0085550C">
        <w:rPr>
          <w:b/>
          <w:sz w:val="26"/>
          <w:szCs w:val="26"/>
        </w:rPr>
        <w:t>.</w:t>
      </w:r>
      <w:r w:rsidR="00EF2B6F" w:rsidRPr="0085550C">
        <w:rPr>
          <w:b/>
          <w:sz w:val="26"/>
          <w:szCs w:val="26"/>
        </w:rPr>
        <w:tab/>
      </w:r>
      <w:r w:rsidR="00905C92" w:rsidRPr="0085550C">
        <w:rPr>
          <w:b/>
          <w:sz w:val="26"/>
          <w:szCs w:val="26"/>
        </w:rPr>
        <w:t>Company-</w:t>
      </w:r>
      <w:r w:rsidR="00615054" w:rsidRPr="0085550C">
        <w:rPr>
          <w:b/>
          <w:sz w:val="26"/>
          <w:szCs w:val="26"/>
        </w:rPr>
        <w:t>w</w:t>
      </w:r>
      <w:r w:rsidR="00905C92" w:rsidRPr="0085550C">
        <w:rPr>
          <w:b/>
          <w:sz w:val="26"/>
          <w:szCs w:val="26"/>
        </w:rPr>
        <w:t xml:space="preserve">ide Solicitations for Dual-Service Customers </w:t>
      </w:r>
    </w:p>
    <w:p w:rsidR="00905C92" w:rsidRPr="0085550C" w:rsidRDefault="00905C92" w:rsidP="00256B16">
      <w:pPr>
        <w:spacing w:line="360" w:lineRule="auto"/>
        <w:rPr>
          <w:sz w:val="26"/>
          <w:szCs w:val="26"/>
        </w:rPr>
      </w:pPr>
    </w:p>
    <w:p w:rsidR="00287715" w:rsidRDefault="001615ED" w:rsidP="00624A2D">
      <w:pPr>
        <w:spacing w:line="360" w:lineRule="auto"/>
        <w:rPr>
          <w:sz w:val="26"/>
        </w:rPr>
      </w:pPr>
      <w:r w:rsidRPr="0085550C">
        <w:rPr>
          <w:sz w:val="26"/>
          <w:szCs w:val="26"/>
        </w:rPr>
        <w:tab/>
        <w:t xml:space="preserve">We </w:t>
      </w:r>
      <w:r w:rsidR="00FC1FDF">
        <w:rPr>
          <w:sz w:val="26"/>
          <w:szCs w:val="26"/>
        </w:rPr>
        <w:t xml:space="preserve">also acknowledge </w:t>
      </w:r>
      <w:r w:rsidRPr="0085550C">
        <w:rPr>
          <w:sz w:val="26"/>
          <w:szCs w:val="26"/>
        </w:rPr>
        <w:t>the informal comments provided by PECO that companies with dual-service customers (i.e. a customer receiving natural gas and electricity service from the same utility) be allowed to provide a single solicitation to such customers</w:t>
      </w:r>
      <w:r w:rsidR="0038723C" w:rsidRPr="0085550C">
        <w:rPr>
          <w:sz w:val="26"/>
          <w:szCs w:val="26"/>
        </w:rPr>
        <w:t xml:space="preserve">.  </w:t>
      </w:r>
      <w:r w:rsidR="008E6F78" w:rsidRPr="0085550C">
        <w:rPr>
          <w:sz w:val="26"/>
          <w:szCs w:val="26"/>
        </w:rPr>
        <w:t xml:space="preserve">Additionally, in our </w:t>
      </w:r>
      <w:r w:rsidR="008E6F78" w:rsidRPr="0085550C">
        <w:rPr>
          <w:i/>
          <w:sz w:val="26"/>
          <w:szCs w:val="26"/>
        </w:rPr>
        <w:t>September 23, 2013 Natural Gas ECL</w:t>
      </w:r>
      <w:r w:rsidR="008E6F78" w:rsidRPr="0085550C">
        <w:rPr>
          <w:sz w:val="26"/>
          <w:szCs w:val="26"/>
        </w:rPr>
        <w:t xml:space="preserve"> </w:t>
      </w:r>
      <w:r w:rsidR="008E6F78" w:rsidRPr="0085550C">
        <w:rPr>
          <w:i/>
          <w:sz w:val="26"/>
          <w:szCs w:val="26"/>
        </w:rPr>
        <w:t>Order</w:t>
      </w:r>
      <w:r w:rsidR="008E6F78" w:rsidRPr="0085550C">
        <w:rPr>
          <w:sz w:val="26"/>
          <w:szCs w:val="26"/>
        </w:rPr>
        <w:t>, we stated “[l]astly, when feasible, we do not oppose PECO’s suggestion that combination electric and gas utilities should only have to perform [a] single solicitation across their entire customer base.”</w:t>
      </w:r>
      <w:r w:rsidR="008E6F78" w:rsidRPr="0085550C">
        <w:rPr>
          <w:rStyle w:val="FootnoteReference"/>
          <w:sz w:val="26"/>
          <w:szCs w:val="26"/>
        </w:rPr>
        <w:footnoteReference w:id="18"/>
      </w:r>
      <w:r w:rsidR="008E6F78" w:rsidRPr="0085550C">
        <w:rPr>
          <w:sz w:val="26"/>
          <w:szCs w:val="26"/>
        </w:rPr>
        <w:t xml:space="preserve">  </w:t>
      </w:r>
      <w:r w:rsidR="0038723C" w:rsidRPr="0085550C">
        <w:rPr>
          <w:sz w:val="26"/>
          <w:szCs w:val="26"/>
        </w:rPr>
        <w:t xml:space="preserve">Therefore, we propose that such companies be allowed to provide a single solicitation providing all pertinent information regarding the electric </w:t>
      </w:r>
      <w:r w:rsidR="0038723C" w:rsidRPr="0085550C">
        <w:rPr>
          <w:i/>
          <w:sz w:val="26"/>
          <w:szCs w:val="26"/>
        </w:rPr>
        <w:t>and</w:t>
      </w:r>
      <w:r w:rsidR="0038723C" w:rsidRPr="0085550C">
        <w:rPr>
          <w:sz w:val="26"/>
          <w:szCs w:val="26"/>
        </w:rPr>
        <w:t xml:space="preserve"> natural gas ECLs.  However, we recognize that the triennial company-wide solicitation schedules for the natural gas and the electricity ECLs may not run in tandem.  </w:t>
      </w:r>
      <w:r w:rsidR="00624A2D" w:rsidRPr="0085550C">
        <w:rPr>
          <w:sz w:val="26"/>
          <w:szCs w:val="26"/>
        </w:rPr>
        <w:t xml:space="preserve">Accordingly, we request </w:t>
      </w:r>
      <w:r w:rsidR="00624A2D" w:rsidRPr="0085550C">
        <w:rPr>
          <w:sz w:val="26"/>
          <w:szCs w:val="26"/>
        </w:rPr>
        <w:lastRenderedPageBreak/>
        <w:t>comments, especially from those dual-service utilities such as PECO, as to the most effective manner in which to do company-wide solicitations for those customers who receive both electric and natural gas service from the same utility.  Additionally, we request comments as to whether or not a dual-service customer can restrict some</w:t>
      </w:r>
      <w:r w:rsidR="006E1C71" w:rsidRPr="0085550C">
        <w:rPr>
          <w:sz w:val="26"/>
          <w:szCs w:val="26"/>
        </w:rPr>
        <w:t>,</w:t>
      </w:r>
      <w:r w:rsidR="00624A2D" w:rsidRPr="0085550C">
        <w:rPr>
          <w:sz w:val="26"/>
          <w:szCs w:val="26"/>
        </w:rPr>
        <w:t xml:space="preserve"> or all</w:t>
      </w:r>
      <w:r w:rsidR="006E1C71" w:rsidRPr="0085550C">
        <w:rPr>
          <w:sz w:val="26"/>
          <w:szCs w:val="26"/>
        </w:rPr>
        <w:t>,</w:t>
      </w:r>
      <w:r w:rsidR="00624A2D" w:rsidRPr="0085550C">
        <w:rPr>
          <w:sz w:val="26"/>
          <w:szCs w:val="26"/>
        </w:rPr>
        <w:t xml:space="preserve"> of his or her information from one ECL, such as the electric ECL, while restricting or allowing different points of information on the other ECL.  For example, a dual-service customer may restrict the inclusion of their telephone number on the electric ECL but allow its inclusion on the natural gas ECL.</w:t>
      </w:r>
      <w:r w:rsidR="00624A2D">
        <w:rPr>
          <w:sz w:val="26"/>
          <w:szCs w:val="26"/>
        </w:rPr>
        <w:t xml:space="preserve">  </w:t>
      </w:r>
      <w:r w:rsidR="009B298D">
        <w:rPr>
          <w:sz w:val="26"/>
          <w:szCs w:val="26"/>
        </w:rPr>
        <w:br/>
      </w:r>
    </w:p>
    <w:p w:rsidR="00CB26AE" w:rsidRDefault="00CB26AE" w:rsidP="00CB26AE">
      <w:pPr>
        <w:spacing w:line="360" w:lineRule="auto"/>
        <w:rPr>
          <w:b/>
          <w:sz w:val="26"/>
          <w:szCs w:val="26"/>
        </w:rPr>
      </w:pPr>
      <w:r>
        <w:rPr>
          <w:b/>
          <w:sz w:val="26"/>
          <w:szCs w:val="26"/>
        </w:rPr>
        <w:t>D.</w:t>
      </w:r>
      <w:r>
        <w:rPr>
          <w:b/>
          <w:sz w:val="26"/>
          <w:szCs w:val="26"/>
        </w:rPr>
        <w:tab/>
        <w:t>Content of Company-wide Solicitations</w:t>
      </w:r>
    </w:p>
    <w:p w:rsidR="00CB26AE" w:rsidRDefault="00CB26AE" w:rsidP="00CB26AE">
      <w:pPr>
        <w:spacing w:line="360" w:lineRule="auto"/>
        <w:rPr>
          <w:sz w:val="26"/>
          <w:szCs w:val="26"/>
        </w:rPr>
      </w:pPr>
    </w:p>
    <w:p w:rsidR="00CB26AE" w:rsidRPr="00830426" w:rsidRDefault="00CB26AE" w:rsidP="00CB26AE">
      <w:pPr>
        <w:spacing w:line="360" w:lineRule="auto"/>
        <w:rPr>
          <w:sz w:val="26"/>
          <w:szCs w:val="26"/>
        </w:rPr>
      </w:pPr>
      <w:r>
        <w:rPr>
          <w:sz w:val="26"/>
          <w:szCs w:val="26"/>
        </w:rPr>
        <w:tab/>
        <w:t xml:space="preserve">In </w:t>
      </w:r>
      <w:r w:rsidR="00850895">
        <w:rPr>
          <w:sz w:val="26"/>
          <w:szCs w:val="26"/>
        </w:rPr>
        <w:t>our</w:t>
      </w:r>
      <w:r>
        <w:rPr>
          <w:sz w:val="26"/>
          <w:szCs w:val="26"/>
        </w:rPr>
        <w:t xml:space="preserve"> </w:t>
      </w:r>
      <w:r>
        <w:rPr>
          <w:i/>
          <w:sz w:val="26"/>
          <w:szCs w:val="26"/>
        </w:rPr>
        <w:t>November 15, 2011 Electricity ECL Order</w:t>
      </w:r>
      <w:r>
        <w:rPr>
          <w:sz w:val="26"/>
          <w:szCs w:val="26"/>
        </w:rPr>
        <w:t xml:space="preserve">, the Commission directed the EDCs to consult with </w:t>
      </w:r>
      <w:r w:rsidR="00850895">
        <w:rPr>
          <w:sz w:val="26"/>
          <w:szCs w:val="26"/>
        </w:rPr>
        <w:t>our</w:t>
      </w:r>
      <w:r>
        <w:rPr>
          <w:sz w:val="26"/>
          <w:szCs w:val="26"/>
        </w:rPr>
        <w:t xml:space="preserve"> Office of Communications regarding ECL solicitations to ensure</w:t>
      </w:r>
      <w:r w:rsidRPr="00FB1329">
        <w:rPr>
          <w:sz w:val="26"/>
          <w:szCs w:val="26"/>
        </w:rPr>
        <w:t xml:space="preserve"> that customers are aware of </w:t>
      </w:r>
      <w:r>
        <w:rPr>
          <w:sz w:val="26"/>
          <w:szCs w:val="26"/>
        </w:rPr>
        <w:t xml:space="preserve">their choices; </w:t>
      </w:r>
      <w:r w:rsidRPr="00FB1329">
        <w:rPr>
          <w:sz w:val="26"/>
          <w:szCs w:val="26"/>
        </w:rPr>
        <w:t>what their choice</w:t>
      </w:r>
      <w:r>
        <w:rPr>
          <w:sz w:val="26"/>
          <w:szCs w:val="26"/>
        </w:rPr>
        <w:t>s</w:t>
      </w:r>
      <w:r w:rsidRPr="00FB1329">
        <w:rPr>
          <w:sz w:val="26"/>
          <w:szCs w:val="26"/>
        </w:rPr>
        <w:t xml:space="preserve"> mean</w:t>
      </w:r>
      <w:r>
        <w:rPr>
          <w:sz w:val="26"/>
          <w:szCs w:val="26"/>
        </w:rPr>
        <w:t>;</w:t>
      </w:r>
      <w:r w:rsidRPr="00FB1329">
        <w:rPr>
          <w:sz w:val="26"/>
          <w:szCs w:val="26"/>
        </w:rPr>
        <w:t xml:space="preserve"> how the information</w:t>
      </w:r>
      <w:r>
        <w:rPr>
          <w:sz w:val="26"/>
          <w:szCs w:val="26"/>
        </w:rPr>
        <w:t xml:space="preserve"> on the ECL would be used; </w:t>
      </w:r>
      <w:r w:rsidRPr="00FB1329">
        <w:rPr>
          <w:sz w:val="26"/>
          <w:szCs w:val="26"/>
        </w:rPr>
        <w:t>and clea</w:t>
      </w:r>
      <w:r>
        <w:rPr>
          <w:sz w:val="26"/>
          <w:szCs w:val="26"/>
        </w:rPr>
        <w:t>r instruction on how to opt-out of including any, or all, of their information from the ECL.</w:t>
      </w:r>
      <w:r>
        <w:rPr>
          <w:rStyle w:val="FootnoteReference"/>
          <w:sz w:val="26"/>
          <w:szCs w:val="26"/>
        </w:rPr>
        <w:footnoteReference w:id="19"/>
      </w:r>
      <w:r>
        <w:rPr>
          <w:sz w:val="26"/>
          <w:szCs w:val="26"/>
        </w:rPr>
        <w:t xml:space="preserve">  Additionally, in its </w:t>
      </w:r>
      <w:r>
        <w:rPr>
          <w:i/>
          <w:sz w:val="26"/>
          <w:szCs w:val="26"/>
        </w:rPr>
        <w:t>September 23, 2013 Natural Gas ECL Order</w:t>
      </w:r>
      <w:r>
        <w:rPr>
          <w:sz w:val="26"/>
          <w:szCs w:val="26"/>
        </w:rPr>
        <w:t>, the Commission directed the NGDCs to include the following information in the initial solicitation of customers in order for customers to choose their preferences regarding the release of information through the ECL: (1) what the ECL is; (2) what information is to be included on the ECL; (3) what the more detailed information represents; (4) how this information is to be used by NGSs; (5) how the information is to be safeguarded by NGDCs; (6) how widely the information will be di</w:t>
      </w:r>
      <w:r w:rsidR="00850895">
        <w:rPr>
          <w:sz w:val="26"/>
          <w:szCs w:val="26"/>
        </w:rPr>
        <w:t>sseminated; and</w:t>
      </w:r>
      <w:r>
        <w:rPr>
          <w:sz w:val="26"/>
          <w:szCs w:val="26"/>
        </w:rPr>
        <w:t xml:space="preserve"> (7) the potential benefits to the customers of having their information included on the ECL.</w:t>
      </w:r>
      <w:r>
        <w:rPr>
          <w:rStyle w:val="FootnoteReference"/>
          <w:sz w:val="26"/>
          <w:szCs w:val="26"/>
        </w:rPr>
        <w:footnoteReference w:id="20"/>
      </w:r>
      <w:r>
        <w:rPr>
          <w:sz w:val="26"/>
          <w:szCs w:val="26"/>
        </w:rPr>
        <w:t xml:space="preserve">  We propose that the EDCs include the</w:t>
      </w:r>
      <w:r w:rsidR="00C74987">
        <w:rPr>
          <w:sz w:val="26"/>
          <w:szCs w:val="26"/>
        </w:rPr>
        <w:t>se</w:t>
      </w:r>
      <w:r>
        <w:rPr>
          <w:sz w:val="26"/>
          <w:szCs w:val="26"/>
        </w:rPr>
        <w:t xml:space="preserve"> seven information elements listed above in their triennial solicitations to customers.  Additionally, we propose that the EDCs work in consultation with the Commission’s Office of </w:t>
      </w:r>
      <w:r>
        <w:rPr>
          <w:sz w:val="26"/>
          <w:szCs w:val="26"/>
        </w:rPr>
        <w:lastRenderedPageBreak/>
        <w:t>Communications in</w:t>
      </w:r>
      <w:r w:rsidR="00680965">
        <w:rPr>
          <w:sz w:val="26"/>
          <w:szCs w:val="26"/>
        </w:rPr>
        <w:t xml:space="preserve"> developing those solicitations</w:t>
      </w:r>
      <w:r>
        <w:rPr>
          <w:sz w:val="26"/>
          <w:szCs w:val="26"/>
        </w:rPr>
        <w:t xml:space="preserve"> to ensure that the solicitations do not, as OCA notes, create a negative impression of electric choice.  </w:t>
      </w:r>
    </w:p>
    <w:p w:rsidR="00CB26AE" w:rsidRDefault="00CB26AE" w:rsidP="00CB26AE">
      <w:pPr>
        <w:spacing w:line="360" w:lineRule="auto"/>
        <w:rPr>
          <w:sz w:val="26"/>
          <w:szCs w:val="26"/>
        </w:rPr>
      </w:pPr>
    </w:p>
    <w:p w:rsidR="00CB26AE" w:rsidRPr="0085550C" w:rsidRDefault="00CB26AE" w:rsidP="00CB26AE">
      <w:pPr>
        <w:spacing w:line="360" w:lineRule="auto"/>
        <w:rPr>
          <w:sz w:val="26"/>
          <w:szCs w:val="26"/>
        </w:rPr>
      </w:pPr>
      <w:r>
        <w:rPr>
          <w:sz w:val="26"/>
          <w:szCs w:val="26"/>
        </w:rPr>
        <w:tab/>
        <w:t xml:space="preserve">The Commission, in its </w:t>
      </w:r>
      <w:r>
        <w:rPr>
          <w:i/>
          <w:sz w:val="26"/>
          <w:szCs w:val="26"/>
        </w:rPr>
        <w:t>September 23, 2013 Natural Gas ECL Order</w:t>
      </w:r>
      <w:r>
        <w:rPr>
          <w:sz w:val="26"/>
          <w:szCs w:val="26"/>
        </w:rPr>
        <w:t>, agreed with comments provided by OCA that customers should be given various methodologies through which they can change their disclosure preferences regarding the ECL.  The Commission stated that the ongoing process should allow customers to change preferences through the mail, a website process or a telephone contact with an EDC customer service representative.</w:t>
      </w:r>
      <w:r>
        <w:rPr>
          <w:rStyle w:val="FootnoteReference"/>
          <w:sz w:val="26"/>
          <w:szCs w:val="26"/>
        </w:rPr>
        <w:footnoteReference w:id="21"/>
      </w:r>
      <w:r>
        <w:rPr>
          <w:sz w:val="26"/>
          <w:szCs w:val="26"/>
        </w:rPr>
        <w:t xml:space="preserve">  While this directive was in relation to a customer’s ongoing ability to change their ECL preferences, regardless of the company-wide solicitation schedule, we believe it to be a valuable directive for all ECL initiatives.  </w:t>
      </w:r>
      <w:r w:rsidR="00FC1FDF">
        <w:rPr>
          <w:sz w:val="26"/>
          <w:szCs w:val="26"/>
        </w:rPr>
        <w:t>On that basis</w:t>
      </w:r>
      <w:r>
        <w:rPr>
          <w:sz w:val="26"/>
          <w:szCs w:val="26"/>
        </w:rPr>
        <w:t>, we propose that EDCs allow customers to not only reply to the triennial solicitation via direct mail, but through website processes</w:t>
      </w:r>
      <w:r w:rsidR="000823C9">
        <w:rPr>
          <w:sz w:val="26"/>
          <w:szCs w:val="26"/>
        </w:rPr>
        <w:t>, electronic mail</w:t>
      </w:r>
      <w:r>
        <w:rPr>
          <w:sz w:val="26"/>
          <w:szCs w:val="26"/>
        </w:rPr>
        <w:t xml:space="preserve"> and/or telephone contacts with EDC customer service representatives.  Therefore, in addition to the seven areas of information proposed for inclusion in the solicitation, we propose the inclusion of language outlining the methodologies through which a customer can respond with his or her preferences regarding </w:t>
      </w:r>
      <w:r w:rsidRPr="0085550C">
        <w:rPr>
          <w:sz w:val="26"/>
          <w:szCs w:val="26"/>
        </w:rPr>
        <w:t>information included on the ECL.</w:t>
      </w:r>
    </w:p>
    <w:p w:rsidR="00CB26AE" w:rsidRDefault="00CB26AE" w:rsidP="00624A2D">
      <w:pPr>
        <w:spacing w:line="360" w:lineRule="auto"/>
        <w:rPr>
          <w:sz w:val="26"/>
        </w:rPr>
      </w:pPr>
    </w:p>
    <w:p w:rsidR="00905C92" w:rsidRDefault="00615054" w:rsidP="00B31EC5">
      <w:pPr>
        <w:spacing w:after="120" w:line="360" w:lineRule="auto"/>
        <w:rPr>
          <w:sz w:val="26"/>
        </w:rPr>
      </w:pPr>
      <w:r>
        <w:rPr>
          <w:b/>
          <w:sz w:val="26"/>
        </w:rPr>
        <w:t>E</w:t>
      </w:r>
      <w:r w:rsidR="00905C92">
        <w:rPr>
          <w:b/>
          <w:sz w:val="26"/>
        </w:rPr>
        <w:t>.</w:t>
      </w:r>
      <w:r w:rsidR="00905C92">
        <w:rPr>
          <w:b/>
          <w:sz w:val="26"/>
        </w:rPr>
        <w:tab/>
        <w:t>Costs and Cost Recovery</w:t>
      </w:r>
    </w:p>
    <w:p w:rsidR="00905C92" w:rsidRDefault="00905C92" w:rsidP="00B31EC5">
      <w:pPr>
        <w:spacing w:after="120" w:line="360" w:lineRule="auto"/>
        <w:rPr>
          <w:sz w:val="26"/>
        </w:rPr>
      </w:pPr>
      <w:r>
        <w:rPr>
          <w:sz w:val="26"/>
        </w:rPr>
        <w:tab/>
      </w:r>
    </w:p>
    <w:p w:rsidR="00CB26AE" w:rsidRDefault="00905C92" w:rsidP="00CB26AE">
      <w:pPr>
        <w:spacing w:after="120" w:line="360" w:lineRule="auto"/>
        <w:rPr>
          <w:sz w:val="26"/>
        </w:rPr>
      </w:pPr>
      <w:r>
        <w:rPr>
          <w:sz w:val="26"/>
        </w:rPr>
        <w:tab/>
        <w:t>We specifically request comments from the EDCs regarding the costs of performing triennial company-wide solicitations.</w:t>
      </w:r>
      <w:r w:rsidR="00872D96">
        <w:rPr>
          <w:sz w:val="26"/>
        </w:rPr>
        <w:t xml:space="preserve">  Additionally, we request comments from all intere</w:t>
      </w:r>
      <w:r w:rsidR="000823C9">
        <w:rPr>
          <w:sz w:val="26"/>
        </w:rPr>
        <w:t xml:space="preserve">sted stakeholders regarding how EDCs should recover the costs associated with this triennial </w:t>
      </w:r>
      <w:r w:rsidR="00EF0857">
        <w:rPr>
          <w:sz w:val="26"/>
        </w:rPr>
        <w:t>solicitation</w:t>
      </w:r>
      <w:r w:rsidR="00872D96">
        <w:rPr>
          <w:sz w:val="26"/>
        </w:rPr>
        <w:t>.  We would like to note that, i</w:t>
      </w:r>
      <w:r w:rsidR="004E51CC">
        <w:rPr>
          <w:sz w:val="26"/>
        </w:rPr>
        <w:t xml:space="preserve">n our </w:t>
      </w:r>
      <w:r w:rsidR="004E51CC">
        <w:rPr>
          <w:i/>
          <w:sz w:val="26"/>
        </w:rPr>
        <w:t>September 23, 2013 Natural Gas ECL Order</w:t>
      </w:r>
      <w:r w:rsidR="004E51CC">
        <w:rPr>
          <w:sz w:val="26"/>
        </w:rPr>
        <w:t xml:space="preserve">, the Commission did not designate a specific recovery </w:t>
      </w:r>
      <w:r w:rsidR="004E51CC">
        <w:rPr>
          <w:sz w:val="26"/>
        </w:rPr>
        <w:lastRenderedPageBreak/>
        <w:t>mechanism.  We simply determined that the incremental costs for the natural gas ECL would be subject to cost recovery.</w:t>
      </w:r>
      <w:r w:rsidR="004E51CC">
        <w:rPr>
          <w:rStyle w:val="FootnoteReference"/>
          <w:sz w:val="26"/>
        </w:rPr>
        <w:footnoteReference w:id="22"/>
      </w:r>
    </w:p>
    <w:p w:rsidR="00CB26AE" w:rsidRDefault="00CB26AE" w:rsidP="00CB26AE">
      <w:pPr>
        <w:spacing w:after="120" w:line="360" w:lineRule="auto"/>
        <w:rPr>
          <w:sz w:val="26"/>
        </w:rPr>
      </w:pPr>
    </w:p>
    <w:p w:rsidR="00F05DFC" w:rsidRDefault="00337442" w:rsidP="00CB26AE">
      <w:pPr>
        <w:spacing w:after="120" w:line="360" w:lineRule="auto"/>
        <w:jc w:val="center"/>
        <w:rPr>
          <w:b/>
          <w:spacing w:val="-3"/>
          <w:sz w:val="26"/>
          <w:szCs w:val="26"/>
        </w:rPr>
      </w:pPr>
      <w:r w:rsidRPr="007620D2">
        <w:rPr>
          <w:b/>
          <w:spacing w:val="-3"/>
          <w:sz w:val="26"/>
          <w:szCs w:val="26"/>
        </w:rPr>
        <w:t>Conclusion</w:t>
      </w:r>
    </w:p>
    <w:p w:rsidR="00F05DFC" w:rsidRDefault="00F05DFC">
      <w:pPr>
        <w:keepNext/>
        <w:keepLines/>
        <w:tabs>
          <w:tab w:val="left" w:pos="204"/>
        </w:tabs>
        <w:spacing w:line="360" w:lineRule="auto"/>
        <w:jc w:val="center"/>
        <w:rPr>
          <w:b/>
          <w:spacing w:val="-3"/>
          <w:sz w:val="26"/>
          <w:szCs w:val="26"/>
        </w:rPr>
      </w:pPr>
    </w:p>
    <w:p w:rsidR="00CB26AE" w:rsidRDefault="006A2195">
      <w:pPr>
        <w:keepNext/>
        <w:keepLines/>
        <w:tabs>
          <w:tab w:val="left" w:pos="204"/>
        </w:tabs>
        <w:spacing w:line="360" w:lineRule="auto"/>
        <w:rPr>
          <w:sz w:val="26"/>
          <w:szCs w:val="26"/>
        </w:rPr>
      </w:pPr>
      <w:r>
        <w:rPr>
          <w:b/>
          <w:spacing w:val="-3"/>
          <w:sz w:val="26"/>
          <w:szCs w:val="26"/>
        </w:rPr>
        <w:tab/>
      </w:r>
      <w:r>
        <w:rPr>
          <w:b/>
          <w:spacing w:val="-3"/>
          <w:sz w:val="26"/>
          <w:szCs w:val="26"/>
        </w:rPr>
        <w:tab/>
      </w:r>
      <w:r w:rsidR="00680965">
        <w:rPr>
          <w:sz w:val="26"/>
          <w:szCs w:val="26"/>
        </w:rPr>
        <w:t>Through</w:t>
      </w:r>
      <w:r w:rsidR="00CB26AE" w:rsidRPr="00522FC0">
        <w:rPr>
          <w:sz w:val="26"/>
          <w:szCs w:val="26"/>
        </w:rPr>
        <w:t xml:space="preserve"> this Tentative Order, the Commission seeks comments on the proposed </w:t>
      </w:r>
      <w:r w:rsidR="00CB26AE">
        <w:rPr>
          <w:sz w:val="26"/>
          <w:szCs w:val="26"/>
        </w:rPr>
        <w:t>recommendations for a triennial company-wide solicitation schedule for the EDCs to update their electricity ECLs</w:t>
      </w:r>
      <w:r w:rsidR="00CB26AE" w:rsidRPr="00522FC0">
        <w:rPr>
          <w:sz w:val="26"/>
          <w:szCs w:val="26"/>
        </w:rPr>
        <w:t>.</w:t>
      </w:r>
      <w:r w:rsidR="00CB26AE">
        <w:rPr>
          <w:sz w:val="26"/>
          <w:szCs w:val="26"/>
        </w:rPr>
        <w:t xml:space="preserve">  Specifically, the Commission requests comments on a three-year update schedule; the treatment of those customers receiving both electricity and natural gas service from the same utility; the content of the solicitations; and the amount and recovery of the costs associated with the solicitations.</w:t>
      </w:r>
    </w:p>
    <w:p w:rsidR="00F05DFC" w:rsidRDefault="00C2455C">
      <w:pPr>
        <w:keepNext/>
        <w:keepLines/>
        <w:tabs>
          <w:tab w:val="left" w:pos="204"/>
        </w:tabs>
        <w:spacing w:line="360" w:lineRule="auto"/>
        <w:rPr>
          <w:b/>
          <w:sz w:val="26"/>
          <w:szCs w:val="26"/>
        </w:rPr>
      </w:pPr>
      <w:r w:rsidRPr="007620D2">
        <w:rPr>
          <w:b/>
          <w:sz w:val="26"/>
          <w:szCs w:val="26"/>
        </w:rPr>
        <w:t>THEREFORE,</w:t>
      </w:r>
    </w:p>
    <w:p w:rsidR="00D76D23" w:rsidRDefault="00D76D23" w:rsidP="00D76D23">
      <w:pPr>
        <w:tabs>
          <w:tab w:val="left" w:pos="204"/>
        </w:tabs>
        <w:spacing w:line="360" w:lineRule="auto"/>
        <w:rPr>
          <w:b/>
          <w:sz w:val="26"/>
          <w:szCs w:val="26"/>
        </w:rPr>
      </w:pPr>
    </w:p>
    <w:p w:rsidR="002F793F" w:rsidRDefault="00D76D23" w:rsidP="00522A1D">
      <w:pPr>
        <w:keepNext/>
        <w:keepLines/>
        <w:tabs>
          <w:tab w:val="left" w:pos="0"/>
        </w:tabs>
        <w:spacing w:line="360" w:lineRule="auto"/>
        <w:rPr>
          <w:b/>
          <w:sz w:val="26"/>
        </w:rPr>
      </w:pPr>
      <w:r>
        <w:rPr>
          <w:b/>
          <w:sz w:val="26"/>
        </w:rPr>
        <w:tab/>
      </w:r>
      <w:r w:rsidR="009F59C8" w:rsidRPr="007620D2">
        <w:rPr>
          <w:b/>
          <w:sz w:val="26"/>
        </w:rPr>
        <w:t xml:space="preserve">IT IS ORDERED:  </w:t>
      </w:r>
    </w:p>
    <w:p w:rsidR="009666AA" w:rsidRPr="0035798D" w:rsidRDefault="009666AA" w:rsidP="00522A1D">
      <w:pPr>
        <w:keepNext/>
        <w:keepLines/>
        <w:tabs>
          <w:tab w:val="left" w:pos="0"/>
        </w:tabs>
        <w:spacing w:line="360" w:lineRule="auto"/>
        <w:rPr>
          <w:sz w:val="26"/>
        </w:rPr>
      </w:pPr>
    </w:p>
    <w:p w:rsidR="009666AA" w:rsidRPr="0035798D" w:rsidRDefault="00CB26AE" w:rsidP="00AF3EF2">
      <w:pPr>
        <w:keepNext/>
        <w:keepLines/>
        <w:spacing w:line="360" w:lineRule="auto"/>
        <w:ind w:left="1800" w:hanging="360"/>
        <w:rPr>
          <w:sz w:val="26"/>
          <w:szCs w:val="26"/>
        </w:rPr>
      </w:pPr>
      <w:r>
        <w:rPr>
          <w:sz w:val="26"/>
        </w:rPr>
        <w:t>1.  That this</w:t>
      </w:r>
      <w:r w:rsidR="0037739B" w:rsidRPr="0037739B">
        <w:rPr>
          <w:sz w:val="26"/>
        </w:rPr>
        <w:t xml:space="preserve"> Tentative Order </w:t>
      </w:r>
      <w:r>
        <w:rPr>
          <w:sz w:val="26"/>
        </w:rPr>
        <w:t>be</w:t>
      </w:r>
      <w:r w:rsidR="0037739B" w:rsidRPr="0037739B">
        <w:rPr>
          <w:sz w:val="26"/>
        </w:rPr>
        <w:t xml:space="preserve"> issued for</w:t>
      </w:r>
      <w:r>
        <w:rPr>
          <w:sz w:val="26"/>
        </w:rPr>
        <w:t xml:space="preserve"> public</w:t>
      </w:r>
      <w:r w:rsidR="0037739B" w:rsidRPr="0037739B">
        <w:rPr>
          <w:sz w:val="26"/>
        </w:rPr>
        <w:t xml:space="preserve"> comment.</w:t>
      </w:r>
    </w:p>
    <w:p w:rsidR="00320525" w:rsidRDefault="00320525" w:rsidP="00AF3EF2">
      <w:pPr>
        <w:spacing w:line="360" w:lineRule="auto"/>
        <w:ind w:left="1800" w:hanging="360"/>
        <w:rPr>
          <w:sz w:val="26"/>
          <w:szCs w:val="26"/>
        </w:rPr>
      </w:pPr>
    </w:p>
    <w:p w:rsidR="00320525" w:rsidRPr="00F03CBD" w:rsidRDefault="00320525" w:rsidP="00320525">
      <w:pPr>
        <w:spacing w:line="360" w:lineRule="auto"/>
        <w:ind w:left="1800" w:hanging="360"/>
        <w:rPr>
          <w:sz w:val="26"/>
          <w:szCs w:val="26"/>
        </w:rPr>
      </w:pPr>
      <w:r>
        <w:rPr>
          <w:sz w:val="26"/>
        </w:rPr>
        <w:t xml:space="preserve">2.  </w:t>
      </w:r>
      <w:r w:rsidRPr="00F03CBD">
        <w:rPr>
          <w:sz w:val="26"/>
          <w:szCs w:val="26"/>
        </w:rPr>
        <w:t xml:space="preserve">That </w:t>
      </w:r>
      <w:r w:rsidRPr="00522FC0">
        <w:rPr>
          <w:sz w:val="26"/>
          <w:szCs w:val="26"/>
        </w:rPr>
        <w:t xml:space="preserve">interested parties shall have 30 days from the </w:t>
      </w:r>
      <w:r>
        <w:rPr>
          <w:sz w:val="26"/>
          <w:szCs w:val="26"/>
        </w:rPr>
        <w:t xml:space="preserve">date of entry of this Tentative Order to submit </w:t>
      </w:r>
      <w:r w:rsidRPr="00522FC0">
        <w:rPr>
          <w:sz w:val="26"/>
          <w:szCs w:val="26"/>
        </w:rPr>
        <w:t>written comments</w:t>
      </w:r>
      <w:r>
        <w:rPr>
          <w:sz w:val="26"/>
          <w:szCs w:val="26"/>
        </w:rPr>
        <w:t xml:space="preserve"> with</w:t>
      </w:r>
      <w:r w:rsidRPr="00522FC0">
        <w:rPr>
          <w:sz w:val="26"/>
          <w:szCs w:val="26"/>
        </w:rPr>
        <w:t xml:space="preserve"> the Pennsylvania Public Utility Commission</w:t>
      </w:r>
      <w:r>
        <w:rPr>
          <w:sz w:val="26"/>
          <w:szCs w:val="26"/>
        </w:rPr>
        <w:t>.</w:t>
      </w:r>
    </w:p>
    <w:p w:rsidR="00320525" w:rsidRDefault="00320525" w:rsidP="00320525">
      <w:pPr>
        <w:spacing w:line="360" w:lineRule="auto"/>
        <w:ind w:left="1800" w:hanging="360"/>
        <w:rPr>
          <w:sz w:val="26"/>
        </w:rPr>
      </w:pPr>
    </w:p>
    <w:p w:rsidR="00320525" w:rsidRDefault="00320525" w:rsidP="00320525">
      <w:pPr>
        <w:spacing w:line="360" w:lineRule="auto"/>
        <w:ind w:left="1800" w:hanging="360"/>
        <w:rPr>
          <w:sz w:val="26"/>
        </w:rPr>
      </w:pPr>
      <w:r>
        <w:rPr>
          <w:sz w:val="26"/>
        </w:rPr>
        <w:t xml:space="preserve">3.  </w:t>
      </w:r>
      <w:r w:rsidRPr="00F03CBD">
        <w:rPr>
          <w:sz w:val="26"/>
          <w:szCs w:val="26"/>
        </w:rPr>
        <w:t xml:space="preserve">That </w:t>
      </w:r>
      <w:r>
        <w:rPr>
          <w:sz w:val="26"/>
          <w:szCs w:val="26"/>
        </w:rPr>
        <w:t>interested parties shall have 45 days from the date of entry of this Tentative Order to submit written reply comments with the Pennsylvania Public Utility Commission.</w:t>
      </w:r>
      <w:r>
        <w:rPr>
          <w:sz w:val="26"/>
        </w:rPr>
        <w:t xml:space="preserve"> </w:t>
      </w:r>
    </w:p>
    <w:p w:rsidR="00320525" w:rsidRDefault="00320525" w:rsidP="00680965">
      <w:pPr>
        <w:spacing w:line="360" w:lineRule="auto"/>
        <w:ind w:left="1800" w:hanging="360"/>
        <w:rPr>
          <w:sz w:val="26"/>
        </w:rPr>
      </w:pPr>
    </w:p>
    <w:p w:rsidR="00854598" w:rsidRDefault="00680965" w:rsidP="00AF3EF2">
      <w:pPr>
        <w:spacing w:line="360" w:lineRule="auto"/>
        <w:ind w:left="1800" w:hanging="360"/>
        <w:rPr>
          <w:sz w:val="26"/>
        </w:rPr>
      </w:pPr>
      <w:r>
        <w:rPr>
          <w:sz w:val="26"/>
        </w:rPr>
        <w:t>4</w:t>
      </w:r>
      <w:r w:rsidR="00C00A9E">
        <w:rPr>
          <w:sz w:val="26"/>
        </w:rPr>
        <w:t xml:space="preserve">. </w:t>
      </w:r>
      <w:r w:rsidR="00AF3EF2">
        <w:rPr>
          <w:sz w:val="26"/>
        </w:rPr>
        <w:t xml:space="preserve"> </w:t>
      </w:r>
      <w:r w:rsidR="00C00A9E">
        <w:rPr>
          <w:sz w:val="26"/>
        </w:rPr>
        <w:t xml:space="preserve">That this Tentative Order shall be served on all Electric Distribution Companies, all licensed Electric Generation Suppliers, </w:t>
      </w:r>
      <w:r w:rsidR="0035798D">
        <w:rPr>
          <w:sz w:val="26"/>
        </w:rPr>
        <w:t xml:space="preserve">the </w:t>
      </w:r>
      <w:r w:rsidR="00AF3EF2">
        <w:rPr>
          <w:sz w:val="26"/>
        </w:rPr>
        <w:t xml:space="preserve">Bureau of </w:t>
      </w:r>
      <w:r w:rsidR="00AF3EF2">
        <w:rPr>
          <w:sz w:val="26"/>
        </w:rPr>
        <w:lastRenderedPageBreak/>
        <w:t>Investigation and Enforcement</w:t>
      </w:r>
      <w:r w:rsidR="0035798D">
        <w:rPr>
          <w:sz w:val="26"/>
        </w:rPr>
        <w:t xml:space="preserve">, </w:t>
      </w:r>
      <w:r w:rsidR="00854598">
        <w:rPr>
          <w:sz w:val="26"/>
        </w:rPr>
        <w:t>the Office of Consumer Advocate</w:t>
      </w:r>
      <w:r w:rsidR="0035798D">
        <w:rPr>
          <w:sz w:val="26"/>
        </w:rPr>
        <w:t>,</w:t>
      </w:r>
      <w:r w:rsidR="002A4E62">
        <w:rPr>
          <w:sz w:val="26"/>
        </w:rPr>
        <w:t xml:space="preserve"> t</w:t>
      </w:r>
      <w:r w:rsidR="00C00A9E">
        <w:rPr>
          <w:sz w:val="26"/>
        </w:rPr>
        <w:t>he Office of Small Business Advocate</w:t>
      </w:r>
      <w:r w:rsidR="00157147">
        <w:rPr>
          <w:sz w:val="26"/>
        </w:rPr>
        <w:t xml:space="preserve">, </w:t>
      </w:r>
      <w:r w:rsidR="002A4E62">
        <w:rPr>
          <w:sz w:val="26"/>
        </w:rPr>
        <w:t>the Energy Association of Pennsylvania</w:t>
      </w:r>
      <w:r w:rsidR="00157147">
        <w:rPr>
          <w:sz w:val="26"/>
        </w:rPr>
        <w:t xml:space="preserve"> and the Pennsylvania Coalition against Domestic Violence</w:t>
      </w:r>
      <w:r w:rsidR="00854598">
        <w:rPr>
          <w:sz w:val="26"/>
        </w:rPr>
        <w:t>.</w:t>
      </w:r>
    </w:p>
    <w:p w:rsidR="00854598" w:rsidRDefault="00854598" w:rsidP="00E1098C">
      <w:pPr>
        <w:spacing w:line="360" w:lineRule="auto"/>
        <w:ind w:firstLine="1440"/>
        <w:rPr>
          <w:sz w:val="26"/>
        </w:rPr>
      </w:pPr>
    </w:p>
    <w:p w:rsidR="00C00A9E" w:rsidRDefault="00320525" w:rsidP="00AF3EF2">
      <w:pPr>
        <w:spacing w:line="360" w:lineRule="auto"/>
        <w:ind w:left="1800" w:hanging="360"/>
        <w:rPr>
          <w:sz w:val="26"/>
        </w:rPr>
      </w:pPr>
      <w:r>
        <w:rPr>
          <w:sz w:val="26"/>
        </w:rPr>
        <w:t>5</w:t>
      </w:r>
      <w:r w:rsidR="00854598" w:rsidRPr="006724E4">
        <w:rPr>
          <w:sz w:val="26"/>
        </w:rPr>
        <w:t xml:space="preserve">.  That the Office of Competitive Market Oversight </w:t>
      </w:r>
      <w:r w:rsidR="006724E4" w:rsidRPr="006724E4">
        <w:rPr>
          <w:sz w:val="26"/>
        </w:rPr>
        <w:t xml:space="preserve">shall electronically </w:t>
      </w:r>
      <w:r w:rsidR="002A4E62">
        <w:rPr>
          <w:sz w:val="26"/>
        </w:rPr>
        <w:t>serve</w:t>
      </w:r>
      <w:r w:rsidR="006724E4" w:rsidRPr="006724E4">
        <w:rPr>
          <w:sz w:val="26"/>
        </w:rPr>
        <w:t xml:space="preserve"> a copy of this Tentative Order on </w:t>
      </w:r>
      <w:r w:rsidR="00C00A9E" w:rsidRPr="006724E4">
        <w:rPr>
          <w:sz w:val="26"/>
        </w:rPr>
        <w:t>all persons on the contact list for the Committee Handling Activities for Retail Growth in Electricity.</w:t>
      </w:r>
    </w:p>
    <w:p w:rsidR="002A4E62" w:rsidRDefault="002A4E62" w:rsidP="00E1098C">
      <w:pPr>
        <w:spacing w:line="360" w:lineRule="auto"/>
        <w:ind w:firstLine="1440"/>
        <w:rPr>
          <w:sz w:val="26"/>
        </w:rPr>
      </w:pPr>
    </w:p>
    <w:p w:rsidR="002A4E62" w:rsidRDefault="00320525" w:rsidP="00AF3EF2">
      <w:pPr>
        <w:spacing w:line="360" w:lineRule="auto"/>
        <w:ind w:left="1800" w:hanging="360"/>
        <w:rPr>
          <w:sz w:val="26"/>
        </w:rPr>
      </w:pPr>
      <w:r>
        <w:rPr>
          <w:sz w:val="26"/>
        </w:rPr>
        <w:t>6</w:t>
      </w:r>
      <w:r w:rsidR="002A4E62">
        <w:rPr>
          <w:sz w:val="26"/>
        </w:rPr>
        <w:t xml:space="preserve">.  That </w:t>
      </w:r>
      <w:r w:rsidR="009B19E6">
        <w:rPr>
          <w:sz w:val="26"/>
        </w:rPr>
        <w:t>a copy of this Tentative Order shall be posted on the Commission’s website</w:t>
      </w:r>
      <w:r w:rsidR="00680965" w:rsidRPr="00680965">
        <w:rPr>
          <w:sz w:val="26"/>
        </w:rPr>
        <w:t xml:space="preserve"> </w:t>
      </w:r>
      <w:r w:rsidR="00680965">
        <w:rPr>
          <w:sz w:val="26"/>
        </w:rPr>
        <w:t>at the Office of Competitive Market Oversight’s web page</w:t>
      </w:r>
      <w:r w:rsidR="009B19E6">
        <w:rPr>
          <w:sz w:val="26"/>
        </w:rPr>
        <w:t>.</w:t>
      </w:r>
    </w:p>
    <w:p w:rsidR="009B19E6" w:rsidRDefault="009B19E6" w:rsidP="00E1098C">
      <w:pPr>
        <w:spacing w:line="360" w:lineRule="auto"/>
        <w:ind w:firstLine="1440"/>
        <w:rPr>
          <w:sz w:val="26"/>
        </w:rPr>
      </w:pPr>
    </w:p>
    <w:p w:rsidR="009B19E6" w:rsidRDefault="00320525" w:rsidP="00AF3EF2">
      <w:pPr>
        <w:spacing w:line="360" w:lineRule="auto"/>
        <w:ind w:left="1800" w:hanging="360"/>
        <w:rPr>
          <w:sz w:val="26"/>
        </w:rPr>
      </w:pPr>
      <w:r>
        <w:rPr>
          <w:sz w:val="26"/>
        </w:rPr>
        <w:t>7</w:t>
      </w:r>
      <w:r w:rsidR="009B19E6">
        <w:rPr>
          <w:sz w:val="26"/>
        </w:rPr>
        <w:t xml:space="preserve">.  That the contact persons for this matter are </w:t>
      </w:r>
      <w:r w:rsidR="00AF3EF2">
        <w:rPr>
          <w:sz w:val="26"/>
        </w:rPr>
        <w:t xml:space="preserve">Megan G. Good, Bureau of Technical Utility Services, 717-425-7583 or </w:t>
      </w:r>
      <w:hyperlink r:id="rId9" w:history="1">
        <w:r w:rsidR="00AF3EF2" w:rsidRPr="00290FB9">
          <w:rPr>
            <w:rStyle w:val="Hyperlink"/>
            <w:sz w:val="26"/>
          </w:rPr>
          <w:t>megagood@pa.gov</w:t>
        </w:r>
      </w:hyperlink>
      <w:r w:rsidR="00AF3EF2">
        <w:rPr>
          <w:sz w:val="26"/>
        </w:rPr>
        <w:t xml:space="preserve">, or </w:t>
      </w:r>
      <w:r w:rsidR="000823C9">
        <w:rPr>
          <w:sz w:val="26"/>
        </w:rPr>
        <w:t xml:space="preserve">H. Kirk House, Office of Competitive Market Oversight, 717-772-8495 or </w:t>
      </w:r>
      <w:hyperlink r:id="rId10" w:history="1">
        <w:r w:rsidR="000823C9" w:rsidRPr="00EE4D6B">
          <w:rPr>
            <w:rStyle w:val="Hyperlink"/>
            <w:sz w:val="26"/>
          </w:rPr>
          <w:t>hhouse@pa.gov</w:t>
        </w:r>
      </w:hyperlink>
      <w:r w:rsidR="009B19E6">
        <w:rPr>
          <w:sz w:val="26"/>
        </w:rPr>
        <w:t>.</w:t>
      </w:r>
    </w:p>
    <w:p w:rsidR="009B19E6" w:rsidRDefault="009B19E6" w:rsidP="00E1098C">
      <w:pPr>
        <w:spacing w:line="360" w:lineRule="auto"/>
        <w:ind w:firstLine="1440"/>
        <w:rPr>
          <w:sz w:val="26"/>
        </w:rPr>
      </w:pPr>
    </w:p>
    <w:p w:rsidR="00AF3EF2" w:rsidRDefault="00AF3EF2" w:rsidP="004C0C8E">
      <w:pPr>
        <w:keepNext/>
        <w:keepLines/>
        <w:spacing w:line="360" w:lineRule="auto"/>
        <w:rPr>
          <w:b/>
          <w:sz w:val="26"/>
        </w:rPr>
      </w:pPr>
    </w:p>
    <w:p w:rsidR="0097630D" w:rsidRPr="007620D2" w:rsidRDefault="00CE1B69" w:rsidP="004C0C8E">
      <w:pPr>
        <w:keepNext/>
        <w:keepLines/>
        <w:spacing w:line="360" w:lineRule="auto"/>
        <w:rPr>
          <w:b/>
          <w:sz w:val="26"/>
          <w:szCs w:val="26"/>
        </w:rPr>
      </w:pPr>
      <w:bookmarkStart w:id="0" w:name="_GoBack"/>
      <w:r>
        <w:rPr>
          <w:noProof/>
        </w:rPr>
        <w:drawing>
          <wp:anchor distT="0" distB="0" distL="114300" distR="114300" simplePos="0" relativeHeight="251659264" behindDoc="1" locked="0" layoutInCell="1" allowOverlap="1" wp14:anchorId="4A5C7C99" wp14:editId="5924E28E">
            <wp:simplePos x="0" y="0"/>
            <wp:positionH relativeFrom="column">
              <wp:posOffset>3362960</wp:posOffset>
            </wp:positionH>
            <wp:positionV relativeFrom="paragraph">
              <wp:posOffset>58420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7630D" w:rsidRPr="007620D2">
        <w:rPr>
          <w:b/>
          <w:sz w:val="26"/>
        </w:rPr>
        <w:tab/>
      </w:r>
      <w:r w:rsidR="0097630D" w:rsidRPr="007620D2">
        <w:rPr>
          <w:b/>
          <w:sz w:val="26"/>
        </w:rPr>
        <w:tab/>
      </w:r>
      <w:r w:rsidR="0097630D" w:rsidRPr="007620D2">
        <w:rPr>
          <w:b/>
          <w:sz w:val="26"/>
        </w:rPr>
        <w:tab/>
      </w:r>
      <w:r w:rsidR="0097630D" w:rsidRPr="007620D2">
        <w:rPr>
          <w:b/>
          <w:sz w:val="26"/>
          <w:szCs w:val="26"/>
        </w:rPr>
        <w:t>BY THE COMMISSION,</w:t>
      </w:r>
    </w:p>
    <w:p w:rsidR="0097630D" w:rsidRPr="007620D2" w:rsidRDefault="0097630D" w:rsidP="004C0C8E">
      <w:pPr>
        <w:keepNext/>
        <w:keepLines/>
        <w:rPr>
          <w:sz w:val="26"/>
          <w:szCs w:val="26"/>
        </w:rPr>
      </w:pPr>
    </w:p>
    <w:p w:rsidR="0097630D" w:rsidRDefault="0097630D" w:rsidP="004C0C8E">
      <w:pPr>
        <w:keepNext/>
        <w:keepLines/>
        <w:rPr>
          <w:sz w:val="26"/>
          <w:szCs w:val="26"/>
        </w:rPr>
      </w:pPr>
    </w:p>
    <w:p w:rsidR="000823C9" w:rsidRPr="007620D2" w:rsidRDefault="000823C9" w:rsidP="004C0C8E">
      <w:pPr>
        <w:keepNext/>
        <w:keepLines/>
        <w:rPr>
          <w:sz w:val="26"/>
          <w:szCs w:val="26"/>
        </w:rPr>
      </w:pPr>
    </w:p>
    <w:p w:rsidR="0097630D" w:rsidRPr="007620D2" w:rsidRDefault="0097630D" w:rsidP="004C0C8E">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00E1098C" w:rsidRPr="007620D2">
        <w:rPr>
          <w:sz w:val="26"/>
          <w:szCs w:val="26"/>
        </w:rPr>
        <w:t>Rosemary Chiavetta</w:t>
      </w:r>
    </w:p>
    <w:p w:rsidR="0097630D" w:rsidRPr="007620D2" w:rsidRDefault="0097630D" w:rsidP="004C0C8E">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97630D" w:rsidRPr="007620D2" w:rsidRDefault="0097630D" w:rsidP="004C0C8E">
      <w:pPr>
        <w:keepNext/>
        <w:keepLines/>
        <w:rPr>
          <w:sz w:val="26"/>
          <w:szCs w:val="26"/>
        </w:rPr>
      </w:pPr>
    </w:p>
    <w:p w:rsidR="0097630D" w:rsidRDefault="0097630D" w:rsidP="004C0C8E">
      <w:pPr>
        <w:keepNext/>
        <w:keepLines/>
        <w:rPr>
          <w:sz w:val="26"/>
          <w:szCs w:val="26"/>
        </w:rPr>
      </w:pPr>
    </w:p>
    <w:p w:rsidR="00AF3EF2" w:rsidRPr="007620D2" w:rsidRDefault="00AF3EF2" w:rsidP="004C0C8E">
      <w:pPr>
        <w:keepNext/>
        <w:keepLines/>
        <w:rPr>
          <w:sz w:val="26"/>
          <w:szCs w:val="26"/>
        </w:rPr>
      </w:pPr>
    </w:p>
    <w:p w:rsidR="0097630D" w:rsidRPr="007620D2" w:rsidRDefault="0097630D" w:rsidP="004C0C8E">
      <w:pPr>
        <w:keepNext/>
        <w:keepLines/>
        <w:rPr>
          <w:sz w:val="26"/>
          <w:szCs w:val="26"/>
        </w:rPr>
      </w:pPr>
      <w:r w:rsidRPr="007620D2">
        <w:rPr>
          <w:sz w:val="26"/>
          <w:szCs w:val="26"/>
        </w:rPr>
        <w:t xml:space="preserve">ORDER ADOPTED:  </w:t>
      </w:r>
      <w:r w:rsidR="00CE1B69">
        <w:rPr>
          <w:sz w:val="26"/>
          <w:szCs w:val="26"/>
        </w:rPr>
        <w:t>June 19, 2014</w:t>
      </w:r>
    </w:p>
    <w:p w:rsidR="0097630D" w:rsidRPr="007620D2" w:rsidRDefault="0097630D" w:rsidP="004C0C8E">
      <w:pPr>
        <w:keepNext/>
        <w:keepLines/>
        <w:rPr>
          <w:sz w:val="26"/>
          <w:szCs w:val="26"/>
        </w:rPr>
      </w:pPr>
    </w:p>
    <w:p w:rsidR="00C2455C" w:rsidRPr="00202B39" w:rsidRDefault="0097630D" w:rsidP="004C0C8E">
      <w:pPr>
        <w:keepNext/>
        <w:keepLines/>
        <w:rPr>
          <w:b/>
          <w:sz w:val="26"/>
        </w:rPr>
      </w:pPr>
      <w:r w:rsidRPr="007620D2">
        <w:rPr>
          <w:sz w:val="26"/>
          <w:szCs w:val="26"/>
        </w:rPr>
        <w:t xml:space="preserve">ORDER ENTERED:  </w:t>
      </w:r>
      <w:r w:rsidR="00CE1B69">
        <w:rPr>
          <w:sz w:val="26"/>
          <w:szCs w:val="26"/>
        </w:rPr>
        <w:t>June 19, 2014</w:t>
      </w:r>
    </w:p>
    <w:sectPr w:rsidR="00C2455C" w:rsidRPr="00202B39" w:rsidSect="009F59C8">
      <w:headerReference w:type="default" r:id="rId12"/>
      <w:footerReference w:type="even" r:id="rId13"/>
      <w:footerReference w:type="defaul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6D6" w:rsidRDefault="003226D6">
      <w:r>
        <w:separator/>
      </w:r>
    </w:p>
  </w:endnote>
  <w:endnote w:type="continuationSeparator" w:id="0">
    <w:p w:rsidR="003226D6" w:rsidRDefault="0032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25" w:rsidRDefault="00E61325"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1325" w:rsidRDefault="00E61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25" w:rsidRDefault="00E61325">
    <w:pPr>
      <w:pStyle w:val="Footer"/>
      <w:jc w:val="center"/>
    </w:pPr>
    <w:r>
      <w:fldChar w:fldCharType="begin"/>
    </w:r>
    <w:r>
      <w:instrText xml:space="preserve"> PAGE   \* MERGEFORMAT </w:instrText>
    </w:r>
    <w:r>
      <w:fldChar w:fldCharType="separate"/>
    </w:r>
    <w:r w:rsidR="00CE1B69">
      <w:rPr>
        <w:noProof/>
      </w:rPr>
      <w:t>2</w:t>
    </w:r>
    <w:r>
      <w:rPr>
        <w:noProof/>
      </w:rPr>
      <w:fldChar w:fldCharType="end"/>
    </w:r>
  </w:p>
  <w:p w:rsidR="00E61325" w:rsidRPr="006C38B6" w:rsidRDefault="00E6132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6D6" w:rsidRDefault="003226D6">
      <w:r>
        <w:separator/>
      </w:r>
    </w:p>
  </w:footnote>
  <w:footnote w:type="continuationSeparator" w:id="0">
    <w:p w:rsidR="003226D6" w:rsidRDefault="003226D6">
      <w:r>
        <w:continuationSeparator/>
      </w:r>
    </w:p>
  </w:footnote>
  <w:footnote w:id="1">
    <w:p w:rsidR="00E61325" w:rsidRPr="00AD08AF" w:rsidRDefault="00E61325" w:rsidP="00E61325">
      <w:pPr>
        <w:pStyle w:val="FootnoteText"/>
      </w:pPr>
      <w:r w:rsidRPr="00AD08AF">
        <w:rPr>
          <w:rStyle w:val="FootnoteReference"/>
        </w:rPr>
        <w:footnoteRef/>
      </w:r>
      <w:r w:rsidRPr="00AD08AF">
        <w:t xml:space="preserve"> </w:t>
      </w:r>
      <w:r w:rsidRPr="00AD08AF">
        <w:rPr>
          <w:i/>
        </w:rPr>
        <w:t>See Office of Competitive Market Oversight</w:t>
      </w:r>
      <w:r w:rsidRPr="00AD08AF">
        <w:t xml:space="preserve"> Secretarial Lette</w:t>
      </w:r>
      <w:r w:rsidR="00B773DE">
        <w:t>r, at Docket No. M-2009-2082042</w:t>
      </w:r>
      <w:r w:rsidRPr="00AD08AF">
        <w:t xml:space="preserve"> </w:t>
      </w:r>
      <w:r w:rsidR="00B773DE">
        <w:t>(</w:t>
      </w:r>
      <w:r w:rsidRPr="00AD08AF">
        <w:t>Jan</w:t>
      </w:r>
      <w:r w:rsidR="00B773DE">
        <w:t>.</w:t>
      </w:r>
      <w:r w:rsidRPr="00AD08AF">
        <w:t xml:space="preserve"> 9, 2009</w:t>
      </w:r>
      <w:r w:rsidR="00B773DE">
        <w:t>)</w:t>
      </w:r>
      <w:r w:rsidRPr="00AD08AF">
        <w:t>.</w:t>
      </w:r>
    </w:p>
  </w:footnote>
  <w:footnote w:id="2">
    <w:p w:rsidR="00E61325" w:rsidRPr="00AD08AF" w:rsidRDefault="00E61325" w:rsidP="00E61325">
      <w:pPr>
        <w:pStyle w:val="FootnoteText"/>
      </w:pPr>
      <w:r w:rsidRPr="00AD08AF">
        <w:rPr>
          <w:rStyle w:val="FootnoteReference"/>
        </w:rPr>
        <w:footnoteRef/>
      </w:r>
      <w:r w:rsidRPr="00AD08AF">
        <w:t xml:space="preserve"> </w:t>
      </w:r>
      <w:r w:rsidRPr="00AD08AF">
        <w:rPr>
          <w:i/>
        </w:rPr>
        <w:t>See Office of Competitive Market Oversight</w:t>
      </w:r>
      <w:r w:rsidRPr="00AD08AF">
        <w:t xml:space="preserve"> Secretarial Letter</w:t>
      </w:r>
      <w:r w:rsidR="00B773DE">
        <w:t>, at Docket No. M-2009-2082042 (</w:t>
      </w:r>
      <w:r w:rsidRPr="00AD08AF">
        <w:t>Dec</w:t>
      </w:r>
      <w:r w:rsidR="00B773DE">
        <w:t>.</w:t>
      </w:r>
      <w:r w:rsidRPr="00AD08AF">
        <w:t xml:space="preserve"> 10, 2009</w:t>
      </w:r>
      <w:r w:rsidR="00B773DE">
        <w:t>)</w:t>
      </w:r>
      <w:r w:rsidRPr="00AD08AF">
        <w:t>.</w:t>
      </w:r>
    </w:p>
  </w:footnote>
  <w:footnote w:id="3">
    <w:p w:rsidR="00AD08AF" w:rsidRPr="00AD08AF" w:rsidRDefault="00AD08AF">
      <w:pPr>
        <w:pStyle w:val="FootnoteText"/>
      </w:pPr>
      <w:r w:rsidRPr="00AD08AF">
        <w:rPr>
          <w:rStyle w:val="FootnoteReference"/>
        </w:rPr>
        <w:footnoteRef/>
      </w:r>
      <w:r w:rsidRPr="00AD08AF">
        <w:t xml:space="preserve"> Recaps of all CHARGE meetings can be found on the Commission’s website at the following link: </w:t>
      </w:r>
      <w:hyperlink r:id="rId1" w:history="1">
        <w:r w:rsidRPr="00AD08AF">
          <w:rPr>
            <w:rStyle w:val="Hyperlink"/>
          </w:rPr>
          <w:t>http://www.puc.pa.gov/utility_industry/electricity/electric_competitive_market_oversight.aspx</w:t>
        </w:r>
      </w:hyperlink>
      <w:r w:rsidRPr="00AD08AF">
        <w:t xml:space="preserve">. </w:t>
      </w:r>
    </w:p>
  </w:footnote>
  <w:footnote w:id="4">
    <w:p w:rsidR="004760C1" w:rsidRPr="004760C1" w:rsidRDefault="004760C1">
      <w:pPr>
        <w:pStyle w:val="FootnoteText"/>
      </w:pPr>
      <w:r>
        <w:rPr>
          <w:rStyle w:val="FootnoteReference"/>
        </w:rPr>
        <w:footnoteRef/>
      </w:r>
      <w:r>
        <w:t xml:space="preserve"> </w:t>
      </w:r>
      <w:r>
        <w:rPr>
          <w:i/>
        </w:rPr>
        <w:t>See Interim Guidelines For Eligible Customer Lists</w:t>
      </w:r>
      <w:r>
        <w:t xml:space="preserve"> Tentative Order</w:t>
      </w:r>
      <w:r w:rsidR="00B773DE">
        <w:t>, at Docket No. M-2010-2183412 (</w:t>
      </w:r>
      <w:r>
        <w:t>entered July 15, 2010</w:t>
      </w:r>
      <w:r w:rsidR="00B773DE">
        <w:t>)</w:t>
      </w:r>
      <w:r>
        <w:t>.</w:t>
      </w:r>
    </w:p>
  </w:footnote>
  <w:footnote w:id="5">
    <w:p w:rsidR="00E35F54" w:rsidRPr="00AD08AF" w:rsidRDefault="00E35F54">
      <w:pPr>
        <w:pStyle w:val="FootnoteText"/>
      </w:pPr>
      <w:r w:rsidRPr="00AD08AF">
        <w:rPr>
          <w:rStyle w:val="FootnoteReference"/>
        </w:rPr>
        <w:footnoteRef/>
      </w:r>
      <w:r w:rsidRPr="00AD08AF">
        <w:t xml:space="preserve"> </w:t>
      </w:r>
      <w:r w:rsidR="001B508E" w:rsidRPr="001B508E">
        <w:rPr>
          <w:i/>
        </w:rPr>
        <w:t>See</w:t>
      </w:r>
      <w:r w:rsidR="001B508E">
        <w:rPr>
          <w:i/>
        </w:rPr>
        <w:t xml:space="preserve"> </w:t>
      </w:r>
      <w:r w:rsidR="001F44D6" w:rsidRPr="001B508E">
        <w:rPr>
          <w:i/>
          <w:spacing w:val="-3"/>
        </w:rPr>
        <w:t>Interim</w:t>
      </w:r>
      <w:r w:rsidR="001F44D6" w:rsidRPr="00AD08AF">
        <w:rPr>
          <w:i/>
          <w:spacing w:val="-3"/>
        </w:rPr>
        <w:t xml:space="preserve"> Guidelines For Eligible Customer Lists</w:t>
      </w:r>
      <w:r w:rsidR="0025675E">
        <w:rPr>
          <w:spacing w:val="-3"/>
        </w:rPr>
        <w:t xml:space="preserve"> Final Order on Reconsideration, at </w:t>
      </w:r>
      <w:r w:rsidR="00B773DE">
        <w:rPr>
          <w:spacing w:val="-3"/>
        </w:rPr>
        <w:t>Docket No. M-2010-2183412 (</w:t>
      </w:r>
      <w:r w:rsidR="001F44D6" w:rsidRPr="00AD08AF">
        <w:rPr>
          <w:spacing w:val="-3"/>
        </w:rPr>
        <w:t>Nov</w:t>
      </w:r>
      <w:r w:rsidR="00B773DE">
        <w:rPr>
          <w:spacing w:val="-3"/>
        </w:rPr>
        <w:t>.</w:t>
      </w:r>
      <w:r w:rsidR="001F44D6" w:rsidRPr="00AD08AF">
        <w:rPr>
          <w:spacing w:val="-3"/>
        </w:rPr>
        <w:t xml:space="preserve"> 15, 2011</w:t>
      </w:r>
      <w:r w:rsidR="00B773DE">
        <w:rPr>
          <w:spacing w:val="-3"/>
        </w:rPr>
        <w:t>)</w:t>
      </w:r>
      <w:r w:rsidR="006B0EB6">
        <w:rPr>
          <w:spacing w:val="-3"/>
        </w:rPr>
        <w:t xml:space="preserve"> (</w:t>
      </w:r>
      <w:r w:rsidR="00B773DE">
        <w:rPr>
          <w:spacing w:val="-3"/>
        </w:rPr>
        <w:t xml:space="preserve">hereinafter </w:t>
      </w:r>
      <w:r w:rsidR="006B0EB6">
        <w:rPr>
          <w:i/>
          <w:spacing w:val="-3"/>
        </w:rPr>
        <w:t xml:space="preserve">November 15, 2011 </w:t>
      </w:r>
      <w:r w:rsidR="0038723C">
        <w:rPr>
          <w:i/>
          <w:spacing w:val="-3"/>
        </w:rPr>
        <w:t xml:space="preserve">Electricity </w:t>
      </w:r>
      <w:r w:rsidR="006B0EB6">
        <w:rPr>
          <w:i/>
          <w:spacing w:val="-3"/>
        </w:rPr>
        <w:t>ECL Order)</w:t>
      </w:r>
      <w:r w:rsidR="001F44D6" w:rsidRPr="00AD08AF">
        <w:rPr>
          <w:spacing w:val="-3"/>
        </w:rPr>
        <w:t>.</w:t>
      </w:r>
    </w:p>
  </w:footnote>
  <w:footnote w:id="6">
    <w:p w:rsidR="006B2427" w:rsidRPr="006B2427" w:rsidRDefault="006B2427">
      <w:pPr>
        <w:pStyle w:val="FootnoteText"/>
      </w:pPr>
      <w:r>
        <w:rPr>
          <w:rStyle w:val="FootnoteReference"/>
        </w:rPr>
        <w:footnoteRef/>
      </w:r>
      <w:r>
        <w:t xml:space="preserve"> </w:t>
      </w:r>
      <w:r>
        <w:rPr>
          <w:i/>
        </w:rPr>
        <w:t>See Petition of Dominion Retail, Inc., Interstate Gas Supply, Inc. and Shipley Choice, LLC. for Declaratory Order</w:t>
      </w:r>
      <w:r>
        <w:t xml:space="preserve">, at Docket No. P-2012-2291983, </w:t>
      </w:r>
      <w:r w:rsidR="00B773DE">
        <w:t>filed</w:t>
      </w:r>
      <w:r>
        <w:t xml:space="preserve"> Ma</w:t>
      </w:r>
      <w:r w:rsidR="00B773DE">
        <w:t>r.</w:t>
      </w:r>
      <w:r>
        <w:t xml:space="preserve"> 6, 2012.</w:t>
      </w:r>
    </w:p>
  </w:footnote>
  <w:footnote w:id="7">
    <w:p w:rsidR="00695AB8" w:rsidRPr="00AD08AF" w:rsidRDefault="00695AB8">
      <w:pPr>
        <w:pStyle w:val="FootnoteText"/>
      </w:pPr>
      <w:r w:rsidRPr="00AD08AF">
        <w:rPr>
          <w:rStyle w:val="FootnoteReference"/>
        </w:rPr>
        <w:footnoteRef/>
      </w:r>
      <w:r w:rsidRPr="00AD08AF">
        <w:t xml:space="preserve"> </w:t>
      </w:r>
      <w:r w:rsidR="001B508E">
        <w:rPr>
          <w:i/>
        </w:rPr>
        <w:t xml:space="preserve">See </w:t>
      </w:r>
      <w:r w:rsidRPr="00AD08AF">
        <w:rPr>
          <w:i/>
        </w:rPr>
        <w:t>Petition of Dominion Retail, Inc., Interstate Gas Supply, Inc. and Shipley Choice, LLC. for Declaratory Order</w:t>
      </w:r>
      <w:r w:rsidR="0025675E">
        <w:t xml:space="preserve"> Opinion and Order</w:t>
      </w:r>
      <w:r w:rsidRPr="00AD08AF">
        <w:t xml:space="preserve">, </w:t>
      </w:r>
      <w:r w:rsidR="0025675E">
        <w:t xml:space="preserve">at </w:t>
      </w:r>
      <w:r w:rsidRPr="00AD08AF">
        <w:t xml:space="preserve">Docket No. P-2012-2291983 </w:t>
      </w:r>
      <w:r w:rsidR="00B773DE">
        <w:t>(</w:t>
      </w:r>
      <w:r w:rsidRPr="00AD08AF">
        <w:t>Sept</w:t>
      </w:r>
      <w:r w:rsidR="00B773DE">
        <w:t>.</w:t>
      </w:r>
      <w:r w:rsidRPr="00AD08AF">
        <w:t xml:space="preserve"> 27, 2012</w:t>
      </w:r>
      <w:r w:rsidR="00B773DE">
        <w:t>)</w:t>
      </w:r>
      <w:r w:rsidRPr="00AD08AF">
        <w:t>.</w:t>
      </w:r>
    </w:p>
  </w:footnote>
  <w:footnote w:id="8">
    <w:p w:rsidR="0025675E" w:rsidRPr="0025675E" w:rsidRDefault="0025675E">
      <w:pPr>
        <w:pStyle w:val="FootnoteText"/>
      </w:pPr>
      <w:r>
        <w:rPr>
          <w:rStyle w:val="FootnoteReference"/>
        </w:rPr>
        <w:footnoteRef/>
      </w:r>
      <w:r>
        <w:t xml:space="preserve"> </w:t>
      </w:r>
      <w:r>
        <w:rPr>
          <w:i/>
        </w:rPr>
        <w:t>See Interim Guidelines for Natural Gas Distribution Company Eligible Customer Lists</w:t>
      </w:r>
      <w:r>
        <w:t xml:space="preserve"> Tentative Order</w:t>
      </w:r>
      <w:r w:rsidR="00B773DE">
        <w:t>, at Docket No. M-2012-2324075 (</w:t>
      </w:r>
      <w:r>
        <w:t>Sept</w:t>
      </w:r>
      <w:r w:rsidR="00B773DE">
        <w:t>.</w:t>
      </w:r>
      <w:r>
        <w:t xml:space="preserve"> 27, 2012</w:t>
      </w:r>
      <w:r w:rsidR="00B773DE">
        <w:t>)</w:t>
      </w:r>
      <w:r>
        <w:t>.</w:t>
      </w:r>
    </w:p>
  </w:footnote>
  <w:footnote w:id="9">
    <w:p w:rsidR="00940816" w:rsidRPr="00940816" w:rsidRDefault="00940816" w:rsidP="00940816">
      <w:pPr>
        <w:pStyle w:val="FootnoteText"/>
      </w:pPr>
      <w:r>
        <w:rPr>
          <w:rStyle w:val="FootnoteReference"/>
        </w:rPr>
        <w:footnoteRef/>
      </w:r>
      <w:r>
        <w:t xml:space="preserve"> </w:t>
      </w:r>
      <w:r>
        <w:rPr>
          <w:i/>
        </w:rPr>
        <w:t>See Interim Guidelines for Natural Gas Distribution Company Eligible Customer Lists</w:t>
      </w:r>
      <w:r>
        <w:t xml:space="preserve"> Final Order</w:t>
      </w:r>
      <w:r w:rsidR="009D5604">
        <w:t>, at Docket No. M-2012-2324075 (</w:t>
      </w:r>
      <w:r w:rsidR="008E6F78">
        <w:t>Sept</w:t>
      </w:r>
      <w:r w:rsidR="009D5604">
        <w:t>.</w:t>
      </w:r>
      <w:r w:rsidR="008E6F78">
        <w:t xml:space="preserve"> 23, 2013</w:t>
      </w:r>
      <w:r w:rsidR="009D5604">
        <w:t>)</w:t>
      </w:r>
      <w:r w:rsidR="008E6F78">
        <w:t xml:space="preserve"> (</w:t>
      </w:r>
      <w:r w:rsidR="009D5604">
        <w:t xml:space="preserve">hereinafter </w:t>
      </w:r>
      <w:r w:rsidR="008E6F78">
        <w:rPr>
          <w:i/>
        </w:rPr>
        <w:t>September 23, 2013 Natural Gas ECL Order)</w:t>
      </w:r>
      <w:r w:rsidR="008E6F78">
        <w:t>.</w:t>
      </w:r>
    </w:p>
  </w:footnote>
  <w:footnote w:id="10">
    <w:p w:rsidR="00476EF6" w:rsidRDefault="00476EF6">
      <w:pPr>
        <w:pStyle w:val="FootnoteText"/>
      </w:pPr>
      <w:r>
        <w:rPr>
          <w:rStyle w:val="FootnoteReference"/>
        </w:rPr>
        <w:footnoteRef/>
      </w:r>
      <w:r>
        <w:t xml:space="preserve"> CHARGE is an acronym for Committee Handling Activities for Retail Growth in Electricity.</w:t>
      </w:r>
    </w:p>
  </w:footnote>
  <w:footnote w:id="11">
    <w:p w:rsidR="00393C68" w:rsidRDefault="00393C68">
      <w:pPr>
        <w:pStyle w:val="FootnoteText"/>
      </w:pPr>
      <w:r>
        <w:rPr>
          <w:rStyle w:val="FootnoteReference"/>
        </w:rPr>
        <w:footnoteRef/>
      </w:r>
      <w:r>
        <w:t xml:space="preserve"> These comments are posted on the Commission’s website at the following link: </w:t>
      </w:r>
      <w:hyperlink r:id="rId2" w:history="1">
        <w:r w:rsidRPr="00D42C46">
          <w:rPr>
            <w:rStyle w:val="Hyperlink"/>
          </w:rPr>
          <w:t>http://www.puc.pa.gov/utility_industry/electricity/electric_competitive_market_oversight.aspx</w:t>
        </w:r>
      </w:hyperlink>
      <w:r>
        <w:t xml:space="preserve">. </w:t>
      </w:r>
    </w:p>
  </w:footnote>
  <w:footnote w:id="12">
    <w:p w:rsidR="00917F1B" w:rsidRDefault="00917F1B">
      <w:pPr>
        <w:pStyle w:val="FootnoteText"/>
      </w:pPr>
      <w:r>
        <w:rPr>
          <w:rStyle w:val="FootnoteReference"/>
        </w:rPr>
        <w:footnoteRef/>
      </w:r>
      <w:r>
        <w:t xml:space="preserve"> Citizens’ &amp; Wellsboro Informal Comments at 2.</w:t>
      </w:r>
    </w:p>
  </w:footnote>
  <w:footnote w:id="13">
    <w:p w:rsidR="00917F1B" w:rsidRDefault="00917F1B">
      <w:pPr>
        <w:pStyle w:val="FootnoteText"/>
      </w:pPr>
      <w:r>
        <w:rPr>
          <w:rStyle w:val="FootnoteReference"/>
        </w:rPr>
        <w:footnoteRef/>
      </w:r>
      <w:r>
        <w:t xml:space="preserve"> FES Informal Comments at 1; PECO Informal Comments at 2.</w:t>
      </w:r>
    </w:p>
  </w:footnote>
  <w:footnote w:id="14">
    <w:p w:rsidR="00917F1B" w:rsidRDefault="00917F1B">
      <w:pPr>
        <w:pStyle w:val="FootnoteText"/>
      </w:pPr>
      <w:r>
        <w:rPr>
          <w:rStyle w:val="FootnoteReference"/>
        </w:rPr>
        <w:footnoteRef/>
      </w:r>
      <w:r>
        <w:t xml:space="preserve"> PPL Informal Comments a</w:t>
      </w:r>
      <w:r w:rsidR="009B298D">
        <w:t>t 2; OCA Informal Comments at 2 and 3.</w:t>
      </w:r>
    </w:p>
  </w:footnote>
  <w:footnote w:id="15">
    <w:p w:rsidR="009D5604" w:rsidRDefault="009D5604">
      <w:pPr>
        <w:pStyle w:val="FootnoteText"/>
      </w:pPr>
      <w:r>
        <w:rPr>
          <w:rStyle w:val="FootnoteReference"/>
        </w:rPr>
        <w:footnoteRef/>
      </w:r>
      <w:r>
        <w:t xml:space="preserve"> OCA Informal Comments at 3.</w:t>
      </w:r>
    </w:p>
  </w:footnote>
  <w:footnote w:id="16">
    <w:p w:rsidR="0098451F" w:rsidRPr="0098451F" w:rsidRDefault="0098451F">
      <w:pPr>
        <w:pStyle w:val="FootnoteText"/>
      </w:pPr>
      <w:r>
        <w:rPr>
          <w:rStyle w:val="FootnoteReference"/>
        </w:rPr>
        <w:footnoteRef/>
      </w:r>
      <w:r>
        <w:t xml:space="preserve"> </w:t>
      </w:r>
      <w:r>
        <w:rPr>
          <w:i/>
        </w:rPr>
        <w:t xml:space="preserve">See November 15, 2011 </w:t>
      </w:r>
      <w:r w:rsidR="008E6F78">
        <w:rPr>
          <w:i/>
        </w:rPr>
        <w:t xml:space="preserve">Electricity </w:t>
      </w:r>
      <w:r>
        <w:rPr>
          <w:i/>
        </w:rPr>
        <w:t>ECL Order</w:t>
      </w:r>
      <w:r>
        <w:t xml:space="preserve"> at page 23.</w:t>
      </w:r>
    </w:p>
  </w:footnote>
  <w:footnote w:id="17">
    <w:p w:rsidR="001615ED" w:rsidRPr="001615ED" w:rsidRDefault="001615ED">
      <w:pPr>
        <w:pStyle w:val="FootnoteText"/>
      </w:pPr>
      <w:r>
        <w:rPr>
          <w:rStyle w:val="FootnoteReference"/>
        </w:rPr>
        <w:footnoteRef/>
      </w:r>
      <w:r>
        <w:t xml:space="preserve"> </w:t>
      </w:r>
      <w:r w:rsidR="00850895">
        <w:rPr>
          <w:i/>
        </w:rPr>
        <w:t>I</w:t>
      </w:r>
      <w:r>
        <w:rPr>
          <w:i/>
        </w:rPr>
        <w:t>d.</w:t>
      </w:r>
    </w:p>
  </w:footnote>
  <w:footnote w:id="18">
    <w:p w:rsidR="008E6F78" w:rsidRPr="008E6F78" w:rsidRDefault="008E6F78">
      <w:pPr>
        <w:pStyle w:val="FootnoteText"/>
      </w:pPr>
      <w:r>
        <w:rPr>
          <w:rStyle w:val="FootnoteReference"/>
        </w:rPr>
        <w:footnoteRef/>
      </w:r>
      <w:r>
        <w:t xml:space="preserve"> </w:t>
      </w:r>
      <w:r w:rsidR="00EF2B6F">
        <w:rPr>
          <w:i/>
        </w:rPr>
        <w:t>Id.</w:t>
      </w:r>
      <w:r>
        <w:t xml:space="preserve"> at page 7.</w:t>
      </w:r>
    </w:p>
  </w:footnote>
  <w:footnote w:id="19">
    <w:p w:rsidR="00CB26AE" w:rsidRPr="00615054" w:rsidRDefault="00CB26AE" w:rsidP="00CB26AE">
      <w:pPr>
        <w:pStyle w:val="FootnoteText"/>
      </w:pPr>
      <w:r>
        <w:rPr>
          <w:rStyle w:val="FootnoteReference"/>
        </w:rPr>
        <w:footnoteRef/>
      </w:r>
      <w:r>
        <w:t xml:space="preserve"> </w:t>
      </w:r>
      <w:r>
        <w:rPr>
          <w:i/>
        </w:rPr>
        <w:t>November 15, 2011 Electricity ECL Order</w:t>
      </w:r>
      <w:r>
        <w:t xml:space="preserve"> at page 25.</w:t>
      </w:r>
    </w:p>
  </w:footnote>
  <w:footnote w:id="20">
    <w:p w:rsidR="00CB26AE" w:rsidRPr="00830426" w:rsidRDefault="00CB26AE" w:rsidP="00CB26AE">
      <w:pPr>
        <w:pStyle w:val="FootnoteText"/>
      </w:pPr>
      <w:r>
        <w:rPr>
          <w:rStyle w:val="FootnoteReference"/>
        </w:rPr>
        <w:footnoteRef/>
      </w:r>
      <w:r>
        <w:t xml:space="preserve"> </w:t>
      </w:r>
      <w:r>
        <w:rPr>
          <w:i/>
        </w:rPr>
        <w:t>September 23, 2013 Natural Gas ECL Order</w:t>
      </w:r>
      <w:r>
        <w:t xml:space="preserve"> at page 13.</w:t>
      </w:r>
    </w:p>
  </w:footnote>
  <w:footnote w:id="21">
    <w:p w:rsidR="00CB26AE" w:rsidRPr="00EF2B6F" w:rsidRDefault="00CB26AE" w:rsidP="00CB26AE">
      <w:pPr>
        <w:pStyle w:val="FootnoteText"/>
      </w:pPr>
      <w:r>
        <w:rPr>
          <w:rStyle w:val="FootnoteReference"/>
        </w:rPr>
        <w:footnoteRef/>
      </w:r>
      <w:r>
        <w:t xml:space="preserve"> </w:t>
      </w:r>
      <w:r>
        <w:rPr>
          <w:i/>
        </w:rPr>
        <w:t xml:space="preserve">Id. </w:t>
      </w:r>
      <w:r>
        <w:t>at page 14.</w:t>
      </w:r>
    </w:p>
  </w:footnote>
  <w:footnote w:id="22">
    <w:p w:rsidR="004E51CC" w:rsidRPr="004E51CC" w:rsidRDefault="004E51CC">
      <w:pPr>
        <w:pStyle w:val="FootnoteText"/>
      </w:pPr>
      <w:r>
        <w:rPr>
          <w:rStyle w:val="FootnoteReference"/>
        </w:rPr>
        <w:footnoteRef/>
      </w:r>
      <w:r>
        <w:t xml:space="preserve"> </w:t>
      </w:r>
      <w:r>
        <w:rPr>
          <w:i/>
        </w:rPr>
        <w:t>September 23, 2013 Natural Gas ECL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25" w:rsidRDefault="00E61325">
    <w:pPr>
      <w:pStyle w:val="Header"/>
      <w:jc w:val="right"/>
      <w:rPr>
        <w:rFonts w:ascii="Arial" w:hAnsi="Arial" w:cs="Arial"/>
      </w:rPr>
    </w:pPr>
    <w:r>
      <w:tab/>
    </w:r>
    <w:r>
      <w:tab/>
    </w:r>
  </w:p>
  <w:p w:rsidR="00E61325" w:rsidRDefault="00E61325">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17"/>
  </w:num>
  <w:num w:numId="4">
    <w:abstractNumId w:val="22"/>
  </w:num>
  <w:num w:numId="5">
    <w:abstractNumId w:val="18"/>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4"/>
  </w:num>
  <w:num w:numId="19">
    <w:abstractNumId w:val="19"/>
  </w:num>
  <w:num w:numId="20">
    <w:abstractNumId w:val="12"/>
  </w:num>
  <w:num w:numId="21">
    <w:abstractNumId w:val="15"/>
  </w:num>
  <w:num w:numId="22">
    <w:abstractNumId w:val="20"/>
  </w:num>
  <w:num w:numId="23">
    <w:abstractNumId w:val="16"/>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A6"/>
    <w:rsid w:val="0000005D"/>
    <w:rsid w:val="0000017F"/>
    <w:rsid w:val="00000502"/>
    <w:rsid w:val="00000737"/>
    <w:rsid w:val="0000087F"/>
    <w:rsid w:val="00000896"/>
    <w:rsid w:val="00000ABB"/>
    <w:rsid w:val="00000EED"/>
    <w:rsid w:val="000026BD"/>
    <w:rsid w:val="000027B4"/>
    <w:rsid w:val="00003933"/>
    <w:rsid w:val="00003F31"/>
    <w:rsid w:val="00004478"/>
    <w:rsid w:val="0000526C"/>
    <w:rsid w:val="00005523"/>
    <w:rsid w:val="000058EC"/>
    <w:rsid w:val="0000591B"/>
    <w:rsid w:val="00006438"/>
    <w:rsid w:val="000067A2"/>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D14"/>
    <w:rsid w:val="000211AF"/>
    <w:rsid w:val="00021239"/>
    <w:rsid w:val="00021575"/>
    <w:rsid w:val="0002177B"/>
    <w:rsid w:val="000219EC"/>
    <w:rsid w:val="00021CBA"/>
    <w:rsid w:val="00021D94"/>
    <w:rsid w:val="00021EC8"/>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304D"/>
    <w:rsid w:val="000331E5"/>
    <w:rsid w:val="00033249"/>
    <w:rsid w:val="00033402"/>
    <w:rsid w:val="00033706"/>
    <w:rsid w:val="00033DC2"/>
    <w:rsid w:val="00033DE5"/>
    <w:rsid w:val="00033EB1"/>
    <w:rsid w:val="000345FE"/>
    <w:rsid w:val="00034EE0"/>
    <w:rsid w:val="0003540D"/>
    <w:rsid w:val="0003542A"/>
    <w:rsid w:val="000359BE"/>
    <w:rsid w:val="00035D9E"/>
    <w:rsid w:val="00036216"/>
    <w:rsid w:val="000362BD"/>
    <w:rsid w:val="0003657A"/>
    <w:rsid w:val="00036891"/>
    <w:rsid w:val="00036EFA"/>
    <w:rsid w:val="000374B1"/>
    <w:rsid w:val="00037695"/>
    <w:rsid w:val="000378F6"/>
    <w:rsid w:val="00037A58"/>
    <w:rsid w:val="00037AD7"/>
    <w:rsid w:val="00037D1C"/>
    <w:rsid w:val="00040864"/>
    <w:rsid w:val="00040FA3"/>
    <w:rsid w:val="0004141C"/>
    <w:rsid w:val="00041707"/>
    <w:rsid w:val="00041858"/>
    <w:rsid w:val="00041DF4"/>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AED"/>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18BB"/>
    <w:rsid w:val="00081F2D"/>
    <w:rsid w:val="000823C9"/>
    <w:rsid w:val="000824B9"/>
    <w:rsid w:val="00082BCE"/>
    <w:rsid w:val="000830C3"/>
    <w:rsid w:val="00083464"/>
    <w:rsid w:val="000843BD"/>
    <w:rsid w:val="00084780"/>
    <w:rsid w:val="00084E89"/>
    <w:rsid w:val="000851A8"/>
    <w:rsid w:val="00085C0C"/>
    <w:rsid w:val="000860B7"/>
    <w:rsid w:val="000861D3"/>
    <w:rsid w:val="000875D6"/>
    <w:rsid w:val="0008766F"/>
    <w:rsid w:val="00087C35"/>
    <w:rsid w:val="00087C92"/>
    <w:rsid w:val="000905E7"/>
    <w:rsid w:val="0009097F"/>
    <w:rsid w:val="00090C19"/>
    <w:rsid w:val="000910C6"/>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672"/>
    <w:rsid w:val="000D17E0"/>
    <w:rsid w:val="000D1D65"/>
    <w:rsid w:val="000D2421"/>
    <w:rsid w:val="000D286B"/>
    <w:rsid w:val="000D2A67"/>
    <w:rsid w:val="000D2C35"/>
    <w:rsid w:val="000D2C95"/>
    <w:rsid w:val="000D3234"/>
    <w:rsid w:val="000D3FA7"/>
    <w:rsid w:val="000D4B47"/>
    <w:rsid w:val="000D4B68"/>
    <w:rsid w:val="000D4F48"/>
    <w:rsid w:val="000D5776"/>
    <w:rsid w:val="000D646E"/>
    <w:rsid w:val="000D6D8F"/>
    <w:rsid w:val="000D6DC7"/>
    <w:rsid w:val="000D6EA4"/>
    <w:rsid w:val="000D73B6"/>
    <w:rsid w:val="000D7E11"/>
    <w:rsid w:val="000E118B"/>
    <w:rsid w:val="000E18FE"/>
    <w:rsid w:val="000E1A84"/>
    <w:rsid w:val="000E1FE6"/>
    <w:rsid w:val="000E202B"/>
    <w:rsid w:val="000E207B"/>
    <w:rsid w:val="000E24B3"/>
    <w:rsid w:val="000E25A0"/>
    <w:rsid w:val="000E2A2F"/>
    <w:rsid w:val="000E390A"/>
    <w:rsid w:val="000E3AC4"/>
    <w:rsid w:val="000E3B3B"/>
    <w:rsid w:val="000E46D2"/>
    <w:rsid w:val="000E476E"/>
    <w:rsid w:val="000E542C"/>
    <w:rsid w:val="000E55B5"/>
    <w:rsid w:val="000E55DF"/>
    <w:rsid w:val="000E5938"/>
    <w:rsid w:val="000E5A74"/>
    <w:rsid w:val="000E5F57"/>
    <w:rsid w:val="000E61A4"/>
    <w:rsid w:val="000E692F"/>
    <w:rsid w:val="000F053F"/>
    <w:rsid w:val="000F0C2A"/>
    <w:rsid w:val="000F170A"/>
    <w:rsid w:val="000F2322"/>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27A"/>
    <w:rsid w:val="001043FA"/>
    <w:rsid w:val="001047A2"/>
    <w:rsid w:val="0010482D"/>
    <w:rsid w:val="00104A7A"/>
    <w:rsid w:val="00105134"/>
    <w:rsid w:val="00105CC6"/>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E72"/>
    <w:rsid w:val="001144BA"/>
    <w:rsid w:val="0011456C"/>
    <w:rsid w:val="001148C3"/>
    <w:rsid w:val="00114DC0"/>
    <w:rsid w:val="001150FB"/>
    <w:rsid w:val="001155B0"/>
    <w:rsid w:val="001164D8"/>
    <w:rsid w:val="001165A1"/>
    <w:rsid w:val="00116AC1"/>
    <w:rsid w:val="00116F79"/>
    <w:rsid w:val="001172CF"/>
    <w:rsid w:val="001177E0"/>
    <w:rsid w:val="00117E1D"/>
    <w:rsid w:val="00120131"/>
    <w:rsid w:val="00120626"/>
    <w:rsid w:val="001207D7"/>
    <w:rsid w:val="001207ED"/>
    <w:rsid w:val="001209FB"/>
    <w:rsid w:val="00120DEF"/>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A9C"/>
    <w:rsid w:val="00127E1E"/>
    <w:rsid w:val="001306EA"/>
    <w:rsid w:val="001307C7"/>
    <w:rsid w:val="00130A99"/>
    <w:rsid w:val="0013115F"/>
    <w:rsid w:val="001318A8"/>
    <w:rsid w:val="00131B79"/>
    <w:rsid w:val="00131F87"/>
    <w:rsid w:val="0013225B"/>
    <w:rsid w:val="001323D5"/>
    <w:rsid w:val="001324AE"/>
    <w:rsid w:val="00132957"/>
    <w:rsid w:val="00132FF0"/>
    <w:rsid w:val="001335E2"/>
    <w:rsid w:val="00133D3F"/>
    <w:rsid w:val="00133FBE"/>
    <w:rsid w:val="001345A2"/>
    <w:rsid w:val="00134CAE"/>
    <w:rsid w:val="00134EA5"/>
    <w:rsid w:val="001355BC"/>
    <w:rsid w:val="00135778"/>
    <w:rsid w:val="00135C03"/>
    <w:rsid w:val="00135CBD"/>
    <w:rsid w:val="00136875"/>
    <w:rsid w:val="00136BA5"/>
    <w:rsid w:val="00136CDB"/>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222"/>
    <w:rsid w:val="001443D5"/>
    <w:rsid w:val="00144AB6"/>
    <w:rsid w:val="00144D00"/>
    <w:rsid w:val="0014537A"/>
    <w:rsid w:val="0014574B"/>
    <w:rsid w:val="00145973"/>
    <w:rsid w:val="00145C44"/>
    <w:rsid w:val="00146785"/>
    <w:rsid w:val="0014796B"/>
    <w:rsid w:val="001500FE"/>
    <w:rsid w:val="00150616"/>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55D"/>
    <w:rsid w:val="001547FC"/>
    <w:rsid w:val="00154C39"/>
    <w:rsid w:val="00155351"/>
    <w:rsid w:val="00155791"/>
    <w:rsid w:val="00155841"/>
    <w:rsid w:val="00155998"/>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15BB"/>
    <w:rsid w:val="001615ED"/>
    <w:rsid w:val="0016162C"/>
    <w:rsid w:val="00161B4B"/>
    <w:rsid w:val="00161EDC"/>
    <w:rsid w:val="0016329E"/>
    <w:rsid w:val="00163463"/>
    <w:rsid w:val="0016347B"/>
    <w:rsid w:val="00163B8C"/>
    <w:rsid w:val="00163BB7"/>
    <w:rsid w:val="00163D2E"/>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617"/>
    <w:rsid w:val="001926DD"/>
    <w:rsid w:val="001934DB"/>
    <w:rsid w:val="00193612"/>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755"/>
    <w:rsid w:val="00197849"/>
    <w:rsid w:val="001A1E0B"/>
    <w:rsid w:val="001A228A"/>
    <w:rsid w:val="001A2367"/>
    <w:rsid w:val="001A26BE"/>
    <w:rsid w:val="001A2C16"/>
    <w:rsid w:val="001A3301"/>
    <w:rsid w:val="001A331E"/>
    <w:rsid w:val="001A3376"/>
    <w:rsid w:val="001A45D7"/>
    <w:rsid w:val="001A46E2"/>
    <w:rsid w:val="001A4C82"/>
    <w:rsid w:val="001A5313"/>
    <w:rsid w:val="001A55E6"/>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08E"/>
    <w:rsid w:val="001B5352"/>
    <w:rsid w:val="001B5EE4"/>
    <w:rsid w:val="001B62FD"/>
    <w:rsid w:val="001B6719"/>
    <w:rsid w:val="001B678F"/>
    <w:rsid w:val="001B6C99"/>
    <w:rsid w:val="001B713A"/>
    <w:rsid w:val="001B7191"/>
    <w:rsid w:val="001C076F"/>
    <w:rsid w:val="001C166D"/>
    <w:rsid w:val="001C1EF9"/>
    <w:rsid w:val="001C2194"/>
    <w:rsid w:val="001C2416"/>
    <w:rsid w:val="001C2721"/>
    <w:rsid w:val="001C2DDE"/>
    <w:rsid w:val="001C37DE"/>
    <w:rsid w:val="001C414A"/>
    <w:rsid w:val="001C50E5"/>
    <w:rsid w:val="001C58F9"/>
    <w:rsid w:val="001C67F8"/>
    <w:rsid w:val="001C6CD5"/>
    <w:rsid w:val="001C71D6"/>
    <w:rsid w:val="001C72BF"/>
    <w:rsid w:val="001C7309"/>
    <w:rsid w:val="001C76EC"/>
    <w:rsid w:val="001C7F07"/>
    <w:rsid w:val="001D008C"/>
    <w:rsid w:val="001D01C1"/>
    <w:rsid w:val="001D06A7"/>
    <w:rsid w:val="001D08EB"/>
    <w:rsid w:val="001D0DF5"/>
    <w:rsid w:val="001D13BB"/>
    <w:rsid w:val="001D13D6"/>
    <w:rsid w:val="001D1832"/>
    <w:rsid w:val="001D187E"/>
    <w:rsid w:val="001D1F14"/>
    <w:rsid w:val="001D20B7"/>
    <w:rsid w:val="001D22AB"/>
    <w:rsid w:val="001D2417"/>
    <w:rsid w:val="001D26A4"/>
    <w:rsid w:val="001D2A56"/>
    <w:rsid w:val="001D39EF"/>
    <w:rsid w:val="001D3B4C"/>
    <w:rsid w:val="001D3E87"/>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74A8"/>
    <w:rsid w:val="001F0C11"/>
    <w:rsid w:val="001F0EFF"/>
    <w:rsid w:val="001F0F85"/>
    <w:rsid w:val="001F0FF7"/>
    <w:rsid w:val="001F12B9"/>
    <w:rsid w:val="001F2030"/>
    <w:rsid w:val="001F3020"/>
    <w:rsid w:val="001F317D"/>
    <w:rsid w:val="001F31AD"/>
    <w:rsid w:val="001F367F"/>
    <w:rsid w:val="001F38F7"/>
    <w:rsid w:val="001F44D6"/>
    <w:rsid w:val="001F46BD"/>
    <w:rsid w:val="001F48C1"/>
    <w:rsid w:val="001F5010"/>
    <w:rsid w:val="001F57FE"/>
    <w:rsid w:val="001F5AF6"/>
    <w:rsid w:val="001F600F"/>
    <w:rsid w:val="001F60A9"/>
    <w:rsid w:val="001F697E"/>
    <w:rsid w:val="001F6D8E"/>
    <w:rsid w:val="001F6DFF"/>
    <w:rsid w:val="001F717D"/>
    <w:rsid w:val="001F7839"/>
    <w:rsid w:val="001F7C5F"/>
    <w:rsid w:val="001F7EDC"/>
    <w:rsid w:val="0020012B"/>
    <w:rsid w:val="002005E4"/>
    <w:rsid w:val="00200903"/>
    <w:rsid w:val="00200C70"/>
    <w:rsid w:val="00200F01"/>
    <w:rsid w:val="002016DC"/>
    <w:rsid w:val="00201B51"/>
    <w:rsid w:val="00201E6E"/>
    <w:rsid w:val="00202256"/>
    <w:rsid w:val="002027B8"/>
    <w:rsid w:val="00202B39"/>
    <w:rsid w:val="002032E0"/>
    <w:rsid w:val="002036A4"/>
    <w:rsid w:val="00204099"/>
    <w:rsid w:val="0020453C"/>
    <w:rsid w:val="0020478B"/>
    <w:rsid w:val="00204A36"/>
    <w:rsid w:val="00204D33"/>
    <w:rsid w:val="002051B2"/>
    <w:rsid w:val="00205EE0"/>
    <w:rsid w:val="002063A2"/>
    <w:rsid w:val="00207027"/>
    <w:rsid w:val="00207090"/>
    <w:rsid w:val="002075F4"/>
    <w:rsid w:val="002075F8"/>
    <w:rsid w:val="002102FD"/>
    <w:rsid w:val="00210361"/>
    <w:rsid w:val="00210A1F"/>
    <w:rsid w:val="00210B41"/>
    <w:rsid w:val="00210FA6"/>
    <w:rsid w:val="00211231"/>
    <w:rsid w:val="0021159F"/>
    <w:rsid w:val="002115D7"/>
    <w:rsid w:val="002118A8"/>
    <w:rsid w:val="00211B93"/>
    <w:rsid w:val="00211EEB"/>
    <w:rsid w:val="00211F52"/>
    <w:rsid w:val="00212076"/>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3E7"/>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50361"/>
    <w:rsid w:val="00250522"/>
    <w:rsid w:val="00250BB4"/>
    <w:rsid w:val="002513C8"/>
    <w:rsid w:val="002514D7"/>
    <w:rsid w:val="0025156F"/>
    <w:rsid w:val="00252814"/>
    <w:rsid w:val="00252928"/>
    <w:rsid w:val="00252AFE"/>
    <w:rsid w:val="00252F34"/>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675E"/>
    <w:rsid w:val="00256B16"/>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6CE"/>
    <w:rsid w:val="00267734"/>
    <w:rsid w:val="002703CD"/>
    <w:rsid w:val="00270A1F"/>
    <w:rsid w:val="00271B6E"/>
    <w:rsid w:val="00271F1E"/>
    <w:rsid w:val="002727EE"/>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315"/>
    <w:rsid w:val="00284AE8"/>
    <w:rsid w:val="002852D0"/>
    <w:rsid w:val="002855DB"/>
    <w:rsid w:val="00285E32"/>
    <w:rsid w:val="002861EE"/>
    <w:rsid w:val="00286AA5"/>
    <w:rsid w:val="00286C52"/>
    <w:rsid w:val="002870C4"/>
    <w:rsid w:val="0028758F"/>
    <w:rsid w:val="00287715"/>
    <w:rsid w:val="00287B19"/>
    <w:rsid w:val="00287BEF"/>
    <w:rsid w:val="00290043"/>
    <w:rsid w:val="00290104"/>
    <w:rsid w:val="00290212"/>
    <w:rsid w:val="00290786"/>
    <w:rsid w:val="00290DB5"/>
    <w:rsid w:val="00291556"/>
    <w:rsid w:val="00291929"/>
    <w:rsid w:val="00291C05"/>
    <w:rsid w:val="00291FA6"/>
    <w:rsid w:val="00292912"/>
    <w:rsid w:val="00292950"/>
    <w:rsid w:val="002929A9"/>
    <w:rsid w:val="00292B33"/>
    <w:rsid w:val="00292C0B"/>
    <w:rsid w:val="00292EA4"/>
    <w:rsid w:val="00293D4C"/>
    <w:rsid w:val="00294AF9"/>
    <w:rsid w:val="00294B6D"/>
    <w:rsid w:val="0029580E"/>
    <w:rsid w:val="002958A4"/>
    <w:rsid w:val="0029620A"/>
    <w:rsid w:val="00296C8C"/>
    <w:rsid w:val="002970D3"/>
    <w:rsid w:val="002972B4"/>
    <w:rsid w:val="002977E2"/>
    <w:rsid w:val="0029794F"/>
    <w:rsid w:val="00297EA4"/>
    <w:rsid w:val="002A02DD"/>
    <w:rsid w:val="002A047C"/>
    <w:rsid w:val="002A0483"/>
    <w:rsid w:val="002A09BF"/>
    <w:rsid w:val="002A0C51"/>
    <w:rsid w:val="002A1B86"/>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777"/>
    <w:rsid w:val="002A733E"/>
    <w:rsid w:val="002A73F4"/>
    <w:rsid w:val="002A75C1"/>
    <w:rsid w:val="002A7C82"/>
    <w:rsid w:val="002A7EF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B5"/>
    <w:rsid w:val="002C7BC7"/>
    <w:rsid w:val="002D06EF"/>
    <w:rsid w:val="002D0B9F"/>
    <w:rsid w:val="002D0D63"/>
    <w:rsid w:val="002D18C1"/>
    <w:rsid w:val="002D1C4F"/>
    <w:rsid w:val="002D2402"/>
    <w:rsid w:val="002D2AAC"/>
    <w:rsid w:val="002D2CCB"/>
    <w:rsid w:val="002D3183"/>
    <w:rsid w:val="002D32F6"/>
    <w:rsid w:val="002D41A3"/>
    <w:rsid w:val="002D43A7"/>
    <w:rsid w:val="002D47FD"/>
    <w:rsid w:val="002D4D10"/>
    <w:rsid w:val="002D4E98"/>
    <w:rsid w:val="002D5195"/>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BBA"/>
    <w:rsid w:val="002E3C31"/>
    <w:rsid w:val="002E3C83"/>
    <w:rsid w:val="002E3F19"/>
    <w:rsid w:val="002E48AD"/>
    <w:rsid w:val="002E5702"/>
    <w:rsid w:val="002E58A0"/>
    <w:rsid w:val="002E5B8B"/>
    <w:rsid w:val="002E5C66"/>
    <w:rsid w:val="002E5E2F"/>
    <w:rsid w:val="002E5FEA"/>
    <w:rsid w:val="002E690A"/>
    <w:rsid w:val="002E6D99"/>
    <w:rsid w:val="002E7B06"/>
    <w:rsid w:val="002F05CA"/>
    <w:rsid w:val="002F115E"/>
    <w:rsid w:val="002F1693"/>
    <w:rsid w:val="002F2472"/>
    <w:rsid w:val="002F3376"/>
    <w:rsid w:val="002F41EB"/>
    <w:rsid w:val="002F430A"/>
    <w:rsid w:val="002F46FB"/>
    <w:rsid w:val="002F4BD7"/>
    <w:rsid w:val="002F5292"/>
    <w:rsid w:val="002F692A"/>
    <w:rsid w:val="002F793F"/>
    <w:rsid w:val="002F7BA3"/>
    <w:rsid w:val="002F7C69"/>
    <w:rsid w:val="00300252"/>
    <w:rsid w:val="00300610"/>
    <w:rsid w:val="003009B0"/>
    <w:rsid w:val="00300FF1"/>
    <w:rsid w:val="00301076"/>
    <w:rsid w:val="00301275"/>
    <w:rsid w:val="003016E4"/>
    <w:rsid w:val="00301E76"/>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525"/>
    <w:rsid w:val="00320665"/>
    <w:rsid w:val="00320CF3"/>
    <w:rsid w:val="00320DA7"/>
    <w:rsid w:val="00321117"/>
    <w:rsid w:val="00321707"/>
    <w:rsid w:val="00321ABA"/>
    <w:rsid w:val="00321F95"/>
    <w:rsid w:val="003226D6"/>
    <w:rsid w:val="0032286D"/>
    <w:rsid w:val="00323129"/>
    <w:rsid w:val="0032341C"/>
    <w:rsid w:val="00323462"/>
    <w:rsid w:val="00323C65"/>
    <w:rsid w:val="00324334"/>
    <w:rsid w:val="003248F8"/>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3D05"/>
    <w:rsid w:val="00334495"/>
    <w:rsid w:val="00334BA4"/>
    <w:rsid w:val="0033693F"/>
    <w:rsid w:val="00336AD0"/>
    <w:rsid w:val="0033715D"/>
    <w:rsid w:val="00337442"/>
    <w:rsid w:val="00337B0A"/>
    <w:rsid w:val="00337D0A"/>
    <w:rsid w:val="00340073"/>
    <w:rsid w:val="00340417"/>
    <w:rsid w:val="00340918"/>
    <w:rsid w:val="00340E97"/>
    <w:rsid w:val="0034171B"/>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5"/>
    <w:rsid w:val="00347097"/>
    <w:rsid w:val="003472BB"/>
    <w:rsid w:val="003472F1"/>
    <w:rsid w:val="00347736"/>
    <w:rsid w:val="003477A4"/>
    <w:rsid w:val="00347800"/>
    <w:rsid w:val="00347B56"/>
    <w:rsid w:val="00347D7B"/>
    <w:rsid w:val="00347EBB"/>
    <w:rsid w:val="0035013D"/>
    <w:rsid w:val="00350500"/>
    <w:rsid w:val="003506BD"/>
    <w:rsid w:val="00350D12"/>
    <w:rsid w:val="003510D8"/>
    <w:rsid w:val="00351210"/>
    <w:rsid w:val="0035191A"/>
    <w:rsid w:val="00351C79"/>
    <w:rsid w:val="003522A9"/>
    <w:rsid w:val="00352402"/>
    <w:rsid w:val="003525D4"/>
    <w:rsid w:val="00352BFC"/>
    <w:rsid w:val="003534E4"/>
    <w:rsid w:val="00353A44"/>
    <w:rsid w:val="00353A8D"/>
    <w:rsid w:val="003554CD"/>
    <w:rsid w:val="00355780"/>
    <w:rsid w:val="00355A60"/>
    <w:rsid w:val="00356114"/>
    <w:rsid w:val="0035661A"/>
    <w:rsid w:val="003569FA"/>
    <w:rsid w:val="003570BF"/>
    <w:rsid w:val="00357196"/>
    <w:rsid w:val="0035746A"/>
    <w:rsid w:val="00357577"/>
    <w:rsid w:val="0035798D"/>
    <w:rsid w:val="00357CD2"/>
    <w:rsid w:val="00357E34"/>
    <w:rsid w:val="00357F8C"/>
    <w:rsid w:val="0036077A"/>
    <w:rsid w:val="003612F5"/>
    <w:rsid w:val="0036156B"/>
    <w:rsid w:val="00361885"/>
    <w:rsid w:val="003623DF"/>
    <w:rsid w:val="00362410"/>
    <w:rsid w:val="00362E4C"/>
    <w:rsid w:val="00364158"/>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2FC"/>
    <w:rsid w:val="003755E3"/>
    <w:rsid w:val="00375866"/>
    <w:rsid w:val="00375B9A"/>
    <w:rsid w:val="00375BFE"/>
    <w:rsid w:val="00375D74"/>
    <w:rsid w:val="00376BB0"/>
    <w:rsid w:val="003770DC"/>
    <w:rsid w:val="00377360"/>
    <w:rsid w:val="0037739B"/>
    <w:rsid w:val="00377544"/>
    <w:rsid w:val="003779A4"/>
    <w:rsid w:val="00377EEB"/>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561"/>
    <w:rsid w:val="003846C5"/>
    <w:rsid w:val="00384D9C"/>
    <w:rsid w:val="00384E08"/>
    <w:rsid w:val="00385246"/>
    <w:rsid w:val="00385494"/>
    <w:rsid w:val="00385F38"/>
    <w:rsid w:val="003860D5"/>
    <w:rsid w:val="00386434"/>
    <w:rsid w:val="00386814"/>
    <w:rsid w:val="003868AB"/>
    <w:rsid w:val="00386C9E"/>
    <w:rsid w:val="00386D06"/>
    <w:rsid w:val="0038723C"/>
    <w:rsid w:val="003875D4"/>
    <w:rsid w:val="00390189"/>
    <w:rsid w:val="00390533"/>
    <w:rsid w:val="00390C2B"/>
    <w:rsid w:val="003915C7"/>
    <w:rsid w:val="003918D8"/>
    <w:rsid w:val="00391EB0"/>
    <w:rsid w:val="0039217E"/>
    <w:rsid w:val="00392769"/>
    <w:rsid w:val="003928C2"/>
    <w:rsid w:val="00393031"/>
    <w:rsid w:val="0039322F"/>
    <w:rsid w:val="003936D7"/>
    <w:rsid w:val="00393870"/>
    <w:rsid w:val="00393B0D"/>
    <w:rsid w:val="00393C68"/>
    <w:rsid w:val="00394560"/>
    <w:rsid w:val="0039464B"/>
    <w:rsid w:val="00394FAB"/>
    <w:rsid w:val="0039564D"/>
    <w:rsid w:val="00395701"/>
    <w:rsid w:val="003957E0"/>
    <w:rsid w:val="00395B03"/>
    <w:rsid w:val="00395D8B"/>
    <w:rsid w:val="00396418"/>
    <w:rsid w:val="00396A48"/>
    <w:rsid w:val="00397BA9"/>
    <w:rsid w:val="00397E7A"/>
    <w:rsid w:val="003A05DE"/>
    <w:rsid w:val="003A15A9"/>
    <w:rsid w:val="003A165C"/>
    <w:rsid w:val="003A21F1"/>
    <w:rsid w:val="003A41E7"/>
    <w:rsid w:val="003A42DD"/>
    <w:rsid w:val="003A4743"/>
    <w:rsid w:val="003A4893"/>
    <w:rsid w:val="003A48CF"/>
    <w:rsid w:val="003A4B57"/>
    <w:rsid w:val="003A523D"/>
    <w:rsid w:val="003A728E"/>
    <w:rsid w:val="003A736A"/>
    <w:rsid w:val="003A7A0C"/>
    <w:rsid w:val="003A7AC6"/>
    <w:rsid w:val="003A7E15"/>
    <w:rsid w:val="003B03D9"/>
    <w:rsid w:val="003B0442"/>
    <w:rsid w:val="003B0D4D"/>
    <w:rsid w:val="003B0E93"/>
    <w:rsid w:val="003B0EFB"/>
    <w:rsid w:val="003B125D"/>
    <w:rsid w:val="003B16F3"/>
    <w:rsid w:val="003B1C3D"/>
    <w:rsid w:val="003B2E15"/>
    <w:rsid w:val="003B3C43"/>
    <w:rsid w:val="003B4983"/>
    <w:rsid w:val="003B4E5A"/>
    <w:rsid w:val="003B57BA"/>
    <w:rsid w:val="003B594F"/>
    <w:rsid w:val="003B6097"/>
    <w:rsid w:val="003B6303"/>
    <w:rsid w:val="003B645E"/>
    <w:rsid w:val="003B6520"/>
    <w:rsid w:val="003B6A2E"/>
    <w:rsid w:val="003B6D48"/>
    <w:rsid w:val="003B7442"/>
    <w:rsid w:val="003B770E"/>
    <w:rsid w:val="003B7981"/>
    <w:rsid w:val="003B7D8C"/>
    <w:rsid w:val="003B7ED8"/>
    <w:rsid w:val="003B7FF2"/>
    <w:rsid w:val="003C0772"/>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381E"/>
    <w:rsid w:val="003E3C79"/>
    <w:rsid w:val="003E421D"/>
    <w:rsid w:val="003E44BF"/>
    <w:rsid w:val="003E455C"/>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286"/>
    <w:rsid w:val="004002BC"/>
    <w:rsid w:val="0040066E"/>
    <w:rsid w:val="00401066"/>
    <w:rsid w:val="00401091"/>
    <w:rsid w:val="00401C7C"/>
    <w:rsid w:val="00401DB5"/>
    <w:rsid w:val="00401FA7"/>
    <w:rsid w:val="00402D2B"/>
    <w:rsid w:val="00402D9D"/>
    <w:rsid w:val="00403E5F"/>
    <w:rsid w:val="00403EB5"/>
    <w:rsid w:val="00403EDF"/>
    <w:rsid w:val="004046DA"/>
    <w:rsid w:val="0040475C"/>
    <w:rsid w:val="00404A4D"/>
    <w:rsid w:val="00404B0F"/>
    <w:rsid w:val="00405C39"/>
    <w:rsid w:val="00406063"/>
    <w:rsid w:val="004060D1"/>
    <w:rsid w:val="004060F5"/>
    <w:rsid w:val="00406140"/>
    <w:rsid w:val="004063F8"/>
    <w:rsid w:val="00406730"/>
    <w:rsid w:val="00406B40"/>
    <w:rsid w:val="00406B93"/>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17C11"/>
    <w:rsid w:val="00420223"/>
    <w:rsid w:val="00420312"/>
    <w:rsid w:val="004209B6"/>
    <w:rsid w:val="00420B97"/>
    <w:rsid w:val="00421C86"/>
    <w:rsid w:val="00421DCB"/>
    <w:rsid w:val="00423B40"/>
    <w:rsid w:val="00423C17"/>
    <w:rsid w:val="00423D12"/>
    <w:rsid w:val="0042407A"/>
    <w:rsid w:val="00424431"/>
    <w:rsid w:val="004249AC"/>
    <w:rsid w:val="0042507F"/>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3E09"/>
    <w:rsid w:val="00434911"/>
    <w:rsid w:val="00434C9F"/>
    <w:rsid w:val="00434FBA"/>
    <w:rsid w:val="004354C4"/>
    <w:rsid w:val="00435AB6"/>
    <w:rsid w:val="00435DBE"/>
    <w:rsid w:val="00435F6B"/>
    <w:rsid w:val="004368CE"/>
    <w:rsid w:val="00436D83"/>
    <w:rsid w:val="00436E22"/>
    <w:rsid w:val="00436F56"/>
    <w:rsid w:val="00436FEF"/>
    <w:rsid w:val="0043719D"/>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A80"/>
    <w:rsid w:val="00446D67"/>
    <w:rsid w:val="004471E4"/>
    <w:rsid w:val="00447AA3"/>
    <w:rsid w:val="00447BBF"/>
    <w:rsid w:val="00447C3D"/>
    <w:rsid w:val="00447D0A"/>
    <w:rsid w:val="00447D46"/>
    <w:rsid w:val="0045015F"/>
    <w:rsid w:val="004501FC"/>
    <w:rsid w:val="00450831"/>
    <w:rsid w:val="0045089E"/>
    <w:rsid w:val="00450A8A"/>
    <w:rsid w:val="00450DA5"/>
    <w:rsid w:val="00450F27"/>
    <w:rsid w:val="00451984"/>
    <w:rsid w:val="00451FEB"/>
    <w:rsid w:val="004521C0"/>
    <w:rsid w:val="004523A2"/>
    <w:rsid w:val="00452773"/>
    <w:rsid w:val="00452BA3"/>
    <w:rsid w:val="00452F20"/>
    <w:rsid w:val="004533B8"/>
    <w:rsid w:val="004534D8"/>
    <w:rsid w:val="00453F04"/>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6F54"/>
    <w:rsid w:val="0045714D"/>
    <w:rsid w:val="004578BE"/>
    <w:rsid w:val="00457ABE"/>
    <w:rsid w:val="004602BD"/>
    <w:rsid w:val="004606A8"/>
    <w:rsid w:val="00460E40"/>
    <w:rsid w:val="00461895"/>
    <w:rsid w:val="00461C4F"/>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7FC"/>
    <w:rsid w:val="00471C9F"/>
    <w:rsid w:val="00471E0F"/>
    <w:rsid w:val="00472274"/>
    <w:rsid w:val="004722A6"/>
    <w:rsid w:val="004723FE"/>
    <w:rsid w:val="00472623"/>
    <w:rsid w:val="00473229"/>
    <w:rsid w:val="0047323B"/>
    <w:rsid w:val="00473320"/>
    <w:rsid w:val="00473992"/>
    <w:rsid w:val="00473E92"/>
    <w:rsid w:val="00473F7C"/>
    <w:rsid w:val="00474652"/>
    <w:rsid w:val="004748B0"/>
    <w:rsid w:val="00474988"/>
    <w:rsid w:val="00474BCC"/>
    <w:rsid w:val="00474E59"/>
    <w:rsid w:val="00474FDE"/>
    <w:rsid w:val="00475612"/>
    <w:rsid w:val="00475D8F"/>
    <w:rsid w:val="00475DC7"/>
    <w:rsid w:val="004760C1"/>
    <w:rsid w:val="00476680"/>
    <w:rsid w:val="00476EF6"/>
    <w:rsid w:val="0047711C"/>
    <w:rsid w:val="00477B06"/>
    <w:rsid w:val="00477B59"/>
    <w:rsid w:val="00477D9B"/>
    <w:rsid w:val="00480426"/>
    <w:rsid w:val="0048083A"/>
    <w:rsid w:val="00480B57"/>
    <w:rsid w:val="00480E4D"/>
    <w:rsid w:val="004810D7"/>
    <w:rsid w:val="00481A7D"/>
    <w:rsid w:val="004829B5"/>
    <w:rsid w:val="00482D05"/>
    <w:rsid w:val="00482D67"/>
    <w:rsid w:val="00483499"/>
    <w:rsid w:val="004834A3"/>
    <w:rsid w:val="004842D8"/>
    <w:rsid w:val="004843A8"/>
    <w:rsid w:val="00484781"/>
    <w:rsid w:val="0048511F"/>
    <w:rsid w:val="004853F1"/>
    <w:rsid w:val="0048547E"/>
    <w:rsid w:val="00485B9C"/>
    <w:rsid w:val="00485D97"/>
    <w:rsid w:val="0048660C"/>
    <w:rsid w:val="00486A39"/>
    <w:rsid w:val="00486B60"/>
    <w:rsid w:val="004878D9"/>
    <w:rsid w:val="00487B3B"/>
    <w:rsid w:val="00490DDD"/>
    <w:rsid w:val="004911BC"/>
    <w:rsid w:val="00491598"/>
    <w:rsid w:val="004919C3"/>
    <w:rsid w:val="00491DF5"/>
    <w:rsid w:val="00492017"/>
    <w:rsid w:val="0049251E"/>
    <w:rsid w:val="00492555"/>
    <w:rsid w:val="00492C1D"/>
    <w:rsid w:val="0049301D"/>
    <w:rsid w:val="0049368C"/>
    <w:rsid w:val="00493B07"/>
    <w:rsid w:val="004948DE"/>
    <w:rsid w:val="00494B0C"/>
    <w:rsid w:val="004955F8"/>
    <w:rsid w:val="004959D9"/>
    <w:rsid w:val="004962AE"/>
    <w:rsid w:val="0049699F"/>
    <w:rsid w:val="00496CFB"/>
    <w:rsid w:val="00496F5C"/>
    <w:rsid w:val="00496F8D"/>
    <w:rsid w:val="00497279"/>
    <w:rsid w:val="00497639"/>
    <w:rsid w:val="00497B75"/>
    <w:rsid w:val="004A0325"/>
    <w:rsid w:val="004A05CE"/>
    <w:rsid w:val="004A0A7E"/>
    <w:rsid w:val="004A106D"/>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539D"/>
    <w:rsid w:val="004B56AB"/>
    <w:rsid w:val="004B590B"/>
    <w:rsid w:val="004B5FC7"/>
    <w:rsid w:val="004B6AEA"/>
    <w:rsid w:val="004B6BEC"/>
    <w:rsid w:val="004B7BA5"/>
    <w:rsid w:val="004B7CAF"/>
    <w:rsid w:val="004B7FFE"/>
    <w:rsid w:val="004C05AE"/>
    <w:rsid w:val="004C0776"/>
    <w:rsid w:val="004C0C8E"/>
    <w:rsid w:val="004C1335"/>
    <w:rsid w:val="004C13D5"/>
    <w:rsid w:val="004C14B6"/>
    <w:rsid w:val="004C1537"/>
    <w:rsid w:val="004C19B2"/>
    <w:rsid w:val="004C1C4C"/>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BD"/>
    <w:rsid w:val="004C76A0"/>
    <w:rsid w:val="004C76EE"/>
    <w:rsid w:val="004C78F4"/>
    <w:rsid w:val="004C797D"/>
    <w:rsid w:val="004D01F6"/>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D46"/>
    <w:rsid w:val="004D6F04"/>
    <w:rsid w:val="004D739C"/>
    <w:rsid w:val="004D7CF2"/>
    <w:rsid w:val="004E0337"/>
    <w:rsid w:val="004E0BAA"/>
    <w:rsid w:val="004E0F63"/>
    <w:rsid w:val="004E19DF"/>
    <w:rsid w:val="004E1B3A"/>
    <w:rsid w:val="004E224E"/>
    <w:rsid w:val="004E2572"/>
    <w:rsid w:val="004E2D42"/>
    <w:rsid w:val="004E2D81"/>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D75"/>
    <w:rsid w:val="004E51CC"/>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73A"/>
    <w:rsid w:val="004F3ABF"/>
    <w:rsid w:val="004F3E8B"/>
    <w:rsid w:val="004F4529"/>
    <w:rsid w:val="004F4798"/>
    <w:rsid w:val="004F4A17"/>
    <w:rsid w:val="004F4E0C"/>
    <w:rsid w:val="004F4E18"/>
    <w:rsid w:val="004F5669"/>
    <w:rsid w:val="004F5A08"/>
    <w:rsid w:val="004F709B"/>
    <w:rsid w:val="004F70B3"/>
    <w:rsid w:val="004F7259"/>
    <w:rsid w:val="004F731D"/>
    <w:rsid w:val="004F74C5"/>
    <w:rsid w:val="0050018A"/>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5"/>
    <w:rsid w:val="00507248"/>
    <w:rsid w:val="00507760"/>
    <w:rsid w:val="00507762"/>
    <w:rsid w:val="00507B3D"/>
    <w:rsid w:val="00507E71"/>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40F"/>
    <w:rsid w:val="005207EB"/>
    <w:rsid w:val="00520BDF"/>
    <w:rsid w:val="00520EDE"/>
    <w:rsid w:val="00521368"/>
    <w:rsid w:val="0052157B"/>
    <w:rsid w:val="005219A4"/>
    <w:rsid w:val="00521B29"/>
    <w:rsid w:val="00522A1D"/>
    <w:rsid w:val="00522C3F"/>
    <w:rsid w:val="00523225"/>
    <w:rsid w:val="0052328E"/>
    <w:rsid w:val="005242D1"/>
    <w:rsid w:val="00524BD1"/>
    <w:rsid w:val="00524EC6"/>
    <w:rsid w:val="0052514B"/>
    <w:rsid w:val="00525574"/>
    <w:rsid w:val="00525889"/>
    <w:rsid w:val="00525B1C"/>
    <w:rsid w:val="00526754"/>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13"/>
    <w:rsid w:val="005325B7"/>
    <w:rsid w:val="0053320F"/>
    <w:rsid w:val="0053323B"/>
    <w:rsid w:val="00533851"/>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0FE"/>
    <w:rsid w:val="0054513F"/>
    <w:rsid w:val="0054539D"/>
    <w:rsid w:val="00546087"/>
    <w:rsid w:val="005461F0"/>
    <w:rsid w:val="00546552"/>
    <w:rsid w:val="005469B2"/>
    <w:rsid w:val="00546BEB"/>
    <w:rsid w:val="00546C2C"/>
    <w:rsid w:val="00547137"/>
    <w:rsid w:val="00550097"/>
    <w:rsid w:val="00550309"/>
    <w:rsid w:val="005506D0"/>
    <w:rsid w:val="00550F7D"/>
    <w:rsid w:val="00551284"/>
    <w:rsid w:val="0055139D"/>
    <w:rsid w:val="005520F3"/>
    <w:rsid w:val="0055224E"/>
    <w:rsid w:val="0055272B"/>
    <w:rsid w:val="00552BCA"/>
    <w:rsid w:val="005533CD"/>
    <w:rsid w:val="005539F4"/>
    <w:rsid w:val="00553BAA"/>
    <w:rsid w:val="00553DF9"/>
    <w:rsid w:val="005566F5"/>
    <w:rsid w:val="00556DE8"/>
    <w:rsid w:val="0055709F"/>
    <w:rsid w:val="0056006C"/>
    <w:rsid w:val="00560098"/>
    <w:rsid w:val="005602CE"/>
    <w:rsid w:val="005617D8"/>
    <w:rsid w:val="00561E38"/>
    <w:rsid w:val="00561F94"/>
    <w:rsid w:val="0056205E"/>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1FBA"/>
    <w:rsid w:val="005720E6"/>
    <w:rsid w:val="0057215A"/>
    <w:rsid w:val="005727D8"/>
    <w:rsid w:val="00572F3C"/>
    <w:rsid w:val="00572F42"/>
    <w:rsid w:val="00572FD5"/>
    <w:rsid w:val="00573F68"/>
    <w:rsid w:val="00574238"/>
    <w:rsid w:val="005747D1"/>
    <w:rsid w:val="00575412"/>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3C2"/>
    <w:rsid w:val="00585BA4"/>
    <w:rsid w:val="00586529"/>
    <w:rsid w:val="00586723"/>
    <w:rsid w:val="00586D31"/>
    <w:rsid w:val="00586E47"/>
    <w:rsid w:val="00587EB2"/>
    <w:rsid w:val="00590336"/>
    <w:rsid w:val="00590CAC"/>
    <w:rsid w:val="00590E77"/>
    <w:rsid w:val="0059149F"/>
    <w:rsid w:val="005915DC"/>
    <w:rsid w:val="00592955"/>
    <w:rsid w:val="005933C2"/>
    <w:rsid w:val="00593726"/>
    <w:rsid w:val="00593EBD"/>
    <w:rsid w:val="00594103"/>
    <w:rsid w:val="00594620"/>
    <w:rsid w:val="0059464F"/>
    <w:rsid w:val="0059483F"/>
    <w:rsid w:val="00594DFF"/>
    <w:rsid w:val="00595B2F"/>
    <w:rsid w:val="00595CBD"/>
    <w:rsid w:val="00595FB6"/>
    <w:rsid w:val="005962A6"/>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09E"/>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C00C1"/>
    <w:rsid w:val="005C09E9"/>
    <w:rsid w:val="005C0BBF"/>
    <w:rsid w:val="005C0BD6"/>
    <w:rsid w:val="005C0CA6"/>
    <w:rsid w:val="005C0D3F"/>
    <w:rsid w:val="005C1A1C"/>
    <w:rsid w:val="005C1AE1"/>
    <w:rsid w:val="005C1AF8"/>
    <w:rsid w:val="005C1C7C"/>
    <w:rsid w:val="005C2373"/>
    <w:rsid w:val="005C23A5"/>
    <w:rsid w:val="005C394B"/>
    <w:rsid w:val="005C3CE9"/>
    <w:rsid w:val="005C3D95"/>
    <w:rsid w:val="005C3E79"/>
    <w:rsid w:val="005C4E1B"/>
    <w:rsid w:val="005C4FD5"/>
    <w:rsid w:val="005C5030"/>
    <w:rsid w:val="005C5442"/>
    <w:rsid w:val="005C55AE"/>
    <w:rsid w:val="005C6137"/>
    <w:rsid w:val="005C65C5"/>
    <w:rsid w:val="005C6955"/>
    <w:rsid w:val="005C70B2"/>
    <w:rsid w:val="005C75D5"/>
    <w:rsid w:val="005D01EE"/>
    <w:rsid w:val="005D05CB"/>
    <w:rsid w:val="005D06BD"/>
    <w:rsid w:val="005D1269"/>
    <w:rsid w:val="005D164B"/>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F3D"/>
    <w:rsid w:val="005E114C"/>
    <w:rsid w:val="005E1389"/>
    <w:rsid w:val="005E165E"/>
    <w:rsid w:val="005E2049"/>
    <w:rsid w:val="005E26F2"/>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19C6"/>
    <w:rsid w:val="005F23A0"/>
    <w:rsid w:val="005F241A"/>
    <w:rsid w:val="005F29C4"/>
    <w:rsid w:val="005F3056"/>
    <w:rsid w:val="005F30B7"/>
    <w:rsid w:val="005F34BA"/>
    <w:rsid w:val="005F37D1"/>
    <w:rsid w:val="005F3883"/>
    <w:rsid w:val="005F3B9B"/>
    <w:rsid w:val="005F3EA2"/>
    <w:rsid w:val="005F4496"/>
    <w:rsid w:val="005F4B15"/>
    <w:rsid w:val="005F4FBF"/>
    <w:rsid w:val="005F5728"/>
    <w:rsid w:val="005F6C31"/>
    <w:rsid w:val="005F6FAC"/>
    <w:rsid w:val="005F7261"/>
    <w:rsid w:val="005F7B65"/>
    <w:rsid w:val="005F7CE9"/>
    <w:rsid w:val="005F7DDF"/>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487"/>
    <w:rsid w:val="0060753C"/>
    <w:rsid w:val="006075B3"/>
    <w:rsid w:val="006077E4"/>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6F"/>
    <w:rsid w:val="006133DE"/>
    <w:rsid w:val="006140C3"/>
    <w:rsid w:val="00614263"/>
    <w:rsid w:val="00615020"/>
    <w:rsid w:val="00615054"/>
    <w:rsid w:val="00615182"/>
    <w:rsid w:val="00615399"/>
    <w:rsid w:val="00615622"/>
    <w:rsid w:val="0061595F"/>
    <w:rsid w:val="00615A5A"/>
    <w:rsid w:val="00615EB1"/>
    <w:rsid w:val="00615FC3"/>
    <w:rsid w:val="00616027"/>
    <w:rsid w:val="00616B10"/>
    <w:rsid w:val="00616D1B"/>
    <w:rsid w:val="00616D50"/>
    <w:rsid w:val="00616EBE"/>
    <w:rsid w:val="00617218"/>
    <w:rsid w:val="0061743C"/>
    <w:rsid w:val="006176E9"/>
    <w:rsid w:val="00617888"/>
    <w:rsid w:val="00617B92"/>
    <w:rsid w:val="00617BF0"/>
    <w:rsid w:val="00617C61"/>
    <w:rsid w:val="0062092A"/>
    <w:rsid w:val="00620E8C"/>
    <w:rsid w:val="006213CC"/>
    <w:rsid w:val="00621799"/>
    <w:rsid w:val="00622398"/>
    <w:rsid w:val="006223AD"/>
    <w:rsid w:val="00622726"/>
    <w:rsid w:val="006234CD"/>
    <w:rsid w:val="006234D5"/>
    <w:rsid w:val="006237D2"/>
    <w:rsid w:val="00624A2D"/>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A07"/>
    <w:rsid w:val="00632E61"/>
    <w:rsid w:val="0063304B"/>
    <w:rsid w:val="0063313A"/>
    <w:rsid w:val="00633F4E"/>
    <w:rsid w:val="00634AA3"/>
    <w:rsid w:val="00634C70"/>
    <w:rsid w:val="006352F0"/>
    <w:rsid w:val="006353D1"/>
    <w:rsid w:val="00635CA6"/>
    <w:rsid w:val="00635CD7"/>
    <w:rsid w:val="00635EA9"/>
    <w:rsid w:val="00636345"/>
    <w:rsid w:val="00636564"/>
    <w:rsid w:val="006374A4"/>
    <w:rsid w:val="00637C77"/>
    <w:rsid w:val="0064022E"/>
    <w:rsid w:val="006402CB"/>
    <w:rsid w:val="006403CF"/>
    <w:rsid w:val="00640DDE"/>
    <w:rsid w:val="00641687"/>
    <w:rsid w:val="006418D2"/>
    <w:rsid w:val="00641971"/>
    <w:rsid w:val="0064198F"/>
    <w:rsid w:val="00642579"/>
    <w:rsid w:val="0064329E"/>
    <w:rsid w:val="0064343C"/>
    <w:rsid w:val="00643A4A"/>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0F36"/>
    <w:rsid w:val="00651612"/>
    <w:rsid w:val="00651966"/>
    <w:rsid w:val="00651CB6"/>
    <w:rsid w:val="00651DFE"/>
    <w:rsid w:val="0065219C"/>
    <w:rsid w:val="006537F3"/>
    <w:rsid w:val="006539F5"/>
    <w:rsid w:val="00653E29"/>
    <w:rsid w:val="00654076"/>
    <w:rsid w:val="00654281"/>
    <w:rsid w:val="006554FD"/>
    <w:rsid w:val="0065597A"/>
    <w:rsid w:val="00655A9A"/>
    <w:rsid w:val="00656323"/>
    <w:rsid w:val="00656E2B"/>
    <w:rsid w:val="0065755C"/>
    <w:rsid w:val="006605DD"/>
    <w:rsid w:val="00660CEB"/>
    <w:rsid w:val="00661154"/>
    <w:rsid w:val="006618FB"/>
    <w:rsid w:val="00661FBE"/>
    <w:rsid w:val="00662834"/>
    <w:rsid w:val="00662A04"/>
    <w:rsid w:val="00662FEA"/>
    <w:rsid w:val="00663069"/>
    <w:rsid w:val="00663292"/>
    <w:rsid w:val="00663B01"/>
    <w:rsid w:val="00663B99"/>
    <w:rsid w:val="00663FBA"/>
    <w:rsid w:val="006646AC"/>
    <w:rsid w:val="006646DF"/>
    <w:rsid w:val="00664808"/>
    <w:rsid w:val="006655F4"/>
    <w:rsid w:val="00665986"/>
    <w:rsid w:val="00665CBD"/>
    <w:rsid w:val="00665EE7"/>
    <w:rsid w:val="00665F8B"/>
    <w:rsid w:val="006669B1"/>
    <w:rsid w:val="00667125"/>
    <w:rsid w:val="0066735B"/>
    <w:rsid w:val="00667519"/>
    <w:rsid w:val="00670D4F"/>
    <w:rsid w:val="00670E7F"/>
    <w:rsid w:val="0067121E"/>
    <w:rsid w:val="0067177F"/>
    <w:rsid w:val="006724E4"/>
    <w:rsid w:val="0067275B"/>
    <w:rsid w:val="00672D07"/>
    <w:rsid w:val="006732AF"/>
    <w:rsid w:val="006732DE"/>
    <w:rsid w:val="006739EB"/>
    <w:rsid w:val="00673D02"/>
    <w:rsid w:val="00673D2C"/>
    <w:rsid w:val="00674163"/>
    <w:rsid w:val="00674643"/>
    <w:rsid w:val="006749E6"/>
    <w:rsid w:val="00674D5B"/>
    <w:rsid w:val="0067533C"/>
    <w:rsid w:val="00675544"/>
    <w:rsid w:val="0067661C"/>
    <w:rsid w:val="00676E4E"/>
    <w:rsid w:val="00677104"/>
    <w:rsid w:val="00677131"/>
    <w:rsid w:val="00677186"/>
    <w:rsid w:val="00677197"/>
    <w:rsid w:val="0067729D"/>
    <w:rsid w:val="00677A3D"/>
    <w:rsid w:val="00677B70"/>
    <w:rsid w:val="00677B77"/>
    <w:rsid w:val="00677C5A"/>
    <w:rsid w:val="006804E5"/>
    <w:rsid w:val="00680660"/>
    <w:rsid w:val="00680965"/>
    <w:rsid w:val="00680DD9"/>
    <w:rsid w:val="006812AD"/>
    <w:rsid w:val="006817CB"/>
    <w:rsid w:val="00681943"/>
    <w:rsid w:val="00681E63"/>
    <w:rsid w:val="00681F70"/>
    <w:rsid w:val="00682B38"/>
    <w:rsid w:val="00682EEB"/>
    <w:rsid w:val="006831DA"/>
    <w:rsid w:val="00683648"/>
    <w:rsid w:val="00683869"/>
    <w:rsid w:val="006845FF"/>
    <w:rsid w:val="006848E1"/>
    <w:rsid w:val="00685063"/>
    <w:rsid w:val="006855AE"/>
    <w:rsid w:val="00685680"/>
    <w:rsid w:val="00685BB0"/>
    <w:rsid w:val="00685BFC"/>
    <w:rsid w:val="00686337"/>
    <w:rsid w:val="0068647B"/>
    <w:rsid w:val="0068669B"/>
    <w:rsid w:val="00686A45"/>
    <w:rsid w:val="00686B19"/>
    <w:rsid w:val="006876DB"/>
    <w:rsid w:val="006879BA"/>
    <w:rsid w:val="00687CC4"/>
    <w:rsid w:val="00690497"/>
    <w:rsid w:val="00690593"/>
    <w:rsid w:val="00690670"/>
    <w:rsid w:val="00690735"/>
    <w:rsid w:val="00690989"/>
    <w:rsid w:val="006914CA"/>
    <w:rsid w:val="00691976"/>
    <w:rsid w:val="00691FCE"/>
    <w:rsid w:val="006923A3"/>
    <w:rsid w:val="006928C9"/>
    <w:rsid w:val="00692A54"/>
    <w:rsid w:val="006939C1"/>
    <w:rsid w:val="00693B3B"/>
    <w:rsid w:val="00693F65"/>
    <w:rsid w:val="006947E1"/>
    <w:rsid w:val="00694C9B"/>
    <w:rsid w:val="006954B8"/>
    <w:rsid w:val="00695AB8"/>
    <w:rsid w:val="00695E75"/>
    <w:rsid w:val="00696A51"/>
    <w:rsid w:val="00697400"/>
    <w:rsid w:val="0069741D"/>
    <w:rsid w:val="00697B4F"/>
    <w:rsid w:val="006A0B80"/>
    <w:rsid w:val="006A10B9"/>
    <w:rsid w:val="006A128A"/>
    <w:rsid w:val="006A14B8"/>
    <w:rsid w:val="006A1ABA"/>
    <w:rsid w:val="006A1CAC"/>
    <w:rsid w:val="006A1F7C"/>
    <w:rsid w:val="006A2195"/>
    <w:rsid w:val="006A2B2C"/>
    <w:rsid w:val="006A4212"/>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0EB6"/>
    <w:rsid w:val="006B12C6"/>
    <w:rsid w:val="006B1390"/>
    <w:rsid w:val="006B16F5"/>
    <w:rsid w:val="006B18DC"/>
    <w:rsid w:val="006B1E93"/>
    <w:rsid w:val="006B2427"/>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EB2"/>
    <w:rsid w:val="006D1EB3"/>
    <w:rsid w:val="006D2728"/>
    <w:rsid w:val="006D3D84"/>
    <w:rsid w:val="006D439A"/>
    <w:rsid w:val="006D5291"/>
    <w:rsid w:val="006D5774"/>
    <w:rsid w:val="006D5917"/>
    <w:rsid w:val="006D5D76"/>
    <w:rsid w:val="006D60E4"/>
    <w:rsid w:val="006D67A6"/>
    <w:rsid w:val="006D6B35"/>
    <w:rsid w:val="006D7AA5"/>
    <w:rsid w:val="006D7E92"/>
    <w:rsid w:val="006E1778"/>
    <w:rsid w:val="006E1AA6"/>
    <w:rsid w:val="006E1C71"/>
    <w:rsid w:val="006E1F03"/>
    <w:rsid w:val="006E37C0"/>
    <w:rsid w:val="006E3F1F"/>
    <w:rsid w:val="006E416F"/>
    <w:rsid w:val="006E41A0"/>
    <w:rsid w:val="006E4C12"/>
    <w:rsid w:val="006E56E0"/>
    <w:rsid w:val="006E5F7B"/>
    <w:rsid w:val="006E608F"/>
    <w:rsid w:val="006E6187"/>
    <w:rsid w:val="006E666F"/>
    <w:rsid w:val="006E6697"/>
    <w:rsid w:val="006E68FA"/>
    <w:rsid w:val="006E7AC9"/>
    <w:rsid w:val="006E7D8E"/>
    <w:rsid w:val="006F07EC"/>
    <w:rsid w:val="006F0AAC"/>
    <w:rsid w:val="006F1129"/>
    <w:rsid w:val="006F1A79"/>
    <w:rsid w:val="006F201C"/>
    <w:rsid w:val="006F26FB"/>
    <w:rsid w:val="006F2D59"/>
    <w:rsid w:val="006F2E6C"/>
    <w:rsid w:val="006F3691"/>
    <w:rsid w:val="006F4062"/>
    <w:rsid w:val="006F4282"/>
    <w:rsid w:val="006F4E87"/>
    <w:rsid w:val="006F509B"/>
    <w:rsid w:val="006F5349"/>
    <w:rsid w:val="006F56FB"/>
    <w:rsid w:val="006F5EFA"/>
    <w:rsid w:val="006F70AA"/>
    <w:rsid w:val="006F7C2F"/>
    <w:rsid w:val="00700387"/>
    <w:rsid w:val="0070067E"/>
    <w:rsid w:val="00700DAC"/>
    <w:rsid w:val="00701062"/>
    <w:rsid w:val="0070138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34F9"/>
    <w:rsid w:val="0071354A"/>
    <w:rsid w:val="00713922"/>
    <w:rsid w:val="00713967"/>
    <w:rsid w:val="0071423B"/>
    <w:rsid w:val="00714CBD"/>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0A74"/>
    <w:rsid w:val="00731322"/>
    <w:rsid w:val="00731D0B"/>
    <w:rsid w:val="00731F9C"/>
    <w:rsid w:val="00732029"/>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B82"/>
    <w:rsid w:val="007400AD"/>
    <w:rsid w:val="007404DF"/>
    <w:rsid w:val="00740587"/>
    <w:rsid w:val="00740894"/>
    <w:rsid w:val="00740A84"/>
    <w:rsid w:val="00740B09"/>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064C"/>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9C"/>
    <w:rsid w:val="00755841"/>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0D2"/>
    <w:rsid w:val="00762288"/>
    <w:rsid w:val="0076254F"/>
    <w:rsid w:val="00762BC1"/>
    <w:rsid w:val="00763054"/>
    <w:rsid w:val="007634C7"/>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553"/>
    <w:rsid w:val="00772C47"/>
    <w:rsid w:val="00772E5C"/>
    <w:rsid w:val="007737BF"/>
    <w:rsid w:val="00773AE9"/>
    <w:rsid w:val="00773E73"/>
    <w:rsid w:val="00774437"/>
    <w:rsid w:val="007747B4"/>
    <w:rsid w:val="0077483D"/>
    <w:rsid w:val="00774A71"/>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CDD"/>
    <w:rsid w:val="00793649"/>
    <w:rsid w:val="0079392D"/>
    <w:rsid w:val="00793A65"/>
    <w:rsid w:val="00794513"/>
    <w:rsid w:val="007946C0"/>
    <w:rsid w:val="00794882"/>
    <w:rsid w:val="00794901"/>
    <w:rsid w:val="007949E2"/>
    <w:rsid w:val="00794A3B"/>
    <w:rsid w:val="00794C7C"/>
    <w:rsid w:val="0079578F"/>
    <w:rsid w:val="00796231"/>
    <w:rsid w:val="00796857"/>
    <w:rsid w:val="00796E51"/>
    <w:rsid w:val="00796F90"/>
    <w:rsid w:val="00797098"/>
    <w:rsid w:val="007971EA"/>
    <w:rsid w:val="007973E8"/>
    <w:rsid w:val="00797746"/>
    <w:rsid w:val="00797DAE"/>
    <w:rsid w:val="00797ECC"/>
    <w:rsid w:val="007A0C98"/>
    <w:rsid w:val="007A10F6"/>
    <w:rsid w:val="007A13FD"/>
    <w:rsid w:val="007A1409"/>
    <w:rsid w:val="007A18EF"/>
    <w:rsid w:val="007A2E4E"/>
    <w:rsid w:val="007A386B"/>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2FB"/>
    <w:rsid w:val="007B44E1"/>
    <w:rsid w:val="007B467B"/>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101E"/>
    <w:rsid w:val="007C14C5"/>
    <w:rsid w:val="007C2E5F"/>
    <w:rsid w:val="007C39E2"/>
    <w:rsid w:val="007C3B44"/>
    <w:rsid w:val="007C3C8E"/>
    <w:rsid w:val="007C3D9A"/>
    <w:rsid w:val="007C4499"/>
    <w:rsid w:val="007C49E5"/>
    <w:rsid w:val="007C4AE8"/>
    <w:rsid w:val="007C5292"/>
    <w:rsid w:val="007C61C7"/>
    <w:rsid w:val="007C6E72"/>
    <w:rsid w:val="007C6EDB"/>
    <w:rsid w:val="007C6F04"/>
    <w:rsid w:val="007C71EA"/>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D57"/>
    <w:rsid w:val="007E0E42"/>
    <w:rsid w:val="007E0E88"/>
    <w:rsid w:val="007E0F07"/>
    <w:rsid w:val="007E15A2"/>
    <w:rsid w:val="007E1D53"/>
    <w:rsid w:val="007E21A4"/>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251B"/>
    <w:rsid w:val="007F28AE"/>
    <w:rsid w:val="007F29E6"/>
    <w:rsid w:val="007F2A92"/>
    <w:rsid w:val="007F358A"/>
    <w:rsid w:val="007F3AC2"/>
    <w:rsid w:val="007F4167"/>
    <w:rsid w:val="007F453E"/>
    <w:rsid w:val="007F4835"/>
    <w:rsid w:val="007F4FC6"/>
    <w:rsid w:val="007F5326"/>
    <w:rsid w:val="007F5A5B"/>
    <w:rsid w:val="007F5C49"/>
    <w:rsid w:val="007F7909"/>
    <w:rsid w:val="0080013B"/>
    <w:rsid w:val="008014C7"/>
    <w:rsid w:val="0080175D"/>
    <w:rsid w:val="00801A74"/>
    <w:rsid w:val="00801FD7"/>
    <w:rsid w:val="008021E6"/>
    <w:rsid w:val="008023BE"/>
    <w:rsid w:val="008028E5"/>
    <w:rsid w:val="00802927"/>
    <w:rsid w:val="00802BFF"/>
    <w:rsid w:val="00802C6F"/>
    <w:rsid w:val="008031D3"/>
    <w:rsid w:val="00803A79"/>
    <w:rsid w:val="00803D8F"/>
    <w:rsid w:val="0080440A"/>
    <w:rsid w:val="0080452A"/>
    <w:rsid w:val="0080521D"/>
    <w:rsid w:val="00805550"/>
    <w:rsid w:val="0080570B"/>
    <w:rsid w:val="00805C11"/>
    <w:rsid w:val="00805FB0"/>
    <w:rsid w:val="00806128"/>
    <w:rsid w:val="008063C7"/>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93D"/>
    <w:rsid w:val="00817467"/>
    <w:rsid w:val="00817AC1"/>
    <w:rsid w:val="00817D67"/>
    <w:rsid w:val="00817ED2"/>
    <w:rsid w:val="00820139"/>
    <w:rsid w:val="008207DB"/>
    <w:rsid w:val="00820923"/>
    <w:rsid w:val="00820E4C"/>
    <w:rsid w:val="00820E9B"/>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404"/>
    <w:rsid w:val="008268EB"/>
    <w:rsid w:val="00826F52"/>
    <w:rsid w:val="00827648"/>
    <w:rsid w:val="00827888"/>
    <w:rsid w:val="0082794F"/>
    <w:rsid w:val="00827CAC"/>
    <w:rsid w:val="00827E9C"/>
    <w:rsid w:val="0083011A"/>
    <w:rsid w:val="0083023E"/>
    <w:rsid w:val="008302E8"/>
    <w:rsid w:val="00830426"/>
    <w:rsid w:val="008306A7"/>
    <w:rsid w:val="00830732"/>
    <w:rsid w:val="00830873"/>
    <w:rsid w:val="00830C15"/>
    <w:rsid w:val="008318A6"/>
    <w:rsid w:val="00832784"/>
    <w:rsid w:val="00833019"/>
    <w:rsid w:val="00834311"/>
    <w:rsid w:val="0083460E"/>
    <w:rsid w:val="00834777"/>
    <w:rsid w:val="00834ACE"/>
    <w:rsid w:val="00835504"/>
    <w:rsid w:val="00835EAE"/>
    <w:rsid w:val="00835F35"/>
    <w:rsid w:val="00836388"/>
    <w:rsid w:val="0083651D"/>
    <w:rsid w:val="008367C7"/>
    <w:rsid w:val="00836BA5"/>
    <w:rsid w:val="00836EBB"/>
    <w:rsid w:val="008372BA"/>
    <w:rsid w:val="00837AF0"/>
    <w:rsid w:val="00837DC3"/>
    <w:rsid w:val="00840006"/>
    <w:rsid w:val="0084047D"/>
    <w:rsid w:val="00840ADD"/>
    <w:rsid w:val="00842432"/>
    <w:rsid w:val="00842B62"/>
    <w:rsid w:val="00842C77"/>
    <w:rsid w:val="008437C4"/>
    <w:rsid w:val="008443B0"/>
    <w:rsid w:val="00844628"/>
    <w:rsid w:val="00846674"/>
    <w:rsid w:val="00846756"/>
    <w:rsid w:val="00846F20"/>
    <w:rsid w:val="00846F27"/>
    <w:rsid w:val="00847333"/>
    <w:rsid w:val="008475F5"/>
    <w:rsid w:val="008476A1"/>
    <w:rsid w:val="00847709"/>
    <w:rsid w:val="00847CD0"/>
    <w:rsid w:val="00847D19"/>
    <w:rsid w:val="00847FB0"/>
    <w:rsid w:val="008505B8"/>
    <w:rsid w:val="00850636"/>
    <w:rsid w:val="00850895"/>
    <w:rsid w:val="00850B7A"/>
    <w:rsid w:val="008510E7"/>
    <w:rsid w:val="00852325"/>
    <w:rsid w:val="0085282E"/>
    <w:rsid w:val="0085314A"/>
    <w:rsid w:val="0085320D"/>
    <w:rsid w:val="008535F8"/>
    <w:rsid w:val="00853686"/>
    <w:rsid w:val="00853E3C"/>
    <w:rsid w:val="00854598"/>
    <w:rsid w:val="008550B6"/>
    <w:rsid w:val="0085550C"/>
    <w:rsid w:val="0085623B"/>
    <w:rsid w:val="0085651F"/>
    <w:rsid w:val="00856930"/>
    <w:rsid w:val="00856DF5"/>
    <w:rsid w:val="008571B2"/>
    <w:rsid w:val="008576F6"/>
    <w:rsid w:val="008577EE"/>
    <w:rsid w:val="00860205"/>
    <w:rsid w:val="008609DC"/>
    <w:rsid w:val="00860BA4"/>
    <w:rsid w:val="00860D16"/>
    <w:rsid w:val="00860EFF"/>
    <w:rsid w:val="0086166F"/>
    <w:rsid w:val="00861A52"/>
    <w:rsid w:val="00861BA9"/>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D96"/>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9E"/>
    <w:rsid w:val="008946EE"/>
    <w:rsid w:val="00894C11"/>
    <w:rsid w:val="0089516E"/>
    <w:rsid w:val="008951F7"/>
    <w:rsid w:val="008958D7"/>
    <w:rsid w:val="00896CB4"/>
    <w:rsid w:val="00896E50"/>
    <w:rsid w:val="008974C6"/>
    <w:rsid w:val="008A013A"/>
    <w:rsid w:val="008A0179"/>
    <w:rsid w:val="008A0264"/>
    <w:rsid w:val="008A0509"/>
    <w:rsid w:val="008A05C0"/>
    <w:rsid w:val="008A0A57"/>
    <w:rsid w:val="008A0A89"/>
    <w:rsid w:val="008A0E55"/>
    <w:rsid w:val="008A105A"/>
    <w:rsid w:val="008A1243"/>
    <w:rsid w:val="008A1613"/>
    <w:rsid w:val="008A2038"/>
    <w:rsid w:val="008A29B8"/>
    <w:rsid w:val="008A2A04"/>
    <w:rsid w:val="008A3243"/>
    <w:rsid w:val="008A3278"/>
    <w:rsid w:val="008A34C1"/>
    <w:rsid w:val="008A3714"/>
    <w:rsid w:val="008A39B4"/>
    <w:rsid w:val="008A3F4E"/>
    <w:rsid w:val="008A3FE6"/>
    <w:rsid w:val="008A4EF5"/>
    <w:rsid w:val="008A4FFD"/>
    <w:rsid w:val="008A5AD7"/>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D63"/>
    <w:rsid w:val="008B7E59"/>
    <w:rsid w:val="008C0090"/>
    <w:rsid w:val="008C025D"/>
    <w:rsid w:val="008C0FB7"/>
    <w:rsid w:val="008C110D"/>
    <w:rsid w:val="008C17F4"/>
    <w:rsid w:val="008C1D6B"/>
    <w:rsid w:val="008C1DE9"/>
    <w:rsid w:val="008C22AD"/>
    <w:rsid w:val="008C293E"/>
    <w:rsid w:val="008C2E31"/>
    <w:rsid w:val="008C2FFC"/>
    <w:rsid w:val="008C36BC"/>
    <w:rsid w:val="008C3ACD"/>
    <w:rsid w:val="008C3AD1"/>
    <w:rsid w:val="008C3E8E"/>
    <w:rsid w:val="008C40F6"/>
    <w:rsid w:val="008C55A9"/>
    <w:rsid w:val="008C56D1"/>
    <w:rsid w:val="008C5774"/>
    <w:rsid w:val="008C60E9"/>
    <w:rsid w:val="008C67A2"/>
    <w:rsid w:val="008C6BC7"/>
    <w:rsid w:val="008C6C09"/>
    <w:rsid w:val="008C6E7E"/>
    <w:rsid w:val="008C6EF6"/>
    <w:rsid w:val="008C75E2"/>
    <w:rsid w:val="008C76C8"/>
    <w:rsid w:val="008C7908"/>
    <w:rsid w:val="008C7A1D"/>
    <w:rsid w:val="008D040E"/>
    <w:rsid w:val="008D0B19"/>
    <w:rsid w:val="008D0BAF"/>
    <w:rsid w:val="008D1529"/>
    <w:rsid w:val="008D1690"/>
    <w:rsid w:val="008D1A92"/>
    <w:rsid w:val="008D1D2A"/>
    <w:rsid w:val="008D1E08"/>
    <w:rsid w:val="008D278F"/>
    <w:rsid w:val="008D2A8A"/>
    <w:rsid w:val="008D370F"/>
    <w:rsid w:val="008D4A10"/>
    <w:rsid w:val="008D4A34"/>
    <w:rsid w:val="008D4BFA"/>
    <w:rsid w:val="008D513C"/>
    <w:rsid w:val="008D525F"/>
    <w:rsid w:val="008D54AA"/>
    <w:rsid w:val="008D556A"/>
    <w:rsid w:val="008D56ED"/>
    <w:rsid w:val="008D596E"/>
    <w:rsid w:val="008D5D74"/>
    <w:rsid w:val="008D78C5"/>
    <w:rsid w:val="008E062E"/>
    <w:rsid w:val="008E0AF9"/>
    <w:rsid w:val="008E1AB0"/>
    <w:rsid w:val="008E1D18"/>
    <w:rsid w:val="008E21EF"/>
    <w:rsid w:val="008E2E41"/>
    <w:rsid w:val="008E3046"/>
    <w:rsid w:val="008E34B8"/>
    <w:rsid w:val="008E37C2"/>
    <w:rsid w:val="008E3E80"/>
    <w:rsid w:val="008E4C0B"/>
    <w:rsid w:val="008E4C3F"/>
    <w:rsid w:val="008E4C99"/>
    <w:rsid w:val="008E558D"/>
    <w:rsid w:val="008E56E2"/>
    <w:rsid w:val="008E6850"/>
    <w:rsid w:val="008E68F2"/>
    <w:rsid w:val="008E68FD"/>
    <w:rsid w:val="008E6925"/>
    <w:rsid w:val="008E6F78"/>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40D1"/>
    <w:rsid w:val="009046C4"/>
    <w:rsid w:val="00904A7E"/>
    <w:rsid w:val="00904A9F"/>
    <w:rsid w:val="0090542B"/>
    <w:rsid w:val="0090578F"/>
    <w:rsid w:val="00905C92"/>
    <w:rsid w:val="00905F4F"/>
    <w:rsid w:val="0090618C"/>
    <w:rsid w:val="00906CBC"/>
    <w:rsid w:val="00907371"/>
    <w:rsid w:val="009073B9"/>
    <w:rsid w:val="009077E3"/>
    <w:rsid w:val="00907AA1"/>
    <w:rsid w:val="0091051A"/>
    <w:rsid w:val="00910DBB"/>
    <w:rsid w:val="00910F05"/>
    <w:rsid w:val="0091176D"/>
    <w:rsid w:val="009120E5"/>
    <w:rsid w:val="009123B6"/>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17F1B"/>
    <w:rsid w:val="0092026E"/>
    <w:rsid w:val="00920671"/>
    <w:rsid w:val="00920F69"/>
    <w:rsid w:val="00921069"/>
    <w:rsid w:val="0092106B"/>
    <w:rsid w:val="00921373"/>
    <w:rsid w:val="0092158E"/>
    <w:rsid w:val="00921851"/>
    <w:rsid w:val="00921CFD"/>
    <w:rsid w:val="0092203B"/>
    <w:rsid w:val="00922941"/>
    <w:rsid w:val="00923201"/>
    <w:rsid w:val="00923B92"/>
    <w:rsid w:val="009241EF"/>
    <w:rsid w:val="0092440C"/>
    <w:rsid w:val="00924A97"/>
    <w:rsid w:val="00924ACA"/>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816"/>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192"/>
    <w:rsid w:val="00944406"/>
    <w:rsid w:val="00944BE4"/>
    <w:rsid w:val="009451AB"/>
    <w:rsid w:val="00945786"/>
    <w:rsid w:val="00945EE6"/>
    <w:rsid w:val="00945F6A"/>
    <w:rsid w:val="00946525"/>
    <w:rsid w:val="0094657B"/>
    <w:rsid w:val="00946BBC"/>
    <w:rsid w:val="00946FAA"/>
    <w:rsid w:val="009473AD"/>
    <w:rsid w:val="00947638"/>
    <w:rsid w:val="00947C4B"/>
    <w:rsid w:val="009500A1"/>
    <w:rsid w:val="00950D71"/>
    <w:rsid w:val="00950F03"/>
    <w:rsid w:val="009515CA"/>
    <w:rsid w:val="009520D6"/>
    <w:rsid w:val="009524D2"/>
    <w:rsid w:val="00952CC0"/>
    <w:rsid w:val="00952E4E"/>
    <w:rsid w:val="009533A8"/>
    <w:rsid w:val="009535AD"/>
    <w:rsid w:val="00953A47"/>
    <w:rsid w:val="00953E8E"/>
    <w:rsid w:val="00954200"/>
    <w:rsid w:val="00954D13"/>
    <w:rsid w:val="00954D65"/>
    <w:rsid w:val="00954FD6"/>
    <w:rsid w:val="00955DA7"/>
    <w:rsid w:val="00955E2F"/>
    <w:rsid w:val="0095600F"/>
    <w:rsid w:val="00956053"/>
    <w:rsid w:val="00956109"/>
    <w:rsid w:val="00956552"/>
    <w:rsid w:val="00956D3F"/>
    <w:rsid w:val="0095756D"/>
    <w:rsid w:val="00957896"/>
    <w:rsid w:val="00957E24"/>
    <w:rsid w:val="00960281"/>
    <w:rsid w:val="009605F8"/>
    <w:rsid w:val="00960E6C"/>
    <w:rsid w:val="0096138C"/>
    <w:rsid w:val="009613FA"/>
    <w:rsid w:val="009618B4"/>
    <w:rsid w:val="00961B7A"/>
    <w:rsid w:val="00961B91"/>
    <w:rsid w:val="00961BB2"/>
    <w:rsid w:val="009622A2"/>
    <w:rsid w:val="00962A17"/>
    <w:rsid w:val="00963533"/>
    <w:rsid w:val="00963796"/>
    <w:rsid w:val="00963934"/>
    <w:rsid w:val="0096462F"/>
    <w:rsid w:val="00964BD6"/>
    <w:rsid w:val="00965ACB"/>
    <w:rsid w:val="00966085"/>
    <w:rsid w:val="00966281"/>
    <w:rsid w:val="009666AA"/>
    <w:rsid w:val="00966826"/>
    <w:rsid w:val="00966C72"/>
    <w:rsid w:val="00967C6C"/>
    <w:rsid w:val="00970A20"/>
    <w:rsid w:val="009711DC"/>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AF9"/>
    <w:rsid w:val="00975DAB"/>
    <w:rsid w:val="009760AE"/>
    <w:rsid w:val="0097630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66E"/>
    <w:rsid w:val="009836FA"/>
    <w:rsid w:val="00983E03"/>
    <w:rsid w:val="00984137"/>
    <w:rsid w:val="0098451F"/>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87E"/>
    <w:rsid w:val="009A6C13"/>
    <w:rsid w:val="009A6C2E"/>
    <w:rsid w:val="009A6CA6"/>
    <w:rsid w:val="009A7581"/>
    <w:rsid w:val="009A7620"/>
    <w:rsid w:val="009A767D"/>
    <w:rsid w:val="009B02E3"/>
    <w:rsid w:val="009B08AE"/>
    <w:rsid w:val="009B10EE"/>
    <w:rsid w:val="009B1542"/>
    <w:rsid w:val="009B176B"/>
    <w:rsid w:val="009B19E6"/>
    <w:rsid w:val="009B1E9C"/>
    <w:rsid w:val="009B298D"/>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D10"/>
    <w:rsid w:val="009C042C"/>
    <w:rsid w:val="009C0493"/>
    <w:rsid w:val="009C1051"/>
    <w:rsid w:val="009C1271"/>
    <w:rsid w:val="009C1D82"/>
    <w:rsid w:val="009C2136"/>
    <w:rsid w:val="009C29AD"/>
    <w:rsid w:val="009C2CAA"/>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C7A7E"/>
    <w:rsid w:val="009D00B6"/>
    <w:rsid w:val="009D13F6"/>
    <w:rsid w:val="009D1456"/>
    <w:rsid w:val="009D192D"/>
    <w:rsid w:val="009D1B12"/>
    <w:rsid w:val="009D1C62"/>
    <w:rsid w:val="009D1EEC"/>
    <w:rsid w:val="009D2B5B"/>
    <w:rsid w:val="009D3341"/>
    <w:rsid w:val="009D3AEB"/>
    <w:rsid w:val="009D3EBD"/>
    <w:rsid w:val="009D3F68"/>
    <w:rsid w:val="009D437B"/>
    <w:rsid w:val="009D4C14"/>
    <w:rsid w:val="009D4D69"/>
    <w:rsid w:val="009D5053"/>
    <w:rsid w:val="009D508E"/>
    <w:rsid w:val="009D526E"/>
    <w:rsid w:val="009D5604"/>
    <w:rsid w:val="009D5757"/>
    <w:rsid w:val="009D6224"/>
    <w:rsid w:val="009D68EF"/>
    <w:rsid w:val="009D70BF"/>
    <w:rsid w:val="009D70F9"/>
    <w:rsid w:val="009D7281"/>
    <w:rsid w:val="009D7CAC"/>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32DC"/>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6C7"/>
    <w:rsid w:val="00A156F7"/>
    <w:rsid w:val="00A159AD"/>
    <w:rsid w:val="00A15E84"/>
    <w:rsid w:val="00A16465"/>
    <w:rsid w:val="00A168B0"/>
    <w:rsid w:val="00A16A23"/>
    <w:rsid w:val="00A16B54"/>
    <w:rsid w:val="00A16F62"/>
    <w:rsid w:val="00A1749C"/>
    <w:rsid w:val="00A179CD"/>
    <w:rsid w:val="00A17DE7"/>
    <w:rsid w:val="00A203EE"/>
    <w:rsid w:val="00A206DC"/>
    <w:rsid w:val="00A20C00"/>
    <w:rsid w:val="00A21001"/>
    <w:rsid w:val="00A2175D"/>
    <w:rsid w:val="00A21994"/>
    <w:rsid w:val="00A21E03"/>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0A9"/>
    <w:rsid w:val="00A4120F"/>
    <w:rsid w:val="00A414B2"/>
    <w:rsid w:val="00A417F2"/>
    <w:rsid w:val="00A41D05"/>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601"/>
    <w:rsid w:val="00A51750"/>
    <w:rsid w:val="00A517C0"/>
    <w:rsid w:val="00A5202F"/>
    <w:rsid w:val="00A521D3"/>
    <w:rsid w:val="00A52DEA"/>
    <w:rsid w:val="00A52F39"/>
    <w:rsid w:val="00A531F0"/>
    <w:rsid w:val="00A53808"/>
    <w:rsid w:val="00A53B0F"/>
    <w:rsid w:val="00A53B21"/>
    <w:rsid w:val="00A53DCC"/>
    <w:rsid w:val="00A54212"/>
    <w:rsid w:val="00A542F7"/>
    <w:rsid w:val="00A55076"/>
    <w:rsid w:val="00A551FA"/>
    <w:rsid w:val="00A556DB"/>
    <w:rsid w:val="00A55900"/>
    <w:rsid w:val="00A55A06"/>
    <w:rsid w:val="00A560A4"/>
    <w:rsid w:val="00A576FF"/>
    <w:rsid w:val="00A6148F"/>
    <w:rsid w:val="00A61648"/>
    <w:rsid w:val="00A617DD"/>
    <w:rsid w:val="00A61E62"/>
    <w:rsid w:val="00A6251A"/>
    <w:rsid w:val="00A62DBD"/>
    <w:rsid w:val="00A62FA7"/>
    <w:rsid w:val="00A63649"/>
    <w:rsid w:val="00A642DF"/>
    <w:rsid w:val="00A64FFF"/>
    <w:rsid w:val="00A652EE"/>
    <w:rsid w:val="00A65487"/>
    <w:rsid w:val="00A6585C"/>
    <w:rsid w:val="00A659D7"/>
    <w:rsid w:val="00A6619F"/>
    <w:rsid w:val="00A66752"/>
    <w:rsid w:val="00A66832"/>
    <w:rsid w:val="00A66BEE"/>
    <w:rsid w:val="00A6787F"/>
    <w:rsid w:val="00A67DDF"/>
    <w:rsid w:val="00A70616"/>
    <w:rsid w:val="00A70832"/>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CE4"/>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58B"/>
    <w:rsid w:val="00A86D29"/>
    <w:rsid w:val="00A87DD6"/>
    <w:rsid w:val="00A902BC"/>
    <w:rsid w:val="00A90844"/>
    <w:rsid w:val="00A90FEB"/>
    <w:rsid w:val="00A91563"/>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159"/>
    <w:rsid w:val="00A95267"/>
    <w:rsid w:val="00A95AE9"/>
    <w:rsid w:val="00A95BDB"/>
    <w:rsid w:val="00A96065"/>
    <w:rsid w:val="00A964BE"/>
    <w:rsid w:val="00A96681"/>
    <w:rsid w:val="00A96A89"/>
    <w:rsid w:val="00A976DD"/>
    <w:rsid w:val="00A977D7"/>
    <w:rsid w:val="00AA035C"/>
    <w:rsid w:val="00AA0635"/>
    <w:rsid w:val="00AA0731"/>
    <w:rsid w:val="00AA139E"/>
    <w:rsid w:val="00AA20EC"/>
    <w:rsid w:val="00AA224A"/>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124"/>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554"/>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8AF"/>
    <w:rsid w:val="00AD098B"/>
    <w:rsid w:val="00AD0C39"/>
    <w:rsid w:val="00AD1EAF"/>
    <w:rsid w:val="00AD2689"/>
    <w:rsid w:val="00AD280E"/>
    <w:rsid w:val="00AD2925"/>
    <w:rsid w:val="00AD3300"/>
    <w:rsid w:val="00AD333D"/>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D13"/>
    <w:rsid w:val="00AE220F"/>
    <w:rsid w:val="00AE2458"/>
    <w:rsid w:val="00AE2CC9"/>
    <w:rsid w:val="00AE2CF9"/>
    <w:rsid w:val="00AE3B67"/>
    <w:rsid w:val="00AE42EA"/>
    <w:rsid w:val="00AE43C0"/>
    <w:rsid w:val="00AE4579"/>
    <w:rsid w:val="00AE4D3A"/>
    <w:rsid w:val="00AE51B3"/>
    <w:rsid w:val="00AE528A"/>
    <w:rsid w:val="00AE54ED"/>
    <w:rsid w:val="00AE5BF6"/>
    <w:rsid w:val="00AE61D6"/>
    <w:rsid w:val="00AE646F"/>
    <w:rsid w:val="00AE6C51"/>
    <w:rsid w:val="00AE6FE3"/>
    <w:rsid w:val="00AE7383"/>
    <w:rsid w:val="00AE760F"/>
    <w:rsid w:val="00AE7BD7"/>
    <w:rsid w:val="00AE7C56"/>
    <w:rsid w:val="00AE7CC9"/>
    <w:rsid w:val="00AF0E8B"/>
    <w:rsid w:val="00AF1151"/>
    <w:rsid w:val="00AF1287"/>
    <w:rsid w:val="00AF24A3"/>
    <w:rsid w:val="00AF2635"/>
    <w:rsid w:val="00AF2B29"/>
    <w:rsid w:val="00AF2D33"/>
    <w:rsid w:val="00AF32EE"/>
    <w:rsid w:val="00AF3514"/>
    <w:rsid w:val="00AF3A76"/>
    <w:rsid w:val="00AF3A80"/>
    <w:rsid w:val="00AF3D8A"/>
    <w:rsid w:val="00AF3EF2"/>
    <w:rsid w:val="00AF415D"/>
    <w:rsid w:val="00AF4390"/>
    <w:rsid w:val="00AF44FE"/>
    <w:rsid w:val="00AF4725"/>
    <w:rsid w:val="00AF5721"/>
    <w:rsid w:val="00AF575A"/>
    <w:rsid w:val="00AF5785"/>
    <w:rsid w:val="00AF57B2"/>
    <w:rsid w:val="00AF5CC7"/>
    <w:rsid w:val="00AF5F27"/>
    <w:rsid w:val="00AF6073"/>
    <w:rsid w:val="00AF63A2"/>
    <w:rsid w:val="00AF6C7B"/>
    <w:rsid w:val="00AF6DA3"/>
    <w:rsid w:val="00AF6FEE"/>
    <w:rsid w:val="00AF7028"/>
    <w:rsid w:val="00AF709F"/>
    <w:rsid w:val="00AF771C"/>
    <w:rsid w:val="00AF7A0B"/>
    <w:rsid w:val="00AF7BDB"/>
    <w:rsid w:val="00B006BD"/>
    <w:rsid w:val="00B0162D"/>
    <w:rsid w:val="00B025F5"/>
    <w:rsid w:val="00B02653"/>
    <w:rsid w:val="00B026AA"/>
    <w:rsid w:val="00B03014"/>
    <w:rsid w:val="00B031C8"/>
    <w:rsid w:val="00B0363A"/>
    <w:rsid w:val="00B03976"/>
    <w:rsid w:val="00B03B7F"/>
    <w:rsid w:val="00B03BF4"/>
    <w:rsid w:val="00B0437A"/>
    <w:rsid w:val="00B04454"/>
    <w:rsid w:val="00B04B3A"/>
    <w:rsid w:val="00B052DE"/>
    <w:rsid w:val="00B0554F"/>
    <w:rsid w:val="00B0574F"/>
    <w:rsid w:val="00B05C10"/>
    <w:rsid w:val="00B06235"/>
    <w:rsid w:val="00B07033"/>
    <w:rsid w:val="00B071C5"/>
    <w:rsid w:val="00B07639"/>
    <w:rsid w:val="00B102EA"/>
    <w:rsid w:val="00B10C2A"/>
    <w:rsid w:val="00B10D51"/>
    <w:rsid w:val="00B10D66"/>
    <w:rsid w:val="00B11058"/>
    <w:rsid w:val="00B117E2"/>
    <w:rsid w:val="00B1211A"/>
    <w:rsid w:val="00B1237C"/>
    <w:rsid w:val="00B12995"/>
    <w:rsid w:val="00B12E66"/>
    <w:rsid w:val="00B13087"/>
    <w:rsid w:val="00B1348B"/>
    <w:rsid w:val="00B13CB5"/>
    <w:rsid w:val="00B13E6E"/>
    <w:rsid w:val="00B14A72"/>
    <w:rsid w:val="00B15392"/>
    <w:rsid w:val="00B15BD5"/>
    <w:rsid w:val="00B16B12"/>
    <w:rsid w:val="00B17007"/>
    <w:rsid w:val="00B173BF"/>
    <w:rsid w:val="00B17659"/>
    <w:rsid w:val="00B17716"/>
    <w:rsid w:val="00B20704"/>
    <w:rsid w:val="00B20D78"/>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A19"/>
    <w:rsid w:val="00B27B8C"/>
    <w:rsid w:val="00B309CD"/>
    <w:rsid w:val="00B30B76"/>
    <w:rsid w:val="00B3110A"/>
    <w:rsid w:val="00B31844"/>
    <w:rsid w:val="00B31EC5"/>
    <w:rsid w:val="00B327BE"/>
    <w:rsid w:val="00B32D5A"/>
    <w:rsid w:val="00B339E0"/>
    <w:rsid w:val="00B33D2E"/>
    <w:rsid w:val="00B34472"/>
    <w:rsid w:val="00B34783"/>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B7A"/>
    <w:rsid w:val="00B42FA7"/>
    <w:rsid w:val="00B4304C"/>
    <w:rsid w:val="00B4472E"/>
    <w:rsid w:val="00B449B2"/>
    <w:rsid w:val="00B44CAF"/>
    <w:rsid w:val="00B44EAB"/>
    <w:rsid w:val="00B44F6C"/>
    <w:rsid w:val="00B450E2"/>
    <w:rsid w:val="00B456E7"/>
    <w:rsid w:val="00B45AD7"/>
    <w:rsid w:val="00B4608D"/>
    <w:rsid w:val="00B464DB"/>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267"/>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3DE"/>
    <w:rsid w:val="00B77C6D"/>
    <w:rsid w:val="00B80E71"/>
    <w:rsid w:val="00B8122C"/>
    <w:rsid w:val="00B81415"/>
    <w:rsid w:val="00B8170D"/>
    <w:rsid w:val="00B81750"/>
    <w:rsid w:val="00B82943"/>
    <w:rsid w:val="00B82F58"/>
    <w:rsid w:val="00B839C5"/>
    <w:rsid w:val="00B839D8"/>
    <w:rsid w:val="00B83B41"/>
    <w:rsid w:val="00B83B92"/>
    <w:rsid w:val="00B83BA4"/>
    <w:rsid w:val="00B83E52"/>
    <w:rsid w:val="00B849DC"/>
    <w:rsid w:val="00B84E93"/>
    <w:rsid w:val="00B85D9E"/>
    <w:rsid w:val="00B86850"/>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13C"/>
    <w:rsid w:val="00B94321"/>
    <w:rsid w:val="00B9469A"/>
    <w:rsid w:val="00B95137"/>
    <w:rsid w:val="00B95187"/>
    <w:rsid w:val="00B95492"/>
    <w:rsid w:val="00B9603B"/>
    <w:rsid w:val="00B961D0"/>
    <w:rsid w:val="00B967C6"/>
    <w:rsid w:val="00B96C7A"/>
    <w:rsid w:val="00B96E09"/>
    <w:rsid w:val="00B97139"/>
    <w:rsid w:val="00B97228"/>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197"/>
    <w:rsid w:val="00BA43F7"/>
    <w:rsid w:val="00BA4A1B"/>
    <w:rsid w:val="00BA4C08"/>
    <w:rsid w:val="00BA4E00"/>
    <w:rsid w:val="00BA50B7"/>
    <w:rsid w:val="00BA52C3"/>
    <w:rsid w:val="00BA52F7"/>
    <w:rsid w:val="00BA539F"/>
    <w:rsid w:val="00BA5802"/>
    <w:rsid w:val="00BA5917"/>
    <w:rsid w:val="00BA6C80"/>
    <w:rsid w:val="00BA715D"/>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AD1"/>
    <w:rsid w:val="00BB5F94"/>
    <w:rsid w:val="00BB6D04"/>
    <w:rsid w:val="00BB75D9"/>
    <w:rsid w:val="00BB7BC3"/>
    <w:rsid w:val="00BB7FCE"/>
    <w:rsid w:val="00BC025A"/>
    <w:rsid w:val="00BC072D"/>
    <w:rsid w:val="00BC0DC9"/>
    <w:rsid w:val="00BC11F9"/>
    <w:rsid w:val="00BC12B7"/>
    <w:rsid w:val="00BC12F2"/>
    <w:rsid w:val="00BC195E"/>
    <w:rsid w:val="00BC1DA8"/>
    <w:rsid w:val="00BC23A5"/>
    <w:rsid w:val="00BC24B7"/>
    <w:rsid w:val="00BC25A0"/>
    <w:rsid w:val="00BC2AB4"/>
    <w:rsid w:val="00BC2FD6"/>
    <w:rsid w:val="00BC3961"/>
    <w:rsid w:val="00BC3B98"/>
    <w:rsid w:val="00BC3BF5"/>
    <w:rsid w:val="00BC422E"/>
    <w:rsid w:val="00BC484E"/>
    <w:rsid w:val="00BC4D6A"/>
    <w:rsid w:val="00BC5251"/>
    <w:rsid w:val="00BC5782"/>
    <w:rsid w:val="00BC6635"/>
    <w:rsid w:val="00BC6AFE"/>
    <w:rsid w:val="00BC6EF7"/>
    <w:rsid w:val="00BC73BF"/>
    <w:rsid w:val="00BC7810"/>
    <w:rsid w:val="00BC7FB4"/>
    <w:rsid w:val="00BC7FCC"/>
    <w:rsid w:val="00BD04A7"/>
    <w:rsid w:val="00BD0695"/>
    <w:rsid w:val="00BD0AAA"/>
    <w:rsid w:val="00BD133F"/>
    <w:rsid w:val="00BD1731"/>
    <w:rsid w:val="00BD181E"/>
    <w:rsid w:val="00BD262F"/>
    <w:rsid w:val="00BD28DB"/>
    <w:rsid w:val="00BD3A25"/>
    <w:rsid w:val="00BD4063"/>
    <w:rsid w:val="00BD4972"/>
    <w:rsid w:val="00BD4E29"/>
    <w:rsid w:val="00BD4E40"/>
    <w:rsid w:val="00BD6048"/>
    <w:rsid w:val="00BD60E5"/>
    <w:rsid w:val="00BD638A"/>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5F5"/>
    <w:rsid w:val="00BE7626"/>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6C32"/>
    <w:rsid w:val="00BF6F86"/>
    <w:rsid w:val="00BF6F93"/>
    <w:rsid w:val="00BF7814"/>
    <w:rsid w:val="00BF798E"/>
    <w:rsid w:val="00C0048A"/>
    <w:rsid w:val="00C007BE"/>
    <w:rsid w:val="00C00A9E"/>
    <w:rsid w:val="00C00F15"/>
    <w:rsid w:val="00C012D2"/>
    <w:rsid w:val="00C013A4"/>
    <w:rsid w:val="00C0191F"/>
    <w:rsid w:val="00C01AC6"/>
    <w:rsid w:val="00C01EA3"/>
    <w:rsid w:val="00C02327"/>
    <w:rsid w:val="00C02DC4"/>
    <w:rsid w:val="00C02F16"/>
    <w:rsid w:val="00C02FD0"/>
    <w:rsid w:val="00C03120"/>
    <w:rsid w:val="00C03AA3"/>
    <w:rsid w:val="00C046DF"/>
    <w:rsid w:val="00C04AE8"/>
    <w:rsid w:val="00C04D20"/>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76EB"/>
    <w:rsid w:val="00C17AB2"/>
    <w:rsid w:val="00C17CBC"/>
    <w:rsid w:val="00C17FF8"/>
    <w:rsid w:val="00C20165"/>
    <w:rsid w:val="00C2087E"/>
    <w:rsid w:val="00C20903"/>
    <w:rsid w:val="00C2097F"/>
    <w:rsid w:val="00C20D14"/>
    <w:rsid w:val="00C21119"/>
    <w:rsid w:val="00C2162E"/>
    <w:rsid w:val="00C21748"/>
    <w:rsid w:val="00C21E1B"/>
    <w:rsid w:val="00C21FFF"/>
    <w:rsid w:val="00C2229D"/>
    <w:rsid w:val="00C2229F"/>
    <w:rsid w:val="00C22B65"/>
    <w:rsid w:val="00C22D5D"/>
    <w:rsid w:val="00C239AA"/>
    <w:rsid w:val="00C23D44"/>
    <w:rsid w:val="00C2455C"/>
    <w:rsid w:val="00C24622"/>
    <w:rsid w:val="00C25317"/>
    <w:rsid w:val="00C259BA"/>
    <w:rsid w:val="00C259C5"/>
    <w:rsid w:val="00C260D3"/>
    <w:rsid w:val="00C26A11"/>
    <w:rsid w:val="00C2784D"/>
    <w:rsid w:val="00C27DBA"/>
    <w:rsid w:val="00C3034F"/>
    <w:rsid w:val="00C305BF"/>
    <w:rsid w:val="00C30AF8"/>
    <w:rsid w:val="00C31593"/>
    <w:rsid w:val="00C31787"/>
    <w:rsid w:val="00C31938"/>
    <w:rsid w:val="00C31A63"/>
    <w:rsid w:val="00C32298"/>
    <w:rsid w:val="00C3262F"/>
    <w:rsid w:val="00C32FA5"/>
    <w:rsid w:val="00C33139"/>
    <w:rsid w:val="00C3370C"/>
    <w:rsid w:val="00C33E58"/>
    <w:rsid w:val="00C34436"/>
    <w:rsid w:val="00C345E4"/>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391D"/>
    <w:rsid w:val="00C53A04"/>
    <w:rsid w:val="00C53A91"/>
    <w:rsid w:val="00C53D28"/>
    <w:rsid w:val="00C558BC"/>
    <w:rsid w:val="00C559FC"/>
    <w:rsid w:val="00C55B68"/>
    <w:rsid w:val="00C56E30"/>
    <w:rsid w:val="00C57AB2"/>
    <w:rsid w:val="00C60356"/>
    <w:rsid w:val="00C607D2"/>
    <w:rsid w:val="00C6122E"/>
    <w:rsid w:val="00C61952"/>
    <w:rsid w:val="00C62988"/>
    <w:rsid w:val="00C62F27"/>
    <w:rsid w:val="00C6307A"/>
    <w:rsid w:val="00C63E5C"/>
    <w:rsid w:val="00C6473B"/>
    <w:rsid w:val="00C64A00"/>
    <w:rsid w:val="00C65667"/>
    <w:rsid w:val="00C6571A"/>
    <w:rsid w:val="00C658A5"/>
    <w:rsid w:val="00C658DB"/>
    <w:rsid w:val="00C659C6"/>
    <w:rsid w:val="00C65A1B"/>
    <w:rsid w:val="00C65BFA"/>
    <w:rsid w:val="00C6621F"/>
    <w:rsid w:val="00C66703"/>
    <w:rsid w:val="00C66A9C"/>
    <w:rsid w:val="00C66D51"/>
    <w:rsid w:val="00C67906"/>
    <w:rsid w:val="00C67A07"/>
    <w:rsid w:val="00C70775"/>
    <w:rsid w:val="00C711FB"/>
    <w:rsid w:val="00C720E0"/>
    <w:rsid w:val="00C721DE"/>
    <w:rsid w:val="00C722F8"/>
    <w:rsid w:val="00C72498"/>
    <w:rsid w:val="00C72682"/>
    <w:rsid w:val="00C72712"/>
    <w:rsid w:val="00C72C00"/>
    <w:rsid w:val="00C72EE9"/>
    <w:rsid w:val="00C72F6D"/>
    <w:rsid w:val="00C73BE2"/>
    <w:rsid w:val="00C74026"/>
    <w:rsid w:val="00C7412C"/>
    <w:rsid w:val="00C743A6"/>
    <w:rsid w:val="00C748AE"/>
    <w:rsid w:val="00C748B5"/>
    <w:rsid w:val="00C7491E"/>
    <w:rsid w:val="00C74987"/>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2891"/>
    <w:rsid w:val="00C830A2"/>
    <w:rsid w:val="00C83715"/>
    <w:rsid w:val="00C838ED"/>
    <w:rsid w:val="00C841D3"/>
    <w:rsid w:val="00C84866"/>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692"/>
    <w:rsid w:val="00CA1C51"/>
    <w:rsid w:val="00CA23E9"/>
    <w:rsid w:val="00CA2543"/>
    <w:rsid w:val="00CA2563"/>
    <w:rsid w:val="00CA2677"/>
    <w:rsid w:val="00CA2710"/>
    <w:rsid w:val="00CA3755"/>
    <w:rsid w:val="00CA37F9"/>
    <w:rsid w:val="00CA3DFB"/>
    <w:rsid w:val="00CA47EA"/>
    <w:rsid w:val="00CA49BE"/>
    <w:rsid w:val="00CA4B3F"/>
    <w:rsid w:val="00CA4D91"/>
    <w:rsid w:val="00CA533E"/>
    <w:rsid w:val="00CA5397"/>
    <w:rsid w:val="00CA5E9F"/>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73"/>
    <w:rsid w:val="00CB18DF"/>
    <w:rsid w:val="00CB262E"/>
    <w:rsid w:val="00CB26AE"/>
    <w:rsid w:val="00CB278D"/>
    <w:rsid w:val="00CB2C96"/>
    <w:rsid w:val="00CB314A"/>
    <w:rsid w:val="00CB3541"/>
    <w:rsid w:val="00CB467C"/>
    <w:rsid w:val="00CB4C75"/>
    <w:rsid w:val="00CB4F20"/>
    <w:rsid w:val="00CB50C3"/>
    <w:rsid w:val="00CB59A2"/>
    <w:rsid w:val="00CB5AD3"/>
    <w:rsid w:val="00CB6FD0"/>
    <w:rsid w:val="00CB745B"/>
    <w:rsid w:val="00CB74D0"/>
    <w:rsid w:val="00CB7C12"/>
    <w:rsid w:val="00CB7C40"/>
    <w:rsid w:val="00CC0094"/>
    <w:rsid w:val="00CC0D73"/>
    <w:rsid w:val="00CC0F11"/>
    <w:rsid w:val="00CC0F1B"/>
    <w:rsid w:val="00CC1276"/>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C82"/>
    <w:rsid w:val="00CD047F"/>
    <w:rsid w:val="00CD0634"/>
    <w:rsid w:val="00CD0731"/>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004"/>
    <w:rsid w:val="00CE1B69"/>
    <w:rsid w:val="00CE1FA0"/>
    <w:rsid w:val="00CE201F"/>
    <w:rsid w:val="00CE23E8"/>
    <w:rsid w:val="00CE2B8C"/>
    <w:rsid w:val="00CE2E5F"/>
    <w:rsid w:val="00CE36A8"/>
    <w:rsid w:val="00CE38EF"/>
    <w:rsid w:val="00CE48B6"/>
    <w:rsid w:val="00CE4BB4"/>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107D"/>
    <w:rsid w:val="00D21284"/>
    <w:rsid w:val="00D21457"/>
    <w:rsid w:val="00D216B9"/>
    <w:rsid w:val="00D21A3E"/>
    <w:rsid w:val="00D21E49"/>
    <w:rsid w:val="00D21FA9"/>
    <w:rsid w:val="00D22111"/>
    <w:rsid w:val="00D22167"/>
    <w:rsid w:val="00D22196"/>
    <w:rsid w:val="00D22426"/>
    <w:rsid w:val="00D2257D"/>
    <w:rsid w:val="00D22867"/>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D33"/>
    <w:rsid w:val="00D35ED8"/>
    <w:rsid w:val="00D36C62"/>
    <w:rsid w:val="00D36E8E"/>
    <w:rsid w:val="00D36F1B"/>
    <w:rsid w:val="00D36FE5"/>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29C2"/>
    <w:rsid w:val="00D42B9A"/>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6548"/>
    <w:rsid w:val="00D56A0D"/>
    <w:rsid w:val="00D56D37"/>
    <w:rsid w:val="00D56D77"/>
    <w:rsid w:val="00D570DA"/>
    <w:rsid w:val="00D57696"/>
    <w:rsid w:val="00D5796F"/>
    <w:rsid w:val="00D57D4F"/>
    <w:rsid w:val="00D57F25"/>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CC3"/>
    <w:rsid w:val="00D76D23"/>
    <w:rsid w:val="00D76EA8"/>
    <w:rsid w:val="00D77AD3"/>
    <w:rsid w:val="00D77B8B"/>
    <w:rsid w:val="00D77F8F"/>
    <w:rsid w:val="00D80814"/>
    <w:rsid w:val="00D80BDC"/>
    <w:rsid w:val="00D8101C"/>
    <w:rsid w:val="00D816BA"/>
    <w:rsid w:val="00D81A34"/>
    <w:rsid w:val="00D81D7D"/>
    <w:rsid w:val="00D82B03"/>
    <w:rsid w:val="00D82CC9"/>
    <w:rsid w:val="00D830A0"/>
    <w:rsid w:val="00D83439"/>
    <w:rsid w:val="00D83627"/>
    <w:rsid w:val="00D845B0"/>
    <w:rsid w:val="00D84C3A"/>
    <w:rsid w:val="00D84CDC"/>
    <w:rsid w:val="00D8558B"/>
    <w:rsid w:val="00D85722"/>
    <w:rsid w:val="00D85812"/>
    <w:rsid w:val="00D85E9C"/>
    <w:rsid w:val="00D8602E"/>
    <w:rsid w:val="00D86DBD"/>
    <w:rsid w:val="00D86F41"/>
    <w:rsid w:val="00D86F7E"/>
    <w:rsid w:val="00D87673"/>
    <w:rsid w:val="00D90833"/>
    <w:rsid w:val="00D90970"/>
    <w:rsid w:val="00D910B6"/>
    <w:rsid w:val="00D91288"/>
    <w:rsid w:val="00D91E82"/>
    <w:rsid w:val="00D92956"/>
    <w:rsid w:val="00D92B65"/>
    <w:rsid w:val="00D93A0C"/>
    <w:rsid w:val="00D94890"/>
    <w:rsid w:val="00D94E3E"/>
    <w:rsid w:val="00D95193"/>
    <w:rsid w:val="00D958FA"/>
    <w:rsid w:val="00D95CB2"/>
    <w:rsid w:val="00D95D18"/>
    <w:rsid w:val="00D95D4C"/>
    <w:rsid w:val="00D966B7"/>
    <w:rsid w:val="00D969C7"/>
    <w:rsid w:val="00D96A63"/>
    <w:rsid w:val="00D96B1A"/>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B042E"/>
    <w:rsid w:val="00DB10B6"/>
    <w:rsid w:val="00DB11CC"/>
    <w:rsid w:val="00DB168D"/>
    <w:rsid w:val="00DB2133"/>
    <w:rsid w:val="00DB3147"/>
    <w:rsid w:val="00DB34E7"/>
    <w:rsid w:val="00DB3AF0"/>
    <w:rsid w:val="00DB438D"/>
    <w:rsid w:val="00DB4ACC"/>
    <w:rsid w:val="00DB4C74"/>
    <w:rsid w:val="00DB5604"/>
    <w:rsid w:val="00DB5D67"/>
    <w:rsid w:val="00DB6616"/>
    <w:rsid w:val="00DB6C9A"/>
    <w:rsid w:val="00DB71D2"/>
    <w:rsid w:val="00DB7B8A"/>
    <w:rsid w:val="00DB7D87"/>
    <w:rsid w:val="00DC000C"/>
    <w:rsid w:val="00DC0830"/>
    <w:rsid w:val="00DC0D5E"/>
    <w:rsid w:val="00DC0ED0"/>
    <w:rsid w:val="00DC11A6"/>
    <w:rsid w:val="00DC1637"/>
    <w:rsid w:val="00DC1753"/>
    <w:rsid w:val="00DC1C3C"/>
    <w:rsid w:val="00DC1D8E"/>
    <w:rsid w:val="00DC24E6"/>
    <w:rsid w:val="00DC2775"/>
    <w:rsid w:val="00DC27C8"/>
    <w:rsid w:val="00DC2EF3"/>
    <w:rsid w:val="00DC2FBE"/>
    <w:rsid w:val="00DC33E0"/>
    <w:rsid w:val="00DC3525"/>
    <w:rsid w:val="00DC4691"/>
    <w:rsid w:val="00DC4BE7"/>
    <w:rsid w:val="00DC4D13"/>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D44"/>
    <w:rsid w:val="00DD2F9C"/>
    <w:rsid w:val="00DD3536"/>
    <w:rsid w:val="00DD386F"/>
    <w:rsid w:val="00DD4559"/>
    <w:rsid w:val="00DD483D"/>
    <w:rsid w:val="00DD4B7D"/>
    <w:rsid w:val="00DD5E0E"/>
    <w:rsid w:val="00DD620B"/>
    <w:rsid w:val="00DD6431"/>
    <w:rsid w:val="00DD650E"/>
    <w:rsid w:val="00DD6799"/>
    <w:rsid w:val="00DD6ADF"/>
    <w:rsid w:val="00DD6CC8"/>
    <w:rsid w:val="00DD70F0"/>
    <w:rsid w:val="00DD7474"/>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E5B"/>
    <w:rsid w:val="00DE609D"/>
    <w:rsid w:val="00DE60F3"/>
    <w:rsid w:val="00DE77DE"/>
    <w:rsid w:val="00DE7AE9"/>
    <w:rsid w:val="00DE7B5E"/>
    <w:rsid w:val="00DE7CEF"/>
    <w:rsid w:val="00DF02DB"/>
    <w:rsid w:val="00DF07EB"/>
    <w:rsid w:val="00DF104F"/>
    <w:rsid w:val="00DF1510"/>
    <w:rsid w:val="00DF1ECC"/>
    <w:rsid w:val="00DF242A"/>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19D8"/>
    <w:rsid w:val="00E023D9"/>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A4B"/>
    <w:rsid w:val="00E20B63"/>
    <w:rsid w:val="00E2110D"/>
    <w:rsid w:val="00E21F66"/>
    <w:rsid w:val="00E2242D"/>
    <w:rsid w:val="00E229D4"/>
    <w:rsid w:val="00E22C17"/>
    <w:rsid w:val="00E22D77"/>
    <w:rsid w:val="00E22DFC"/>
    <w:rsid w:val="00E233E2"/>
    <w:rsid w:val="00E234D8"/>
    <w:rsid w:val="00E235BA"/>
    <w:rsid w:val="00E2360F"/>
    <w:rsid w:val="00E23A0B"/>
    <w:rsid w:val="00E24A0C"/>
    <w:rsid w:val="00E24FC5"/>
    <w:rsid w:val="00E2550E"/>
    <w:rsid w:val="00E25AD6"/>
    <w:rsid w:val="00E262DD"/>
    <w:rsid w:val="00E26B79"/>
    <w:rsid w:val="00E26DB3"/>
    <w:rsid w:val="00E2780C"/>
    <w:rsid w:val="00E302AC"/>
    <w:rsid w:val="00E308A1"/>
    <w:rsid w:val="00E31A32"/>
    <w:rsid w:val="00E325BB"/>
    <w:rsid w:val="00E338D2"/>
    <w:rsid w:val="00E33F59"/>
    <w:rsid w:val="00E34282"/>
    <w:rsid w:val="00E350CA"/>
    <w:rsid w:val="00E3568E"/>
    <w:rsid w:val="00E35E94"/>
    <w:rsid w:val="00E35F54"/>
    <w:rsid w:val="00E362E8"/>
    <w:rsid w:val="00E36787"/>
    <w:rsid w:val="00E368DB"/>
    <w:rsid w:val="00E3704A"/>
    <w:rsid w:val="00E3722A"/>
    <w:rsid w:val="00E37CF1"/>
    <w:rsid w:val="00E401CE"/>
    <w:rsid w:val="00E4039C"/>
    <w:rsid w:val="00E4040B"/>
    <w:rsid w:val="00E409D6"/>
    <w:rsid w:val="00E41441"/>
    <w:rsid w:val="00E41A07"/>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666"/>
    <w:rsid w:val="00E51EAF"/>
    <w:rsid w:val="00E52F55"/>
    <w:rsid w:val="00E532B3"/>
    <w:rsid w:val="00E5332F"/>
    <w:rsid w:val="00E5341D"/>
    <w:rsid w:val="00E5367A"/>
    <w:rsid w:val="00E539E6"/>
    <w:rsid w:val="00E53CDB"/>
    <w:rsid w:val="00E53E1C"/>
    <w:rsid w:val="00E5472D"/>
    <w:rsid w:val="00E54743"/>
    <w:rsid w:val="00E54E19"/>
    <w:rsid w:val="00E5562C"/>
    <w:rsid w:val="00E5626E"/>
    <w:rsid w:val="00E56444"/>
    <w:rsid w:val="00E5653F"/>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1325"/>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7D26"/>
    <w:rsid w:val="00E67D37"/>
    <w:rsid w:val="00E67DCF"/>
    <w:rsid w:val="00E67EFB"/>
    <w:rsid w:val="00E7000E"/>
    <w:rsid w:val="00E7207A"/>
    <w:rsid w:val="00E720E3"/>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230"/>
    <w:rsid w:val="00E823BC"/>
    <w:rsid w:val="00E82C90"/>
    <w:rsid w:val="00E838BA"/>
    <w:rsid w:val="00E83A7B"/>
    <w:rsid w:val="00E83EDB"/>
    <w:rsid w:val="00E8401C"/>
    <w:rsid w:val="00E84052"/>
    <w:rsid w:val="00E84077"/>
    <w:rsid w:val="00E84C7F"/>
    <w:rsid w:val="00E859D4"/>
    <w:rsid w:val="00E86099"/>
    <w:rsid w:val="00E86255"/>
    <w:rsid w:val="00E86589"/>
    <w:rsid w:val="00E86D49"/>
    <w:rsid w:val="00E872A5"/>
    <w:rsid w:val="00E876B3"/>
    <w:rsid w:val="00E90241"/>
    <w:rsid w:val="00E90678"/>
    <w:rsid w:val="00E9089E"/>
    <w:rsid w:val="00E9107B"/>
    <w:rsid w:val="00E913D7"/>
    <w:rsid w:val="00E91549"/>
    <w:rsid w:val="00E91BB9"/>
    <w:rsid w:val="00E91BF6"/>
    <w:rsid w:val="00E92BEA"/>
    <w:rsid w:val="00E92D36"/>
    <w:rsid w:val="00E93602"/>
    <w:rsid w:val="00E9393E"/>
    <w:rsid w:val="00E939F7"/>
    <w:rsid w:val="00E93A9D"/>
    <w:rsid w:val="00E93CE0"/>
    <w:rsid w:val="00E943B1"/>
    <w:rsid w:val="00E944CB"/>
    <w:rsid w:val="00E94847"/>
    <w:rsid w:val="00E94AE1"/>
    <w:rsid w:val="00E94E04"/>
    <w:rsid w:val="00E94FE0"/>
    <w:rsid w:val="00E95237"/>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838"/>
    <w:rsid w:val="00EA29B7"/>
    <w:rsid w:val="00EA3750"/>
    <w:rsid w:val="00EA387E"/>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8A5"/>
    <w:rsid w:val="00EA7A9D"/>
    <w:rsid w:val="00EA7DBE"/>
    <w:rsid w:val="00EB01B1"/>
    <w:rsid w:val="00EB022A"/>
    <w:rsid w:val="00EB03C9"/>
    <w:rsid w:val="00EB0629"/>
    <w:rsid w:val="00EB062A"/>
    <w:rsid w:val="00EB0A9C"/>
    <w:rsid w:val="00EB0B73"/>
    <w:rsid w:val="00EB0D6C"/>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64B9"/>
    <w:rsid w:val="00EC68EC"/>
    <w:rsid w:val="00EC691A"/>
    <w:rsid w:val="00EC6A6E"/>
    <w:rsid w:val="00EC6E67"/>
    <w:rsid w:val="00EC75BB"/>
    <w:rsid w:val="00EC7DAE"/>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357"/>
    <w:rsid w:val="00ED7A4C"/>
    <w:rsid w:val="00EE00C4"/>
    <w:rsid w:val="00EE05D4"/>
    <w:rsid w:val="00EE091E"/>
    <w:rsid w:val="00EE0D7F"/>
    <w:rsid w:val="00EE0F43"/>
    <w:rsid w:val="00EE15F0"/>
    <w:rsid w:val="00EE23AE"/>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71F"/>
    <w:rsid w:val="00EE7C4F"/>
    <w:rsid w:val="00EE7E72"/>
    <w:rsid w:val="00EF02FA"/>
    <w:rsid w:val="00EF0857"/>
    <w:rsid w:val="00EF0C04"/>
    <w:rsid w:val="00EF152F"/>
    <w:rsid w:val="00EF1597"/>
    <w:rsid w:val="00EF190F"/>
    <w:rsid w:val="00EF1955"/>
    <w:rsid w:val="00EF1AEF"/>
    <w:rsid w:val="00EF1DA6"/>
    <w:rsid w:val="00EF2B6F"/>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468"/>
    <w:rsid w:val="00EF7544"/>
    <w:rsid w:val="00EF7592"/>
    <w:rsid w:val="00EF7602"/>
    <w:rsid w:val="00F0000B"/>
    <w:rsid w:val="00F003A3"/>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1099C"/>
    <w:rsid w:val="00F11137"/>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34A3"/>
    <w:rsid w:val="00F23505"/>
    <w:rsid w:val="00F236BF"/>
    <w:rsid w:val="00F23858"/>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639"/>
    <w:rsid w:val="00F31CC6"/>
    <w:rsid w:val="00F31FB3"/>
    <w:rsid w:val="00F32534"/>
    <w:rsid w:val="00F32D58"/>
    <w:rsid w:val="00F33660"/>
    <w:rsid w:val="00F33A97"/>
    <w:rsid w:val="00F33E0A"/>
    <w:rsid w:val="00F34000"/>
    <w:rsid w:val="00F341B9"/>
    <w:rsid w:val="00F34B34"/>
    <w:rsid w:val="00F34DB3"/>
    <w:rsid w:val="00F34E2C"/>
    <w:rsid w:val="00F34EC7"/>
    <w:rsid w:val="00F34FE6"/>
    <w:rsid w:val="00F353DF"/>
    <w:rsid w:val="00F3542B"/>
    <w:rsid w:val="00F3618F"/>
    <w:rsid w:val="00F366E7"/>
    <w:rsid w:val="00F37221"/>
    <w:rsid w:val="00F37729"/>
    <w:rsid w:val="00F37C00"/>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E42"/>
    <w:rsid w:val="00F45102"/>
    <w:rsid w:val="00F456AB"/>
    <w:rsid w:val="00F457EA"/>
    <w:rsid w:val="00F458DA"/>
    <w:rsid w:val="00F4657C"/>
    <w:rsid w:val="00F4661B"/>
    <w:rsid w:val="00F47412"/>
    <w:rsid w:val="00F47803"/>
    <w:rsid w:val="00F5003A"/>
    <w:rsid w:val="00F50944"/>
    <w:rsid w:val="00F50979"/>
    <w:rsid w:val="00F50C57"/>
    <w:rsid w:val="00F50DDB"/>
    <w:rsid w:val="00F50E11"/>
    <w:rsid w:val="00F514E3"/>
    <w:rsid w:val="00F51703"/>
    <w:rsid w:val="00F526FA"/>
    <w:rsid w:val="00F52B8D"/>
    <w:rsid w:val="00F53232"/>
    <w:rsid w:val="00F534E1"/>
    <w:rsid w:val="00F53637"/>
    <w:rsid w:val="00F538BB"/>
    <w:rsid w:val="00F53C02"/>
    <w:rsid w:val="00F5405E"/>
    <w:rsid w:val="00F543D9"/>
    <w:rsid w:val="00F54441"/>
    <w:rsid w:val="00F54709"/>
    <w:rsid w:val="00F54814"/>
    <w:rsid w:val="00F54DF7"/>
    <w:rsid w:val="00F55301"/>
    <w:rsid w:val="00F553F1"/>
    <w:rsid w:val="00F55D2F"/>
    <w:rsid w:val="00F56184"/>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AA0"/>
    <w:rsid w:val="00F65CA1"/>
    <w:rsid w:val="00F66621"/>
    <w:rsid w:val="00F66B06"/>
    <w:rsid w:val="00F706FA"/>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5DE6"/>
    <w:rsid w:val="00F76366"/>
    <w:rsid w:val="00F7676B"/>
    <w:rsid w:val="00F76FDB"/>
    <w:rsid w:val="00F7765E"/>
    <w:rsid w:val="00F776D4"/>
    <w:rsid w:val="00F7783A"/>
    <w:rsid w:val="00F80575"/>
    <w:rsid w:val="00F806D9"/>
    <w:rsid w:val="00F80C6D"/>
    <w:rsid w:val="00F80DC5"/>
    <w:rsid w:val="00F8156B"/>
    <w:rsid w:val="00F815EA"/>
    <w:rsid w:val="00F81792"/>
    <w:rsid w:val="00F81AE9"/>
    <w:rsid w:val="00F81E51"/>
    <w:rsid w:val="00F82AED"/>
    <w:rsid w:val="00F82C97"/>
    <w:rsid w:val="00F82EE3"/>
    <w:rsid w:val="00F8333D"/>
    <w:rsid w:val="00F83568"/>
    <w:rsid w:val="00F83D02"/>
    <w:rsid w:val="00F83DFA"/>
    <w:rsid w:val="00F8494A"/>
    <w:rsid w:val="00F84AC4"/>
    <w:rsid w:val="00F84C06"/>
    <w:rsid w:val="00F84E5A"/>
    <w:rsid w:val="00F852CF"/>
    <w:rsid w:val="00F854B3"/>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04A"/>
    <w:rsid w:val="00FB01AB"/>
    <w:rsid w:val="00FB024D"/>
    <w:rsid w:val="00FB0250"/>
    <w:rsid w:val="00FB0614"/>
    <w:rsid w:val="00FB068A"/>
    <w:rsid w:val="00FB07A8"/>
    <w:rsid w:val="00FB144A"/>
    <w:rsid w:val="00FB15FA"/>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48B"/>
    <w:rsid w:val="00FB7A7B"/>
    <w:rsid w:val="00FC0175"/>
    <w:rsid w:val="00FC020D"/>
    <w:rsid w:val="00FC0508"/>
    <w:rsid w:val="00FC0607"/>
    <w:rsid w:val="00FC062C"/>
    <w:rsid w:val="00FC08A7"/>
    <w:rsid w:val="00FC0CC5"/>
    <w:rsid w:val="00FC1034"/>
    <w:rsid w:val="00FC10AE"/>
    <w:rsid w:val="00FC1140"/>
    <w:rsid w:val="00FC1155"/>
    <w:rsid w:val="00FC1296"/>
    <w:rsid w:val="00FC12EF"/>
    <w:rsid w:val="00FC1D77"/>
    <w:rsid w:val="00FC1FDF"/>
    <w:rsid w:val="00FC2412"/>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F9A"/>
    <w:rsid w:val="00FD3A51"/>
    <w:rsid w:val="00FD480F"/>
    <w:rsid w:val="00FD4A6B"/>
    <w:rsid w:val="00FD4B1B"/>
    <w:rsid w:val="00FD59F7"/>
    <w:rsid w:val="00FD63A6"/>
    <w:rsid w:val="00FD67FE"/>
    <w:rsid w:val="00FD6846"/>
    <w:rsid w:val="00FD7560"/>
    <w:rsid w:val="00FD773D"/>
    <w:rsid w:val="00FD77E1"/>
    <w:rsid w:val="00FE09BB"/>
    <w:rsid w:val="00FE1CA6"/>
    <w:rsid w:val="00FE1DDD"/>
    <w:rsid w:val="00FE1E44"/>
    <w:rsid w:val="00FE1F62"/>
    <w:rsid w:val="00FE2307"/>
    <w:rsid w:val="00FE29F3"/>
    <w:rsid w:val="00FE3333"/>
    <w:rsid w:val="00FE3982"/>
    <w:rsid w:val="00FE3A0A"/>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22081">
      <w:bodyDiv w:val="1"/>
      <w:marLeft w:val="0"/>
      <w:marRight w:val="0"/>
      <w:marTop w:val="0"/>
      <w:marBottom w:val="0"/>
      <w:divBdr>
        <w:top w:val="none" w:sz="0" w:space="0" w:color="auto"/>
        <w:left w:val="none" w:sz="0" w:space="0" w:color="auto"/>
        <w:bottom w:val="none" w:sz="0" w:space="0" w:color="auto"/>
        <w:right w:val="none" w:sz="0" w:space="0" w:color="auto"/>
      </w:divBdr>
    </w:div>
    <w:div w:id="328024104">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house@pa.gov" TargetMode="External"/><Relationship Id="rId4" Type="http://schemas.microsoft.com/office/2007/relationships/stylesWithEffects" Target="stylesWithEffects.xml"/><Relationship Id="rId9" Type="http://schemas.openxmlformats.org/officeDocument/2006/relationships/hyperlink" Target="mailto:megagood@pa.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puc.pa.gov/utility_industry/electricity/electric_competitive_market_oversight.aspx" TargetMode="External"/><Relationship Id="rId1" Type="http://schemas.openxmlformats.org/officeDocument/2006/relationships/hyperlink" Target="http://www.puc.pa.gov/utility_industry/electricity/electric_competitive_market_overs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A4D55-B0BA-4D2A-941E-9D0CC3ED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Farner, Joyce</cp:lastModifiedBy>
  <cp:revision>16</cp:revision>
  <cp:lastPrinted>2014-06-19T12:48:00Z</cp:lastPrinted>
  <dcterms:created xsi:type="dcterms:W3CDTF">2014-06-09T19:22:00Z</dcterms:created>
  <dcterms:modified xsi:type="dcterms:W3CDTF">2014-06-19T12:48:00Z</dcterms:modified>
</cp:coreProperties>
</file>