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8087"/>
        <w:gridCol w:w="1440"/>
      </w:tblGrid>
      <w:tr w:rsidR="00C74A51">
        <w:trPr>
          <w:trHeight w:val="990"/>
        </w:trPr>
        <w:tc>
          <w:tcPr>
            <w:tcW w:w="1363" w:type="dxa"/>
          </w:tcPr>
          <w:p w:rsidR="00C74A51" w:rsidRDefault="00E23926">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87"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40" w:type="dxa"/>
          </w:tcPr>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b/>
                <w:spacing w:val="-1"/>
                <w:sz w:val="12"/>
              </w:rPr>
            </w:pPr>
            <w:r>
              <w:rPr>
                <w:rFonts w:ascii="Arial" w:hAnsi="Arial"/>
                <w:b/>
                <w:spacing w:val="-1"/>
                <w:sz w:val="12"/>
              </w:rPr>
              <w:t>IN REPLY PLEASE REFER TO OUR FILE</w:t>
            </w:r>
          </w:p>
          <w:p w:rsidR="003569E8" w:rsidRPr="00E23926" w:rsidRDefault="007979FC" w:rsidP="00FC7B5D">
            <w:pPr>
              <w:jc w:val="right"/>
              <w:rPr>
                <w:rFonts w:ascii="Arial" w:hAnsi="Arial"/>
                <w:sz w:val="16"/>
                <w:szCs w:val="16"/>
              </w:rPr>
            </w:pPr>
            <w:r>
              <w:rPr>
                <w:sz w:val="16"/>
                <w:szCs w:val="16"/>
              </w:rPr>
              <w:t>M-2014-2424864</w:t>
            </w:r>
          </w:p>
        </w:tc>
      </w:tr>
    </w:tbl>
    <w:p w:rsidR="006E7EF7" w:rsidRPr="004F2077" w:rsidRDefault="006E7EF7" w:rsidP="00710DBE">
      <w:pPr>
        <w:rPr>
          <w:sz w:val="24"/>
          <w:szCs w:val="24"/>
        </w:rPr>
      </w:pPr>
    </w:p>
    <w:p w:rsidR="006E7EF7" w:rsidRDefault="006E7EF7" w:rsidP="00710DBE">
      <w:pPr>
        <w:rPr>
          <w:sz w:val="24"/>
          <w:szCs w:val="24"/>
        </w:rPr>
      </w:pPr>
    </w:p>
    <w:p w:rsidR="00710DBE" w:rsidRPr="007E6ACB" w:rsidRDefault="00710DBE" w:rsidP="00710DBE">
      <w:pPr>
        <w:rPr>
          <w:sz w:val="24"/>
          <w:szCs w:val="24"/>
        </w:rPr>
      </w:pPr>
      <w:r w:rsidRPr="007E6ACB">
        <w:rPr>
          <w:sz w:val="24"/>
          <w:szCs w:val="24"/>
        </w:rPr>
        <w:t>TO ALL INTERESTED PARTIES:</w:t>
      </w:r>
    </w:p>
    <w:p w:rsidR="00710DBE" w:rsidRPr="004B781B" w:rsidRDefault="00710DBE" w:rsidP="00710DBE"/>
    <w:p w:rsidR="00710DBE" w:rsidRPr="007E6ACB" w:rsidRDefault="00307364" w:rsidP="00710DBE">
      <w:pPr>
        <w:ind w:left="1440" w:hanging="720"/>
        <w:rPr>
          <w:sz w:val="24"/>
          <w:szCs w:val="24"/>
        </w:rPr>
      </w:pPr>
      <w:r>
        <w:rPr>
          <w:sz w:val="24"/>
          <w:szCs w:val="24"/>
        </w:rPr>
        <w:t>Re:</w:t>
      </w:r>
      <w:r>
        <w:rPr>
          <w:sz w:val="24"/>
          <w:szCs w:val="24"/>
        </w:rPr>
        <w:tab/>
      </w:r>
      <w:r w:rsidR="002027E7">
        <w:rPr>
          <w:sz w:val="24"/>
          <w:szCs w:val="24"/>
        </w:rPr>
        <w:t>Act 129 Statewide Evaluator Energy Efficiency and Demand Response Market Potential Studies Stakeholder Meeting</w:t>
      </w:r>
    </w:p>
    <w:p w:rsidR="00710DBE" w:rsidRPr="007E6ACB" w:rsidRDefault="00710DBE" w:rsidP="00710DBE">
      <w:pPr>
        <w:ind w:left="1440" w:hanging="720"/>
        <w:rPr>
          <w:sz w:val="24"/>
          <w:szCs w:val="24"/>
        </w:rPr>
      </w:pPr>
      <w:r w:rsidRPr="007E6ACB">
        <w:rPr>
          <w:sz w:val="24"/>
          <w:szCs w:val="24"/>
        </w:rPr>
        <w:tab/>
        <w:t>Docket No.</w:t>
      </w:r>
      <w:r w:rsidR="007979FC">
        <w:rPr>
          <w:sz w:val="24"/>
          <w:szCs w:val="24"/>
        </w:rPr>
        <w:t xml:space="preserve"> M-2014-2424864</w:t>
      </w:r>
    </w:p>
    <w:p w:rsidR="00E43A98" w:rsidRDefault="00E43A98" w:rsidP="00710DBE">
      <w:pPr>
        <w:rPr>
          <w:sz w:val="24"/>
          <w:szCs w:val="24"/>
        </w:rPr>
      </w:pPr>
    </w:p>
    <w:p w:rsidR="00E465EC" w:rsidRDefault="00E465EC" w:rsidP="00E43A98">
      <w:pPr>
        <w:rPr>
          <w:sz w:val="24"/>
          <w:szCs w:val="24"/>
        </w:rPr>
      </w:pPr>
      <w:r>
        <w:rPr>
          <w:sz w:val="24"/>
          <w:szCs w:val="24"/>
        </w:rPr>
        <w:tab/>
        <w:t>With this Secretarial Letter, the</w:t>
      </w:r>
      <w:r w:rsidR="00423966">
        <w:rPr>
          <w:sz w:val="24"/>
          <w:szCs w:val="24"/>
        </w:rPr>
        <w:t xml:space="preserve"> Pennsylvania Public Utility</w:t>
      </w:r>
      <w:r>
        <w:rPr>
          <w:sz w:val="24"/>
          <w:szCs w:val="24"/>
        </w:rPr>
        <w:t xml:space="preserve"> Commission</w:t>
      </w:r>
      <w:r w:rsidR="00423966">
        <w:rPr>
          <w:sz w:val="24"/>
          <w:szCs w:val="24"/>
        </w:rPr>
        <w:t xml:space="preserve"> (Commission)</w:t>
      </w:r>
      <w:r>
        <w:rPr>
          <w:sz w:val="24"/>
          <w:szCs w:val="24"/>
        </w:rPr>
        <w:t xml:space="preserve"> would like to provide notice of an Act 129 Stakeholders’ </w:t>
      </w:r>
      <w:r w:rsidRPr="00450096">
        <w:rPr>
          <w:sz w:val="24"/>
          <w:szCs w:val="24"/>
        </w:rPr>
        <w:t xml:space="preserve">Meeting on Thursday, July 10, 2014, </w:t>
      </w:r>
      <w:r w:rsidR="00423966">
        <w:rPr>
          <w:sz w:val="24"/>
          <w:szCs w:val="24"/>
        </w:rPr>
        <w:t xml:space="preserve">from </w:t>
      </w:r>
      <w:r w:rsidRPr="00450096">
        <w:rPr>
          <w:sz w:val="24"/>
          <w:szCs w:val="24"/>
        </w:rPr>
        <w:t>1:30 P.M. to 3:30 P.M. in</w:t>
      </w:r>
      <w:r>
        <w:rPr>
          <w:sz w:val="24"/>
          <w:szCs w:val="24"/>
        </w:rPr>
        <w:t xml:space="preserve"> Hearing Room 1 of the Commonwealth Keystone Building, 400 North Street, Harrisburg, Pennsylvania, 17120.  </w:t>
      </w:r>
      <w:r w:rsidR="00DA41A4" w:rsidRPr="00B62DF1">
        <w:rPr>
          <w:sz w:val="24"/>
          <w:szCs w:val="24"/>
        </w:rPr>
        <w:t xml:space="preserve">The attached Appendix provides an agenda for the meeting.  </w:t>
      </w:r>
      <w:r>
        <w:rPr>
          <w:sz w:val="24"/>
          <w:szCs w:val="24"/>
        </w:rPr>
        <w:t>The purpose of the meeting is to allow the Statewide Evaluator to present its energy efficiency and demand response potential study methodologies and to answer any questions posed by stakeholders with regard to those methodologies.</w:t>
      </w:r>
    </w:p>
    <w:p w:rsidR="00E465EC" w:rsidRDefault="00E465EC" w:rsidP="00E43A98">
      <w:pPr>
        <w:rPr>
          <w:sz w:val="24"/>
          <w:szCs w:val="24"/>
        </w:rPr>
      </w:pPr>
    </w:p>
    <w:p w:rsidR="00E43A98" w:rsidRPr="00450096" w:rsidRDefault="00E43A98" w:rsidP="00E43A98">
      <w:pPr>
        <w:rPr>
          <w:sz w:val="24"/>
          <w:szCs w:val="24"/>
        </w:rPr>
      </w:pPr>
      <w:r>
        <w:rPr>
          <w:sz w:val="24"/>
          <w:szCs w:val="24"/>
        </w:rPr>
        <w:tab/>
        <w:t xml:space="preserve">In its planning for a potential Phase III of the Act 129 Energy Efficiency and Conservation Program, </w:t>
      </w:r>
      <w:r w:rsidRPr="00450096">
        <w:rPr>
          <w:sz w:val="24"/>
          <w:szCs w:val="24"/>
        </w:rPr>
        <w:t>the Commission directed the Act 129 Statewide Evaluator to conduct an energy efficiency market potential study to determine the remaining opportunities for cost effective electricity savings in the service areas of the seven Pennsylvania EDCs that are subject to the energy efficiency requirements of Act 129.</w:t>
      </w:r>
      <w:r w:rsidRPr="00450096">
        <w:rPr>
          <w:rStyle w:val="FootnoteReference"/>
          <w:sz w:val="24"/>
          <w:szCs w:val="24"/>
        </w:rPr>
        <w:footnoteReference w:id="1"/>
      </w:r>
      <w:r w:rsidRPr="00450096">
        <w:rPr>
          <w:sz w:val="24"/>
          <w:szCs w:val="24"/>
        </w:rPr>
        <w:t xml:space="preserve">  The Commission also directed its Statewide Evaluator to perform a demand response potential study to determine if there is potential for peak demand reduction as a component of the Act 129 Energy Efficiency and Conservation Program.</w:t>
      </w:r>
      <w:r w:rsidRPr="00450096">
        <w:rPr>
          <w:rStyle w:val="FootnoteReference"/>
          <w:sz w:val="24"/>
          <w:szCs w:val="24"/>
        </w:rPr>
        <w:footnoteReference w:id="2"/>
      </w:r>
    </w:p>
    <w:p w:rsidR="00E43A98" w:rsidRPr="00450096" w:rsidRDefault="00E43A98" w:rsidP="00E43A98"/>
    <w:p w:rsidR="00E43A98" w:rsidRPr="00450096" w:rsidRDefault="00E465EC" w:rsidP="00E43A98">
      <w:pPr>
        <w:rPr>
          <w:sz w:val="24"/>
          <w:szCs w:val="24"/>
        </w:rPr>
      </w:pPr>
      <w:r w:rsidRPr="00450096">
        <w:rPr>
          <w:sz w:val="24"/>
          <w:szCs w:val="24"/>
        </w:rPr>
        <w:tab/>
      </w:r>
      <w:r w:rsidR="00E43A98" w:rsidRPr="00450096">
        <w:rPr>
          <w:sz w:val="24"/>
          <w:szCs w:val="24"/>
        </w:rPr>
        <w:t xml:space="preserve">At this meeting, Commission Staff will also provide stakeholders with Staff’s tentative schedule for the implementation of Phase III of the Act 129 Energy Efficiency and Conservation Program.  </w:t>
      </w:r>
      <w:r w:rsidR="006659D1" w:rsidRPr="00450096">
        <w:rPr>
          <w:sz w:val="24"/>
          <w:szCs w:val="24"/>
        </w:rPr>
        <w:t xml:space="preserve">In further preparation for this meeting, the presentation(s) on the studies </w:t>
      </w:r>
      <w:r w:rsidR="001B4DA3" w:rsidRPr="00450096">
        <w:rPr>
          <w:sz w:val="24"/>
          <w:szCs w:val="24"/>
        </w:rPr>
        <w:t xml:space="preserve">will be posted on </w:t>
      </w:r>
      <w:r w:rsidR="006659D1" w:rsidRPr="00450096">
        <w:rPr>
          <w:sz w:val="24"/>
          <w:szCs w:val="24"/>
        </w:rPr>
        <w:t xml:space="preserve">the Statewide Evaluator </w:t>
      </w:r>
      <w:r w:rsidR="001B4DA3" w:rsidRPr="00450096">
        <w:rPr>
          <w:sz w:val="24"/>
          <w:szCs w:val="24"/>
        </w:rPr>
        <w:t>web</w:t>
      </w:r>
      <w:r w:rsidR="006659D1" w:rsidRPr="00450096">
        <w:rPr>
          <w:sz w:val="24"/>
          <w:szCs w:val="24"/>
        </w:rPr>
        <w:t xml:space="preserve">page of </w:t>
      </w:r>
      <w:r w:rsidR="001B4DA3" w:rsidRPr="00450096">
        <w:rPr>
          <w:sz w:val="24"/>
          <w:szCs w:val="24"/>
        </w:rPr>
        <w:t xml:space="preserve">the Commission’s </w:t>
      </w:r>
      <w:r w:rsidR="006659D1" w:rsidRPr="00450096">
        <w:rPr>
          <w:sz w:val="24"/>
          <w:szCs w:val="24"/>
        </w:rPr>
        <w:t>website</w:t>
      </w:r>
      <w:r w:rsidR="006659D1" w:rsidRPr="00450096">
        <w:rPr>
          <w:rStyle w:val="FootnoteReference"/>
          <w:sz w:val="24"/>
          <w:szCs w:val="24"/>
        </w:rPr>
        <w:footnoteReference w:id="3"/>
      </w:r>
      <w:r w:rsidR="006659D1" w:rsidRPr="00450096">
        <w:rPr>
          <w:sz w:val="24"/>
          <w:szCs w:val="24"/>
        </w:rPr>
        <w:t xml:space="preserve"> </w:t>
      </w:r>
      <w:r w:rsidR="00F41A9B" w:rsidRPr="00450096">
        <w:rPr>
          <w:sz w:val="24"/>
          <w:szCs w:val="24"/>
        </w:rPr>
        <w:t>no later than</w:t>
      </w:r>
      <w:r w:rsidR="006659D1" w:rsidRPr="00450096">
        <w:rPr>
          <w:sz w:val="24"/>
          <w:szCs w:val="24"/>
        </w:rPr>
        <w:t xml:space="preserve"> Friday, </w:t>
      </w:r>
      <w:r w:rsidR="00F41A9B" w:rsidRPr="00450096">
        <w:rPr>
          <w:sz w:val="24"/>
          <w:szCs w:val="24"/>
        </w:rPr>
        <w:t>June 27</w:t>
      </w:r>
      <w:r w:rsidR="006659D1" w:rsidRPr="00450096">
        <w:rPr>
          <w:sz w:val="24"/>
          <w:szCs w:val="24"/>
        </w:rPr>
        <w:t>, 201</w:t>
      </w:r>
      <w:r w:rsidR="00F41A9B" w:rsidRPr="00450096">
        <w:rPr>
          <w:sz w:val="24"/>
          <w:szCs w:val="24"/>
        </w:rPr>
        <w:t>4</w:t>
      </w:r>
      <w:r w:rsidR="006659D1" w:rsidRPr="00450096">
        <w:rPr>
          <w:sz w:val="24"/>
          <w:szCs w:val="24"/>
        </w:rPr>
        <w:t xml:space="preserve">, to provide stakeholders the opportunity to prepare any questions in advance of the meeting.  </w:t>
      </w:r>
      <w:r w:rsidR="00E43A98" w:rsidRPr="00450096">
        <w:rPr>
          <w:sz w:val="24"/>
          <w:szCs w:val="24"/>
        </w:rPr>
        <w:t>This will be an informal meeting and as such, there will be no transcription and no written comments will be accepted.  The Commission anticipates that it will solicit formal comments on the Statewide Evaluator’s studies at a later date.</w:t>
      </w:r>
    </w:p>
    <w:p w:rsidR="00E43A98" w:rsidRPr="00450096" w:rsidRDefault="00E43A98" w:rsidP="00710DBE">
      <w:pPr>
        <w:rPr>
          <w:sz w:val="24"/>
          <w:szCs w:val="24"/>
        </w:rPr>
      </w:pPr>
    </w:p>
    <w:p w:rsidR="00710DBE" w:rsidRDefault="00710DBE" w:rsidP="00710DBE">
      <w:pPr>
        <w:rPr>
          <w:sz w:val="24"/>
          <w:szCs w:val="24"/>
        </w:rPr>
      </w:pPr>
      <w:r w:rsidRPr="00450096">
        <w:rPr>
          <w:sz w:val="24"/>
          <w:szCs w:val="24"/>
        </w:rPr>
        <w:tab/>
      </w:r>
      <w:r w:rsidR="006B773E" w:rsidRPr="00450096">
        <w:rPr>
          <w:sz w:val="24"/>
          <w:szCs w:val="24"/>
        </w:rPr>
        <w:t>The Commission was charged by the Pennsylvania General Assembly with establishing an energy efficiency and conservation program.  The energy efficiency</w:t>
      </w:r>
      <w:r w:rsidR="006B773E">
        <w:rPr>
          <w:sz w:val="24"/>
          <w:szCs w:val="24"/>
        </w:rPr>
        <w:t xml:space="preserve"> and conservation program requires each electric distribution company (EDC) with at least 100,000 customers to adopt a plan to reduc</w:t>
      </w:r>
      <w:r w:rsidR="00D0471D">
        <w:rPr>
          <w:sz w:val="24"/>
          <w:szCs w:val="24"/>
        </w:rPr>
        <w:t>e</w:t>
      </w:r>
      <w:r w:rsidR="006B773E">
        <w:rPr>
          <w:sz w:val="24"/>
          <w:szCs w:val="24"/>
        </w:rPr>
        <w:t xml:space="preserve"> energy demand and consumption within its service territory.  66 Pa. C.S. § 2806.1.  The Commission </w:t>
      </w:r>
      <w:r w:rsidR="009B63E1">
        <w:rPr>
          <w:sz w:val="24"/>
          <w:szCs w:val="24"/>
        </w:rPr>
        <w:t>was</w:t>
      </w:r>
      <w:r w:rsidR="006B773E">
        <w:rPr>
          <w:sz w:val="24"/>
          <w:szCs w:val="24"/>
        </w:rPr>
        <w:t xml:space="preserve"> also charged with the responsibility to evaluate the costs and benefits of the energy efficiency and conservation program by November 3</w:t>
      </w:r>
      <w:r w:rsidR="00B14362">
        <w:rPr>
          <w:sz w:val="24"/>
          <w:szCs w:val="24"/>
        </w:rPr>
        <w:t>0</w:t>
      </w:r>
      <w:r w:rsidR="006B773E">
        <w:rPr>
          <w:sz w:val="24"/>
          <w:szCs w:val="24"/>
        </w:rPr>
        <w:t>, 2013 and every five years thereafter.  66 Pa. C.S. § 280</w:t>
      </w:r>
      <w:r w:rsidR="006E7EF7">
        <w:rPr>
          <w:sz w:val="24"/>
          <w:szCs w:val="24"/>
        </w:rPr>
        <w:t>6</w:t>
      </w:r>
      <w:r w:rsidR="006B773E">
        <w:rPr>
          <w:sz w:val="24"/>
          <w:szCs w:val="24"/>
        </w:rPr>
        <w:t xml:space="preserve">.1(c)(3).  </w:t>
      </w:r>
      <w:r w:rsidR="002027E7">
        <w:rPr>
          <w:sz w:val="24"/>
          <w:szCs w:val="24"/>
        </w:rPr>
        <w:t xml:space="preserve">Additionally, the Commission, by November </w:t>
      </w:r>
      <w:r w:rsidR="002027E7">
        <w:rPr>
          <w:sz w:val="24"/>
          <w:szCs w:val="24"/>
        </w:rPr>
        <w:lastRenderedPageBreak/>
        <w:t xml:space="preserve">30, 2013, was to determine if the benefits of peak demand reduction programs exceed the costs and, if so, was to set additional incremental requirements for reduction in peak demand for the 100 hours of greatest demand or an alternative reduction approved by the Commission.  66 Pa. C.S. § 2806.1(d)(2). </w:t>
      </w:r>
    </w:p>
    <w:p w:rsidR="00E465EC" w:rsidRDefault="00E465EC" w:rsidP="00710DBE">
      <w:pPr>
        <w:rPr>
          <w:sz w:val="24"/>
          <w:szCs w:val="24"/>
        </w:rPr>
      </w:pPr>
    </w:p>
    <w:p w:rsidR="00E465EC" w:rsidRPr="002A0616" w:rsidRDefault="00BD08AE" w:rsidP="00450096">
      <w:pPr>
        <w:ind w:firstLine="720"/>
        <w:rPr>
          <w:sz w:val="24"/>
          <w:szCs w:val="24"/>
        </w:rPr>
      </w:pPr>
      <w:r w:rsidRPr="00450096">
        <w:rPr>
          <w:sz w:val="24"/>
          <w:szCs w:val="24"/>
        </w:rPr>
        <w:t>On November 14, 2013, the Commission released, for comment, a Peak Demand Reduction Cost Effectiveness Determination Tentative Order,</w:t>
      </w:r>
      <w:r w:rsidRPr="00450096">
        <w:rPr>
          <w:rStyle w:val="FootnoteReference"/>
          <w:sz w:val="24"/>
          <w:szCs w:val="24"/>
        </w:rPr>
        <w:footnoteReference w:id="4"/>
      </w:r>
      <w:r w:rsidRPr="00450096">
        <w:rPr>
          <w:sz w:val="24"/>
          <w:szCs w:val="24"/>
        </w:rPr>
        <w:t xml:space="preserve"> as well as the SWE’s Preliminary Wholesale Price Suppression and Prospective TRC Analysis (Amended DR Study).</w:t>
      </w:r>
      <w:r w:rsidRPr="00450096">
        <w:rPr>
          <w:rStyle w:val="FootnoteReference"/>
          <w:sz w:val="24"/>
          <w:szCs w:val="24"/>
        </w:rPr>
        <w:footnoteReference w:id="5"/>
      </w:r>
      <w:r w:rsidRPr="00450096">
        <w:rPr>
          <w:sz w:val="24"/>
          <w:szCs w:val="24"/>
        </w:rPr>
        <w:t xml:space="preserve">  A notice of the DR Tentative Order and the SWE’s Amended DR Study were published in the </w:t>
      </w:r>
      <w:r w:rsidRPr="00450096">
        <w:rPr>
          <w:i/>
          <w:sz w:val="24"/>
          <w:szCs w:val="24"/>
        </w:rPr>
        <w:t>Pennsylvania Bulletin</w:t>
      </w:r>
      <w:r w:rsidRPr="00450096">
        <w:rPr>
          <w:sz w:val="24"/>
          <w:szCs w:val="24"/>
        </w:rPr>
        <w:t xml:space="preserve"> on November 30, 2013.</w:t>
      </w:r>
      <w:r w:rsidRPr="00450096">
        <w:rPr>
          <w:rStyle w:val="FootnoteReference"/>
          <w:sz w:val="24"/>
          <w:szCs w:val="24"/>
        </w:rPr>
        <w:footnoteReference w:id="6"/>
      </w:r>
      <w:r w:rsidRPr="00450096">
        <w:rPr>
          <w:sz w:val="24"/>
          <w:szCs w:val="24"/>
        </w:rPr>
        <w:t xml:space="preserve">  Comments were due December 30, 2013.  Reply Comments were due January 14, 2014.</w:t>
      </w:r>
      <w:r w:rsidRPr="002A0616">
        <w:rPr>
          <w:sz w:val="24"/>
          <w:szCs w:val="24"/>
        </w:rPr>
        <w:t xml:space="preserve">  </w:t>
      </w:r>
      <w:r w:rsidR="002A0616" w:rsidRPr="00450096">
        <w:rPr>
          <w:sz w:val="24"/>
          <w:szCs w:val="24"/>
        </w:rPr>
        <w:t>In its Tentative Order, the Commission agreed with the SWE that the statutory top 100 hours methodology was not cost-effective and, as such, could not be continued.  However, based on the SWE’s Amended DR Study, the Commission proposed an alternative peak demand reduction methodology.</w:t>
      </w:r>
      <w:r w:rsidR="002A0616">
        <w:rPr>
          <w:rStyle w:val="FootnoteReference"/>
          <w:sz w:val="24"/>
          <w:szCs w:val="24"/>
        </w:rPr>
        <w:footnoteReference w:id="7"/>
      </w:r>
      <w:r w:rsidR="002A0616" w:rsidRPr="002A0616">
        <w:rPr>
          <w:sz w:val="24"/>
          <w:szCs w:val="24"/>
        </w:rPr>
        <w:t xml:space="preserve">  </w:t>
      </w:r>
      <w:r w:rsidR="002A0616">
        <w:rPr>
          <w:sz w:val="24"/>
          <w:szCs w:val="24"/>
        </w:rPr>
        <w:t>The demand response potential studies being discussed at the meeting will inform the Commission on the cost-effectiveness of the proposed alternative peak demand reduction methodology</w:t>
      </w:r>
      <w:r w:rsidR="002A0616" w:rsidRPr="00450096">
        <w:rPr>
          <w:sz w:val="24"/>
          <w:szCs w:val="24"/>
        </w:rPr>
        <w:t>.</w:t>
      </w:r>
    </w:p>
    <w:p w:rsidR="006659D1" w:rsidRDefault="006659D1" w:rsidP="00710DBE"/>
    <w:p w:rsidR="006659D1" w:rsidRPr="00714802" w:rsidRDefault="006659D1" w:rsidP="006659D1">
      <w:pPr>
        <w:ind w:firstLine="720"/>
        <w:rPr>
          <w:sz w:val="24"/>
        </w:rPr>
      </w:pPr>
      <w:r>
        <w:rPr>
          <w:sz w:val="24"/>
          <w:szCs w:val="24"/>
        </w:rPr>
        <w:t xml:space="preserve">Any questions regarding this stakeholder meeting should be directed to Megan Good at 717-425-7583 or </w:t>
      </w:r>
      <w:hyperlink r:id="rId10" w:history="1">
        <w:r w:rsidRPr="00C54DEE">
          <w:rPr>
            <w:rStyle w:val="Hyperlink"/>
            <w:sz w:val="24"/>
            <w:szCs w:val="24"/>
          </w:rPr>
          <w:t>megagood@pa.gov</w:t>
        </w:r>
      </w:hyperlink>
      <w:r>
        <w:rPr>
          <w:sz w:val="24"/>
          <w:szCs w:val="24"/>
        </w:rPr>
        <w:t>.</w:t>
      </w:r>
    </w:p>
    <w:p w:rsidR="006659D1" w:rsidRPr="004B781B" w:rsidRDefault="006659D1" w:rsidP="00710DBE"/>
    <w:p w:rsidR="00B23FFC" w:rsidRDefault="00710DBE" w:rsidP="00E43A98">
      <w:pPr>
        <w:rPr>
          <w:sz w:val="24"/>
          <w:szCs w:val="24"/>
        </w:rPr>
      </w:pPr>
      <w:r>
        <w:rPr>
          <w:sz w:val="24"/>
          <w:szCs w:val="24"/>
        </w:rPr>
        <w:tab/>
      </w:r>
    </w:p>
    <w:p w:rsidR="003B4AA9" w:rsidRPr="007E6ACB" w:rsidRDefault="0046748B" w:rsidP="00BE4A72">
      <w:pPr>
        <w:rPr>
          <w:sz w:val="24"/>
          <w:szCs w:val="24"/>
        </w:rPr>
      </w:pPr>
      <w:bookmarkStart w:id="0" w:name="_GoBack"/>
      <w:r>
        <w:rPr>
          <w:noProof/>
        </w:rPr>
        <w:drawing>
          <wp:anchor distT="0" distB="0" distL="114300" distR="114300" simplePos="0" relativeHeight="251659264" behindDoc="1" locked="0" layoutInCell="1" allowOverlap="1" wp14:anchorId="14041C9A" wp14:editId="7CCA0553">
            <wp:simplePos x="0" y="0"/>
            <wp:positionH relativeFrom="column">
              <wp:posOffset>2044700</wp:posOffset>
            </wp:positionH>
            <wp:positionV relativeFrom="paragraph">
              <wp:posOffset>53340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C77F29" w:rsidRPr="007E6ACB">
        <w:rPr>
          <w:sz w:val="24"/>
          <w:szCs w:val="24"/>
        </w:rPr>
        <w:t xml:space="preserve"> </w:t>
      </w:r>
    </w:p>
    <w:p w:rsidR="00BE4A72" w:rsidRPr="007E6ACB" w:rsidRDefault="00BE4A72" w:rsidP="00BE4A72">
      <w:pPr>
        <w:ind w:left="3600"/>
        <w:rPr>
          <w:sz w:val="24"/>
          <w:szCs w:val="24"/>
        </w:rPr>
      </w:pPr>
      <w:r w:rsidRPr="007E6ACB">
        <w:rPr>
          <w:sz w:val="24"/>
          <w:szCs w:val="24"/>
        </w:rPr>
        <w:tab/>
        <w:t>Sincerely,</w:t>
      </w:r>
    </w:p>
    <w:p w:rsidR="00BE4A72" w:rsidRPr="004B781B" w:rsidRDefault="00BE4A72" w:rsidP="00BE4A72">
      <w:pPr>
        <w:ind w:left="3600"/>
      </w:pPr>
    </w:p>
    <w:p w:rsidR="00325403" w:rsidRPr="004B781B" w:rsidRDefault="00325403" w:rsidP="004B781B"/>
    <w:p w:rsidR="006B773E" w:rsidRPr="004B781B" w:rsidRDefault="006B773E" w:rsidP="00BE4A72">
      <w:pPr>
        <w:ind w:left="3600"/>
      </w:pPr>
    </w:p>
    <w:p w:rsidR="002B37D7" w:rsidRPr="007E6ACB" w:rsidRDefault="00C77F29" w:rsidP="002B37D7">
      <w:pPr>
        <w:jc w:val="both"/>
        <w:rPr>
          <w:color w:val="000000"/>
          <w:sz w:val="24"/>
          <w:szCs w:val="24"/>
        </w:rPr>
      </w:pPr>
      <w:r w:rsidRPr="007E6ACB">
        <w:rPr>
          <w:sz w:val="24"/>
          <w:szCs w:val="24"/>
        </w:rPr>
        <w:tab/>
      </w:r>
      <w:r w:rsidR="002B37D7" w:rsidRPr="007E6ACB">
        <w:rPr>
          <w:sz w:val="24"/>
          <w:szCs w:val="24"/>
        </w:rPr>
        <w:tab/>
      </w:r>
      <w:r w:rsidR="002B37D7" w:rsidRPr="007E6ACB">
        <w:rPr>
          <w:sz w:val="24"/>
          <w:szCs w:val="24"/>
        </w:rPr>
        <w:tab/>
      </w:r>
      <w:r w:rsidR="002B37D7" w:rsidRPr="007E6ACB">
        <w:rPr>
          <w:sz w:val="24"/>
          <w:szCs w:val="24"/>
        </w:rPr>
        <w:tab/>
      </w:r>
      <w:r w:rsidR="002B37D7" w:rsidRPr="007E6ACB">
        <w:rPr>
          <w:sz w:val="24"/>
          <w:szCs w:val="24"/>
        </w:rPr>
        <w:tab/>
      </w:r>
      <w:r w:rsidR="002B37D7" w:rsidRPr="007E6ACB">
        <w:rPr>
          <w:sz w:val="24"/>
          <w:szCs w:val="24"/>
        </w:rPr>
        <w:tab/>
      </w:r>
      <w:r w:rsidR="002B37D7" w:rsidRPr="007E6ACB">
        <w:rPr>
          <w:color w:val="000000"/>
          <w:sz w:val="24"/>
          <w:szCs w:val="24"/>
        </w:rPr>
        <w:t>Rosemary Chiavetta</w:t>
      </w:r>
    </w:p>
    <w:p w:rsidR="002B37D7" w:rsidRDefault="002B37D7" w:rsidP="002B37D7">
      <w:pPr>
        <w:jc w:val="both"/>
        <w:rPr>
          <w:color w:val="000000"/>
          <w:sz w:val="24"/>
          <w:szCs w:val="24"/>
        </w:rPr>
      </w:pPr>
      <w:r w:rsidRPr="007E6ACB">
        <w:rPr>
          <w:color w:val="000000"/>
          <w:sz w:val="24"/>
          <w:szCs w:val="24"/>
        </w:rPr>
        <w:tab/>
      </w:r>
      <w:r w:rsidRPr="007E6ACB">
        <w:rPr>
          <w:color w:val="000000"/>
          <w:sz w:val="24"/>
          <w:szCs w:val="24"/>
        </w:rPr>
        <w:tab/>
      </w:r>
      <w:r w:rsidRPr="007E6ACB">
        <w:rPr>
          <w:color w:val="000000"/>
          <w:sz w:val="24"/>
          <w:szCs w:val="24"/>
        </w:rPr>
        <w:tab/>
      </w:r>
      <w:r w:rsidRPr="007E6ACB">
        <w:rPr>
          <w:color w:val="000000"/>
          <w:sz w:val="24"/>
          <w:szCs w:val="24"/>
        </w:rPr>
        <w:tab/>
      </w:r>
      <w:r w:rsidRPr="007E6ACB">
        <w:rPr>
          <w:color w:val="000000"/>
          <w:sz w:val="24"/>
          <w:szCs w:val="24"/>
        </w:rPr>
        <w:tab/>
      </w:r>
      <w:r w:rsidRPr="007E6ACB">
        <w:rPr>
          <w:color w:val="000000"/>
          <w:sz w:val="24"/>
          <w:szCs w:val="24"/>
        </w:rPr>
        <w:tab/>
        <w:t>Secretary</w:t>
      </w:r>
    </w:p>
    <w:p w:rsidR="006E7EF7" w:rsidRPr="007E6ACB" w:rsidRDefault="006E7EF7" w:rsidP="002B37D7">
      <w:pPr>
        <w:jc w:val="both"/>
        <w:rPr>
          <w:color w:val="000000"/>
          <w:sz w:val="24"/>
          <w:szCs w:val="24"/>
        </w:rPr>
      </w:pPr>
    </w:p>
    <w:p w:rsidR="002B37D7" w:rsidRPr="007E6ACB" w:rsidRDefault="002B37D7" w:rsidP="002B37D7">
      <w:pPr>
        <w:jc w:val="both"/>
        <w:rPr>
          <w:sz w:val="24"/>
          <w:szCs w:val="24"/>
        </w:rPr>
      </w:pPr>
      <w:r w:rsidRPr="007E6ACB">
        <w:rPr>
          <w:sz w:val="24"/>
          <w:szCs w:val="24"/>
        </w:rPr>
        <w:t>cc:</w:t>
      </w:r>
      <w:r w:rsidRPr="007E6ACB">
        <w:rPr>
          <w:sz w:val="24"/>
          <w:szCs w:val="24"/>
        </w:rPr>
        <w:tab/>
        <w:t>Chairman’s Office</w:t>
      </w:r>
    </w:p>
    <w:p w:rsidR="002B37D7" w:rsidRPr="007E6ACB" w:rsidRDefault="002B37D7" w:rsidP="002B37D7">
      <w:pPr>
        <w:jc w:val="both"/>
        <w:rPr>
          <w:sz w:val="24"/>
          <w:szCs w:val="24"/>
        </w:rPr>
      </w:pPr>
      <w:r w:rsidRPr="007E6ACB">
        <w:rPr>
          <w:sz w:val="24"/>
          <w:szCs w:val="24"/>
        </w:rPr>
        <w:tab/>
        <w:t>Vice Chairman’s Office</w:t>
      </w:r>
    </w:p>
    <w:p w:rsidR="002B37D7" w:rsidRDefault="002B37D7" w:rsidP="002B37D7">
      <w:pPr>
        <w:jc w:val="both"/>
        <w:rPr>
          <w:sz w:val="24"/>
          <w:szCs w:val="24"/>
        </w:rPr>
      </w:pPr>
      <w:r w:rsidRPr="007E6ACB">
        <w:rPr>
          <w:sz w:val="24"/>
          <w:szCs w:val="24"/>
        </w:rPr>
        <w:tab/>
        <w:t>Commissioners’ Office</w:t>
      </w:r>
      <w:r w:rsidR="00541DB3">
        <w:rPr>
          <w:sz w:val="24"/>
          <w:szCs w:val="24"/>
        </w:rPr>
        <w:t>s</w:t>
      </w:r>
    </w:p>
    <w:p w:rsidR="00C55BE6" w:rsidRPr="007E6ACB" w:rsidRDefault="00C55BE6" w:rsidP="002B37D7">
      <w:pPr>
        <w:jc w:val="both"/>
        <w:rPr>
          <w:sz w:val="24"/>
          <w:szCs w:val="24"/>
        </w:rPr>
      </w:pPr>
      <w:r>
        <w:rPr>
          <w:sz w:val="24"/>
          <w:szCs w:val="24"/>
        </w:rPr>
        <w:tab/>
        <w:t>Jan Freeman, Executive Director</w:t>
      </w:r>
    </w:p>
    <w:p w:rsidR="002B37D7" w:rsidRPr="007E6ACB" w:rsidRDefault="002B37D7" w:rsidP="002B37D7">
      <w:pPr>
        <w:jc w:val="both"/>
        <w:rPr>
          <w:sz w:val="24"/>
          <w:szCs w:val="24"/>
        </w:rPr>
      </w:pPr>
      <w:r w:rsidRPr="007E6ACB">
        <w:rPr>
          <w:sz w:val="24"/>
          <w:szCs w:val="24"/>
        </w:rPr>
        <w:tab/>
      </w:r>
      <w:r w:rsidR="006E7EF7">
        <w:rPr>
          <w:sz w:val="24"/>
          <w:szCs w:val="24"/>
        </w:rPr>
        <w:t>Mary Beth Osborne</w:t>
      </w:r>
      <w:r w:rsidRPr="007E6ACB">
        <w:rPr>
          <w:sz w:val="24"/>
          <w:szCs w:val="24"/>
        </w:rPr>
        <w:t xml:space="preserve">, Director of </w:t>
      </w:r>
      <w:r w:rsidR="00C55BE6">
        <w:rPr>
          <w:sz w:val="24"/>
          <w:szCs w:val="24"/>
        </w:rPr>
        <w:t xml:space="preserve">Regulatory </w:t>
      </w:r>
      <w:r w:rsidR="007979FC">
        <w:rPr>
          <w:sz w:val="24"/>
          <w:szCs w:val="24"/>
        </w:rPr>
        <w:t>Affairs</w:t>
      </w:r>
    </w:p>
    <w:p w:rsidR="002B37D7" w:rsidRPr="007E6ACB" w:rsidRDefault="002B37D7" w:rsidP="002B37D7">
      <w:pPr>
        <w:jc w:val="both"/>
        <w:rPr>
          <w:sz w:val="24"/>
          <w:szCs w:val="24"/>
        </w:rPr>
      </w:pPr>
      <w:r w:rsidRPr="007E6ACB">
        <w:rPr>
          <w:sz w:val="24"/>
          <w:szCs w:val="24"/>
        </w:rPr>
        <w:tab/>
        <w:t>Bohdan R. Pankiw, Chief Counsel</w:t>
      </w:r>
    </w:p>
    <w:p w:rsidR="002B37D7" w:rsidRDefault="002B37D7" w:rsidP="002B37D7">
      <w:pPr>
        <w:jc w:val="both"/>
        <w:rPr>
          <w:sz w:val="24"/>
          <w:szCs w:val="24"/>
        </w:rPr>
      </w:pPr>
      <w:r w:rsidRPr="007E6ACB">
        <w:rPr>
          <w:sz w:val="24"/>
          <w:szCs w:val="24"/>
        </w:rPr>
        <w:tab/>
        <w:t>Robert F. Young, Deputy Chief Counsel</w:t>
      </w:r>
    </w:p>
    <w:p w:rsidR="00785B5A" w:rsidRPr="007E6ACB" w:rsidRDefault="00785B5A" w:rsidP="002B37D7">
      <w:pPr>
        <w:jc w:val="both"/>
        <w:rPr>
          <w:sz w:val="24"/>
          <w:szCs w:val="24"/>
        </w:rPr>
      </w:pPr>
      <w:r>
        <w:rPr>
          <w:sz w:val="24"/>
          <w:szCs w:val="24"/>
        </w:rPr>
        <w:tab/>
        <w:t>Kriss Brown, Assistant Counsel</w:t>
      </w:r>
    </w:p>
    <w:p w:rsidR="002B37D7" w:rsidRDefault="002B37D7" w:rsidP="002B37D7">
      <w:pPr>
        <w:jc w:val="both"/>
        <w:rPr>
          <w:sz w:val="24"/>
          <w:szCs w:val="24"/>
        </w:rPr>
      </w:pPr>
      <w:r w:rsidRPr="007E6ACB">
        <w:rPr>
          <w:sz w:val="24"/>
          <w:szCs w:val="24"/>
        </w:rPr>
        <w:tab/>
      </w:r>
      <w:r w:rsidR="00DC06D2">
        <w:rPr>
          <w:sz w:val="24"/>
          <w:szCs w:val="24"/>
        </w:rPr>
        <w:t>Paul T. Diskin</w:t>
      </w:r>
      <w:r w:rsidRPr="007E6ACB">
        <w:rPr>
          <w:sz w:val="24"/>
          <w:szCs w:val="24"/>
        </w:rPr>
        <w:t xml:space="preserve">, Director, </w:t>
      </w:r>
      <w:r w:rsidR="00DC06D2">
        <w:rPr>
          <w:sz w:val="24"/>
          <w:szCs w:val="24"/>
        </w:rPr>
        <w:t>Technical Utility Services</w:t>
      </w:r>
    </w:p>
    <w:p w:rsidR="00C77F29" w:rsidRDefault="006F614A" w:rsidP="006B773E">
      <w:pPr>
        <w:jc w:val="both"/>
        <w:rPr>
          <w:sz w:val="24"/>
          <w:szCs w:val="24"/>
        </w:rPr>
      </w:pPr>
      <w:r>
        <w:rPr>
          <w:sz w:val="24"/>
          <w:szCs w:val="24"/>
        </w:rPr>
        <w:tab/>
        <w:t>Darren</w:t>
      </w:r>
      <w:r w:rsidR="00D53F6A">
        <w:rPr>
          <w:sz w:val="24"/>
          <w:szCs w:val="24"/>
        </w:rPr>
        <w:t xml:space="preserve"> D.</w:t>
      </w:r>
      <w:r>
        <w:rPr>
          <w:sz w:val="24"/>
          <w:szCs w:val="24"/>
        </w:rPr>
        <w:t xml:space="preserve"> Gill, </w:t>
      </w:r>
      <w:r w:rsidR="00C07570">
        <w:rPr>
          <w:sz w:val="24"/>
          <w:szCs w:val="24"/>
        </w:rPr>
        <w:t>Deputy Director</w:t>
      </w:r>
      <w:r>
        <w:rPr>
          <w:sz w:val="24"/>
          <w:szCs w:val="24"/>
        </w:rPr>
        <w:t xml:space="preserve">, </w:t>
      </w:r>
      <w:r w:rsidR="00C07570">
        <w:rPr>
          <w:sz w:val="24"/>
          <w:szCs w:val="24"/>
        </w:rPr>
        <w:t>Technical Utility Services</w:t>
      </w:r>
    </w:p>
    <w:p w:rsidR="006E7EF7" w:rsidRDefault="006E7EF7" w:rsidP="006E7EF7">
      <w:pPr>
        <w:jc w:val="both"/>
        <w:rPr>
          <w:sz w:val="24"/>
          <w:szCs w:val="24"/>
        </w:rPr>
      </w:pPr>
      <w:r>
        <w:rPr>
          <w:sz w:val="24"/>
          <w:szCs w:val="24"/>
        </w:rPr>
        <w:tab/>
        <w:t>Joseph M. Sherrick, Supervisor, Technical Utility Services</w:t>
      </w:r>
    </w:p>
    <w:p w:rsidR="00404133" w:rsidRDefault="006E7EF7" w:rsidP="006E7EF7">
      <w:pPr>
        <w:jc w:val="both"/>
        <w:rPr>
          <w:sz w:val="24"/>
          <w:szCs w:val="24"/>
        </w:rPr>
      </w:pPr>
      <w:r>
        <w:rPr>
          <w:sz w:val="24"/>
          <w:szCs w:val="24"/>
        </w:rPr>
        <w:tab/>
        <w:t>Megan G. Good, Analyst, Technical Utility Services</w:t>
      </w:r>
    </w:p>
    <w:p w:rsidR="00404133" w:rsidRDefault="00404133">
      <w:pPr>
        <w:rPr>
          <w:sz w:val="24"/>
          <w:szCs w:val="24"/>
        </w:rPr>
      </w:pPr>
      <w:r>
        <w:rPr>
          <w:sz w:val="24"/>
          <w:szCs w:val="24"/>
        </w:rPr>
        <w:br w:type="page"/>
      </w:r>
    </w:p>
    <w:tbl>
      <w:tblPr>
        <w:tblW w:w="10890" w:type="dxa"/>
        <w:tblInd w:w="-702" w:type="dxa"/>
        <w:tblLayout w:type="fixed"/>
        <w:tblLook w:val="0000" w:firstRow="0" w:lastRow="0" w:firstColumn="0" w:lastColumn="0" w:noHBand="0" w:noVBand="0"/>
      </w:tblPr>
      <w:tblGrid>
        <w:gridCol w:w="1363"/>
        <w:gridCol w:w="8087"/>
        <w:gridCol w:w="1440"/>
      </w:tblGrid>
      <w:tr w:rsidR="00404133" w:rsidTr="00675A36">
        <w:trPr>
          <w:trHeight w:val="990"/>
        </w:trPr>
        <w:tc>
          <w:tcPr>
            <w:tcW w:w="1363" w:type="dxa"/>
          </w:tcPr>
          <w:p w:rsidR="00404133" w:rsidRDefault="00404133" w:rsidP="00675A36">
            <w:pPr>
              <w:rPr>
                <w:sz w:val="24"/>
              </w:rPr>
            </w:pPr>
            <w:r>
              <w:rPr>
                <w:noProof/>
                <w:spacing w:val="-2"/>
              </w:rPr>
              <w:lastRenderedPageBreak/>
              <w:drawing>
                <wp:inline distT="0" distB="0" distL="0" distR="0" wp14:anchorId="66843268" wp14:editId="788EB20B">
                  <wp:extent cx="723900" cy="723900"/>
                  <wp:effectExtent l="19050" t="0" r="0" b="0"/>
                  <wp:docPr id="7" name="Picture 7"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87" w:type="dxa"/>
          </w:tcPr>
          <w:p w:rsidR="00404133" w:rsidRDefault="00404133" w:rsidP="00675A36">
            <w:pPr>
              <w:suppressAutoHyphens/>
              <w:spacing w:line="204" w:lineRule="auto"/>
              <w:jc w:val="center"/>
              <w:rPr>
                <w:rFonts w:ascii="Arial" w:hAnsi="Arial"/>
                <w:color w:val="000080"/>
                <w:spacing w:val="-3"/>
                <w:sz w:val="26"/>
              </w:rPr>
            </w:pPr>
          </w:p>
          <w:p w:rsidR="00404133" w:rsidRDefault="00404133" w:rsidP="00675A3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404133" w:rsidRDefault="00404133" w:rsidP="00675A3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404133" w:rsidRDefault="00404133" w:rsidP="00675A3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40" w:type="dxa"/>
          </w:tcPr>
          <w:p w:rsidR="00404133" w:rsidRDefault="00404133" w:rsidP="00675A36">
            <w:pPr>
              <w:rPr>
                <w:rFonts w:ascii="Arial" w:hAnsi="Arial"/>
                <w:sz w:val="12"/>
              </w:rPr>
            </w:pPr>
          </w:p>
          <w:p w:rsidR="00404133" w:rsidRDefault="00404133" w:rsidP="00675A36">
            <w:pPr>
              <w:rPr>
                <w:rFonts w:ascii="Arial" w:hAnsi="Arial"/>
                <w:sz w:val="12"/>
              </w:rPr>
            </w:pPr>
          </w:p>
          <w:p w:rsidR="00404133" w:rsidRDefault="00404133" w:rsidP="00675A36">
            <w:pPr>
              <w:jc w:val="right"/>
              <w:rPr>
                <w:rFonts w:ascii="Arial" w:hAnsi="Arial"/>
                <w:b/>
                <w:spacing w:val="-1"/>
                <w:sz w:val="12"/>
              </w:rPr>
            </w:pPr>
            <w:r>
              <w:rPr>
                <w:rFonts w:ascii="Arial" w:hAnsi="Arial"/>
                <w:b/>
                <w:spacing w:val="-1"/>
                <w:sz w:val="12"/>
              </w:rPr>
              <w:t>IN REPLY PLEASE REFER TO OUR FILE</w:t>
            </w:r>
          </w:p>
          <w:p w:rsidR="00404133" w:rsidRDefault="005138E9" w:rsidP="00675A36">
            <w:pPr>
              <w:jc w:val="right"/>
              <w:rPr>
                <w:sz w:val="16"/>
                <w:szCs w:val="16"/>
              </w:rPr>
            </w:pPr>
            <w:r>
              <w:rPr>
                <w:sz w:val="16"/>
                <w:szCs w:val="16"/>
              </w:rPr>
              <w:t>M-2014-2424864</w:t>
            </w:r>
          </w:p>
          <w:p w:rsidR="00404133" w:rsidRPr="00E23926" w:rsidRDefault="00404133" w:rsidP="00675A36">
            <w:pPr>
              <w:jc w:val="right"/>
              <w:rPr>
                <w:rFonts w:ascii="Arial" w:hAnsi="Arial"/>
                <w:sz w:val="16"/>
                <w:szCs w:val="16"/>
              </w:rPr>
            </w:pPr>
          </w:p>
        </w:tc>
      </w:tr>
    </w:tbl>
    <w:p w:rsidR="006E7EF7" w:rsidRDefault="006E7EF7" w:rsidP="006E7EF7">
      <w:pPr>
        <w:jc w:val="both"/>
        <w:rPr>
          <w:sz w:val="26"/>
          <w:szCs w:val="26"/>
        </w:rPr>
      </w:pPr>
    </w:p>
    <w:p w:rsidR="00404133" w:rsidRDefault="00404133" w:rsidP="00404133">
      <w:pPr>
        <w:jc w:val="center"/>
        <w:rPr>
          <w:b/>
          <w:sz w:val="24"/>
          <w:szCs w:val="24"/>
        </w:rPr>
      </w:pPr>
      <w:r>
        <w:rPr>
          <w:b/>
          <w:sz w:val="24"/>
          <w:szCs w:val="24"/>
        </w:rPr>
        <w:t>ACT</w:t>
      </w:r>
      <w:r w:rsidRPr="00AC472A">
        <w:rPr>
          <w:b/>
          <w:sz w:val="24"/>
          <w:szCs w:val="24"/>
        </w:rPr>
        <w:t xml:space="preserve"> 129</w:t>
      </w:r>
      <w:r w:rsidR="00A0034F">
        <w:rPr>
          <w:b/>
          <w:sz w:val="24"/>
          <w:szCs w:val="24"/>
        </w:rPr>
        <w:t xml:space="preserve"> STATEWIDE EVALUATOR ENERGY EFFICIENCY AND DEMAND RESPONSE MARKET POTENTIAL STUDIES STAKEHOLDER MEETING</w:t>
      </w:r>
    </w:p>
    <w:p w:rsidR="00404133" w:rsidRPr="00AC472A" w:rsidRDefault="00404133" w:rsidP="00404133">
      <w:pPr>
        <w:jc w:val="both"/>
        <w:rPr>
          <w:sz w:val="24"/>
          <w:szCs w:val="24"/>
        </w:rPr>
      </w:pPr>
    </w:p>
    <w:p w:rsidR="00404133" w:rsidRPr="00450096" w:rsidRDefault="00404133" w:rsidP="00404133">
      <w:pPr>
        <w:jc w:val="center"/>
        <w:rPr>
          <w:b/>
          <w:sz w:val="24"/>
          <w:szCs w:val="24"/>
        </w:rPr>
      </w:pPr>
      <w:r w:rsidRPr="00450096">
        <w:rPr>
          <w:b/>
          <w:sz w:val="24"/>
          <w:szCs w:val="24"/>
        </w:rPr>
        <w:t>COMMONWEALTH KEYSTONE BUILDING</w:t>
      </w:r>
    </w:p>
    <w:p w:rsidR="00404133" w:rsidRPr="00450096" w:rsidRDefault="00404133" w:rsidP="00404133">
      <w:pPr>
        <w:jc w:val="center"/>
        <w:rPr>
          <w:b/>
          <w:sz w:val="24"/>
          <w:szCs w:val="24"/>
        </w:rPr>
      </w:pPr>
      <w:r w:rsidRPr="00450096">
        <w:rPr>
          <w:b/>
          <w:sz w:val="24"/>
          <w:szCs w:val="24"/>
        </w:rPr>
        <w:t>HEARING ROOM 1</w:t>
      </w:r>
    </w:p>
    <w:p w:rsidR="00404133" w:rsidRPr="00450096" w:rsidRDefault="00404133" w:rsidP="00404133">
      <w:pPr>
        <w:jc w:val="center"/>
        <w:rPr>
          <w:b/>
          <w:sz w:val="24"/>
          <w:szCs w:val="24"/>
        </w:rPr>
      </w:pPr>
      <w:r w:rsidRPr="00450096">
        <w:rPr>
          <w:b/>
          <w:sz w:val="24"/>
          <w:szCs w:val="24"/>
        </w:rPr>
        <w:t>400 NORTH STREET</w:t>
      </w:r>
    </w:p>
    <w:p w:rsidR="00404133" w:rsidRPr="00450096" w:rsidRDefault="00404133" w:rsidP="00404133">
      <w:pPr>
        <w:jc w:val="center"/>
        <w:rPr>
          <w:b/>
          <w:sz w:val="24"/>
          <w:szCs w:val="24"/>
        </w:rPr>
      </w:pPr>
      <w:r w:rsidRPr="00450096">
        <w:rPr>
          <w:b/>
          <w:sz w:val="24"/>
          <w:szCs w:val="24"/>
        </w:rPr>
        <w:t>HARRISBURG, PA 17120</w:t>
      </w:r>
    </w:p>
    <w:p w:rsidR="00404133" w:rsidRPr="00450096" w:rsidRDefault="00F41A9B" w:rsidP="00404133">
      <w:pPr>
        <w:jc w:val="center"/>
        <w:rPr>
          <w:b/>
          <w:sz w:val="24"/>
          <w:szCs w:val="24"/>
        </w:rPr>
      </w:pPr>
      <w:r w:rsidRPr="00450096">
        <w:rPr>
          <w:b/>
          <w:sz w:val="24"/>
          <w:szCs w:val="24"/>
        </w:rPr>
        <w:t>JULY 10</w:t>
      </w:r>
      <w:r w:rsidR="00404133" w:rsidRPr="00450096">
        <w:rPr>
          <w:b/>
          <w:sz w:val="24"/>
          <w:szCs w:val="24"/>
        </w:rPr>
        <w:t>, 201</w:t>
      </w:r>
      <w:r w:rsidRPr="00450096">
        <w:rPr>
          <w:b/>
          <w:sz w:val="24"/>
          <w:szCs w:val="24"/>
        </w:rPr>
        <w:t>4</w:t>
      </w:r>
    </w:p>
    <w:p w:rsidR="00404133" w:rsidRPr="00AC472A" w:rsidRDefault="00404133" w:rsidP="00404133">
      <w:pPr>
        <w:jc w:val="center"/>
        <w:rPr>
          <w:sz w:val="24"/>
          <w:szCs w:val="24"/>
        </w:rPr>
      </w:pPr>
      <w:r w:rsidRPr="00450096">
        <w:rPr>
          <w:b/>
          <w:sz w:val="24"/>
          <w:szCs w:val="24"/>
        </w:rPr>
        <w:t>1:</w:t>
      </w:r>
      <w:r w:rsidR="00F41A9B" w:rsidRPr="00450096">
        <w:rPr>
          <w:b/>
          <w:sz w:val="24"/>
          <w:szCs w:val="24"/>
        </w:rPr>
        <w:t>3</w:t>
      </w:r>
      <w:r w:rsidRPr="00450096">
        <w:rPr>
          <w:b/>
          <w:sz w:val="24"/>
          <w:szCs w:val="24"/>
        </w:rPr>
        <w:t>0 – 3:30 P.M.</w:t>
      </w:r>
    </w:p>
    <w:p w:rsidR="00404133" w:rsidRDefault="00404133" w:rsidP="00404133">
      <w:pPr>
        <w:jc w:val="both"/>
        <w:rPr>
          <w:szCs w:val="24"/>
        </w:rPr>
      </w:pPr>
    </w:p>
    <w:p w:rsidR="00404133" w:rsidRDefault="00404133" w:rsidP="00404133">
      <w:pPr>
        <w:jc w:val="center"/>
        <w:rPr>
          <w:sz w:val="32"/>
          <w:szCs w:val="32"/>
        </w:rPr>
      </w:pPr>
      <w:r>
        <w:rPr>
          <w:b/>
          <w:sz w:val="32"/>
          <w:szCs w:val="32"/>
          <w:u w:val="single"/>
        </w:rPr>
        <w:t>AGENDA</w:t>
      </w:r>
    </w:p>
    <w:p w:rsidR="00404133" w:rsidRDefault="00404133" w:rsidP="00404133">
      <w:pPr>
        <w:rPr>
          <w:sz w:val="32"/>
          <w:szCs w:val="32"/>
        </w:rPr>
      </w:pPr>
    </w:p>
    <w:p w:rsidR="00404133" w:rsidRDefault="00404133" w:rsidP="00404133">
      <w:pPr>
        <w:rPr>
          <w:sz w:val="32"/>
          <w:szCs w:val="32"/>
        </w:rPr>
      </w:pPr>
    </w:p>
    <w:tbl>
      <w:tblPr>
        <w:tblW w:w="11376" w:type="dxa"/>
        <w:tblInd w:w="198" w:type="dxa"/>
        <w:tblLook w:val="04A0" w:firstRow="1" w:lastRow="0" w:firstColumn="1" w:lastColumn="0" w:noHBand="0" w:noVBand="1"/>
      </w:tblPr>
      <w:tblGrid>
        <w:gridCol w:w="900"/>
        <w:gridCol w:w="5580"/>
        <w:gridCol w:w="2988"/>
        <w:gridCol w:w="1908"/>
      </w:tblGrid>
      <w:tr w:rsidR="00404133" w:rsidTr="00675A36">
        <w:tc>
          <w:tcPr>
            <w:tcW w:w="900" w:type="dxa"/>
            <w:shd w:val="clear" w:color="auto" w:fill="auto"/>
          </w:tcPr>
          <w:p w:rsidR="00404133" w:rsidRPr="00AC472A" w:rsidRDefault="00404133" w:rsidP="00675A36">
            <w:pPr>
              <w:jc w:val="right"/>
              <w:rPr>
                <w:rFonts w:eastAsia="Calibri"/>
                <w:sz w:val="24"/>
                <w:szCs w:val="24"/>
              </w:rPr>
            </w:pPr>
            <w:r w:rsidRPr="00AC472A">
              <w:rPr>
                <w:rFonts w:eastAsia="Calibri"/>
                <w:sz w:val="24"/>
                <w:szCs w:val="24"/>
              </w:rPr>
              <w:t>I.</w:t>
            </w:r>
          </w:p>
        </w:tc>
        <w:tc>
          <w:tcPr>
            <w:tcW w:w="10476" w:type="dxa"/>
            <w:gridSpan w:val="3"/>
            <w:shd w:val="clear" w:color="auto" w:fill="auto"/>
          </w:tcPr>
          <w:p w:rsidR="00404133" w:rsidRPr="00AC472A" w:rsidRDefault="00404133" w:rsidP="00675A36">
            <w:pPr>
              <w:rPr>
                <w:rFonts w:eastAsia="Calibri"/>
                <w:sz w:val="24"/>
                <w:szCs w:val="24"/>
              </w:rPr>
            </w:pPr>
            <w:r w:rsidRPr="00AC472A">
              <w:rPr>
                <w:rFonts w:eastAsia="Calibri"/>
                <w:sz w:val="24"/>
                <w:szCs w:val="24"/>
              </w:rPr>
              <w:t>WELCOME - Paul Diskin, Director, TUS</w:t>
            </w:r>
          </w:p>
        </w:tc>
      </w:tr>
      <w:tr w:rsidR="00404133" w:rsidTr="00675A36">
        <w:tc>
          <w:tcPr>
            <w:tcW w:w="900" w:type="dxa"/>
            <w:shd w:val="clear" w:color="auto" w:fill="auto"/>
          </w:tcPr>
          <w:p w:rsidR="00404133" w:rsidRPr="00AC472A" w:rsidRDefault="00404133" w:rsidP="00675A36">
            <w:pPr>
              <w:jc w:val="right"/>
              <w:rPr>
                <w:rFonts w:eastAsia="Calibri"/>
                <w:sz w:val="24"/>
                <w:szCs w:val="24"/>
              </w:rPr>
            </w:pPr>
          </w:p>
        </w:tc>
        <w:tc>
          <w:tcPr>
            <w:tcW w:w="5580" w:type="dxa"/>
            <w:shd w:val="clear" w:color="auto" w:fill="auto"/>
          </w:tcPr>
          <w:p w:rsidR="00404133" w:rsidRPr="00AC472A" w:rsidRDefault="00404133" w:rsidP="00675A36">
            <w:pPr>
              <w:rPr>
                <w:rFonts w:eastAsia="Calibri"/>
                <w:sz w:val="24"/>
                <w:szCs w:val="24"/>
              </w:rPr>
            </w:pPr>
          </w:p>
        </w:tc>
        <w:tc>
          <w:tcPr>
            <w:tcW w:w="4896" w:type="dxa"/>
            <w:gridSpan w:val="2"/>
            <w:shd w:val="clear" w:color="auto" w:fill="auto"/>
          </w:tcPr>
          <w:p w:rsidR="00404133" w:rsidRPr="00AC472A" w:rsidRDefault="00404133" w:rsidP="00675A36">
            <w:pPr>
              <w:rPr>
                <w:rFonts w:eastAsia="Calibri"/>
                <w:sz w:val="24"/>
                <w:szCs w:val="24"/>
              </w:rPr>
            </w:pPr>
          </w:p>
        </w:tc>
      </w:tr>
      <w:tr w:rsidR="00404133" w:rsidTr="00675A36">
        <w:tc>
          <w:tcPr>
            <w:tcW w:w="900" w:type="dxa"/>
            <w:shd w:val="clear" w:color="auto" w:fill="auto"/>
          </w:tcPr>
          <w:p w:rsidR="00404133" w:rsidRPr="00AC472A" w:rsidRDefault="00404133" w:rsidP="00675A36">
            <w:pPr>
              <w:jc w:val="right"/>
              <w:rPr>
                <w:rFonts w:eastAsia="Calibri"/>
                <w:sz w:val="24"/>
                <w:szCs w:val="24"/>
              </w:rPr>
            </w:pPr>
            <w:r w:rsidRPr="00AC472A">
              <w:rPr>
                <w:rFonts w:eastAsia="Calibri"/>
                <w:sz w:val="24"/>
                <w:szCs w:val="24"/>
              </w:rPr>
              <w:t>II.</w:t>
            </w:r>
          </w:p>
        </w:tc>
        <w:tc>
          <w:tcPr>
            <w:tcW w:w="10476" w:type="dxa"/>
            <w:gridSpan w:val="3"/>
            <w:shd w:val="clear" w:color="auto" w:fill="auto"/>
          </w:tcPr>
          <w:p w:rsidR="00404133" w:rsidRPr="00AC472A" w:rsidRDefault="00404133" w:rsidP="00675A36">
            <w:pPr>
              <w:rPr>
                <w:rFonts w:eastAsia="Calibri"/>
                <w:sz w:val="24"/>
                <w:szCs w:val="24"/>
              </w:rPr>
            </w:pPr>
            <w:r w:rsidRPr="00AC472A">
              <w:rPr>
                <w:rFonts w:eastAsia="Calibri"/>
                <w:sz w:val="24"/>
                <w:szCs w:val="24"/>
              </w:rPr>
              <w:t>INTRODUCTIONS</w:t>
            </w:r>
            <w:r>
              <w:rPr>
                <w:rFonts w:eastAsia="Calibri"/>
                <w:sz w:val="24"/>
                <w:szCs w:val="24"/>
              </w:rPr>
              <w:t xml:space="preserve"> &amp; OPENING REMARKS</w:t>
            </w:r>
            <w:r w:rsidRPr="00AC472A">
              <w:rPr>
                <w:rFonts w:eastAsia="Calibri"/>
                <w:sz w:val="24"/>
                <w:szCs w:val="24"/>
              </w:rPr>
              <w:t xml:space="preserve"> </w:t>
            </w:r>
            <w:r>
              <w:rPr>
                <w:rFonts w:eastAsia="Calibri"/>
                <w:sz w:val="24"/>
                <w:szCs w:val="24"/>
              </w:rPr>
              <w:t>–</w:t>
            </w:r>
            <w:r w:rsidRPr="00AC472A">
              <w:rPr>
                <w:rFonts w:eastAsia="Calibri"/>
                <w:sz w:val="24"/>
                <w:szCs w:val="24"/>
              </w:rPr>
              <w:t xml:space="preserve"> </w:t>
            </w:r>
            <w:r>
              <w:rPr>
                <w:rFonts w:eastAsia="Calibri"/>
                <w:sz w:val="24"/>
                <w:szCs w:val="24"/>
              </w:rPr>
              <w:t>Darren Gill, Deputy Director, TUS</w:t>
            </w:r>
          </w:p>
        </w:tc>
      </w:tr>
      <w:tr w:rsidR="00404133" w:rsidTr="00675A36">
        <w:tc>
          <w:tcPr>
            <w:tcW w:w="900" w:type="dxa"/>
            <w:shd w:val="clear" w:color="auto" w:fill="auto"/>
          </w:tcPr>
          <w:p w:rsidR="00404133" w:rsidRPr="00AC472A" w:rsidRDefault="00404133" w:rsidP="00675A36">
            <w:pPr>
              <w:jc w:val="right"/>
              <w:rPr>
                <w:rFonts w:eastAsia="Calibri"/>
                <w:sz w:val="24"/>
                <w:szCs w:val="24"/>
              </w:rPr>
            </w:pPr>
          </w:p>
        </w:tc>
        <w:tc>
          <w:tcPr>
            <w:tcW w:w="5580" w:type="dxa"/>
            <w:shd w:val="clear" w:color="auto" w:fill="auto"/>
          </w:tcPr>
          <w:p w:rsidR="00404133" w:rsidRPr="00AC472A" w:rsidRDefault="00404133" w:rsidP="00675A36">
            <w:pPr>
              <w:rPr>
                <w:rFonts w:eastAsia="Calibri"/>
                <w:sz w:val="24"/>
                <w:szCs w:val="24"/>
              </w:rPr>
            </w:pPr>
          </w:p>
        </w:tc>
        <w:tc>
          <w:tcPr>
            <w:tcW w:w="4896" w:type="dxa"/>
            <w:gridSpan w:val="2"/>
            <w:shd w:val="clear" w:color="auto" w:fill="auto"/>
          </w:tcPr>
          <w:p w:rsidR="00404133" w:rsidRPr="00AC472A" w:rsidRDefault="00404133" w:rsidP="00675A36">
            <w:pPr>
              <w:rPr>
                <w:rFonts w:eastAsia="Calibri"/>
                <w:sz w:val="24"/>
                <w:szCs w:val="24"/>
              </w:rPr>
            </w:pPr>
          </w:p>
        </w:tc>
      </w:tr>
      <w:tr w:rsidR="00404133" w:rsidTr="00675A36">
        <w:tc>
          <w:tcPr>
            <w:tcW w:w="900" w:type="dxa"/>
            <w:shd w:val="clear" w:color="auto" w:fill="auto"/>
          </w:tcPr>
          <w:p w:rsidR="00404133" w:rsidRPr="00AC472A" w:rsidRDefault="00404133" w:rsidP="00675A36">
            <w:pPr>
              <w:jc w:val="right"/>
              <w:rPr>
                <w:rFonts w:eastAsia="Calibri"/>
                <w:sz w:val="24"/>
                <w:szCs w:val="24"/>
              </w:rPr>
            </w:pPr>
            <w:r w:rsidRPr="00AC472A">
              <w:rPr>
                <w:rFonts w:eastAsia="Calibri"/>
                <w:sz w:val="24"/>
                <w:szCs w:val="24"/>
              </w:rPr>
              <w:t>I</w:t>
            </w:r>
            <w:r>
              <w:rPr>
                <w:rFonts w:eastAsia="Calibri"/>
                <w:sz w:val="24"/>
                <w:szCs w:val="24"/>
              </w:rPr>
              <w:t>II</w:t>
            </w:r>
            <w:r w:rsidRPr="00AC472A">
              <w:rPr>
                <w:rFonts w:eastAsia="Calibri"/>
                <w:sz w:val="24"/>
                <w:szCs w:val="24"/>
              </w:rPr>
              <w:t>.</w:t>
            </w:r>
          </w:p>
        </w:tc>
        <w:tc>
          <w:tcPr>
            <w:tcW w:w="10476" w:type="dxa"/>
            <w:gridSpan w:val="3"/>
            <w:shd w:val="clear" w:color="auto" w:fill="auto"/>
          </w:tcPr>
          <w:p w:rsidR="00404133" w:rsidRPr="00FA0DC7" w:rsidRDefault="00404133" w:rsidP="005138E9">
            <w:pPr>
              <w:ind w:right="1818"/>
              <w:rPr>
                <w:rFonts w:eastAsia="Calibri"/>
                <w:sz w:val="24"/>
                <w:szCs w:val="24"/>
              </w:rPr>
            </w:pPr>
            <w:r>
              <w:rPr>
                <w:rFonts w:eastAsia="Calibri"/>
                <w:sz w:val="24"/>
                <w:szCs w:val="24"/>
              </w:rPr>
              <w:t xml:space="preserve">PRESENTATION OF </w:t>
            </w:r>
            <w:r w:rsidR="00A0034F">
              <w:rPr>
                <w:rFonts w:eastAsia="Calibri"/>
                <w:sz w:val="24"/>
                <w:szCs w:val="24"/>
              </w:rPr>
              <w:t>ENERGY EFFICIENCY MARKET POTENTIAL STUDY METHODOLOGY</w:t>
            </w:r>
            <w:r>
              <w:rPr>
                <w:rFonts w:eastAsia="Calibri"/>
                <w:sz w:val="24"/>
                <w:szCs w:val="24"/>
              </w:rPr>
              <w:t xml:space="preserve"> (30 min) – </w:t>
            </w:r>
            <w:r w:rsidR="005138E9">
              <w:rPr>
                <w:rFonts w:eastAsia="Calibri"/>
                <w:sz w:val="24"/>
                <w:szCs w:val="24"/>
              </w:rPr>
              <w:t>Jeffrey Huber and Patrick Burns</w:t>
            </w:r>
            <w:r>
              <w:rPr>
                <w:rFonts w:eastAsia="Calibri"/>
                <w:sz w:val="24"/>
                <w:szCs w:val="24"/>
              </w:rPr>
              <w:t>, Statewide Evaluator Team</w:t>
            </w:r>
          </w:p>
        </w:tc>
      </w:tr>
      <w:tr w:rsidR="00404133" w:rsidTr="00675A36">
        <w:tc>
          <w:tcPr>
            <w:tcW w:w="900" w:type="dxa"/>
            <w:shd w:val="clear" w:color="auto" w:fill="auto"/>
          </w:tcPr>
          <w:p w:rsidR="00404133" w:rsidRPr="00AC472A" w:rsidRDefault="00404133" w:rsidP="00675A36">
            <w:pPr>
              <w:jc w:val="right"/>
              <w:rPr>
                <w:rFonts w:eastAsia="Calibri"/>
                <w:sz w:val="24"/>
                <w:szCs w:val="24"/>
              </w:rPr>
            </w:pPr>
          </w:p>
        </w:tc>
        <w:tc>
          <w:tcPr>
            <w:tcW w:w="8568" w:type="dxa"/>
            <w:gridSpan w:val="2"/>
            <w:shd w:val="clear" w:color="auto" w:fill="auto"/>
          </w:tcPr>
          <w:p w:rsidR="00404133" w:rsidRPr="00AC472A" w:rsidRDefault="00404133" w:rsidP="00675A36">
            <w:pPr>
              <w:rPr>
                <w:rFonts w:eastAsia="Calibri"/>
                <w:sz w:val="24"/>
                <w:szCs w:val="24"/>
              </w:rPr>
            </w:pPr>
          </w:p>
        </w:tc>
        <w:tc>
          <w:tcPr>
            <w:tcW w:w="1908" w:type="dxa"/>
            <w:shd w:val="clear" w:color="auto" w:fill="auto"/>
          </w:tcPr>
          <w:p w:rsidR="00404133" w:rsidRPr="00610FC9" w:rsidRDefault="00404133" w:rsidP="00675A36">
            <w:pPr>
              <w:rPr>
                <w:rFonts w:eastAsia="Calibri"/>
                <w:szCs w:val="24"/>
              </w:rPr>
            </w:pPr>
          </w:p>
        </w:tc>
      </w:tr>
      <w:tr w:rsidR="00404133" w:rsidTr="00675A36">
        <w:tc>
          <w:tcPr>
            <w:tcW w:w="900" w:type="dxa"/>
            <w:shd w:val="clear" w:color="auto" w:fill="auto"/>
          </w:tcPr>
          <w:p w:rsidR="00404133" w:rsidRPr="00AC472A" w:rsidRDefault="00404133" w:rsidP="00675A36">
            <w:pPr>
              <w:jc w:val="right"/>
              <w:rPr>
                <w:rFonts w:eastAsia="Calibri"/>
                <w:sz w:val="24"/>
                <w:szCs w:val="24"/>
              </w:rPr>
            </w:pPr>
            <w:r>
              <w:rPr>
                <w:rFonts w:eastAsia="Calibri"/>
                <w:sz w:val="24"/>
                <w:szCs w:val="24"/>
              </w:rPr>
              <w:t>I</w:t>
            </w:r>
            <w:r w:rsidRPr="00AC472A">
              <w:rPr>
                <w:rFonts w:eastAsia="Calibri"/>
                <w:sz w:val="24"/>
                <w:szCs w:val="24"/>
              </w:rPr>
              <w:t>V.</w:t>
            </w:r>
          </w:p>
        </w:tc>
        <w:tc>
          <w:tcPr>
            <w:tcW w:w="8568" w:type="dxa"/>
            <w:gridSpan w:val="2"/>
            <w:shd w:val="clear" w:color="auto" w:fill="auto"/>
          </w:tcPr>
          <w:p w:rsidR="00404133" w:rsidRPr="00AC472A" w:rsidRDefault="00404133" w:rsidP="00A0034F">
            <w:pPr>
              <w:rPr>
                <w:rFonts w:eastAsia="Calibri"/>
                <w:sz w:val="24"/>
                <w:szCs w:val="24"/>
              </w:rPr>
            </w:pPr>
            <w:r>
              <w:rPr>
                <w:rFonts w:eastAsia="Calibri"/>
                <w:sz w:val="24"/>
                <w:szCs w:val="24"/>
              </w:rPr>
              <w:t xml:space="preserve">QUESTION &amp; ANSWER SESSION REGARDING </w:t>
            </w:r>
            <w:r w:rsidR="00A0034F">
              <w:rPr>
                <w:rFonts w:eastAsia="Calibri"/>
                <w:sz w:val="24"/>
                <w:szCs w:val="24"/>
              </w:rPr>
              <w:t>ENERGY EFFICIENCY MARKET POTENTIAL STUDY METHODOLOGY</w:t>
            </w:r>
            <w:r>
              <w:rPr>
                <w:rFonts w:eastAsia="Calibri"/>
                <w:sz w:val="24"/>
                <w:szCs w:val="24"/>
              </w:rPr>
              <w:t xml:space="preserve"> (30 min)</w:t>
            </w:r>
          </w:p>
        </w:tc>
        <w:tc>
          <w:tcPr>
            <w:tcW w:w="1908" w:type="dxa"/>
            <w:shd w:val="clear" w:color="auto" w:fill="auto"/>
          </w:tcPr>
          <w:p w:rsidR="00404133" w:rsidRPr="00610FC9" w:rsidRDefault="00404133" w:rsidP="00675A36">
            <w:pPr>
              <w:rPr>
                <w:rFonts w:eastAsia="Calibri"/>
                <w:szCs w:val="24"/>
              </w:rPr>
            </w:pPr>
          </w:p>
        </w:tc>
      </w:tr>
      <w:tr w:rsidR="00404133" w:rsidTr="00675A36">
        <w:tc>
          <w:tcPr>
            <w:tcW w:w="900" w:type="dxa"/>
            <w:shd w:val="clear" w:color="auto" w:fill="auto"/>
          </w:tcPr>
          <w:p w:rsidR="00404133" w:rsidRPr="00AC472A" w:rsidRDefault="00404133" w:rsidP="00675A36">
            <w:pPr>
              <w:jc w:val="right"/>
              <w:rPr>
                <w:rFonts w:eastAsia="Calibri"/>
                <w:sz w:val="24"/>
                <w:szCs w:val="24"/>
              </w:rPr>
            </w:pPr>
          </w:p>
        </w:tc>
        <w:tc>
          <w:tcPr>
            <w:tcW w:w="8568" w:type="dxa"/>
            <w:gridSpan w:val="2"/>
            <w:shd w:val="clear" w:color="auto" w:fill="auto"/>
          </w:tcPr>
          <w:p w:rsidR="00404133" w:rsidRPr="00AC472A" w:rsidRDefault="00404133" w:rsidP="00675A36">
            <w:pPr>
              <w:rPr>
                <w:rFonts w:eastAsia="Calibri"/>
                <w:sz w:val="24"/>
                <w:szCs w:val="24"/>
              </w:rPr>
            </w:pPr>
          </w:p>
        </w:tc>
        <w:tc>
          <w:tcPr>
            <w:tcW w:w="1908" w:type="dxa"/>
            <w:shd w:val="clear" w:color="auto" w:fill="auto"/>
          </w:tcPr>
          <w:p w:rsidR="00404133" w:rsidRPr="00610FC9" w:rsidRDefault="00404133" w:rsidP="00675A36">
            <w:pPr>
              <w:rPr>
                <w:rFonts w:eastAsia="Calibri"/>
                <w:szCs w:val="24"/>
              </w:rPr>
            </w:pPr>
          </w:p>
        </w:tc>
      </w:tr>
      <w:tr w:rsidR="00404133" w:rsidTr="00675A36">
        <w:tc>
          <w:tcPr>
            <w:tcW w:w="900" w:type="dxa"/>
            <w:shd w:val="clear" w:color="auto" w:fill="auto"/>
          </w:tcPr>
          <w:p w:rsidR="00404133" w:rsidRPr="00AC472A" w:rsidRDefault="00404133" w:rsidP="00675A36">
            <w:pPr>
              <w:jc w:val="right"/>
              <w:rPr>
                <w:rFonts w:eastAsia="Calibri"/>
                <w:sz w:val="24"/>
                <w:szCs w:val="24"/>
              </w:rPr>
            </w:pPr>
            <w:r>
              <w:rPr>
                <w:rFonts w:eastAsia="Calibri"/>
                <w:sz w:val="24"/>
                <w:szCs w:val="24"/>
              </w:rPr>
              <w:t>V.</w:t>
            </w:r>
          </w:p>
        </w:tc>
        <w:tc>
          <w:tcPr>
            <w:tcW w:w="8568" w:type="dxa"/>
            <w:gridSpan w:val="2"/>
            <w:shd w:val="clear" w:color="auto" w:fill="auto"/>
          </w:tcPr>
          <w:p w:rsidR="00404133" w:rsidRPr="00FA0DC7" w:rsidRDefault="00404133" w:rsidP="005138E9">
            <w:pPr>
              <w:rPr>
                <w:rFonts w:eastAsia="Calibri"/>
                <w:sz w:val="24"/>
                <w:szCs w:val="24"/>
              </w:rPr>
            </w:pPr>
            <w:r>
              <w:rPr>
                <w:rFonts w:eastAsia="Calibri"/>
                <w:sz w:val="24"/>
                <w:szCs w:val="24"/>
              </w:rPr>
              <w:t xml:space="preserve">PRESENTATION OF </w:t>
            </w:r>
            <w:r w:rsidR="00A0034F">
              <w:rPr>
                <w:rFonts w:eastAsia="Calibri"/>
                <w:sz w:val="24"/>
                <w:szCs w:val="24"/>
              </w:rPr>
              <w:t>DEMAND RESPONSE MARKET POTENTIAL STUDY METHODOLOGY</w:t>
            </w:r>
            <w:r>
              <w:rPr>
                <w:rFonts w:eastAsia="Calibri"/>
                <w:sz w:val="24"/>
                <w:szCs w:val="24"/>
              </w:rPr>
              <w:t xml:space="preserve"> (30 min) – </w:t>
            </w:r>
            <w:r w:rsidR="005138E9">
              <w:rPr>
                <w:rFonts w:eastAsia="Calibri"/>
                <w:sz w:val="24"/>
                <w:szCs w:val="24"/>
              </w:rPr>
              <w:t>Dick Spellman and Jesse Smith</w:t>
            </w:r>
            <w:r>
              <w:rPr>
                <w:rFonts w:eastAsia="Calibri"/>
                <w:sz w:val="24"/>
                <w:szCs w:val="24"/>
              </w:rPr>
              <w:t>, Statewide Evaluator Team</w:t>
            </w:r>
          </w:p>
        </w:tc>
        <w:tc>
          <w:tcPr>
            <w:tcW w:w="1908" w:type="dxa"/>
            <w:shd w:val="clear" w:color="auto" w:fill="auto"/>
          </w:tcPr>
          <w:p w:rsidR="00404133" w:rsidRPr="00610FC9" w:rsidRDefault="00404133" w:rsidP="00675A36">
            <w:pPr>
              <w:rPr>
                <w:rFonts w:eastAsia="Calibri"/>
                <w:szCs w:val="24"/>
              </w:rPr>
            </w:pPr>
          </w:p>
        </w:tc>
      </w:tr>
      <w:tr w:rsidR="00404133" w:rsidTr="00675A36">
        <w:tc>
          <w:tcPr>
            <w:tcW w:w="900" w:type="dxa"/>
            <w:shd w:val="clear" w:color="auto" w:fill="auto"/>
          </w:tcPr>
          <w:p w:rsidR="00404133" w:rsidRPr="00AC472A" w:rsidRDefault="00404133" w:rsidP="00675A36">
            <w:pPr>
              <w:jc w:val="right"/>
              <w:rPr>
                <w:rFonts w:eastAsia="Calibri"/>
                <w:sz w:val="24"/>
                <w:szCs w:val="24"/>
              </w:rPr>
            </w:pPr>
          </w:p>
        </w:tc>
        <w:tc>
          <w:tcPr>
            <w:tcW w:w="8568" w:type="dxa"/>
            <w:gridSpan w:val="2"/>
            <w:shd w:val="clear" w:color="auto" w:fill="auto"/>
          </w:tcPr>
          <w:p w:rsidR="00404133" w:rsidRPr="00AC472A" w:rsidRDefault="00404133" w:rsidP="00675A36">
            <w:pPr>
              <w:rPr>
                <w:rFonts w:eastAsia="Calibri"/>
                <w:sz w:val="24"/>
                <w:szCs w:val="24"/>
              </w:rPr>
            </w:pPr>
          </w:p>
        </w:tc>
        <w:tc>
          <w:tcPr>
            <w:tcW w:w="1908" w:type="dxa"/>
            <w:shd w:val="clear" w:color="auto" w:fill="auto"/>
          </w:tcPr>
          <w:p w:rsidR="00404133" w:rsidRPr="00610FC9" w:rsidRDefault="00404133" w:rsidP="00675A36">
            <w:pPr>
              <w:rPr>
                <w:rFonts w:eastAsia="Calibri"/>
                <w:szCs w:val="24"/>
              </w:rPr>
            </w:pPr>
          </w:p>
        </w:tc>
      </w:tr>
      <w:tr w:rsidR="00404133" w:rsidTr="00675A36">
        <w:tc>
          <w:tcPr>
            <w:tcW w:w="900" w:type="dxa"/>
            <w:shd w:val="clear" w:color="auto" w:fill="auto"/>
          </w:tcPr>
          <w:p w:rsidR="00404133" w:rsidRPr="00AC472A" w:rsidRDefault="00404133" w:rsidP="00675A36">
            <w:pPr>
              <w:jc w:val="right"/>
              <w:rPr>
                <w:rFonts w:eastAsia="Calibri"/>
                <w:sz w:val="24"/>
                <w:szCs w:val="24"/>
              </w:rPr>
            </w:pPr>
            <w:r>
              <w:rPr>
                <w:rFonts w:eastAsia="Calibri"/>
                <w:sz w:val="24"/>
                <w:szCs w:val="24"/>
              </w:rPr>
              <w:t>VI.</w:t>
            </w:r>
          </w:p>
        </w:tc>
        <w:tc>
          <w:tcPr>
            <w:tcW w:w="8568" w:type="dxa"/>
            <w:gridSpan w:val="2"/>
            <w:shd w:val="clear" w:color="auto" w:fill="auto"/>
          </w:tcPr>
          <w:p w:rsidR="00404133" w:rsidRPr="00AC472A" w:rsidRDefault="00404133" w:rsidP="00A0034F">
            <w:pPr>
              <w:rPr>
                <w:rFonts w:eastAsia="Calibri"/>
                <w:sz w:val="24"/>
                <w:szCs w:val="24"/>
              </w:rPr>
            </w:pPr>
            <w:r>
              <w:rPr>
                <w:rFonts w:eastAsia="Calibri"/>
                <w:sz w:val="24"/>
                <w:szCs w:val="24"/>
              </w:rPr>
              <w:t>QUEST</w:t>
            </w:r>
            <w:r w:rsidR="00A0034F">
              <w:rPr>
                <w:rFonts w:eastAsia="Calibri"/>
                <w:sz w:val="24"/>
                <w:szCs w:val="24"/>
              </w:rPr>
              <w:t>ION &amp; ANSWER SESSION REGARDING DEMAND RESPONSE POTENTIAL STUDY METHODOLOGY</w:t>
            </w:r>
            <w:r>
              <w:rPr>
                <w:rFonts w:eastAsia="Calibri"/>
                <w:sz w:val="24"/>
                <w:szCs w:val="24"/>
              </w:rPr>
              <w:t xml:space="preserve"> (30 min)</w:t>
            </w:r>
          </w:p>
        </w:tc>
        <w:tc>
          <w:tcPr>
            <w:tcW w:w="1908" w:type="dxa"/>
            <w:shd w:val="clear" w:color="auto" w:fill="auto"/>
          </w:tcPr>
          <w:p w:rsidR="00404133" w:rsidRPr="00610FC9" w:rsidRDefault="00404133" w:rsidP="00675A36">
            <w:pPr>
              <w:rPr>
                <w:rFonts w:eastAsia="Calibri"/>
                <w:szCs w:val="24"/>
              </w:rPr>
            </w:pPr>
          </w:p>
        </w:tc>
      </w:tr>
      <w:tr w:rsidR="00404133" w:rsidTr="00675A36">
        <w:tc>
          <w:tcPr>
            <w:tcW w:w="900" w:type="dxa"/>
            <w:shd w:val="clear" w:color="auto" w:fill="auto"/>
          </w:tcPr>
          <w:p w:rsidR="00404133" w:rsidRPr="00AC472A" w:rsidRDefault="00404133" w:rsidP="00675A36">
            <w:pPr>
              <w:jc w:val="right"/>
              <w:rPr>
                <w:rFonts w:eastAsia="Calibri"/>
                <w:sz w:val="24"/>
                <w:szCs w:val="24"/>
              </w:rPr>
            </w:pPr>
          </w:p>
        </w:tc>
        <w:tc>
          <w:tcPr>
            <w:tcW w:w="8568" w:type="dxa"/>
            <w:gridSpan w:val="2"/>
            <w:shd w:val="clear" w:color="auto" w:fill="auto"/>
          </w:tcPr>
          <w:p w:rsidR="00404133" w:rsidRPr="00AC472A" w:rsidRDefault="00404133" w:rsidP="00675A36">
            <w:pPr>
              <w:rPr>
                <w:rFonts w:eastAsia="Calibri"/>
                <w:sz w:val="24"/>
                <w:szCs w:val="24"/>
              </w:rPr>
            </w:pPr>
          </w:p>
        </w:tc>
        <w:tc>
          <w:tcPr>
            <w:tcW w:w="1908" w:type="dxa"/>
            <w:shd w:val="clear" w:color="auto" w:fill="auto"/>
          </w:tcPr>
          <w:p w:rsidR="00404133" w:rsidRPr="00610FC9" w:rsidRDefault="00404133" w:rsidP="00675A36">
            <w:pPr>
              <w:rPr>
                <w:rFonts w:eastAsia="Calibri"/>
                <w:szCs w:val="24"/>
              </w:rPr>
            </w:pPr>
          </w:p>
        </w:tc>
      </w:tr>
      <w:tr w:rsidR="00404133" w:rsidTr="00675A36">
        <w:tc>
          <w:tcPr>
            <w:tcW w:w="900" w:type="dxa"/>
            <w:shd w:val="clear" w:color="auto" w:fill="auto"/>
          </w:tcPr>
          <w:p w:rsidR="00404133" w:rsidRPr="00AC472A" w:rsidRDefault="00404133" w:rsidP="00675A36">
            <w:pPr>
              <w:jc w:val="right"/>
              <w:rPr>
                <w:rFonts w:eastAsia="Calibri"/>
                <w:sz w:val="24"/>
                <w:szCs w:val="24"/>
              </w:rPr>
            </w:pPr>
            <w:r>
              <w:rPr>
                <w:rFonts w:eastAsia="Calibri"/>
                <w:sz w:val="24"/>
                <w:szCs w:val="24"/>
              </w:rPr>
              <w:t>VII.</w:t>
            </w:r>
          </w:p>
        </w:tc>
        <w:tc>
          <w:tcPr>
            <w:tcW w:w="8568" w:type="dxa"/>
            <w:gridSpan w:val="2"/>
            <w:shd w:val="clear" w:color="auto" w:fill="auto"/>
          </w:tcPr>
          <w:p w:rsidR="00404133" w:rsidRPr="00AC472A" w:rsidRDefault="00404133" w:rsidP="00675A36">
            <w:pPr>
              <w:rPr>
                <w:rFonts w:eastAsia="Calibri"/>
                <w:sz w:val="24"/>
                <w:szCs w:val="24"/>
              </w:rPr>
            </w:pPr>
            <w:r w:rsidRPr="00AC472A">
              <w:rPr>
                <w:rFonts w:eastAsia="Calibri"/>
                <w:sz w:val="24"/>
                <w:szCs w:val="24"/>
              </w:rPr>
              <w:t>CLOSING</w:t>
            </w:r>
            <w:r>
              <w:rPr>
                <w:rFonts w:eastAsia="Calibri"/>
                <w:sz w:val="24"/>
                <w:szCs w:val="24"/>
              </w:rPr>
              <w:t xml:space="preserve"> REMARKS – Darren Gill, Deputy Director, TUS</w:t>
            </w:r>
          </w:p>
        </w:tc>
        <w:tc>
          <w:tcPr>
            <w:tcW w:w="1908" w:type="dxa"/>
            <w:shd w:val="clear" w:color="auto" w:fill="auto"/>
          </w:tcPr>
          <w:p w:rsidR="00404133" w:rsidRPr="00610FC9" w:rsidRDefault="00404133" w:rsidP="00675A36">
            <w:pPr>
              <w:rPr>
                <w:rFonts w:eastAsia="Calibri"/>
                <w:szCs w:val="24"/>
              </w:rPr>
            </w:pPr>
          </w:p>
        </w:tc>
      </w:tr>
    </w:tbl>
    <w:p w:rsidR="00404133" w:rsidRDefault="00404133" w:rsidP="006E7EF7">
      <w:pPr>
        <w:jc w:val="both"/>
        <w:rPr>
          <w:sz w:val="26"/>
          <w:szCs w:val="26"/>
        </w:rPr>
      </w:pPr>
    </w:p>
    <w:sectPr w:rsidR="00404133" w:rsidSect="004B781B">
      <w:footerReference w:type="even" r:id="rId12"/>
      <w:footerReference w:type="default" r:id="rId13"/>
      <w:footerReference w:type="first" r:id="rId14"/>
      <w:pgSz w:w="12240" w:h="15840"/>
      <w:pgMar w:top="432" w:right="1440" w:bottom="144" w:left="144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531" w:rsidRDefault="00480531">
      <w:r>
        <w:separator/>
      </w:r>
    </w:p>
  </w:endnote>
  <w:endnote w:type="continuationSeparator" w:id="0">
    <w:p w:rsidR="00480531" w:rsidRDefault="00480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A36" w:rsidRDefault="00675A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675A36" w:rsidRDefault="00675A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812345"/>
      <w:docPartObj>
        <w:docPartGallery w:val="Page Numbers (Bottom of Page)"/>
        <w:docPartUnique/>
      </w:docPartObj>
    </w:sdtPr>
    <w:sdtEndPr/>
    <w:sdtContent>
      <w:p w:rsidR="00675A36" w:rsidRDefault="00675A36">
        <w:pPr>
          <w:pStyle w:val="Footer"/>
          <w:jc w:val="center"/>
        </w:pPr>
        <w:r w:rsidRPr="00AD0A9B">
          <w:rPr>
            <w:sz w:val="26"/>
            <w:szCs w:val="26"/>
          </w:rPr>
          <w:fldChar w:fldCharType="begin"/>
        </w:r>
        <w:r w:rsidRPr="00AD0A9B">
          <w:rPr>
            <w:sz w:val="26"/>
            <w:szCs w:val="26"/>
          </w:rPr>
          <w:instrText xml:space="preserve"> PAGE   \* MERGEFORMAT </w:instrText>
        </w:r>
        <w:r w:rsidRPr="00AD0A9B">
          <w:rPr>
            <w:sz w:val="26"/>
            <w:szCs w:val="26"/>
          </w:rPr>
          <w:fldChar w:fldCharType="separate"/>
        </w:r>
        <w:r w:rsidR="0046748B">
          <w:rPr>
            <w:noProof/>
            <w:sz w:val="26"/>
            <w:szCs w:val="26"/>
          </w:rPr>
          <w:t>2</w:t>
        </w:r>
        <w:r w:rsidRPr="00AD0A9B">
          <w:rPr>
            <w:sz w:val="26"/>
            <w:szCs w:val="26"/>
          </w:rPr>
          <w:fldChar w:fldCharType="end"/>
        </w:r>
      </w:p>
    </w:sdtContent>
  </w:sdt>
  <w:p w:rsidR="00675A36" w:rsidRDefault="00675A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4542281"/>
      <w:docPartObj>
        <w:docPartGallery w:val="Page Numbers (Bottom of Page)"/>
        <w:docPartUnique/>
      </w:docPartObj>
    </w:sdtPr>
    <w:sdtEndPr>
      <w:rPr>
        <w:noProof/>
      </w:rPr>
    </w:sdtEndPr>
    <w:sdtContent>
      <w:p w:rsidR="00675A36" w:rsidRDefault="00675A36">
        <w:pPr>
          <w:pStyle w:val="Footer"/>
          <w:jc w:val="center"/>
        </w:pPr>
        <w:r>
          <w:fldChar w:fldCharType="begin"/>
        </w:r>
        <w:r>
          <w:instrText xml:space="preserve"> PAGE   \* MERGEFORMAT </w:instrText>
        </w:r>
        <w:r>
          <w:fldChar w:fldCharType="separate"/>
        </w:r>
        <w:r w:rsidR="0046748B">
          <w:rPr>
            <w:noProof/>
          </w:rPr>
          <w:t>1</w:t>
        </w:r>
        <w:r>
          <w:rPr>
            <w:noProof/>
          </w:rPr>
          <w:fldChar w:fldCharType="end"/>
        </w:r>
      </w:p>
    </w:sdtContent>
  </w:sdt>
  <w:p w:rsidR="00675A36" w:rsidRDefault="00675A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531" w:rsidRDefault="00480531">
      <w:r>
        <w:separator/>
      </w:r>
    </w:p>
  </w:footnote>
  <w:footnote w:type="continuationSeparator" w:id="0">
    <w:p w:rsidR="00480531" w:rsidRDefault="00480531">
      <w:r>
        <w:continuationSeparator/>
      </w:r>
    </w:p>
  </w:footnote>
  <w:footnote w:id="1">
    <w:p w:rsidR="00E43A98" w:rsidRPr="009070CE" w:rsidRDefault="00E43A98" w:rsidP="00E43A98">
      <w:pPr>
        <w:pStyle w:val="FootnoteText"/>
      </w:pPr>
      <w:r w:rsidRPr="009070CE">
        <w:rPr>
          <w:rStyle w:val="FootnoteReference"/>
        </w:rPr>
        <w:footnoteRef/>
      </w:r>
      <w:r w:rsidRPr="009070CE">
        <w:t xml:space="preserve"> </w:t>
      </w:r>
      <w:r w:rsidRPr="009070CE">
        <w:rPr>
          <w:i/>
        </w:rPr>
        <w:t>See</w:t>
      </w:r>
      <w:r w:rsidR="0046411C" w:rsidRPr="009070CE">
        <w:rPr>
          <w:i/>
        </w:rPr>
        <w:t>,</w:t>
      </w:r>
      <w:r w:rsidRPr="009070CE">
        <w:rPr>
          <w:i/>
        </w:rPr>
        <w:t xml:space="preserve"> Request for Proposals – Act 129 Statewide Evaluator</w:t>
      </w:r>
      <w:r w:rsidRPr="009070CE">
        <w:t xml:space="preserve">, RFP-2012-8, Pennsylvania Public Utility Commission – Bureau </w:t>
      </w:r>
      <w:r w:rsidR="00423966">
        <w:t>of Technical Utility Services, (</w:t>
      </w:r>
      <w:r w:rsidRPr="009070CE">
        <w:t>November 30, 2012</w:t>
      </w:r>
      <w:r w:rsidR="00423966">
        <w:t>)</w:t>
      </w:r>
      <w:r w:rsidRPr="009070CE">
        <w:t>.</w:t>
      </w:r>
    </w:p>
  </w:footnote>
  <w:footnote w:id="2">
    <w:p w:rsidR="00E43A98" w:rsidRPr="009070CE" w:rsidRDefault="00E43A98" w:rsidP="00E43A98">
      <w:pPr>
        <w:pStyle w:val="FootnoteText"/>
      </w:pPr>
      <w:r w:rsidRPr="009070CE">
        <w:rPr>
          <w:rStyle w:val="FootnoteReference"/>
        </w:rPr>
        <w:footnoteRef/>
      </w:r>
      <w:r w:rsidRPr="009070CE">
        <w:t xml:space="preserve"> </w:t>
      </w:r>
      <w:r w:rsidRPr="009070CE">
        <w:rPr>
          <w:i/>
        </w:rPr>
        <w:t>See</w:t>
      </w:r>
      <w:r w:rsidR="0046411C" w:rsidRPr="009070CE">
        <w:rPr>
          <w:i/>
        </w:rPr>
        <w:t>,</w:t>
      </w:r>
      <w:r w:rsidRPr="009070CE">
        <w:rPr>
          <w:i/>
        </w:rPr>
        <w:t xml:space="preserve"> Energy Efficiency and Conservation Program</w:t>
      </w:r>
      <w:r w:rsidRPr="009070CE">
        <w:t xml:space="preserve"> Final Order, at Docket No. M-2012-2289411, </w:t>
      </w:r>
      <w:r w:rsidR="00423966">
        <w:t>(</w:t>
      </w:r>
      <w:r w:rsidRPr="009070CE">
        <w:t>February 20, 2014</w:t>
      </w:r>
      <w:r w:rsidR="00423966">
        <w:t>)</w:t>
      </w:r>
      <w:r w:rsidRPr="009070CE">
        <w:t>.</w:t>
      </w:r>
    </w:p>
  </w:footnote>
  <w:footnote w:id="3">
    <w:p w:rsidR="006659D1" w:rsidRPr="009070CE" w:rsidRDefault="006659D1">
      <w:pPr>
        <w:pStyle w:val="FootnoteText"/>
      </w:pPr>
      <w:r w:rsidRPr="009070CE">
        <w:rPr>
          <w:rStyle w:val="FootnoteReference"/>
        </w:rPr>
        <w:footnoteRef/>
      </w:r>
      <w:r w:rsidRPr="009070CE">
        <w:t xml:space="preserve"> </w:t>
      </w:r>
      <w:hyperlink r:id="rId1" w:history="1">
        <w:r w:rsidRPr="009070CE">
          <w:rPr>
            <w:rStyle w:val="Hyperlink"/>
          </w:rPr>
          <w:t>http://www.puc.pa.gov/filing_resources/issues_laws_regulations/act_129_information/act_129_statewide_evaluator_swe_.aspx</w:t>
        </w:r>
      </w:hyperlink>
      <w:r w:rsidRPr="009070CE">
        <w:t xml:space="preserve">. </w:t>
      </w:r>
    </w:p>
  </w:footnote>
  <w:footnote w:id="4">
    <w:p w:rsidR="00BD08AE" w:rsidRPr="009070CE" w:rsidRDefault="00BD08AE" w:rsidP="00BD08AE">
      <w:pPr>
        <w:pStyle w:val="FootnoteText"/>
      </w:pPr>
      <w:r w:rsidRPr="009070CE">
        <w:rPr>
          <w:rStyle w:val="FootnoteReference"/>
        </w:rPr>
        <w:footnoteRef/>
      </w:r>
      <w:r w:rsidRPr="009070CE">
        <w:t xml:space="preserve"> </w:t>
      </w:r>
      <w:r w:rsidRPr="009070CE">
        <w:rPr>
          <w:i/>
        </w:rPr>
        <w:t>See</w:t>
      </w:r>
      <w:r w:rsidR="002A0616" w:rsidRPr="009070CE">
        <w:rPr>
          <w:i/>
        </w:rPr>
        <w:t>,</w:t>
      </w:r>
      <w:r w:rsidRPr="009070CE">
        <w:rPr>
          <w:i/>
        </w:rPr>
        <w:t xml:space="preserve"> Energy Efficiency and Conservation Program</w:t>
      </w:r>
      <w:r w:rsidRPr="009070CE">
        <w:t xml:space="preserve"> Tentative Order, Docket Nos. M-2012-2289411 and M-2008-2069887, (November 14, 2013).</w:t>
      </w:r>
    </w:p>
  </w:footnote>
  <w:footnote w:id="5">
    <w:p w:rsidR="00BD08AE" w:rsidRPr="009070CE" w:rsidRDefault="00BD08AE" w:rsidP="00BD08AE">
      <w:pPr>
        <w:pStyle w:val="FootnoteText"/>
      </w:pPr>
      <w:r w:rsidRPr="009070CE">
        <w:rPr>
          <w:rStyle w:val="FootnoteReference"/>
        </w:rPr>
        <w:footnoteRef/>
      </w:r>
      <w:r w:rsidRPr="009070CE">
        <w:t xml:space="preserve"> </w:t>
      </w:r>
      <w:r w:rsidRPr="009070CE">
        <w:rPr>
          <w:i/>
        </w:rPr>
        <w:t>See</w:t>
      </w:r>
      <w:r w:rsidR="002A0616" w:rsidRPr="009070CE">
        <w:rPr>
          <w:i/>
        </w:rPr>
        <w:t>,</w:t>
      </w:r>
      <w:r w:rsidRPr="009070CE">
        <w:rPr>
          <w:i/>
        </w:rPr>
        <w:t xml:space="preserve"> Act 129 Demand Response Study – Final Report</w:t>
      </w:r>
      <w:r w:rsidRPr="009070CE">
        <w:t xml:space="preserve">, Prepared for the Pennsylvania Public Utility Commission, by GDS Associates, </w:t>
      </w:r>
      <w:r w:rsidRPr="009070CE">
        <w:rPr>
          <w:i/>
        </w:rPr>
        <w:t>et al.</w:t>
      </w:r>
      <w:r w:rsidRPr="009070CE">
        <w:t xml:space="preserve">, Submitted May 13, 2013, Addendum added November 1, 2013, available at </w:t>
      </w:r>
      <w:hyperlink r:id="rId2" w:history="1">
        <w:r w:rsidRPr="009070CE">
          <w:rPr>
            <w:rStyle w:val="Hyperlink"/>
          </w:rPr>
          <w:t>http://www.puc.pa.gov/filing_resources/issues_laws_regulations/act_129_information/act_129_statewide_evaluator_swe_.aspx</w:t>
        </w:r>
      </w:hyperlink>
      <w:r w:rsidRPr="009070CE">
        <w:t xml:space="preserve">. </w:t>
      </w:r>
    </w:p>
  </w:footnote>
  <w:footnote w:id="6">
    <w:p w:rsidR="00BD08AE" w:rsidRPr="009070CE" w:rsidRDefault="00BD08AE" w:rsidP="00BD08AE">
      <w:pPr>
        <w:pStyle w:val="FootnoteText"/>
      </w:pPr>
      <w:r w:rsidRPr="009070CE">
        <w:rPr>
          <w:rStyle w:val="FootnoteReference"/>
        </w:rPr>
        <w:footnoteRef/>
      </w:r>
      <w:r w:rsidRPr="009070CE">
        <w:t xml:space="preserve"> </w:t>
      </w:r>
      <w:r w:rsidRPr="009070CE">
        <w:rPr>
          <w:i/>
        </w:rPr>
        <w:t>See</w:t>
      </w:r>
      <w:r w:rsidRPr="009070CE">
        <w:t xml:space="preserve"> </w:t>
      </w:r>
      <w:hyperlink r:id="rId3" w:history="1">
        <w:r w:rsidRPr="009070CE">
          <w:rPr>
            <w:rStyle w:val="Hyperlink"/>
          </w:rPr>
          <w:t>http://www.pabulletin.com/secure/data/vol43/43-48/index.html</w:t>
        </w:r>
      </w:hyperlink>
      <w:r w:rsidRPr="009070CE">
        <w:t xml:space="preserve">. </w:t>
      </w:r>
    </w:p>
  </w:footnote>
  <w:footnote w:id="7">
    <w:p w:rsidR="002A0616" w:rsidRPr="009070CE" w:rsidRDefault="002A0616">
      <w:pPr>
        <w:pStyle w:val="FootnoteText"/>
      </w:pPr>
      <w:r w:rsidRPr="009070CE">
        <w:rPr>
          <w:rStyle w:val="FootnoteReference"/>
        </w:rPr>
        <w:footnoteRef/>
      </w:r>
      <w:r w:rsidRPr="009070CE">
        <w:t xml:space="preserve"> </w:t>
      </w:r>
      <w:r w:rsidRPr="009070CE">
        <w:rPr>
          <w:i/>
        </w:rPr>
        <w:t>See, Energy Efficiency and Conservation Program</w:t>
      </w:r>
      <w:r w:rsidRPr="009070CE">
        <w:t xml:space="preserve"> Final Order, Docket Nos. M-2012-2289411 and M-2008-2069887, (February 20, 2014) at 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6C84494"/>
    <w:multiLevelType w:val="hybridMultilevel"/>
    <w:tmpl w:val="DA34B596"/>
    <w:lvl w:ilvl="0" w:tplc="E88284D8">
      <w:start w:val="2"/>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36671FE"/>
    <w:multiLevelType w:val="hybridMultilevel"/>
    <w:tmpl w:val="9AF42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441FD4"/>
    <w:multiLevelType w:val="hybridMultilevel"/>
    <w:tmpl w:val="E6FE291C"/>
    <w:lvl w:ilvl="0" w:tplc="7B667F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296FBA"/>
    <w:multiLevelType w:val="hybridMultilevel"/>
    <w:tmpl w:val="D66ECE68"/>
    <w:lvl w:ilvl="0" w:tplc="F134EA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06A7536"/>
    <w:multiLevelType w:val="hybridMultilevel"/>
    <w:tmpl w:val="A0E03122"/>
    <w:lvl w:ilvl="0" w:tplc="62FCDC20">
      <w:start w:val="1"/>
      <w:numFmt w:val="decimal"/>
      <w:lvlText w:val="%1."/>
      <w:lvlJc w:val="left"/>
      <w:pPr>
        <w:tabs>
          <w:tab w:val="num" w:pos="1080"/>
        </w:tabs>
        <w:ind w:left="1080" w:hanging="720"/>
      </w:pPr>
      <w:rPr>
        <w:sz w:val="26"/>
        <w:szCs w:val="2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73DC0078"/>
    <w:multiLevelType w:val="hybridMultilevel"/>
    <w:tmpl w:val="05944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9"/>
  </w:num>
  <w:num w:numId="3">
    <w:abstractNumId w:val="3"/>
  </w:num>
  <w:num w:numId="4">
    <w:abstractNumId w:val="5"/>
  </w:num>
  <w:num w:numId="5">
    <w:abstractNumId w:val="13"/>
  </w:num>
  <w:num w:numId="6">
    <w:abstractNumId w:val="4"/>
  </w:num>
  <w:num w:numId="7">
    <w:abstractNumId w:val="14"/>
  </w:num>
  <w:num w:numId="8">
    <w:abstractNumId w:val="12"/>
  </w:num>
  <w:num w:numId="9">
    <w:abstractNumId w:val="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7"/>
  </w:num>
  <w:num w:numId="14">
    <w:abstractNumId w:val="6"/>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A51"/>
    <w:rsid w:val="0000221E"/>
    <w:rsid w:val="000032F0"/>
    <w:rsid w:val="00016C43"/>
    <w:rsid w:val="00021147"/>
    <w:rsid w:val="00025E21"/>
    <w:rsid w:val="00026B9B"/>
    <w:rsid w:val="000315CB"/>
    <w:rsid w:val="00031795"/>
    <w:rsid w:val="000A3296"/>
    <w:rsid w:val="000A4073"/>
    <w:rsid w:val="000C0BE0"/>
    <w:rsid w:val="000C7752"/>
    <w:rsid w:val="000D54BC"/>
    <w:rsid w:val="000F4632"/>
    <w:rsid w:val="000F5F50"/>
    <w:rsid w:val="001023B1"/>
    <w:rsid w:val="001048C8"/>
    <w:rsid w:val="00111D7A"/>
    <w:rsid w:val="001209F1"/>
    <w:rsid w:val="00121CB7"/>
    <w:rsid w:val="00126434"/>
    <w:rsid w:val="00126702"/>
    <w:rsid w:val="00134A78"/>
    <w:rsid w:val="00142748"/>
    <w:rsid w:val="00146EB6"/>
    <w:rsid w:val="0015126D"/>
    <w:rsid w:val="00162D58"/>
    <w:rsid w:val="00163A25"/>
    <w:rsid w:val="0019426D"/>
    <w:rsid w:val="00195546"/>
    <w:rsid w:val="001A2DCD"/>
    <w:rsid w:val="001A4102"/>
    <w:rsid w:val="001B03CF"/>
    <w:rsid w:val="001B2C6D"/>
    <w:rsid w:val="001B4DA3"/>
    <w:rsid w:val="001E1183"/>
    <w:rsid w:val="001E1BF3"/>
    <w:rsid w:val="001E3A60"/>
    <w:rsid w:val="001F7863"/>
    <w:rsid w:val="002008CA"/>
    <w:rsid w:val="002027E7"/>
    <w:rsid w:val="00204EB9"/>
    <w:rsid w:val="00213CF6"/>
    <w:rsid w:val="002229C3"/>
    <w:rsid w:val="002326FD"/>
    <w:rsid w:val="0024302D"/>
    <w:rsid w:val="002744D7"/>
    <w:rsid w:val="002874B9"/>
    <w:rsid w:val="0029471C"/>
    <w:rsid w:val="002A0616"/>
    <w:rsid w:val="002A2B4A"/>
    <w:rsid w:val="002A43DC"/>
    <w:rsid w:val="002B0543"/>
    <w:rsid w:val="002B37D7"/>
    <w:rsid w:val="002B618E"/>
    <w:rsid w:val="002C4503"/>
    <w:rsid w:val="002C7D3E"/>
    <w:rsid w:val="002D1E8E"/>
    <w:rsid w:val="002F0138"/>
    <w:rsid w:val="003049AB"/>
    <w:rsid w:val="00307364"/>
    <w:rsid w:val="00310263"/>
    <w:rsid w:val="003106B5"/>
    <w:rsid w:val="00325403"/>
    <w:rsid w:val="003569E8"/>
    <w:rsid w:val="00361704"/>
    <w:rsid w:val="00366ACD"/>
    <w:rsid w:val="00374D2E"/>
    <w:rsid w:val="003878A0"/>
    <w:rsid w:val="003A6101"/>
    <w:rsid w:val="003B4AA9"/>
    <w:rsid w:val="003E7239"/>
    <w:rsid w:val="003F79A7"/>
    <w:rsid w:val="00404133"/>
    <w:rsid w:val="00413702"/>
    <w:rsid w:val="00423966"/>
    <w:rsid w:val="00427AD9"/>
    <w:rsid w:val="00442D19"/>
    <w:rsid w:val="00447966"/>
    <w:rsid w:val="00450096"/>
    <w:rsid w:val="0046411C"/>
    <w:rsid w:val="0046748B"/>
    <w:rsid w:val="00467782"/>
    <w:rsid w:val="00472043"/>
    <w:rsid w:val="00480531"/>
    <w:rsid w:val="00495FC5"/>
    <w:rsid w:val="004A5F4E"/>
    <w:rsid w:val="004B07D2"/>
    <w:rsid w:val="004B61C1"/>
    <w:rsid w:val="004B781B"/>
    <w:rsid w:val="004D2698"/>
    <w:rsid w:val="004F2077"/>
    <w:rsid w:val="0050362A"/>
    <w:rsid w:val="005138E9"/>
    <w:rsid w:val="0051639C"/>
    <w:rsid w:val="0052665A"/>
    <w:rsid w:val="0053714C"/>
    <w:rsid w:val="00541DB3"/>
    <w:rsid w:val="005424F7"/>
    <w:rsid w:val="00553472"/>
    <w:rsid w:val="00557565"/>
    <w:rsid w:val="00567746"/>
    <w:rsid w:val="0057207C"/>
    <w:rsid w:val="0057487F"/>
    <w:rsid w:val="00575806"/>
    <w:rsid w:val="00590DCB"/>
    <w:rsid w:val="005B0327"/>
    <w:rsid w:val="005B7295"/>
    <w:rsid w:val="005C2839"/>
    <w:rsid w:val="005D0ED6"/>
    <w:rsid w:val="005E25C5"/>
    <w:rsid w:val="00602573"/>
    <w:rsid w:val="00617CEC"/>
    <w:rsid w:val="006354F1"/>
    <w:rsid w:val="006538B5"/>
    <w:rsid w:val="006659D1"/>
    <w:rsid w:val="006678F2"/>
    <w:rsid w:val="006755C0"/>
    <w:rsid w:val="00675A36"/>
    <w:rsid w:val="006843D3"/>
    <w:rsid w:val="00694301"/>
    <w:rsid w:val="00697209"/>
    <w:rsid w:val="006B307C"/>
    <w:rsid w:val="006B4889"/>
    <w:rsid w:val="006B773E"/>
    <w:rsid w:val="006E00A9"/>
    <w:rsid w:val="006E7EF7"/>
    <w:rsid w:val="006F614A"/>
    <w:rsid w:val="00702D23"/>
    <w:rsid w:val="00710DBE"/>
    <w:rsid w:val="0071761F"/>
    <w:rsid w:val="00723893"/>
    <w:rsid w:val="00733109"/>
    <w:rsid w:val="00746F33"/>
    <w:rsid w:val="00750EF6"/>
    <w:rsid w:val="007617B1"/>
    <w:rsid w:val="00774136"/>
    <w:rsid w:val="007762F7"/>
    <w:rsid w:val="00785B5A"/>
    <w:rsid w:val="0078658C"/>
    <w:rsid w:val="007979FC"/>
    <w:rsid w:val="007D6818"/>
    <w:rsid w:val="007E132D"/>
    <w:rsid w:val="007E3F38"/>
    <w:rsid w:val="007E5AA6"/>
    <w:rsid w:val="007E6ACB"/>
    <w:rsid w:val="007E770A"/>
    <w:rsid w:val="007F0050"/>
    <w:rsid w:val="0080690D"/>
    <w:rsid w:val="00813B38"/>
    <w:rsid w:val="008241DB"/>
    <w:rsid w:val="00831D49"/>
    <w:rsid w:val="008427B0"/>
    <w:rsid w:val="00846A98"/>
    <w:rsid w:val="008554B6"/>
    <w:rsid w:val="00881B7D"/>
    <w:rsid w:val="008C246C"/>
    <w:rsid w:val="008D2D06"/>
    <w:rsid w:val="00902959"/>
    <w:rsid w:val="009070CE"/>
    <w:rsid w:val="00935E57"/>
    <w:rsid w:val="00942E5E"/>
    <w:rsid w:val="00944B47"/>
    <w:rsid w:val="00945DEF"/>
    <w:rsid w:val="00952DD5"/>
    <w:rsid w:val="0095434D"/>
    <w:rsid w:val="0096632A"/>
    <w:rsid w:val="00977B3F"/>
    <w:rsid w:val="009A5243"/>
    <w:rsid w:val="009B11FA"/>
    <w:rsid w:val="009B23D8"/>
    <w:rsid w:val="009B63E1"/>
    <w:rsid w:val="009C571F"/>
    <w:rsid w:val="009D1A9E"/>
    <w:rsid w:val="009D1C20"/>
    <w:rsid w:val="009E40EC"/>
    <w:rsid w:val="009F5F66"/>
    <w:rsid w:val="00A0034F"/>
    <w:rsid w:val="00A01138"/>
    <w:rsid w:val="00A048AB"/>
    <w:rsid w:val="00A04C00"/>
    <w:rsid w:val="00A20C12"/>
    <w:rsid w:val="00A254D2"/>
    <w:rsid w:val="00A374EE"/>
    <w:rsid w:val="00A42B51"/>
    <w:rsid w:val="00A46963"/>
    <w:rsid w:val="00A5263D"/>
    <w:rsid w:val="00A72D60"/>
    <w:rsid w:val="00A74877"/>
    <w:rsid w:val="00A777B5"/>
    <w:rsid w:val="00A8103B"/>
    <w:rsid w:val="00A94E60"/>
    <w:rsid w:val="00AA1AEC"/>
    <w:rsid w:val="00AA2E1B"/>
    <w:rsid w:val="00AA30E9"/>
    <w:rsid w:val="00AB490E"/>
    <w:rsid w:val="00AB497F"/>
    <w:rsid w:val="00AB53D2"/>
    <w:rsid w:val="00AB57E2"/>
    <w:rsid w:val="00AD0506"/>
    <w:rsid w:val="00AD0A9B"/>
    <w:rsid w:val="00AE3480"/>
    <w:rsid w:val="00B04B8D"/>
    <w:rsid w:val="00B11048"/>
    <w:rsid w:val="00B14362"/>
    <w:rsid w:val="00B23FFC"/>
    <w:rsid w:val="00B61CDD"/>
    <w:rsid w:val="00B8374F"/>
    <w:rsid w:val="00BB79A9"/>
    <w:rsid w:val="00BC7E75"/>
    <w:rsid w:val="00BD08AE"/>
    <w:rsid w:val="00BD600D"/>
    <w:rsid w:val="00BE4A72"/>
    <w:rsid w:val="00BE5119"/>
    <w:rsid w:val="00C07570"/>
    <w:rsid w:val="00C12EFD"/>
    <w:rsid w:val="00C3034E"/>
    <w:rsid w:val="00C3654A"/>
    <w:rsid w:val="00C45DCB"/>
    <w:rsid w:val="00C46EDA"/>
    <w:rsid w:val="00C55BE6"/>
    <w:rsid w:val="00C74A51"/>
    <w:rsid w:val="00C77F29"/>
    <w:rsid w:val="00C81C8C"/>
    <w:rsid w:val="00C90506"/>
    <w:rsid w:val="00CA0D15"/>
    <w:rsid w:val="00CA2448"/>
    <w:rsid w:val="00CA358F"/>
    <w:rsid w:val="00CB5738"/>
    <w:rsid w:val="00CC0368"/>
    <w:rsid w:val="00CD0FDC"/>
    <w:rsid w:val="00CE1EAB"/>
    <w:rsid w:val="00CF047C"/>
    <w:rsid w:val="00CF197F"/>
    <w:rsid w:val="00CF55DF"/>
    <w:rsid w:val="00D0471D"/>
    <w:rsid w:val="00D244B2"/>
    <w:rsid w:val="00D31A74"/>
    <w:rsid w:val="00D47C63"/>
    <w:rsid w:val="00D53F6A"/>
    <w:rsid w:val="00D5472C"/>
    <w:rsid w:val="00D55A7A"/>
    <w:rsid w:val="00D62E64"/>
    <w:rsid w:val="00D67450"/>
    <w:rsid w:val="00D77B80"/>
    <w:rsid w:val="00DA41A4"/>
    <w:rsid w:val="00DC06D2"/>
    <w:rsid w:val="00DC7B54"/>
    <w:rsid w:val="00DD5A6B"/>
    <w:rsid w:val="00E23673"/>
    <w:rsid w:val="00E23926"/>
    <w:rsid w:val="00E349DA"/>
    <w:rsid w:val="00E42E96"/>
    <w:rsid w:val="00E43A98"/>
    <w:rsid w:val="00E465EC"/>
    <w:rsid w:val="00E62236"/>
    <w:rsid w:val="00E67B87"/>
    <w:rsid w:val="00E70A5C"/>
    <w:rsid w:val="00E73061"/>
    <w:rsid w:val="00E83E92"/>
    <w:rsid w:val="00EA4C08"/>
    <w:rsid w:val="00EB13A7"/>
    <w:rsid w:val="00EB2540"/>
    <w:rsid w:val="00EC246D"/>
    <w:rsid w:val="00EC75EB"/>
    <w:rsid w:val="00EC7D0E"/>
    <w:rsid w:val="00ED73CC"/>
    <w:rsid w:val="00F3099A"/>
    <w:rsid w:val="00F41A9B"/>
    <w:rsid w:val="00F51C5E"/>
    <w:rsid w:val="00F5640A"/>
    <w:rsid w:val="00F63D91"/>
    <w:rsid w:val="00F66053"/>
    <w:rsid w:val="00F7094C"/>
    <w:rsid w:val="00F75EE4"/>
    <w:rsid w:val="00FA0E37"/>
    <w:rsid w:val="00FB5B4F"/>
    <w:rsid w:val="00FC7B5D"/>
    <w:rsid w:val="00FD48E7"/>
    <w:rsid w:val="00FE0D00"/>
    <w:rsid w:val="00FE2144"/>
    <w:rsid w:val="00FE5D97"/>
    <w:rsid w:val="00FF5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1704"/>
  </w:style>
  <w:style w:type="paragraph" w:styleId="Heading1">
    <w:name w:val="heading 1"/>
    <w:basedOn w:val="Normal"/>
    <w:next w:val="Normal"/>
    <w:qFormat/>
    <w:rsid w:val="00361704"/>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61704"/>
    <w:pPr>
      <w:ind w:left="360"/>
    </w:pPr>
    <w:rPr>
      <w:sz w:val="24"/>
    </w:rPr>
  </w:style>
  <w:style w:type="paragraph" w:styleId="Header">
    <w:name w:val="header"/>
    <w:basedOn w:val="Normal"/>
    <w:rsid w:val="00361704"/>
    <w:pPr>
      <w:tabs>
        <w:tab w:val="center" w:pos="4320"/>
        <w:tab w:val="right" w:pos="8640"/>
      </w:tabs>
    </w:pPr>
  </w:style>
  <w:style w:type="paragraph" w:styleId="Footer">
    <w:name w:val="footer"/>
    <w:basedOn w:val="Normal"/>
    <w:link w:val="FooterChar"/>
    <w:uiPriority w:val="99"/>
    <w:rsid w:val="00361704"/>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paragraph" w:styleId="FootnoteText">
    <w:name w:val="footnote text"/>
    <w:aliases w:val="Footnote Text1 Char,Footnote Text Char Ch Char Char Char,Footnote Text Char Ch Char Char,Footnote Text1 Char Char Char,Footnote Text Char Ch Char,Footnote Text Char Ch"/>
    <w:basedOn w:val="Normal"/>
    <w:link w:val="FootnoteTextChar"/>
    <w:uiPriority w:val="99"/>
    <w:rsid w:val="00026B9B"/>
  </w:style>
  <w:style w:type="character" w:customStyle="1" w:styleId="FootnoteTextChar">
    <w:name w:val="Footnote Text Char"/>
    <w:aliases w:val="Footnote Text1 Char Char,Footnote Text Char Ch Char Char Char Char,Footnote Text Char Ch Char Char Char1,Footnote Text1 Char Char Char Char,Footnote Text Char Ch Char Char1,Footnote Text Char Ch Char1"/>
    <w:basedOn w:val="DefaultParagraphFont"/>
    <w:link w:val="FootnoteText"/>
    <w:uiPriority w:val="99"/>
    <w:rsid w:val="00026B9B"/>
  </w:style>
  <w:style w:type="character" w:styleId="FootnoteReference">
    <w:name w:val="footnote reference"/>
    <w:aliases w:val="o,fr"/>
    <w:basedOn w:val="DefaultParagraphFont"/>
    <w:uiPriority w:val="99"/>
    <w:rsid w:val="00026B9B"/>
    <w:rPr>
      <w:vertAlign w:val="superscript"/>
    </w:rPr>
  </w:style>
  <w:style w:type="character" w:styleId="Hyperlink">
    <w:name w:val="Hyperlink"/>
    <w:basedOn w:val="DefaultParagraphFont"/>
    <w:rsid w:val="00A20C12"/>
    <w:rPr>
      <w:color w:val="0000FF"/>
      <w:u w:val="single"/>
    </w:rPr>
  </w:style>
  <w:style w:type="character" w:customStyle="1" w:styleId="FooterChar">
    <w:name w:val="Footer Char"/>
    <w:basedOn w:val="DefaultParagraphFont"/>
    <w:link w:val="Footer"/>
    <w:uiPriority w:val="99"/>
    <w:rsid w:val="00AD0A9B"/>
  </w:style>
  <w:style w:type="paragraph" w:styleId="ListParagraph">
    <w:name w:val="List Paragraph"/>
    <w:basedOn w:val="Normal"/>
    <w:uiPriority w:val="34"/>
    <w:qFormat/>
    <w:rsid w:val="00C46EDA"/>
    <w:pPr>
      <w:ind w:left="720"/>
      <w:contextualSpacing/>
    </w:pPr>
  </w:style>
  <w:style w:type="character" w:styleId="FollowedHyperlink">
    <w:name w:val="FollowedHyperlink"/>
    <w:basedOn w:val="DefaultParagraphFont"/>
    <w:rsid w:val="00121CB7"/>
    <w:rPr>
      <w:color w:val="800080" w:themeColor="followedHyperlink"/>
      <w:u w:val="single"/>
    </w:rPr>
  </w:style>
  <w:style w:type="character" w:styleId="CommentReference">
    <w:name w:val="annotation reference"/>
    <w:basedOn w:val="DefaultParagraphFont"/>
    <w:rsid w:val="00710DBE"/>
    <w:rPr>
      <w:sz w:val="16"/>
      <w:szCs w:val="16"/>
    </w:rPr>
  </w:style>
  <w:style w:type="paragraph" w:styleId="CommentText">
    <w:name w:val="annotation text"/>
    <w:basedOn w:val="Normal"/>
    <w:link w:val="CommentTextChar"/>
    <w:rsid w:val="00710DBE"/>
  </w:style>
  <w:style w:type="character" w:customStyle="1" w:styleId="CommentTextChar">
    <w:name w:val="Comment Text Char"/>
    <w:basedOn w:val="DefaultParagraphFont"/>
    <w:link w:val="CommentText"/>
    <w:rsid w:val="00710DBE"/>
  </w:style>
  <w:style w:type="paragraph" w:styleId="CommentSubject">
    <w:name w:val="annotation subject"/>
    <w:basedOn w:val="CommentText"/>
    <w:next w:val="CommentText"/>
    <w:link w:val="CommentSubjectChar"/>
    <w:rsid w:val="00944B47"/>
    <w:rPr>
      <w:b/>
      <w:bCs/>
    </w:rPr>
  </w:style>
  <w:style w:type="character" w:customStyle="1" w:styleId="CommentSubjectChar">
    <w:name w:val="Comment Subject Char"/>
    <w:basedOn w:val="CommentTextChar"/>
    <w:link w:val="CommentSubject"/>
    <w:rsid w:val="00944B47"/>
    <w:rPr>
      <w:b/>
      <w:bCs/>
    </w:rPr>
  </w:style>
  <w:style w:type="table" w:styleId="TableGrid">
    <w:name w:val="Table Grid"/>
    <w:basedOn w:val="TableNormal"/>
    <w:uiPriority w:val="59"/>
    <w:rsid w:val="00BB79A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1704"/>
  </w:style>
  <w:style w:type="paragraph" w:styleId="Heading1">
    <w:name w:val="heading 1"/>
    <w:basedOn w:val="Normal"/>
    <w:next w:val="Normal"/>
    <w:qFormat/>
    <w:rsid w:val="00361704"/>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61704"/>
    <w:pPr>
      <w:ind w:left="360"/>
    </w:pPr>
    <w:rPr>
      <w:sz w:val="24"/>
    </w:rPr>
  </w:style>
  <w:style w:type="paragraph" w:styleId="Header">
    <w:name w:val="header"/>
    <w:basedOn w:val="Normal"/>
    <w:rsid w:val="00361704"/>
    <w:pPr>
      <w:tabs>
        <w:tab w:val="center" w:pos="4320"/>
        <w:tab w:val="right" w:pos="8640"/>
      </w:tabs>
    </w:pPr>
  </w:style>
  <w:style w:type="paragraph" w:styleId="Footer">
    <w:name w:val="footer"/>
    <w:basedOn w:val="Normal"/>
    <w:link w:val="FooterChar"/>
    <w:uiPriority w:val="99"/>
    <w:rsid w:val="00361704"/>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paragraph" w:styleId="FootnoteText">
    <w:name w:val="footnote text"/>
    <w:aliases w:val="Footnote Text1 Char,Footnote Text Char Ch Char Char Char,Footnote Text Char Ch Char Char,Footnote Text1 Char Char Char,Footnote Text Char Ch Char,Footnote Text Char Ch"/>
    <w:basedOn w:val="Normal"/>
    <w:link w:val="FootnoteTextChar"/>
    <w:uiPriority w:val="99"/>
    <w:rsid w:val="00026B9B"/>
  </w:style>
  <w:style w:type="character" w:customStyle="1" w:styleId="FootnoteTextChar">
    <w:name w:val="Footnote Text Char"/>
    <w:aliases w:val="Footnote Text1 Char Char,Footnote Text Char Ch Char Char Char Char,Footnote Text Char Ch Char Char Char1,Footnote Text1 Char Char Char Char,Footnote Text Char Ch Char Char1,Footnote Text Char Ch Char1"/>
    <w:basedOn w:val="DefaultParagraphFont"/>
    <w:link w:val="FootnoteText"/>
    <w:uiPriority w:val="99"/>
    <w:rsid w:val="00026B9B"/>
  </w:style>
  <w:style w:type="character" w:styleId="FootnoteReference">
    <w:name w:val="footnote reference"/>
    <w:aliases w:val="o,fr"/>
    <w:basedOn w:val="DefaultParagraphFont"/>
    <w:uiPriority w:val="99"/>
    <w:rsid w:val="00026B9B"/>
    <w:rPr>
      <w:vertAlign w:val="superscript"/>
    </w:rPr>
  </w:style>
  <w:style w:type="character" w:styleId="Hyperlink">
    <w:name w:val="Hyperlink"/>
    <w:basedOn w:val="DefaultParagraphFont"/>
    <w:rsid w:val="00A20C12"/>
    <w:rPr>
      <w:color w:val="0000FF"/>
      <w:u w:val="single"/>
    </w:rPr>
  </w:style>
  <w:style w:type="character" w:customStyle="1" w:styleId="FooterChar">
    <w:name w:val="Footer Char"/>
    <w:basedOn w:val="DefaultParagraphFont"/>
    <w:link w:val="Footer"/>
    <w:uiPriority w:val="99"/>
    <w:rsid w:val="00AD0A9B"/>
  </w:style>
  <w:style w:type="paragraph" w:styleId="ListParagraph">
    <w:name w:val="List Paragraph"/>
    <w:basedOn w:val="Normal"/>
    <w:uiPriority w:val="34"/>
    <w:qFormat/>
    <w:rsid w:val="00C46EDA"/>
    <w:pPr>
      <w:ind w:left="720"/>
      <w:contextualSpacing/>
    </w:pPr>
  </w:style>
  <w:style w:type="character" w:styleId="FollowedHyperlink">
    <w:name w:val="FollowedHyperlink"/>
    <w:basedOn w:val="DefaultParagraphFont"/>
    <w:rsid w:val="00121CB7"/>
    <w:rPr>
      <w:color w:val="800080" w:themeColor="followedHyperlink"/>
      <w:u w:val="single"/>
    </w:rPr>
  </w:style>
  <w:style w:type="character" w:styleId="CommentReference">
    <w:name w:val="annotation reference"/>
    <w:basedOn w:val="DefaultParagraphFont"/>
    <w:rsid w:val="00710DBE"/>
    <w:rPr>
      <w:sz w:val="16"/>
      <w:szCs w:val="16"/>
    </w:rPr>
  </w:style>
  <w:style w:type="paragraph" w:styleId="CommentText">
    <w:name w:val="annotation text"/>
    <w:basedOn w:val="Normal"/>
    <w:link w:val="CommentTextChar"/>
    <w:rsid w:val="00710DBE"/>
  </w:style>
  <w:style w:type="character" w:customStyle="1" w:styleId="CommentTextChar">
    <w:name w:val="Comment Text Char"/>
    <w:basedOn w:val="DefaultParagraphFont"/>
    <w:link w:val="CommentText"/>
    <w:rsid w:val="00710DBE"/>
  </w:style>
  <w:style w:type="paragraph" w:styleId="CommentSubject">
    <w:name w:val="annotation subject"/>
    <w:basedOn w:val="CommentText"/>
    <w:next w:val="CommentText"/>
    <w:link w:val="CommentSubjectChar"/>
    <w:rsid w:val="00944B47"/>
    <w:rPr>
      <w:b/>
      <w:bCs/>
    </w:rPr>
  </w:style>
  <w:style w:type="character" w:customStyle="1" w:styleId="CommentSubjectChar">
    <w:name w:val="Comment Subject Char"/>
    <w:basedOn w:val="CommentTextChar"/>
    <w:link w:val="CommentSubject"/>
    <w:rsid w:val="00944B47"/>
    <w:rPr>
      <w:b/>
      <w:bCs/>
    </w:rPr>
  </w:style>
  <w:style w:type="table" w:styleId="TableGrid">
    <w:name w:val="Table Grid"/>
    <w:basedOn w:val="TableNormal"/>
    <w:uiPriority w:val="59"/>
    <w:rsid w:val="00BB79A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megagood@pa.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www.pabulletin.com/secure/data/vol43/43-48/index.html" TargetMode="External"/><Relationship Id="rId2" Type="http://schemas.openxmlformats.org/officeDocument/2006/relationships/hyperlink" Target="http://www.puc.pa.gov/filing_resources/issues_laws_regulations/act_129_information/act_129_statewide_evaluator_swe_.aspx" TargetMode="External"/><Relationship Id="rId1" Type="http://schemas.openxmlformats.org/officeDocument/2006/relationships/hyperlink" Target="http://www.puc.pa.gov/filing_resources/issues_laws_regulations/act_129_information/act_129_statewide_evaluator_swe_.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06474-C743-406E-9909-6059C55D2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892</Words>
  <Characters>5090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5971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REYNOLDS</dc:creator>
  <cp:lastModifiedBy>Farner, Joyce</cp:lastModifiedBy>
  <cp:revision>14</cp:revision>
  <cp:lastPrinted>2014-06-12T15:34:00Z</cp:lastPrinted>
  <dcterms:created xsi:type="dcterms:W3CDTF">2014-06-03T18:13:00Z</dcterms:created>
  <dcterms:modified xsi:type="dcterms:W3CDTF">2014-06-12T15:35:00Z</dcterms:modified>
</cp:coreProperties>
</file>