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3614BE" w:rsidRPr="003614BE">
        <w:trPr>
          <w:trHeight w:val="990"/>
        </w:trPr>
        <w:tc>
          <w:tcPr>
            <w:tcW w:w="1363" w:type="dxa"/>
          </w:tcPr>
          <w:p w:rsidR="00971855" w:rsidRPr="003614BE" w:rsidRDefault="00FB6CF5">
            <w:pPr>
              <w:rPr>
                <w:sz w:val="24"/>
              </w:rPr>
            </w:pPr>
            <w:r w:rsidRPr="003614BE">
              <w:rPr>
                <w:noProof/>
                <w:spacing w:val="-2"/>
              </w:rPr>
              <w:drawing>
                <wp:inline distT="0" distB="0" distL="0" distR="0" wp14:anchorId="685BE676" wp14:editId="28A5259E">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971855" w:rsidRPr="003614BE" w:rsidRDefault="00971855">
            <w:pPr>
              <w:suppressAutoHyphens/>
              <w:spacing w:line="204" w:lineRule="auto"/>
              <w:jc w:val="center"/>
              <w:rPr>
                <w:rFonts w:ascii="Arial" w:hAnsi="Arial"/>
                <w:spacing w:val="-3"/>
                <w:sz w:val="26"/>
              </w:rPr>
            </w:pPr>
          </w:p>
          <w:p w:rsidR="00971855" w:rsidRPr="003614BE" w:rsidRDefault="00971855">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r w:rsidRPr="003614BE">
                  <w:rPr>
                    <w:rFonts w:ascii="Arial" w:hAnsi="Arial"/>
                    <w:spacing w:val="-3"/>
                    <w:sz w:val="26"/>
                  </w:rPr>
                  <w:t>COMMONWEALTH</w:t>
                </w:r>
              </w:smartTag>
              <w:r w:rsidRPr="003614BE">
                <w:rPr>
                  <w:rFonts w:ascii="Arial" w:hAnsi="Arial"/>
                  <w:spacing w:val="-3"/>
                  <w:sz w:val="26"/>
                </w:rPr>
                <w:t xml:space="preserve"> OF </w:t>
              </w:r>
              <w:smartTag w:uri="urn:schemas-microsoft-com:office:smarttags" w:element="PlaceName">
                <w:r w:rsidRPr="003614BE">
                  <w:rPr>
                    <w:rFonts w:ascii="Arial" w:hAnsi="Arial"/>
                    <w:spacing w:val="-3"/>
                    <w:sz w:val="26"/>
                  </w:rPr>
                  <w:t>PENNSYLVANIA</w:t>
                </w:r>
              </w:smartTag>
            </w:smartTag>
          </w:p>
          <w:p w:rsidR="00971855" w:rsidRPr="003614BE" w:rsidRDefault="00971855">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3614BE">
                  <w:rPr>
                    <w:rFonts w:ascii="Arial" w:hAnsi="Arial"/>
                    <w:spacing w:val="-3"/>
                    <w:sz w:val="26"/>
                  </w:rPr>
                  <w:t>PENNSYLVANIA</w:t>
                </w:r>
              </w:smartTag>
            </w:smartTag>
            <w:r w:rsidRPr="003614BE">
              <w:rPr>
                <w:rFonts w:ascii="Arial" w:hAnsi="Arial"/>
                <w:spacing w:val="-3"/>
                <w:sz w:val="26"/>
              </w:rPr>
              <w:t xml:space="preserve"> PUBLIC UTILITY COMMISSION</w:t>
            </w:r>
          </w:p>
          <w:p w:rsidR="00971855" w:rsidRPr="003614BE" w:rsidRDefault="00971855">
            <w:pPr>
              <w:jc w:val="center"/>
              <w:rPr>
                <w:rFonts w:ascii="Arial" w:hAnsi="Arial"/>
                <w:sz w:val="12"/>
              </w:rPr>
            </w:pPr>
            <w:r w:rsidRPr="003614BE">
              <w:rPr>
                <w:rFonts w:ascii="Arial" w:hAnsi="Arial"/>
                <w:spacing w:val="-3"/>
                <w:sz w:val="26"/>
              </w:rPr>
              <w:t xml:space="preserve">P.O. </w:t>
            </w:r>
            <w:smartTag w:uri="urn:schemas-microsoft-com:office:smarttags" w:element="address">
              <w:smartTag w:uri="urn:schemas-microsoft-com:office:smarttags" w:element="PostalCode">
                <w:smartTag w:uri="urn:schemas-microsoft-com:office:smarttags" w:element="PostalCode">
                  <w:smartTag w:uri="urn:schemas-microsoft-com:office:smarttags" w:element="Street">
                    <w:r w:rsidRPr="003614BE">
                      <w:rPr>
                        <w:rFonts w:ascii="Arial" w:hAnsi="Arial"/>
                        <w:spacing w:val="-3"/>
                        <w:sz w:val="26"/>
                      </w:rPr>
                      <w:t>BOX 3265</w:t>
                    </w:r>
                  </w:smartTag>
                </w:smartTag>
                <w:r w:rsidRPr="003614BE">
                  <w:rPr>
                    <w:rFonts w:ascii="Arial" w:hAnsi="Arial"/>
                    <w:spacing w:val="-3"/>
                    <w:sz w:val="26"/>
                  </w:rPr>
                  <w:t xml:space="preserve">, </w:t>
                </w:r>
                <w:smartTag w:uri="urn:schemas-microsoft-com:office:smarttags" w:element="PostalCode">
                  <w:r w:rsidRPr="003614BE">
                    <w:rPr>
                      <w:rFonts w:ascii="Arial" w:hAnsi="Arial"/>
                      <w:spacing w:val="-3"/>
                      <w:sz w:val="26"/>
                    </w:rPr>
                    <w:t>HARRISBURG</w:t>
                  </w:r>
                </w:smartTag>
                <w:r w:rsidRPr="003614BE">
                  <w:rPr>
                    <w:rFonts w:ascii="Arial" w:hAnsi="Arial"/>
                    <w:spacing w:val="-3"/>
                    <w:sz w:val="26"/>
                  </w:rPr>
                  <w:t xml:space="preserve">, </w:t>
                </w:r>
                <w:smartTag w:uri="urn:schemas-microsoft-com:office:smarttags" w:element="PostalCode">
                  <w:r w:rsidRPr="003614BE">
                    <w:rPr>
                      <w:rFonts w:ascii="Arial" w:hAnsi="Arial"/>
                      <w:spacing w:val="-3"/>
                      <w:sz w:val="26"/>
                    </w:rPr>
                    <w:t>PA</w:t>
                  </w:r>
                </w:smartTag>
                <w:r w:rsidRPr="003614BE">
                  <w:rPr>
                    <w:rFonts w:ascii="Arial" w:hAnsi="Arial"/>
                    <w:spacing w:val="-3"/>
                    <w:sz w:val="26"/>
                  </w:rPr>
                  <w:t xml:space="preserve"> </w:t>
                </w:r>
                <w:smartTag w:uri="urn:schemas-microsoft-com:office:smarttags" w:element="PostalCode">
                  <w:r w:rsidRPr="003614BE">
                    <w:rPr>
                      <w:rFonts w:ascii="Arial" w:hAnsi="Arial"/>
                      <w:spacing w:val="-3"/>
                      <w:sz w:val="26"/>
                    </w:rPr>
                    <w:t>17105-3265</w:t>
                  </w:r>
                </w:smartTag>
              </w:smartTag>
            </w:smartTag>
          </w:p>
        </w:tc>
        <w:tc>
          <w:tcPr>
            <w:tcW w:w="1440" w:type="dxa"/>
          </w:tcPr>
          <w:p w:rsidR="00971855" w:rsidRPr="003614BE" w:rsidRDefault="00971855">
            <w:pPr>
              <w:rPr>
                <w:rFonts w:ascii="Arial" w:hAnsi="Arial"/>
                <w:sz w:val="12"/>
              </w:rPr>
            </w:pPr>
          </w:p>
          <w:p w:rsidR="00971855" w:rsidRPr="003614BE" w:rsidRDefault="00971855">
            <w:pPr>
              <w:rPr>
                <w:rFonts w:ascii="Arial" w:hAnsi="Arial"/>
                <w:sz w:val="12"/>
              </w:rPr>
            </w:pPr>
          </w:p>
          <w:p w:rsidR="00971855" w:rsidRPr="003614BE" w:rsidRDefault="00971855">
            <w:pPr>
              <w:jc w:val="right"/>
              <w:rPr>
                <w:rFonts w:ascii="Arial" w:hAnsi="Arial"/>
                <w:b/>
                <w:spacing w:val="-1"/>
                <w:sz w:val="12"/>
              </w:rPr>
            </w:pPr>
            <w:r w:rsidRPr="003614BE">
              <w:rPr>
                <w:rFonts w:ascii="Arial" w:hAnsi="Arial"/>
                <w:b/>
                <w:spacing w:val="-1"/>
                <w:sz w:val="12"/>
              </w:rPr>
              <w:t>IN REPLY PLEASE REFER TO OUR FILE</w:t>
            </w:r>
          </w:p>
          <w:p w:rsidR="00971855" w:rsidRPr="003614BE" w:rsidRDefault="00085FAD" w:rsidP="00E17B7B">
            <w:pPr>
              <w:jc w:val="right"/>
              <w:rPr>
                <w:rFonts w:ascii="Arial" w:hAnsi="Arial"/>
                <w:sz w:val="16"/>
                <w:szCs w:val="16"/>
              </w:rPr>
            </w:pPr>
            <w:r w:rsidRPr="003614BE">
              <w:rPr>
                <w:sz w:val="16"/>
                <w:szCs w:val="16"/>
              </w:rPr>
              <w:t>M</w:t>
            </w:r>
            <w:r w:rsidRPr="003614BE">
              <w:rPr>
                <w:sz w:val="16"/>
                <w:szCs w:val="16"/>
              </w:rPr>
              <w:noBreakHyphen/>
            </w:r>
            <w:r w:rsidR="00E17B7B" w:rsidRPr="003614BE">
              <w:rPr>
                <w:sz w:val="16"/>
                <w:szCs w:val="16"/>
              </w:rPr>
              <w:t>2012-2313373</w:t>
            </w:r>
          </w:p>
        </w:tc>
      </w:tr>
    </w:tbl>
    <w:p w:rsidR="00971855" w:rsidRPr="003614BE" w:rsidRDefault="00971855">
      <w:pPr>
        <w:rPr>
          <w:sz w:val="24"/>
        </w:rPr>
        <w:sectPr w:rsidR="00971855" w:rsidRPr="003614BE" w:rsidSect="009E40EC">
          <w:headerReference w:type="default" r:id="rId10"/>
          <w:footerReference w:type="even" r:id="rId11"/>
          <w:footerReference w:type="default" r:id="rId12"/>
          <w:pgSz w:w="12240" w:h="15840"/>
          <w:pgMar w:top="504" w:right="1440" w:bottom="1440" w:left="1440" w:header="720" w:footer="720" w:gutter="0"/>
          <w:cols w:space="720"/>
          <w:titlePg/>
        </w:sectPr>
      </w:pPr>
    </w:p>
    <w:p w:rsidR="00971855" w:rsidRPr="003614BE" w:rsidRDefault="007B4128" w:rsidP="00FA0E37">
      <w:pPr>
        <w:jc w:val="center"/>
        <w:rPr>
          <w:b/>
          <w:sz w:val="26"/>
          <w:szCs w:val="26"/>
        </w:rPr>
      </w:pPr>
      <w:r>
        <w:rPr>
          <w:b/>
          <w:sz w:val="26"/>
          <w:szCs w:val="26"/>
        </w:rPr>
        <w:lastRenderedPageBreak/>
        <w:t>April 7, 2014</w:t>
      </w:r>
    </w:p>
    <w:p w:rsidR="00E00F41" w:rsidRPr="003614BE" w:rsidRDefault="00E00F41" w:rsidP="00BE4A72">
      <w:pPr>
        <w:rPr>
          <w:sz w:val="24"/>
          <w:szCs w:val="24"/>
        </w:rPr>
      </w:pPr>
    </w:p>
    <w:p w:rsidR="00E00F41" w:rsidRPr="003614BE" w:rsidRDefault="00E00F41" w:rsidP="00BE4A72">
      <w:pPr>
        <w:rPr>
          <w:sz w:val="24"/>
          <w:szCs w:val="24"/>
        </w:rPr>
      </w:pPr>
    </w:p>
    <w:p w:rsidR="00E32505" w:rsidRPr="003614BE" w:rsidRDefault="00E32505" w:rsidP="00E32505">
      <w:pPr>
        <w:rPr>
          <w:sz w:val="24"/>
          <w:szCs w:val="24"/>
        </w:rPr>
      </w:pPr>
      <w:r w:rsidRPr="003614BE">
        <w:rPr>
          <w:sz w:val="24"/>
          <w:szCs w:val="24"/>
        </w:rPr>
        <w:t>TO ALL INTERESTED PARTIES:</w:t>
      </w:r>
    </w:p>
    <w:p w:rsidR="00E32505" w:rsidRPr="003614BE" w:rsidRDefault="00E32505" w:rsidP="00E32505">
      <w:pPr>
        <w:rPr>
          <w:sz w:val="24"/>
          <w:szCs w:val="24"/>
        </w:rPr>
      </w:pPr>
    </w:p>
    <w:p w:rsidR="00085FAD" w:rsidRPr="003614BE" w:rsidRDefault="00E32505" w:rsidP="00085FAD">
      <w:pPr>
        <w:ind w:left="1440" w:hanging="720"/>
        <w:rPr>
          <w:sz w:val="26"/>
          <w:szCs w:val="26"/>
        </w:rPr>
      </w:pPr>
      <w:r w:rsidRPr="003614BE">
        <w:rPr>
          <w:sz w:val="24"/>
          <w:szCs w:val="24"/>
        </w:rPr>
        <w:t>Re:</w:t>
      </w:r>
      <w:r w:rsidRPr="003614BE">
        <w:rPr>
          <w:sz w:val="24"/>
          <w:szCs w:val="24"/>
        </w:rPr>
        <w:tab/>
      </w:r>
      <w:r w:rsidR="00085FAD" w:rsidRPr="003614BE">
        <w:rPr>
          <w:sz w:val="26"/>
          <w:szCs w:val="26"/>
        </w:rPr>
        <w:t>Implementation of the Alternative Energy Portfolio Standards Act of 2004:  Standards for the Participation of Demand Side Management Resources – Technical Reference Manual 201</w:t>
      </w:r>
      <w:r w:rsidR="00A872E4" w:rsidRPr="003614BE">
        <w:rPr>
          <w:sz w:val="26"/>
          <w:szCs w:val="26"/>
        </w:rPr>
        <w:t>3</w:t>
      </w:r>
      <w:r w:rsidR="00085FAD" w:rsidRPr="003614BE">
        <w:rPr>
          <w:sz w:val="26"/>
          <w:szCs w:val="26"/>
        </w:rPr>
        <w:t xml:space="preserve"> Update</w:t>
      </w:r>
    </w:p>
    <w:p w:rsidR="00971855" w:rsidRPr="003614BE" w:rsidRDefault="00085FAD" w:rsidP="00085FAD">
      <w:pPr>
        <w:rPr>
          <w:sz w:val="24"/>
          <w:szCs w:val="24"/>
        </w:rPr>
      </w:pPr>
      <w:r w:rsidRPr="003614BE">
        <w:rPr>
          <w:sz w:val="26"/>
          <w:szCs w:val="26"/>
        </w:rPr>
        <w:tab/>
      </w:r>
      <w:r w:rsidRPr="003614BE">
        <w:rPr>
          <w:sz w:val="26"/>
          <w:szCs w:val="26"/>
        </w:rPr>
        <w:tab/>
        <w:t>Docket No</w:t>
      </w:r>
      <w:r w:rsidR="00A872E4" w:rsidRPr="003614BE">
        <w:rPr>
          <w:sz w:val="26"/>
          <w:szCs w:val="26"/>
        </w:rPr>
        <w:t>s</w:t>
      </w:r>
      <w:r w:rsidRPr="003614BE">
        <w:rPr>
          <w:sz w:val="26"/>
          <w:szCs w:val="26"/>
        </w:rPr>
        <w:t>. M-</w:t>
      </w:r>
      <w:r w:rsidR="00A872E4" w:rsidRPr="003614BE">
        <w:rPr>
          <w:sz w:val="26"/>
          <w:szCs w:val="26"/>
        </w:rPr>
        <w:t>2012-2313373; M-00051865</w:t>
      </w:r>
    </w:p>
    <w:p w:rsidR="00D95572" w:rsidRPr="003614BE" w:rsidRDefault="00971855" w:rsidP="00D95572">
      <w:pPr>
        <w:rPr>
          <w:sz w:val="24"/>
          <w:szCs w:val="24"/>
        </w:rPr>
      </w:pPr>
      <w:r w:rsidRPr="003614BE">
        <w:rPr>
          <w:sz w:val="24"/>
          <w:szCs w:val="24"/>
        </w:rPr>
        <w:tab/>
      </w:r>
    </w:p>
    <w:p w:rsidR="00085FAD" w:rsidRPr="003614BE" w:rsidRDefault="00085FAD" w:rsidP="00D95572">
      <w:pPr>
        <w:ind w:firstLine="720"/>
        <w:rPr>
          <w:sz w:val="24"/>
        </w:rPr>
      </w:pPr>
      <w:r w:rsidRPr="003614BE">
        <w:rPr>
          <w:sz w:val="26"/>
          <w:szCs w:val="26"/>
        </w:rPr>
        <w:t xml:space="preserve">On </w:t>
      </w:r>
      <w:r w:rsidR="00A872E4" w:rsidRPr="003614BE">
        <w:rPr>
          <w:sz w:val="26"/>
          <w:szCs w:val="26"/>
        </w:rPr>
        <w:t>December 20, 2012</w:t>
      </w:r>
      <w:r w:rsidRPr="003614BE">
        <w:rPr>
          <w:sz w:val="26"/>
          <w:szCs w:val="26"/>
        </w:rPr>
        <w:t xml:space="preserve">, the Pennsylvania Public Utility Commission (Commission) </w:t>
      </w:r>
      <w:r w:rsidR="001A58D5" w:rsidRPr="003614BE">
        <w:rPr>
          <w:sz w:val="26"/>
          <w:szCs w:val="26"/>
        </w:rPr>
        <w:t>entered</w:t>
      </w:r>
      <w:r w:rsidRPr="003614BE">
        <w:rPr>
          <w:sz w:val="26"/>
          <w:szCs w:val="26"/>
        </w:rPr>
        <w:t xml:space="preserve"> a TRM Annual Update Order </w:t>
      </w:r>
      <w:r w:rsidR="001A58D5" w:rsidRPr="003614BE">
        <w:rPr>
          <w:sz w:val="26"/>
          <w:szCs w:val="26"/>
        </w:rPr>
        <w:t>adopting</w:t>
      </w:r>
      <w:r w:rsidR="00A872E4" w:rsidRPr="003614BE">
        <w:rPr>
          <w:sz w:val="26"/>
          <w:szCs w:val="26"/>
        </w:rPr>
        <w:t xml:space="preserve"> the 2013</w:t>
      </w:r>
      <w:r w:rsidRPr="003614BE">
        <w:rPr>
          <w:sz w:val="26"/>
          <w:szCs w:val="26"/>
        </w:rPr>
        <w:t xml:space="preserve"> Technical Reference Manual (TRM) update</w:t>
      </w:r>
      <w:r w:rsidR="00853BB8" w:rsidRPr="003614BE">
        <w:rPr>
          <w:sz w:val="26"/>
          <w:szCs w:val="26"/>
        </w:rPr>
        <w:t xml:space="preserve"> in the above-referenced matter</w:t>
      </w:r>
      <w:r w:rsidRPr="003614BE">
        <w:rPr>
          <w:sz w:val="26"/>
          <w:szCs w:val="26"/>
        </w:rPr>
        <w:t xml:space="preserve">.  The </w:t>
      </w:r>
      <w:r w:rsidR="001A58D5" w:rsidRPr="003614BE">
        <w:rPr>
          <w:sz w:val="26"/>
          <w:szCs w:val="26"/>
        </w:rPr>
        <w:t xml:space="preserve">TRM Annual Update Order </w:t>
      </w:r>
      <w:r w:rsidRPr="003614BE">
        <w:rPr>
          <w:sz w:val="26"/>
          <w:szCs w:val="26"/>
        </w:rPr>
        <w:t>and 201</w:t>
      </w:r>
      <w:r w:rsidR="00A872E4" w:rsidRPr="003614BE">
        <w:rPr>
          <w:sz w:val="26"/>
          <w:szCs w:val="26"/>
        </w:rPr>
        <w:t>3</w:t>
      </w:r>
      <w:r w:rsidRPr="003614BE">
        <w:rPr>
          <w:sz w:val="26"/>
          <w:szCs w:val="26"/>
        </w:rPr>
        <w:t xml:space="preserve"> TRM update are posted on the Commission’s website at</w:t>
      </w:r>
      <w:r w:rsidR="008E65B9">
        <w:rPr>
          <w:sz w:val="26"/>
          <w:szCs w:val="26"/>
        </w:rPr>
        <w:t xml:space="preserve">: </w:t>
      </w:r>
      <w:hyperlink r:id="rId13" w:history="1">
        <w:r w:rsidR="008E65B9" w:rsidRPr="0070011E">
          <w:rPr>
            <w:rStyle w:val="Hyperlink"/>
            <w:sz w:val="26"/>
            <w:szCs w:val="26"/>
          </w:rPr>
          <w:t>http://www.puc.pa.gov/filing_resources/issues_laws_regulations/act_129_information/technical_reference_manual.aspx</w:t>
        </w:r>
      </w:hyperlink>
      <w:r w:rsidRPr="003614BE">
        <w:rPr>
          <w:sz w:val="26"/>
          <w:szCs w:val="26"/>
        </w:rPr>
        <w:t>.</w:t>
      </w:r>
    </w:p>
    <w:p w:rsidR="00085FAD" w:rsidRPr="003614BE" w:rsidRDefault="00085FAD" w:rsidP="00D95572">
      <w:pPr>
        <w:ind w:firstLine="720"/>
        <w:rPr>
          <w:sz w:val="24"/>
        </w:rPr>
      </w:pPr>
    </w:p>
    <w:p w:rsidR="00B472DF" w:rsidRPr="003614BE" w:rsidRDefault="00853BB8" w:rsidP="00D95572">
      <w:pPr>
        <w:ind w:firstLine="720"/>
        <w:rPr>
          <w:sz w:val="26"/>
          <w:szCs w:val="26"/>
        </w:rPr>
      </w:pPr>
      <w:r w:rsidRPr="003614BE">
        <w:rPr>
          <w:sz w:val="26"/>
          <w:szCs w:val="26"/>
        </w:rPr>
        <w:t>With this Secretarial Letter, the Commission releases</w:t>
      </w:r>
      <w:r w:rsidR="00D95572" w:rsidRPr="003614BE">
        <w:rPr>
          <w:sz w:val="26"/>
          <w:szCs w:val="26"/>
        </w:rPr>
        <w:t xml:space="preserve"> </w:t>
      </w:r>
      <w:proofErr w:type="gramStart"/>
      <w:r w:rsidR="00F42996">
        <w:rPr>
          <w:sz w:val="26"/>
          <w:szCs w:val="26"/>
        </w:rPr>
        <w:t xml:space="preserve">an </w:t>
      </w:r>
      <w:r w:rsidR="00D95572" w:rsidRPr="003614BE">
        <w:rPr>
          <w:sz w:val="26"/>
          <w:szCs w:val="26"/>
        </w:rPr>
        <w:t>Errata</w:t>
      </w:r>
      <w:proofErr w:type="gramEnd"/>
      <w:r w:rsidR="00D95572" w:rsidRPr="003614BE">
        <w:rPr>
          <w:sz w:val="26"/>
          <w:szCs w:val="26"/>
        </w:rPr>
        <w:t xml:space="preserve"> to the </w:t>
      </w:r>
      <w:r w:rsidR="00A872E4" w:rsidRPr="003614BE">
        <w:rPr>
          <w:sz w:val="26"/>
          <w:szCs w:val="26"/>
        </w:rPr>
        <w:t>2013</w:t>
      </w:r>
      <w:r w:rsidRPr="003614BE">
        <w:rPr>
          <w:sz w:val="26"/>
          <w:szCs w:val="26"/>
        </w:rPr>
        <w:t xml:space="preserve"> TRM</w:t>
      </w:r>
      <w:r w:rsidR="00D95572" w:rsidRPr="003614BE">
        <w:rPr>
          <w:sz w:val="26"/>
          <w:szCs w:val="26"/>
        </w:rPr>
        <w:t xml:space="preserve">.  The Errata corrects </w:t>
      </w:r>
      <w:r w:rsidR="00A872E4" w:rsidRPr="003614BE">
        <w:rPr>
          <w:sz w:val="26"/>
          <w:szCs w:val="26"/>
        </w:rPr>
        <w:t>an error in the savings algorithm for variable frequency drives</w:t>
      </w:r>
      <w:r w:rsidR="005559B6" w:rsidRPr="003614BE">
        <w:rPr>
          <w:sz w:val="26"/>
          <w:szCs w:val="26"/>
        </w:rPr>
        <w:t xml:space="preserve"> (VFD)</w:t>
      </w:r>
      <w:r w:rsidR="00A872E4" w:rsidRPr="003614BE">
        <w:rPr>
          <w:sz w:val="26"/>
          <w:szCs w:val="26"/>
        </w:rPr>
        <w:t xml:space="preserve"> in the 2013 TRM and the associated Appendix D – Motor and VFD Inventory Tool</w:t>
      </w:r>
      <w:r w:rsidR="0013680B" w:rsidRPr="003614BE">
        <w:rPr>
          <w:sz w:val="26"/>
          <w:szCs w:val="26"/>
        </w:rPr>
        <w:t xml:space="preserve">.  </w:t>
      </w:r>
      <w:r w:rsidR="00A872E4" w:rsidRPr="003614BE">
        <w:rPr>
          <w:sz w:val="26"/>
          <w:szCs w:val="26"/>
        </w:rPr>
        <w:t xml:space="preserve">Specifically, the savings algorithm included a factor to </w:t>
      </w:r>
      <w:r w:rsidR="00F42996">
        <w:rPr>
          <w:sz w:val="26"/>
          <w:szCs w:val="26"/>
        </w:rPr>
        <w:t>convert horsepower to kilowatts</w:t>
      </w:r>
      <w:r w:rsidR="00A872E4" w:rsidRPr="003614BE">
        <w:rPr>
          <w:sz w:val="26"/>
          <w:szCs w:val="26"/>
        </w:rPr>
        <w:t xml:space="preserve">.  This factor is redundant because the Energy Savings Factor and Demand Savings Factor used in the 2013 TRM already account for the conversion factor.  As such, the algorithm effectively multiplies the factor twice, which </w:t>
      </w:r>
      <w:r w:rsidR="00841E24" w:rsidRPr="003614BE">
        <w:rPr>
          <w:sz w:val="26"/>
          <w:szCs w:val="26"/>
        </w:rPr>
        <w:t>miscalculates</w:t>
      </w:r>
      <w:r w:rsidR="00A872E4" w:rsidRPr="003614BE">
        <w:rPr>
          <w:sz w:val="26"/>
          <w:szCs w:val="26"/>
        </w:rPr>
        <w:t xml:space="preserve"> savings. </w:t>
      </w:r>
      <w:r w:rsidR="00B472DF" w:rsidRPr="003614BE">
        <w:rPr>
          <w:sz w:val="26"/>
          <w:szCs w:val="26"/>
        </w:rPr>
        <w:t xml:space="preserve">  The TRM </w:t>
      </w:r>
      <w:r w:rsidR="005559B6" w:rsidRPr="003614BE">
        <w:rPr>
          <w:sz w:val="26"/>
          <w:szCs w:val="26"/>
        </w:rPr>
        <w:t>Protocol affected is 3.4: Variable Frequency Drive (VFD) Improvements, page 202.</w:t>
      </w:r>
      <w:r w:rsidR="00BF5414" w:rsidRPr="003614BE">
        <w:rPr>
          <w:sz w:val="26"/>
          <w:szCs w:val="26"/>
        </w:rPr>
        <w:t xml:space="preserve">  Minor formatting changes were also made to page 202 when correcting the savings algorithm.</w:t>
      </w:r>
    </w:p>
    <w:p w:rsidR="00B472DF" w:rsidRPr="003614BE" w:rsidRDefault="00B472DF" w:rsidP="00D95572">
      <w:pPr>
        <w:ind w:firstLine="720"/>
        <w:rPr>
          <w:sz w:val="24"/>
        </w:rPr>
      </w:pPr>
    </w:p>
    <w:p w:rsidR="00971855" w:rsidRDefault="00B472DF" w:rsidP="00D95572">
      <w:pPr>
        <w:ind w:firstLine="720"/>
        <w:rPr>
          <w:sz w:val="26"/>
          <w:szCs w:val="26"/>
        </w:rPr>
      </w:pPr>
      <w:r w:rsidRPr="003614BE">
        <w:rPr>
          <w:sz w:val="26"/>
          <w:szCs w:val="26"/>
        </w:rPr>
        <w:t xml:space="preserve">This </w:t>
      </w:r>
      <w:r w:rsidR="0013680B" w:rsidRPr="003614BE">
        <w:rPr>
          <w:sz w:val="26"/>
          <w:szCs w:val="26"/>
        </w:rPr>
        <w:t>Secretarial Letter</w:t>
      </w:r>
      <w:r w:rsidR="000E4DA1" w:rsidRPr="003614BE">
        <w:rPr>
          <w:sz w:val="26"/>
          <w:szCs w:val="26"/>
        </w:rPr>
        <w:t>, the corrected 201</w:t>
      </w:r>
      <w:r w:rsidR="005559B6" w:rsidRPr="003614BE">
        <w:rPr>
          <w:sz w:val="26"/>
          <w:szCs w:val="26"/>
        </w:rPr>
        <w:t>3</w:t>
      </w:r>
      <w:r w:rsidR="000E4DA1" w:rsidRPr="003614BE">
        <w:rPr>
          <w:sz w:val="26"/>
          <w:szCs w:val="26"/>
        </w:rPr>
        <w:t xml:space="preserve"> TRM update</w:t>
      </w:r>
      <w:r w:rsidR="00811081">
        <w:rPr>
          <w:sz w:val="26"/>
          <w:szCs w:val="26"/>
        </w:rPr>
        <w:t>, including the amended Appendix D</w:t>
      </w:r>
      <w:r w:rsidR="0013680B" w:rsidRPr="003614BE">
        <w:rPr>
          <w:sz w:val="26"/>
          <w:szCs w:val="26"/>
        </w:rPr>
        <w:t xml:space="preserve"> and </w:t>
      </w:r>
      <w:r w:rsidR="00097C35" w:rsidRPr="003614BE">
        <w:rPr>
          <w:sz w:val="26"/>
          <w:szCs w:val="26"/>
        </w:rPr>
        <w:t xml:space="preserve">a redlined version of </w:t>
      </w:r>
      <w:r w:rsidR="00811081">
        <w:rPr>
          <w:sz w:val="26"/>
          <w:szCs w:val="26"/>
        </w:rPr>
        <w:t>page 202</w:t>
      </w:r>
      <w:r w:rsidR="0013680B" w:rsidRPr="003614BE">
        <w:rPr>
          <w:sz w:val="26"/>
          <w:szCs w:val="26"/>
        </w:rPr>
        <w:t xml:space="preserve"> </w:t>
      </w:r>
      <w:r w:rsidR="00097C35" w:rsidRPr="003614BE">
        <w:rPr>
          <w:sz w:val="26"/>
          <w:szCs w:val="26"/>
        </w:rPr>
        <w:t>are</w:t>
      </w:r>
      <w:r w:rsidR="0013680B" w:rsidRPr="003614BE">
        <w:rPr>
          <w:sz w:val="26"/>
          <w:szCs w:val="26"/>
        </w:rPr>
        <w:t xml:space="preserve"> available on the Commission’s website at</w:t>
      </w:r>
      <w:r w:rsidR="005559B6" w:rsidRPr="003614BE">
        <w:rPr>
          <w:sz w:val="26"/>
          <w:szCs w:val="26"/>
        </w:rPr>
        <w:t xml:space="preserve"> </w:t>
      </w:r>
      <w:r w:rsidR="00945657">
        <w:rPr>
          <w:sz w:val="26"/>
          <w:szCs w:val="26"/>
        </w:rPr>
        <w:t xml:space="preserve">the </w:t>
      </w:r>
      <w:r w:rsidR="005559B6" w:rsidRPr="003614BE">
        <w:rPr>
          <w:sz w:val="26"/>
          <w:szCs w:val="26"/>
        </w:rPr>
        <w:t>aforementioned link.</w:t>
      </w:r>
      <w:r w:rsidR="00945657">
        <w:rPr>
          <w:sz w:val="26"/>
          <w:szCs w:val="26"/>
        </w:rPr>
        <w:t xml:space="preserve">  </w:t>
      </w:r>
    </w:p>
    <w:p w:rsidR="00945657" w:rsidRDefault="00945657" w:rsidP="00D95572">
      <w:pPr>
        <w:ind w:firstLine="720"/>
        <w:rPr>
          <w:sz w:val="26"/>
          <w:szCs w:val="26"/>
        </w:rPr>
      </w:pPr>
    </w:p>
    <w:p w:rsidR="00945657" w:rsidRPr="003614BE" w:rsidRDefault="00945657" w:rsidP="00D95572">
      <w:pPr>
        <w:ind w:firstLine="720"/>
        <w:rPr>
          <w:sz w:val="26"/>
          <w:szCs w:val="26"/>
        </w:rPr>
      </w:pPr>
      <w:r>
        <w:rPr>
          <w:sz w:val="26"/>
          <w:szCs w:val="26"/>
        </w:rPr>
        <w:t xml:space="preserve">The contact person for questions regarding </w:t>
      </w:r>
      <w:proofErr w:type="gramStart"/>
      <w:r>
        <w:rPr>
          <w:sz w:val="26"/>
          <w:szCs w:val="26"/>
        </w:rPr>
        <w:t>this Errata</w:t>
      </w:r>
      <w:proofErr w:type="gramEnd"/>
      <w:r>
        <w:rPr>
          <w:sz w:val="26"/>
          <w:szCs w:val="26"/>
        </w:rPr>
        <w:t xml:space="preserve"> is Megan Good at </w:t>
      </w:r>
      <w:hyperlink r:id="rId14" w:history="1">
        <w:r w:rsidRPr="00D904D1">
          <w:rPr>
            <w:rStyle w:val="Hyperlink"/>
            <w:sz w:val="26"/>
            <w:szCs w:val="26"/>
          </w:rPr>
          <w:t>megagood@pa.gov</w:t>
        </w:r>
      </w:hyperlink>
      <w:r>
        <w:rPr>
          <w:sz w:val="26"/>
          <w:szCs w:val="26"/>
        </w:rPr>
        <w:t xml:space="preserve"> or 717-425-7583.</w:t>
      </w:r>
    </w:p>
    <w:p w:rsidR="00971855" w:rsidRPr="003614BE" w:rsidRDefault="00971855" w:rsidP="00BE4A72">
      <w:pPr>
        <w:rPr>
          <w:sz w:val="26"/>
          <w:szCs w:val="26"/>
        </w:rPr>
      </w:pPr>
      <w:r w:rsidRPr="003614BE">
        <w:rPr>
          <w:sz w:val="26"/>
          <w:szCs w:val="26"/>
        </w:rPr>
        <w:tab/>
      </w:r>
    </w:p>
    <w:p w:rsidR="00E00F41" w:rsidRPr="003614BE" w:rsidRDefault="00E00F41" w:rsidP="00BE4A72">
      <w:pPr>
        <w:ind w:left="3600"/>
        <w:rPr>
          <w:sz w:val="26"/>
          <w:szCs w:val="26"/>
        </w:rPr>
      </w:pPr>
    </w:p>
    <w:p w:rsidR="00971855" w:rsidRPr="003614BE" w:rsidRDefault="007B4128" w:rsidP="00BE4A72">
      <w:pPr>
        <w:ind w:left="3600"/>
        <w:rPr>
          <w:sz w:val="26"/>
          <w:szCs w:val="26"/>
        </w:rPr>
      </w:pPr>
      <w:bookmarkStart w:id="0" w:name="_GoBack"/>
      <w:r>
        <w:rPr>
          <w:noProof/>
        </w:rPr>
        <w:drawing>
          <wp:anchor distT="0" distB="0" distL="114300" distR="114300" simplePos="0" relativeHeight="251658240" behindDoc="1" locked="0" layoutInCell="1" allowOverlap="1" wp14:anchorId="326E5E5C" wp14:editId="4F26AF69">
            <wp:simplePos x="0" y="0"/>
            <wp:positionH relativeFrom="column">
              <wp:posOffset>2235200</wp:posOffset>
            </wp:positionH>
            <wp:positionV relativeFrom="paragraph">
              <wp:posOffset>52705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971855" w:rsidRPr="003614BE">
        <w:rPr>
          <w:sz w:val="26"/>
          <w:szCs w:val="26"/>
        </w:rPr>
        <w:tab/>
        <w:t>Sincerely,</w:t>
      </w:r>
    </w:p>
    <w:p w:rsidR="00971855" w:rsidRPr="003614BE" w:rsidRDefault="00971855" w:rsidP="00BE4A72">
      <w:pPr>
        <w:ind w:left="3600"/>
        <w:rPr>
          <w:sz w:val="26"/>
          <w:szCs w:val="26"/>
        </w:rPr>
      </w:pPr>
    </w:p>
    <w:p w:rsidR="00971855" w:rsidRPr="003614BE" w:rsidRDefault="00971855" w:rsidP="00BE4A72">
      <w:pPr>
        <w:ind w:left="3600"/>
        <w:rPr>
          <w:sz w:val="26"/>
          <w:szCs w:val="26"/>
        </w:rPr>
      </w:pPr>
    </w:p>
    <w:p w:rsidR="00B472DF" w:rsidRPr="003614BE" w:rsidRDefault="00B472DF" w:rsidP="00BE4A72">
      <w:pPr>
        <w:ind w:left="3600"/>
        <w:rPr>
          <w:sz w:val="26"/>
          <w:szCs w:val="26"/>
        </w:rPr>
      </w:pPr>
    </w:p>
    <w:p w:rsidR="00971855" w:rsidRPr="003614BE" w:rsidRDefault="00971855" w:rsidP="005C6561">
      <w:pPr>
        <w:ind w:left="2880" w:firstLine="720"/>
        <w:jc w:val="both"/>
        <w:rPr>
          <w:sz w:val="26"/>
          <w:szCs w:val="26"/>
        </w:rPr>
      </w:pPr>
      <w:r w:rsidRPr="003614BE">
        <w:rPr>
          <w:sz w:val="26"/>
          <w:szCs w:val="26"/>
        </w:rPr>
        <w:tab/>
        <w:t xml:space="preserve">Rosemary Chiavetta </w:t>
      </w:r>
    </w:p>
    <w:p w:rsidR="00BF5414" w:rsidRPr="003614BE" w:rsidRDefault="00971855" w:rsidP="005C6561">
      <w:pPr>
        <w:jc w:val="both"/>
        <w:rPr>
          <w:sz w:val="24"/>
          <w:szCs w:val="24"/>
        </w:rPr>
      </w:pPr>
      <w:r w:rsidRPr="003614BE">
        <w:rPr>
          <w:sz w:val="26"/>
          <w:szCs w:val="26"/>
        </w:rPr>
        <w:tab/>
      </w:r>
      <w:r w:rsidRPr="003614BE">
        <w:rPr>
          <w:sz w:val="26"/>
          <w:szCs w:val="26"/>
        </w:rPr>
        <w:tab/>
      </w:r>
      <w:r w:rsidRPr="003614BE">
        <w:rPr>
          <w:sz w:val="26"/>
          <w:szCs w:val="26"/>
        </w:rPr>
        <w:tab/>
      </w:r>
      <w:r w:rsidRPr="003614BE">
        <w:rPr>
          <w:sz w:val="26"/>
          <w:szCs w:val="26"/>
        </w:rPr>
        <w:tab/>
      </w:r>
      <w:r w:rsidRPr="003614BE">
        <w:rPr>
          <w:sz w:val="26"/>
          <w:szCs w:val="26"/>
        </w:rPr>
        <w:tab/>
      </w:r>
      <w:r w:rsidRPr="003614BE">
        <w:rPr>
          <w:sz w:val="26"/>
          <w:szCs w:val="26"/>
        </w:rPr>
        <w:tab/>
        <w:t>Secreta</w:t>
      </w:r>
      <w:r w:rsidR="005559B6" w:rsidRPr="003614BE">
        <w:rPr>
          <w:sz w:val="26"/>
          <w:szCs w:val="26"/>
        </w:rPr>
        <w:t>ry</w:t>
      </w:r>
      <w:r w:rsidRPr="003614BE">
        <w:rPr>
          <w:sz w:val="24"/>
          <w:szCs w:val="24"/>
        </w:rPr>
        <w:tab/>
      </w:r>
    </w:p>
    <w:p w:rsidR="003614BE" w:rsidRPr="003614BE" w:rsidRDefault="00BF5414" w:rsidP="003614BE">
      <w:pPr>
        <w:pStyle w:val="Heading2"/>
        <w:tabs>
          <w:tab w:val="left" w:pos="900"/>
        </w:tabs>
        <w:spacing w:before="0" w:after="200" w:line="288" w:lineRule="auto"/>
        <w:rPr>
          <w:rFonts w:ascii="Arial" w:hAnsi="Arial" w:cs="Arial"/>
          <w:color w:val="auto"/>
          <w:sz w:val="24"/>
          <w:szCs w:val="24"/>
        </w:rPr>
      </w:pPr>
      <w:r w:rsidRPr="003614BE">
        <w:rPr>
          <w:rFonts w:ascii="Arial" w:hAnsi="Arial" w:cs="Arial"/>
          <w:color w:val="auto"/>
          <w:sz w:val="24"/>
          <w:szCs w:val="24"/>
        </w:rPr>
        <w:br w:type="page"/>
      </w:r>
      <w:bookmarkStart w:id="1" w:name="_Ref248897685"/>
      <w:bookmarkStart w:id="2" w:name="_Toc249174109"/>
      <w:bookmarkStart w:id="3" w:name="_Toc342912625"/>
      <w:r w:rsidR="003614BE" w:rsidRPr="003614BE">
        <w:rPr>
          <w:rFonts w:ascii="Arial" w:hAnsi="Arial" w:cs="Arial"/>
          <w:color w:val="auto"/>
          <w:sz w:val="24"/>
          <w:szCs w:val="24"/>
        </w:rPr>
        <w:lastRenderedPageBreak/>
        <w:t>3.4</w:t>
      </w:r>
      <w:r w:rsidR="003614BE" w:rsidRPr="003614BE">
        <w:rPr>
          <w:rFonts w:ascii="Arial" w:hAnsi="Arial" w:cs="Arial"/>
          <w:color w:val="auto"/>
          <w:sz w:val="24"/>
          <w:szCs w:val="24"/>
        </w:rPr>
        <w:tab/>
        <w:t>Variable Frequency Drive (VFD) Improvements</w:t>
      </w:r>
      <w:bookmarkEnd w:id="1"/>
      <w:bookmarkEnd w:id="2"/>
      <w:bookmarkEnd w:id="3"/>
    </w:p>
    <w:p w:rsidR="003614BE" w:rsidRPr="003614BE" w:rsidRDefault="003614BE" w:rsidP="003614BE">
      <w:pPr>
        <w:pStyle w:val="BodyText"/>
        <w:spacing w:after="200" w:line="288" w:lineRule="auto"/>
        <w:rPr>
          <w:rFonts w:ascii="Arial" w:hAnsi="Arial" w:cs="Arial"/>
        </w:rPr>
      </w:pPr>
      <w:r w:rsidRPr="003614BE">
        <w:rPr>
          <w:rFonts w:ascii="Arial" w:hAnsi="Arial" w:cs="Arial"/>
        </w:rPr>
        <w:t>The following protocol for the measurement of energy and demand savings applies to the installation of Variable Frequency Drives (VFDs) in standard commercial building applications shown in</w:t>
      </w:r>
      <w:r w:rsidR="00E16E9F">
        <w:rPr>
          <w:rFonts w:ascii="Arial" w:hAnsi="Arial" w:cs="Arial"/>
        </w:rPr>
        <w:t xml:space="preserve"> Table 3-17</w:t>
      </w:r>
      <w:r w:rsidRPr="003614BE">
        <w:rPr>
          <w:rFonts w:ascii="Arial" w:hAnsi="Arial" w:cs="Arial"/>
        </w:rPr>
        <w:t>. The baseline condition is a motor without a VFD control. The efficient condition is a motor with a VFD control.</w:t>
      </w:r>
    </w:p>
    <w:p w:rsidR="003614BE" w:rsidRPr="003614BE" w:rsidRDefault="003614BE" w:rsidP="003614BE">
      <w:pPr>
        <w:pStyle w:val="Heading3"/>
        <w:spacing w:before="0" w:after="200" w:line="288" w:lineRule="auto"/>
        <w:rPr>
          <w:rFonts w:ascii="Arial" w:hAnsi="Arial" w:cs="Arial"/>
          <w:color w:val="auto"/>
        </w:rPr>
      </w:pPr>
      <w:bookmarkStart w:id="4" w:name="_Toc249174110"/>
      <w:r w:rsidRPr="003614BE">
        <w:rPr>
          <w:rFonts w:ascii="Arial" w:hAnsi="Arial" w:cs="Arial"/>
          <w:color w:val="auto"/>
        </w:rPr>
        <w:t>3.4.1</w:t>
      </w:r>
      <w:r w:rsidRPr="003614BE">
        <w:rPr>
          <w:rFonts w:ascii="Arial" w:hAnsi="Arial" w:cs="Arial"/>
          <w:color w:val="auto"/>
        </w:rPr>
        <w:tab/>
        <w:t>Algorithms</w:t>
      </w:r>
      <w:bookmarkEnd w:id="4"/>
    </w:p>
    <w:p w:rsidR="003614BE" w:rsidRPr="003614BE" w:rsidRDefault="003614BE" w:rsidP="003614BE">
      <w:pPr>
        <w:pStyle w:val="Equation"/>
        <w:rPr>
          <w:rFonts w:cs="Arial"/>
          <w:szCs w:val="20"/>
          <w:vertAlign w:val="subscript"/>
        </w:rPr>
      </w:pPr>
      <w:r w:rsidRPr="003614BE">
        <w:rPr>
          <w:rFonts w:cs="Arial"/>
          <w:szCs w:val="20"/>
        </w:rPr>
        <w:sym w:font="Symbol" w:char="F044"/>
      </w:r>
      <w:proofErr w:type="gramStart"/>
      <w:r w:rsidRPr="003614BE">
        <w:rPr>
          <w:rFonts w:cs="Arial"/>
          <w:szCs w:val="20"/>
        </w:rPr>
        <w:t>kWh</w:t>
      </w:r>
      <w:proofErr w:type="gramEnd"/>
      <w:r w:rsidRPr="003614BE">
        <w:rPr>
          <w:rFonts w:cs="Arial"/>
          <w:szCs w:val="20"/>
        </w:rPr>
        <w:tab/>
        <w:t xml:space="preserve"> </w:t>
      </w:r>
      <w:r w:rsidRPr="003614BE">
        <w:rPr>
          <w:rFonts w:cs="Arial"/>
          <w:szCs w:val="20"/>
        </w:rPr>
        <w:tab/>
        <w:t xml:space="preserve">= HP X LF / </w:t>
      </w:r>
      <w:proofErr w:type="spellStart"/>
      <w:r w:rsidRPr="003614BE">
        <w:rPr>
          <w:rFonts w:cs="Arial"/>
          <w:szCs w:val="20"/>
        </w:rPr>
        <w:t>η</w:t>
      </w:r>
      <w:r w:rsidRPr="003614BE">
        <w:rPr>
          <w:rFonts w:cs="Arial"/>
          <w:szCs w:val="20"/>
          <w:vertAlign w:val="subscript"/>
        </w:rPr>
        <w:t>motor</w:t>
      </w:r>
      <w:proofErr w:type="spellEnd"/>
      <w:r w:rsidRPr="003614BE">
        <w:rPr>
          <w:rFonts w:cs="Arial"/>
          <w:szCs w:val="20"/>
        </w:rPr>
        <w:t xml:space="preserve"> X </w:t>
      </w:r>
      <w:proofErr w:type="spellStart"/>
      <w:r w:rsidRPr="003614BE">
        <w:rPr>
          <w:rFonts w:cs="Arial"/>
          <w:szCs w:val="20"/>
        </w:rPr>
        <w:t>RHRS</w:t>
      </w:r>
      <w:r w:rsidRPr="003614BE">
        <w:rPr>
          <w:rFonts w:cs="Arial"/>
          <w:szCs w:val="20"/>
          <w:vertAlign w:val="subscript"/>
        </w:rPr>
        <w:t>base</w:t>
      </w:r>
      <w:proofErr w:type="spellEnd"/>
      <w:r w:rsidRPr="003614BE">
        <w:rPr>
          <w:rFonts w:cs="Arial"/>
          <w:szCs w:val="20"/>
        </w:rPr>
        <w:t xml:space="preserve"> X ESF</w:t>
      </w:r>
    </w:p>
    <w:p w:rsidR="003614BE" w:rsidRPr="003614BE" w:rsidRDefault="003614BE" w:rsidP="003614BE">
      <w:pPr>
        <w:pStyle w:val="Equation"/>
        <w:rPr>
          <w:rFonts w:cs="Arial"/>
          <w:szCs w:val="20"/>
        </w:rPr>
      </w:pPr>
      <w:r w:rsidRPr="003614BE">
        <w:rPr>
          <w:rFonts w:cs="Arial"/>
          <w:szCs w:val="20"/>
        </w:rPr>
        <w:sym w:font="Symbol" w:char="F044"/>
      </w:r>
      <w:proofErr w:type="spellStart"/>
      <w:proofErr w:type="gramStart"/>
      <w:r w:rsidRPr="003614BE">
        <w:rPr>
          <w:rFonts w:cs="Arial"/>
          <w:szCs w:val="20"/>
        </w:rPr>
        <w:t>kW</w:t>
      </w:r>
      <w:r w:rsidRPr="003614BE">
        <w:rPr>
          <w:rFonts w:cs="Arial"/>
          <w:szCs w:val="20"/>
          <w:vertAlign w:val="subscript"/>
        </w:rPr>
        <w:t>peak</w:t>
      </w:r>
      <w:proofErr w:type="spellEnd"/>
      <w:proofErr w:type="gramEnd"/>
      <w:r w:rsidRPr="003614BE">
        <w:rPr>
          <w:rFonts w:cs="Arial"/>
          <w:szCs w:val="20"/>
        </w:rPr>
        <w:tab/>
        <w:t xml:space="preserve"> </w:t>
      </w:r>
      <w:r w:rsidRPr="003614BE">
        <w:rPr>
          <w:rFonts w:cs="Arial"/>
          <w:szCs w:val="20"/>
        </w:rPr>
        <w:tab/>
        <w:t xml:space="preserve">= HP X LF / </w:t>
      </w:r>
      <w:proofErr w:type="spellStart"/>
      <w:r w:rsidRPr="003614BE">
        <w:rPr>
          <w:rFonts w:cs="Arial"/>
          <w:szCs w:val="20"/>
        </w:rPr>
        <w:t>η</w:t>
      </w:r>
      <w:r w:rsidRPr="003614BE">
        <w:rPr>
          <w:rFonts w:cs="Arial"/>
          <w:szCs w:val="20"/>
          <w:vertAlign w:val="subscript"/>
        </w:rPr>
        <w:t>motor</w:t>
      </w:r>
      <w:proofErr w:type="spellEnd"/>
      <w:r w:rsidRPr="003614BE">
        <w:rPr>
          <w:rFonts w:cs="Arial"/>
          <w:szCs w:val="20"/>
        </w:rPr>
        <w:t xml:space="preserve"> X CF X DSF</w:t>
      </w:r>
      <w:r w:rsidRPr="003614BE" w:rsidDel="0066238D">
        <w:rPr>
          <w:rFonts w:cs="Arial"/>
          <w:szCs w:val="20"/>
        </w:rPr>
        <w:t xml:space="preserve"> </w:t>
      </w:r>
    </w:p>
    <w:p w:rsidR="003614BE" w:rsidRPr="003614BE" w:rsidRDefault="003614BE" w:rsidP="003614BE">
      <w:pPr>
        <w:pStyle w:val="Heading3"/>
        <w:spacing w:before="0" w:after="200" w:line="288" w:lineRule="auto"/>
        <w:rPr>
          <w:rFonts w:ascii="Arial" w:hAnsi="Arial" w:cs="Arial"/>
          <w:color w:val="auto"/>
        </w:rPr>
      </w:pPr>
      <w:bookmarkStart w:id="5" w:name="_Toc249174111"/>
      <w:r w:rsidRPr="003614BE">
        <w:rPr>
          <w:rFonts w:ascii="Arial" w:hAnsi="Arial" w:cs="Arial"/>
          <w:color w:val="auto"/>
        </w:rPr>
        <w:t>3.4.2</w:t>
      </w:r>
      <w:r w:rsidRPr="003614BE">
        <w:rPr>
          <w:rFonts w:ascii="Arial" w:hAnsi="Arial" w:cs="Arial"/>
          <w:color w:val="auto"/>
        </w:rPr>
        <w:tab/>
        <w:t xml:space="preserve">Definitions of </w:t>
      </w:r>
      <w:bookmarkEnd w:id="5"/>
      <w:r w:rsidRPr="003614BE">
        <w:rPr>
          <w:rFonts w:ascii="Arial" w:hAnsi="Arial" w:cs="Arial"/>
          <w:color w:val="auto"/>
        </w:rPr>
        <w:t>Terms</w:t>
      </w:r>
    </w:p>
    <w:p w:rsidR="003614BE" w:rsidRPr="003614BE" w:rsidRDefault="003614BE" w:rsidP="003614BE">
      <w:pPr>
        <w:pStyle w:val="Equation"/>
        <w:rPr>
          <w:rFonts w:cs="Arial"/>
          <w:szCs w:val="20"/>
        </w:rPr>
      </w:pPr>
      <w:r w:rsidRPr="003614BE">
        <w:rPr>
          <w:rFonts w:cs="Arial"/>
          <w:szCs w:val="20"/>
        </w:rPr>
        <w:tab/>
        <w:t xml:space="preserve">HP </w:t>
      </w:r>
      <w:r w:rsidRPr="003614BE">
        <w:rPr>
          <w:rFonts w:cs="Arial"/>
          <w:szCs w:val="20"/>
        </w:rPr>
        <w:tab/>
        <w:t>= Rated horsepower of the motor</w:t>
      </w:r>
    </w:p>
    <w:p w:rsidR="003614BE" w:rsidRPr="003614BE" w:rsidRDefault="003614BE" w:rsidP="003614BE">
      <w:pPr>
        <w:pStyle w:val="Equation"/>
        <w:rPr>
          <w:rFonts w:cs="Arial"/>
          <w:szCs w:val="20"/>
        </w:rPr>
      </w:pPr>
      <w:r w:rsidRPr="003614BE">
        <w:rPr>
          <w:rFonts w:cs="Arial"/>
          <w:szCs w:val="20"/>
        </w:rPr>
        <w:tab/>
        <w:t xml:space="preserve">LF </w:t>
      </w:r>
      <w:r w:rsidRPr="003614BE">
        <w:rPr>
          <w:rFonts w:cs="Arial"/>
          <w:szCs w:val="20"/>
        </w:rPr>
        <w:tab/>
        <w:t xml:space="preserve">= Load Factor. </w:t>
      </w:r>
      <w:proofErr w:type="gramStart"/>
      <w:r w:rsidRPr="003614BE">
        <w:rPr>
          <w:rFonts w:cs="Arial"/>
          <w:szCs w:val="20"/>
        </w:rPr>
        <w:t>Ratio between the actual load and the rated load.</w:t>
      </w:r>
      <w:proofErr w:type="gramEnd"/>
      <w:r w:rsidRPr="003614BE">
        <w:rPr>
          <w:rFonts w:cs="Arial"/>
          <w:szCs w:val="20"/>
        </w:rPr>
        <w:t xml:space="preserve"> Motor efficiency curves typically result in motors being most efficient at approximately 75% of the rated load. The default value is 0.75. </w:t>
      </w:r>
      <w:r w:rsidRPr="003614BE">
        <w:rPr>
          <w:rStyle w:val="FootnoteReference"/>
          <w:rFonts w:cs="Arial"/>
          <w:szCs w:val="20"/>
        </w:rPr>
        <w:footnoteReference w:customMarkFollows="1" w:id="1"/>
        <w:t>215</w:t>
      </w:r>
    </w:p>
    <w:p w:rsidR="003614BE" w:rsidRPr="003614BE" w:rsidRDefault="003614BE" w:rsidP="003614BE">
      <w:pPr>
        <w:pStyle w:val="Equation"/>
        <w:rPr>
          <w:rFonts w:cs="Arial"/>
          <w:szCs w:val="20"/>
        </w:rPr>
      </w:pPr>
      <w:r w:rsidRPr="003614BE">
        <w:rPr>
          <w:rFonts w:cs="Arial"/>
          <w:szCs w:val="20"/>
        </w:rPr>
        <w:tab/>
      </w:r>
      <w:proofErr w:type="spellStart"/>
      <w:proofErr w:type="gramStart"/>
      <w:r w:rsidRPr="003614BE">
        <w:rPr>
          <w:rFonts w:cs="Arial"/>
          <w:szCs w:val="20"/>
        </w:rPr>
        <w:t>η</w:t>
      </w:r>
      <w:r w:rsidRPr="003614BE">
        <w:rPr>
          <w:rFonts w:cs="Arial"/>
          <w:szCs w:val="20"/>
          <w:vertAlign w:val="subscript"/>
        </w:rPr>
        <w:t>motor</w:t>
      </w:r>
      <w:proofErr w:type="spellEnd"/>
      <w:proofErr w:type="gramEnd"/>
      <w:r w:rsidRPr="003614BE">
        <w:rPr>
          <w:rFonts w:cs="Arial"/>
          <w:szCs w:val="20"/>
        </w:rPr>
        <w:t xml:space="preserve"> </w:t>
      </w:r>
      <w:r w:rsidRPr="003614BE">
        <w:rPr>
          <w:rFonts w:cs="Arial"/>
          <w:szCs w:val="20"/>
        </w:rPr>
        <w:tab/>
        <w:t xml:space="preserve">= Motor efficiency at the full-rated load. For VFD installations, this can be either an energy efficient motor or standard efficiency motor. Motor efficiency varies with load and decreases dramatically below 50% load; this is reflected in the ESF term of the algorithm. </w:t>
      </w:r>
    </w:p>
    <w:p w:rsidR="003614BE" w:rsidRPr="003614BE" w:rsidRDefault="003614BE" w:rsidP="003614BE">
      <w:pPr>
        <w:pStyle w:val="Equation"/>
        <w:rPr>
          <w:rFonts w:cs="Arial"/>
          <w:szCs w:val="20"/>
        </w:rPr>
      </w:pPr>
      <w:r w:rsidRPr="003614BE">
        <w:rPr>
          <w:rFonts w:cs="Arial"/>
          <w:szCs w:val="20"/>
        </w:rPr>
        <w:tab/>
      </w:r>
      <w:proofErr w:type="spellStart"/>
      <w:r w:rsidRPr="003614BE">
        <w:rPr>
          <w:rFonts w:cs="Arial"/>
          <w:szCs w:val="20"/>
        </w:rPr>
        <w:t>RHRS</w:t>
      </w:r>
      <w:r w:rsidRPr="003614BE">
        <w:rPr>
          <w:rFonts w:cs="Arial"/>
          <w:szCs w:val="20"/>
          <w:vertAlign w:val="subscript"/>
        </w:rPr>
        <w:t>base</w:t>
      </w:r>
      <w:proofErr w:type="spellEnd"/>
      <w:r w:rsidRPr="003614BE">
        <w:rPr>
          <w:rFonts w:cs="Arial"/>
          <w:szCs w:val="20"/>
        </w:rPr>
        <w:t xml:space="preserve"> </w:t>
      </w:r>
      <w:r w:rsidRPr="003614BE">
        <w:rPr>
          <w:rFonts w:cs="Arial"/>
          <w:szCs w:val="20"/>
        </w:rPr>
        <w:tab/>
        <w:t>= Annual run hours of the baseline motor</w:t>
      </w:r>
    </w:p>
    <w:p w:rsidR="003614BE" w:rsidRPr="003614BE" w:rsidRDefault="003614BE" w:rsidP="003614BE">
      <w:pPr>
        <w:pStyle w:val="Equation"/>
        <w:rPr>
          <w:rFonts w:cs="Arial"/>
          <w:szCs w:val="20"/>
        </w:rPr>
      </w:pPr>
      <w:r w:rsidRPr="003614BE">
        <w:rPr>
          <w:rFonts w:cs="Arial"/>
          <w:szCs w:val="20"/>
        </w:rPr>
        <w:tab/>
        <w:t xml:space="preserve">CF </w:t>
      </w:r>
      <w:r w:rsidRPr="003614BE">
        <w:rPr>
          <w:rFonts w:cs="Arial"/>
          <w:szCs w:val="20"/>
        </w:rPr>
        <w:tab/>
        <w:t>= Demand Coincidence Factor (See Section 1.4)</w:t>
      </w:r>
    </w:p>
    <w:p w:rsidR="003614BE" w:rsidRPr="003614BE" w:rsidRDefault="003614BE" w:rsidP="003614BE">
      <w:pPr>
        <w:pStyle w:val="Equation"/>
        <w:rPr>
          <w:rFonts w:cs="Arial"/>
          <w:szCs w:val="20"/>
        </w:rPr>
      </w:pPr>
    </w:p>
    <w:p w:rsidR="003614BE" w:rsidRPr="003614BE" w:rsidRDefault="003614BE" w:rsidP="003614BE">
      <w:pPr>
        <w:pStyle w:val="Equation"/>
        <w:rPr>
          <w:rFonts w:cs="Arial"/>
          <w:szCs w:val="20"/>
        </w:rPr>
      </w:pPr>
    </w:p>
    <w:p w:rsidR="003614BE" w:rsidRPr="003614BE" w:rsidRDefault="003614BE" w:rsidP="003614BE">
      <w:pPr>
        <w:pStyle w:val="Equation"/>
        <w:rPr>
          <w:rFonts w:cs="Arial"/>
          <w:szCs w:val="20"/>
        </w:rPr>
      </w:pPr>
    </w:p>
    <w:p w:rsidR="003614BE" w:rsidRPr="003614BE" w:rsidRDefault="003614BE" w:rsidP="003614BE">
      <w:pPr>
        <w:pStyle w:val="Equation"/>
        <w:rPr>
          <w:rFonts w:cs="Arial"/>
          <w:szCs w:val="20"/>
        </w:rPr>
      </w:pPr>
    </w:p>
    <w:p w:rsidR="003614BE" w:rsidRPr="003614BE" w:rsidRDefault="003614BE" w:rsidP="003614BE">
      <w:pPr>
        <w:pStyle w:val="Equation"/>
        <w:rPr>
          <w:rFonts w:cs="Arial"/>
          <w:szCs w:val="20"/>
        </w:rPr>
      </w:pPr>
    </w:p>
    <w:p w:rsidR="003614BE" w:rsidRPr="003614BE" w:rsidRDefault="003614BE" w:rsidP="003614BE">
      <w:pPr>
        <w:pStyle w:val="Equation"/>
        <w:rPr>
          <w:rFonts w:cs="Arial"/>
          <w:szCs w:val="20"/>
        </w:rPr>
      </w:pPr>
    </w:p>
    <w:p w:rsidR="003614BE" w:rsidRPr="003614BE" w:rsidRDefault="003614BE" w:rsidP="003614BE">
      <w:pPr>
        <w:pStyle w:val="Equation"/>
        <w:rPr>
          <w:rFonts w:cs="Arial"/>
        </w:rPr>
      </w:pPr>
      <w:r w:rsidRPr="003614BE">
        <w:rPr>
          <w:rFonts w:cs="Arial"/>
          <w:szCs w:val="20"/>
        </w:rPr>
        <w:tab/>
      </w:r>
    </w:p>
    <w:p w:rsidR="00971855" w:rsidRPr="003614BE" w:rsidRDefault="00971855" w:rsidP="003614BE">
      <w:pPr>
        <w:spacing w:after="200" w:line="288" w:lineRule="auto"/>
        <w:rPr>
          <w:rFonts w:ascii="Arial" w:hAnsi="Arial" w:cs="Arial"/>
          <w:sz w:val="24"/>
          <w:szCs w:val="24"/>
        </w:rPr>
      </w:pPr>
    </w:p>
    <w:sectPr w:rsidR="00971855" w:rsidRPr="003614BE" w:rsidSect="003614BE">
      <w:footerReference w:type="even" r:id="rId16"/>
      <w:footerReference w:type="default" r:id="rId17"/>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B7F" w:rsidRDefault="00F01B7F">
      <w:r>
        <w:separator/>
      </w:r>
    </w:p>
  </w:endnote>
  <w:endnote w:type="continuationSeparator" w:id="0">
    <w:p w:rsidR="00F01B7F" w:rsidRDefault="00F0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55" w:rsidRDefault="00CB51E0" w:rsidP="009E40EC">
    <w:pPr>
      <w:pStyle w:val="Footer"/>
      <w:framePr w:wrap="around" w:vAnchor="text" w:hAnchor="margin" w:xAlign="center" w:y="1"/>
      <w:rPr>
        <w:rStyle w:val="PageNumber"/>
      </w:rPr>
    </w:pPr>
    <w:r>
      <w:rPr>
        <w:rStyle w:val="PageNumber"/>
      </w:rPr>
      <w:fldChar w:fldCharType="begin"/>
    </w:r>
    <w:r w:rsidR="00971855">
      <w:rPr>
        <w:rStyle w:val="PageNumber"/>
      </w:rPr>
      <w:instrText xml:space="preserve">PAGE  </w:instrText>
    </w:r>
    <w:r>
      <w:rPr>
        <w:rStyle w:val="PageNumber"/>
      </w:rPr>
      <w:fldChar w:fldCharType="end"/>
    </w:r>
  </w:p>
  <w:p w:rsidR="00971855" w:rsidRDefault="00971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55" w:rsidRDefault="00CB51E0" w:rsidP="009E40EC">
    <w:pPr>
      <w:pStyle w:val="Footer"/>
      <w:framePr w:wrap="around" w:vAnchor="text" w:hAnchor="margin" w:xAlign="center" w:y="1"/>
      <w:rPr>
        <w:rStyle w:val="PageNumber"/>
      </w:rPr>
    </w:pPr>
    <w:r>
      <w:rPr>
        <w:rStyle w:val="PageNumber"/>
      </w:rPr>
      <w:fldChar w:fldCharType="begin"/>
    </w:r>
    <w:r w:rsidR="00971855">
      <w:rPr>
        <w:rStyle w:val="PageNumber"/>
      </w:rPr>
      <w:instrText xml:space="preserve">PAGE  </w:instrText>
    </w:r>
    <w:r>
      <w:rPr>
        <w:rStyle w:val="PageNumber"/>
      </w:rPr>
      <w:fldChar w:fldCharType="end"/>
    </w:r>
  </w:p>
  <w:p w:rsidR="00971855" w:rsidRDefault="009718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55" w:rsidRDefault="00CB51E0">
    <w:pPr>
      <w:pStyle w:val="Footer"/>
      <w:framePr w:wrap="around" w:vAnchor="text" w:hAnchor="margin" w:xAlign="center" w:y="1"/>
      <w:rPr>
        <w:rStyle w:val="PageNumber"/>
      </w:rPr>
    </w:pPr>
    <w:r>
      <w:rPr>
        <w:rStyle w:val="PageNumber"/>
      </w:rPr>
      <w:fldChar w:fldCharType="begin"/>
    </w:r>
    <w:r w:rsidR="00971855">
      <w:rPr>
        <w:rStyle w:val="PageNumber"/>
      </w:rPr>
      <w:instrText xml:space="preserve">PAGE  </w:instrText>
    </w:r>
    <w:r>
      <w:rPr>
        <w:rStyle w:val="PageNumber"/>
      </w:rPr>
      <w:fldChar w:fldCharType="separate"/>
    </w:r>
    <w:r w:rsidR="00971855">
      <w:rPr>
        <w:rStyle w:val="PageNumber"/>
        <w:noProof/>
      </w:rPr>
      <w:t>2</w:t>
    </w:r>
    <w:r>
      <w:rPr>
        <w:rStyle w:val="PageNumber"/>
      </w:rPr>
      <w:fldChar w:fldCharType="end"/>
    </w:r>
  </w:p>
  <w:p w:rsidR="00971855" w:rsidRDefault="00971855">
    <w:pPr>
      <w:pStyle w:val="Footer"/>
    </w:pPr>
  </w:p>
  <w:p w:rsidR="00282CBF" w:rsidRDefault="00282CB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55" w:rsidRDefault="00971855">
    <w:pPr>
      <w:pStyle w:val="Footer"/>
      <w:framePr w:wrap="around" w:vAnchor="text" w:hAnchor="margin" w:xAlign="center" w:y="1"/>
      <w:rPr>
        <w:rStyle w:val="PageNumber"/>
      </w:rPr>
    </w:pPr>
  </w:p>
  <w:tbl>
    <w:tblPr>
      <w:tblW w:w="8748" w:type="dxa"/>
      <w:shd w:val="clear" w:color="auto" w:fill="A6A6A6"/>
      <w:tblLook w:val="04A0" w:firstRow="1" w:lastRow="0" w:firstColumn="1" w:lastColumn="0" w:noHBand="0" w:noVBand="1"/>
    </w:tblPr>
    <w:tblGrid>
      <w:gridCol w:w="4518"/>
      <w:gridCol w:w="3150"/>
      <w:gridCol w:w="1080"/>
    </w:tblGrid>
    <w:tr w:rsidR="008E65B9" w:rsidTr="00645A78">
      <w:trPr>
        <w:trHeight w:val="288"/>
      </w:trPr>
      <w:tc>
        <w:tcPr>
          <w:tcW w:w="4518" w:type="dxa"/>
          <w:tcBorders>
            <w:bottom w:val="single" w:sz="12" w:space="0" w:color="A6A6A6"/>
          </w:tcBorders>
          <w:shd w:val="clear" w:color="auto" w:fill="A6A6A6"/>
          <w:vAlign w:val="center"/>
        </w:tcPr>
        <w:p w:rsidR="008E65B9" w:rsidRPr="008E65B9" w:rsidRDefault="008E65B9" w:rsidP="008E65B9">
          <w:pPr>
            <w:tabs>
              <w:tab w:val="right" w:pos="8640"/>
            </w:tabs>
            <w:rPr>
              <w:rFonts w:ascii="Arial" w:hAnsi="Arial" w:cs="Arial"/>
            </w:rPr>
          </w:pPr>
          <w:r w:rsidRPr="008E65B9">
            <w:rPr>
              <w:rFonts w:ascii="Arial Narrow" w:hAnsi="Arial Narrow" w:cs="Arial"/>
              <w:b/>
              <w:color w:val="FFFFFF" w:themeColor="background1"/>
            </w:rPr>
            <w:t>S</w:t>
          </w:r>
          <w:r>
            <w:rPr>
              <w:rFonts w:ascii="Arial Narrow" w:hAnsi="Arial Narrow" w:cs="Arial"/>
              <w:b/>
              <w:color w:val="FFFFFF" w:themeColor="background1"/>
            </w:rPr>
            <w:t>ECTION</w:t>
          </w:r>
          <w:r w:rsidRPr="008E65B9">
            <w:rPr>
              <w:rFonts w:ascii="Arial Narrow" w:hAnsi="Arial Narrow" w:cs="Arial"/>
              <w:b/>
              <w:color w:val="FFFFFF" w:themeColor="background1"/>
            </w:rPr>
            <w:t xml:space="preserve"> 3:</w:t>
          </w:r>
          <w:r w:rsidRPr="008E65B9">
            <w:rPr>
              <w:rFonts w:ascii="Arial" w:hAnsi="Arial" w:cs="Arial"/>
              <w:color w:val="FFFFFF" w:themeColor="background1"/>
            </w:rPr>
            <w:t xml:space="preserve"> </w:t>
          </w:r>
          <w:r>
            <w:rPr>
              <w:rFonts w:ascii="Arial" w:hAnsi="Arial" w:cs="Arial"/>
            </w:rPr>
            <w:t>Commercial and Industrial Measures</w:t>
          </w:r>
        </w:p>
      </w:tc>
      <w:tc>
        <w:tcPr>
          <w:tcW w:w="3150" w:type="dxa"/>
          <w:tcBorders>
            <w:bottom w:val="single" w:sz="12" w:space="0" w:color="A6A6A6"/>
          </w:tcBorders>
          <w:shd w:val="clear" w:color="auto" w:fill="FFFFFF"/>
        </w:tcPr>
        <w:p w:rsidR="008E65B9" w:rsidRPr="00F84A22" w:rsidRDefault="008E65B9" w:rsidP="00645A78">
          <w:pPr>
            <w:tabs>
              <w:tab w:val="right" w:pos="8640"/>
            </w:tabs>
            <w:rPr>
              <w:rFonts w:ascii="Arial Narrow" w:hAnsi="Arial Narrow"/>
              <w:u w:val="single"/>
            </w:rPr>
          </w:pPr>
        </w:p>
      </w:tc>
      <w:tc>
        <w:tcPr>
          <w:tcW w:w="1080" w:type="dxa"/>
          <w:tcBorders>
            <w:bottom w:val="single" w:sz="12" w:space="0" w:color="A6A6A6"/>
          </w:tcBorders>
          <w:shd w:val="clear" w:color="auto" w:fill="FFFFFF"/>
          <w:vAlign w:val="center"/>
        </w:tcPr>
        <w:p w:rsidR="008E65B9" w:rsidRPr="00F84A22" w:rsidRDefault="008E65B9" w:rsidP="00645A78">
          <w:pPr>
            <w:tabs>
              <w:tab w:val="right" w:pos="8640"/>
            </w:tabs>
            <w:rPr>
              <w:rFonts w:ascii="Arial Narrow" w:hAnsi="Arial Narrow"/>
              <w:u w:val="single"/>
            </w:rPr>
          </w:pPr>
        </w:p>
      </w:tc>
    </w:tr>
    <w:tr w:rsidR="008E65B9" w:rsidRPr="00C936BE" w:rsidTr="00645A78">
      <w:trPr>
        <w:trHeight w:val="288"/>
      </w:trPr>
      <w:tc>
        <w:tcPr>
          <w:tcW w:w="7668" w:type="dxa"/>
          <w:gridSpan w:val="2"/>
          <w:tcBorders>
            <w:top w:val="single" w:sz="12" w:space="0" w:color="A6A6A6"/>
          </w:tcBorders>
          <w:shd w:val="clear" w:color="auto" w:fill="FFFFFF"/>
          <w:vAlign w:val="center"/>
        </w:tcPr>
        <w:p w:rsidR="008E65B9" w:rsidRPr="008E65B9" w:rsidRDefault="008E65B9" w:rsidP="008E65B9">
          <w:pPr>
            <w:tabs>
              <w:tab w:val="right" w:pos="8640"/>
            </w:tabs>
            <w:rPr>
              <w:rFonts w:ascii="Arial" w:hAnsi="Arial" w:cs="Arial"/>
            </w:rPr>
          </w:pPr>
          <w:r>
            <w:rPr>
              <w:rFonts w:ascii="Arial" w:hAnsi="Arial" w:cs="Arial"/>
            </w:rPr>
            <w:t>Variable Frequency Drive (VFD) Improvements</w:t>
          </w:r>
        </w:p>
      </w:tc>
      <w:tc>
        <w:tcPr>
          <w:tcW w:w="1080" w:type="dxa"/>
          <w:tcBorders>
            <w:top w:val="single" w:sz="12" w:space="0" w:color="A6A6A6"/>
          </w:tcBorders>
          <w:shd w:val="clear" w:color="auto" w:fill="A6A6A6"/>
          <w:vAlign w:val="center"/>
        </w:tcPr>
        <w:p w:rsidR="008E65B9" w:rsidRPr="00F84A22" w:rsidRDefault="008E65B9" w:rsidP="00645A78">
          <w:pPr>
            <w:tabs>
              <w:tab w:val="right" w:pos="8640"/>
            </w:tabs>
            <w:jc w:val="right"/>
            <w:rPr>
              <w:rFonts w:ascii="Arial Narrow" w:hAnsi="Arial Narrow"/>
              <w:b/>
              <w:color w:val="FFFFFF"/>
              <w:u w:val="single"/>
            </w:rPr>
          </w:pPr>
          <w:r w:rsidRPr="00F84A22">
            <w:rPr>
              <w:rFonts w:ascii="Arial Narrow" w:hAnsi="Arial Narrow"/>
              <w:b/>
              <w:color w:val="FFFFFF"/>
            </w:rPr>
            <w:t xml:space="preserve">Page </w:t>
          </w:r>
          <w:r w:rsidRPr="00F84A22">
            <w:rPr>
              <w:rFonts w:ascii="Arial Narrow" w:hAnsi="Arial Narrow"/>
              <w:b/>
              <w:color w:val="FFFFFF"/>
            </w:rPr>
            <w:fldChar w:fldCharType="begin"/>
          </w:r>
          <w:r w:rsidRPr="00F84A22">
            <w:rPr>
              <w:rFonts w:ascii="Arial Narrow" w:hAnsi="Arial Narrow"/>
              <w:b/>
              <w:color w:val="FFFFFF"/>
            </w:rPr>
            <w:instrText xml:space="preserve"> PAGE </w:instrText>
          </w:r>
          <w:r w:rsidRPr="00F84A22">
            <w:rPr>
              <w:rFonts w:ascii="Arial Narrow" w:hAnsi="Arial Narrow"/>
              <w:b/>
              <w:color w:val="FFFFFF"/>
            </w:rPr>
            <w:fldChar w:fldCharType="separate"/>
          </w:r>
          <w:r w:rsidR="007B4128">
            <w:rPr>
              <w:rFonts w:ascii="Arial Narrow" w:hAnsi="Arial Narrow"/>
              <w:b/>
              <w:noProof/>
              <w:color w:val="FFFFFF"/>
            </w:rPr>
            <w:t>2</w:t>
          </w:r>
          <w:r w:rsidRPr="00F84A22">
            <w:rPr>
              <w:rFonts w:ascii="Arial Narrow" w:hAnsi="Arial Narrow"/>
              <w:b/>
              <w:color w:val="FFFFFF"/>
            </w:rPr>
            <w:fldChar w:fldCharType="end"/>
          </w:r>
          <w:r>
            <w:rPr>
              <w:rFonts w:ascii="Arial Narrow" w:hAnsi="Arial Narrow"/>
              <w:b/>
              <w:color w:val="FFFFFF"/>
            </w:rPr>
            <w:t>02</w:t>
          </w:r>
        </w:p>
      </w:tc>
    </w:tr>
  </w:tbl>
  <w:p w:rsidR="008E65B9" w:rsidRPr="00AE4498" w:rsidRDefault="008E65B9" w:rsidP="008E65B9">
    <w:pPr>
      <w:tabs>
        <w:tab w:val="right" w:pos="8640"/>
      </w:tabs>
      <w:spacing w:after="40"/>
      <w:rPr>
        <w:rFonts w:ascii="Arial Narrow" w:hAnsi="Arial Narrow"/>
        <w:sz w:val="2"/>
        <w:szCs w:val="2"/>
      </w:rPr>
    </w:pPr>
  </w:p>
  <w:p w:rsidR="00971855" w:rsidRDefault="00971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B7F" w:rsidRDefault="00F01B7F">
      <w:r>
        <w:separator/>
      </w:r>
    </w:p>
  </w:footnote>
  <w:footnote w:type="continuationSeparator" w:id="0">
    <w:p w:rsidR="00F01B7F" w:rsidRDefault="00F01B7F">
      <w:r>
        <w:continuationSeparator/>
      </w:r>
    </w:p>
  </w:footnote>
  <w:footnote w:id="1">
    <w:p w:rsidR="00282CBF" w:rsidRPr="003614BE" w:rsidRDefault="003614BE">
      <w:pPr>
        <w:rPr>
          <w:rFonts w:ascii="Arial" w:hAnsi="Arial" w:cs="Arial"/>
          <w:sz w:val="16"/>
        </w:rPr>
      </w:pPr>
      <w:r w:rsidRPr="003614BE">
        <w:rPr>
          <w:rStyle w:val="FootnoteReference"/>
          <w:rFonts w:ascii="Arial" w:hAnsi="Arial" w:cs="Arial"/>
          <w:sz w:val="16"/>
        </w:rPr>
        <w:t>215</w:t>
      </w:r>
      <w:r w:rsidRPr="003614BE">
        <w:rPr>
          <w:rFonts w:ascii="Arial" w:hAnsi="Arial" w:cs="Arial"/>
          <w:sz w:val="16"/>
        </w:rPr>
        <w:t xml:space="preserve"> In order to use Motor Master you would need to log.  This can be done for custom measure but is not allowed for stipulated measures.  A standard practice and/or load shape study would be required.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4BE" w:rsidRPr="008E65B9" w:rsidRDefault="003614BE" w:rsidP="008E65B9">
    <w:pPr>
      <w:pStyle w:val="Header"/>
      <w:pBdr>
        <w:bottom w:val="dotted" w:sz="4" w:space="1" w:color="1F497D" w:themeColor="text2"/>
      </w:pBdr>
      <w:tabs>
        <w:tab w:val="left" w:pos="2340"/>
        <w:tab w:val="left" w:pos="6120"/>
      </w:tabs>
      <w:spacing w:after="240" w:line="288" w:lineRule="auto"/>
      <w:rPr>
        <w:rFonts w:ascii="Arial Narrow" w:hAnsi="Arial Narrow"/>
        <w:color w:val="A6A6A6"/>
      </w:rPr>
    </w:pPr>
    <w:r w:rsidRPr="003614BE">
      <w:rPr>
        <w:rFonts w:ascii="Arial Narrow" w:hAnsi="Arial Narrow"/>
        <w:color w:val="A6A6A6"/>
      </w:rPr>
      <w:t>State of Pennsylvania</w:t>
    </w:r>
    <w:r w:rsidRPr="003614BE">
      <w:rPr>
        <w:rFonts w:ascii="Arial Narrow" w:hAnsi="Arial Narrow"/>
        <w:color w:val="A6A6A6"/>
      </w:rPr>
      <w:tab/>
      <w:t xml:space="preserve"> – </w:t>
    </w:r>
    <w:r w:rsidRPr="003614BE">
      <w:rPr>
        <w:rFonts w:ascii="Arial Narrow" w:hAnsi="Arial Narrow"/>
        <w:color w:val="A6A6A6"/>
      </w:rPr>
      <w:tab/>
    </w:r>
    <w:r w:rsidR="008E65B9">
      <w:rPr>
        <w:rFonts w:ascii="Arial Narrow" w:hAnsi="Arial Narrow"/>
        <w:color w:val="A6A6A6"/>
      </w:rPr>
      <w:t xml:space="preserve">Technical Reference Manual </w:t>
    </w:r>
    <w:r w:rsidR="008E65B9">
      <w:rPr>
        <w:rFonts w:ascii="Arial Narrow" w:hAnsi="Arial Narrow"/>
        <w:color w:val="A6A6A6"/>
      </w:rPr>
      <w:tab/>
      <w:t xml:space="preserve">– </w:t>
    </w:r>
    <w:r w:rsidR="008E65B9">
      <w:rPr>
        <w:rFonts w:ascii="Arial Narrow" w:hAnsi="Arial Narrow"/>
        <w:color w:val="A6A6A6"/>
      </w:rPr>
      <w:tab/>
    </w:r>
    <w:r w:rsidRPr="003614BE">
      <w:rPr>
        <w:rFonts w:ascii="Arial Narrow" w:hAnsi="Arial Narrow"/>
        <w:color w:val="A6A6A6"/>
      </w:rPr>
      <w:t>Rev Date: June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31ED"/>
    <w:rsid w:val="0002706C"/>
    <w:rsid w:val="00027A40"/>
    <w:rsid w:val="00060A04"/>
    <w:rsid w:val="0007052C"/>
    <w:rsid w:val="00076803"/>
    <w:rsid w:val="00085FAD"/>
    <w:rsid w:val="00097C35"/>
    <w:rsid w:val="000C0C7F"/>
    <w:rsid w:val="000E3B78"/>
    <w:rsid w:val="000E4DA1"/>
    <w:rsid w:val="00105363"/>
    <w:rsid w:val="00107F5F"/>
    <w:rsid w:val="001176C2"/>
    <w:rsid w:val="001209F1"/>
    <w:rsid w:val="0012735B"/>
    <w:rsid w:val="00133C0F"/>
    <w:rsid w:val="0013680B"/>
    <w:rsid w:val="00171E64"/>
    <w:rsid w:val="00190837"/>
    <w:rsid w:val="001947A5"/>
    <w:rsid w:val="001A0CA5"/>
    <w:rsid w:val="001A58D5"/>
    <w:rsid w:val="001A797C"/>
    <w:rsid w:val="001E1BF3"/>
    <w:rsid w:val="001F22DF"/>
    <w:rsid w:val="00222110"/>
    <w:rsid w:val="002229C3"/>
    <w:rsid w:val="002245E3"/>
    <w:rsid w:val="00232B5D"/>
    <w:rsid w:val="0023689D"/>
    <w:rsid w:val="00244B14"/>
    <w:rsid w:val="0025139E"/>
    <w:rsid w:val="0025591B"/>
    <w:rsid w:val="00260867"/>
    <w:rsid w:val="002639EF"/>
    <w:rsid w:val="00282CBF"/>
    <w:rsid w:val="00292B97"/>
    <w:rsid w:val="0029471C"/>
    <w:rsid w:val="00297EAB"/>
    <w:rsid w:val="002D2DDD"/>
    <w:rsid w:val="002F0138"/>
    <w:rsid w:val="002F307A"/>
    <w:rsid w:val="002F443E"/>
    <w:rsid w:val="002F75EC"/>
    <w:rsid w:val="0030651D"/>
    <w:rsid w:val="00331E7F"/>
    <w:rsid w:val="0035564E"/>
    <w:rsid w:val="00355FB2"/>
    <w:rsid w:val="003569E8"/>
    <w:rsid w:val="003614BE"/>
    <w:rsid w:val="0036151F"/>
    <w:rsid w:val="00363CC5"/>
    <w:rsid w:val="00384920"/>
    <w:rsid w:val="003872E4"/>
    <w:rsid w:val="003C515D"/>
    <w:rsid w:val="003D1D38"/>
    <w:rsid w:val="00410571"/>
    <w:rsid w:val="00416EFD"/>
    <w:rsid w:val="004346CC"/>
    <w:rsid w:val="00446375"/>
    <w:rsid w:val="00450245"/>
    <w:rsid w:val="00451C0E"/>
    <w:rsid w:val="0045381E"/>
    <w:rsid w:val="00462CF6"/>
    <w:rsid w:val="00480840"/>
    <w:rsid w:val="00482676"/>
    <w:rsid w:val="004A0637"/>
    <w:rsid w:val="004A296C"/>
    <w:rsid w:val="004B11C2"/>
    <w:rsid w:val="004B5AA6"/>
    <w:rsid w:val="004C4C48"/>
    <w:rsid w:val="004D2698"/>
    <w:rsid w:val="004E31BB"/>
    <w:rsid w:val="004E3FA0"/>
    <w:rsid w:val="004E6FC4"/>
    <w:rsid w:val="004F488B"/>
    <w:rsid w:val="004F5084"/>
    <w:rsid w:val="00504873"/>
    <w:rsid w:val="0051639C"/>
    <w:rsid w:val="00525681"/>
    <w:rsid w:val="005273FC"/>
    <w:rsid w:val="00527A2A"/>
    <w:rsid w:val="005372E4"/>
    <w:rsid w:val="00546096"/>
    <w:rsid w:val="00553528"/>
    <w:rsid w:val="005559B6"/>
    <w:rsid w:val="005748D5"/>
    <w:rsid w:val="00595468"/>
    <w:rsid w:val="005A28F6"/>
    <w:rsid w:val="005A4A50"/>
    <w:rsid w:val="005C6561"/>
    <w:rsid w:val="005E25C5"/>
    <w:rsid w:val="005E546D"/>
    <w:rsid w:val="005F67E3"/>
    <w:rsid w:val="0061149D"/>
    <w:rsid w:val="00612856"/>
    <w:rsid w:val="00647EDC"/>
    <w:rsid w:val="006624AE"/>
    <w:rsid w:val="00662E3D"/>
    <w:rsid w:val="00666EC8"/>
    <w:rsid w:val="00670623"/>
    <w:rsid w:val="0067110D"/>
    <w:rsid w:val="006755C0"/>
    <w:rsid w:val="00687F96"/>
    <w:rsid w:val="00696AF8"/>
    <w:rsid w:val="00696C0F"/>
    <w:rsid w:val="006A0C95"/>
    <w:rsid w:val="006A7E0D"/>
    <w:rsid w:val="006B7F3E"/>
    <w:rsid w:val="006D3697"/>
    <w:rsid w:val="006E036F"/>
    <w:rsid w:val="006F4AEA"/>
    <w:rsid w:val="00704308"/>
    <w:rsid w:val="00712678"/>
    <w:rsid w:val="00746CC6"/>
    <w:rsid w:val="007617B1"/>
    <w:rsid w:val="00764454"/>
    <w:rsid w:val="00765888"/>
    <w:rsid w:val="00780D34"/>
    <w:rsid w:val="007842B1"/>
    <w:rsid w:val="007A41CF"/>
    <w:rsid w:val="007B4128"/>
    <w:rsid w:val="007C0377"/>
    <w:rsid w:val="007E6D1C"/>
    <w:rsid w:val="007F1AA9"/>
    <w:rsid w:val="007F1F66"/>
    <w:rsid w:val="00800272"/>
    <w:rsid w:val="00811081"/>
    <w:rsid w:val="008127D7"/>
    <w:rsid w:val="00827BBE"/>
    <w:rsid w:val="00841E24"/>
    <w:rsid w:val="00843AB6"/>
    <w:rsid w:val="00853BB8"/>
    <w:rsid w:val="00897E1C"/>
    <w:rsid w:val="008A373D"/>
    <w:rsid w:val="008C224B"/>
    <w:rsid w:val="008E5413"/>
    <w:rsid w:val="008E65B9"/>
    <w:rsid w:val="009147F8"/>
    <w:rsid w:val="00914A4A"/>
    <w:rsid w:val="009218CF"/>
    <w:rsid w:val="00933273"/>
    <w:rsid w:val="0094299E"/>
    <w:rsid w:val="00943D16"/>
    <w:rsid w:val="00945657"/>
    <w:rsid w:val="00971855"/>
    <w:rsid w:val="00974CB0"/>
    <w:rsid w:val="00996C70"/>
    <w:rsid w:val="009A0C5A"/>
    <w:rsid w:val="009B23D8"/>
    <w:rsid w:val="009B51EB"/>
    <w:rsid w:val="009E40EC"/>
    <w:rsid w:val="009E5D90"/>
    <w:rsid w:val="009F5F66"/>
    <w:rsid w:val="00A205AF"/>
    <w:rsid w:val="00A2207A"/>
    <w:rsid w:val="00A31B01"/>
    <w:rsid w:val="00A334FD"/>
    <w:rsid w:val="00A36626"/>
    <w:rsid w:val="00A50D88"/>
    <w:rsid w:val="00A7025F"/>
    <w:rsid w:val="00A75ADE"/>
    <w:rsid w:val="00A80849"/>
    <w:rsid w:val="00A872E4"/>
    <w:rsid w:val="00AB171C"/>
    <w:rsid w:val="00B2209E"/>
    <w:rsid w:val="00B22D6C"/>
    <w:rsid w:val="00B37A43"/>
    <w:rsid w:val="00B4676B"/>
    <w:rsid w:val="00B472DF"/>
    <w:rsid w:val="00B5141A"/>
    <w:rsid w:val="00B644AB"/>
    <w:rsid w:val="00B71C57"/>
    <w:rsid w:val="00B92745"/>
    <w:rsid w:val="00BA3CDC"/>
    <w:rsid w:val="00BB2A9D"/>
    <w:rsid w:val="00BC5230"/>
    <w:rsid w:val="00BD5BC4"/>
    <w:rsid w:val="00BD7C51"/>
    <w:rsid w:val="00BE13FF"/>
    <w:rsid w:val="00BE4A72"/>
    <w:rsid w:val="00BE5119"/>
    <w:rsid w:val="00BF4868"/>
    <w:rsid w:val="00BF52B0"/>
    <w:rsid w:val="00BF5414"/>
    <w:rsid w:val="00C1338C"/>
    <w:rsid w:val="00C20628"/>
    <w:rsid w:val="00C37BE5"/>
    <w:rsid w:val="00C37C68"/>
    <w:rsid w:val="00C37E0D"/>
    <w:rsid w:val="00C44594"/>
    <w:rsid w:val="00C61A35"/>
    <w:rsid w:val="00C61F6D"/>
    <w:rsid w:val="00C63F83"/>
    <w:rsid w:val="00C66FF0"/>
    <w:rsid w:val="00C74A51"/>
    <w:rsid w:val="00C77F29"/>
    <w:rsid w:val="00C83812"/>
    <w:rsid w:val="00C90506"/>
    <w:rsid w:val="00C92167"/>
    <w:rsid w:val="00C94080"/>
    <w:rsid w:val="00CB51E0"/>
    <w:rsid w:val="00CB5738"/>
    <w:rsid w:val="00CC1A5A"/>
    <w:rsid w:val="00CC5A68"/>
    <w:rsid w:val="00CD209F"/>
    <w:rsid w:val="00CE1608"/>
    <w:rsid w:val="00CF047C"/>
    <w:rsid w:val="00D10617"/>
    <w:rsid w:val="00D157F3"/>
    <w:rsid w:val="00D16066"/>
    <w:rsid w:val="00D17F37"/>
    <w:rsid w:val="00D360BC"/>
    <w:rsid w:val="00D37340"/>
    <w:rsid w:val="00D7222A"/>
    <w:rsid w:val="00D76315"/>
    <w:rsid w:val="00D77E12"/>
    <w:rsid w:val="00D878A9"/>
    <w:rsid w:val="00D9043A"/>
    <w:rsid w:val="00D95572"/>
    <w:rsid w:val="00DA4178"/>
    <w:rsid w:val="00DA5CA1"/>
    <w:rsid w:val="00DB6E49"/>
    <w:rsid w:val="00DC2B02"/>
    <w:rsid w:val="00DE7F43"/>
    <w:rsid w:val="00E00F41"/>
    <w:rsid w:val="00E07C84"/>
    <w:rsid w:val="00E14B69"/>
    <w:rsid w:val="00E16E9F"/>
    <w:rsid w:val="00E17B7B"/>
    <w:rsid w:val="00E22610"/>
    <w:rsid w:val="00E32505"/>
    <w:rsid w:val="00E349DA"/>
    <w:rsid w:val="00E52F99"/>
    <w:rsid w:val="00E631EB"/>
    <w:rsid w:val="00E7411A"/>
    <w:rsid w:val="00E92BB3"/>
    <w:rsid w:val="00E9795D"/>
    <w:rsid w:val="00EA6E61"/>
    <w:rsid w:val="00ED67AE"/>
    <w:rsid w:val="00F01B7F"/>
    <w:rsid w:val="00F061C2"/>
    <w:rsid w:val="00F119E7"/>
    <w:rsid w:val="00F22864"/>
    <w:rsid w:val="00F256FF"/>
    <w:rsid w:val="00F30678"/>
    <w:rsid w:val="00F42996"/>
    <w:rsid w:val="00F531C5"/>
    <w:rsid w:val="00F56730"/>
    <w:rsid w:val="00F63322"/>
    <w:rsid w:val="00F7094C"/>
    <w:rsid w:val="00F720B7"/>
    <w:rsid w:val="00F86505"/>
    <w:rsid w:val="00F87EAE"/>
    <w:rsid w:val="00FA0E37"/>
    <w:rsid w:val="00FB0D46"/>
    <w:rsid w:val="00FB6CF5"/>
    <w:rsid w:val="00FC4DF3"/>
    <w:rsid w:val="00FC50BC"/>
    <w:rsid w:val="00FC767E"/>
    <w:rsid w:val="00FD1574"/>
    <w:rsid w:val="00FF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15"/>
    <w:rPr>
      <w:sz w:val="20"/>
      <w:szCs w:val="20"/>
    </w:rPr>
  </w:style>
  <w:style w:type="paragraph" w:styleId="Heading1">
    <w:name w:val="heading 1"/>
    <w:basedOn w:val="Normal"/>
    <w:next w:val="Normal"/>
    <w:link w:val="Heading1Char"/>
    <w:uiPriority w:val="99"/>
    <w:qFormat/>
    <w:rsid w:val="00D76315"/>
    <w:pPr>
      <w:keepNext/>
      <w:outlineLvl w:val="0"/>
    </w:pPr>
    <w:rPr>
      <w:sz w:val="24"/>
    </w:rPr>
  </w:style>
  <w:style w:type="paragraph" w:styleId="Heading2">
    <w:name w:val="heading 2"/>
    <w:basedOn w:val="Normal"/>
    <w:next w:val="Normal"/>
    <w:link w:val="Heading2Char"/>
    <w:semiHidden/>
    <w:unhideWhenUsed/>
    <w:qFormat/>
    <w:locked/>
    <w:rsid w:val="005E54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5E54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0C95"/>
    <w:rPr>
      <w:rFonts w:ascii="Cambria" w:hAnsi="Cambria" w:cs="Times New Roman"/>
      <w:b/>
      <w:bCs/>
      <w:kern w:val="32"/>
      <w:sz w:val="32"/>
      <w:szCs w:val="32"/>
    </w:rPr>
  </w:style>
  <w:style w:type="paragraph" w:styleId="BodyTextIndent">
    <w:name w:val="Body Text Indent"/>
    <w:basedOn w:val="Normal"/>
    <w:link w:val="BodyTextIndentChar"/>
    <w:uiPriority w:val="99"/>
    <w:rsid w:val="00D76315"/>
    <w:pPr>
      <w:ind w:left="360"/>
    </w:pPr>
    <w:rPr>
      <w:sz w:val="24"/>
    </w:rPr>
  </w:style>
  <w:style w:type="character" w:customStyle="1" w:styleId="BodyTextIndentChar">
    <w:name w:val="Body Text Indent Char"/>
    <w:basedOn w:val="DefaultParagraphFont"/>
    <w:link w:val="BodyTextIndent"/>
    <w:uiPriority w:val="99"/>
    <w:semiHidden/>
    <w:locked/>
    <w:rsid w:val="006A0C95"/>
    <w:rPr>
      <w:rFonts w:cs="Times New Roman"/>
      <w:sz w:val="20"/>
      <w:szCs w:val="20"/>
    </w:rPr>
  </w:style>
  <w:style w:type="paragraph" w:styleId="Header">
    <w:name w:val="header"/>
    <w:basedOn w:val="Normal"/>
    <w:link w:val="HeaderChar"/>
    <w:uiPriority w:val="99"/>
    <w:rsid w:val="00D76315"/>
    <w:pPr>
      <w:tabs>
        <w:tab w:val="center" w:pos="4320"/>
        <w:tab w:val="right" w:pos="8640"/>
      </w:tabs>
    </w:pPr>
  </w:style>
  <w:style w:type="character" w:customStyle="1" w:styleId="HeaderChar">
    <w:name w:val="Header Char"/>
    <w:basedOn w:val="DefaultParagraphFont"/>
    <w:link w:val="Header"/>
    <w:uiPriority w:val="99"/>
    <w:locked/>
    <w:rsid w:val="006A0C95"/>
    <w:rPr>
      <w:rFonts w:cs="Times New Roman"/>
      <w:sz w:val="20"/>
      <w:szCs w:val="20"/>
    </w:rPr>
  </w:style>
  <w:style w:type="paragraph" w:styleId="Footer">
    <w:name w:val="footer"/>
    <w:basedOn w:val="Normal"/>
    <w:link w:val="FooterChar"/>
    <w:uiPriority w:val="99"/>
    <w:rsid w:val="00D76315"/>
    <w:pPr>
      <w:tabs>
        <w:tab w:val="center" w:pos="4320"/>
        <w:tab w:val="right" w:pos="8640"/>
      </w:tabs>
    </w:pPr>
  </w:style>
  <w:style w:type="character" w:customStyle="1" w:styleId="FooterChar">
    <w:name w:val="Footer Char"/>
    <w:basedOn w:val="DefaultParagraphFont"/>
    <w:link w:val="Footer"/>
    <w:uiPriority w:val="99"/>
    <w:locked/>
    <w:rsid w:val="006A0C95"/>
    <w:rPr>
      <w:rFonts w:cs="Times New Roman"/>
      <w:sz w:val="20"/>
      <w:szCs w:val="20"/>
    </w:rPr>
  </w:style>
  <w:style w:type="paragraph" w:styleId="BalloonText">
    <w:name w:val="Balloon Text"/>
    <w:basedOn w:val="Normal"/>
    <w:link w:val="BalloonTextChar"/>
    <w:uiPriority w:val="99"/>
    <w:semiHidden/>
    <w:rsid w:val="00675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C95"/>
    <w:rPr>
      <w:rFonts w:cs="Times New Roman"/>
      <w:sz w:val="2"/>
    </w:rPr>
  </w:style>
  <w:style w:type="paragraph" w:styleId="BodyText">
    <w:name w:val="Body Text"/>
    <w:basedOn w:val="Normal"/>
    <w:link w:val="BodyTextChar"/>
    <w:uiPriority w:val="99"/>
    <w:rsid w:val="009E40EC"/>
    <w:pPr>
      <w:spacing w:after="120"/>
    </w:pPr>
  </w:style>
  <w:style w:type="character" w:customStyle="1" w:styleId="BodyTextChar">
    <w:name w:val="Body Text Char"/>
    <w:basedOn w:val="DefaultParagraphFont"/>
    <w:link w:val="BodyText"/>
    <w:uiPriority w:val="99"/>
    <w:semiHidden/>
    <w:locked/>
    <w:rsid w:val="006A0C95"/>
    <w:rPr>
      <w:rFonts w:cs="Times New Roman"/>
      <w:sz w:val="20"/>
      <w:szCs w:val="20"/>
    </w:rPr>
  </w:style>
  <w:style w:type="character" w:styleId="PageNumber">
    <w:name w:val="page number"/>
    <w:basedOn w:val="DefaultParagraphFont"/>
    <w:uiPriority w:val="99"/>
    <w:rsid w:val="009E40EC"/>
    <w:rPr>
      <w:rFonts w:cs="Times New Roman"/>
    </w:rPr>
  </w:style>
  <w:style w:type="paragraph" w:styleId="FootnoteText">
    <w:name w:val="footnote text"/>
    <w:basedOn w:val="Normal"/>
    <w:link w:val="FootnoteTextChar"/>
    <w:rsid w:val="00451C0E"/>
  </w:style>
  <w:style w:type="character" w:customStyle="1" w:styleId="FootnoteTextChar">
    <w:name w:val="Footnote Text Char"/>
    <w:basedOn w:val="DefaultParagraphFont"/>
    <w:link w:val="FootnoteText"/>
    <w:locked/>
    <w:rsid w:val="00451C0E"/>
    <w:rPr>
      <w:rFonts w:cs="Times New Roman"/>
    </w:rPr>
  </w:style>
  <w:style w:type="character" w:styleId="FootnoteReference">
    <w:name w:val="footnote reference"/>
    <w:basedOn w:val="DefaultParagraphFont"/>
    <w:rsid w:val="00451C0E"/>
    <w:rPr>
      <w:rFonts w:cs="Times New Roman"/>
      <w:vertAlign w:val="superscript"/>
    </w:rPr>
  </w:style>
  <w:style w:type="character" w:styleId="CommentReference">
    <w:name w:val="annotation reference"/>
    <w:basedOn w:val="DefaultParagraphFont"/>
    <w:uiPriority w:val="99"/>
    <w:rsid w:val="005A28F6"/>
    <w:rPr>
      <w:rFonts w:cs="Times New Roman"/>
      <w:sz w:val="16"/>
      <w:szCs w:val="16"/>
    </w:rPr>
  </w:style>
  <w:style w:type="paragraph" w:styleId="CommentText">
    <w:name w:val="annotation text"/>
    <w:basedOn w:val="Normal"/>
    <w:link w:val="CommentTextChar"/>
    <w:uiPriority w:val="99"/>
    <w:rsid w:val="005A28F6"/>
  </w:style>
  <w:style w:type="character" w:customStyle="1" w:styleId="CommentTextChar">
    <w:name w:val="Comment Text Char"/>
    <w:basedOn w:val="DefaultParagraphFont"/>
    <w:link w:val="CommentText"/>
    <w:uiPriority w:val="99"/>
    <w:locked/>
    <w:rsid w:val="005A28F6"/>
    <w:rPr>
      <w:rFonts w:cs="Times New Roman"/>
    </w:rPr>
  </w:style>
  <w:style w:type="paragraph" w:styleId="CommentSubject">
    <w:name w:val="annotation subject"/>
    <w:basedOn w:val="CommentText"/>
    <w:next w:val="CommentText"/>
    <w:link w:val="CommentSubjectChar"/>
    <w:uiPriority w:val="99"/>
    <w:rsid w:val="005A28F6"/>
    <w:rPr>
      <w:b/>
      <w:bCs/>
    </w:rPr>
  </w:style>
  <w:style w:type="character" w:customStyle="1" w:styleId="CommentSubjectChar">
    <w:name w:val="Comment Subject Char"/>
    <w:basedOn w:val="CommentTextChar"/>
    <w:link w:val="CommentSubject"/>
    <w:uiPriority w:val="99"/>
    <w:locked/>
    <w:rsid w:val="005A28F6"/>
    <w:rPr>
      <w:rFonts w:cs="Times New Roman"/>
      <w:b/>
      <w:bCs/>
    </w:rPr>
  </w:style>
  <w:style w:type="character" w:styleId="Hyperlink">
    <w:name w:val="Hyperlink"/>
    <w:basedOn w:val="DefaultParagraphFont"/>
    <w:uiPriority w:val="99"/>
    <w:rsid w:val="00553528"/>
    <w:rPr>
      <w:rFonts w:cs="Times New Roman"/>
      <w:color w:val="0000FF"/>
      <w:u w:val="single"/>
    </w:rPr>
  </w:style>
  <w:style w:type="character" w:customStyle="1" w:styleId="Heading2Char">
    <w:name w:val="Heading 2 Char"/>
    <w:basedOn w:val="DefaultParagraphFont"/>
    <w:link w:val="Heading2"/>
    <w:semiHidden/>
    <w:rsid w:val="005E54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5E546D"/>
    <w:rPr>
      <w:rFonts w:asciiTheme="majorHAnsi" w:eastAsiaTheme="majorEastAsia" w:hAnsiTheme="majorHAnsi" w:cstheme="majorBidi"/>
      <w:b/>
      <w:bCs/>
      <w:color w:val="4F81BD" w:themeColor="accent1"/>
      <w:sz w:val="20"/>
      <w:szCs w:val="20"/>
    </w:rPr>
  </w:style>
  <w:style w:type="paragraph" w:customStyle="1" w:styleId="Equation">
    <w:name w:val="Equation"/>
    <w:basedOn w:val="BodyTextIndent3"/>
    <w:uiPriority w:val="99"/>
    <w:qFormat/>
    <w:rsid w:val="003614BE"/>
    <w:pPr>
      <w:tabs>
        <w:tab w:val="left" w:pos="720"/>
        <w:tab w:val="left" w:pos="2880"/>
      </w:tabs>
      <w:overflowPunct w:val="0"/>
      <w:autoSpaceDE w:val="0"/>
      <w:autoSpaceDN w:val="0"/>
      <w:adjustRightInd w:val="0"/>
      <w:spacing w:after="200" w:line="288" w:lineRule="auto"/>
      <w:ind w:left="2880" w:hanging="2880"/>
      <w:textAlignment w:val="baseline"/>
    </w:pPr>
    <w:rPr>
      <w:rFonts w:ascii="Arial" w:eastAsia="Calibri" w:hAnsi="Arial"/>
      <w:i/>
      <w:sz w:val="20"/>
    </w:rPr>
  </w:style>
  <w:style w:type="paragraph" w:styleId="BodyTextIndent3">
    <w:name w:val="Body Text Indent 3"/>
    <w:basedOn w:val="Normal"/>
    <w:link w:val="BodyTextIndent3Char"/>
    <w:uiPriority w:val="99"/>
    <w:semiHidden/>
    <w:unhideWhenUsed/>
    <w:rsid w:val="003614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614B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15"/>
    <w:rPr>
      <w:sz w:val="20"/>
      <w:szCs w:val="20"/>
    </w:rPr>
  </w:style>
  <w:style w:type="paragraph" w:styleId="Heading1">
    <w:name w:val="heading 1"/>
    <w:basedOn w:val="Normal"/>
    <w:next w:val="Normal"/>
    <w:link w:val="Heading1Char"/>
    <w:uiPriority w:val="99"/>
    <w:qFormat/>
    <w:rsid w:val="00D76315"/>
    <w:pPr>
      <w:keepNext/>
      <w:outlineLvl w:val="0"/>
    </w:pPr>
    <w:rPr>
      <w:sz w:val="24"/>
    </w:rPr>
  </w:style>
  <w:style w:type="paragraph" w:styleId="Heading2">
    <w:name w:val="heading 2"/>
    <w:basedOn w:val="Normal"/>
    <w:next w:val="Normal"/>
    <w:link w:val="Heading2Char"/>
    <w:semiHidden/>
    <w:unhideWhenUsed/>
    <w:qFormat/>
    <w:locked/>
    <w:rsid w:val="005E54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5E54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0C95"/>
    <w:rPr>
      <w:rFonts w:ascii="Cambria" w:hAnsi="Cambria" w:cs="Times New Roman"/>
      <w:b/>
      <w:bCs/>
      <w:kern w:val="32"/>
      <w:sz w:val="32"/>
      <w:szCs w:val="32"/>
    </w:rPr>
  </w:style>
  <w:style w:type="paragraph" w:styleId="BodyTextIndent">
    <w:name w:val="Body Text Indent"/>
    <w:basedOn w:val="Normal"/>
    <w:link w:val="BodyTextIndentChar"/>
    <w:uiPriority w:val="99"/>
    <w:rsid w:val="00D76315"/>
    <w:pPr>
      <w:ind w:left="360"/>
    </w:pPr>
    <w:rPr>
      <w:sz w:val="24"/>
    </w:rPr>
  </w:style>
  <w:style w:type="character" w:customStyle="1" w:styleId="BodyTextIndentChar">
    <w:name w:val="Body Text Indent Char"/>
    <w:basedOn w:val="DefaultParagraphFont"/>
    <w:link w:val="BodyTextIndent"/>
    <w:uiPriority w:val="99"/>
    <w:semiHidden/>
    <w:locked/>
    <w:rsid w:val="006A0C95"/>
    <w:rPr>
      <w:rFonts w:cs="Times New Roman"/>
      <w:sz w:val="20"/>
      <w:szCs w:val="20"/>
    </w:rPr>
  </w:style>
  <w:style w:type="paragraph" w:styleId="Header">
    <w:name w:val="header"/>
    <w:basedOn w:val="Normal"/>
    <w:link w:val="HeaderChar"/>
    <w:uiPriority w:val="99"/>
    <w:rsid w:val="00D76315"/>
    <w:pPr>
      <w:tabs>
        <w:tab w:val="center" w:pos="4320"/>
        <w:tab w:val="right" w:pos="8640"/>
      </w:tabs>
    </w:pPr>
  </w:style>
  <w:style w:type="character" w:customStyle="1" w:styleId="HeaderChar">
    <w:name w:val="Header Char"/>
    <w:basedOn w:val="DefaultParagraphFont"/>
    <w:link w:val="Header"/>
    <w:uiPriority w:val="99"/>
    <w:locked/>
    <w:rsid w:val="006A0C95"/>
    <w:rPr>
      <w:rFonts w:cs="Times New Roman"/>
      <w:sz w:val="20"/>
      <w:szCs w:val="20"/>
    </w:rPr>
  </w:style>
  <w:style w:type="paragraph" w:styleId="Footer">
    <w:name w:val="footer"/>
    <w:basedOn w:val="Normal"/>
    <w:link w:val="FooterChar"/>
    <w:uiPriority w:val="99"/>
    <w:rsid w:val="00D76315"/>
    <w:pPr>
      <w:tabs>
        <w:tab w:val="center" w:pos="4320"/>
        <w:tab w:val="right" w:pos="8640"/>
      </w:tabs>
    </w:pPr>
  </w:style>
  <w:style w:type="character" w:customStyle="1" w:styleId="FooterChar">
    <w:name w:val="Footer Char"/>
    <w:basedOn w:val="DefaultParagraphFont"/>
    <w:link w:val="Footer"/>
    <w:uiPriority w:val="99"/>
    <w:locked/>
    <w:rsid w:val="006A0C95"/>
    <w:rPr>
      <w:rFonts w:cs="Times New Roman"/>
      <w:sz w:val="20"/>
      <w:szCs w:val="20"/>
    </w:rPr>
  </w:style>
  <w:style w:type="paragraph" w:styleId="BalloonText">
    <w:name w:val="Balloon Text"/>
    <w:basedOn w:val="Normal"/>
    <w:link w:val="BalloonTextChar"/>
    <w:uiPriority w:val="99"/>
    <w:semiHidden/>
    <w:rsid w:val="00675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C95"/>
    <w:rPr>
      <w:rFonts w:cs="Times New Roman"/>
      <w:sz w:val="2"/>
    </w:rPr>
  </w:style>
  <w:style w:type="paragraph" w:styleId="BodyText">
    <w:name w:val="Body Text"/>
    <w:basedOn w:val="Normal"/>
    <w:link w:val="BodyTextChar"/>
    <w:uiPriority w:val="99"/>
    <w:rsid w:val="009E40EC"/>
    <w:pPr>
      <w:spacing w:after="120"/>
    </w:pPr>
  </w:style>
  <w:style w:type="character" w:customStyle="1" w:styleId="BodyTextChar">
    <w:name w:val="Body Text Char"/>
    <w:basedOn w:val="DefaultParagraphFont"/>
    <w:link w:val="BodyText"/>
    <w:uiPriority w:val="99"/>
    <w:semiHidden/>
    <w:locked/>
    <w:rsid w:val="006A0C95"/>
    <w:rPr>
      <w:rFonts w:cs="Times New Roman"/>
      <w:sz w:val="20"/>
      <w:szCs w:val="20"/>
    </w:rPr>
  </w:style>
  <w:style w:type="character" w:styleId="PageNumber">
    <w:name w:val="page number"/>
    <w:basedOn w:val="DefaultParagraphFont"/>
    <w:uiPriority w:val="99"/>
    <w:rsid w:val="009E40EC"/>
    <w:rPr>
      <w:rFonts w:cs="Times New Roman"/>
    </w:rPr>
  </w:style>
  <w:style w:type="paragraph" w:styleId="FootnoteText">
    <w:name w:val="footnote text"/>
    <w:basedOn w:val="Normal"/>
    <w:link w:val="FootnoteTextChar"/>
    <w:rsid w:val="00451C0E"/>
  </w:style>
  <w:style w:type="character" w:customStyle="1" w:styleId="FootnoteTextChar">
    <w:name w:val="Footnote Text Char"/>
    <w:basedOn w:val="DefaultParagraphFont"/>
    <w:link w:val="FootnoteText"/>
    <w:locked/>
    <w:rsid w:val="00451C0E"/>
    <w:rPr>
      <w:rFonts w:cs="Times New Roman"/>
    </w:rPr>
  </w:style>
  <w:style w:type="character" w:styleId="FootnoteReference">
    <w:name w:val="footnote reference"/>
    <w:basedOn w:val="DefaultParagraphFont"/>
    <w:rsid w:val="00451C0E"/>
    <w:rPr>
      <w:rFonts w:cs="Times New Roman"/>
      <w:vertAlign w:val="superscript"/>
    </w:rPr>
  </w:style>
  <w:style w:type="character" w:styleId="CommentReference">
    <w:name w:val="annotation reference"/>
    <w:basedOn w:val="DefaultParagraphFont"/>
    <w:uiPriority w:val="99"/>
    <w:rsid w:val="005A28F6"/>
    <w:rPr>
      <w:rFonts w:cs="Times New Roman"/>
      <w:sz w:val="16"/>
      <w:szCs w:val="16"/>
    </w:rPr>
  </w:style>
  <w:style w:type="paragraph" w:styleId="CommentText">
    <w:name w:val="annotation text"/>
    <w:basedOn w:val="Normal"/>
    <w:link w:val="CommentTextChar"/>
    <w:uiPriority w:val="99"/>
    <w:rsid w:val="005A28F6"/>
  </w:style>
  <w:style w:type="character" w:customStyle="1" w:styleId="CommentTextChar">
    <w:name w:val="Comment Text Char"/>
    <w:basedOn w:val="DefaultParagraphFont"/>
    <w:link w:val="CommentText"/>
    <w:uiPriority w:val="99"/>
    <w:locked/>
    <w:rsid w:val="005A28F6"/>
    <w:rPr>
      <w:rFonts w:cs="Times New Roman"/>
    </w:rPr>
  </w:style>
  <w:style w:type="paragraph" w:styleId="CommentSubject">
    <w:name w:val="annotation subject"/>
    <w:basedOn w:val="CommentText"/>
    <w:next w:val="CommentText"/>
    <w:link w:val="CommentSubjectChar"/>
    <w:uiPriority w:val="99"/>
    <w:rsid w:val="005A28F6"/>
    <w:rPr>
      <w:b/>
      <w:bCs/>
    </w:rPr>
  </w:style>
  <w:style w:type="character" w:customStyle="1" w:styleId="CommentSubjectChar">
    <w:name w:val="Comment Subject Char"/>
    <w:basedOn w:val="CommentTextChar"/>
    <w:link w:val="CommentSubject"/>
    <w:uiPriority w:val="99"/>
    <w:locked/>
    <w:rsid w:val="005A28F6"/>
    <w:rPr>
      <w:rFonts w:cs="Times New Roman"/>
      <w:b/>
      <w:bCs/>
    </w:rPr>
  </w:style>
  <w:style w:type="character" w:styleId="Hyperlink">
    <w:name w:val="Hyperlink"/>
    <w:basedOn w:val="DefaultParagraphFont"/>
    <w:uiPriority w:val="99"/>
    <w:rsid w:val="00553528"/>
    <w:rPr>
      <w:rFonts w:cs="Times New Roman"/>
      <w:color w:val="0000FF"/>
      <w:u w:val="single"/>
    </w:rPr>
  </w:style>
  <w:style w:type="character" w:customStyle="1" w:styleId="Heading2Char">
    <w:name w:val="Heading 2 Char"/>
    <w:basedOn w:val="DefaultParagraphFont"/>
    <w:link w:val="Heading2"/>
    <w:semiHidden/>
    <w:rsid w:val="005E54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5E546D"/>
    <w:rPr>
      <w:rFonts w:asciiTheme="majorHAnsi" w:eastAsiaTheme="majorEastAsia" w:hAnsiTheme="majorHAnsi" w:cstheme="majorBidi"/>
      <w:b/>
      <w:bCs/>
      <w:color w:val="4F81BD" w:themeColor="accent1"/>
      <w:sz w:val="20"/>
      <w:szCs w:val="20"/>
    </w:rPr>
  </w:style>
  <w:style w:type="paragraph" w:customStyle="1" w:styleId="Equation">
    <w:name w:val="Equation"/>
    <w:basedOn w:val="BodyTextIndent3"/>
    <w:uiPriority w:val="99"/>
    <w:qFormat/>
    <w:rsid w:val="003614BE"/>
    <w:pPr>
      <w:tabs>
        <w:tab w:val="left" w:pos="720"/>
        <w:tab w:val="left" w:pos="2880"/>
      </w:tabs>
      <w:overflowPunct w:val="0"/>
      <w:autoSpaceDE w:val="0"/>
      <w:autoSpaceDN w:val="0"/>
      <w:adjustRightInd w:val="0"/>
      <w:spacing w:after="200" w:line="288" w:lineRule="auto"/>
      <w:ind w:left="2880" w:hanging="2880"/>
      <w:textAlignment w:val="baseline"/>
    </w:pPr>
    <w:rPr>
      <w:rFonts w:ascii="Arial" w:eastAsia="Calibri" w:hAnsi="Arial"/>
      <w:i/>
      <w:sz w:val="20"/>
    </w:rPr>
  </w:style>
  <w:style w:type="paragraph" w:styleId="BodyTextIndent3">
    <w:name w:val="Body Text Indent 3"/>
    <w:basedOn w:val="Normal"/>
    <w:link w:val="BodyTextIndent3Char"/>
    <w:uiPriority w:val="99"/>
    <w:semiHidden/>
    <w:unhideWhenUsed/>
    <w:rsid w:val="003614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614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pa.gov/filing_resources/issues_laws_regulations/act_129_information/technical_reference_manual.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egagoo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6BD06-9473-441B-A075-B5A23144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Hinds, Margaret</cp:lastModifiedBy>
  <cp:revision>4</cp:revision>
  <cp:lastPrinted>2014-04-07T11:17:00Z</cp:lastPrinted>
  <dcterms:created xsi:type="dcterms:W3CDTF">2014-04-04T15:42:00Z</dcterms:created>
  <dcterms:modified xsi:type="dcterms:W3CDTF">2014-04-07T11:17:00Z</dcterms:modified>
</cp:coreProperties>
</file>