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87"/>
        <w:gridCol w:w="1440"/>
      </w:tblGrid>
      <w:tr w:rsidR="00C74A51">
        <w:trPr>
          <w:trHeight w:val="990"/>
        </w:trPr>
        <w:tc>
          <w:tcPr>
            <w:tcW w:w="1363" w:type="dxa"/>
          </w:tcPr>
          <w:p w:rsidR="00C74A51" w:rsidRDefault="00463EE5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7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40" w:type="dxa"/>
          </w:tcPr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:rsidR="004F32B3" w:rsidRDefault="004E72B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L-2014-2409385</w:t>
            </w:r>
          </w:p>
          <w:p w:rsidR="003569E8" w:rsidRPr="00170283" w:rsidRDefault="003569E8" w:rsidP="00695E35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C74A51" w:rsidRDefault="00C74A51">
      <w:pPr>
        <w:rPr>
          <w:sz w:val="24"/>
        </w:rPr>
        <w:sectPr w:rsidR="00C74A51" w:rsidSect="00BF6F03">
          <w:footerReference w:type="even" r:id="rId10"/>
          <w:footerReference w:type="default" r:id="rId11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:rsidR="00695E35" w:rsidRPr="00E872DE" w:rsidRDefault="003C56E2" w:rsidP="00E872DE">
      <w:pPr>
        <w:rPr>
          <w:b/>
          <w:sz w:val="22"/>
          <w:szCs w:val="22"/>
        </w:rPr>
      </w:pPr>
      <w:r w:rsidRPr="003C56E2">
        <w:rPr>
          <w:b/>
          <w:sz w:val="26"/>
          <w:szCs w:val="26"/>
        </w:rPr>
        <w:lastRenderedPageBreak/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A057CA">
        <w:rPr>
          <w:b/>
          <w:sz w:val="26"/>
          <w:szCs w:val="26"/>
        </w:rPr>
        <w:t>March 19, 2014</w:t>
      </w:r>
    </w:p>
    <w:p w:rsidR="005F26A1" w:rsidRPr="00E872DE" w:rsidRDefault="005F26A1" w:rsidP="00695E35">
      <w:pPr>
        <w:jc w:val="center"/>
        <w:rPr>
          <w:b/>
          <w:sz w:val="22"/>
          <w:szCs w:val="22"/>
        </w:rPr>
      </w:pPr>
    </w:p>
    <w:p w:rsidR="00CE2F96" w:rsidRPr="00E872DE" w:rsidRDefault="00CE2F96" w:rsidP="00695E35">
      <w:pPr>
        <w:jc w:val="center"/>
        <w:rPr>
          <w:b/>
          <w:sz w:val="22"/>
          <w:szCs w:val="22"/>
        </w:rPr>
      </w:pPr>
    </w:p>
    <w:p w:rsidR="00695E35" w:rsidRPr="00E872DE" w:rsidRDefault="00695E35" w:rsidP="00221BD0">
      <w:pPr>
        <w:jc w:val="right"/>
        <w:rPr>
          <w:sz w:val="22"/>
          <w:szCs w:val="22"/>
        </w:rPr>
      </w:pPr>
    </w:p>
    <w:p w:rsidR="009F637F" w:rsidRPr="006E18F6" w:rsidRDefault="009F637F" w:rsidP="009F637F">
      <w:pPr>
        <w:rPr>
          <w:sz w:val="26"/>
          <w:szCs w:val="26"/>
        </w:rPr>
      </w:pPr>
      <w:r w:rsidRPr="006E18F6">
        <w:rPr>
          <w:sz w:val="26"/>
          <w:szCs w:val="26"/>
        </w:rPr>
        <w:t>To:</w:t>
      </w:r>
      <w:r w:rsidRPr="006E18F6">
        <w:rPr>
          <w:sz w:val="26"/>
          <w:szCs w:val="26"/>
        </w:rPr>
        <w:tab/>
      </w:r>
      <w:r w:rsidR="006E2533">
        <w:rPr>
          <w:sz w:val="26"/>
          <w:szCs w:val="26"/>
        </w:rPr>
        <w:tab/>
      </w:r>
      <w:r w:rsidRPr="006E18F6">
        <w:rPr>
          <w:sz w:val="26"/>
          <w:szCs w:val="26"/>
        </w:rPr>
        <w:t xml:space="preserve">All </w:t>
      </w:r>
      <w:r w:rsidR="007B6A61">
        <w:rPr>
          <w:sz w:val="26"/>
          <w:szCs w:val="26"/>
        </w:rPr>
        <w:t>Licensed</w:t>
      </w:r>
      <w:r w:rsidR="007B6A61" w:rsidRPr="006E18F6">
        <w:rPr>
          <w:sz w:val="26"/>
          <w:szCs w:val="26"/>
        </w:rPr>
        <w:t xml:space="preserve"> </w:t>
      </w:r>
      <w:r w:rsidRPr="006E18F6">
        <w:rPr>
          <w:sz w:val="26"/>
          <w:szCs w:val="26"/>
        </w:rPr>
        <w:t xml:space="preserve">Electric </w:t>
      </w:r>
      <w:r w:rsidR="007B6A61">
        <w:rPr>
          <w:sz w:val="26"/>
          <w:szCs w:val="26"/>
        </w:rPr>
        <w:t>Generation Suppliers</w:t>
      </w:r>
    </w:p>
    <w:p w:rsidR="00A94C57" w:rsidRDefault="009F637F" w:rsidP="009F637F">
      <w:pPr>
        <w:rPr>
          <w:sz w:val="26"/>
          <w:szCs w:val="26"/>
        </w:rPr>
      </w:pPr>
      <w:r w:rsidRPr="006E18F6">
        <w:rPr>
          <w:sz w:val="26"/>
          <w:szCs w:val="26"/>
        </w:rPr>
        <w:tab/>
      </w:r>
      <w:r w:rsidR="006E2533">
        <w:rPr>
          <w:sz w:val="26"/>
          <w:szCs w:val="26"/>
        </w:rPr>
        <w:tab/>
      </w:r>
      <w:r w:rsidR="00D23130">
        <w:rPr>
          <w:sz w:val="26"/>
          <w:szCs w:val="26"/>
        </w:rPr>
        <w:t>Office of Consumer Advocate</w:t>
      </w:r>
    </w:p>
    <w:p w:rsidR="001D2948" w:rsidRPr="006E18F6" w:rsidRDefault="00D23130" w:rsidP="009F637F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Office of Small Business Advocate</w:t>
      </w:r>
      <w:r w:rsidR="008A7361">
        <w:rPr>
          <w:sz w:val="26"/>
          <w:szCs w:val="26"/>
        </w:rPr>
        <w:tab/>
      </w:r>
      <w:r w:rsidR="008A7361">
        <w:rPr>
          <w:sz w:val="26"/>
          <w:szCs w:val="26"/>
        </w:rPr>
        <w:tab/>
      </w:r>
    </w:p>
    <w:p w:rsidR="009F637F" w:rsidRPr="006E18F6" w:rsidRDefault="009F637F" w:rsidP="009F637F">
      <w:pPr>
        <w:rPr>
          <w:sz w:val="26"/>
          <w:szCs w:val="26"/>
        </w:rPr>
      </w:pPr>
    </w:p>
    <w:p w:rsidR="007B6A61" w:rsidRPr="007B6A61" w:rsidRDefault="00695E35" w:rsidP="00367EEE">
      <w:pPr>
        <w:ind w:left="1440" w:hanging="1440"/>
        <w:rPr>
          <w:sz w:val="26"/>
          <w:szCs w:val="26"/>
        </w:rPr>
      </w:pPr>
      <w:r w:rsidRPr="006E18F6">
        <w:rPr>
          <w:sz w:val="26"/>
          <w:szCs w:val="26"/>
        </w:rPr>
        <w:t xml:space="preserve">Re: </w:t>
      </w:r>
      <w:r w:rsidR="005F26A1" w:rsidRPr="006E18F6">
        <w:rPr>
          <w:sz w:val="26"/>
          <w:szCs w:val="26"/>
        </w:rPr>
        <w:t xml:space="preserve"> </w:t>
      </w:r>
      <w:r w:rsidR="006E2533">
        <w:rPr>
          <w:sz w:val="26"/>
          <w:szCs w:val="26"/>
        </w:rPr>
        <w:tab/>
      </w:r>
      <w:r w:rsidR="007B6A61" w:rsidRPr="007B6A61">
        <w:rPr>
          <w:sz w:val="26"/>
          <w:szCs w:val="26"/>
        </w:rPr>
        <w:t>Rulemaking to Amend the Provisions of 52 Pa. Code, Section 54.5 Regulations Regarding Disclosure Statement for Residential and Small Business Customers</w:t>
      </w:r>
      <w:r w:rsidR="007B6A61" w:rsidRPr="007B6A61">
        <w:rPr>
          <w:b/>
          <w:sz w:val="26"/>
          <w:szCs w:val="26"/>
        </w:rPr>
        <w:t xml:space="preserve"> </w:t>
      </w:r>
      <w:r w:rsidR="007B6A61" w:rsidRPr="007B6A61">
        <w:rPr>
          <w:sz w:val="26"/>
          <w:szCs w:val="26"/>
        </w:rPr>
        <w:t>and to Add Section 54.10 Regulations Regarding the Provision of Notices of Contract Renewal or Changes in Terms.</w:t>
      </w:r>
    </w:p>
    <w:p w:rsidR="006B5192" w:rsidRDefault="006B5192" w:rsidP="00EB5668">
      <w:pPr>
        <w:rPr>
          <w:sz w:val="26"/>
          <w:szCs w:val="26"/>
        </w:rPr>
      </w:pPr>
    </w:p>
    <w:p w:rsidR="004E2BC9" w:rsidRDefault="006B5192" w:rsidP="00D23130">
      <w:pPr>
        <w:rPr>
          <w:sz w:val="26"/>
          <w:szCs w:val="26"/>
        </w:rPr>
      </w:pPr>
      <w:r>
        <w:rPr>
          <w:sz w:val="26"/>
          <w:szCs w:val="26"/>
        </w:rPr>
        <w:t>Docket No.:</w:t>
      </w:r>
      <w:r>
        <w:rPr>
          <w:sz w:val="26"/>
          <w:szCs w:val="26"/>
        </w:rPr>
        <w:tab/>
      </w:r>
      <w:r w:rsidR="007B6A61" w:rsidRPr="007B6A61">
        <w:rPr>
          <w:sz w:val="26"/>
          <w:szCs w:val="26"/>
        </w:rPr>
        <w:t>L-2014-2409385</w:t>
      </w:r>
    </w:p>
    <w:p w:rsidR="004E2BC9" w:rsidRPr="006E18F6" w:rsidRDefault="004E2BC9" w:rsidP="00CE2F96">
      <w:pPr>
        <w:ind w:firstLine="1440"/>
        <w:rPr>
          <w:b/>
          <w:sz w:val="26"/>
          <w:szCs w:val="26"/>
        </w:rPr>
      </w:pPr>
    </w:p>
    <w:p w:rsidR="003F5133" w:rsidRDefault="00E42588" w:rsidP="00D23130">
      <w:pPr>
        <w:rPr>
          <w:sz w:val="26"/>
          <w:szCs w:val="26"/>
        </w:rPr>
      </w:pPr>
      <w:r>
        <w:rPr>
          <w:sz w:val="26"/>
          <w:szCs w:val="26"/>
        </w:rPr>
        <w:tab/>
      </w:r>
      <w:r w:rsidR="004E2BC9">
        <w:rPr>
          <w:sz w:val="26"/>
          <w:szCs w:val="26"/>
        </w:rPr>
        <w:t xml:space="preserve">The purpose of this Secretarial Letter is to inform </w:t>
      </w:r>
      <w:r w:rsidR="007B6A61">
        <w:rPr>
          <w:sz w:val="26"/>
          <w:szCs w:val="26"/>
        </w:rPr>
        <w:t xml:space="preserve">licensed </w:t>
      </w:r>
      <w:r w:rsidR="00D23130">
        <w:rPr>
          <w:sz w:val="26"/>
          <w:szCs w:val="26"/>
        </w:rPr>
        <w:t xml:space="preserve">Electric </w:t>
      </w:r>
      <w:r w:rsidR="007B6A61">
        <w:rPr>
          <w:sz w:val="26"/>
          <w:szCs w:val="26"/>
        </w:rPr>
        <w:t xml:space="preserve">Generation Suppliers </w:t>
      </w:r>
      <w:r w:rsidR="00D23130">
        <w:rPr>
          <w:sz w:val="26"/>
          <w:szCs w:val="26"/>
        </w:rPr>
        <w:t>(E</w:t>
      </w:r>
      <w:r w:rsidR="007B6A61">
        <w:rPr>
          <w:sz w:val="26"/>
          <w:szCs w:val="26"/>
        </w:rPr>
        <w:t>GS</w:t>
      </w:r>
      <w:r w:rsidR="00D23130">
        <w:rPr>
          <w:sz w:val="26"/>
          <w:szCs w:val="26"/>
        </w:rPr>
        <w:t>s), the Office of Consumer Advocate (OCA) and the Office of Small Business Advocate (OSBA) that the</w:t>
      </w:r>
      <w:r w:rsidR="00FF4EBF">
        <w:rPr>
          <w:sz w:val="26"/>
          <w:szCs w:val="26"/>
        </w:rPr>
        <w:t xml:space="preserve"> Pennsylvania</w:t>
      </w:r>
      <w:r w:rsidR="00D23130">
        <w:rPr>
          <w:sz w:val="26"/>
          <w:szCs w:val="26"/>
        </w:rPr>
        <w:t xml:space="preserve"> Public Utility Commission intends to promulgate a rulemaking which will </w:t>
      </w:r>
      <w:r w:rsidR="005147C6">
        <w:rPr>
          <w:sz w:val="26"/>
          <w:szCs w:val="26"/>
        </w:rPr>
        <w:t>amend existing Regulations at 52 Pa. Code, Chapter 5</w:t>
      </w:r>
      <w:r w:rsidR="007B6A61">
        <w:rPr>
          <w:sz w:val="26"/>
          <w:szCs w:val="26"/>
        </w:rPr>
        <w:t xml:space="preserve">4 </w:t>
      </w:r>
      <w:r w:rsidR="005147C6">
        <w:rPr>
          <w:sz w:val="26"/>
          <w:szCs w:val="26"/>
        </w:rPr>
        <w:t xml:space="preserve">to </w:t>
      </w:r>
      <w:r w:rsidR="007B6A61">
        <w:rPr>
          <w:sz w:val="26"/>
          <w:szCs w:val="26"/>
        </w:rPr>
        <w:t xml:space="preserve">revise disclosure statement requirements for residential and small business customers.  The intent of the revisions </w:t>
      </w:r>
      <w:r w:rsidR="004E72BE">
        <w:rPr>
          <w:sz w:val="26"/>
          <w:szCs w:val="26"/>
        </w:rPr>
        <w:t>is</w:t>
      </w:r>
      <w:r w:rsidR="007B6A61">
        <w:rPr>
          <w:sz w:val="26"/>
          <w:szCs w:val="26"/>
        </w:rPr>
        <w:t xml:space="preserve"> to make disclosure statements more </w:t>
      </w:r>
      <w:r w:rsidR="00FF4EBF">
        <w:rPr>
          <w:sz w:val="26"/>
          <w:szCs w:val="26"/>
        </w:rPr>
        <w:t xml:space="preserve">understandable and </w:t>
      </w:r>
      <w:r w:rsidR="007B6A61">
        <w:rPr>
          <w:sz w:val="26"/>
          <w:szCs w:val="26"/>
        </w:rPr>
        <w:t>useful to consumers, especially in the context of variable-priced products</w:t>
      </w:r>
      <w:r w:rsidR="007B6A61" w:rsidRPr="00CB0FE3">
        <w:rPr>
          <w:sz w:val="26"/>
          <w:szCs w:val="26"/>
        </w:rPr>
        <w:t xml:space="preserve">.  </w:t>
      </w:r>
      <w:r w:rsidR="00CB0FE3" w:rsidRPr="00CB0FE3">
        <w:rPr>
          <w:sz w:val="26"/>
          <w:szCs w:val="26"/>
        </w:rPr>
        <w:t xml:space="preserve">This includes a requirement that suppliers provide an EGS Contract Summary in a template provided by the Commission.  This EGS Contract Summary will provide customers with a one-page overview, in plain terms, of the most important contract terms.  The Commission’s proposed contract summary format is attached as Attachment A and will not be part of the proposed regulations.  </w:t>
      </w:r>
      <w:r w:rsidR="007B6A61" w:rsidRPr="00CB0FE3">
        <w:rPr>
          <w:sz w:val="26"/>
          <w:szCs w:val="26"/>
        </w:rPr>
        <w:t xml:space="preserve">In </w:t>
      </w:r>
      <w:r w:rsidR="007B6A61">
        <w:rPr>
          <w:sz w:val="26"/>
          <w:szCs w:val="26"/>
        </w:rPr>
        <w:t>addition,</w:t>
      </w:r>
      <w:r w:rsidR="004E72BE">
        <w:rPr>
          <w:sz w:val="26"/>
          <w:szCs w:val="26"/>
        </w:rPr>
        <w:t xml:space="preserve"> the Commission is proposing</w:t>
      </w:r>
      <w:r w:rsidR="007B6A61">
        <w:rPr>
          <w:sz w:val="26"/>
          <w:szCs w:val="26"/>
        </w:rPr>
        <w:t xml:space="preserve"> a new section to Chapter 54 that would codify, with some modifications, existing contract renewal/change in terms notice requirements.  The intent </w:t>
      </w:r>
      <w:r w:rsidR="00FF4EBF">
        <w:rPr>
          <w:sz w:val="26"/>
          <w:szCs w:val="26"/>
        </w:rPr>
        <w:t xml:space="preserve">of this addition </w:t>
      </w:r>
      <w:r w:rsidR="007B6A61">
        <w:rPr>
          <w:sz w:val="26"/>
          <w:szCs w:val="26"/>
        </w:rPr>
        <w:t xml:space="preserve">is to make the notices more prominent and to provide EGS customers with important and timely information about their options </w:t>
      </w:r>
      <w:r w:rsidR="00B21D7A">
        <w:rPr>
          <w:sz w:val="26"/>
          <w:szCs w:val="26"/>
        </w:rPr>
        <w:t xml:space="preserve">upon </w:t>
      </w:r>
      <w:r w:rsidR="004E72BE">
        <w:rPr>
          <w:sz w:val="26"/>
          <w:szCs w:val="26"/>
        </w:rPr>
        <w:t xml:space="preserve">the </w:t>
      </w:r>
      <w:r w:rsidR="00B21D7A">
        <w:rPr>
          <w:sz w:val="26"/>
          <w:szCs w:val="26"/>
        </w:rPr>
        <w:t>expiration</w:t>
      </w:r>
      <w:r w:rsidR="004E72BE">
        <w:rPr>
          <w:sz w:val="26"/>
          <w:szCs w:val="26"/>
        </w:rPr>
        <w:t xml:space="preserve"> or change in terms</w:t>
      </w:r>
      <w:r w:rsidR="00B21D7A">
        <w:rPr>
          <w:sz w:val="26"/>
          <w:szCs w:val="26"/>
        </w:rPr>
        <w:t xml:space="preserve"> of their</w:t>
      </w:r>
      <w:r w:rsidR="007B6A61">
        <w:rPr>
          <w:sz w:val="26"/>
          <w:szCs w:val="26"/>
        </w:rPr>
        <w:t xml:space="preserve"> EGS contracts.  </w:t>
      </w:r>
      <w:r w:rsidR="00D23130">
        <w:rPr>
          <w:sz w:val="26"/>
          <w:szCs w:val="26"/>
        </w:rPr>
        <w:t xml:space="preserve">Implementation of the rulemaking will be required within </w:t>
      </w:r>
      <w:r w:rsidR="007B6A61">
        <w:rPr>
          <w:sz w:val="26"/>
          <w:szCs w:val="26"/>
        </w:rPr>
        <w:t>30 days</w:t>
      </w:r>
      <w:r w:rsidR="00D23130">
        <w:rPr>
          <w:sz w:val="26"/>
          <w:szCs w:val="26"/>
        </w:rPr>
        <w:t xml:space="preserve"> of publication in the </w:t>
      </w:r>
      <w:r w:rsidR="00D23130" w:rsidRPr="00D23130">
        <w:rPr>
          <w:i/>
          <w:sz w:val="26"/>
          <w:szCs w:val="26"/>
        </w:rPr>
        <w:t>Pennsylvania Bulletin</w:t>
      </w:r>
      <w:r w:rsidR="003F5133">
        <w:rPr>
          <w:sz w:val="26"/>
          <w:szCs w:val="26"/>
        </w:rPr>
        <w:t>, absent good cause shown.</w:t>
      </w:r>
    </w:p>
    <w:p w:rsidR="003F5133" w:rsidRDefault="003F5133" w:rsidP="00D23130">
      <w:pPr>
        <w:rPr>
          <w:sz w:val="26"/>
          <w:szCs w:val="26"/>
        </w:rPr>
      </w:pPr>
    </w:p>
    <w:p w:rsidR="001048A6" w:rsidRDefault="003F5133" w:rsidP="00D23130">
      <w:pPr>
        <w:rPr>
          <w:sz w:val="26"/>
          <w:szCs w:val="26"/>
        </w:rPr>
      </w:pPr>
      <w:r>
        <w:rPr>
          <w:sz w:val="26"/>
          <w:szCs w:val="26"/>
        </w:rPr>
        <w:tab/>
        <w:t xml:space="preserve">Due to the recent impact of wholesale </w:t>
      </w:r>
      <w:r w:rsidR="00090091">
        <w:rPr>
          <w:sz w:val="26"/>
          <w:szCs w:val="26"/>
        </w:rPr>
        <w:t xml:space="preserve">electricity </w:t>
      </w:r>
      <w:r>
        <w:rPr>
          <w:sz w:val="26"/>
          <w:szCs w:val="26"/>
        </w:rPr>
        <w:t xml:space="preserve">market </w:t>
      </w:r>
      <w:r w:rsidR="00D747F1">
        <w:rPr>
          <w:sz w:val="26"/>
          <w:szCs w:val="26"/>
        </w:rPr>
        <w:t xml:space="preserve">price increases </w:t>
      </w:r>
      <w:r>
        <w:rPr>
          <w:sz w:val="26"/>
          <w:szCs w:val="26"/>
        </w:rPr>
        <w:t>on Pennsylvania consumers</w:t>
      </w:r>
      <w:r w:rsidR="005147C6">
        <w:rPr>
          <w:sz w:val="26"/>
          <w:szCs w:val="26"/>
        </w:rPr>
        <w:t>,</w:t>
      </w:r>
      <w:r>
        <w:rPr>
          <w:sz w:val="26"/>
          <w:szCs w:val="26"/>
        </w:rPr>
        <w:t xml:space="preserve"> and concerns that similar events could occur again in the immediate future, the Commission has determined that the public interest requires extraordinary measures to be taken.  Accordingly, </w:t>
      </w:r>
      <w:r w:rsidR="00D747F1">
        <w:rPr>
          <w:sz w:val="26"/>
          <w:szCs w:val="26"/>
        </w:rPr>
        <w:t>for good cause</w:t>
      </w:r>
      <w:r w:rsidR="00C918A0">
        <w:rPr>
          <w:sz w:val="26"/>
          <w:szCs w:val="26"/>
        </w:rPr>
        <w:t xml:space="preserve">, the </w:t>
      </w:r>
      <w:r>
        <w:rPr>
          <w:sz w:val="26"/>
          <w:szCs w:val="26"/>
        </w:rPr>
        <w:t xml:space="preserve">rulemaking will take the form of a “final-omitted” proceeding.  </w:t>
      </w:r>
      <w:r w:rsidRPr="003F5133">
        <w:rPr>
          <w:i/>
          <w:sz w:val="26"/>
          <w:szCs w:val="26"/>
        </w:rPr>
        <w:t>See</w:t>
      </w:r>
      <w:r>
        <w:rPr>
          <w:sz w:val="26"/>
          <w:szCs w:val="26"/>
        </w:rPr>
        <w:t>, 45 P.S. § 1204</w:t>
      </w:r>
      <w:r w:rsidR="00D747F1">
        <w:rPr>
          <w:sz w:val="26"/>
          <w:szCs w:val="26"/>
        </w:rPr>
        <w:t>(3)</w:t>
      </w:r>
      <w:r>
        <w:rPr>
          <w:sz w:val="26"/>
          <w:szCs w:val="26"/>
        </w:rPr>
        <w:t>; 71 P.S. §§ 745.5a</w:t>
      </w:r>
      <w:r w:rsidR="00D747F1">
        <w:rPr>
          <w:sz w:val="26"/>
          <w:szCs w:val="26"/>
        </w:rPr>
        <w:t xml:space="preserve"> and</w:t>
      </w:r>
      <w:r>
        <w:rPr>
          <w:sz w:val="26"/>
          <w:szCs w:val="26"/>
        </w:rPr>
        <w:t xml:space="preserve"> 745.6.  However, due to the nature of the changes the Commission will direct, </w:t>
      </w:r>
      <w:r w:rsidR="00CB0F28">
        <w:rPr>
          <w:sz w:val="26"/>
          <w:szCs w:val="26"/>
        </w:rPr>
        <w:t xml:space="preserve">a draft of </w:t>
      </w:r>
      <w:r>
        <w:rPr>
          <w:sz w:val="26"/>
          <w:szCs w:val="26"/>
        </w:rPr>
        <w:t xml:space="preserve">the proposed regulations </w:t>
      </w:r>
      <w:r w:rsidR="008A7361">
        <w:rPr>
          <w:sz w:val="26"/>
          <w:szCs w:val="26"/>
        </w:rPr>
        <w:t>is</w:t>
      </w:r>
      <w:r>
        <w:rPr>
          <w:sz w:val="26"/>
          <w:szCs w:val="26"/>
        </w:rPr>
        <w:t xml:space="preserve"> attached to this Secretarial Letter in order to provide an opportunity for those entities most affected to provide comments.  The Commission requests that all comments address the </w:t>
      </w:r>
      <w:r w:rsidR="00D747F1">
        <w:rPr>
          <w:sz w:val="26"/>
          <w:szCs w:val="26"/>
        </w:rPr>
        <w:t xml:space="preserve">proposed changes, the </w:t>
      </w:r>
      <w:r>
        <w:rPr>
          <w:sz w:val="26"/>
          <w:szCs w:val="26"/>
        </w:rPr>
        <w:t xml:space="preserve">practicality of </w:t>
      </w:r>
      <w:r>
        <w:rPr>
          <w:sz w:val="26"/>
          <w:szCs w:val="26"/>
        </w:rPr>
        <w:lastRenderedPageBreak/>
        <w:t xml:space="preserve">implementing the proposed </w:t>
      </w:r>
      <w:r w:rsidR="00D747F1">
        <w:rPr>
          <w:sz w:val="26"/>
          <w:szCs w:val="26"/>
        </w:rPr>
        <w:t xml:space="preserve">changes </w:t>
      </w:r>
      <w:r>
        <w:rPr>
          <w:sz w:val="26"/>
          <w:szCs w:val="26"/>
        </w:rPr>
        <w:t xml:space="preserve">within </w:t>
      </w:r>
      <w:r w:rsidR="007B6A61">
        <w:rPr>
          <w:sz w:val="26"/>
          <w:szCs w:val="26"/>
        </w:rPr>
        <w:t>30 days</w:t>
      </w:r>
      <w:r w:rsidR="00D747F1">
        <w:rPr>
          <w:sz w:val="26"/>
          <w:szCs w:val="26"/>
        </w:rPr>
        <w:t xml:space="preserve"> of their effective date</w:t>
      </w:r>
      <w:r>
        <w:rPr>
          <w:sz w:val="26"/>
          <w:szCs w:val="26"/>
        </w:rPr>
        <w:t xml:space="preserve"> and the costs of doing so.  </w:t>
      </w:r>
    </w:p>
    <w:p w:rsidR="00935769" w:rsidRDefault="00935769" w:rsidP="00D23130">
      <w:pPr>
        <w:rPr>
          <w:sz w:val="26"/>
          <w:szCs w:val="26"/>
        </w:rPr>
      </w:pPr>
    </w:p>
    <w:p w:rsidR="00935769" w:rsidRDefault="00935769" w:rsidP="00367EEE">
      <w:pPr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Comments are due no later than </w:t>
      </w:r>
      <w:r w:rsidR="007B6A61">
        <w:rPr>
          <w:sz w:val="26"/>
          <w:szCs w:val="26"/>
        </w:rPr>
        <w:t xml:space="preserve">five </w:t>
      </w:r>
      <w:r>
        <w:rPr>
          <w:sz w:val="26"/>
          <w:szCs w:val="26"/>
        </w:rPr>
        <w:t>(</w:t>
      </w:r>
      <w:r w:rsidR="007B6A61">
        <w:rPr>
          <w:sz w:val="26"/>
          <w:szCs w:val="26"/>
        </w:rPr>
        <w:t>5</w:t>
      </w:r>
      <w:r>
        <w:rPr>
          <w:sz w:val="26"/>
          <w:szCs w:val="26"/>
        </w:rPr>
        <w:t xml:space="preserve">) days of the date of this Secretarial Letter and </w:t>
      </w:r>
      <w:r w:rsidRPr="00F03CBD">
        <w:rPr>
          <w:sz w:val="26"/>
          <w:szCs w:val="26"/>
        </w:rPr>
        <w:t xml:space="preserve">shall be filed with the </w:t>
      </w:r>
      <w:r>
        <w:rPr>
          <w:sz w:val="26"/>
          <w:szCs w:val="26"/>
        </w:rPr>
        <w:t>C</w:t>
      </w:r>
      <w:r w:rsidRPr="00F03CBD">
        <w:rPr>
          <w:sz w:val="26"/>
          <w:szCs w:val="26"/>
        </w:rPr>
        <w:t>ommission’s Secretary at</w:t>
      </w:r>
      <w:r>
        <w:rPr>
          <w:sz w:val="26"/>
          <w:szCs w:val="26"/>
        </w:rPr>
        <w:t>:</w:t>
      </w:r>
      <w:r w:rsidRPr="00F03CBD">
        <w:rPr>
          <w:sz w:val="26"/>
          <w:szCs w:val="26"/>
        </w:rPr>
        <w:t xml:space="preserve"> </w:t>
      </w:r>
      <w:r w:rsidR="00B21D7A">
        <w:rPr>
          <w:sz w:val="26"/>
          <w:szCs w:val="26"/>
        </w:rPr>
        <w:br/>
      </w:r>
    </w:p>
    <w:p w:rsidR="00935769" w:rsidRDefault="00935769" w:rsidP="00935769">
      <w:pPr>
        <w:jc w:val="center"/>
        <w:rPr>
          <w:sz w:val="26"/>
          <w:szCs w:val="26"/>
        </w:rPr>
      </w:pPr>
      <w:r w:rsidRPr="00F03CBD">
        <w:rPr>
          <w:sz w:val="26"/>
          <w:szCs w:val="26"/>
        </w:rPr>
        <w:t>Pennsylvania Public Utility Commission</w:t>
      </w:r>
    </w:p>
    <w:p w:rsidR="00935769" w:rsidRDefault="00935769" w:rsidP="00935769">
      <w:pPr>
        <w:jc w:val="center"/>
        <w:rPr>
          <w:sz w:val="26"/>
          <w:szCs w:val="26"/>
        </w:rPr>
      </w:pPr>
      <w:r w:rsidRPr="00F03CBD">
        <w:rPr>
          <w:sz w:val="26"/>
          <w:szCs w:val="26"/>
        </w:rPr>
        <w:t>P.O. Box 3265, Harrisburg, PA  17105-3265.</w:t>
      </w:r>
    </w:p>
    <w:p w:rsidR="00935769" w:rsidRDefault="00935769" w:rsidP="00935769">
      <w:pPr>
        <w:spacing w:line="360" w:lineRule="auto"/>
        <w:rPr>
          <w:sz w:val="26"/>
          <w:szCs w:val="26"/>
        </w:rPr>
      </w:pPr>
    </w:p>
    <w:p w:rsidR="00935769" w:rsidRDefault="00935769" w:rsidP="00367EEE">
      <w:pPr>
        <w:rPr>
          <w:sz w:val="26"/>
          <w:szCs w:val="26"/>
        </w:rPr>
      </w:pPr>
      <w:r w:rsidRPr="00F03CBD">
        <w:rPr>
          <w:sz w:val="26"/>
          <w:szCs w:val="26"/>
        </w:rPr>
        <w:t xml:space="preserve">Comments may also be filed electronically through the Commission e-filing system, in which case no paper copy needs to be filed with the Secretary provided that the comments are less than 250 pages.  </w:t>
      </w:r>
    </w:p>
    <w:p w:rsidR="00935769" w:rsidRDefault="00935769" w:rsidP="00367EEE">
      <w:pPr>
        <w:rPr>
          <w:sz w:val="26"/>
          <w:szCs w:val="26"/>
        </w:rPr>
      </w:pPr>
    </w:p>
    <w:p w:rsidR="00B21D7A" w:rsidRDefault="00935769" w:rsidP="00367EEE">
      <w:pPr>
        <w:rPr>
          <w:sz w:val="26"/>
          <w:szCs w:val="26"/>
        </w:rPr>
      </w:pPr>
      <w:r>
        <w:rPr>
          <w:sz w:val="26"/>
          <w:szCs w:val="26"/>
        </w:rPr>
        <w:tab/>
      </w:r>
      <w:r w:rsidR="00B21D7A">
        <w:rPr>
          <w:sz w:val="26"/>
          <w:szCs w:val="26"/>
        </w:rPr>
        <w:t xml:space="preserve">An electronic courtesy copy of all comments should also be emailed to the Office of Competitive Market Oversight at </w:t>
      </w:r>
      <w:hyperlink r:id="rId12" w:history="1">
        <w:r w:rsidR="00B21D7A" w:rsidRPr="00744EB4">
          <w:rPr>
            <w:rStyle w:val="Hyperlink"/>
            <w:sz w:val="26"/>
            <w:szCs w:val="26"/>
          </w:rPr>
          <w:t>RA-OCMO@pa.gov</w:t>
        </w:r>
      </w:hyperlink>
      <w:r w:rsidR="00B21D7A">
        <w:rPr>
          <w:sz w:val="26"/>
          <w:szCs w:val="26"/>
        </w:rPr>
        <w:t xml:space="preserve">.  </w:t>
      </w:r>
    </w:p>
    <w:p w:rsidR="00B21D7A" w:rsidRDefault="00B21D7A" w:rsidP="00367EEE">
      <w:pPr>
        <w:rPr>
          <w:sz w:val="26"/>
          <w:szCs w:val="26"/>
        </w:rPr>
      </w:pPr>
    </w:p>
    <w:p w:rsidR="00CB0F28" w:rsidRDefault="00935769" w:rsidP="00367EEE">
      <w:pPr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This Secretarial Letter shall also be posted on the Commission’s website at </w:t>
      </w:r>
      <w:hyperlink r:id="rId13" w:history="1">
        <w:r w:rsidRPr="00935769">
          <w:rPr>
            <w:rStyle w:val="Hyperlink"/>
            <w:sz w:val="26"/>
            <w:szCs w:val="26"/>
          </w:rPr>
          <w:t>www.puc.pa.gov</w:t>
        </w:r>
      </w:hyperlink>
      <w:r>
        <w:rPr>
          <w:sz w:val="26"/>
          <w:szCs w:val="26"/>
        </w:rPr>
        <w:t>.</w:t>
      </w:r>
    </w:p>
    <w:p w:rsidR="00935769" w:rsidRDefault="00935769">
      <w:pPr>
        <w:rPr>
          <w:sz w:val="26"/>
          <w:szCs w:val="26"/>
        </w:rPr>
      </w:pPr>
    </w:p>
    <w:p w:rsidR="001048A6" w:rsidRDefault="001048A6" w:rsidP="001048A6">
      <w:pPr>
        <w:ind w:firstLine="720"/>
        <w:rPr>
          <w:sz w:val="26"/>
          <w:szCs w:val="26"/>
        </w:rPr>
      </w:pPr>
    </w:p>
    <w:p w:rsidR="006E18F6" w:rsidRPr="00E872DE" w:rsidRDefault="006E18F6" w:rsidP="006E18F6">
      <w:pPr>
        <w:ind w:left="1440" w:right="1440"/>
        <w:rPr>
          <w:sz w:val="22"/>
          <w:szCs w:val="22"/>
        </w:rPr>
      </w:pPr>
    </w:p>
    <w:p w:rsidR="00A54DBC" w:rsidRPr="00E872DE" w:rsidRDefault="00A54DBC" w:rsidP="00CE2F96">
      <w:pPr>
        <w:ind w:firstLine="1440"/>
        <w:rPr>
          <w:sz w:val="22"/>
          <w:szCs w:val="22"/>
        </w:rPr>
      </w:pPr>
    </w:p>
    <w:p w:rsidR="00C85628" w:rsidRPr="00E872DE" w:rsidRDefault="00C85628" w:rsidP="00CE2F96">
      <w:pPr>
        <w:ind w:firstLine="1440"/>
        <w:rPr>
          <w:sz w:val="22"/>
          <w:szCs w:val="22"/>
        </w:rPr>
      </w:pPr>
    </w:p>
    <w:p w:rsidR="00EB5668" w:rsidRPr="002134D6" w:rsidRDefault="00A057CA" w:rsidP="00C85628">
      <w:pPr>
        <w:ind w:left="5040"/>
        <w:rPr>
          <w:sz w:val="26"/>
          <w:szCs w:val="22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645171AC" wp14:editId="2382CC1F">
            <wp:simplePos x="0" y="0"/>
            <wp:positionH relativeFrom="column">
              <wp:posOffset>2679700</wp:posOffset>
            </wp:positionH>
            <wp:positionV relativeFrom="paragraph">
              <wp:posOffset>149860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A54DBC" w:rsidRPr="002134D6">
        <w:rPr>
          <w:sz w:val="26"/>
          <w:szCs w:val="22"/>
        </w:rPr>
        <w:t>Sincerely,</w:t>
      </w:r>
    </w:p>
    <w:p w:rsidR="00EB5668" w:rsidRDefault="00EB5668" w:rsidP="00C85628">
      <w:pPr>
        <w:ind w:left="5040"/>
        <w:rPr>
          <w:sz w:val="26"/>
          <w:szCs w:val="22"/>
        </w:rPr>
      </w:pPr>
    </w:p>
    <w:p w:rsidR="004F7B18" w:rsidRDefault="004F7B18" w:rsidP="00C85628">
      <w:pPr>
        <w:ind w:left="5040"/>
        <w:rPr>
          <w:sz w:val="26"/>
          <w:szCs w:val="22"/>
        </w:rPr>
      </w:pPr>
    </w:p>
    <w:p w:rsidR="004F7B18" w:rsidRPr="002134D6" w:rsidRDefault="004F7B18" w:rsidP="00C85628">
      <w:pPr>
        <w:ind w:left="5040"/>
        <w:rPr>
          <w:sz w:val="26"/>
          <w:szCs w:val="22"/>
        </w:rPr>
      </w:pPr>
    </w:p>
    <w:p w:rsidR="00A54DBC" w:rsidRPr="002134D6" w:rsidRDefault="00A54DBC" w:rsidP="00C85628">
      <w:pPr>
        <w:ind w:left="5040"/>
        <w:rPr>
          <w:sz w:val="26"/>
          <w:szCs w:val="22"/>
        </w:rPr>
      </w:pPr>
    </w:p>
    <w:p w:rsidR="00A54DBC" w:rsidRPr="002134D6" w:rsidRDefault="00A54DBC" w:rsidP="00C85628">
      <w:pPr>
        <w:ind w:left="5040"/>
        <w:rPr>
          <w:sz w:val="26"/>
          <w:szCs w:val="22"/>
        </w:rPr>
      </w:pPr>
      <w:r w:rsidRPr="002134D6">
        <w:rPr>
          <w:sz w:val="26"/>
          <w:szCs w:val="22"/>
        </w:rPr>
        <w:t>Rosemary Chiavetta</w:t>
      </w:r>
    </w:p>
    <w:p w:rsidR="00A54DBC" w:rsidRDefault="00A54DBC" w:rsidP="00C85628">
      <w:pPr>
        <w:ind w:left="5040"/>
        <w:rPr>
          <w:sz w:val="26"/>
          <w:szCs w:val="22"/>
        </w:rPr>
      </w:pPr>
      <w:r w:rsidRPr="002134D6">
        <w:rPr>
          <w:sz w:val="26"/>
          <w:szCs w:val="22"/>
        </w:rPr>
        <w:t>Secretary</w:t>
      </w:r>
    </w:p>
    <w:p w:rsidR="005147C6" w:rsidRDefault="005147C6" w:rsidP="00457A20">
      <w:pPr>
        <w:rPr>
          <w:sz w:val="26"/>
          <w:szCs w:val="22"/>
        </w:rPr>
      </w:pPr>
    </w:p>
    <w:p w:rsidR="005147C6" w:rsidRDefault="005147C6" w:rsidP="00457A20">
      <w:pPr>
        <w:rPr>
          <w:sz w:val="26"/>
          <w:szCs w:val="22"/>
        </w:rPr>
      </w:pPr>
    </w:p>
    <w:p w:rsidR="00CB0FE3" w:rsidRDefault="004F7B18" w:rsidP="00457A20">
      <w:pPr>
        <w:rPr>
          <w:sz w:val="26"/>
          <w:szCs w:val="22"/>
        </w:rPr>
      </w:pPr>
      <w:r>
        <w:rPr>
          <w:sz w:val="26"/>
          <w:szCs w:val="22"/>
        </w:rPr>
        <w:t>c</w:t>
      </w:r>
      <w:r w:rsidR="00457A20">
        <w:rPr>
          <w:sz w:val="26"/>
          <w:szCs w:val="22"/>
        </w:rPr>
        <w:t xml:space="preserve">c:  </w:t>
      </w:r>
      <w:r w:rsidR="00457A20">
        <w:rPr>
          <w:sz w:val="26"/>
          <w:szCs w:val="22"/>
        </w:rPr>
        <w:tab/>
      </w:r>
      <w:r w:rsidR="00CB0FE3">
        <w:rPr>
          <w:sz w:val="26"/>
          <w:szCs w:val="22"/>
        </w:rPr>
        <w:t>Chairman Powelson</w:t>
      </w:r>
    </w:p>
    <w:p w:rsidR="00CB0FE3" w:rsidRDefault="00CB0FE3" w:rsidP="00457A20">
      <w:pPr>
        <w:rPr>
          <w:sz w:val="26"/>
          <w:szCs w:val="22"/>
        </w:rPr>
      </w:pPr>
      <w:r>
        <w:rPr>
          <w:sz w:val="26"/>
          <w:szCs w:val="22"/>
        </w:rPr>
        <w:tab/>
        <w:t>Vice Chairman Coleman</w:t>
      </w:r>
    </w:p>
    <w:p w:rsidR="00CB0FE3" w:rsidRDefault="00CB0FE3" w:rsidP="00457A20">
      <w:pPr>
        <w:rPr>
          <w:sz w:val="26"/>
          <w:szCs w:val="22"/>
        </w:rPr>
      </w:pPr>
      <w:r>
        <w:rPr>
          <w:sz w:val="26"/>
          <w:szCs w:val="22"/>
        </w:rPr>
        <w:tab/>
        <w:t>Commissioner Cawley</w:t>
      </w:r>
    </w:p>
    <w:p w:rsidR="00CB0FE3" w:rsidRDefault="00CB0FE3" w:rsidP="00457A20">
      <w:pPr>
        <w:rPr>
          <w:sz w:val="26"/>
          <w:szCs w:val="22"/>
        </w:rPr>
      </w:pPr>
      <w:r>
        <w:rPr>
          <w:sz w:val="26"/>
          <w:szCs w:val="22"/>
        </w:rPr>
        <w:tab/>
        <w:t>Commissioner Witmer</w:t>
      </w:r>
    </w:p>
    <w:p w:rsidR="00CB0FE3" w:rsidRDefault="00CB0FE3" w:rsidP="00457A20">
      <w:pPr>
        <w:rPr>
          <w:sz w:val="26"/>
          <w:szCs w:val="22"/>
        </w:rPr>
      </w:pPr>
      <w:r>
        <w:rPr>
          <w:sz w:val="26"/>
          <w:szCs w:val="22"/>
        </w:rPr>
        <w:tab/>
        <w:t>Commissioner Brown</w:t>
      </w:r>
    </w:p>
    <w:p w:rsidR="00935769" w:rsidRDefault="00CB0FE3" w:rsidP="00457A20">
      <w:pPr>
        <w:rPr>
          <w:sz w:val="26"/>
          <w:szCs w:val="22"/>
        </w:rPr>
      </w:pPr>
      <w:r>
        <w:rPr>
          <w:sz w:val="26"/>
          <w:szCs w:val="22"/>
        </w:rPr>
        <w:tab/>
      </w:r>
      <w:r w:rsidR="00935769">
        <w:rPr>
          <w:sz w:val="26"/>
          <w:szCs w:val="22"/>
        </w:rPr>
        <w:t>Chief Counsel Pankiw</w:t>
      </w:r>
    </w:p>
    <w:p w:rsidR="00935769" w:rsidRDefault="00935769" w:rsidP="00457A20">
      <w:pPr>
        <w:rPr>
          <w:sz w:val="26"/>
          <w:szCs w:val="22"/>
        </w:rPr>
      </w:pPr>
      <w:r>
        <w:rPr>
          <w:sz w:val="26"/>
          <w:szCs w:val="22"/>
        </w:rPr>
        <w:tab/>
      </w:r>
      <w:r w:rsidR="00457A20">
        <w:rPr>
          <w:sz w:val="26"/>
          <w:szCs w:val="22"/>
        </w:rPr>
        <w:t>Office of Competitive Market Oversight</w:t>
      </w:r>
    </w:p>
    <w:p w:rsidR="00457A20" w:rsidRDefault="00457A20" w:rsidP="00CB0FE3">
      <w:pPr>
        <w:rPr>
          <w:sz w:val="26"/>
          <w:szCs w:val="22"/>
        </w:rPr>
      </w:pPr>
      <w:r>
        <w:rPr>
          <w:sz w:val="26"/>
          <w:szCs w:val="22"/>
        </w:rPr>
        <w:tab/>
      </w:r>
    </w:p>
    <w:p w:rsidR="00CB0FE3" w:rsidRDefault="00CB0FE3" w:rsidP="00CB0FE3">
      <w:pPr>
        <w:rPr>
          <w:sz w:val="26"/>
          <w:szCs w:val="22"/>
        </w:rPr>
      </w:pPr>
    </w:p>
    <w:p w:rsidR="00872596" w:rsidRPr="002134D6" w:rsidRDefault="00872596" w:rsidP="00457A20">
      <w:pPr>
        <w:rPr>
          <w:sz w:val="26"/>
          <w:szCs w:val="22"/>
        </w:rPr>
      </w:pPr>
      <w:r>
        <w:rPr>
          <w:sz w:val="26"/>
          <w:szCs w:val="22"/>
        </w:rPr>
        <w:tab/>
      </w:r>
    </w:p>
    <w:p w:rsidR="00DE1634" w:rsidRPr="002134D6" w:rsidRDefault="00DE1634" w:rsidP="00DE1634">
      <w:pPr>
        <w:rPr>
          <w:sz w:val="26"/>
          <w:szCs w:val="22"/>
        </w:rPr>
      </w:pPr>
    </w:p>
    <w:sectPr w:rsidR="00DE1634" w:rsidRPr="002134D6" w:rsidSect="004F5AAA">
      <w:footerReference w:type="even" r:id="rId15"/>
      <w:footerReference w:type="default" r:id="rId16"/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5FBD" w:rsidRDefault="00D25FBD">
      <w:r>
        <w:separator/>
      </w:r>
    </w:p>
  </w:endnote>
  <w:endnote w:type="continuationSeparator" w:id="0">
    <w:p w:rsidR="00D25FBD" w:rsidRDefault="00D25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8A6" w:rsidRDefault="001048A6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048A6" w:rsidRDefault="001048A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8A6" w:rsidRDefault="001048A6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048A6" w:rsidRDefault="001048A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8A6" w:rsidRDefault="001048A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1048A6" w:rsidRDefault="001048A6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8A6" w:rsidRDefault="001048A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057CA">
      <w:rPr>
        <w:noProof/>
      </w:rPr>
      <w:t>2</w:t>
    </w:r>
    <w:r>
      <w:rPr>
        <w:noProof/>
      </w:rPr>
      <w:fldChar w:fldCharType="end"/>
    </w:r>
  </w:p>
  <w:p w:rsidR="001048A6" w:rsidRDefault="001048A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5FBD" w:rsidRDefault="00D25FBD">
      <w:r>
        <w:separator/>
      </w:r>
    </w:p>
  </w:footnote>
  <w:footnote w:type="continuationSeparator" w:id="0">
    <w:p w:rsidR="00D25FBD" w:rsidRDefault="00D25F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11F029C"/>
    <w:multiLevelType w:val="hybridMultilevel"/>
    <w:tmpl w:val="9510058C"/>
    <w:lvl w:ilvl="0" w:tplc="F72C192A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7E9073F"/>
    <w:multiLevelType w:val="hybridMultilevel"/>
    <w:tmpl w:val="DF58D786"/>
    <w:lvl w:ilvl="0" w:tplc="FEE0950E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9"/>
  </w:num>
  <w:num w:numId="6">
    <w:abstractNumId w:val="3"/>
  </w:num>
  <w:num w:numId="7">
    <w:abstractNumId w:val="10"/>
  </w:num>
  <w:num w:numId="8">
    <w:abstractNumId w:val="8"/>
  </w:num>
  <w:num w:numId="9">
    <w:abstractNumId w:val="0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A51"/>
    <w:rsid w:val="00013C88"/>
    <w:rsid w:val="000227B9"/>
    <w:rsid w:val="00027267"/>
    <w:rsid w:val="0002769B"/>
    <w:rsid w:val="000318A3"/>
    <w:rsid w:val="00034796"/>
    <w:rsid w:val="000373FD"/>
    <w:rsid w:val="00046DED"/>
    <w:rsid w:val="00047304"/>
    <w:rsid w:val="00067B3B"/>
    <w:rsid w:val="00076B03"/>
    <w:rsid w:val="00081BA3"/>
    <w:rsid w:val="00090091"/>
    <w:rsid w:val="000E4C77"/>
    <w:rsid w:val="001048A6"/>
    <w:rsid w:val="001209F1"/>
    <w:rsid w:val="0012404A"/>
    <w:rsid w:val="00124DD5"/>
    <w:rsid w:val="00127EB2"/>
    <w:rsid w:val="00145900"/>
    <w:rsid w:val="00170283"/>
    <w:rsid w:val="001C1967"/>
    <w:rsid w:val="001D2948"/>
    <w:rsid w:val="001D5DBB"/>
    <w:rsid w:val="001E1BF3"/>
    <w:rsid w:val="001E706D"/>
    <w:rsid w:val="001F2EDC"/>
    <w:rsid w:val="00202276"/>
    <w:rsid w:val="002134D6"/>
    <w:rsid w:val="00221BD0"/>
    <w:rsid w:val="002229C3"/>
    <w:rsid w:val="002257A9"/>
    <w:rsid w:val="0025446A"/>
    <w:rsid w:val="00280E91"/>
    <w:rsid w:val="00292374"/>
    <w:rsid w:val="0029471C"/>
    <w:rsid w:val="00295A33"/>
    <w:rsid w:val="00295E15"/>
    <w:rsid w:val="002A52A0"/>
    <w:rsid w:val="002C24A6"/>
    <w:rsid w:val="002E0B8A"/>
    <w:rsid w:val="002F0138"/>
    <w:rsid w:val="0031429F"/>
    <w:rsid w:val="00345522"/>
    <w:rsid w:val="003516A6"/>
    <w:rsid w:val="00353111"/>
    <w:rsid w:val="003544FF"/>
    <w:rsid w:val="003569E8"/>
    <w:rsid w:val="0036151A"/>
    <w:rsid w:val="00366BB5"/>
    <w:rsid w:val="00367EEE"/>
    <w:rsid w:val="003A11D6"/>
    <w:rsid w:val="003B1C2F"/>
    <w:rsid w:val="003B26C3"/>
    <w:rsid w:val="003C102A"/>
    <w:rsid w:val="003C1323"/>
    <w:rsid w:val="003C4E18"/>
    <w:rsid w:val="003C56E2"/>
    <w:rsid w:val="003E4B39"/>
    <w:rsid w:val="003F5133"/>
    <w:rsid w:val="003F614F"/>
    <w:rsid w:val="0041614A"/>
    <w:rsid w:val="004344B0"/>
    <w:rsid w:val="004354A5"/>
    <w:rsid w:val="00457A20"/>
    <w:rsid w:val="00462A7A"/>
    <w:rsid w:val="00463EE5"/>
    <w:rsid w:val="004707B9"/>
    <w:rsid w:val="0047674B"/>
    <w:rsid w:val="004933E8"/>
    <w:rsid w:val="004A1767"/>
    <w:rsid w:val="004D2698"/>
    <w:rsid w:val="004E2BC9"/>
    <w:rsid w:val="004E72BE"/>
    <w:rsid w:val="004F32B3"/>
    <w:rsid w:val="004F5AAA"/>
    <w:rsid w:val="004F7B18"/>
    <w:rsid w:val="00507C2D"/>
    <w:rsid w:val="00513DCA"/>
    <w:rsid w:val="005147C6"/>
    <w:rsid w:val="0051639C"/>
    <w:rsid w:val="00526ADA"/>
    <w:rsid w:val="00556387"/>
    <w:rsid w:val="00584C01"/>
    <w:rsid w:val="005A0955"/>
    <w:rsid w:val="005A4BEF"/>
    <w:rsid w:val="005B3262"/>
    <w:rsid w:val="005C0D7A"/>
    <w:rsid w:val="005D3569"/>
    <w:rsid w:val="005D562E"/>
    <w:rsid w:val="005E25C5"/>
    <w:rsid w:val="005E3ADA"/>
    <w:rsid w:val="005F26A1"/>
    <w:rsid w:val="005F3D24"/>
    <w:rsid w:val="00623BCF"/>
    <w:rsid w:val="006755C0"/>
    <w:rsid w:val="00687624"/>
    <w:rsid w:val="006933E2"/>
    <w:rsid w:val="00695E35"/>
    <w:rsid w:val="006B4BF5"/>
    <w:rsid w:val="006B5192"/>
    <w:rsid w:val="006C5C47"/>
    <w:rsid w:val="006D6779"/>
    <w:rsid w:val="006E18F6"/>
    <w:rsid w:val="006E1A84"/>
    <w:rsid w:val="006E2533"/>
    <w:rsid w:val="00700501"/>
    <w:rsid w:val="00701ED5"/>
    <w:rsid w:val="007134CE"/>
    <w:rsid w:val="00730B41"/>
    <w:rsid w:val="007617B1"/>
    <w:rsid w:val="007662F8"/>
    <w:rsid w:val="0077210F"/>
    <w:rsid w:val="00772716"/>
    <w:rsid w:val="00784A95"/>
    <w:rsid w:val="007923F5"/>
    <w:rsid w:val="007A16AE"/>
    <w:rsid w:val="007B4ECA"/>
    <w:rsid w:val="007B6A61"/>
    <w:rsid w:val="007E64B5"/>
    <w:rsid w:val="007F0775"/>
    <w:rsid w:val="007F59F7"/>
    <w:rsid w:val="00841791"/>
    <w:rsid w:val="00857BCE"/>
    <w:rsid w:val="00872596"/>
    <w:rsid w:val="00886B15"/>
    <w:rsid w:val="00892A68"/>
    <w:rsid w:val="00895C5F"/>
    <w:rsid w:val="008A7361"/>
    <w:rsid w:val="008F595E"/>
    <w:rsid w:val="008F78AA"/>
    <w:rsid w:val="00900E6A"/>
    <w:rsid w:val="00907278"/>
    <w:rsid w:val="00930003"/>
    <w:rsid w:val="00933733"/>
    <w:rsid w:val="00935769"/>
    <w:rsid w:val="00981235"/>
    <w:rsid w:val="00984274"/>
    <w:rsid w:val="0099767B"/>
    <w:rsid w:val="00997E63"/>
    <w:rsid w:val="009A1144"/>
    <w:rsid w:val="009A266F"/>
    <w:rsid w:val="009A3296"/>
    <w:rsid w:val="009A6EE2"/>
    <w:rsid w:val="009B23D8"/>
    <w:rsid w:val="009B2E39"/>
    <w:rsid w:val="009C00AF"/>
    <w:rsid w:val="009E04CD"/>
    <w:rsid w:val="009E40EC"/>
    <w:rsid w:val="009E65F6"/>
    <w:rsid w:val="009E7E5D"/>
    <w:rsid w:val="009F5F66"/>
    <w:rsid w:val="009F637F"/>
    <w:rsid w:val="00A057CA"/>
    <w:rsid w:val="00A15251"/>
    <w:rsid w:val="00A4106C"/>
    <w:rsid w:val="00A54DBC"/>
    <w:rsid w:val="00A66D1F"/>
    <w:rsid w:val="00A84699"/>
    <w:rsid w:val="00A85260"/>
    <w:rsid w:val="00A94C57"/>
    <w:rsid w:val="00A955FA"/>
    <w:rsid w:val="00A976A0"/>
    <w:rsid w:val="00AB36A9"/>
    <w:rsid w:val="00AE534F"/>
    <w:rsid w:val="00B00393"/>
    <w:rsid w:val="00B1042A"/>
    <w:rsid w:val="00B21D7A"/>
    <w:rsid w:val="00B54FCF"/>
    <w:rsid w:val="00B73C74"/>
    <w:rsid w:val="00B94894"/>
    <w:rsid w:val="00B97014"/>
    <w:rsid w:val="00BA0A84"/>
    <w:rsid w:val="00BB50DF"/>
    <w:rsid w:val="00BC3A3C"/>
    <w:rsid w:val="00BC5968"/>
    <w:rsid w:val="00BC7ABE"/>
    <w:rsid w:val="00BD3A5C"/>
    <w:rsid w:val="00BD752E"/>
    <w:rsid w:val="00BE4A72"/>
    <w:rsid w:val="00BE5119"/>
    <w:rsid w:val="00BF6F03"/>
    <w:rsid w:val="00C33C87"/>
    <w:rsid w:val="00C74A51"/>
    <w:rsid w:val="00C75C49"/>
    <w:rsid w:val="00C77F29"/>
    <w:rsid w:val="00C85628"/>
    <w:rsid w:val="00C90506"/>
    <w:rsid w:val="00C918A0"/>
    <w:rsid w:val="00C96CF9"/>
    <w:rsid w:val="00CB0F28"/>
    <w:rsid w:val="00CB0FE3"/>
    <w:rsid w:val="00CB3BF2"/>
    <w:rsid w:val="00CB5738"/>
    <w:rsid w:val="00CD6469"/>
    <w:rsid w:val="00CE2264"/>
    <w:rsid w:val="00CE2A65"/>
    <w:rsid w:val="00CE2F96"/>
    <w:rsid w:val="00CF047C"/>
    <w:rsid w:val="00D109C3"/>
    <w:rsid w:val="00D11CD4"/>
    <w:rsid w:val="00D1602A"/>
    <w:rsid w:val="00D23130"/>
    <w:rsid w:val="00D25FBD"/>
    <w:rsid w:val="00D400BB"/>
    <w:rsid w:val="00D42783"/>
    <w:rsid w:val="00D47F47"/>
    <w:rsid w:val="00D51F3F"/>
    <w:rsid w:val="00D7055D"/>
    <w:rsid w:val="00D747F1"/>
    <w:rsid w:val="00DB7094"/>
    <w:rsid w:val="00DC35C5"/>
    <w:rsid w:val="00DD0924"/>
    <w:rsid w:val="00DD1A19"/>
    <w:rsid w:val="00DD3C81"/>
    <w:rsid w:val="00DD42EC"/>
    <w:rsid w:val="00DD7880"/>
    <w:rsid w:val="00DE1634"/>
    <w:rsid w:val="00DE3C6A"/>
    <w:rsid w:val="00DF3914"/>
    <w:rsid w:val="00E22A7B"/>
    <w:rsid w:val="00E23B6D"/>
    <w:rsid w:val="00E32C71"/>
    <w:rsid w:val="00E349DA"/>
    <w:rsid w:val="00E42588"/>
    <w:rsid w:val="00E45FEB"/>
    <w:rsid w:val="00E463F5"/>
    <w:rsid w:val="00E872DE"/>
    <w:rsid w:val="00E96068"/>
    <w:rsid w:val="00E96AB6"/>
    <w:rsid w:val="00EA585B"/>
    <w:rsid w:val="00EB5668"/>
    <w:rsid w:val="00EC71DD"/>
    <w:rsid w:val="00EF2150"/>
    <w:rsid w:val="00F06A54"/>
    <w:rsid w:val="00F11A81"/>
    <w:rsid w:val="00F4090E"/>
    <w:rsid w:val="00F40985"/>
    <w:rsid w:val="00F55F6F"/>
    <w:rsid w:val="00F61C22"/>
    <w:rsid w:val="00F7094C"/>
    <w:rsid w:val="00F84C96"/>
    <w:rsid w:val="00F90527"/>
    <w:rsid w:val="00FA0E37"/>
    <w:rsid w:val="00FA3BFF"/>
    <w:rsid w:val="00FB0DCB"/>
    <w:rsid w:val="00FB4C4A"/>
    <w:rsid w:val="00FF4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B0DCB"/>
  </w:style>
  <w:style w:type="paragraph" w:styleId="Heading1">
    <w:name w:val="heading 1"/>
    <w:basedOn w:val="Normal"/>
    <w:next w:val="Normal"/>
    <w:qFormat/>
    <w:rsid w:val="00FB0DCB"/>
    <w:pPr>
      <w:keepNext/>
      <w:outlineLvl w:val="0"/>
    </w:pPr>
    <w:rPr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E18F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FB0DCB"/>
    <w:pPr>
      <w:ind w:left="360"/>
    </w:pPr>
    <w:rPr>
      <w:sz w:val="24"/>
    </w:rPr>
  </w:style>
  <w:style w:type="paragraph" w:styleId="Header">
    <w:name w:val="header"/>
    <w:basedOn w:val="Normal"/>
    <w:rsid w:val="00FB0DC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B0DC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customStyle="1" w:styleId="Heading4Char">
    <w:name w:val="Heading 4 Char"/>
    <w:basedOn w:val="DefaultParagraphFont"/>
    <w:link w:val="Heading4"/>
    <w:semiHidden/>
    <w:rsid w:val="006E18F6"/>
    <w:rPr>
      <w:rFonts w:ascii="Calibri" w:hAnsi="Calibri"/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rsid w:val="006E18F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link">
    <w:name w:val="Hyperlink"/>
    <w:basedOn w:val="DefaultParagraphFont"/>
    <w:rsid w:val="00D400BB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6933E2"/>
  </w:style>
  <w:style w:type="paragraph" w:styleId="PlainText">
    <w:name w:val="Plain Text"/>
    <w:basedOn w:val="Normal"/>
    <w:link w:val="PlainTextChar"/>
    <w:uiPriority w:val="99"/>
    <w:unhideWhenUsed/>
    <w:rsid w:val="00B1042A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1042A"/>
    <w:rPr>
      <w:rFonts w:ascii="Consolas" w:eastAsia="Calibri" w:hAnsi="Consolas"/>
      <w:sz w:val="21"/>
      <w:szCs w:val="21"/>
    </w:rPr>
  </w:style>
  <w:style w:type="character" w:styleId="FollowedHyperlink">
    <w:name w:val="FollowedHyperlink"/>
    <w:basedOn w:val="DefaultParagraphFont"/>
    <w:rsid w:val="00CD6469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rsid w:val="001048A6"/>
  </w:style>
  <w:style w:type="character" w:customStyle="1" w:styleId="FootnoteTextChar">
    <w:name w:val="Footnote Text Char"/>
    <w:basedOn w:val="DefaultParagraphFont"/>
    <w:link w:val="FootnoteText"/>
    <w:uiPriority w:val="99"/>
    <w:rsid w:val="001048A6"/>
  </w:style>
  <w:style w:type="character" w:styleId="FootnoteReference">
    <w:name w:val="footnote reference"/>
    <w:basedOn w:val="DefaultParagraphFont"/>
    <w:uiPriority w:val="99"/>
    <w:rsid w:val="001048A6"/>
    <w:rPr>
      <w:vertAlign w:val="superscript"/>
    </w:rPr>
  </w:style>
  <w:style w:type="character" w:styleId="CommentReference">
    <w:name w:val="annotation reference"/>
    <w:basedOn w:val="DefaultParagraphFont"/>
    <w:rsid w:val="004E72BE"/>
    <w:rPr>
      <w:sz w:val="16"/>
      <w:szCs w:val="16"/>
    </w:rPr>
  </w:style>
  <w:style w:type="paragraph" w:styleId="CommentText">
    <w:name w:val="annotation text"/>
    <w:basedOn w:val="Normal"/>
    <w:link w:val="CommentTextChar"/>
    <w:rsid w:val="004E72BE"/>
  </w:style>
  <w:style w:type="character" w:customStyle="1" w:styleId="CommentTextChar">
    <w:name w:val="Comment Text Char"/>
    <w:basedOn w:val="DefaultParagraphFont"/>
    <w:link w:val="CommentText"/>
    <w:rsid w:val="004E72BE"/>
  </w:style>
  <w:style w:type="paragraph" w:styleId="CommentSubject">
    <w:name w:val="annotation subject"/>
    <w:basedOn w:val="CommentText"/>
    <w:next w:val="CommentText"/>
    <w:link w:val="CommentSubjectChar"/>
    <w:rsid w:val="004E72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E72B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B0DCB"/>
  </w:style>
  <w:style w:type="paragraph" w:styleId="Heading1">
    <w:name w:val="heading 1"/>
    <w:basedOn w:val="Normal"/>
    <w:next w:val="Normal"/>
    <w:qFormat/>
    <w:rsid w:val="00FB0DCB"/>
    <w:pPr>
      <w:keepNext/>
      <w:outlineLvl w:val="0"/>
    </w:pPr>
    <w:rPr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E18F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FB0DCB"/>
    <w:pPr>
      <w:ind w:left="360"/>
    </w:pPr>
    <w:rPr>
      <w:sz w:val="24"/>
    </w:rPr>
  </w:style>
  <w:style w:type="paragraph" w:styleId="Header">
    <w:name w:val="header"/>
    <w:basedOn w:val="Normal"/>
    <w:rsid w:val="00FB0DC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B0DC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customStyle="1" w:styleId="Heading4Char">
    <w:name w:val="Heading 4 Char"/>
    <w:basedOn w:val="DefaultParagraphFont"/>
    <w:link w:val="Heading4"/>
    <w:semiHidden/>
    <w:rsid w:val="006E18F6"/>
    <w:rPr>
      <w:rFonts w:ascii="Calibri" w:hAnsi="Calibri"/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rsid w:val="006E18F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link">
    <w:name w:val="Hyperlink"/>
    <w:basedOn w:val="DefaultParagraphFont"/>
    <w:rsid w:val="00D400BB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6933E2"/>
  </w:style>
  <w:style w:type="paragraph" w:styleId="PlainText">
    <w:name w:val="Plain Text"/>
    <w:basedOn w:val="Normal"/>
    <w:link w:val="PlainTextChar"/>
    <w:uiPriority w:val="99"/>
    <w:unhideWhenUsed/>
    <w:rsid w:val="00B1042A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1042A"/>
    <w:rPr>
      <w:rFonts w:ascii="Consolas" w:eastAsia="Calibri" w:hAnsi="Consolas"/>
      <w:sz w:val="21"/>
      <w:szCs w:val="21"/>
    </w:rPr>
  </w:style>
  <w:style w:type="character" w:styleId="FollowedHyperlink">
    <w:name w:val="FollowedHyperlink"/>
    <w:basedOn w:val="DefaultParagraphFont"/>
    <w:rsid w:val="00CD6469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rsid w:val="001048A6"/>
  </w:style>
  <w:style w:type="character" w:customStyle="1" w:styleId="FootnoteTextChar">
    <w:name w:val="Footnote Text Char"/>
    <w:basedOn w:val="DefaultParagraphFont"/>
    <w:link w:val="FootnoteText"/>
    <w:uiPriority w:val="99"/>
    <w:rsid w:val="001048A6"/>
  </w:style>
  <w:style w:type="character" w:styleId="FootnoteReference">
    <w:name w:val="footnote reference"/>
    <w:basedOn w:val="DefaultParagraphFont"/>
    <w:uiPriority w:val="99"/>
    <w:rsid w:val="001048A6"/>
    <w:rPr>
      <w:vertAlign w:val="superscript"/>
    </w:rPr>
  </w:style>
  <w:style w:type="character" w:styleId="CommentReference">
    <w:name w:val="annotation reference"/>
    <w:basedOn w:val="DefaultParagraphFont"/>
    <w:rsid w:val="004E72BE"/>
    <w:rPr>
      <w:sz w:val="16"/>
      <w:szCs w:val="16"/>
    </w:rPr>
  </w:style>
  <w:style w:type="paragraph" w:styleId="CommentText">
    <w:name w:val="annotation text"/>
    <w:basedOn w:val="Normal"/>
    <w:link w:val="CommentTextChar"/>
    <w:rsid w:val="004E72BE"/>
  </w:style>
  <w:style w:type="character" w:customStyle="1" w:styleId="CommentTextChar">
    <w:name w:val="Comment Text Char"/>
    <w:basedOn w:val="DefaultParagraphFont"/>
    <w:link w:val="CommentText"/>
    <w:rsid w:val="004E72BE"/>
  </w:style>
  <w:style w:type="paragraph" w:styleId="CommentSubject">
    <w:name w:val="annotation subject"/>
    <w:basedOn w:val="CommentText"/>
    <w:next w:val="CommentText"/>
    <w:link w:val="CommentSubjectChar"/>
    <w:rsid w:val="004E72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E72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0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file:///C:\Users\kribrown\AppData\Local\Microsoft\Windows\Temporary%20Internet%20Files\Content.Outlook\NMBYPCFU\www.puc.pa.gov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RA-OCMO@pa.gov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CA23D6-A4C9-4E6E-9A94-BB0484988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602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4026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REYNOLDS</dc:creator>
  <cp:lastModifiedBy>Farner, Joyce</cp:lastModifiedBy>
  <cp:revision>4</cp:revision>
  <cp:lastPrinted>2014-03-19T15:34:00Z</cp:lastPrinted>
  <dcterms:created xsi:type="dcterms:W3CDTF">2014-03-19T14:20:00Z</dcterms:created>
  <dcterms:modified xsi:type="dcterms:W3CDTF">2014-03-19T15:34:00Z</dcterms:modified>
</cp:coreProperties>
</file>