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3599353"/>
    <w:bookmarkStart w:id="1" w:name="_Toc335217133"/>
    <w:bookmarkStart w:id="2" w:name="_GoBack"/>
    <w:bookmarkEnd w:id="2"/>
    <w:p w:rsidR="000A59E5" w:rsidRPr="00643267" w:rsidRDefault="0091728D" w:rsidP="00BD2C6C">
      <w:pPr>
        <w:sectPr w:rsidR="000A59E5" w:rsidRPr="00643267" w:rsidSect="00E80F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9264" behindDoc="0" locked="0" layoutInCell="1" allowOverlap="1" wp14:anchorId="44DF1490" wp14:editId="3D24ABDC">
                <wp:simplePos x="0" y="0"/>
                <wp:positionH relativeFrom="column">
                  <wp:posOffset>5038725</wp:posOffset>
                </wp:positionH>
                <wp:positionV relativeFrom="paragraph">
                  <wp:posOffset>438150</wp:posOffset>
                </wp:positionV>
                <wp:extent cx="1752600" cy="447675"/>
                <wp:effectExtent l="0" t="0" r="0"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862" w:rsidRPr="00B620FD" w:rsidRDefault="00895862" w:rsidP="004463D0">
                            <w:pPr>
                              <w:spacing w:after="0" w:line="240" w:lineRule="auto"/>
                              <w:jc w:val="center"/>
                              <w:rPr>
                                <w:rFonts w:ascii="Arial Narrow" w:eastAsia="Calibri" w:hAnsi="Arial Narrow" w:cs="Arial"/>
                                <w:b/>
                                <w:sz w:val="24"/>
                                <w:szCs w:val="26"/>
                              </w:rPr>
                            </w:pPr>
                            <w:r w:rsidRPr="00B620FD">
                              <w:rPr>
                                <w:rFonts w:ascii="Arial Narrow" w:eastAsia="Calibri" w:hAnsi="Arial Narrow" w:cs="Arial"/>
                                <w:b/>
                                <w:sz w:val="24"/>
                                <w:szCs w:val="26"/>
                              </w:rPr>
                              <w:t>GDS Associates, Inc.</w:t>
                            </w:r>
                          </w:p>
                          <w:p w:rsidR="00895862" w:rsidRPr="00B620FD" w:rsidRDefault="00895862" w:rsidP="004463D0">
                            <w:pPr>
                              <w:spacing w:after="0" w:line="240" w:lineRule="auto"/>
                              <w:jc w:val="center"/>
                              <w:rPr>
                                <w:rFonts w:ascii="Arial Narrow" w:eastAsia="Calibri" w:hAnsi="Arial Narrow" w:cs="Arial"/>
                                <w:sz w:val="18"/>
                              </w:rPr>
                            </w:pPr>
                            <w:r w:rsidRPr="00B620FD">
                              <w:rPr>
                                <w:rFonts w:ascii="Arial Narrow" w:eastAsia="Calibri" w:hAnsi="Arial Narrow" w:cs="Arial"/>
                                <w:sz w:val="18"/>
                              </w:rPr>
                              <w:t>Engineers and Consultants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6.75pt;margin-top:34.5pt;width:13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O6sgIAALk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" filled="f" stroked="f">
                <v:textbox>
                  <w:txbxContent>
                    <w:p w:rsidR="00895862" w:rsidRPr="00B620FD" w:rsidRDefault="00895862" w:rsidP="004463D0">
                      <w:pPr>
                        <w:spacing w:after="0" w:line="240" w:lineRule="auto"/>
                        <w:jc w:val="center"/>
                        <w:rPr>
                          <w:rFonts w:ascii="Arial Narrow" w:eastAsia="Calibri" w:hAnsi="Arial Narrow" w:cs="Arial"/>
                          <w:b/>
                          <w:sz w:val="24"/>
                          <w:szCs w:val="26"/>
                        </w:rPr>
                      </w:pPr>
                      <w:r w:rsidRPr="00B620FD">
                        <w:rPr>
                          <w:rFonts w:ascii="Arial Narrow" w:eastAsia="Calibri" w:hAnsi="Arial Narrow" w:cs="Arial"/>
                          <w:b/>
                          <w:sz w:val="24"/>
                          <w:szCs w:val="26"/>
                        </w:rPr>
                        <w:t>GDS Associates, Inc.</w:t>
                      </w:r>
                    </w:p>
                    <w:p w:rsidR="00895862" w:rsidRPr="00B620FD" w:rsidRDefault="00895862" w:rsidP="004463D0">
                      <w:pPr>
                        <w:spacing w:after="0" w:line="240" w:lineRule="auto"/>
                        <w:jc w:val="center"/>
                        <w:rPr>
                          <w:rFonts w:ascii="Arial Narrow" w:eastAsia="Calibri" w:hAnsi="Arial Narrow" w:cs="Arial"/>
                          <w:sz w:val="18"/>
                        </w:rPr>
                      </w:pPr>
                      <w:r w:rsidRPr="00B620FD">
                        <w:rPr>
                          <w:rFonts w:ascii="Arial Narrow" w:eastAsia="Calibri" w:hAnsi="Arial Narrow" w:cs="Arial"/>
                          <w:sz w:val="18"/>
                        </w:rPr>
                        <w:t>Engineers and Consultants</w:t>
                      </w:r>
                    </w:p>
                  </w:txbxContent>
                </v:textbox>
              </v:shape>
            </w:pict>
          </mc:Fallback>
        </mc:AlternateContent>
      </w:r>
      <w:r w:rsidRPr="00A948B6">
        <w:rPr>
          <w:noProof/>
        </w:rPr>
        <w:drawing>
          <wp:anchor distT="0" distB="0" distL="114300" distR="114300" simplePos="0" relativeHeight="251663360" behindDoc="0" locked="0" layoutInCell="1" allowOverlap="1" wp14:anchorId="6474F3D0" wp14:editId="75BA70F7">
            <wp:simplePos x="0" y="0"/>
            <wp:positionH relativeFrom="column">
              <wp:posOffset>5440045</wp:posOffset>
            </wp:positionH>
            <wp:positionV relativeFrom="paragraph">
              <wp:posOffset>1485900</wp:posOffset>
            </wp:positionV>
            <wp:extent cx="1019175" cy="228600"/>
            <wp:effectExtent l="0" t="0" r="9525" b="0"/>
            <wp:wrapNone/>
            <wp:docPr id="25" name="Picture 19" descr="C:\Users\dsobel\AppData\Local\Microsoft\Windows\Temporary Internet Files\Content.Outlook\4MAYJ6WN\Mondre Energy Logo.png"/>
            <wp:cNvGraphicFramePr/>
            <a:graphic xmlns:a="http://schemas.openxmlformats.org/drawingml/2006/main">
              <a:graphicData uri="http://schemas.openxmlformats.org/drawingml/2006/picture">
                <pic:pic xmlns:pic="http://schemas.openxmlformats.org/drawingml/2006/picture">
                  <pic:nvPicPr>
                    <pic:cNvPr id="6" name="Picture 5" descr="C:\Users\dsobel\AppData\Local\Microsoft\Windows\Temporary Internet Files\Content.Outlook\4MAYJ6WN\Mondre Energy Logo.png"/>
                    <pic:cNvPicPr>
                      <a:picLocks noChangeAspect="1" noChangeArrowheads="1"/>
                    </pic:cNvPicPr>
                  </pic:nvPicPr>
                  <pic:blipFill>
                    <a:blip r:embed="rId15" cstate="print"/>
                    <a:srcRect/>
                    <a:stretch>
                      <a:fillRect/>
                    </a:stretch>
                  </pic:blipFill>
                  <pic:spPr bwMode="auto">
                    <a:xfrm>
                      <a:off x="0" y="0"/>
                      <a:ext cx="1019175" cy="228600"/>
                    </a:xfrm>
                    <a:prstGeom prst="rect">
                      <a:avLst/>
                    </a:prstGeom>
                    <a:noFill/>
                  </pic:spPr>
                </pic:pic>
              </a:graphicData>
            </a:graphic>
          </wp:anchor>
        </w:drawing>
      </w:r>
      <w:r w:rsidRPr="00A948B6">
        <w:rPr>
          <w:noProof/>
        </w:rPr>
        <w:drawing>
          <wp:anchor distT="0" distB="0" distL="114300" distR="114300" simplePos="0" relativeHeight="251662336" behindDoc="0" locked="0" layoutInCell="1" allowOverlap="1" wp14:anchorId="0C8C9DFB" wp14:editId="09956F64">
            <wp:simplePos x="0" y="0"/>
            <wp:positionH relativeFrom="column">
              <wp:posOffset>5153025</wp:posOffset>
            </wp:positionH>
            <wp:positionV relativeFrom="paragraph">
              <wp:posOffset>933450</wp:posOffset>
            </wp:positionV>
            <wp:extent cx="1463040" cy="400050"/>
            <wp:effectExtent l="0" t="0" r="3810" b="0"/>
            <wp:wrapNone/>
            <wp:docPr id="24" name="Picture 18" descr="C:\Users\dsobel\AppData\Local\Microsoft\Windows\Temporary Internet Files\Content.Outlook\4MAYJ6WN\Nexant Logo 1.jpg"/>
            <wp:cNvGraphicFramePr/>
            <a:graphic xmlns:a="http://schemas.openxmlformats.org/drawingml/2006/main">
              <a:graphicData uri="http://schemas.openxmlformats.org/drawingml/2006/picture">
                <pic:pic xmlns:pic="http://schemas.openxmlformats.org/drawingml/2006/picture">
                  <pic:nvPicPr>
                    <pic:cNvPr id="4" name="Picture 8" descr="C:\Users\dsobel\AppData\Local\Microsoft\Windows\Temporary Internet Files\Content.Outlook\4MAYJ6WN\Nexant Logo 1.jpg"/>
                    <pic:cNvPicPr>
                      <a:picLocks noChangeAspect="1" noChangeArrowheads="1"/>
                    </pic:cNvPicPr>
                  </pic:nvPicPr>
                  <pic:blipFill>
                    <a:blip r:embed="rId16" cstate="print"/>
                    <a:srcRect/>
                    <a:stretch>
                      <a:fillRect/>
                    </a:stretch>
                  </pic:blipFill>
                  <pic:spPr bwMode="auto">
                    <a:xfrm>
                      <a:off x="0" y="0"/>
                      <a:ext cx="1463040" cy="400050"/>
                    </a:xfrm>
                    <a:prstGeom prst="rect">
                      <a:avLst/>
                    </a:prstGeom>
                    <a:noFill/>
                  </pic:spPr>
                </pic:pic>
              </a:graphicData>
            </a:graphic>
            <wp14:sizeRelH relativeFrom="margin">
              <wp14:pctWidth>0</wp14:pctWidth>
            </wp14:sizeRelH>
            <wp14:sizeRelV relativeFrom="margin">
              <wp14:pctHeight>0</wp14:pctHeight>
            </wp14:sizeRelV>
          </wp:anchor>
        </w:drawing>
      </w:r>
      <w:r w:rsidR="00B620FD">
        <w:rPr>
          <w:noProof/>
        </w:rPr>
        <w:drawing>
          <wp:anchor distT="0" distB="0" distL="114300" distR="114300" simplePos="0" relativeHeight="251658240" behindDoc="0" locked="0" layoutInCell="1" allowOverlap="1" wp14:anchorId="657B4349" wp14:editId="44D12EBC">
            <wp:simplePos x="0" y="0"/>
            <wp:positionH relativeFrom="column">
              <wp:posOffset>5397500</wp:posOffset>
            </wp:positionH>
            <wp:positionV relativeFrom="paragraph">
              <wp:posOffset>-518160</wp:posOffset>
            </wp:positionV>
            <wp:extent cx="850900" cy="905510"/>
            <wp:effectExtent l="0" t="0" r="6350" b="8890"/>
            <wp:wrapNone/>
            <wp:docPr id="18" name="Picture 2" descr="GDSBug30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SBug300BW"/>
                    <pic:cNvPicPr>
                      <a:picLocks noChangeAspect="1" noChangeArrowheads="1"/>
                    </pic:cNvPicPr>
                  </pic:nvPicPr>
                  <pic:blipFill>
                    <a:blip r:embed="rId17" cstate="print"/>
                    <a:srcRect/>
                    <a:stretch>
                      <a:fillRect/>
                    </a:stretch>
                  </pic:blipFill>
                  <pic:spPr bwMode="auto">
                    <a:xfrm>
                      <a:off x="0" y="0"/>
                      <a:ext cx="850900" cy="905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28EC">
        <w:rPr>
          <w:noProof/>
        </w:rPr>
        <mc:AlternateContent>
          <mc:Choice Requires="wps">
            <w:drawing>
              <wp:anchor distT="0" distB="0" distL="114300" distR="114300" simplePos="0" relativeHeight="251660288" behindDoc="0" locked="0" layoutInCell="1" allowOverlap="1" wp14:anchorId="27FAB10C" wp14:editId="5766EF87">
                <wp:simplePos x="0" y="0"/>
                <wp:positionH relativeFrom="column">
                  <wp:posOffset>590550</wp:posOffset>
                </wp:positionH>
                <wp:positionV relativeFrom="paragraph">
                  <wp:posOffset>3009900</wp:posOffset>
                </wp:positionV>
                <wp:extent cx="5800725" cy="2178050"/>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17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862" w:rsidRPr="00A528EC" w:rsidRDefault="00895862" w:rsidP="007F507C">
                            <w:pPr>
                              <w:spacing w:after="240" w:line="240" w:lineRule="auto"/>
                              <w:rPr>
                                <w:rFonts w:ascii="Garamond" w:eastAsia="Calibri" w:hAnsi="Garamond" w:cs="Times New Roman"/>
                                <w:b/>
                                <w:smallCaps/>
                                <w:sz w:val="40"/>
                                <w:szCs w:val="40"/>
                                <w14:shadow w14:blurRad="50800" w14:dist="38100" w14:dir="2700000" w14:sx="100000" w14:sy="100000" w14:kx="0" w14:ky="0" w14:algn="tl">
                                  <w14:srgbClr w14:val="000000">
                                    <w14:alpha w14:val="60000"/>
                                  </w14:srgbClr>
                                </w14:shadow>
                              </w:rPr>
                            </w:pPr>
                            <w:r w:rsidRPr="00A528EC">
                              <w:rPr>
                                <w:rFonts w:ascii="Garamond" w:eastAsia="Calibri" w:hAnsi="Garamond" w:cs="Times New Roman"/>
                                <w:b/>
                                <w:smallCaps/>
                                <w:sz w:val="40"/>
                                <w:szCs w:val="40"/>
                                <w14:shadow w14:blurRad="50800" w14:dist="38100" w14:dir="2700000" w14:sx="100000" w14:sy="100000" w14:kx="0" w14:ky="0" w14:algn="tl">
                                  <w14:srgbClr w14:val="000000">
                                    <w14:alpha w14:val="60000"/>
                                  </w14:srgbClr>
                                </w14:shadow>
                              </w:rPr>
                              <w:t>Act 129 Demand Response Study</w:t>
                            </w:r>
                          </w:p>
                          <w:p w:rsidR="00895862" w:rsidRPr="00A528EC" w:rsidRDefault="00895862" w:rsidP="00643267">
                            <w:pPr>
                              <w:spacing w:after="360" w:line="240" w:lineRule="auto"/>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pPr>
                            <w:r>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t>Final</w:t>
                            </w:r>
                            <w:r w:rsidRPr="00A528EC">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t xml:space="preserve"> Report </w:t>
                            </w:r>
                          </w:p>
                          <w:p w:rsidR="00895862" w:rsidRPr="00A528EC" w:rsidRDefault="00895862" w:rsidP="00643267">
                            <w:pPr>
                              <w:spacing w:after="120" w:line="240" w:lineRule="auto"/>
                              <w:rPr>
                                <w:rFonts w:ascii="Times New Roman" w:eastAsia="Calibri" w:hAnsi="Times New Roman" w:cs="Times New Roman"/>
                                <w:b/>
                                <w:i/>
                                <w:sz w:val="24"/>
                                <w14:shadow w14:blurRad="50800" w14:dist="38100" w14:dir="2700000" w14:sx="100000" w14:sy="100000" w14:kx="0" w14:ky="0" w14:algn="tl">
                                  <w14:srgbClr w14:val="000000">
                                    <w14:alpha w14:val="60000"/>
                                  </w14:srgbClr>
                                </w14:shadow>
                              </w:rPr>
                            </w:pPr>
                            <w:r w:rsidRPr="00A528EC">
                              <w:rPr>
                                <w:rFonts w:ascii="Times New Roman" w:eastAsia="Calibri" w:hAnsi="Times New Roman" w:cs="Times New Roman"/>
                                <w:b/>
                                <w:i/>
                                <w:sz w:val="24"/>
                                <w14:shadow w14:blurRad="50800" w14:dist="38100" w14:dir="2700000" w14:sx="100000" w14:sy="100000" w14:kx="0" w14:ky="0" w14:algn="tl">
                                  <w14:srgbClr w14:val="000000">
                                    <w14:alpha w14:val="60000"/>
                                  </w14:srgbClr>
                                </w14:shadow>
                              </w:rPr>
                              <w:t>Prepared for:</w:t>
                            </w:r>
                          </w:p>
                          <w:p w:rsidR="00895862" w:rsidRPr="00A528EC" w:rsidRDefault="00895862" w:rsidP="004463D0">
                            <w:pPr>
                              <w:spacing w:line="240" w:lineRule="auto"/>
                              <w:rPr>
                                <w:rFonts w:ascii="Garamond" w:eastAsia="Calibri" w:hAnsi="Garamond" w:cs="Times New Roman"/>
                                <w:b/>
                                <w:smallCaps/>
                                <w:sz w:val="24"/>
                                <w14:shadow w14:blurRad="50800" w14:dist="38100" w14:dir="2700000" w14:sx="100000" w14:sy="100000" w14:kx="0" w14:ky="0" w14:algn="tl">
                                  <w14:srgbClr w14:val="000000">
                                    <w14:alpha w14:val="60000"/>
                                  </w14:srgbClr>
                                </w14:shadow>
                              </w:rPr>
                            </w:pPr>
                            <w:r w:rsidRPr="00A528EC">
                              <w:rPr>
                                <w:rFonts w:ascii="Garamond" w:eastAsia="Calibri" w:hAnsi="Garamond" w:cs="Times New Roman"/>
                                <w:b/>
                                <w:smallCaps/>
                                <w:sz w:val="24"/>
                                <w14:shadow w14:blurRad="50800" w14:dist="38100" w14:dir="2700000" w14:sx="100000" w14:sy="100000" w14:kx="0" w14:ky="0" w14:algn="tl">
                                  <w14:srgbClr w14:val="000000">
                                    <w14:alpha w14:val="60000"/>
                                  </w14:srgbClr>
                                </w14:shadow>
                              </w:rPr>
                              <w:t>Pennsylvania Public Utility Commission</w:t>
                            </w:r>
                          </w:p>
                          <w:p w:rsidR="00895862" w:rsidRPr="00A528EC" w:rsidRDefault="00895862" w:rsidP="004463D0">
                            <w:pPr>
                              <w:spacing w:line="240" w:lineRule="auto"/>
                              <w:rPr>
                                <w:rFonts w:ascii="Garamond" w:eastAsia="Calibri" w:hAnsi="Garamond" w:cs="Times New Roman"/>
                                <w:b/>
                                <w:smallCaps/>
                                <w:sz w:val="24"/>
                                <w14:shadow w14:blurRad="50800" w14:dist="38100" w14:dir="2700000" w14:sx="100000" w14:sy="100000" w14:kx="0" w14:ky="0" w14:algn="tl">
                                  <w14:srgbClr w14:val="000000">
                                    <w14:alpha w14:val="60000"/>
                                  </w14:srgbClr>
                                </w14:shadow>
                              </w:rPr>
                            </w:pPr>
                          </w:p>
                          <w:p w:rsidR="00895862" w:rsidRPr="00A528EC" w:rsidRDefault="00895862" w:rsidP="004463D0">
                            <w:pPr>
                              <w:spacing w:line="240" w:lineRule="auto"/>
                              <w:rPr>
                                <w:rFonts w:ascii="Garamond" w:eastAsia="Calibri" w:hAnsi="Garamond" w:cs="Times New Roman"/>
                                <w:b/>
                                <w:sz w:val="24"/>
                                <w14:shadow w14:blurRad="50800" w14:dist="38100" w14:dir="2700000" w14:sx="100000" w14:sy="100000" w14:kx="0" w14:ky="0" w14:algn="tl">
                                  <w14:srgbClr w14:val="000000">
                                    <w14:alpha w14:val="60000"/>
                                  </w14:srgbClr>
                                </w14:shadow>
                              </w:rPr>
                            </w:pPr>
                            <w:r>
                              <w:rPr>
                                <w:rFonts w:ascii="Garamond" w:eastAsia="Calibri" w:hAnsi="Garamond" w:cs="Times New Roman"/>
                                <w:b/>
                                <w:sz w:val="24"/>
                                <w14:shadow w14:blurRad="50800" w14:dist="38100" w14:dir="2700000" w14:sx="100000" w14:sy="100000" w14:kx="0" w14:ky="0" w14:algn="tl">
                                  <w14:srgbClr w14:val="000000">
                                    <w14:alpha w14:val="60000"/>
                                  </w14:srgbClr>
                                </w14:shadow>
                              </w:rPr>
                              <w:t>May 1</w:t>
                            </w:r>
                            <w:r w:rsidR="001D4D6D">
                              <w:rPr>
                                <w:rFonts w:ascii="Garamond" w:eastAsia="Calibri" w:hAnsi="Garamond" w:cs="Times New Roman"/>
                                <w:b/>
                                <w:sz w:val="24"/>
                                <w14:shadow w14:blurRad="50800" w14:dist="38100" w14:dir="2700000" w14:sx="100000" w14:sy="100000" w14:kx="0" w14:ky="0" w14:algn="tl">
                                  <w14:srgbClr w14:val="000000">
                                    <w14:alpha w14:val="60000"/>
                                  </w14:srgbClr>
                                </w14:shadow>
                              </w:rPr>
                              <w:t>6</w:t>
                            </w:r>
                            <w:r>
                              <w:rPr>
                                <w:rFonts w:ascii="Garamond" w:eastAsia="Calibri" w:hAnsi="Garamond" w:cs="Times New Roman"/>
                                <w:b/>
                                <w:sz w:val="24"/>
                                <w14:shadow w14:blurRad="50800" w14:dist="38100" w14:dir="2700000" w14:sx="100000" w14:sy="100000" w14:kx="0" w14:ky="0" w14:algn="tl">
                                  <w14:srgbClr w14:val="000000">
                                    <w14:alpha w14:val="60000"/>
                                  </w14:srgbClr>
                                </w14:shadow>
                              </w:rPr>
                              <w:t>, 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6.5pt;margin-top:237pt;width:456.7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" filled="f" stroked="f">
                <v:textbox>
                  <w:txbxContent>
                    <w:p w:rsidR="00895862" w:rsidRPr="00A528EC" w:rsidRDefault="00895862" w:rsidP="007F507C">
                      <w:pPr>
                        <w:spacing w:after="240" w:line="240" w:lineRule="auto"/>
                        <w:rPr>
                          <w:rFonts w:ascii="Garamond" w:eastAsia="Calibri" w:hAnsi="Garamond" w:cs="Times New Roman"/>
                          <w:b/>
                          <w:smallCaps/>
                          <w:sz w:val="40"/>
                          <w:szCs w:val="40"/>
                          <w14:shadow w14:blurRad="50800" w14:dist="38100" w14:dir="2700000" w14:sx="100000" w14:sy="100000" w14:kx="0" w14:ky="0" w14:algn="tl">
                            <w14:srgbClr w14:val="000000">
                              <w14:alpha w14:val="60000"/>
                            </w14:srgbClr>
                          </w14:shadow>
                        </w:rPr>
                      </w:pPr>
                      <w:r w:rsidRPr="00A528EC">
                        <w:rPr>
                          <w:rFonts w:ascii="Garamond" w:eastAsia="Calibri" w:hAnsi="Garamond" w:cs="Times New Roman"/>
                          <w:b/>
                          <w:smallCaps/>
                          <w:sz w:val="40"/>
                          <w:szCs w:val="40"/>
                          <w14:shadow w14:blurRad="50800" w14:dist="38100" w14:dir="2700000" w14:sx="100000" w14:sy="100000" w14:kx="0" w14:ky="0" w14:algn="tl">
                            <w14:srgbClr w14:val="000000">
                              <w14:alpha w14:val="60000"/>
                            </w14:srgbClr>
                          </w14:shadow>
                        </w:rPr>
                        <w:t>Act 129 Demand Response Study</w:t>
                      </w:r>
                    </w:p>
                    <w:p w:rsidR="00895862" w:rsidRPr="00A528EC" w:rsidRDefault="00895862" w:rsidP="00643267">
                      <w:pPr>
                        <w:spacing w:after="360" w:line="240" w:lineRule="auto"/>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pPr>
                      <w:r>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t>Final</w:t>
                      </w:r>
                      <w:r w:rsidRPr="00A528EC">
                        <w:rPr>
                          <w:rFonts w:ascii="Times New Roman" w:eastAsia="Calibri" w:hAnsi="Times New Roman" w:cs="Times New Roman"/>
                          <w:b/>
                          <w:i/>
                          <w:color w:val="1F497D" w:themeColor="text2"/>
                          <w:sz w:val="28"/>
                          <w14:shadow w14:blurRad="50800" w14:dist="38100" w14:dir="2700000" w14:sx="100000" w14:sy="100000" w14:kx="0" w14:ky="0" w14:algn="tl">
                            <w14:srgbClr w14:val="000000">
                              <w14:alpha w14:val="60000"/>
                            </w14:srgbClr>
                          </w14:shadow>
                        </w:rPr>
                        <w:t xml:space="preserve"> Report </w:t>
                      </w:r>
                    </w:p>
                    <w:p w:rsidR="00895862" w:rsidRPr="00A528EC" w:rsidRDefault="00895862" w:rsidP="00643267">
                      <w:pPr>
                        <w:spacing w:after="120" w:line="240" w:lineRule="auto"/>
                        <w:rPr>
                          <w:rFonts w:ascii="Times New Roman" w:eastAsia="Calibri" w:hAnsi="Times New Roman" w:cs="Times New Roman"/>
                          <w:b/>
                          <w:i/>
                          <w:sz w:val="24"/>
                          <w14:shadow w14:blurRad="50800" w14:dist="38100" w14:dir="2700000" w14:sx="100000" w14:sy="100000" w14:kx="0" w14:ky="0" w14:algn="tl">
                            <w14:srgbClr w14:val="000000">
                              <w14:alpha w14:val="60000"/>
                            </w14:srgbClr>
                          </w14:shadow>
                        </w:rPr>
                      </w:pPr>
                      <w:r w:rsidRPr="00A528EC">
                        <w:rPr>
                          <w:rFonts w:ascii="Times New Roman" w:eastAsia="Calibri" w:hAnsi="Times New Roman" w:cs="Times New Roman"/>
                          <w:b/>
                          <w:i/>
                          <w:sz w:val="24"/>
                          <w14:shadow w14:blurRad="50800" w14:dist="38100" w14:dir="2700000" w14:sx="100000" w14:sy="100000" w14:kx="0" w14:ky="0" w14:algn="tl">
                            <w14:srgbClr w14:val="000000">
                              <w14:alpha w14:val="60000"/>
                            </w14:srgbClr>
                          </w14:shadow>
                        </w:rPr>
                        <w:t>Prepared for:</w:t>
                      </w:r>
                    </w:p>
                    <w:p w:rsidR="00895862" w:rsidRPr="00A528EC" w:rsidRDefault="00895862" w:rsidP="004463D0">
                      <w:pPr>
                        <w:spacing w:line="240" w:lineRule="auto"/>
                        <w:rPr>
                          <w:rFonts w:ascii="Garamond" w:eastAsia="Calibri" w:hAnsi="Garamond" w:cs="Times New Roman"/>
                          <w:b/>
                          <w:smallCaps/>
                          <w:sz w:val="24"/>
                          <w14:shadow w14:blurRad="50800" w14:dist="38100" w14:dir="2700000" w14:sx="100000" w14:sy="100000" w14:kx="0" w14:ky="0" w14:algn="tl">
                            <w14:srgbClr w14:val="000000">
                              <w14:alpha w14:val="60000"/>
                            </w14:srgbClr>
                          </w14:shadow>
                        </w:rPr>
                      </w:pPr>
                      <w:r w:rsidRPr="00A528EC">
                        <w:rPr>
                          <w:rFonts w:ascii="Garamond" w:eastAsia="Calibri" w:hAnsi="Garamond" w:cs="Times New Roman"/>
                          <w:b/>
                          <w:smallCaps/>
                          <w:sz w:val="24"/>
                          <w14:shadow w14:blurRad="50800" w14:dist="38100" w14:dir="2700000" w14:sx="100000" w14:sy="100000" w14:kx="0" w14:ky="0" w14:algn="tl">
                            <w14:srgbClr w14:val="000000">
                              <w14:alpha w14:val="60000"/>
                            </w14:srgbClr>
                          </w14:shadow>
                        </w:rPr>
                        <w:t>Pennsylvania Public Utility Commission</w:t>
                      </w:r>
                    </w:p>
                    <w:p w:rsidR="00895862" w:rsidRPr="00A528EC" w:rsidRDefault="00895862" w:rsidP="004463D0">
                      <w:pPr>
                        <w:spacing w:line="240" w:lineRule="auto"/>
                        <w:rPr>
                          <w:rFonts w:ascii="Garamond" w:eastAsia="Calibri" w:hAnsi="Garamond" w:cs="Times New Roman"/>
                          <w:b/>
                          <w:smallCaps/>
                          <w:sz w:val="24"/>
                          <w14:shadow w14:blurRad="50800" w14:dist="38100" w14:dir="2700000" w14:sx="100000" w14:sy="100000" w14:kx="0" w14:ky="0" w14:algn="tl">
                            <w14:srgbClr w14:val="000000">
                              <w14:alpha w14:val="60000"/>
                            </w14:srgbClr>
                          </w14:shadow>
                        </w:rPr>
                      </w:pPr>
                    </w:p>
                    <w:p w:rsidR="00895862" w:rsidRPr="00A528EC" w:rsidRDefault="00895862" w:rsidP="004463D0">
                      <w:pPr>
                        <w:spacing w:line="240" w:lineRule="auto"/>
                        <w:rPr>
                          <w:rFonts w:ascii="Garamond" w:eastAsia="Calibri" w:hAnsi="Garamond" w:cs="Times New Roman"/>
                          <w:b/>
                          <w:sz w:val="24"/>
                          <w14:shadow w14:blurRad="50800" w14:dist="38100" w14:dir="2700000" w14:sx="100000" w14:sy="100000" w14:kx="0" w14:ky="0" w14:algn="tl">
                            <w14:srgbClr w14:val="000000">
                              <w14:alpha w14:val="60000"/>
                            </w14:srgbClr>
                          </w14:shadow>
                        </w:rPr>
                      </w:pPr>
                      <w:r>
                        <w:rPr>
                          <w:rFonts w:ascii="Garamond" w:eastAsia="Calibri" w:hAnsi="Garamond" w:cs="Times New Roman"/>
                          <w:b/>
                          <w:sz w:val="24"/>
                          <w14:shadow w14:blurRad="50800" w14:dist="38100" w14:dir="2700000" w14:sx="100000" w14:sy="100000" w14:kx="0" w14:ky="0" w14:algn="tl">
                            <w14:srgbClr w14:val="000000">
                              <w14:alpha w14:val="60000"/>
                            </w14:srgbClr>
                          </w14:shadow>
                        </w:rPr>
                        <w:t>May 1</w:t>
                      </w:r>
                      <w:r w:rsidR="001D4D6D">
                        <w:rPr>
                          <w:rFonts w:ascii="Garamond" w:eastAsia="Calibri" w:hAnsi="Garamond" w:cs="Times New Roman"/>
                          <w:b/>
                          <w:sz w:val="24"/>
                          <w14:shadow w14:blurRad="50800" w14:dist="38100" w14:dir="2700000" w14:sx="100000" w14:sy="100000" w14:kx="0" w14:ky="0" w14:algn="tl">
                            <w14:srgbClr w14:val="000000">
                              <w14:alpha w14:val="60000"/>
                            </w14:srgbClr>
                          </w14:shadow>
                        </w:rPr>
                        <w:t>6</w:t>
                      </w:r>
                      <w:r>
                        <w:rPr>
                          <w:rFonts w:ascii="Garamond" w:eastAsia="Calibri" w:hAnsi="Garamond" w:cs="Times New Roman"/>
                          <w:b/>
                          <w:sz w:val="24"/>
                          <w14:shadow w14:blurRad="50800" w14:dist="38100" w14:dir="2700000" w14:sx="100000" w14:sy="100000" w14:kx="0" w14:ky="0" w14:algn="tl">
                            <w14:srgbClr w14:val="000000">
                              <w14:alpha w14:val="60000"/>
                            </w14:srgbClr>
                          </w14:shadow>
                        </w:rPr>
                        <w:t>, 2013</w:t>
                      </w:r>
                    </w:p>
                  </w:txbxContent>
                </v:textbox>
              </v:shape>
            </w:pict>
          </mc:Fallback>
        </mc:AlternateContent>
      </w:r>
      <w:r w:rsidR="00A528EC">
        <w:rPr>
          <w:noProof/>
        </w:rPr>
        <mc:AlternateContent>
          <mc:Choice Requires="wps">
            <w:drawing>
              <wp:anchor distT="0" distB="0" distL="114300" distR="114300" simplePos="0" relativeHeight="251661312" behindDoc="0" locked="0" layoutInCell="1" allowOverlap="1" wp14:anchorId="22FFE38A" wp14:editId="4DC8E246">
                <wp:simplePos x="0" y="0"/>
                <wp:positionH relativeFrom="column">
                  <wp:posOffset>4135755</wp:posOffset>
                </wp:positionH>
                <wp:positionV relativeFrom="paragraph">
                  <wp:posOffset>7553325</wp:posOffset>
                </wp:positionV>
                <wp:extent cx="2372995" cy="1104900"/>
                <wp:effectExtent l="1905"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 xml:space="preserve">GDS Associates, Inc. </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1850 Parkway Place</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Suite 800</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Marietta, GA 30067</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770.425.8100</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770.426.0303 (Fax)</w:t>
                            </w:r>
                          </w:p>
                          <w:p w:rsidR="00895862" w:rsidRPr="00643267" w:rsidRDefault="00895862" w:rsidP="004463D0">
                            <w:pPr>
                              <w:jc w:val="right"/>
                              <w:rPr>
                                <w:rFonts w:ascii="Garamond" w:eastAsia="Calibri" w:hAnsi="Garamond" w:cs="Times New Roman"/>
                                <w:smallCaps/>
                                <w:sz w:val="20"/>
                              </w:rPr>
                            </w:pPr>
                            <w:r w:rsidRPr="00643267">
                              <w:rPr>
                                <w:rFonts w:ascii="Garamond" w:hAnsi="Garamond"/>
                                <w:smallCaps/>
                                <w:sz w:val="20"/>
                              </w:rPr>
                              <w:t>www.gdsassociates.com</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 o:spid="_x0000_s1028" type="#_x0000_t202" style="position:absolute;left:0;text-align:left;margin-left:325.65pt;margin-top:594.75pt;width:186.85pt;height:87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VugIAAME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" filled="f" stroked="f">
                <v:textbox>
                  <w:txbxContent>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 xml:space="preserve">GDS Associates, Inc. </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1850 Parkway Place</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Suite 800</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Marietta, GA 30067</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770.425.8100</w:t>
                      </w:r>
                    </w:p>
                    <w:p w:rsidR="00895862" w:rsidRPr="00643267" w:rsidRDefault="00895862" w:rsidP="004463D0">
                      <w:pPr>
                        <w:spacing w:after="0" w:line="240" w:lineRule="auto"/>
                        <w:jc w:val="right"/>
                        <w:rPr>
                          <w:rFonts w:ascii="Garamond" w:eastAsia="Calibri" w:hAnsi="Garamond" w:cs="Times New Roman"/>
                          <w:smallCaps/>
                          <w:sz w:val="20"/>
                        </w:rPr>
                      </w:pPr>
                      <w:r w:rsidRPr="00643267">
                        <w:rPr>
                          <w:rFonts w:ascii="Garamond" w:eastAsia="Calibri" w:hAnsi="Garamond" w:cs="Times New Roman"/>
                          <w:smallCaps/>
                          <w:sz w:val="20"/>
                        </w:rPr>
                        <w:t>770.426.0303 (Fax)</w:t>
                      </w:r>
                    </w:p>
                    <w:p w:rsidR="00895862" w:rsidRPr="00643267" w:rsidRDefault="00895862" w:rsidP="004463D0">
                      <w:pPr>
                        <w:jc w:val="right"/>
                        <w:rPr>
                          <w:rFonts w:ascii="Garamond" w:eastAsia="Calibri" w:hAnsi="Garamond" w:cs="Times New Roman"/>
                          <w:smallCaps/>
                          <w:sz w:val="20"/>
                        </w:rPr>
                      </w:pPr>
                      <w:r w:rsidRPr="00643267">
                        <w:rPr>
                          <w:rFonts w:ascii="Garamond" w:hAnsi="Garamond"/>
                          <w:smallCaps/>
                          <w:sz w:val="20"/>
                        </w:rPr>
                        <w:t>www.gdsassociates.com</w:t>
                      </w:r>
                    </w:p>
                  </w:txbxContent>
                </v:textbox>
              </v:shape>
            </w:pict>
          </mc:Fallback>
        </mc:AlternateContent>
      </w:r>
      <w:bookmarkEnd w:id="0"/>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Pr="00377CD7" w:rsidRDefault="00377CD7" w:rsidP="00377CD7">
      <w:pPr>
        <w:spacing w:after="240" w:line="240" w:lineRule="auto"/>
        <w:jc w:val="right"/>
        <w:rPr>
          <w:rFonts w:ascii="Garamond" w:hAnsi="Garamond"/>
          <w:b/>
          <w:smallCaps/>
          <w:sz w:val="36"/>
          <w:szCs w:val="36"/>
        </w:rPr>
      </w:pPr>
      <w:r w:rsidRPr="00377CD7">
        <w:rPr>
          <w:rFonts w:ascii="Garamond" w:hAnsi="Garamond"/>
          <w:b/>
          <w:smallCaps/>
          <w:sz w:val="36"/>
          <w:szCs w:val="36"/>
        </w:rPr>
        <w:t>Prepared By:</w:t>
      </w:r>
    </w:p>
    <w:p w:rsidR="00377CD7" w:rsidRPr="00377CD7" w:rsidRDefault="00377CD7" w:rsidP="00377CD7">
      <w:pPr>
        <w:spacing w:after="240" w:line="240" w:lineRule="auto"/>
        <w:jc w:val="right"/>
        <w:rPr>
          <w:rFonts w:ascii="Garamond" w:hAnsi="Garamond"/>
          <w:smallCaps/>
          <w:sz w:val="24"/>
          <w:szCs w:val="24"/>
        </w:rPr>
      </w:pPr>
      <w:r w:rsidRPr="00377CD7">
        <w:rPr>
          <w:rFonts w:ascii="Garamond" w:hAnsi="Garamond"/>
          <w:smallCaps/>
          <w:sz w:val="24"/>
          <w:szCs w:val="24"/>
        </w:rPr>
        <w:t>Salil Gogte</w:t>
      </w:r>
      <w:r w:rsidR="00EA040D">
        <w:rPr>
          <w:rFonts w:ascii="Garamond" w:hAnsi="Garamond"/>
          <w:smallCaps/>
          <w:sz w:val="24"/>
          <w:szCs w:val="24"/>
        </w:rPr>
        <w:t xml:space="preserve"> –</w:t>
      </w:r>
      <w:r w:rsidR="00EA040D" w:rsidRPr="00377CD7">
        <w:rPr>
          <w:rFonts w:ascii="Garamond" w:hAnsi="Garamond"/>
          <w:smallCaps/>
          <w:sz w:val="24"/>
          <w:szCs w:val="24"/>
        </w:rPr>
        <w:t xml:space="preserve"> Nexant</w:t>
      </w:r>
    </w:p>
    <w:p w:rsidR="00377CD7" w:rsidRPr="00377CD7" w:rsidRDefault="00377CD7" w:rsidP="00377CD7">
      <w:pPr>
        <w:spacing w:after="240" w:line="240" w:lineRule="auto"/>
        <w:jc w:val="right"/>
        <w:rPr>
          <w:rFonts w:ascii="Garamond" w:hAnsi="Garamond"/>
          <w:smallCaps/>
          <w:sz w:val="24"/>
          <w:szCs w:val="24"/>
        </w:rPr>
      </w:pPr>
      <w:r w:rsidRPr="00377CD7">
        <w:rPr>
          <w:rFonts w:ascii="Garamond" w:hAnsi="Garamond"/>
          <w:smallCaps/>
          <w:sz w:val="24"/>
          <w:szCs w:val="24"/>
        </w:rPr>
        <w:t xml:space="preserve">Jesse Smith </w:t>
      </w:r>
      <w:r>
        <w:rPr>
          <w:rFonts w:ascii="Garamond" w:hAnsi="Garamond"/>
          <w:smallCaps/>
          <w:sz w:val="24"/>
          <w:szCs w:val="24"/>
        </w:rPr>
        <w:t>–</w:t>
      </w:r>
      <w:r w:rsidRPr="00377CD7">
        <w:rPr>
          <w:rFonts w:ascii="Garamond" w:hAnsi="Garamond"/>
          <w:smallCaps/>
          <w:sz w:val="24"/>
          <w:szCs w:val="24"/>
        </w:rPr>
        <w:t xml:space="preserve"> Nexant</w:t>
      </w:r>
    </w:p>
    <w:p w:rsidR="00377CD7" w:rsidRDefault="00377CD7" w:rsidP="00377CD7">
      <w:pPr>
        <w:spacing w:after="240" w:line="240" w:lineRule="auto"/>
        <w:jc w:val="right"/>
        <w:rPr>
          <w:rFonts w:ascii="Garamond" w:hAnsi="Garamond"/>
          <w:smallCaps/>
          <w:sz w:val="24"/>
          <w:szCs w:val="24"/>
        </w:rPr>
      </w:pPr>
      <w:r w:rsidRPr="00377CD7">
        <w:rPr>
          <w:rFonts w:ascii="Garamond" w:hAnsi="Garamond"/>
          <w:smallCaps/>
          <w:sz w:val="24"/>
          <w:szCs w:val="24"/>
        </w:rPr>
        <w:t>Tom Londos – GDS Associates</w:t>
      </w:r>
    </w:p>
    <w:p w:rsidR="00377CD7" w:rsidRPr="00377CD7" w:rsidRDefault="00377CD7" w:rsidP="00377CD7">
      <w:pPr>
        <w:spacing w:after="240" w:line="240" w:lineRule="auto"/>
        <w:jc w:val="right"/>
        <w:rPr>
          <w:rFonts w:ascii="Garamond" w:hAnsi="Garamond"/>
          <w:smallCaps/>
          <w:sz w:val="24"/>
          <w:szCs w:val="24"/>
        </w:rPr>
      </w:pPr>
      <w:r>
        <w:rPr>
          <w:rFonts w:ascii="Garamond" w:hAnsi="Garamond"/>
          <w:smallCaps/>
          <w:sz w:val="24"/>
          <w:szCs w:val="24"/>
        </w:rPr>
        <w:t>Jacob Thomas – GDS Associates</w:t>
      </w:r>
    </w:p>
    <w:p w:rsidR="00377CD7" w:rsidRPr="00377CD7" w:rsidRDefault="00377CD7" w:rsidP="00377CD7">
      <w:pPr>
        <w:spacing w:after="240" w:line="240" w:lineRule="auto"/>
        <w:jc w:val="right"/>
        <w:rPr>
          <w:rFonts w:ascii="Garamond" w:hAnsi="Garamond"/>
          <w:smallCaps/>
          <w:sz w:val="24"/>
          <w:szCs w:val="24"/>
        </w:rPr>
      </w:pPr>
      <w:r w:rsidRPr="00377CD7">
        <w:rPr>
          <w:rFonts w:ascii="Garamond" w:hAnsi="Garamond"/>
          <w:smallCaps/>
          <w:sz w:val="24"/>
          <w:szCs w:val="24"/>
        </w:rPr>
        <w:t>Steve Miller – Mondre Energy</w:t>
      </w: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377CD7" w:rsidRDefault="00377CD7" w:rsidP="006D6344">
      <w:pPr>
        <w:spacing w:after="240" w:line="240" w:lineRule="auto"/>
        <w:jc w:val="center"/>
        <w:rPr>
          <w:rFonts w:ascii="Garamond" w:hAnsi="Garamond"/>
          <w:b/>
          <w:smallCaps/>
          <w:sz w:val="28"/>
        </w:rPr>
      </w:pPr>
    </w:p>
    <w:p w:rsidR="000A59E5" w:rsidRPr="00643267" w:rsidRDefault="004463D0" w:rsidP="006D6344">
      <w:pPr>
        <w:spacing w:after="240" w:line="240" w:lineRule="auto"/>
        <w:jc w:val="center"/>
        <w:rPr>
          <w:rFonts w:ascii="Garamond" w:hAnsi="Garamond"/>
          <w:b/>
          <w:smallCaps/>
          <w:sz w:val="28"/>
        </w:rPr>
      </w:pPr>
      <w:r w:rsidRPr="00643267">
        <w:rPr>
          <w:rFonts w:ascii="Garamond" w:hAnsi="Garamond"/>
          <w:b/>
          <w:smallCaps/>
          <w:sz w:val="28"/>
        </w:rPr>
        <w:lastRenderedPageBreak/>
        <w:t>Table of Contents</w:t>
      </w:r>
    </w:p>
    <w:p w:rsidR="00377CD7" w:rsidRDefault="00692375">
      <w:pPr>
        <w:pStyle w:val="TOC1"/>
        <w:rPr>
          <w:rFonts w:asciiTheme="minorHAnsi" w:eastAsiaTheme="minorEastAsia" w:hAnsiTheme="minorHAnsi"/>
          <w:b w:val="0"/>
          <w:smallCaps w:val="0"/>
          <w:snapToGrid/>
          <w:w w:val="100"/>
          <w:sz w:val="22"/>
        </w:rPr>
      </w:pPr>
      <w:r>
        <w:rPr>
          <w:sz w:val="28"/>
        </w:rPr>
        <w:fldChar w:fldCharType="begin"/>
      </w:r>
      <w:r w:rsidR="00643267">
        <w:rPr>
          <w:sz w:val="28"/>
        </w:rPr>
        <w:instrText xml:space="preserve"> TOC \o "1-3" \h \z \u </w:instrText>
      </w:r>
      <w:r>
        <w:rPr>
          <w:sz w:val="28"/>
        </w:rPr>
        <w:fldChar w:fldCharType="separate"/>
      </w:r>
      <w:hyperlink w:anchor="_Toc355954888" w:history="1">
        <w:r w:rsidR="00377CD7" w:rsidRPr="00E06F98">
          <w:rPr>
            <w:rStyle w:val="Hyperlink"/>
          </w:rPr>
          <w:t>List of Acronyms</w:t>
        </w:r>
        <w:r w:rsidR="00377CD7">
          <w:rPr>
            <w:webHidden/>
          </w:rPr>
          <w:tab/>
        </w:r>
        <w:r w:rsidR="00377CD7">
          <w:rPr>
            <w:webHidden/>
          </w:rPr>
          <w:fldChar w:fldCharType="begin"/>
        </w:r>
        <w:r w:rsidR="00377CD7">
          <w:rPr>
            <w:webHidden/>
          </w:rPr>
          <w:instrText xml:space="preserve"> PAGEREF _Toc355954888 \h </w:instrText>
        </w:r>
        <w:r w:rsidR="00377CD7">
          <w:rPr>
            <w:webHidden/>
          </w:rPr>
        </w:r>
        <w:r w:rsidR="00377CD7">
          <w:rPr>
            <w:webHidden/>
          </w:rPr>
          <w:fldChar w:fldCharType="separate"/>
        </w:r>
        <w:r w:rsidR="001D4D6D">
          <w:rPr>
            <w:webHidden/>
          </w:rPr>
          <w:t>iii</w:t>
        </w:r>
        <w:r w:rsidR="00377CD7">
          <w:rPr>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889" w:history="1">
        <w:r w:rsidR="00377CD7" w:rsidRPr="00E06F98">
          <w:rPr>
            <w:rStyle w:val="Hyperlink"/>
          </w:rPr>
          <w:t>A.</w:t>
        </w:r>
        <w:r w:rsidR="00377CD7">
          <w:rPr>
            <w:rFonts w:asciiTheme="minorHAnsi" w:eastAsiaTheme="minorEastAsia" w:hAnsiTheme="minorHAnsi"/>
            <w:b w:val="0"/>
            <w:smallCaps w:val="0"/>
            <w:snapToGrid/>
            <w:w w:val="100"/>
            <w:sz w:val="22"/>
          </w:rPr>
          <w:tab/>
        </w:r>
        <w:r w:rsidR="00377CD7" w:rsidRPr="00E06F98">
          <w:rPr>
            <w:rStyle w:val="Hyperlink"/>
          </w:rPr>
          <w:t>Executive Summary</w:t>
        </w:r>
        <w:r w:rsidR="00377CD7">
          <w:rPr>
            <w:webHidden/>
          </w:rPr>
          <w:tab/>
        </w:r>
        <w:r w:rsidR="00377CD7">
          <w:rPr>
            <w:webHidden/>
          </w:rPr>
          <w:fldChar w:fldCharType="begin"/>
        </w:r>
        <w:r w:rsidR="00377CD7">
          <w:rPr>
            <w:webHidden/>
          </w:rPr>
          <w:instrText xml:space="preserve"> PAGEREF _Toc355954889 \h </w:instrText>
        </w:r>
        <w:r w:rsidR="00377CD7">
          <w:rPr>
            <w:webHidden/>
          </w:rPr>
        </w:r>
        <w:r w:rsidR="00377CD7">
          <w:rPr>
            <w:webHidden/>
          </w:rPr>
          <w:fldChar w:fldCharType="separate"/>
        </w:r>
        <w:r w:rsidR="001D4D6D">
          <w:rPr>
            <w:webHidden/>
          </w:rPr>
          <w:t>1</w:t>
        </w:r>
        <w:r w:rsidR="00377CD7">
          <w:rPr>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890" w:history="1">
        <w:r w:rsidR="00377CD7" w:rsidRPr="00E06F98">
          <w:rPr>
            <w:rStyle w:val="Hyperlink"/>
          </w:rPr>
          <w:t>B.</w:t>
        </w:r>
        <w:r w:rsidR="00377CD7">
          <w:rPr>
            <w:rFonts w:asciiTheme="minorHAnsi" w:eastAsiaTheme="minorEastAsia" w:hAnsiTheme="minorHAnsi"/>
            <w:b w:val="0"/>
            <w:smallCaps w:val="0"/>
            <w:snapToGrid/>
            <w:w w:val="100"/>
            <w:sz w:val="22"/>
          </w:rPr>
          <w:tab/>
        </w:r>
        <w:r w:rsidR="00377CD7" w:rsidRPr="00E06F98">
          <w:rPr>
            <w:rStyle w:val="Hyperlink"/>
          </w:rPr>
          <w:t>Overview of Demand Response</w:t>
        </w:r>
        <w:r w:rsidR="00377CD7">
          <w:rPr>
            <w:webHidden/>
          </w:rPr>
          <w:tab/>
        </w:r>
        <w:r w:rsidR="00377CD7">
          <w:rPr>
            <w:webHidden/>
          </w:rPr>
          <w:fldChar w:fldCharType="begin"/>
        </w:r>
        <w:r w:rsidR="00377CD7">
          <w:rPr>
            <w:webHidden/>
          </w:rPr>
          <w:instrText xml:space="preserve"> PAGEREF _Toc355954890 \h </w:instrText>
        </w:r>
        <w:r w:rsidR="00377CD7">
          <w:rPr>
            <w:webHidden/>
          </w:rPr>
        </w:r>
        <w:r w:rsidR="00377CD7">
          <w:rPr>
            <w:webHidden/>
          </w:rPr>
          <w:fldChar w:fldCharType="separate"/>
        </w:r>
        <w:r w:rsidR="001D4D6D">
          <w:rPr>
            <w:webHidden/>
          </w:rPr>
          <w:t>6</w:t>
        </w:r>
        <w:r w:rsidR="00377CD7">
          <w:rPr>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891" w:history="1">
        <w:r w:rsidR="00377CD7" w:rsidRPr="00E06F98">
          <w:rPr>
            <w:rStyle w:val="Hyperlink"/>
          </w:rPr>
          <w:t>C.</w:t>
        </w:r>
        <w:r w:rsidR="00377CD7">
          <w:rPr>
            <w:rFonts w:asciiTheme="minorHAnsi" w:eastAsiaTheme="minorEastAsia" w:hAnsiTheme="minorHAnsi"/>
            <w:b w:val="0"/>
            <w:smallCaps w:val="0"/>
            <w:snapToGrid/>
            <w:w w:val="100"/>
            <w:sz w:val="22"/>
          </w:rPr>
          <w:tab/>
        </w:r>
        <w:r w:rsidR="00377CD7" w:rsidRPr="00E06F98">
          <w:rPr>
            <w:rStyle w:val="Hyperlink"/>
          </w:rPr>
          <w:t>Comparison of Act 129 Demand Response (DR) Programs to Other Jurisdictions</w:t>
        </w:r>
        <w:r w:rsidR="00377CD7">
          <w:rPr>
            <w:webHidden/>
          </w:rPr>
          <w:tab/>
        </w:r>
        <w:r w:rsidR="00377CD7">
          <w:rPr>
            <w:webHidden/>
          </w:rPr>
          <w:fldChar w:fldCharType="begin"/>
        </w:r>
        <w:r w:rsidR="00377CD7">
          <w:rPr>
            <w:webHidden/>
          </w:rPr>
          <w:instrText xml:space="preserve"> PAGEREF _Toc355954891 \h </w:instrText>
        </w:r>
        <w:r w:rsidR="00377CD7">
          <w:rPr>
            <w:webHidden/>
          </w:rPr>
        </w:r>
        <w:r w:rsidR="00377CD7">
          <w:rPr>
            <w:webHidden/>
          </w:rPr>
          <w:fldChar w:fldCharType="separate"/>
        </w:r>
        <w:r w:rsidR="001D4D6D">
          <w:rPr>
            <w:webHidden/>
          </w:rPr>
          <w:t>12</w:t>
        </w:r>
        <w:r w:rsidR="00377CD7">
          <w:rPr>
            <w:webHidden/>
          </w:rPr>
          <w:fldChar w:fldCharType="end"/>
        </w:r>
      </w:hyperlink>
    </w:p>
    <w:p w:rsidR="00377CD7" w:rsidRDefault="00864861">
      <w:pPr>
        <w:pStyle w:val="TOC2"/>
        <w:rPr>
          <w:rFonts w:asciiTheme="minorHAnsi" w:eastAsiaTheme="minorEastAsia" w:hAnsiTheme="minorHAnsi"/>
          <w:noProof/>
          <w:sz w:val="22"/>
        </w:rPr>
      </w:pPr>
      <w:hyperlink w:anchor="_Toc355954892" w:history="1">
        <w:r w:rsidR="00377CD7" w:rsidRPr="00E06F98">
          <w:rPr>
            <w:rStyle w:val="Hyperlink"/>
            <w:noProof/>
          </w:rPr>
          <w:t>1.</w:t>
        </w:r>
        <w:r w:rsidR="00377CD7">
          <w:rPr>
            <w:rFonts w:asciiTheme="minorHAnsi" w:eastAsiaTheme="minorEastAsia" w:hAnsiTheme="minorHAnsi"/>
            <w:noProof/>
            <w:sz w:val="22"/>
          </w:rPr>
          <w:tab/>
        </w:r>
        <w:r w:rsidR="00377CD7" w:rsidRPr="00E06F98">
          <w:rPr>
            <w:rStyle w:val="Hyperlink"/>
            <w:noProof/>
          </w:rPr>
          <w:t>Demand Response Goals in Other States</w:t>
        </w:r>
        <w:r w:rsidR="00377CD7">
          <w:rPr>
            <w:noProof/>
            <w:webHidden/>
          </w:rPr>
          <w:tab/>
        </w:r>
        <w:r w:rsidR="00377CD7">
          <w:rPr>
            <w:noProof/>
            <w:webHidden/>
          </w:rPr>
          <w:fldChar w:fldCharType="begin"/>
        </w:r>
        <w:r w:rsidR="00377CD7">
          <w:rPr>
            <w:noProof/>
            <w:webHidden/>
          </w:rPr>
          <w:instrText xml:space="preserve"> PAGEREF _Toc355954892 \h </w:instrText>
        </w:r>
        <w:r w:rsidR="00377CD7">
          <w:rPr>
            <w:noProof/>
            <w:webHidden/>
          </w:rPr>
        </w:r>
        <w:r w:rsidR="00377CD7">
          <w:rPr>
            <w:noProof/>
            <w:webHidden/>
          </w:rPr>
          <w:fldChar w:fldCharType="separate"/>
        </w:r>
        <w:r w:rsidR="001D4D6D">
          <w:rPr>
            <w:noProof/>
            <w:webHidden/>
          </w:rPr>
          <w:t>12</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893" w:history="1">
        <w:r w:rsidR="00377CD7" w:rsidRPr="00E06F98">
          <w:rPr>
            <w:rStyle w:val="Hyperlink"/>
            <w:noProof/>
          </w:rPr>
          <w:t>2.</w:t>
        </w:r>
        <w:r w:rsidR="00377CD7">
          <w:rPr>
            <w:rFonts w:asciiTheme="minorHAnsi" w:eastAsiaTheme="minorEastAsia" w:hAnsiTheme="minorHAnsi"/>
            <w:noProof/>
            <w:sz w:val="22"/>
          </w:rPr>
          <w:tab/>
        </w:r>
        <w:r w:rsidR="00377CD7" w:rsidRPr="00E06F98">
          <w:rPr>
            <w:rStyle w:val="Hyperlink"/>
            <w:noProof/>
          </w:rPr>
          <w:t>Measurement and Verification – Determining Baselines</w:t>
        </w:r>
        <w:r w:rsidR="00377CD7">
          <w:rPr>
            <w:noProof/>
            <w:webHidden/>
          </w:rPr>
          <w:tab/>
        </w:r>
        <w:r w:rsidR="00377CD7">
          <w:rPr>
            <w:noProof/>
            <w:webHidden/>
          </w:rPr>
          <w:fldChar w:fldCharType="begin"/>
        </w:r>
        <w:r w:rsidR="00377CD7">
          <w:rPr>
            <w:noProof/>
            <w:webHidden/>
          </w:rPr>
          <w:instrText xml:space="preserve"> PAGEREF _Toc355954893 \h </w:instrText>
        </w:r>
        <w:r w:rsidR="00377CD7">
          <w:rPr>
            <w:noProof/>
            <w:webHidden/>
          </w:rPr>
        </w:r>
        <w:r w:rsidR="00377CD7">
          <w:rPr>
            <w:noProof/>
            <w:webHidden/>
          </w:rPr>
          <w:fldChar w:fldCharType="separate"/>
        </w:r>
        <w:r w:rsidR="001D4D6D">
          <w:rPr>
            <w:noProof/>
            <w:webHidden/>
          </w:rPr>
          <w:t>13</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894" w:history="1">
        <w:r w:rsidR="00377CD7" w:rsidRPr="00E06F98">
          <w:rPr>
            <w:rStyle w:val="Hyperlink"/>
            <w:noProof/>
          </w:rPr>
          <w:t>3.</w:t>
        </w:r>
        <w:r w:rsidR="00377CD7">
          <w:rPr>
            <w:rFonts w:asciiTheme="minorHAnsi" w:eastAsiaTheme="minorEastAsia" w:hAnsiTheme="minorHAnsi"/>
            <w:noProof/>
            <w:sz w:val="22"/>
          </w:rPr>
          <w:tab/>
        </w:r>
        <w:r w:rsidR="00377CD7" w:rsidRPr="00E06F98">
          <w:rPr>
            <w:rStyle w:val="Hyperlink"/>
            <w:noProof/>
          </w:rPr>
          <w:t>Cost-Effectiveness Analysis</w:t>
        </w:r>
        <w:r w:rsidR="00377CD7">
          <w:rPr>
            <w:noProof/>
            <w:webHidden/>
          </w:rPr>
          <w:tab/>
        </w:r>
        <w:r w:rsidR="00377CD7">
          <w:rPr>
            <w:noProof/>
            <w:webHidden/>
          </w:rPr>
          <w:fldChar w:fldCharType="begin"/>
        </w:r>
        <w:r w:rsidR="00377CD7">
          <w:rPr>
            <w:noProof/>
            <w:webHidden/>
          </w:rPr>
          <w:instrText xml:space="preserve"> PAGEREF _Toc355954894 \h </w:instrText>
        </w:r>
        <w:r w:rsidR="00377CD7">
          <w:rPr>
            <w:noProof/>
            <w:webHidden/>
          </w:rPr>
        </w:r>
        <w:r w:rsidR="00377CD7">
          <w:rPr>
            <w:noProof/>
            <w:webHidden/>
          </w:rPr>
          <w:fldChar w:fldCharType="separate"/>
        </w:r>
        <w:r w:rsidR="001D4D6D">
          <w:rPr>
            <w:noProof/>
            <w:webHidden/>
          </w:rPr>
          <w:t>16</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895" w:history="1">
        <w:r w:rsidR="00377CD7" w:rsidRPr="00E06F98">
          <w:rPr>
            <w:rStyle w:val="Hyperlink"/>
            <w:noProof/>
          </w:rPr>
          <w:t>a.</w:t>
        </w:r>
        <w:r w:rsidR="00377CD7">
          <w:rPr>
            <w:rFonts w:asciiTheme="minorHAnsi" w:eastAsiaTheme="minorEastAsia" w:hAnsiTheme="minorHAnsi"/>
            <w:i w:val="0"/>
            <w:noProof/>
          </w:rPr>
          <w:tab/>
        </w:r>
        <w:r w:rsidR="00377CD7" w:rsidRPr="00E06F98">
          <w:rPr>
            <w:rStyle w:val="Hyperlink"/>
            <w:noProof/>
          </w:rPr>
          <w:t>Treatment of Payments from Multiple Sources</w:t>
        </w:r>
        <w:r w:rsidR="00377CD7">
          <w:rPr>
            <w:noProof/>
            <w:webHidden/>
          </w:rPr>
          <w:tab/>
        </w:r>
        <w:r w:rsidR="00377CD7">
          <w:rPr>
            <w:noProof/>
            <w:webHidden/>
          </w:rPr>
          <w:fldChar w:fldCharType="begin"/>
        </w:r>
        <w:r w:rsidR="00377CD7">
          <w:rPr>
            <w:noProof/>
            <w:webHidden/>
          </w:rPr>
          <w:instrText xml:space="preserve"> PAGEREF _Toc355954895 \h </w:instrText>
        </w:r>
        <w:r w:rsidR="00377CD7">
          <w:rPr>
            <w:noProof/>
            <w:webHidden/>
          </w:rPr>
        </w:r>
        <w:r w:rsidR="00377CD7">
          <w:rPr>
            <w:noProof/>
            <w:webHidden/>
          </w:rPr>
          <w:fldChar w:fldCharType="separate"/>
        </w:r>
        <w:r w:rsidR="001D4D6D">
          <w:rPr>
            <w:noProof/>
            <w:webHidden/>
          </w:rPr>
          <w:t>17</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896" w:history="1">
        <w:r w:rsidR="00377CD7" w:rsidRPr="00E06F98">
          <w:rPr>
            <w:rStyle w:val="Hyperlink"/>
            <w:noProof/>
          </w:rPr>
          <w:t>b.</w:t>
        </w:r>
        <w:r w:rsidR="00377CD7">
          <w:rPr>
            <w:rFonts w:asciiTheme="minorHAnsi" w:eastAsiaTheme="minorEastAsia" w:hAnsiTheme="minorHAnsi"/>
            <w:i w:val="0"/>
            <w:noProof/>
          </w:rPr>
          <w:tab/>
        </w:r>
        <w:r w:rsidR="00377CD7" w:rsidRPr="00E06F98">
          <w:rPr>
            <w:rStyle w:val="Hyperlink"/>
            <w:noProof/>
          </w:rPr>
          <w:t>Treatment of Payments in Pennsylvania Act 129</w:t>
        </w:r>
        <w:r w:rsidR="00377CD7">
          <w:rPr>
            <w:noProof/>
            <w:webHidden/>
          </w:rPr>
          <w:tab/>
        </w:r>
        <w:r w:rsidR="00377CD7">
          <w:rPr>
            <w:noProof/>
            <w:webHidden/>
          </w:rPr>
          <w:fldChar w:fldCharType="begin"/>
        </w:r>
        <w:r w:rsidR="00377CD7">
          <w:rPr>
            <w:noProof/>
            <w:webHidden/>
          </w:rPr>
          <w:instrText xml:space="preserve"> PAGEREF _Toc355954896 \h </w:instrText>
        </w:r>
        <w:r w:rsidR="00377CD7">
          <w:rPr>
            <w:noProof/>
            <w:webHidden/>
          </w:rPr>
        </w:r>
        <w:r w:rsidR="00377CD7">
          <w:rPr>
            <w:noProof/>
            <w:webHidden/>
          </w:rPr>
          <w:fldChar w:fldCharType="separate"/>
        </w:r>
        <w:r w:rsidR="001D4D6D">
          <w:rPr>
            <w:noProof/>
            <w:webHidden/>
          </w:rPr>
          <w:t>17</w:t>
        </w:r>
        <w:r w:rsidR="00377CD7">
          <w:rPr>
            <w:noProof/>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897" w:history="1">
        <w:r w:rsidR="00377CD7" w:rsidRPr="00E06F98">
          <w:rPr>
            <w:rStyle w:val="Hyperlink"/>
          </w:rPr>
          <w:t>D.</w:t>
        </w:r>
        <w:r w:rsidR="00377CD7">
          <w:rPr>
            <w:rFonts w:asciiTheme="minorHAnsi" w:eastAsiaTheme="minorEastAsia" w:hAnsiTheme="minorHAnsi"/>
            <w:b w:val="0"/>
            <w:smallCaps w:val="0"/>
            <w:snapToGrid/>
            <w:w w:val="100"/>
            <w:sz w:val="22"/>
          </w:rPr>
          <w:tab/>
        </w:r>
        <w:r w:rsidR="00377CD7" w:rsidRPr="00E06F98">
          <w:rPr>
            <w:rStyle w:val="Hyperlink"/>
          </w:rPr>
          <w:t>Pennsylvania Demand Response Market Pricing Analysis</w:t>
        </w:r>
        <w:r w:rsidR="00377CD7">
          <w:rPr>
            <w:webHidden/>
          </w:rPr>
          <w:tab/>
        </w:r>
        <w:r w:rsidR="00377CD7">
          <w:rPr>
            <w:webHidden/>
          </w:rPr>
          <w:fldChar w:fldCharType="begin"/>
        </w:r>
        <w:r w:rsidR="00377CD7">
          <w:rPr>
            <w:webHidden/>
          </w:rPr>
          <w:instrText xml:space="preserve"> PAGEREF _Toc355954897 \h </w:instrText>
        </w:r>
        <w:r w:rsidR="00377CD7">
          <w:rPr>
            <w:webHidden/>
          </w:rPr>
        </w:r>
        <w:r w:rsidR="00377CD7">
          <w:rPr>
            <w:webHidden/>
          </w:rPr>
          <w:fldChar w:fldCharType="separate"/>
        </w:r>
        <w:r w:rsidR="001D4D6D">
          <w:rPr>
            <w:webHidden/>
          </w:rPr>
          <w:t>19</w:t>
        </w:r>
        <w:r w:rsidR="00377CD7">
          <w:rPr>
            <w:webHidden/>
          </w:rPr>
          <w:fldChar w:fldCharType="end"/>
        </w:r>
      </w:hyperlink>
    </w:p>
    <w:p w:rsidR="00377CD7" w:rsidRDefault="00864861">
      <w:pPr>
        <w:pStyle w:val="TOC2"/>
        <w:rPr>
          <w:rFonts w:asciiTheme="minorHAnsi" w:eastAsiaTheme="minorEastAsia" w:hAnsiTheme="minorHAnsi"/>
          <w:noProof/>
          <w:sz w:val="22"/>
        </w:rPr>
      </w:pPr>
      <w:hyperlink w:anchor="_Toc355954898" w:history="1">
        <w:r w:rsidR="00377CD7" w:rsidRPr="00E06F98">
          <w:rPr>
            <w:rStyle w:val="Hyperlink"/>
            <w:noProof/>
          </w:rPr>
          <w:t>1.</w:t>
        </w:r>
        <w:r w:rsidR="00377CD7">
          <w:rPr>
            <w:rFonts w:asciiTheme="minorHAnsi" w:eastAsiaTheme="minorEastAsia" w:hAnsiTheme="minorHAnsi"/>
            <w:noProof/>
            <w:sz w:val="22"/>
          </w:rPr>
          <w:tab/>
        </w:r>
        <w:r w:rsidR="00377CD7" w:rsidRPr="00E06F98">
          <w:rPr>
            <w:rStyle w:val="Hyperlink"/>
            <w:noProof/>
          </w:rPr>
          <w:t>Geographic Variance in DR Market Pricing</w:t>
        </w:r>
        <w:r w:rsidR="00377CD7">
          <w:rPr>
            <w:noProof/>
            <w:webHidden/>
          </w:rPr>
          <w:tab/>
        </w:r>
        <w:r w:rsidR="00377CD7">
          <w:rPr>
            <w:noProof/>
            <w:webHidden/>
          </w:rPr>
          <w:fldChar w:fldCharType="begin"/>
        </w:r>
        <w:r w:rsidR="00377CD7">
          <w:rPr>
            <w:noProof/>
            <w:webHidden/>
          </w:rPr>
          <w:instrText xml:space="preserve"> PAGEREF _Toc355954898 \h </w:instrText>
        </w:r>
        <w:r w:rsidR="00377CD7">
          <w:rPr>
            <w:noProof/>
            <w:webHidden/>
          </w:rPr>
        </w:r>
        <w:r w:rsidR="00377CD7">
          <w:rPr>
            <w:noProof/>
            <w:webHidden/>
          </w:rPr>
          <w:fldChar w:fldCharType="separate"/>
        </w:r>
        <w:r w:rsidR="001D4D6D">
          <w:rPr>
            <w:noProof/>
            <w:webHidden/>
          </w:rPr>
          <w:t>21</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899" w:history="1">
        <w:r w:rsidR="00377CD7" w:rsidRPr="00E06F98">
          <w:rPr>
            <w:rStyle w:val="Hyperlink"/>
            <w:noProof/>
          </w:rPr>
          <w:t>2.</w:t>
        </w:r>
        <w:r w:rsidR="00377CD7">
          <w:rPr>
            <w:rFonts w:asciiTheme="minorHAnsi" w:eastAsiaTheme="minorEastAsia" w:hAnsiTheme="minorHAnsi"/>
            <w:noProof/>
            <w:sz w:val="22"/>
          </w:rPr>
          <w:tab/>
        </w:r>
        <w:r w:rsidR="00377CD7" w:rsidRPr="00E06F98">
          <w:rPr>
            <w:rStyle w:val="Hyperlink"/>
            <w:noProof/>
          </w:rPr>
          <w:t>Pricing Variance Within the top 100 Hours</w:t>
        </w:r>
        <w:r w:rsidR="00377CD7">
          <w:rPr>
            <w:noProof/>
            <w:webHidden/>
          </w:rPr>
          <w:tab/>
        </w:r>
        <w:r w:rsidR="00377CD7">
          <w:rPr>
            <w:noProof/>
            <w:webHidden/>
          </w:rPr>
          <w:fldChar w:fldCharType="begin"/>
        </w:r>
        <w:r w:rsidR="00377CD7">
          <w:rPr>
            <w:noProof/>
            <w:webHidden/>
          </w:rPr>
          <w:instrText xml:space="preserve"> PAGEREF _Toc355954899 \h </w:instrText>
        </w:r>
        <w:r w:rsidR="00377CD7">
          <w:rPr>
            <w:noProof/>
            <w:webHidden/>
          </w:rPr>
        </w:r>
        <w:r w:rsidR="00377CD7">
          <w:rPr>
            <w:noProof/>
            <w:webHidden/>
          </w:rPr>
          <w:fldChar w:fldCharType="separate"/>
        </w:r>
        <w:r w:rsidR="001D4D6D">
          <w:rPr>
            <w:noProof/>
            <w:webHidden/>
          </w:rPr>
          <w:t>25</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00" w:history="1">
        <w:r w:rsidR="00377CD7" w:rsidRPr="00E06F98">
          <w:rPr>
            <w:rStyle w:val="Hyperlink"/>
            <w:noProof/>
          </w:rPr>
          <w:t>3.</w:t>
        </w:r>
        <w:r w:rsidR="00377CD7">
          <w:rPr>
            <w:rFonts w:asciiTheme="minorHAnsi" w:eastAsiaTheme="minorEastAsia" w:hAnsiTheme="minorHAnsi"/>
            <w:noProof/>
            <w:sz w:val="22"/>
          </w:rPr>
          <w:tab/>
        </w:r>
        <w:r w:rsidR="00377CD7" w:rsidRPr="00E06F98">
          <w:rPr>
            <w:rStyle w:val="Hyperlink"/>
            <w:noProof/>
          </w:rPr>
          <w:t>Variance in Market Pricing From Year to Year</w:t>
        </w:r>
        <w:r w:rsidR="00377CD7">
          <w:rPr>
            <w:noProof/>
            <w:webHidden/>
          </w:rPr>
          <w:tab/>
        </w:r>
        <w:r w:rsidR="00377CD7">
          <w:rPr>
            <w:noProof/>
            <w:webHidden/>
          </w:rPr>
          <w:fldChar w:fldCharType="begin"/>
        </w:r>
        <w:r w:rsidR="00377CD7">
          <w:rPr>
            <w:noProof/>
            <w:webHidden/>
          </w:rPr>
          <w:instrText xml:space="preserve"> PAGEREF _Toc355954900 \h </w:instrText>
        </w:r>
        <w:r w:rsidR="00377CD7">
          <w:rPr>
            <w:noProof/>
            <w:webHidden/>
          </w:rPr>
        </w:r>
        <w:r w:rsidR="00377CD7">
          <w:rPr>
            <w:noProof/>
            <w:webHidden/>
          </w:rPr>
          <w:fldChar w:fldCharType="separate"/>
        </w:r>
        <w:r w:rsidR="001D4D6D">
          <w:rPr>
            <w:noProof/>
            <w:webHidden/>
          </w:rPr>
          <w:t>27</w:t>
        </w:r>
        <w:r w:rsidR="00377CD7">
          <w:rPr>
            <w:noProof/>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901" w:history="1">
        <w:r w:rsidR="00377CD7" w:rsidRPr="00E06F98">
          <w:rPr>
            <w:rStyle w:val="Hyperlink"/>
          </w:rPr>
          <w:t>E.</w:t>
        </w:r>
        <w:r w:rsidR="00377CD7">
          <w:rPr>
            <w:rFonts w:asciiTheme="minorHAnsi" w:eastAsiaTheme="minorEastAsia" w:hAnsiTheme="minorHAnsi"/>
            <w:b w:val="0"/>
            <w:smallCaps w:val="0"/>
            <w:snapToGrid/>
            <w:w w:val="100"/>
            <w:sz w:val="22"/>
          </w:rPr>
          <w:tab/>
        </w:r>
        <w:r w:rsidR="00377CD7" w:rsidRPr="00E06F98">
          <w:rPr>
            <w:rStyle w:val="Hyperlink"/>
          </w:rPr>
          <w:t>Attribution of the Act 129 Phase I DR Programs</w:t>
        </w:r>
        <w:r w:rsidR="00377CD7">
          <w:rPr>
            <w:webHidden/>
          </w:rPr>
          <w:tab/>
        </w:r>
        <w:r w:rsidR="00377CD7">
          <w:rPr>
            <w:webHidden/>
          </w:rPr>
          <w:fldChar w:fldCharType="begin"/>
        </w:r>
        <w:r w:rsidR="00377CD7">
          <w:rPr>
            <w:webHidden/>
          </w:rPr>
          <w:instrText xml:space="preserve"> PAGEREF _Toc355954901 \h </w:instrText>
        </w:r>
        <w:r w:rsidR="00377CD7">
          <w:rPr>
            <w:webHidden/>
          </w:rPr>
        </w:r>
        <w:r w:rsidR="00377CD7">
          <w:rPr>
            <w:webHidden/>
          </w:rPr>
          <w:fldChar w:fldCharType="separate"/>
        </w:r>
        <w:r w:rsidR="001D4D6D">
          <w:rPr>
            <w:webHidden/>
          </w:rPr>
          <w:t>29</w:t>
        </w:r>
        <w:r w:rsidR="00377CD7">
          <w:rPr>
            <w:webHidden/>
          </w:rPr>
          <w:fldChar w:fldCharType="end"/>
        </w:r>
      </w:hyperlink>
    </w:p>
    <w:p w:rsidR="00377CD7" w:rsidRDefault="00864861">
      <w:pPr>
        <w:pStyle w:val="TOC2"/>
        <w:rPr>
          <w:rFonts w:asciiTheme="minorHAnsi" w:eastAsiaTheme="minorEastAsia" w:hAnsiTheme="minorHAnsi"/>
          <w:noProof/>
          <w:sz w:val="22"/>
        </w:rPr>
      </w:pPr>
      <w:hyperlink w:anchor="_Toc355954902" w:history="1">
        <w:r w:rsidR="00377CD7" w:rsidRPr="00E06F98">
          <w:rPr>
            <w:rStyle w:val="Hyperlink"/>
            <w:noProof/>
          </w:rPr>
          <w:t>1.</w:t>
        </w:r>
        <w:r w:rsidR="00377CD7">
          <w:rPr>
            <w:rFonts w:asciiTheme="minorHAnsi" w:eastAsiaTheme="minorEastAsia" w:hAnsiTheme="minorHAnsi"/>
            <w:noProof/>
            <w:sz w:val="22"/>
          </w:rPr>
          <w:tab/>
        </w:r>
        <w:r w:rsidR="00377CD7" w:rsidRPr="00E06F98">
          <w:rPr>
            <w:rStyle w:val="Hyperlink"/>
            <w:noProof/>
          </w:rPr>
          <w:t>Survey Highlights</w:t>
        </w:r>
        <w:r w:rsidR="00377CD7">
          <w:rPr>
            <w:noProof/>
            <w:webHidden/>
          </w:rPr>
          <w:tab/>
        </w:r>
        <w:r w:rsidR="00377CD7">
          <w:rPr>
            <w:noProof/>
            <w:webHidden/>
          </w:rPr>
          <w:fldChar w:fldCharType="begin"/>
        </w:r>
        <w:r w:rsidR="00377CD7">
          <w:rPr>
            <w:noProof/>
            <w:webHidden/>
          </w:rPr>
          <w:instrText xml:space="preserve"> PAGEREF _Toc355954902 \h </w:instrText>
        </w:r>
        <w:r w:rsidR="00377CD7">
          <w:rPr>
            <w:noProof/>
            <w:webHidden/>
          </w:rPr>
        </w:r>
        <w:r w:rsidR="00377CD7">
          <w:rPr>
            <w:noProof/>
            <w:webHidden/>
          </w:rPr>
          <w:fldChar w:fldCharType="separate"/>
        </w:r>
        <w:r w:rsidR="001D4D6D">
          <w:rPr>
            <w:noProof/>
            <w:webHidden/>
          </w:rPr>
          <w:t>29</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03" w:history="1">
        <w:r w:rsidR="00377CD7" w:rsidRPr="00E06F98">
          <w:rPr>
            <w:rStyle w:val="Hyperlink"/>
            <w:noProof/>
          </w:rPr>
          <w:t>2.</w:t>
        </w:r>
        <w:r w:rsidR="00377CD7">
          <w:rPr>
            <w:rFonts w:asciiTheme="minorHAnsi" w:eastAsiaTheme="minorEastAsia" w:hAnsiTheme="minorHAnsi"/>
            <w:noProof/>
            <w:sz w:val="22"/>
          </w:rPr>
          <w:tab/>
        </w:r>
        <w:r w:rsidR="00377CD7" w:rsidRPr="00E06F98">
          <w:rPr>
            <w:rStyle w:val="Hyperlink"/>
            <w:noProof/>
          </w:rPr>
          <w:t>Survey Design</w:t>
        </w:r>
        <w:r w:rsidR="00377CD7">
          <w:rPr>
            <w:noProof/>
            <w:webHidden/>
          </w:rPr>
          <w:tab/>
        </w:r>
        <w:r w:rsidR="00377CD7">
          <w:rPr>
            <w:noProof/>
            <w:webHidden/>
          </w:rPr>
          <w:fldChar w:fldCharType="begin"/>
        </w:r>
        <w:r w:rsidR="00377CD7">
          <w:rPr>
            <w:noProof/>
            <w:webHidden/>
          </w:rPr>
          <w:instrText xml:space="preserve"> PAGEREF _Toc355954903 \h </w:instrText>
        </w:r>
        <w:r w:rsidR="00377CD7">
          <w:rPr>
            <w:noProof/>
            <w:webHidden/>
          </w:rPr>
        </w:r>
        <w:r w:rsidR="00377CD7">
          <w:rPr>
            <w:noProof/>
            <w:webHidden/>
          </w:rPr>
          <w:fldChar w:fldCharType="separate"/>
        </w:r>
        <w:r w:rsidR="001D4D6D">
          <w:rPr>
            <w:noProof/>
            <w:webHidden/>
          </w:rPr>
          <w:t>30</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04" w:history="1">
        <w:r w:rsidR="00377CD7" w:rsidRPr="00E06F98">
          <w:rPr>
            <w:rStyle w:val="Hyperlink"/>
            <w:noProof/>
          </w:rPr>
          <w:t>3.</w:t>
        </w:r>
        <w:r w:rsidR="00377CD7">
          <w:rPr>
            <w:rFonts w:asciiTheme="minorHAnsi" w:eastAsiaTheme="minorEastAsia" w:hAnsiTheme="minorHAnsi"/>
            <w:noProof/>
            <w:sz w:val="22"/>
          </w:rPr>
          <w:tab/>
        </w:r>
        <w:r w:rsidR="00377CD7" w:rsidRPr="00E06F98">
          <w:rPr>
            <w:rStyle w:val="Hyperlink"/>
            <w:noProof/>
          </w:rPr>
          <w:t>Survey Scoring Methodology &amp; results</w:t>
        </w:r>
        <w:r w:rsidR="00377CD7">
          <w:rPr>
            <w:noProof/>
            <w:webHidden/>
          </w:rPr>
          <w:tab/>
        </w:r>
        <w:r w:rsidR="00377CD7">
          <w:rPr>
            <w:noProof/>
            <w:webHidden/>
          </w:rPr>
          <w:fldChar w:fldCharType="begin"/>
        </w:r>
        <w:r w:rsidR="00377CD7">
          <w:rPr>
            <w:noProof/>
            <w:webHidden/>
          </w:rPr>
          <w:instrText xml:space="preserve"> PAGEREF _Toc355954904 \h </w:instrText>
        </w:r>
        <w:r w:rsidR="00377CD7">
          <w:rPr>
            <w:noProof/>
            <w:webHidden/>
          </w:rPr>
        </w:r>
        <w:r w:rsidR="00377CD7">
          <w:rPr>
            <w:noProof/>
            <w:webHidden/>
          </w:rPr>
          <w:fldChar w:fldCharType="separate"/>
        </w:r>
        <w:r w:rsidR="001D4D6D">
          <w:rPr>
            <w:noProof/>
            <w:webHidden/>
          </w:rPr>
          <w:t>31</w:t>
        </w:r>
        <w:r w:rsidR="00377CD7">
          <w:rPr>
            <w:noProof/>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905" w:history="1">
        <w:r w:rsidR="00377CD7" w:rsidRPr="00E06F98">
          <w:rPr>
            <w:rStyle w:val="Hyperlink"/>
          </w:rPr>
          <w:t>F.</w:t>
        </w:r>
        <w:r w:rsidR="00377CD7">
          <w:rPr>
            <w:rFonts w:asciiTheme="minorHAnsi" w:eastAsiaTheme="minorEastAsia" w:hAnsiTheme="minorHAnsi"/>
            <w:b w:val="0"/>
            <w:smallCaps w:val="0"/>
            <w:snapToGrid/>
            <w:w w:val="100"/>
            <w:sz w:val="22"/>
          </w:rPr>
          <w:tab/>
        </w:r>
        <w:r w:rsidR="00377CD7" w:rsidRPr="00E06F98">
          <w:rPr>
            <w:rStyle w:val="Hyperlink"/>
          </w:rPr>
          <w:t>Cost Effectiveness of Act 129 Demand Response Programs</w:t>
        </w:r>
        <w:r w:rsidR="00377CD7">
          <w:rPr>
            <w:webHidden/>
          </w:rPr>
          <w:tab/>
        </w:r>
        <w:r w:rsidR="00377CD7">
          <w:rPr>
            <w:webHidden/>
          </w:rPr>
          <w:fldChar w:fldCharType="begin"/>
        </w:r>
        <w:r w:rsidR="00377CD7">
          <w:rPr>
            <w:webHidden/>
          </w:rPr>
          <w:instrText xml:space="preserve"> PAGEREF _Toc355954905 \h </w:instrText>
        </w:r>
        <w:r w:rsidR="00377CD7">
          <w:rPr>
            <w:webHidden/>
          </w:rPr>
        </w:r>
        <w:r w:rsidR="00377CD7">
          <w:rPr>
            <w:webHidden/>
          </w:rPr>
          <w:fldChar w:fldCharType="separate"/>
        </w:r>
        <w:r w:rsidR="001D4D6D">
          <w:rPr>
            <w:webHidden/>
          </w:rPr>
          <w:t>35</w:t>
        </w:r>
        <w:r w:rsidR="00377CD7">
          <w:rPr>
            <w:webHidden/>
          </w:rPr>
          <w:fldChar w:fldCharType="end"/>
        </w:r>
      </w:hyperlink>
    </w:p>
    <w:p w:rsidR="00377CD7" w:rsidRDefault="00864861">
      <w:pPr>
        <w:pStyle w:val="TOC2"/>
        <w:rPr>
          <w:rFonts w:asciiTheme="minorHAnsi" w:eastAsiaTheme="minorEastAsia" w:hAnsiTheme="minorHAnsi"/>
          <w:noProof/>
          <w:sz w:val="22"/>
        </w:rPr>
      </w:pPr>
      <w:hyperlink w:anchor="_Toc355954906" w:history="1">
        <w:r w:rsidR="00377CD7" w:rsidRPr="00E06F98">
          <w:rPr>
            <w:rStyle w:val="Hyperlink"/>
            <w:noProof/>
          </w:rPr>
          <w:t>1.</w:t>
        </w:r>
        <w:r w:rsidR="00377CD7">
          <w:rPr>
            <w:rFonts w:asciiTheme="minorHAnsi" w:eastAsiaTheme="minorEastAsia" w:hAnsiTheme="minorHAnsi"/>
            <w:noProof/>
            <w:sz w:val="22"/>
          </w:rPr>
          <w:tab/>
        </w:r>
        <w:r w:rsidR="00377CD7" w:rsidRPr="00E06F98">
          <w:rPr>
            <w:rStyle w:val="Hyperlink"/>
            <w:noProof/>
          </w:rPr>
          <w:t>Methodology, Assumptions, and Data Sources</w:t>
        </w:r>
        <w:r w:rsidR="00377CD7">
          <w:rPr>
            <w:noProof/>
            <w:webHidden/>
          </w:rPr>
          <w:tab/>
        </w:r>
        <w:r w:rsidR="00377CD7">
          <w:rPr>
            <w:noProof/>
            <w:webHidden/>
          </w:rPr>
          <w:fldChar w:fldCharType="begin"/>
        </w:r>
        <w:r w:rsidR="00377CD7">
          <w:rPr>
            <w:noProof/>
            <w:webHidden/>
          </w:rPr>
          <w:instrText xml:space="preserve"> PAGEREF _Toc355954906 \h </w:instrText>
        </w:r>
        <w:r w:rsidR="00377CD7">
          <w:rPr>
            <w:noProof/>
            <w:webHidden/>
          </w:rPr>
        </w:r>
        <w:r w:rsidR="00377CD7">
          <w:rPr>
            <w:noProof/>
            <w:webHidden/>
          </w:rPr>
          <w:fldChar w:fldCharType="separate"/>
        </w:r>
        <w:r w:rsidR="001D4D6D">
          <w:rPr>
            <w:noProof/>
            <w:webHidden/>
          </w:rPr>
          <w:t>35</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07" w:history="1">
        <w:r w:rsidR="00377CD7" w:rsidRPr="00E06F98">
          <w:rPr>
            <w:rStyle w:val="Hyperlink"/>
            <w:noProof/>
          </w:rPr>
          <w:t>2.</w:t>
        </w:r>
        <w:r w:rsidR="00377CD7">
          <w:rPr>
            <w:rFonts w:asciiTheme="minorHAnsi" w:eastAsiaTheme="minorEastAsia" w:hAnsiTheme="minorHAnsi"/>
            <w:noProof/>
            <w:sz w:val="22"/>
          </w:rPr>
          <w:tab/>
        </w:r>
        <w:r w:rsidR="00377CD7" w:rsidRPr="00E06F98">
          <w:rPr>
            <w:rStyle w:val="Hyperlink"/>
            <w:noProof/>
          </w:rPr>
          <w:t>Sensitivity Analysis</w:t>
        </w:r>
        <w:r w:rsidR="00377CD7">
          <w:rPr>
            <w:noProof/>
            <w:webHidden/>
          </w:rPr>
          <w:tab/>
        </w:r>
        <w:r w:rsidR="00377CD7">
          <w:rPr>
            <w:noProof/>
            <w:webHidden/>
          </w:rPr>
          <w:fldChar w:fldCharType="begin"/>
        </w:r>
        <w:r w:rsidR="00377CD7">
          <w:rPr>
            <w:noProof/>
            <w:webHidden/>
          </w:rPr>
          <w:instrText xml:space="preserve"> PAGEREF _Toc355954907 \h </w:instrText>
        </w:r>
        <w:r w:rsidR="00377CD7">
          <w:rPr>
            <w:noProof/>
            <w:webHidden/>
          </w:rPr>
        </w:r>
        <w:r w:rsidR="00377CD7">
          <w:rPr>
            <w:noProof/>
            <w:webHidden/>
          </w:rPr>
          <w:fldChar w:fldCharType="separate"/>
        </w:r>
        <w:r w:rsidR="001D4D6D">
          <w:rPr>
            <w:noProof/>
            <w:webHidden/>
          </w:rPr>
          <w:t>37</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08" w:history="1">
        <w:r w:rsidR="00377CD7" w:rsidRPr="00E06F98">
          <w:rPr>
            <w:rStyle w:val="Hyperlink"/>
            <w:noProof/>
          </w:rPr>
          <w:t>a.</w:t>
        </w:r>
        <w:r w:rsidR="00377CD7">
          <w:rPr>
            <w:rFonts w:asciiTheme="minorHAnsi" w:eastAsiaTheme="minorEastAsia" w:hAnsiTheme="minorHAnsi"/>
            <w:i w:val="0"/>
            <w:noProof/>
          </w:rPr>
          <w:tab/>
        </w:r>
        <w:r w:rsidR="00377CD7" w:rsidRPr="00E06F98">
          <w:rPr>
            <w:rStyle w:val="Hyperlink"/>
            <w:noProof/>
          </w:rPr>
          <w:t>Generation Cost Variation</w:t>
        </w:r>
        <w:r w:rsidR="00377CD7">
          <w:rPr>
            <w:noProof/>
            <w:webHidden/>
          </w:rPr>
          <w:tab/>
        </w:r>
        <w:r w:rsidR="00377CD7">
          <w:rPr>
            <w:noProof/>
            <w:webHidden/>
          </w:rPr>
          <w:fldChar w:fldCharType="begin"/>
        </w:r>
        <w:r w:rsidR="00377CD7">
          <w:rPr>
            <w:noProof/>
            <w:webHidden/>
          </w:rPr>
          <w:instrText xml:space="preserve"> PAGEREF _Toc355954908 \h </w:instrText>
        </w:r>
        <w:r w:rsidR="00377CD7">
          <w:rPr>
            <w:noProof/>
            <w:webHidden/>
          </w:rPr>
        </w:r>
        <w:r w:rsidR="00377CD7">
          <w:rPr>
            <w:noProof/>
            <w:webHidden/>
          </w:rPr>
          <w:fldChar w:fldCharType="separate"/>
        </w:r>
        <w:r w:rsidR="001D4D6D">
          <w:rPr>
            <w:noProof/>
            <w:webHidden/>
          </w:rPr>
          <w:t>37</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09" w:history="1">
        <w:r w:rsidR="00377CD7" w:rsidRPr="00E06F98">
          <w:rPr>
            <w:rStyle w:val="Hyperlink"/>
            <w:noProof/>
          </w:rPr>
          <w:t>b.</w:t>
        </w:r>
        <w:r w:rsidR="00377CD7">
          <w:rPr>
            <w:rFonts w:asciiTheme="minorHAnsi" w:eastAsiaTheme="minorEastAsia" w:hAnsiTheme="minorHAnsi"/>
            <w:i w:val="0"/>
            <w:noProof/>
          </w:rPr>
          <w:tab/>
        </w:r>
        <w:r w:rsidR="00377CD7" w:rsidRPr="00E06F98">
          <w:rPr>
            <w:rStyle w:val="Hyperlink"/>
            <w:noProof/>
          </w:rPr>
          <w:t>T&amp;D Cost Variation</w:t>
        </w:r>
        <w:r w:rsidR="00377CD7">
          <w:rPr>
            <w:noProof/>
            <w:webHidden/>
          </w:rPr>
          <w:tab/>
        </w:r>
        <w:r w:rsidR="00377CD7">
          <w:rPr>
            <w:noProof/>
            <w:webHidden/>
          </w:rPr>
          <w:fldChar w:fldCharType="begin"/>
        </w:r>
        <w:r w:rsidR="00377CD7">
          <w:rPr>
            <w:noProof/>
            <w:webHidden/>
          </w:rPr>
          <w:instrText xml:space="preserve"> PAGEREF _Toc355954909 \h </w:instrText>
        </w:r>
        <w:r w:rsidR="00377CD7">
          <w:rPr>
            <w:noProof/>
            <w:webHidden/>
          </w:rPr>
        </w:r>
        <w:r w:rsidR="00377CD7">
          <w:rPr>
            <w:noProof/>
            <w:webHidden/>
          </w:rPr>
          <w:fldChar w:fldCharType="separate"/>
        </w:r>
        <w:r w:rsidR="001D4D6D">
          <w:rPr>
            <w:noProof/>
            <w:webHidden/>
          </w:rPr>
          <w:t>38</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10" w:history="1">
        <w:r w:rsidR="00377CD7" w:rsidRPr="00E06F98">
          <w:rPr>
            <w:rStyle w:val="Hyperlink"/>
            <w:noProof/>
          </w:rPr>
          <w:t>c.</w:t>
        </w:r>
        <w:r w:rsidR="00377CD7">
          <w:rPr>
            <w:rFonts w:asciiTheme="minorHAnsi" w:eastAsiaTheme="minorEastAsia" w:hAnsiTheme="minorHAnsi"/>
            <w:i w:val="0"/>
            <w:noProof/>
          </w:rPr>
          <w:tab/>
        </w:r>
        <w:r w:rsidR="00377CD7" w:rsidRPr="00E06F98">
          <w:rPr>
            <w:rStyle w:val="Hyperlink"/>
            <w:noProof/>
          </w:rPr>
          <w:t>Reduced Incentive Cost</w:t>
        </w:r>
        <w:r w:rsidR="00377CD7">
          <w:rPr>
            <w:noProof/>
            <w:webHidden/>
          </w:rPr>
          <w:tab/>
        </w:r>
        <w:r w:rsidR="00377CD7">
          <w:rPr>
            <w:noProof/>
            <w:webHidden/>
          </w:rPr>
          <w:fldChar w:fldCharType="begin"/>
        </w:r>
        <w:r w:rsidR="00377CD7">
          <w:rPr>
            <w:noProof/>
            <w:webHidden/>
          </w:rPr>
          <w:instrText xml:space="preserve"> PAGEREF _Toc355954910 \h </w:instrText>
        </w:r>
        <w:r w:rsidR="00377CD7">
          <w:rPr>
            <w:noProof/>
            <w:webHidden/>
          </w:rPr>
        </w:r>
        <w:r w:rsidR="00377CD7">
          <w:rPr>
            <w:noProof/>
            <w:webHidden/>
          </w:rPr>
          <w:fldChar w:fldCharType="separate"/>
        </w:r>
        <w:r w:rsidR="001D4D6D">
          <w:rPr>
            <w:noProof/>
            <w:webHidden/>
          </w:rPr>
          <w:t>38</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11" w:history="1">
        <w:r w:rsidR="00377CD7" w:rsidRPr="00E06F98">
          <w:rPr>
            <w:rStyle w:val="Hyperlink"/>
            <w:noProof/>
          </w:rPr>
          <w:t>d.</w:t>
        </w:r>
        <w:r w:rsidR="00377CD7">
          <w:rPr>
            <w:rFonts w:asciiTheme="minorHAnsi" w:eastAsiaTheme="minorEastAsia" w:hAnsiTheme="minorHAnsi"/>
            <w:i w:val="0"/>
            <w:noProof/>
          </w:rPr>
          <w:tab/>
        </w:r>
        <w:r w:rsidR="00377CD7" w:rsidRPr="00E06F98">
          <w:rPr>
            <w:rStyle w:val="Hyperlink"/>
            <w:noProof/>
          </w:rPr>
          <w:t>Line Loss Values</w:t>
        </w:r>
        <w:r w:rsidR="00377CD7">
          <w:rPr>
            <w:noProof/>
            <w:webHidden/>
          </w:rPr>
          <w:tab/>
        </w:r>
        <w:r w:rsidR="00377CD7">
          <w:rPr>
            <w:noProof/>
            <w:webHidden/>
          </w:rPr>
          <w:fldChar w:fldCharType="begin"/>
        </w:r>
        <w:r w:rsidR="00377CD7">
          <w:rPr>
            <w:noProof/>
            <w:webHidden/>
          </w:rPr>
          <w:instrText xml:space="preserve"> PAGEREF _Toc355954911 \h </w:instrText>
        </w:r>
        <w:r w:rsidR="00377CD7">
          <w:rPr>
            <w:noProof/>
            <w:webHidden/>
          </w:rPr>
        </w:r>
        <w:r w:rsidR="00377CD7">
          <w:rPr>
            <w:noProof/>
            <w:webHidden/>
          </w:rPr>
          <w:fldChar w:fldCharType="separate"/>
        </w:r>
        <w:r w:rsidR="001D4D6D">
          <w:rPr>
            <w:noProof/>
            <w:webHidden/>
          </w:rPr>
          <w:t>38</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12" w:history="1">
        <w:r w:rsidR="00377CD7" w:rsidRPr="00E06F98">
          <w:rPr>
            <w:rStyle w:val="Hyperlink"/>
            <w:noProof/>
          </w:rPr>
          <w:t>e.</w:t>
        </w:r>
        <w:r w:rsidR="00377CD7">
          <w:rPr>
            <w:rFonts w:asciiTheme="minorHAnsi" w:eastAsiaTheme="minorEastAsia" w:hAnsiTheme="minorHAnsi"/>
            <w:i w:val="0"/>
            <w:noProof/>
          </w:rPr>
          <w:tab/>
        </w:r>
        <w:r w:rsidR="00377CD7" w:rsidRPr="00E06F98">
          <w:rPr>
            <w:rStyle w:val="Hyperlink"/>
            <w:noProof/>
          </w:rPr>
          <w:t>Full Load Reduction</w:t>
        </w:r>
        <w:r w:rsidR="00377CD7">
          <w:rPr>
            <w:noProof/>
            <w:webHidden/>
          </w:rPr>
          <w:tab/>
        </w:r>
        <w:r w:rsidR="00377CD7">
          <w:rPr>
            <w:noProof/>
            <w:webHidden/>
          </w:rPr>
          <w:fldChar w:fldCharType="begin"/>
        </w:r>
        <w:r w:rsidR="00377CD7">
          <w:rPr>
            <w:noProof/>
            <w:webHidden/>
          </w:rPr>
          <w:instrText xml:space="preserve"> PAGEREF _Toc355954912 \h </w:instrText>
        </w:r>
        <w:r w:rsidR="00377CD7">
          <w:rPr>
            <w:noProof/>
            <w:webHidden/>
          </w:rPr>
        </w:r>
        <w:r w:rsidR="00377CD7">
          <w:rPr>
            <w:noProof/>
            <w:webHidden/>
          </w:rPr>
          <w:fldChar w:fldCharType="separate"/>
        </w:r>
        <w:r w:rsidR="001D4D6D">
          <w:rPr>
            <w:noProof/>
            <w:webHidden/>
          </w:rPr>
          <w:t>38</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13" w:history="1">
        <w:r w:rsidR="00377CD7" w:rsidRPr="00E06F98">
          <w:rPr>
            <w:rStyle w:val="Hyperlink"/>
            <w:noProof/>
          </w:rPr>
          <w:t>f.</w:t>
        </w:r>
        <w:r w:rsidR="00377CD7">
          <w:rPr>
            <w:rFonts w:asciiTheme="minorHAnsi" w:eastAsiaTheme="minorEastAsia" w:hAnsiTheme="minorHAnsi"/>
            <w:i w:val="0"/>
            <w:noProof/>
          </w:rPr>
          <w:tab/>
        </w:r>
        <w:r w:rsidR="00377CD7" w:rsidRPr="00E06F98">
          <w:rPr>
            <w:rStyle w:val="Hyperlink"/>
            <w:noProof/>
          </w:rPr>
          <w:t>Dual Enrollment</w:t>
        </w:r>
        <w:r w:rsidR="00377CD7">
          <w:rPr>
            <w:noProof/>
            <w:webHidden/>
          </w:rPr>
          <w:tab/>
        </w:r>
        <w:r w:rsidR="00377CD7">
          <w:rPr>
            <w:noProof/>
            <w:webHidden/>
          </w:rPr>
          <w:fldChar w:fldCharType="begin"/>
        </w:r>
        <w:r w:rsidR="00377CD7">
          <w:rPr>
            <w:noProof/>
            <w:webHidden/>
          </w:rPr>
          <w:instrText xml:space="preserve"> PAGEREF _Toc355954913 \h </w:instrText>
        </w:r>
        <w:r w:rsidR="00377CD7">
          <w:rPr>
            <w:noProof/>
            <w:webHidden/>
          </w:rPr>
        </w:r>
        <w:r w:rsidR="00377CD7">
          <w:rPr>
            <w:noProof/>
            <w:webHidden/>
          </w:rPr>
          <w:fldChar w:fldCharType="separate"/>
        </w:r>
        <w:r w:rsidR="001D4D6D">
          <w:rPr>
            <w:noProof/>
            <w:webHidden/>
          </w:rPr>
          <w:t>39</w:t>
        </w:r>
        <w:r w:rsidR="00377CD7">
          <w:rPr>
            <w:noProof/>
            <w:webHidden/>
          </w:rPr>
          <w:fldChar w:fldCharType="end"/>
        </w:r>
      </w:hyperlink>
    </w:p>
    <w:p w:rsidR="00377CD7" w:rsidRDefault="00864861">
      <w:pPr>
        <w:pStyle w:val="TOC3"/>
        <w:rPr>
          <w:rFonts w:asciiTheme="minorHAnsi" w:eastAsiaTheme="minorEastAsia" w:hAnsiTheme="minorHAnsi"/>
          <w:i w:val="0"/>
          <w:noProof/>
        </w:rPr>
      </w:pPr>
      <w:hyperlink w:anchor="_Toc355954914" w:history="1">
        <w:r w:rsidR="00377CD7" w:rsidRPr="00E06F98">
          <w:rPr>
            <w:rStyle w:val="Hyperlink"/>
            <w:noProof/>
          </w:rPr>
          <w:t>g.</w:t>
        </w:r>
        <w:r w:rsidR="00377CD7">
          <w:rPr>
            <w:rFonts w:asciiTheme="minorHAnsi" w:eastAsiaTheme="minorEastAsia" w:hAnsiTheme="minorHAnsi"/>
            <w:i w:val="0"/>
            <w:noProof/>
          </w:rPr>
          <w:tab/>
        </w:r>
        <w:r w:rsidR="00377CD7" w:rsidRPr="00E06F98">
          <w:rPr>
            <w:rStyle w:val="Hyperlink"/>
            <w:noProof/>
          </w:rPr>
          <w:t>Best and Worst Case Scenarios</w:t>
        </w:r>
        <w:r w:rsidR="00377CD7">
          <w:rPr>
            <w:noProof/>
            <w:webHidden/>
          </w:rPr>
          <w:tab/>
        </w:r>
        <w:r w:rsidR="00377CD7">
          <w:rPr>
            <w:noProof/>
            <w:webHidden/>
          </w:rPr>
          <w:fldChar w:fldCharType="begin"/>
        </w:r>
        <w:r w:rsidR="00377CD7">
          <w:rPr>
            <w:noProof/>
            <w:webHidden/>
          </w:rPr>
          <w:instrText xml:space="preserve"> PAGEREF _Toc355954914 \h </w:instrText>
        </w:r>
        <w:r w:rsidR="00377CD7">
          <w:rPr>
            <w:noProof/>
            <w:webHidden/>
          </w:rPr>
        </w:r>
        <w:r w:rsidR="00377CD7">
          <w:rPr>
            <w:noProof/>
            <w:webHidden/>
          </w:rPr>
          <w:fldChar w:fldCharType="separate"/>
        </w:r>
        <w:r w:rsidR="001D4D6D">
          <w:rPr>
            <w:noProof/>
            <w:webHidden/>
          </w:rPr>
          <w:t>39</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15" w:history="1">
        <w:r w:rsidR="00377CD7" w:rsidRPr="00E06F98">
          <w:rPr>
            <w:rStyle w:val="Hyperlink"/>
            <w:noProof/>
          </w:rPr>
          <w:t>3.</w:t>
        </w:r>
        <w:r w:rsidR="00377CD7">
          <w:rPr>
            <w:rFonts w:asciiTheme="minorHAnsi" w:eastAsiaTheme="minorEastAsia" w:hAnsiTheme="minorHAnsi"/>
            <w:noProof/>
            <w:sz w:val="22"/>
          </w:rPr>
          <w:tab/>
        </w:r>
        <w:r w:rsidR="00377CD7" w:rsidRPr="00E06F98">
          <w:rPr>
            <w:rStyle w:val="Hyperlink"/>
            <w:noProof/>
          </w:rPr>
          <w:t>Cost Effectiveness of Direct Load Control Programs</w:t>
        </w:r>
        <w:r w:rsidR="00377CD7">
          <w:rPr>
            <w:noProof/>
            <w:webHidden/>
          </w:rPr>
          <w:tab/>
        </w:r>
        <w:r w:rsidR="00377CD7">
          <w:rPr>
            <w:noProof/>
            <w:webHidden/>
          </w:rPr>
          <w:fldChar w:fldCharType="begin"/>
        </w:r>
        <w:r w:rsidR="00377CD7">
          <w:rPr>
            <w:noProof/>
            <w:webHidden/>
          </w:rPr>
          <w:instrText xml:space="preserve"> PAGEREF _Toc355954915 \h </w:instrText>
        </w:r>
        <w:r w:rsidR="00377CD7">
          <w:rPr>
            <w:noProof/>
            <w:webHidden/>
          </w:rPr>
        </w:r>
        <w:r w:rsidR="00377CD7">
          <w:rPr>
            <w:noProof/>
            <w:webHidden/>
          </w:rPr>
          <w:fldChar w:fldCharType="separate"/>
        </w:r>
        <w:r w:rsidR="001D4D6D">
          <w:rPr>
            <w:noProof/>
            <w:webHidden/>
          </w:rPr>
          <w:t>39</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16" w:history="1">
        <w:r w:rsidR="00377CD7" w:rsidRPr="00E06F98">
          <w:rPr>
            <w:rStyle w:val="Hyperlink"/>
            <w:noProof/>
          </w:rPr>
          <w:t>4.</w:t>
        </w:r>
        <w:r w:rsidR="00377CD7">
          <w:rPr>
            <w:rFonts w:asciiTheme="minorHAnsi" w:eastAsiaTheme="minorEastAsia" w:hAnsiTheme="minorHAnsi"/>
            <w:noProof/>
            <w:sz w:val="22"/>
          </w:rPr>
          <w:tab/>
        </w:r>
        <w:r w:rsidR="00377CD7" w:rsidRPr="00E06F98">
          <w:rPr>
            <w:rStyle w:val="Hyperlink"/>
            <w:noProof/>
          </w:rPr>
          <w:t>Cost Effectiveness of Customer Load Curtailment Programs</w:t>
        </w:r>
        <w:r w:rsidR="00377CD7">
          <w:rPr>
            <w:noProof/>
            <w:webHidden/>
          </w:rPr>
          <w:tab/>
        </w:r>
        <w:r w:rsidR="00377CD7">
          <w:rPr>
            <w:noProof/>
            <w:webHidden/>
          </w:rPr>
          <w:fldChar w:fldCharType="begin"/>
        </w:r>
        <w:r w:rsidR="00377CD7">
          <w:rPr>
            <w:noProof/>
            <w:webHidden/>
          </w:rPr>
          <w:instrText xml:space="preserve"> PAGEREF _Toc355954916 \h </w:instrText>
        </w:r>
        <w:r w:rsidR="00377CD7">
          <w:rPr>
            <w:noProof/>
            <w:webHidden/>
          </w:rPr>
        </w:r>
        <w:r w:rsidR="00377CD7">
          <w:rPr>
            <w:noProof/>
            <w:webHidden/>
          </w:rPr>
          <w:fldChar w:fldCharType="separate"/>
        </w:r>
        <w:r w:rsidR="001D4D6D">
          <w:rPr>
            <w:noProof/>
            <w:webHidden/>
          </w:rPr>
          <w:t>45</w:t>
        </w:r>
        <w:r w:rsidR="00377CD7">
          <w:rPr>
            <w:noProof/>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917" w:history="1">
        <w:r w:rsidR="00377CD7" w:rsidRPr="00E06F98">
          <w:rPr>
            <w:rStyle w:val="Hyperlink"/>
          </w:rPr>
          <w:t>G.</w:t>
        </w:r>
        <w:r w:rsidR="00377CD7">
          <w:rPr>
            <w:rFonts w:asciiTheme="minorHAnsi" w:eastAsiaTheme="minorEastAsia" w:hAnsiTheme="minorHAnsi"/>
            <w:b w:val="0"/>
            <w:smallCaps w:val="0"/>
            <w:snapToGrid/>
            <w:w w:val="100"/>
            <w:sz w:val="22"/>
          </w:rPr>
          <w:tab/>
        </w:r>
        <w:r w:rsidR="00377CD7" w:rsidRPr="00E06F98">
          <w:rPr>
            <w:rStyle w:val="Hyperlink"/>
          </w:rPr>
          <w:t>Wholesale Price Suppression Benefits</w:t>
        </w:r>
        <w:r w:rsidR="00377CD7">
          <w:rPr>
            <w:webHidden/>
          </w:rPr>
          <w:tab/>
        </w:r>
        <w:r w:rsidR="00377CD7">
          <w:rPr>
            <w:webHidden/>
          </w:rPr>
          <w:fldChar w:fldCharType="begin"/>
        </w:r>
        <w:r w:rsidR="00377CD7">
          <w:rPr>
            <w:webHidden/>
          </w:rPr>
          <w:instrText xml:space="preserve"> PAGEREF _Toc355954917 \h </w:instrText>
        </w:r>
        <w:r w:rsidR="00377CD7">
          <w:rPr>
            <w:webHidden/>
          </w:rPr>
        </w:r>
        <w:r w:rsidR="00377CD7">
          <w:rPr>
            <w:webHidden/>
          </w:rPr>
          <w:fldChar w:fldCharType="separate"/>
        </w:r>
        <w:r w:rsidR="001D4D6D">
          <w:rPr>
            <w:webHidden/>
          </w:rPr>
          <w:t>51</w:t>
        </w:r>
        <w:r w:rsidR="00377CD7">
          <w:rPr>
            <w:webHidden/>
          </w:rPr>
          <w:fldChar w:fldCharType="end"/>
        </w:r>
      </w:hyperlink>
    </w:p>
    <w:p w:rsidR="00377CD7" w:rsidRDefault="00864861">
      <w:pPr>
        <w:pStyle w:val="TOC2"/>
        <w:rPr>
          <w:rFonts w:asciiTheme="minorHAnsi" w:eastAsiaTheme="minorEastAsia" w:hAnsiTheme="minorHAnsi"/>
          <w:noProof/>
          <w:sz w:val="22"/>
        </w:rPr>
      </w:pPr>
      <w:hyperlink w:anchor="_Toc355954918" w:history="1">
        <w:r w:rsidR="00377CD7" w:rsidRPr="00E06F98">
          <w:rPr>
            <w:rStyle w:val="Hyperlink"/>
            <w:noProof/>
          </w:rPr>
          <w:t>1.</w:t>
        </w:r>
        <w:r w:rsidR="00377CD7">
          <w:rPr>
            <w:rFonts w:asciiTheme="minorHAnsi" w:eastAsiaTheme="minorEastAsia" w:hAnsiTheme="minorHAnsi"/>
            <w:noProof/>
            <w:sz w:val="22"/>
          </w:rPr>
          <w:tab/>
        </w:r>
        <w:r w:rsidR="00377CD7" w:rsidRPr="00E06F98">
          <w:rPr>
            <w:rStyle w:val="Hyperlink"/>
            <w:noProof/>
          </w:rPr>
          <w:t>Overview of Wholesale Price Suppression</w:t>
        </w:r>
        <w:r w:rsidR="00377CD7">
          <w:rPr>
            <w:noProof/>
            <w:webHidden/>
          </w:rPr>
          <w:tab/>
        </w:r>
        <w:r w:rsidR="00377CD7">
          <w:rPr>
            <w:noProof/>
            <w:webHidden/>
          </w:rPr>
          <w:fldChar w:fldCharType="begin"/>
        </w:r>
        <w:r w:rsidR="00377CD7">
          <w:rPr>
            <w:noProof/>
            <w:webHidden/>
          </w:rPr>
          <w:instrText xml:space="preserve"> PAGEREF _Toc355954918 \h </w:instrText>
        </w:r>
        <w:r w:rsidR="00377CD7">
          <w:rPr>
            <w:noProof/>
            <w:webHidden/>
          </w:rPr>
        </w:r>
        <w:r w:rsidR="00377CD7">
          <w:rPr>
            <w:noProof/>
            <w:webHidden/>
          </w:rPr>
          <w:fldChar w:fldCharType="separate"/>
        </w:r>
        <w:r w:rsidR="001D4D6D">
          <w:rPr>
            <w:noProof/>
            <w:webHidden/>
          </w:rPr>
          <w:t>51</w:t>
        </w:r>
        <w:r w:rsidR="00377CD7">
          <w:rPr>
            <w:noProof/>
            <w:webHidden/>
          </w:rPr>
          <w:fldChar w:fldCharType="end"/>
        </w:r>
      </w:hyperlink>
    </w:p>
    <w:p w:rsidR="00377CD7" w:rsidRDefault="00864861">
      <w:pPr>
        <w:pStyle w:val="TOC2"/>
        <w:rPr>
          <w:rFonts w:asciiTheme="minorHAnsi" w:eastAsiaTheme="minorEastAsia" w:hAnsiTheme="minorHAnsi"/>
          <w:noProof/>
          <w:sz w:val="22"/>
        </w:rPr>
      </w:pPr>
      <w:hyperlink w:anchor="_Toc355954919" w:history="1">
        <w:r w:rsidR="00377CD7" w:rsidRPr="00E06F98">
          <w:rPr>
            <w:rStyle w:val="Hyperlink"/>
            <w:noProof/>
          </w:rPr>
          <w:t>2.</w:t>
        </w:r>
        <w:r w:rsidR="00377CD7">
          <w:rPr>
            <w:rFonts w:asciiTheme="minorHAnsi" w:eastAsiaTheme="minorEastAsia" w:hAnsiTheme="minorHAnsi"/>
            <w:noProof/>
            <w:sz w:val="22"/>
          </w:rPr>
          <w:tab/>
        </w:r>
        <w:r w:rsidR="00377CD7" w:rsidRPr="00E06F98">
          <w:rPr>
            <w:rStyle w:val="Hyperlink"/>
            <w:noProof/>
          </w:rPr>
          <w:t>SWE Exclusion of Price Suppression Benefits</w:t>
        </w:r>
        <w:r w:rsidR="00377CD7">
          <w:rPr>
            <w:noProof/>
            <w:webHidden/>
          </w:rPr>
          <w:tab/>
        </w:r>
        <w:r w:rsidR="00377CD7">
          <w:rPr>
            <w:noProof/>
            <w:webHidden/>
          </w:rPr>
          <w:fldChar w:fldCharType="begin"/>
        </w:r>
        <w:r w:rsidR="00377CD7">
          <w:rPr>
            <w:noProof/>
            <w:webHidden/>
          </w:rPr>
          <w:instrText xml:space="preserve"> PAGEREF _Toc355954919 \h </w:instrText>
        </w:r>
        <w:r w:rsidR="00377CD7">
          <w:rPr>
            <w:noProof/>
            <w:webHidden/>
          </w:rPr>
        </w:r>
        <w:r w:rsidR="00377CD7">
          <w:rPr>
            <w:noProof/>
            <w:webHidden/>
          </w:rPr>
          <w:fldChar w:fldCharType="separate"/>
        </w:r>
        <w:r w:rsidR="001D4D6D">
          <w:rPr>
            <w:noProof/>
            <w:webHidden/>
          </w:rPr>
          <w:t>52</w:t>
        </w:r>
        <w:r w:rsidR="00377CD7">
          <w:rPr>
            <w:noProof/>
            <w:webHidden/>
          </w:rPr>
          <w:fldChar w:fldCharType="end"/>
        </w:r>
      </w:hyperlink>
    </w:p>
    <w:p w:rsidR="00377CD7" w:rsidRDefault="00864861">
      <w:pPr>
        <w:pStyle w:val="TOC1"/>
        <w:rPr>
          <w:rFonts w:asciiTheme="minorHAnsi" w:eastAsiaTheme="minorEastAsia" w:hAnsiTheme="minorHAnsi"/>
          <w:b w:val="0"/>
          <w:smallCaps w:val="0"/>
          <w:snapToGrid/>
          <w:w w:val="100"/>
          <w:sz w:val="22"/>
        </w:rPr>
      </w:pPr>
      <w:hyperlink w:anchor="_Toc355954920" w:history="1">
        <w:r w:rsidR="00377CD7" w:rsidRPr="00E06F98">
          <w:rPr>
            <w:rStyle w:val="Hyperlink"/>
          </w:rPr>
          <w:t>H.</w:t>
        </w:r>
        <w:r w:rsidR="00377CD7">
          <w:rPr>
            <w:rFonts w:asciiTheme="minorHAnsi" w:eastAsiaTheme="minorEastAsia" w:hAnsiTheme="minorHAnsi"/>
            <w:b w:val="0"/>
            <w:smallCaps w:val="0"/>
            <w:snapToGrid/>
            <w:w w:val="100"/>
            <w:sz w:val="22"/>
          </w:rPr>
          <w:tab/>
        </w:r>
        <w:r w:rsidR="00377CD7" w:rsidRPr="00E06F98">
          <w:rPr>
            <w:rStyle w:val="Hyperlink"/>
          </w:rPr>
          <w:t>Findings and Recommendations</w:t>
        </w:r>
        <w:r w:rsidR="00377CD7">
          <w:rPr>
            <w:webHidden/>
          </w:rPr>
          <w:tab/>
        </w:r>
        <w:r w:rsidR="00377CD7">
          <w:rPr>
            <w:webHidden/>
          </w:rPr>
          <w:fldChar w:fldCharType="begin"/>
        </w:r>
        <w:r w:rsidR="00377CD7">
          <w:rPr>
            <w:webHidden/>
          </w:rPr>
          <w:instrText xml:space="preserve"> PAGEREF _Toc355954920 \h </w:instrText>
        </w:r>
        <w:r w:rsidR="00377CD7">
          <w:rPr>
            <w:webHidden/>
          </w:rPr>
        </w:r>
        <w:r w:rsidR="00377CD7">
          <w:rPr>
            <w:webHidden/>
          </w:rPr>
          <w:fldChar w:fldCharType="separate"/>
        </w:r>
        <w:r w:rsidR="001D4D6D">
          <w:rPr>
            <w:webHidden/>
          </w:rPr>
          <w:t>54</w:t>
        </w:r>
        <w:r w:rsidR="00377CD7">
          <w:rPr>
            <w:webHidden/>
          </w:rPr>
          <w:fldChar w:fldCharType="end"/>
        </w:r>
      </w:hyperlink>
    </w:p>
    <w:p w:rsidR="004463D0" w:rsidRDefault="00692375" w:rsidP="004463D0">
      <w:pPr>
        <w:spacing w:after="0" w:line="240" w:lineRule="auto"/>
        <w:jc w:val="center"/>
        <w:rPr>
          <w:b/>
          <w:smallCaps/>
          <w:sz w:val="28"/>
        </w:rPr>
      </w:pPr>
      <w:r>
        <w:rPr>
          <w:rFonts w:ascii="Garamond" w:hAnsi="Garamond"/>
          <w:noProof/>
          <w:snapToGrid w:val="0"/>
          <w:w w:val="0"/>
          <w:sz w:val="28"/>
        </w:rPr>
        <w:fldChar w:fldCharType="end"/>
      </w:r>
    </w:p>
    <w:p w:rsidR="004463D0" w:rsidRDefault="004463D0" w:rsidP="004463D0">
      <w:pPr>
        <w:spacing w:after="0" w:line="240" w:lineRule="auto"/>
        <w:jc w:val="center"/>
        <w:rPr>
          <w:b/>
          <w:smallCaps/>
          <w:sz w:val="28"/>
        </w:rPr>
      </w:pPr>
    </w:p>
    <w:p w:rsidR="0083345E" w:rsidRDefault="0083345E" w:rsidP="004463D0">
      <w:pPr>
        <w:spacing w:after="0" w:line="240" w:lineRule="auto"/>
        <w:jc w:val="center"/>
        <w:rPr>
          <w:b/>
          <w:smallCaps/>
          <w:sz w:val="28"/>
        </w:rPr>
      </w:pPr>
    </w:p>
    <w:p w:rsidR="00C55011" w:rsidRDefault="00C55011" w:rsidP="0083345E">
      <w:pPr>
        <w:pStyle w:val="ListofAcronyms"/>
        <w:contextualSpacing/>
      </w:pPr>
      <w:bookmarkStart w:id="3" w:name="_Toc343679442"/>
    </w:p>
    <w:p w:rsidR="00C55011" w:rsidRDefault="00C55011" w:rsidP="0083345E">
      <w:pPr>
        <w:pStyle w:val="ListofAcronyms"/>
        <w:contextualSpacing/>
      </w:pPr>
    </w:p>
    <w:p w:rsidR="00C55011" w:rsidRDefault="00C55011" w:rsidP="00C55011"/>
    <w:p w:rsidR="0067484D" w:rsidRPr="0067484D" w:rsidRDefault="0083345E" w:rsidP="0083345E">
      <w:pPr>
        <w:pStyle w:val="ListofAcronyms"/>
        <w:rPr>
          <w:sz w:val="40"/>
          <w:szCs w:val="40"/>
        </w:rPr>
      </w:pPr>
      <w:bookmarkStart w:id="4" w:name="_Toc355954888"/>
      <w:r w:rsidRPr="0083345E">
        <w:rPr>
          <w:sz w:val="40"/>
          <w:szCs w:val="40"/>
        </w:rPr>
        <w:lastRenderedPageBreak/>
        <w:t>List of Acronyms</w:t>
      </w:r>
      <w:bookmarkEnd w:id="3"/>
      <w:bookmarkEnd w:id="4"/>
    </w:p>
    <w:tbl>
      <w:tblPr>
        <w:tblW w:w="10441" w:type="dxa"/>
        <w:tblInd w:w="93" w:type="dxa"/>
        <w:tblLook w:val="04A0" w:firstRow="1" w:lastRow="0" w:firstColumn="1" w:lastColumn="0" w:noHBand="0" w:noVBand="1"/>
      </w:tblPr>
      <w:tblGrid>
        <w:gridCol w:w="5163"/>
        <w:gridCol w:w="5278"/>
      </w:tblGrid>
      <w:tr w:rsidR="00EA4BB9" w:rsidRPr="00630178" w:rsidTr="0083345E">
        <w:trPr>
          <w:trHeight w:val="306"/>
        </w:trPr>
        <w:tc>
          <w:tcPr>
            <w:tcW w:w="5163" w:type="dxa"/>
            <w:tcBorders>
              <w:top w:val="nil"/>
              <w:left w:val="nil"/>
              <w:bottom w:val="nil"/>
              <w:right w:val="nil"/>
            </w:tcBorders>
            <w:shd w:val="clear" w:color="auto" w:fill="auto"/>
            <w:noWrap/>
            <w:vAlign w:val="center"/>
          </w:tcPr>
          <w:p w:rsidR="00EA4BB9" w:rsidRPr="00630178" w:rsidRDefault="00EA4BB9" w:rsidP="0083345E">
            <w:pPr>
              <w:spacing w:after="0" w:line="240" w:lineRule="auto"/>
              <w:jc w:val="lef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AMI: </w:t>
            </w:r>
            <w:r>
              <w:rPr>
                <w:rFonts w:ascii="Calibri" w:eastAsia="Times New Roman" w:hAnsi="Calibri" w:cs="Calibri"/>
                <w:bCs/>
                <w:color w:val="000000"/>
                <w:sz w:val="20"/>
                <w:szCs w:val="20"/>
              </w:rPr>
              <w:t>Advanced Metering Infrastruct</w:t>
            </w:r>
            <w:r w:rsidRPr="00EA4BB9">
              <w:rPr>
                <w:rFonts w:ascii="Calibri" w:eastAsia="Times New Roman" w:hAnsi="Calibri" w:cs="Calibri"/>
                <w:bCs/>
                <w:color w:val="000000"/>
                <w:sz w:val="20"/>
                <w:szCs w:val="20"/>
              </w:rPr>
              <w:t>ure</w:t>
            </w:r>
          </w:p>
        </w:tc>
        <w:tc>
          <w:tcPr>
            <w:tcW w:w="5278" w:type="dxa"/>
            <w:tcBorders>
              <w:top w:val="nil"/>
              <w:left w:val="nil"/>
              <w:bottom w:val="nil"/>
              <w:right w:val="nil"/>
            </w:tcBorders>
            <w:shd w:val="clear" w:color="auto" w:fill="auto"/>
            <w:noWrap/>
            <w:vAlign w:val="center"/>
          </w:tcPr>
          <w:p w:rsidR="00EA4BB9" w:rsidRPr="00630178" w:rsidRDefault="00EA4BB9"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kW</w:t>
            </w:r>
            <w:r w:rsidRPr="00630178">
              <w:rPr>
                <w:rFonts w:ascii="Calibri" w:eastAsia="Times New Roman" w:hAnsi="Calibri" w:cs="Calibri"/>
                <w:color w:val="000000"/>
                <w:sz w:val="20"/>
                <w:szCs w:val="20"/>
              </w:rPr>
              <w:t>: Kilowatt</w:t>
            </w:r>
          </w:p>
        </w:tc>
      </w:tr>
      <w:tr w:rsidR="00F25278" w:rsidRPr="00630178" w:rsidTr="0083345E">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ANOVA</w:t>
            </w:r>
            <w:r w:rsidRPr="00630178">
              <w:rPr>
                <w:rFonts w:ascii="Calibri" w:eastAsia="Times New Roman" w:hAnsi="Calibri" w:cs="Calibri"/>
                <w:color w:val="000000"/>
                <w:sz w:val="20"/>
                <w:szCs w:val="20"/>
              </w:rPr>
              <w:t xml:space="preserve">: Analysis of Variance </w:t>
            </w:r>
          </w:p>
        </w:tc>
        <w:tc>
          <w:tcPr>
            <w:tcW w:w="5278"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LC</w:t>
            </w:r>
            <w:r w:rsidRPr="00630178">
              <w:rPr>
                <w:rFonts w:ascii="Calibri" w:eastAsia="Times New Roman" w:hAnsi="Calibri" w:cs="Calibri"/>
                <w:color w:val="000000"/>
                <w:sz w:val="20"/>
                <w:szCs w:val="20"/>
              </w:rPr>
              <w:t>: Load curtailment</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CAISO</w:t>
            </w:r>
            <w:r w:rsidRPr="00630178">
              <w:rPr>
                <w:rFonts w:ascii="Calibri" w:eastAsia="Times New Roman" w:hAnsi="Calibri" w:cs="Calibri"/>
                <w:color w:val="000000"/>
                <w:sz w:val="20"/>
                <w:szCs w:val="20"/>
              </w:rPr>
              <w:t>: The California Independent System Operator</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LMP</w:t>
            </w:r>
            <w:r w:rsidRPr="00630178">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Pr="00630178">
              <w:rPr>
                <w:rFonts w:ascii="Calibri" w:eastAsia="Times New Roman" w:hAnsi="Calibri" w:cs="Calibri"/>
                <w:color w:val="000000"/>
                <w:sz w:val="20"/>
                <w:szCs w:val="20"/>
              </w:rPr>
              <w:t xml:space="preserve">Locational Marginal Pricing </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 xml:space="preserve">CBL: </w:t>
            </w:r>
            <w:r w:rsidRPr="00630178">
              <w:rPr>
                <w:rFonts w:ascii="Calibri" w:eastAsia="Times New Roman" w:hAnsi="Calibri" w:cs="Calibri"/>
                <w:color w:val="000000"/>
                <w:sz w:val="20"/>
                <w:szCs w:val="20"/>
              </w:rPr>
              <w:t>Customer Baseline Load</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LSE</w:t>
            </w:r>
            <w:r w:rsidRPr="00630178">
              <w:rPr>
                <w:rFonts w:ascii="Calibri" w:eastAsia="Times New Roman" w:hAnsi="Calibri" w:cs="Calibri"/>
                <w:color w:val="000000"/>
                <w:sz w:val="20"/>
                <w:szCs w:val="20"/>
              </w:rPr>
              <w:t>: Load serving entity</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C&amp;I</w:t>
            </w:r>
            <w:r w:rsidRPr="00630178">
              <w:rPr>
                <w:rFonts w:ascii="Calibri" w:eastAsia="Times New Roman" w:hAnsi="Calibri" w:cs="Calibri"/>
                <w:color w:val="000000"/>
                <w:sz w:val="20"/>
                <w:szCs w:val="20"/>
              </w:rPr>
              <w:t>: Commercial and Industrial</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M&amp;V</w:t>
            </w:r>
            <w:r w:rsidRPr="00630178">
              <w:rPr>
                <w:rFonts w:ascii="Calibri" w:eastAsia="Times New Roman" w:hAnsi="Calibri" w:cs="Calibri"/>
                <w:color w:val="000000"/>
                <w:sz w:val="20"/>
                <w:szCs w:val="20"/>
              </w:rPr>
              <w:t>: Measurement and Verification</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ComEd</w:t>
            </w:r>
            <w:r w:rsidRPr="00630178">
              <w:rPr>
                <w:rFonts w:ascii="Calibri" w:eastAsia="Times New Roman" w:hAnsi="Calibri" w:cs="Calibri"/>
                <w:color w:val="000000"/>
                <w:sz w:val="20"/>
                <w:szCs w:val="20"/>
              </w:rPr>
              <w:t>: Commonwealth Edison Company</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MW</w:t>
            </w:r>
            <w:r w:rsidRPr="00630178">
              <w:rPr>
                <w:rFonts w:ascii="Calibri" w:eastAsia="Times New Roman" w:hAnsi="Calibri" w:cs="Calibri"/>
                <w:color w:val="000000"/>
                <w:sz w:val="20"/>
                <w:szCs w:val="20"/>
              </w:rPr>
              <w:t>: Megawatt</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CPP</w:t>
            </w:r>
            <w:r w:rsidRPr="00630178">
              <w:rPr>
                <w:rFonts w:ascii="Calibri" w:eastAsia="Times New Roman" w:hAnsi="Calibri" w:cs="Calibri"/>
                <w:color w:val="000000"/>
                <w:sz w:val="20"/>
                <w:szCs w:val="20"/>
              </w:rPr>
              <w:t>: Critical Peak Pricing</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MWh</w:t>
            </w:r>
            <w:r w:rsidRPr="00630178">
              <w:rPr>
                <w:rFonts w:ascii="Calibri" w:eastAsia="Times New Roman" w:hAnsi="Calibri" w:cs="Calibri"/>
                <w:color w:val="000000"/>
                <w:sz w:val="20"/>
                <w:szCs w:val="20"/>
              </w:rPr>
              <w:t>: Megawatt-Hour</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CPUC</w:t>
            </w:r>
            <w:r w:rsidRPr="00630178">
              <w:rPr>
                <w:rFonts w:ascii="Calibri" w:eastAsia="Times New Roman" w:hAnsi="Calibri" w:cs="Calibri"/>
                <w:color w:val="000000"/>
                <w:sz w:val="20"/>
                <w:szCs w:val="20"/>
              </w:rPr>
              <w:t xml:space="preserve">: The California Public Utilities Commission </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NYISO</w:t>
            </w:r>
            <w:r w:rsidRPr="00630178">
              <w:rPr>
                <w:rFonts w:ascii="Calibri" w:eastAsia="Times New Roman" w:hAnsi="Calibri" w:cs="Calibri"/>
                <w:color w:val="000000"/>
                <w:sz w:val="20"/>
                <w:szCs w:val="20"/>
              </w:rPr>
              <w:t>: The New York Independent System Operator</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CSP</w:t>
            </w:r>
            <w:r w:rsidRPr="00630178">
              <w:rPr>
                <w:rFonts w:ascii="Calibri" w:eastAsia="Times New Roman" w:hAnsi="Calibri" w:cs="Calibri"/>
                <w:color w:val="000000"/>
                <w:sz w:val="20"/>
                <w:szCs w:val="20"/>
              </w:rPr>
              <w:t>: Curtailment Service Providers</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NYPSC</w:t>
            </w:r>
            <w:r w:rsidRPr="00630178">
              <w:rPr>
                <w:rFonts w:ascii="Calibri" w:eastAsia="Times New Roman" w:hAnsi="Calibri" w:cs="Calibri"/>
                <w:color w:val="000000"/>
                <w:sz w:val="20"/>
                <w:szCs w:val="20"/>
              </w:rPr>
              <w:t xml:space="preserve">: NY Public Service Commission </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DLC</w:t>
            </w:r>
            <w:r w:rsidRPr="00630178">
              <w:rPr>
                <w:rFonts w:ascii="Calibri" w:eastAsia="Times New Roman" w:hAnsi="Calibri" w:cs="Calibri"/>
                <w:color w:val="000000"/>
                <w:sz w:val="20"/>
                <w:szCs w:val="20"/>
              </w:rPr>
              <w:t>: Direct Load Control</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PJM</w:t>
            </w:r>
            <w:r w:rsidRPr="00630178">
              <w:rPr>
                <w:rFonts w:ascii="Calibri" w:eastAsia="Times New Roman" w:hAnsi="Calibri" w:cs="Calibri"/>
                <w:color w:val="000000"/>
                <w:sz w:val="20"/>
                <w:szCs w:val="20"/>
              </w:rPr>
              <w:t>: The Pennsylvania-Jersey-Maryland Interconnection</w:t>
            </w:r>
          </w:p>
        </w:tc>
      </w:tr>
      <w:tr w:rsidR="00F25278" w:rsidRPr="00630178" w:rsidTr="00F25278">
        <w:trPr>
          <w:trHeight w:val="306"/>
        </w:trPr>
        <w:tc>
          <w:tcPr>
            <w:tcW w:w="5163" w:type="dxa"/>
            <w:tcBorders>
              <w:top w:val="nil"/>
              <w:left w:val="nil"/>
              <w:bottom w:val="nil"/>
              <w:right w:val="nil"/>
            </w:tcBorders>
            <w:shd w:val="clear" w:color="auto" w:fill="auto"/>
            <w:noWrap/>
            <w:vAlign w:val="center"/>
          </w:tcPr>
          <w:p w:rsidR="00F25278" w:rsidRPr="00630178" w:rsidRDefault="00F25278"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DR</w:t>
            </w:r>
            <w:r w:rsidRPr="00630178">
              <w:rPr>
                <w:rFonts w:ascii="Calibri" w:eastAsia="Times New Roman" w:hAnsi="Calibri" w:cs="Calibri"/>
                <w:color w:val="000000"/>
                <w:sz w:val="20"/>
                <w:szCs w:val="20"/>
              </w:rPr>
              <w:t xml:space="preserve">: Demand Response </w:t>
            </w:r>
          </w:p>
        </w:tc>
        <w:tc>
          <w:tcPr>
            <w:tcW w:w="5278" w:type="dxa"/>
            <w:tcBorders>
              <w:top w:val="nil"/>
              <w:left w:val="nil"/>
              <w:bottom w:val="nil"/>
              <w:right w:val="nil"/>
            </w:tcBorders>
            <w:shd w:val="clear" w:color="auto" w:fill="auto"/>
            <w:noWrap/>
            <w:vAlign w:val="center"/>
            <w:hideMark/>
          </w:tcPr>
          <w:p w:rsidR="00F25278" w:rsidRPr="00630178" w:rsidRDefault="00F25278"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PUC</w:t>
            </w:r>
            <w:r>
              <w:rPr>
                <w:rFonts w:ascii="Calibri" w:eastAsia="Times New Roman" w:hAnsi="Calibri" w:cs="Calibri"/>
                <w:color w:val="000000"/>
                <w:sz w:val="20"/>
                <w:szCs w:val="20"/>
              </w:rPr>
              <w:t>: Pennsylvania</w:t>
            </w:r>
            <w:r w:rsidRPr="00630178">
              <w:rPr>
                <w:rFonts w:ascii="Calibri" w:eastAsia="Times New Roman" w:hAnsi="Calibri" w:cs="Calibri"/>
                <w:color w:val="000000"/>
                <w:sz w:val="20"/>
                <w:szCs w:val="20"/>
              </w:rPr>
              <w:t xml:space="preserve"> P</w:t>
            </w:r>
            <w:r>
              <w:rPr>
                <w:rFonts w:ascii="Calibri" w:eastAsia="Times New Roman" w:hAnsi="Calibri" w:cs="Calibri"/>
                <w:color w:val="000000"/>
                <w:sz w:val="20"/>
                <w:szCs w:val="20"/>
              </w:rPr>
              <w:t xml:space="preserve">ublic </w:t>
            </w:r>
            <w:r w:rsidRPr="00630178">
              <w:rPr>
                <w:rFonts w:ascii="Calibri" w:eastAsia="Times New Roman" w:hAnsi="Calibri" w:cs="Calibri"/>
                <w:color w:val="000000"/>
                <w:sz w:val="20"/>
                <w:szCs w:val="20"/>
              </w:rPr>
              <w:t>U</w:t>
            </w:r>
            <w:r>
              <w:rPr>
                <w:rFonts w:ascii="Calibri" w:eastAsia="Times New Roman" w:hAnsi="Calibri" w:cs="Calibri"/>
                <w:color w:val="000000"/>
                <w:sz w:val="20"/>
                <w:szCs w:val="20"/>
              </w:rPr>
              <w:t xml:space="preserve">tility </w:t>
            </w:r>
            <w:r w:rsidRPr="00630178">
              <w:rPr>
                <w:rFonts w:ascii="Calibri" w:eastAsia="Times New Roman" w:hAnsi="Calibri" w:cs="Calibri"/>
                <w:color w:val="000000"/>
                <w:sz w:val="20"/>
                <w:szCs w:val="20"/>
              </w:rPr>
              <w:t>C</w:t>
            </w:r>
            <w:r>
              <w:rPr>
                <w:rFonts w:ascii="Calibri" w:eastAsia="Times New Roman" w:hAnsi="Calibri" w:cs="Calibri"/>
                <w:color w:val="000000"/>
                <w:sz w:val="20"/>
                <w:szCs w:val="20"/>
              </w:rPr>
              <w:t>ommission</w:t>
            </w:r>
          </w:p>
        </w:tc>
      </w:tr>
      <w:tr w:rsidR="00656AFB" w:rsidRPr="00630178" w:rsidTr="00F2527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DSM: </w:t>
            </w:r>
            <w:r w:rsidRPr="00656AFB">
              <w:rPr>
                <w:rFonts w:ascii="Calibri" w:eastAsia="Times New Roman" w:hAnsi="Calibri" w:cs="Calibri"/>
                <w:bCs/>
                <w:color w:val="000000"/>
                <w:sz w:val="20"/>
                <w:szCs w:val="20"/>
              </w:rPr>
              <w:t>Demand Side Management</w:t>
            </w:r>
          </w:p>
        </w:tc>
        <w:tc>
          <w:tcPr>
            <w:tcW w:w="5278"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RMSE</w:t>
            </w:r>
            <w:r w:rsidRPr="00630178">
              <w:rPr>
                <w:rFonts w:ascii="Calibri" w:eastAsia="Times New Roman" w:hAnsi="Calibri" w:cs="Calibri"/>
                <w:color w:val="000000"/>
                <w:sz w:val="20"/>
                <w:szCs w:val="20"/>
              </w:rPr>
              <w:t>: Root Mean Square Error</w:t>
            </w:r>
          </w:p>
        </w:tc>
      </w:tr>
      <w:tr w:rsidR="00656AFB" w:rsidRPr="00630178" w:rsidTr="00F2527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EDC</w:t>
            </w:r>
            <w:r w:rsidRPr="00630178">
              <w:rPr>
                <w:rFonts w:ascii="Calibri" w:eastAsia="Times New Roman" w:hAnsi="Calibri" w:cs="Calibri"/>
                <w:color w:val="000000"/>
                <w:sz w:val="20"/>
                <w:szCs w:val="20"/>
              </w:rPr>
              <w:t>: Electric Distribution Company</w:t>
            </w:r>
          </w:p>
        </w:tc>
        <w:tc>
          <w:tcPr>
            <w:tcW w:w="5278"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 xml:space="preserve">RTO: </w:t>
            </w:r>
            <w:r w:rsidRPr="00630178">
              <w:rPr>
                <w:rFonts w:ascii="Calibri" w:eastAsia="Times New Roman" w:hAnsi="Calibri" w:cs="Calibri"/>
                <w:color w:val="000000"/>
                <w:sz w:val="20"/>
                <w:szCs w:val="20"/>
              </w:rPr>
              <w:t>Regional Transmission Organization</w:t>
            </w:r>
          </w:p>
        </w:tc>
      </w:tr>
      <w:tr w:rsidR="00656AFB" w:rsidRPr="00630178" w:rsidTr="00F2527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EE</w:t>
            </w:r>
            <w:r w:rsidRPr="00630178">
              <w:rPr>
                <w:rFonts w:ascii="Calibri" w:eastAsia="Times New Roman" w:hAnsi="Calibri" w:cs="Calibri"/>
                <w:color w:val="000000"/>
                <w:sz w:val="20"/>
                <w:szCs w:val="20"/>
              </w:rPr>
              <w:t>: Energy Efficiency</w:t>
            </w:r>
          </w:p>
        </w:tc>
        <w:tc>
          <w:tcPr>
            <w:tcW w:w="5278"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SR</w:t>
            </w:r>
            <w:r w:rsidRPr="00630178">
              <w:rPr>
                <w:rFonts w:ascii="Calibri" w:eastAsia="Times New Roman" w:hAnsi="Calibri" w:cs="Calibri"/>
                <w:color w:val="000000"/>
                <w:sz w:val="20"/>
                <w:szCs w:val="20"/>
              </w:rPr>
              <w:t>: Sum of Rank</w:t>
            </w:r>
          </w:p>
        </w:tc>
      </w:tr>
      <w:tr w:rsidR="00656AFB" w:rsidRPr="00630178" w:rsidTr="00F2527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EE&amp;C</w:t>
            </w:r>
            <w:r w:rsidRPr="00630178">
              <w:rPr>
                <w:rFonts w:ascii="Calibri" w:eastAsia="Times New Roman" w:hAnsi="Calibri" w:cs="Calibri"/>
                <w:color w:val="000000"/>
                <w:sz w:val="20"/>
                <w:szCs w:val="20"/>
              </w:rPr>
              <w:t>: Energy Efficiency and Conservation</w:t>
            </w:r>
          </w:p>
        </w:tc>
        <w:tc>
          <w:tcPr>
            <w:tcW w:w="5278"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b/>
                <w:bCs/>
                <w:color w:val="000000"/>
                <w:sz w:val="20"/>
                <w:szCs w:val="20"/>
              </w:rPr>
            </w:pPr>
            <w:r w:rsidRPr="00630178">
              <w:rPr>
                <w:rFonts w:ascii="Calibri" w:eastAsia="Times New Roman" w:hAnsi="Calibri" w:cs="Calibri"/>
                <w:b/>
                <w:bCs/>
                <w:color w:val="000000"/>
                <w:sz w:val="20"/>
                <w:szCs w:val="20"/>
              </w:rPr>
              <w:t>SWE</w:t>
            </w:r>
            <w:r w:rsidRPr="00630178">
              <w:rPr>
                <w:rFonts w:ascii="Calibri" w:eastAsia="Times New Roman" w:hAnsi="Calibri" w:cs="Calibri"/>
                <w:color w:val="000000"/>
                <w:sz w:val="20"/>
                <w:szCs w:val="20"/>
              </w:rPr>
              <w:t>: Statewide Evaluator</w:t>
            </w:r>
          </w:p>
        </w:tc>
      </w:tr>
      <w:tr w:rsidR="00656AFB" w:rsidRPr="00630178" w:rsidTr="00F2527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ELRP: </w:t>
            </w:r>
            <w:r w:rsidRPr="00FB4098">
              <w:rPr>
                <w:rFonts w:ascii="Calibri" w:eastAsia="Times New Roman" w:hAnsi="Calibri" w:cs="Calibri"/>
                <w:bCs/>
                <w:color w:val="000000"/>
                <w:sz w:val="20"/>
                <w:szCs w:val="20"/>
              </w:rPr>
              <w:t>Emergency Load Response Program</w:t>
            </w:r>
          </w:p>
        </w:tc>
        <w:tc>
          <w:tcPr>
            <w:tcW w:w="5278" w:type="dxa"/>
            <w:tcBorders>
              <w:top w:val="nil"/>
              <w:left w:val="nil"/>
              <w:bottom w:val="nil"/>
              <w:right w:val="nil"/>
            </w:tcBorders>
            <w:shd w:val="clear" w:color="auto" w:fill="auto"/>
            <w:noWrap/>
            <w:vAlign w:val="center"/>
          </w:tcPr>
          <w:p w:rsidR="00656AFB" w:rsidRPr="00630178" w:rsidRDefault="00656AFB" w:rsidP="00FB4098">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T&amp;D</w:t>
            </w:r>
            <w:r>
              <w:rPr>
                <w:rFonts w:ascii="Calibri" w:eastAsia="Times New Roman" w:hAnsi="Calibri" w:cs="Calibri"/>
                <w:color w:val="000000"/>
                <w:sz w:val="20"/>
                <w:szCs w:val="20"/>
              </w:rPr>
              <w:t>: Transmission and D</w:t>
            </w:r>
            <w:r w:rsidRPr="00630178">
              <w:rPr>
                <w:rFonts w:ascii="Calibri" w:eastAsia="Times New Roman" w:hAnsi="Calibri" w:cs="Calibri"/>
                <w:color w:val="000000"/>
                <w:sz w:val="20"/>
                <w:szCs w:val="20"/>
              </w:rPr>
              <w:t xml:space="preserve">istribution </w:t>
            </w:r>
          </w:p>
        </w:tc>
      </w:tr>
      <w:tr w:rsidR="00656AFB" w:rsidRPr="00630178" w:rsidTr="00FB409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FERC</w:t>
            </w:r>
            <w:r w:rsidRPr="00630178">
              <w:rPr>
                <w:rFonts w:ascii="Calibri" w:eastAsia="Times New Roman" w:hAnsi="Calibri" w:cs="Calibri"/>
                <w:color w:val="000000"/>
                <w:sz w:val="20"/>
                <w:szCs w:val="20"/>
              </w:rPr>
              <w:t>: The Federal Energy Regulatory Commission</w:t>
            </w:r>
          </w:p>
        </w:tc>
        <w:tc>
          <w:tcPr>
            <w:tcW w:w="5278" w:type="dxa"/>
            <w:tcBorders>
              <w:top w:val="nil"/>
              <w:left w:val="nil"/>
              <w:bottom w:val="nil"/>
              <w:right w:val="nil"/>
            </w:tcBorders>
            <w:shd w:val="clear" w:color="auto" w:fill="auto"/>
            <w:noWrap/>
            <w:vAlign w:val="center"/>
          </w:tcPr>
          <w:p w:rsidR="00656AFB" w:rsidRPr="00630178" w:rsidRDefault="00656AFB" w:rsidP="00FB4098">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TRC</w:t>
            </w:r>
            <w:r w:rsidRPr="00630178">
              <w:rPr>
                <w:rFonts w:ascii="Calibri" w:eastAsia="Times New Roman" w:hAnsi="Calibri" w:cs="Calibri"/>
                <w:color w:val="000000"/>
                <w:sz w:val="20"/>
                <w:szCs w:val="20"/>
              </w:rPr>
              <w:t>: Total Resource Cost Test</w:t>
            </w:r>
          </w:p>
        </w:tc>
      </w:tr>
      <w:tr w:rsidR="00656AFB" w:rsidRPr="00630178" w:rsidTr="00FB4098">
        <w:trPr>
          <w:trHeight w:val="306"/>
        </w:trPr>
        <w:tc>
          <w:tcPr>
            <w:tcW w:w="5163"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color w:val="000000"/>
                <w:sz w:val="20"/>
                <w:szCs w:val="20"/>
              </w:rPr>
            </w:pPr>
            <w:r w:rsidRPr="00D24446">
              <w:rPr>
                <w:rFonts w:ascii="Calibri" w:eastAsia="Times New Roman" w:hAnsi="Calibri" w:cs="Calibri"/>
                <w:b/>
                <w:color w:val="000000"/>
                <w:sz w:val="20"/>
                <w:szCs w:val="20"/>
              </w:rPr>
              <w:t>FCM</w:t>
            </w:r>
            <w:r>
              <w:rPr>
                <w:rFonts w:ascii="Calibri" w:eastAsia="Times New Roman" w:hAnsi="Calibri" w:cs="Calibri"/>
                <w:color w:val="000000"/>
                <w:sz w:val="20"/>
                <w:szCs w:val="20"/>
              </w:rPr>
              <w:t>: Forward Capacity Market</w:t>
            </w:r>
          </w:p>
        </w:tc>
        <w:tc>
          <w:tcPr>
            <w:tcW w:w="5278" w:type="dxa"/>
            <w:tcBorders>
              <w:top w:val="nil"/>
              <w:left w:val="nil"/>
              <w:bottom w:val="nil"/>
              <w:right w:val="nil"/>
            </w:tcBorders>
            <w:shd w:val="clear" w:color="auto" w:fill="auto"/>
            <w:noWrap/>
            <w:vAlign w:val="center"/>
          </w:tcPr>
          <w:p w:rsidR="00656AFB" w:rsidRPr="00630178" w:rsidRDefault="00656AFB" w:rsidP="00FB4098">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TRM</w:t>
            </w:r>
            <w:r w:rsidRPr="00630178">
              <w:rPr>
                <w:rFonts w:ascii="Calibri" w:eastAsia="Times New Roman" w:hAnsi="Calibri" w:cs="Calibri"/>
                <w:color w:val="000000"/>
                <w:sz w:val="20"/>
                <w:szCs w:val="20"/>
              </w:rPr>
              <w:t>: Technical Reference Manual</w:t>
            </w:r>
          </w:p>
        </w:tc>
      </w:tr>
      <w:tr w:rsidR="00656AFB" w:rsidRPr="00630178" w:rsidTr="00FB4098">
        <w:trPr>
          <w:trHeight w:val="306"/>
        </w:trPr>
        <w:tc>
          <w:tcPr>
            <w:tcW w:w="5163"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ISO</w:t>
            </w:r>
            <w:r w:rsidRPr="00630178">
              <w:rPr>
                <w:rFonts w:ascii="Calibri" w:eastAsia="Times New Roman" w:hAnsi="Calibri" w:cs="Calibri"/>
                <w:color w:val="000000"/>
                <w:sz w:val="20"/>
                <w:szCs w:val="20"/>
              </w:rPr>
              <w:t>: Independent System Operators</w:t>
            </w:r>
          </w:p>
        </w:tc>
        <w:tc>
          <w:tcPr>
            <w:tcW w:w="5278" w:type="dxa"/>
            <w:tcBorders>
              <w:top w:val="nil"/>
              <w:left w:val="nil"/>
              <w:bottom w:val="nil"/>
              <w:right w:val="nil"/>
            </w:tcBorders>
            <w:shd w:val="clear" w:color="auto" w:fill="auto"/>
            <w:noWrap/>
            <w:vAlign w:val="center"/>
          </w:tcPr>
          <w:p w:rsidR="00656AFB" w:rsidRPr="00630178" w:rsidRDefault="00656AFB" w:rsidP="00FB4098">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WEPCO</w:t>
            </w:r>
            <w:r w:rsidRPr="00630178">
              <w:rPr>
                <w:rFonts w:ascii="Calibri" w:eastAsia="Times New Roman" w:hAnsi="Calibri" w:cs="Calibri"/>
                <w:color w:val="000000"/>
                <w:sz w:val="20"/>
                <w:szCs w:val="20"/>
              </w:rPr>
              <w:t>: Wisconsin Electric Power Company</w:t>
            </w:r>
          </w:p>
        </w:tc>
      </w:tr>
      <w:tr w:rsidR="00656AFB" w:rsidRPr="00630178" w:rsidTr="00FB4098">
        <w:trPr>
          <w:trHeight w:val="306"/>
        </w:trPr>
        <w:tc>
          <w:tcPr>
            <w:tcW w:w="5163"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color w:val="000000"/>
                <w:sz w:val="20"/>
                <w:szCs w:val="20"/>
              </w:rPr>
            </w:pPr>
            <w:r w:rsidRPr="00630178">
              <w:rPr>
                <w:rFonts w:ascii="Calibri" w:eastAsia="Times New Roman" w:hAnsi="Calibri" w:cs="Calibri"/>
                <w:b/>
                <w:bCs/>
                <w:color w:val="000000"/>
                <w:sz w:val="20"/>
                <w:szCs w:val="20"/>
              </w:rPr>
              <w:t>ISONE</w:t>
            </w:r>
            <w:r w:rsidRPr="00630178">
              <w:rPr>
                <w:rFonts w:ascii="Calibri" w:eastAsia="Times New Roman" w:hAnsi="Calibri" w:cs="Calibri"/>
                <w:color w:val="000000"/>
                <w:sz w:val="20"/>
                <w:szCs w:val="20"/>
              </w:rPr>
              <w:t>: The New England Independent System Operator</w:t>
            </w:r>
          </w:p>
        </w:tc>
        <w:tc>
          <w:tcPr>
            <w:tcW w:w="5278" w:type="dxa"/>
            <w:tcBorders>
              <w:top w:val="nil"/>
              <w:left w:val="nil"/>
              <w:bottom w:val="nil"/>
              <w:right w:val="nil"/>
            </w:tcBorders>
            <w:shd w:val="clear" w:color="auto" w:fill="auto"/>
            <w:noWrap/>
            <w:vAlign w:val="center"/>
          </w:tcPr>
          <w:p w:rsidR="00656AFB" w:rsidRPr="00630178" w:rsidRDefault="00656AFB" w:rsidP="00FB4098">
            <w:pPr>
              <w:spacing w:after="0" w:line="240" w:lineRule="auto"/>
              <w:jc w:val="left"/>
              <w:rPr>
                <w:rFonts w:ascii="Calibri" w:eastAsia="Times New Roman" w:hAnsi="Calibri" w:cs="Calibri"/>
                <w:b/>
                <w:bCs/>
                <w:color w:val="000000"/>
                <w:sz w:val="20"/>
                <w:szCs w:val="20"/>
              </w:rPr>
            </w:pPr>
          </w:p>
        </w:tc>
      </w:tr>
      <w:tr w:rsidR="00656AFB" w:rsidRPr="00630178" w:rsidTr="00FB4098">
        <w:trPr>
          <w:trHeight w:val="306"/>
        </w:trPr>
        <w:tc>
          <w:tcPr>
            <w:tcW w:w="5163"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color w:val="000000"/>
                <w:sz w:val="20"/>
                <w:szCs w:val="20"/>
              </w:rPr>
            </w:pPr>
          </w:p>
        </w:tc>
        <w:tc>
          <w:tcPr>
            <w:tcW w:w="5278"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b/>
                <w:bCs/>
                <w:color w:val="000000"/>
                <w:sz w:val="20"/>
                <w:szCs w:val="20"/>
              </w:rPr>
            </w:pPr>
          </w:p>
        </w:tc>
      </w:tr>
      <w:tr w:rsidR="00656AFB" w:rsidRPr="00630178" w:rsidTr="00656AFB">
        <w:trPr>
          <w:trHeight w:val="306"/>
        </w:trPr>
        <w:tc>
          <w:tcPr>
            <w:tcW w:w="5163" w:type="dxa"/>
            <w:tcBorders>
              <w:top w:val="nil"/>
              <w:left w:val="nil"/>
              <w:bottom w:val="nil"/>
              <w:right w:val="nil"/>
            </w:tcBorders>
            <w:shd w:val="clear" w:color="auto" w:fill="auto"/>
            <w:noWrap/>
            <w:vAlign w:val="center"/>
            <w:hideMark/>
          </w:tcPr>
          <w:p w:rsidR="00656AFB" w:rsidRPr="00630178" w:rsidRDefault="00656AFB" w:rsidP="0083345E">
            <w:pPr>
              <w:spacing w:after="0" w:line="240" w:lineRule="auto"/>
              <w:jc w:val="left"/>
              <w:rPr>
                <w:rFonts w:ascii="Calibri" w:eastAsia="Times New Roman" w:hAnsi="Calibri" w:cs="Calibri"/>
                <w:color w:val="000000"/>
                <w:sz w:val="20"/>
                <w:szCs w:val="20"/>
              </w:rPr>
            </w:pPr>
          </w:p>
        </w:tc>
        <w:tc>
          <w:tcPr>
            <w:tcW w:w="5278" w:type="dxa"/>
            <w:tcBorders>
              <w:top w:val="nil"/>
              <w:left w:val="nil"/>
              <w:bottom w:val="nil"/>
              <w:right w:val="nil"/>
            </w:tcBorders>
            <w:shd w:val="clear" w:color="auto" w:fill="auto"/>
            <w:noWrap/>
            <w:vAlign w:val="center"/>
          </w:tcPr>
          <w:p w:rsidR="00656AFB" w:rsidRPr="00630178" w:rsidRDefault="00656AFB" w:rsidP="0083345E">
            <w:pPr>
              <w:spacing w:after="0" w:line="240" w:lineRule="auto"/>
              <w:jc w:val="left"/>
              <w:rPr>
                <w:rFonts w:ascii="Calibri" w:eastAsia="Times New Roman" w:hAnsi="Calibri" w:cs="Calibri"/>
                <w:b/>
                <w:bCs/>
                <w:color w:val="000000"/>
                <w:sz w:val="20"/>
                <w:szCs w:val="20"/>
              </w:rPr>
            </w:pPr>
          </w:p>
        </w:tc>
      </w:tr>
    </w:tbl>
    <w:p w:rsidR="0083345E" w:rsidRDefault="0083345E" w:rsidP="004463D0">
      <w:pPr>
        <w:spacing w:after="0" w:line="240" w:lineRule="auto"/>
        <w:jc w:val="center"/>
        <w:rPr>
          <w:b/>
          <w:smallCaps/>
          <w:sz w:val="28"/>
        </w:rPr>
      </w:pPr>
    </w:p>
    <w:p w:rsidR="004463D0" w:rsidRPr="004463D0" w:rsidRDefault="004463D0" w:rsidP="004463D0">
      <w:pPr>
        <w:spacing w:after="0" w:line="240" w:lineRule="auto"/>
        <w:jc w:val="center"/>
        <w:rPr>
          <w:b/>
          <w:smallCaps/>
          <w:sz w:val="28"/>
        </w:rPr>
        <w:sectPr w:rsidR="004463D0" w:rsidRPr="004463D0" w:rsidSect="004463D0">
          <w:headerReference w:type="default" r:id="rId18"/>
          <w:footerReference w:type="default" r:id="rId19"/>
          <w:pgSz w:w="12240" w:h="15840"/>
          <w:pgMar w:top="1440" w:right="1440" w:bottom="1170" w:left="1440" w:header="540" w:footer="480" w:gutter="0"/>
          <w:pgNumType w:fmt="lowerRoman" w:start="1"/>
          <w:cols w:space="720"/>
          <w:docGrid w:linePitch="360"/>
        </w:sectPr>
      </w:pPr>
    </w:p>
    <w:p w:rsidR="00003903" w:rsidRDefault="00B31EAB" w:rsidP="00A427B5">
      <w:pPr>
        <w:pStyle w:val="Heading1"/>
        <w:numPr>
          <w:ilvl w:val="0"/>
          <w:numId w:val="24"/>
        </w:numPr>
      </w:pPr>
      <w:bookmarkStart w:id="5" w:name="_Toc355954889"/>
      <w:r w:rsidRPr="00A427B5">
        <w:lastRenderedPageBreak/>
        <w:t>Executive Summary</w:t>
      </w:r>
      <w:bookmarkEnd w:id="5"/>
    </w:p>
    <w:p w:rsidR="0071648A" w:rsidRDefault="00CB0EB7" w:rsidP="003447DD">
      <w:pPr>
        <w:spacing w:line="240" w:lineRule="auto"/>
        <w:rPr>
          <w:rFonts w:ascii="Garamond" w:hAnsi="Garamond"/>
          <w:sz w:val="23"/>
          <w:szCs w:val="23"/>
        </w:rPr>
      </w:pPr>
      <w:r>
        <w:rPr>
          <w:rFonts w:ascii="Garamond" w:hAnsi="Garamond"/>
          <w:sz w:val="23"/>
          <w:szCs w:val="23"/>
        </w:rPr>
        <w:t xml:space="preserve">Pennsylvania </w:t>
      </w:r>
      <w:r w:rsidR="0071648A">
        <w:rPr>
          <w:rFonts w:ascii="Garamond" w:hAnsi="Garamond"/>
          <w:sz w:val="23"/>
          <w:szCs w:val="23"/>
        </w:rPr>
        <w:t xml:space="preserve">Act 129 of 2008 required Electric Distribution </w:t>
      </w:r>
      <w:r w:rsidR="00090B9E">
        <w:rPr>
          <w:rFonts w:ascii="Garamond" w:hAnsi="Garamond"/>
          <w:sz w:val="23"/>
          <w:szCs w:val="23"/>
        </w:rPr>
        <w:t xml:space="preserve">Companies (EDCs) with at least 100,000 customers to adopt a plan, approved by the </w:t>
      </w:r>
      <w:r w:rsidR="001F6AFF">
        <w:rPr>
          <w:rFonts w:ascii="Garamond" w:hAnsi="Garamond"/>
          <w:sz w:val="23"/>
          <w:szCs w:val="23"/>
        </w:rPr>
        <w:t xml:space="preserve">Pennsylvania Public Utility Commission (the </w:t>
      </w:r>
      <w:r w:rsidR="00090B9E">
        <w:rPr>
          <w:rFonts w:ascii="Garamond" w:hAnsi="Garamond"/>
          <w:sz w:val="23"/>
          <w:szCs w:val="23"/>
        </w:rPr>
        <w:t>Commission</w:t>
      </w:r>
      <w:r w:rsidR="001F6AFF">
        <w:rPr>
          <w:rFonts w:ascii="Garamond" w:hAnsi="Garamond"/>
          <w:sz w:val="23"/>
          <w:szCs w:val="23"/>
        </w:rPr>
        <w:t>)</w:t>
      </w:r>
      <w:r w:rsidR="00090B9E">
        <w:rPr>
          <w:rFonts w:ascii="Garamond" w:hAnsi="Garamond"/>
          <w:sz w:val="23"/>
          <w:szCs w:val="23"/>
        </w:rPr>
        <w:t>, to reduce total annual weather-normalized energy consumption by at least 3% by May 31, 2013. In addition, the legislation established a peak demand reduct</w:t>
      </w:r>
      <w:r w:rsidR="00BE4B20">
        <w:rPr>
          <w:rFonts w:ascii="Garamond" w:hAnsi="Garamond"/>
          <w:sz w:val="23"/>
          <w:szCs w:val="23"/>
        </w:rPr>
        <w:t xml:space="preserve">ion target of 4.5% over the </w:t>
      </w:r>
      <w:r w:rsidR="00090B9E">
        <w:rPr>
          <w:rFonts w:ascii="Garamond" w:hAnsi="Garamond"/>
          <w:sz w:val="23"/>
          <w:szCs w:val="23"/>
        </w:rPr>
        <w:t xml:space="preserve">100 hours of highest demand. By enacting a demand reduction target greater than the </w:t>
      </w:r>
      <w:r w:rsidR="009340C7">
        <w:rPr>
          <w:rFonts w:ascii="Garamond" w:hAnsi="Garamond"/>
          <w:sz w:val="23"/>
          <w:szCs w:val="23"/>
        </w:rPr>
        <w:t xml:space="preserve">required reduction for energy consumption, the Commission encouraged EDCs to implement </w:t>
      </w:r>
      <w:r w:rsidR="00060621">
        <w:rPr>
          <w:rFonts w:ascii="Garamond" w:hAnsi="Garamond"/>
          <w:sz w:val="23"/>
          <w:szCs w:val="23"/>
        </w:rPr>
        <w:t>peak shaving programs</w:t>
      </w:r>
      <w:r w:rsidR="00EC65DF">
        <w:rPr>
          <w:rFonts w:ascii="Garamond" w:hAnsi="Garamond"/>
          <w:sz w:val="23"/>
          <w:szCs w:val="23"/>
        </w:rPr>
        <w:t xml:space="preserve">. </w:t>
      </w:r>
      <w:r w:rsidR="002366C3">
        <w:rPr>
          <w:rFonts w:ascii="Garamond" w:hAnsi="Garamond"/>
          <w:sz w:val="23"/>
          <w:szCs w:val="23"/>
        </w:rPr>
        <w:t>The Commission directed that th</w:t>
      </w:r>
      <w:r w:rsidR="002246E2">
        <w:rPr>
          <w:rFonts w:ascii="Garamond" w:hAnsi="Garamond"/>
          <w:sz w:val="23"/>
          <w:szCs w:val="23"/>
        </w:rPr>
        <w:t>e</w:t>
      </w:r>
      <w:r w:rsidR="009340C7">
        <w:rPr>
          <w:rFonts w:ascii="Garamond" w:hAnsi="Garamond"/>
          <w:sz w:val="23"/>
          <w:szCs w:val="23"/>
        </w:rPr>
        <w:t xml:space="preserve"> EDCs implement Demand Response (DR) programs during the </w:t>
      </w:r>
      <w:r w:rsidR="009E0718">
        <w:rPr>
          <w:rFonts w:ascii="Garamond" w:hAnsi="Garamond"/>
          <w:sz w:val="23"/>
          <w:szCs w:val="23"/>
        </w:rPr>
        <w:t>s</w:t>
      </w:r>
      <w:r w:rsidR="009340C7">
        <w:rPr>
          <w:rFonts w:ascii="Garamond" w:hAnsi="Garamond"/>
          <w:sz w:val="23"/>
          <w:szCs w:val="23"/>
        </w:rPr>
        <w:t>ummer 2012 performance period to achieve the mandated 4.5</w:t>
      </w:r>
      <w:r w:rsidR="00216996">
        <w:rPr>
          <w:rFonts w:ascii="Garamond" w:hAnsi="Garamond"/>
          <w:sz w:val="23"/>
          <w:szCs w:val="23"/>
        </w:rPr>
        <w:t>% peak demand reduction target.</w:t>
      </w:r>
      <w:r w:rsidR="002366C3">
        <w:rPr>
          <w:rStyle w:val="FootnoteReference"/>
          <w:rFonts w:ascii="Garamond" w:hAnsi="Garamond"/>
          <w:sz w:val="23"/>
          <w:szCs w:val="23"/>
        </w:rPr>
        <w:footnoteReference w:id="1"/>
      </w:r>
      <w:r w:rsidR="00216996">
        <w:rPr>
          <w:rFonts w:ascii="Garamond" w:hAnsi="Garamond"/>
          <w:sz w:val="23"/>
          <w:szCs w:val="23"/>
        </w:rPr>
        <w:t xml:space="preserve"> The Commission directed the SWE to conduct a Demand Response Study to evaluate the effectiveness of Act 129 DR programs in Phase I and inform decisions about whether peak load reduction targets </w:t>
      </w:r>
      <w:r>
        <w:rPr>
          <w:rFonts w:ascii="Garamond" w:hAnsi="Garamond"/>
          <w:sz w:val="23"/>
          <w:szCs w:val="23"/>
        </w:rPr>
        <w:t>can be justified</w:t>
      </w:r>
      <w:r w:rsidR="00216996">
        <w:rPr>
          <w:rFonts w:ascii="Garamond" w:hAnsi="Garamond"/>
          <w:sz w:val="23"/>
          <w:szCs w:val="23"/>
        </w:rPr>
        <w:t xml:space="preserve"> in future phases of Act 129.</w:t>
      </w:r>
      <w:r w:rsidR="009B1321">
        <w:rPr>
          <w:rStyle w:val="FootnoteReference"/>
          <w:rFonts w:ascii="Garamond" w:hAnsi="Garamond"/>
          <w:sz w:val="23"/>
          <w:szCs w:val="23"/>
        </w:rPr>
        <w:footnoteReference w:id="2"/>
      </w:r>
      <w:r w:rsidR="00216996">
        <w:rPr>
          <w:rFonts w:ascii="Garamond" w:hAnsi="Garamond"/>
          <w:sz w:val="23"/>
          <w:szCs w:val="23"/>
        </w:rPr>
        <w:t xml:space="preserve"> </w:t>
      </w:r>
      <w:r w:rsidR="0071648A">
        <w:rPr>
          <w:rFonts w:ascii="Garamond" w:hAnsi="Garamond"/>
          <w:sz w:val="23"/>
          <w:szCs w:val="23"/>
        </w:rPr>
        <w:t xml:space="preserve">This report presents the findings and recommendations of the </w:t>
      </w:r>
      <w:r w:rsidR="00060621">
        <w:rPr>
          <w:rFonts w:ascii="Garamond" w:hAnsi="Garamond"/>
          <w:sz w:val="23"/>
          <w:szCs w:val="23"/>
        </w:rPr>
        <w:t xml:space="preserve">SWE DR </w:t>
      </w:r>
      <w:r w:rsidR="003447DD">
        <w:rPr>
          <w:rFonts w:ascii="Garamond" w:hAnsi="Garamond"/>
          <w:sz w:val="23"/>
          <w:szCs w:val="23"/>
        </w:rPr>
        <w:t xml:space="preserve">study </w:t>
      </w:r>
      <w:r w:rsidR="00EF2A61">
        <w:rPr>
          <w:rFonts w:ascii="Garamond" w:hAnsi="Garamond"/>
          <w:sz w:val="23"/>
          <w:szCs w:val="23"/>
        </w:rPr>
        <w:t xml:space="preserve">based on a benefit cost </w:t>
      </w:r>
      <w:r w:rsidR="00531C3A">
        <w:rPr>
          <w:rFonts w:ascii="Garamond" w:hAnsi="Garamond"/>
          <w:sz w:val="23"/>
          <w:szCs w:val="23"/>
        </w:rPr>
        <w:t xml:space="preserve">assessment of the </w:t>
      </w:r>
      <w:r w:rsidR="00EF2A61">
        <w:rPr>
          <w:rFonts w:ascii="Garamond" w:hAnsi="Garamond"/>
          <w:sz w:val="23"/>
          <w:szCs w:val="23"/>
        </w:rPr>
        <w:t>Phase I DR programs,</w:t>
      </w:r>
      <w:r w:rsidR="00531C3A">
        <w:rPr>
          <w:rFonts w:ascii="Garamond" w:hAnsi="Garamond"/>
          <w:sz w:val="23"/>
          <w:szCs w:val="23"/>
        </w:rPr>
        <w:t xml:space="preserve"> </w:t>
      </w:r>
      <w:r w:rsidR="00EF2A61">
        <w:rPr>
          <w:rFonts w:ascii="Garamond" w:hAnsi="Garamond"/>
          <w:sz w:val="23"/>
          <w:szCs w:val="23"/>
        </w:rPr>
        <w:t xml:space="preserve">a </w:t>
      </w:r>
      <w:r w:rsidR="00216996">
        <w:rPr>
          <w:rFonts w:ascii="Garamond" w:hAnsi="Garamond"/>
          <w:sz w:val="23"/>
          <w:szCs w:val="23"/>
        </w:rPr>
        <w:t>review of DR goals and p</w:t>
      </w:r>
      <w:r w:rsidR="003447DD">
        <w:rPr>
          <w:rFonts w:ascii="Garamond" w:hAnsi="Garamond"/>
          <w:sz w:val="23"/>
          <w:szCs w:val="23"/>
        </w:rPr>
        <w:t xml:space="preserve">rotocols in other jurisdictions and a historical analysis of market conditions in </w:t>
      </w:r>
      <w:r w:rsidR="00BE4B20">
        <w:rPr>
          <w:rFonts w:ascii="Garamond" w:hAnsi="Garamond"/>
          <w:sz w:val="23"/>
          <w:szCs w:val="23"/>
        </w:rPr>
        <w:t>the Commonwealth of Pennsylvania</w:t>
      </w:r>
      <w:r w:rsidR="003447DD">
        <w:rPr>
          <w:rFonts w:ascii="Garamond" w:hAnsi="Garamond"/>
          <w:sz w:val="23"/>
          <w:szCs w:val="23"/>
        </w:rPr>
        <w:t>.</w:t>
      </w:r>
      <w:r w:rsidR="00381127">
        <w:rPr>
          <w:rStyle w:val="FootnoteReference"/>
          <w:rFonts w:ascii="Garamond" w:hAnsi="Garamond"/>
          <w:sz w:val="23"/>
          <w:szCs w:val="23"/>
        </w:rPr>
        <w:footnoteReference w:id="3"/>
      </w:r>
      <w:r w:rsidR="003447DD">
        <w:rPr>
          <w:rFonts w:ascii="Garamond" w:hAnsi="Garamond"/>
          <w:sz w:val="23"/>
          <w:szCs w:val="23"/>
        </w:rPr>
        <w:t xml:space="preserve"> </w:t>
      </w:r>
    </w:p>
    <w:p w:rsidR="00A9561D" w:rsidRDefault="00861516" w:rsidP="008F762D">
      <w:pPr>
        <w:spacing w:line="240" w:lineRule="auto"/>
        <w:rPr>
          <w:rFonts w:ascii="Garamond" w:hAnsi="Garamond"/>
          <w:sz w:val="23"/>
          <w:szCs w:val="23"/>
        </w:rPr>
      </w:pPr>
      <w:r>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_Ref343622274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B</w:t>
      </w:r>
      <w:r>
        <w:rPr>
          <w:rFonts w:ascii="Garamond" w:hAnsi="Garamond"/>
          <w:sz w:val="23"/>
          <w:szCs w:val="23"/>
        </w:rPr>
        <w:fldChar w:fldCharType="end"/>
      </w:r>
      <w:r>
        <w:rPr>
          <w:rFonts w:ascii="Garamond" w:hAnsi="Garamond"/>
          <w:sz w:val="23"/>
          <w:szCs w:val="23"/>
        </w:rPr>
        <w:t xml:space="preserve"> of this report provides an introduction to various types of demand response and the market pricing concepts that are </w:t>
      </w:r>
      <w:r w:rsidR="003F29E6">
        <w:rPr>
          <w:rFonts w:ascii="Garamond" w:hAnsi="Garamond"/>
          <w:sz w:val="23"/>
          <w:szCs w:val="23"/>
        </w:rPr>
        <w:t>discussed</w:t>
      </w:r>
      <w:r>
        <w:rPr>
          <w:rFonts w:ascii="Garamond" w:hAnsi="Garamond"/>
          <w:sz w:val="23"/>
          <w:szCs w:val="23"/>
        </w:rPr>
        <w:t xml:space="preserve"> in later sections. </w:t>
      </w:r>
      <w:r w:rsidR="00F25278">
        <w:rPr>
          <w:rFonts w:ascii="Garamond" w:hAnsi="Garamond"/>
          <w:sz w:val="23"/>
          <w:szCs w:val="23"/>
        </w:rPr>
        <w:t xml:space="preserve">Section </w:t>
      </w:r>
      <w:r w:rsidR="00F25278">
        <w:rPr>
          <w:rFonts w:ascii="Garamond" w:hAnsi="Garamond"/>
          <w:sz w:val="23"/>
          <w:szCs w:val="23"/>
        </w:rPr>
        <w:fldChar w:fldCharType="begin"/>
      </w:r>
      <w:r w:rsidR="00F25278">
        <w:rPr>
          <w:rFonts w:ascii="Garamond" w:hAnsi="Garamond"/>
          <w:sz w:val="23"/>
          <w:szCs w:val="23"/>
        </w:rPr>
        <w:instrText xml:space="preserve"> REF _Ref343689799 \r \h </w:instrText>
      </w:r>
      <w:r w:rsidR="00F25278">
        <w:rPr>
          <w:rFonts w:ascii="Garamond" w:hAnsi="Garamond"/>
          <w:sz w:val="23"/>
          <w:szCs w:val="23"/>
        </w:rPr>
      </w:r>
      <w:r w:rsidR="00F25278">
        <w:rPr>
          <w:rFonts w:ascii="Garamond" w:hAnsi="Garamond"/>
          <w:sz w:val="23"/>
          <w:szCs w:val="23"/>
        </w:rPr>
        <w:fldChar w:fldCharType="separate"/>
      </w:r>
      <w:r w:rsidR="00451FFF">
        <w:rPr>
          <w:rFonts w:ascii="Garamond" w:hAnsi="Garamond"/>
          <w:sz w:val="23"/>
          <w:szCs w:val="23"/>
        </w:rPr>
        <w:t>C</w:t>
      </w:r>
      <w:r w:rsidR="00F25278">
        <w:rPr>
          <w:rFonts w:ascii="Garamond" w:hAnsi="Garamond"/>
          <w:sz w:val="23"/>
          <w:szCs w:val="23"/>
        </w:rPr>
        <w:fldChar w:fldCharType="end"/>
      </w:r>
      <w:r w:rsidR="00F25278">
        <w:rPr>
          <w:rFonts w:ascii="Garamond" w:hAnsi="Garamond"/>
          <w:sz w:val="23"/>
          <w:szCs w:val="23"/>
        </w:rPr>
        <w:t xml:space="preserve"> </w:t>
      </w:r>
      <w:r w:rsidR="00CB0EB7">
        <w:rPr>
          <w:rFonts w:ascii="Garamond" w:hAnsi="Garamond"/>
          <w:sz w:val="23"/>
          <w:szCs w:val="23"/>
        </w:rPr>
        <w:t xml:space="preserve">explores the </w:t>
      </w:r>
      <w:r w:rsidR="00F25278">
        <w:rPr>
          <w:rFonts w:ascii="Garamond" w:hAnsi="Garamond"/>
          <w:sz w:val="23"/>
          <w:szCs w:val="23"/>
        </w:rPr>
        <w:t xml:space="preserve">similarities and differences </w:t>
      </w:r>
      <w:r w:rsidR="00CB0EB7">
        <w:rPr>
          <w:rFonts w:ascii="Garamond" w:hAnsi="Garamond"/>
          <w:sz w:val="23"/>
          <w:szCs w:val="23"/>
        </w:rPr>
        <w:t>between the Act 129 programs in Pennsylvania and DR structures and mechanism</w:t>
      </w:r>
      <w:r w:rsidR="00060621">
        <w:rPr>
          <w:rFonts w:ascii="Garamond" w:hAnsi="Garamond"/>
          <w:sz w:val="23"/>
          <w:szCs w:val="23"/>
        </w:rPr>
        <w:t>s</w:t>
      </w:r>
      <w:r w:rsidR="006F7082">
        <w:rPr>
          <w:rFonts w:ascii="Garamond" w:hAnsi="Garamond"/>
          <w:sz w:val="23"/>
          <w:szCs w:val="23"/>
        </w:rPr>
        <w:t xml:space="preserve"> established in California, Illinois, Ohio, New York and Wisconsin</w:t>
      </w:r>
      <w:r w:rsidR="00CB0EB7">
        <w:rPr>
          <w:rFonts w:ascii="Garamond" w:hAnsi="Garamond"/>
          <w:sz w:val="23"/>
          <w:szCs w:val="23"/>
        </w:rPr>
        <w:t xml:space="preserve">. </w:t>
      </w:r>
      <w:r w:rsidR="00B76DA4">
        <w:rPr>
          <w:rFonts w:ascii="Garamond" w:hAnsi="Garamond"/>
          <w:sz w:val="23"/>
          <w:szCs w:val="23"/>
        </w:rPr>
        <w:t xml:space="preserve">Two distinct types of goals were identified during the SWE review of DR structures in other jurisdictions: demand reduction and demand response. </w:t>
      </w:r>
      <w:r w:rsidR="00CB0EB7">
        <w:rPr>
          <w:rFonts w:ascii="Garamond" w:hAnsi="Garamond"/>
          <w:sz w:val="23"/>
          <w:szCs w:val="23"/>
        </w:rPr>
        <w:t xml:space="preserve">Based on a </w:t>
      </w:r>
      <w:r w:rsidR="00060621">
        <w:rPr>
          <w:rFonts w:ascii="Garamond" w:hAnsi="Garamond"/>
          <w:sz w:val="23"/>
          <w:szCs w:val="23"/>
        </w:rPr>
        <w:t xml:space="preserve">calibrated </w:t>
      </w:r>
      <w:r w:rsidR="00CB0EB7">
        <w:rPr>
          <w:rFonts w:ascii="Garamond" w:hAnsi="Garamond"/>
          <w:sz w:val="23"/>
          <w:szCs w:val="23"/>
        </w:rPr>
        <w:t xml:space="preserve">comparison of DR targets established in these jurisdictions, </w:t>
      </w:r>
      <w:r w:rsidR="00F25278">
        <w:rPr>
          <w:rFonts w:ascii="Garamond" w:hAnsi="Garamond"/>
          <w:sz w:val="23"/>
          <w:szCs w:val="23"/>
        </w:rPr>
        <w:t xml:space="preserve">the </w:t>
      </w:r>
      <w:r w:rsidR="00CB0EB7">
        <w:rPr>
          <w:rFonts w:ascii="Garamond" w:hAnsi="Garamond"/>
          <w:sz w:val="23"/>
          <w:szCs w:val="23"/>
        </w:rPr>
        <w:t>SWE</w:t>
      </w:r>
      <w:r w:rsidR="006F7082">
        <w:rPr>
          <w:rFonts w:ascii="Garamond" w:hAnsi="Garamond"/>
          <w:sz w:val="23"/>
          <w:szCs w:val="23"/>
        </w:rPr>
        <w:t xml:space="preserve"> found the 4.5% </w:t>
      </w:r>
      <w:r w:rsidR="00CB0EB7">
        <w:rPr>
          <w:rFonts w:ascii="Garamond" w:hAnsi="Garamond"/>
          <w:sz w:val="23"/>
          <w:szCs w:val="23"/>
        </w:rPr>
        <w:t xml:space="preserve">Act 129 </w:t>
      </w:r>
      <w:r w:rsidR="008F762D">
        <w:rPr>
          <w:rFonts w:ascii="Garamond" w:hAnsi="Garamond"/>
          <w:sz w:val="23"/>
          <w:szCs w:val="23"/>
        </w:rPr>
        <w:t>demand reduction goal to be aggressive.</w:t>
      </w:r>
      <w:r w:rsidR="00A9561D">
        <w:rPr>
          <w:rFonts w:ascii="Garamond" w:hAnsi="Garamond"/>
          <w:sz w:val="23"/>
          <w:szCs w:val="23"/>
        </w:rPr>
        <w:t xml:space="preserve"> </w:t>
      </w:r>
    </w:p>
    <w:p w:rsidR="00A9561D" w:rsidRDefault="00CB0EB7" w:rsidP="008F762D">
      <w:pPr>
        <w:spacing w:line="240" w:lineRule="auto"/>
        <w:rPr>
          <w:rFonts w:ascii="Garamond" w:hAnsi="Garamond"/>
          <w:sz w:val="23"/>
          <w:szCs w:val="23"/>
        </w:rPr>
      </w:pPr>
      <w:r>
        <w:rPr>
          <w:rFonts w:ascii="Garamond" w:hAnsi="Garamond"/>
          <w:sz w:val="23"/>
          <w:szCs w:val="23"/>
        </w:rPr>
        <w:t>Demand reduction goals</w:t>
      </w:r>
      <w:r w:rsidR="00A9561D">
        <w:rPr>
          <w:rFonts w:ascii="Garamond" w:hAnsi="Garamond"/>
          <w:sz w:val="23"/>
          <w:szCs w:val="23"/>
        </w:rPr>
        <w:t xml:space="preserve">, like the 4.5% </w:t>
      </w:r>
      <w:r w:rsidR="00B76DA4">
        <w:rPr>
          <w:rFonts w:ascii="Garamond" w:hAnsi="Garamond"/>
          <w:sz w:val="23"/>
          <w:szCs w:val="23"/>
        </w:rPr>
        <w:t xml:space="preserve">peak demand reduction </w:t>
      </w:r>
      <w:r w:rsidR="00A9561D">
        <w:rPr>
          <w:rFonts w:ascii="Garamond" w:hAnsi="Garamond"/>
          <w:sz w:val="23"/>
          <w:szCs w:val="23"/>
        </w:rPr>
        <w:t>target in Pennsylvania,</w:t>
      </w:r>
      <w:r w:rsidR="008F762D">
        <w:rPr>
          <w:rFonts w:ascii="Garamond" w:hAnsi="Garamond"/>
          <w:sz w:val="23"/>
          <w:szCs w:val="23"/>
        </w:rPr>
        <w:t xml:space="preserve"> </w:t>
      </w:r>
      <w:r w:rsidR="008F762D" w:rsidRPr="008F762D">
        <w:rPr>
          <w:rFonts w:ascii="Garamond" w:hAnsi="Garamond"/>
          <w:sz w:val="23"/>
          <w:szCs w:val="23"/>
        </w:rPr>
        <w:t>can be achieved</w:t>
      </w:r>
      <w:r w:rsidR="009314B0">
        <w:rPr>
          <w:rFonts w:ascii="Garamond" w:hAnsi="Garamond"/>
          <w:sz w:val="23"/>
          <w:szCs w:val="23"/>
        </w:rPr>
        <w:t xml:space="preserve"> by</w:t>
      </w:r>
      <w:r w:rsidR="008F762D" w:rsidRPr="008F762D">
        <w:rPr>
          <w:rFonts w:ascii="Garamond" w:hAnsi="Garamond"/>
          <w:sz w:val="23"/>
          <w:szCs w:val="23"/>
        </w:rPr>
        <w:t xml:space="preserve"> </w:t>
      </w:r>
      <w:r w:rsidR="001A36BA">
        <w:rPr>
          <w:rFonts w:ascii="Garamond" w:hAnsi="Garamond"/>
          <w:sz w:val="23"/>
          <w:szCs w:val="23"/>
        </w:rPr>
        <w:t xml:space="preserve">DR programs or </w:t>
      </w:r>
      <w:r w:rsidR="008F762D" w:rsidRPr="008F762D">
        <w:rPr>
          <w:rFonts w:ascii="Garamond" w:hAnsi="Garamond"/>
          <w:sz w:val="23"/>
          <w:szCs w:val="23"/>
        </w:rPr>
        <w:t xml:space="preserve">energy efficiency programs because most energy efficiency measures </w:t>
      </w:r>
      <w:r>
        <w:rPr>
          <w:rFonts w:ascii="Garamond" w:hAnsi="Garamond"/>
          <w:sz w:val="23"/>
          <w:szCs w:val="23"/>
        </w:rPr>
        <w:t xml:space="preserve">permanently </w:t>
      </w:r>
      <w:r w:rsidR="008F762D" w:rsidRPr="008F762D">
        <w:rPr>
          <w:rFonts w:ascii="Garamond" w:hAnsi="Garamond"/>
          <w:sz w:val="23"/>
          <w:szCs w:val="23"/>
        </w:rPr>
        <w:t xml:space="preserve">reduce equipment </w:t>
      </w:r>
      <w:r w:rsidR="00BE4B20">
        <w:rPr>
          <w:rFonts w:ascii="Garamond" w:hAnsi="Garamond"/>
          <w:sz w:val="23"/>
          <w:szCs w:val="23"/>
        </w:rPr>
        <w:t>power consumption</w:t>
      </w:r>
      <w:r w:rsidR="008F762D" w:rsidRPr="008F762D">
        <w:rPr>
          <w:rFonts w:ascii="Garamond" w:hAnsi="Garamond"/>
          <w:sz w:val="23"/>
          <w:szCs w:val="23"/>
        </w:rPr>
        <w:t xml:space="preserve"> during periods of peak demand</w:t>
      </w:r>
      <w:r>
        <w:rPr>
          <w:rFonts w:ascii="Garamond" w:hAnsi="Garamond"/>
          <w:sz w:val="23"/>
          <w:szCs w:val="23"/>
        </w:rPr>
        <w:t xml:space="preserve"> over the life of the measure</w:t>
      </w:r>
      <w:r w:rsidR="008F762D" w:rsidRPr="008F762D">
        <w:rPr>
          <w:rFonts w:ascii="Garamond" w:hAnsi="Garamond"/>
          <w:sz w:val="23"/>
          <w:szCs w:val="23"/>
        </w:rPr>
        <w:t>.</w:t>
      </w:r>
      <w:r w:rsidR="00F25278">
        <w:rPr>
          <w:rFonts w:ascii="Garamond" w:hAnsi="Garamond"/>
          <w:sz w:val="23"/>
          <w:szCs w:val="23"/>
        </w:rPr>
        <w:t xml:space="preserve"> </w:t>
      </w:r>
      <w:r w:rsidR="001A36BA" w:rsidRPr="008F762D">
        <w:rPr>
          <w:rFonts w:ascii="Garamond" w:hAnsi="Garamond"/>
          <w:sz w:val="23"/>
          <w:szCs w:val="23"/>
        </w:rPr>
        <w:t xml:space="preserve">A demand response (DR) goal is </w:t>
      </w:r>
      <w:r w:rsidR="001A36BA">
        <w:rPr>
          <w:rFonts w:ascii="Garamond" w:hAnsi="Garamond"/>
          <w:sz w:val="23"/>
          <w:szCs w:val="23"/>
        </w:rPr>
        <w:t>achieved</w:t>
      </w:r>
      <w:r w:rsidR="001A36BA" w:rsidRPr="008F762D">
        <w:rPr>
          <w:rFonts w:ascii="Garamond" w:hAnsi="Garamond"/>
          <w:sz w:val="23"/>
          <w:szCs w:val="23"/>
        </w:rPr>
        <w:t xml:space="preserve"> </w:t>
      </w:r>
      <w:r w:rsidR="001A36BA">
        <w:rPr>
          <w:rFonts w:ascii="Garamond" w:hAnsi="Garamond"/>
          <w:sz w:val="23"/>
          <w:szCs w:val="23"/>
        </w:rPr>
        <w:t xml:space="preserve">solely </w:t>
      </w:r>
      <w:r w:rsidR="001A36BA" w:rsidRPr="008F762D">
        <w:rPr>
          <w:rFonts w:ascii="Garamond" w:hAnsi="Garamond"/>
          <w:sz w:val="23"/>
          <w:szCs w:val="23"/>
        </w:rPr>
        <w:t xml:space="preserve">by reducing peak demand temporarily through </w:t>
      </w:r>
      <w:r w:rsidR="001A36BA">
        <w:rPr>
          <w:rFonts w:ascii="Garamond" w:hAnsi="Garamond"/>
          <w:sz w:val="23"/>
          <w:szCs w:val="23"/>
        </w:rPr>
        <w:t>dispatched peak shaving resources</w:t>
      </w:r>
      <w:r w:rsidR="001A36BA" w:rsidRPr="008F762D">
        <w:rPr>
          <w:rFonts w:ascii="Garamond" w:hAnsi="Garamond"/>
          <w:sz w:val="23"/>
          <w:szCs w:val="23"/>
        </w:rPr>
        <w:t xml:space="preserve"> </w:t>
      </w:r>
      <w:r w:rsidR="00861516">
        <w:rPr>
          <w:rFonts w:ascii="Garamond" w:hAnsi="Garamond"/>
          <w:sz w:val="23"/>
          <w:szCs w:val="23"/>
        </w:rPr>
        <w:t xml:space="preserve">or pricing signals </w:t>
      </w:r>
      <w:r w:rsidR="001A36BA" w:rsidRPr="008F762D">
        <w:rPr>
          <w:rFonts w:ascii="Garamond" w:hAnsi="Garamond"/>
          <w:sz w:val="23"/>
          <w:szCs w:val="23"/>
        </w:rPr>
        <w:t>and does not include the permanent reduction in demand resulting fr</w:t>
      </w:r>
      <w:r w:rsidR="001A36BA">
        <w:rPr>
          <w:rFonts w:ascii="Garamond" w:hAnsi="Garamond"/>
          <w:sz w:val="23"/>
          <w:szCs w:val="23"/>
        </w:rPr>
        <w:t xml:space="preserve">om energy efficiency programs. </w:t>
      </w:r>
      <w:r w:rsidR="00A9561D">
        <w:rPr>
          <w:rFonts w:ascii="Garamond" w:hAnsi="Garamond"/>
          <w:sz w:val="23"/>
          <w:szCs w:val="23"/>
        </w:rPr>
        <w:t xml:space="preserve">Act 129 does not have a specific </w:t>
      </w:r>
      <w:r w:rsidR="002E1D85">
        <w:rPr>
          <w:rFonts w:ascii="Garamond" w:hAnsi="Garamond"/>
          <w:sz w:val="23"/>
          <w:szCs w:val="23"/>
        </w:rPr>
        <w:t>demand response goal</w:t>
      </w:r>
      <w:r w:rsidR="00B76DA4">
        <w:rPr>
          <w:rFonts w:ascii="Garamond" w:hAnsi="Garamond"/>
          <w:sz w:val="23"/>
          <w:szCs w:val="23"/>
        </w:rPr>
        <w:t>.</w:t>
      </w:r>
      <w:r w:rsidR="002E1D85">
        <w:rPr>
          <w:rFonts w:ascii="Garamond" w:hAnsi="Garamond"/>
          <w:sz w:val="23"/>
          <w:szCs w:val="23"/>
        </w:rPr>
        <w:t xml:space="preserve"> </w:t>
      </w:r>
    </w:p>
    <w:p w:rsidR="00861516" w:rsidRDefault="00371137" w:rsidP="008F762D">
      <w:pPr>
        <w:spacing w:line="240" w:lineRule="auto"/>
        <w:rPr>
          <w:rFonts w:ascii="Garamond" w:hAnsi="Garamond"/>
          <w:sz w:val="23"/>
          <w:szCs w:val="23"/>
        </w:rPr>
      </w:pPr>
      <w:r w:rsidRPr="00604A9F">
        <w:rPr>
          <w:rFonts w:ascii="Garamond" w:hAnsi="Garamond"/>
          <w:sz w:val="23"/>
          <w:szCs w:val="23"/>
        </w:rPr>
        <w:fldChar w:fldCharType="begin"/>
      </w:r>
      <w:r w:rsidRPr="00604A9F">
        <w:rPr>
          <w:rFonts w:ascii="Garamond" w:hAnsi="Garamond"/>
          <w:sz w:val="23"/>
          <w:szCs w:val="23"/>
        </w:rPr>
        <w:instrText xml:space="preserve"> REF _Ref344878548 \h </w:instrText>
      </w:r>
      <w:r w:rsidR="00604A9F" w:rsidRPr="00604A9F">
        <w:rPr>
          <w:rFonts w:ascii="Garamond" w:hAnsi="Garamond"/>
          <w:sz w:val="23"/>
          <w:szCs w:val="23"/>
        </w:rPr>
        <w:instrText xml:space="preserve"> \* MERGEFORMAT </w:instrText>
      </w:r>
      <w:r w:rsidRPr="00604A9F">
        <w:rPr>
          <w:rFonts w:ascii="Garamond" w:hAnsi="Garamond"/>
          <w:sz w:val="23"/>
          <w:szCs w:val="23"/>
        </w:rPr>
      </w:r>
      <w:r w:rsidRPr="00604A9F">
        <w:rPr>
          <w:rFonts w:ascii="Garamond" w:hAnsi="Garamond"/>
          <w:sz w:val="23"/>
          <w:szCs w:val="23"/>
        </w:rPr>
        <w:fldChar w:fldCharType="separate"/>
      </w:r>
      <w:r w:rsidR="00451FFF" w:rsidRPr="00BC6642">
        <w:rPr>
          <w:rFonts w:ascii="Garamond" w:hAnsi="Garamond"/>
          <w:sz w:val="23"/>
          <w:szCs w:val="23"/>
        </w:rPr>
        <w:t xml:space="preserve">Table </w:t>
      </w:r>
      <w:r w:rsidR="00451FFF">
        <w:rPr>
          <w:rFonts w:ascii="Garamond" w:hAnsi="Garamond"/>
          <w:noProof/>
          <w:sz w:val="23"/>
          <w:szCs w:val="23"/>
        </w:rPr>
        <w:t>A</w:t>
      </w:r>
      <w:r w:rsidR="00451FFF" w:rsidRPr="00BC6642">
        <w:rPr>
          <w:rFonts w:ascii="Garamond" w:hAnsi="Garamond"/>
          <w:noProof/>
          <w:sz w:val="23"/>
          <w:szCs w:val="23"/>
        </w:rPr>
        <w:noBreakHyphen/>
      </w:r>
      <w:r w:rsidR="00451FFF">
        <w:rPr>
          <w:rFonts w:ascii="Garamond" w:hAnsi="Garamond"/>
          <w:noProof/>
          <w:sz w:val="23"/>
          <w:szCs w:val="23"/>
        </w:rPr>
        <w:t>1</w:t>
      </w:r>
      <w:r w:rsidRPr="00604A9F">
        <w:rPr>
          <w:rFonts w:ascii="Garamond" w:hAnsi="Garamond"/>
          <w:sz w:val="23"/>
          <w:szCs w:val="23"/>
        </w:rPr>
        <w:fldChar w:fldCharType="end"/>
      </w:r>
      <w:r>
        <w:rPr>
          <w:rFonts w:ascii="Garamond" w:hAnsi="Garamond"/>
          <w:sz w:val="23"/>
          <w:szCs w:val="23"/>
        </w:rPr>
        <w:t xml:space="preserve"> compares the percent energy and demand reductions achieved by each of the EDCs through the end of Program Year 3. </w:t>
      </w:r>
      <w:r w:rsidR="00604A9F">
        <w:rPr>
          <w:rFonts w:ascii="Garamond" w:hAnsi="Garamond"/>
          <w:sz w:val="23"/>
          <w:szCs w:val="23"/>
        </w:rPr>
        <w:t xml:space="preserve">The demand reductions shown in </w:t>
      </w:r>
      <w:r w:rsidR="00604A9F" w:rsidRPr="00604A9F">
        <w:rPr>
          <w:rFonts w:ascii="Garamond" w:hAnsi="Garamond"/>
          <w:sz w:val="23"/>
          <w:szCs w:val="23"/>
        </w:rPr>
        <w:fldChar w:fldCharType="begin"/>
      </w:r>
      <w:r w:rsidR="00604A9F" w:rsidRPr="00604A9F">
        <w:rPr>
          <w:rFonts w:ascii="Garamond" w:hAnsi="Garamond"/>
          <w:sz w:val="23"/>
          <w:szCs w:val="23"/>
        </w:rPr>
        <w:instrText xml:space="preserve"> REF _Ref344878548 \h  \* MERGEFORMAT </w:instrText>
      </w:r>
      <w:r w:rsidR="00604A9F" w:rsidRPr="00604A9F">
        <w:rPr>
          <w:rFonts w:ascii="Garamond" w:hAnsi="Garamond"/>
          <w:sz w:val="23"/>
          <w:szCs w:val="23"/>
        </w:rPr>
      </w:r>
      <w:r w:rsidR="00604A9F" w:rsidRPr="00604A9F">
        <w:rPr>
          <w:rFonts w:ascii="Garamond" w:hAnsi="Garamond"/>
          <w:sz w:val="23"/>
          <w:szCs w:val="23"/>
        </w:rPr>
        <w:fldChar w:fldCharType="separate"/>
      </w:r>
      <w:r w:rsidR="00451FFF" w:rsidRPr="00BC6642">
        <w:rPr>
          <w:rFonts w:ascii="Garamond" w:hAnsi="Garamond"/>
          <w:sz w:val="23"/>
          <w:szCs w:val="23"/>
        </w:rPr>
        <w:t xml:space="preserve">Table </w:t>
      </w:r>
      <w:r w:rsidR="00451FFF">
        <w:rPr>
          <w:rFonts w:ascii="Garamond" w:hAnsi="Garamond"/>
          <w:noProof/>
          <w:sz w:val="23"/>
          <w:szCs w:val="23"/>
        </w:rPr>
        <w:t>A</w:t>
      </w:r>
      <w:r w:rsidR="00451FFF" w:rsidRPr="00BC6642">
        <w:rPr>
          <w:rFonts w:ascii="Garamond" w:hAnsi="Garamond"/>
          <w:noProof/>
          <w:sz w:val="23"/>
          <w:szCs w:val="23"/>
        </w:rPr>
        <w:noBreakHyphen/>
      </w:r>
      <w:r w:rsidR="00451FFF">
        <w:rPr>
          <w:rFonts w:ascii="Garamond" w:hAnsi="Garamond"/>
          <w:noProof/>
          <w:sz w:val="23"/>
          <w:szCs w:val="23"/>
        </w:rPr>
        <w:t>1</w:t>
      </w:r>
      <w:r w:rsidR="00604A9F" w:rsidRPr="00604A9F">
        <w:rPr>
          <w:rFonts w:ascii="Garamond" w:hAnsi="Garamond"/>
          <w:sz w:val="23"/>
          <w:szCs w:val="23"/>
        </w:rPr>
        <w:fldChar w:fldCharType="end"/>
      </w:r>
      <w:r w:rsidR="00861516">
        <w:rPr>
          <w:rFonts w:ascii="Garamond" w:hAnsi="Garamond"/>
          <w:sz w:val="23"/>
          <w:szCs w:val="23"/>
        </w:rPr>
        <w:t xml:space="preserve"> were </w:t>
      </w:r>
      <w:r w:rsidR="00604A9F">
        <w:rPr>
          <w:rFonts w:ascii="Garamond" w:hAnsi="Garamond"/>
          <w:sz w:val="23"/>
          <w:szCs w:val="23"/>
        </w:rPr>
        <w:t xml:space="preserve">achieved </w:t>
      </w:r>
      <w:r w:rsidR="00EC65DF">
        <w:rPr>
          <w:rFonts w:ascii="Garamond" w:hAnsi="Garamond"/>
          <w:sz w:val="23"/>
          <w:szCs w:val="23"/>
        </w:rPr>
        <w:t xml:space="preserve">entirely </w:t>
      </w:r>
      <w:r w:rsidR="00604A9F">
        <w:rPr>
          <w:rFonts w:ascii="Garamond" w:hAnsi="Garamond"/>
          <w:sz w:val="23"/>
          <w:szCs w:val="23"/>
        </w:rPr>
        <w:t>thr</w:t>
      </w:r>
      <w:r w:rsidR="001A36BA">
        <w:rPr>
          <w:rFonts w:ascii="Garamond" w:hAnsi="Garamond"/>
          <w:sz w:val="23"/>
          <w:szCs w:val="23"/>
        </w:rPr>
        <w:t>ough energy efficiency measures because no DR programs were active during the first three program years.</w:t>
      </w:r>
    </w:p>
    <w:p w:rsidR="000901B8" w:rsidRDefault="00861516" w:rsidP="00861516">
      <w:pPr>
        <w:jc w:val="left"/>
        <w:rPr>
          <w:rFonts w:ascii="Garamond" w:hAnsi="Garamond"/>
          <w:sz w:val="23"/>
          <w:szCs w:val="23"/>
        </w:rPr>
      </w:pPr>
      <w:r>
        <w:rPr>
          <w:rFonts w:ascii="Garamond" w:hAnsi="Garamond"/>
          <w:sz w:val="23"/>
          <w:szCs w:val="23"/>
        </w:rPr>
        <w:br w:type="page"/>
      </w:r>
    </w:p>
    <w:p w:rsidR="00371137" w:rsidRPr="00BC6642" w:rsidRDefault="00371137" w:rsidP="00BC6642">
      <w:pPr>
        <w:pStyle w:val="Caption"/>
        <w:keepNext/>
        <w:jc w:val="center"/>
        <w:rPr>
          <w:rFonts w:ascii="Garamond" w:hAnsi="Garamond"/>
          <w:sz w:val="23"/>
          <w:szCs w:val="23"/>
        </w:rPr>
      </w:pPr>
      <w:bookmarkStart w:id="6" w:name="_Ref344878548"/>
      <w:r w:rsidRPr="00BC6642">
        <w:rPr>
          <w:rFonts w:ascii="Garamond" w:hAnsi="Garamond"/>
          <w:sz w:val="23"/>
          <w:szCs w:val="23"/>
        </w:rPr>
        <w:lastRenderedPageBreak/>
        <w:t xml:space="preserve">Table </w:t>
      </w:r>
      <w:r w:rsidR="00C01A4C" w:rsidRPr="00BC6642">
        <w:rPr>
          <w:rFonts w:ascii="Garamond" w:hAnsi="Garamond"/>
          <w:sz w:val="23"/>
          <w:szCs w:val="23"/>
        </w:rPr>
        <w:fldChar w:fldCharType="begin"/>
      </w:r>
      <w:r w:rsidR="00C01A4C" w:rsidRPr="00BC6642">
        <w:rPr>
          <w:rFonts w:ascii="Garamond" w:hAnsi="Garamond"/>
          <w:sz w:val="23"/>
          <w:szCs w:val="23"/>
        </w:rPr>
        <w:instrText xml:space="preserve"> STYLEREF 1 \s </w:instrText>
      </w:r>
      <w:r w:rsidR="00C01A4C" w:rsidRPr="00BC6642">
        <w:rPr>
          <w:rFonts w:ascii="Garamond" w:hAnsi="Garamond"/>
          <w:sz w:val="23"/>
          <w:szCs w:val="23"/>
        </w:rPr>
        <w:fldChar w:fldCharType="separate"/>
      </w:r>
      <w:r w:rsidR="00451FFF">
        <w:rPr>
          <w:rFonts w:ascii="Garamond" w:hAnsi="Garamond"/>
          <w:noProof/>
          <w:sz w:val="23"/>
          <w:szCs w:val="23"/>
        </w:rPr>
        <w:t>A</w:t>
      </w:r>
      <w:r w:rsidR="00C01A4C" w:rsidRPr="00BC6642">
        <w:rPr>
          <w:rFonts w:ascii="Garamond" w:hAnsi="Garamond"/>
          <w:sz w:val="23"/>
          <w:szCs w:val="23"/>
        </w:rPr>
        <w:fldChar w:fldCharType="end"/>
      </w:r>
      <w:r w:rsidR="00C01A4C" w:rsidRPr="00BC6642">
        <w:rPr>
          <w:rFonts w:ascii="Garamond" w:hAnsi="Garamond"/>
          <w:sz w:val="23"/>
          <w:szCs w:val="23"/>
        </w:rPr>
        <w:noBreakHyphen/>
      </w:r>
      <w:r w:rsidR="00C01A4C" w:rsidRPr="00BC6642">
        <w:rPr>
          <w:rFonts w:ascii="Garamond" w:hAnsi="Garamond"/>
          <w:sz w:val="23"/>
          <w:szCs w:val="23"/>
        </w:rPr>
        <w:fldChar w:fldCharType="begin"/>
      </w:r>
      <w:r w:rsidR="00C01A4C" w:rsidRPr="00BC6642">
        <w:rPr>
          <w:rFonts w:ascii="Garamond" w:hAnsi="Garamond"/>
          <w:sz w:val="23"/>
          <w:szCs w:val="23"/>
        </w:rPr>
        <w:instrText xml:space="preserve"> SEQ Table \* ARABIC \s 1 </w:instrText>
      </w:r>
      <w:r w:rsidR="00C01A4C" w:rsidRPr="00BC6642">
        <w:rPr>
          <w:rFonts w:ascii="Garamond" w:hAnsi="Garamond"/>
          <w:sz w:val="23"/>
          <w:szCs w:val="23"/>
        </w:rPr>
        <w:fldChar w:fldCharType="separate"/>
      </w:r>
      <w:r w:rsidR="00451FFF">
        <w:rPr>
          <w:rFonts w:ascii="Garamond" w:hAnsi="Garamond"/>
          <w:noProof/>
          <w:sz w:val="23"/>
          <w:szCs w:val="23"/>
        </w:rPr>
        <w:t>1</w:t>
      </w:r>
      <w:r w:rsidR="00C01A4C" w:rsidRPr="00BC6642">
        <w:rPr>
          <w:rFonts w:ascii="Garamond" w:hAnsi="Garamond"/>
          <w:sz w:val="23"/>
          <w:szCs w:val="23"/>
        </w:rPr>
        <w:fldChar w:fldCharType="end"/>
      </w:r>
      <w:bookmarkEnd w:id="6"/>
      <w:r w:rsidRPr="00BC6642">
        <w:rPr>
          <w:rFonts w:ascii="Garamond" w:hAnsi="Garamond"/>
          <w:sz w:val="23"/>
          <w:szCs w:val="23"/>
        </w:rPr>
        <w:t xml:space="preserve">: Gross Verified Percent </w:t>
      </w:r>
      <w:r w:rsidR="00793794" w:rsidRPr="00BC6642">
        <w:rPr>
          <w:rFonts w:ascii="Garamond" w:hAnsi="Garamond"/>
          <w:sz w:val="23"/>
          <w:szCs w:val="23"/>
        </w:rPr>
        <w:t xml:space="preserve">Energy and Demand </w:t>
      </w:r>
      <w:r w:rsidRPr="00BC6642">
        <w:rPr>
          <w:rFonts w:ascii="Garamond" w:hAnsi="Garamond"/>
          <w:sz w:val="23"/>
          <w:szCs w:val="23"/>
        </w:rPr>
        <w:t>Reductions through Program Year 3</w:t>
      </w:r>
    </w:p>
    <w:tbl>
      <w:tblPr>
        <w:tblStyle w:val="TableGrid"/>
        <w:tblW w:w="0" w:type="auto"/>
        <w:jc w:val="center"/>
        <w:tblLook w:val="04A0" w:firstRow="1" w:lastRow="0" w:firstColumn="1" w:lastColumn="0" w:noHBand="0" w:noVBand="1"/>
      </w:tblPr>
      <w:tblGrid>
        <w:gridCol w:w="1944"/>
        <w:gridCol w:w="2970"/>
        <w:gridCol w:w="2988"/>
      </w:tblGrid>
      <w:tr w:rsidR="00371137" w:rsidRPr="00371137" w:rsidTr="00793794">
        <w:trPr>
          <w:jc w:val="center"/>
        </w:trPr>
        <w:tc>
          <w:tcPr>
            <w:tcW w:w="1944" w:type="dxa"/>
            <w:shd w:val="clear" w:color="auto" w:fill="1F497D" w:themeFill="text2"/>
          </w:tcPr>
          <w:p w:rsidR="00371137" w:rsidRPr="00371137" w:rsidRDefault="00371137" w:rsidP="00371137">
            <w:pPr>
              <w:jc w:val="center"/>
              <w:rPr>
                <w:rFonts w:cstheme="minorHAnsi"/>
                <w:b/>
                <w:color w:val="FFFFFF" w:themeColor="background1"/>
              </w:rPr>
            </w:pPr>
            <w:r w:rsidRPr="00371137">
              <w:rPr>
                <w:rFonts w:cstheme="minorHAnsi"/>
                <w:b/>
                <w:color w:val="FFFFFF" w:themeColor="background1"/>
              </w:rPr>
              <w:t>EDC</w:t>
            </w:r>
          </w:p>
        </w:tc>
        <w:tc>
          <w:tcPr>
            <w:tcW w:w="2970" w:type="dxa"/>
            <w:shd w:val="clear" w:color="auto" w:fill="1F497D" w:themeFill="text2"/>
          </w:tcPr>
          <w:p w:rsidR="00371137" w:rsidRPr="00371137" w:rsidRDefault="00371137" w:rsidP="00371137">
            <w:pPr>
              <w:jc w:val="center"/>
              <w:rPr>
                <w:rFonts w:cstheme="minorHAnsi"/>
                <w:b/>
                <w:color w:val="FFFFFF" w:themeColor="background1"/>
              </w:rPr>
            </w:pPr>
            <w:r w:rsidRPr="00371137">
              <w:rPr>
                <w:rFonts w:cstheme="minorHAnsi"/>
                <w:b/>
                <w:color w:val="FFFFFF" w:themeColor="background1"/>
              </w:rPr>
              <w:t>Percent Energy Reduction</w:t>
            </w:r>
          </w:p>
        </w:tc>
        <w:tc>
          <w:tcPr>
            <w:tcW w:w="2988" w:type="dxa"/>
            <w:shd w:val="clear" w:color="auto" w:fill="1F497D" w:themeFill="text2"/>
          </w:tcPr>
          <w:p w:rsidR="00371137" w:rsidRPr="00371137" w:rsidRDefault="00371137" w:rsidP="00371137">
            <w:pPr>
              <w:jc w:val="center"/>
              <w:rPr>
                <w:rFonts w:cstheme="minorHAnsi"/>
                <w:b/>
                <w:color w:val="FFFFFF" w:themeColor="background1"/>
              </w:rPr>
            </w:pPr>
            <w:r w:rsidRPr="00371137">
              <w:rPr>
                <w:rFonts w:cstheme="minorHAnsi"/>
                <w:b/>
                <w:color w:val="FFFFFF" w:themeColor="background1"/>
              </w:rPr>
              <w:t>Percent Demand Reduction</w:t>
            </w:r>
          </w:p>
        </w:tc>
      </w:tr>
      <w:tr w:rsidR="00371137" w:rsidTr="00793794">
        <w:trPr>
          <w:jc w:val="center"/>
        </w:trPr>
        <w:tc>
          <w:tcPr>
            <w:tcW w:w="1944" w:type="dxa"/>
          </w:tcPr>
          <w:p w:rsidR="00371137" w:rsidRPr="00371137" w:rsidRDefault="00371137" w:rsidP="008F762D">
            <w:pPr>
              <w:rPr>
                <w:rFonts w:cstheme="minorHAnsi"/>
              </w:rPr>
            </w:pPr>
            <w:r w:rsidRPr="00371137">
              <w:rPr>
                <w:rFonts w:cstheme="minorHAnsi"/>
              </w:rPr>
              <w:t>Duquesne</w:t>
            </w:r>
          </w:p>
        </w:tc>
        <w:tc>
          <w:tcPr>
            <w:tcW w:w="2970" w:type="dxa"/>
          </w:tcPr>
          <w:p w:rsidR="00371137" w:rsidRPr="00371137" w:rsidRDefault="00371137" w:rsidP="00371137">
            <w:pPr>
              <w:jc w:val="center"/>
              <w:rPr>
                <w:rFonts w:cstheme="minorHAnsi"/>
              </w:rPr>
            </w:pPr>
            <w:r w:rsidRPr="00371137">
              <w:rPr>
                <w:rFonts w:cstheme="minorHAnsi"/>
              </w:rPr>
              <w:t>2.19%</w:t>
            </w:r>
          </w:p>
        </w:tc>
        <w:tc>
          <w:tcPr>
            <w:tcW w:w="2988" w:type="dxa"/>
          </w:tcPr>
          <w:p w:rsidR="00371137" w:rsidRPr="00371137" w:rsidRDefault="00371137" w:rsidP="00371137">
            <w:pPr>
              <w:jc w:val="center"/>
              <w:rPr>
                <w:rFonts w:cstheme="minorHAnsi"/>
              </w:rPr>
            </w:pPr>
            <w:r w:rsidRPr="00371137">
              <w:rPr>
                <w:rFonts w:cstheme="minorHAnsi"/>
              </w:rPr>
              <w:t>1.35%</w:t>
            </w:r>
          </w:p>
        </w:tc>
      </w:tr>
      <w:tr w:rsidR="00371137" w:rsidTr="00793794">
        <w:trPr>
          <w:jc w:val="center"/>
        </w:trPr>
        <w:tc>
          <w:tcPr>
            <w:tcW w:w="1944" w:type="dxa"/>
          </w:tcPr>
          <w:p w:rsidR="00371137" w:rsidRPr="00371137" w:rsidRDefault="00371137" w:rsidP="008F762D">
            <w:pPr>
              <w:rPr>
                <w:rFonts w:cstheme="minorHAnsi"/>
              </w:rPr>
            </w:pPr>
            <w:r w:rsidRPr="00371137">
              <w:rPr>
                <w:rFonts w:cstheme="minorHAnsi"/>
              </w:rPr>
              <w:t>PECO</w:t>
            </w:r>
          </w:p>
        </w:tc>
        <w:tc>
          <w:tcPr>
            <w:tcW w:w="2970" w:type="dxa"/>
          </w:tcPr>
          <w:p w:rsidR="00371137" w:rsidRPr="00371137" w:rsidRDefault="00371137" w:rsidP="00371137">
            <w:pPr>
              <w:jc w:val="center"/>
              <w:rPr>
                <w:rFonts w:cstheme="minorHAnsi"/>
              </w:rPr>
            </w:pPr>
            <w:r w:rsidRPr="00371137">
              <w:rPr>
                <w:rFonts w:cstheme="minorHAnsi"/>
              </w:rPr>
              <w:t>2.73%</w:t>
            </w:r>
          </w:p>
        </w:tc>
        <w:tc>
          <w:tcPr>
            <w:tcW w:w="2988" w:type="dxa"/>
          </w:tcPr>
          <w:p w:rsidR="00371137" w:rsidRPr="00371137" w:rsidRDefault="00371137" w:rsidP="00371137">
            <w:pPr>
              <w:jc w:val="center"/>
              <w:rPr>
                <w:rFonts w:cstheme="minorHAnsi"/>
              </w:rPr>
            </w:pPr>
            <w:r w:rsidRPr="00371137">
              <w:rPr>
                <w:rFonts w:cstheme="minorHAnsi"/>
              </w:rPr>
              <w:t>2.34%</w:t>
            </w:r>
          </w:p>
        </w:tc>
      </w:tr>
      <w:tr w:rsidR="00371137" w:rsidTr="00793794">
        <w:trPr>
          <w:jc w:val="center"/>
        </w:trPr>
        <w:tc>
          <w:tcPr>
            <w:tcW w:w="1944" w:type="dxa"/>
          </w:tcPr>
          <w:p w:rsidR="00371137" w:rsidRPr="00371137" w:rsidRDefault="00371137" w:rsidP="008F762D">
            <w:pPr>
              <w:rPr>
                <w:rFonts w:cstheme="minorHAnsi"/>
              </w:rPr>
            </w:pPr>
            <w:r>
              <w:rPr>
                <w:rFonts w:cstheme="minorHAnsi"/>
              </w:rPr>
              <w:t>PPL</w:t>
            </w:r>
          </w:p>
        </w:tc>
        <w:tc>
          <w:tcPr>
            <w:tcW w:w="2970" w:type="dxa"/>
          </w:tcPr>
          <w:p w:rsidR="00371137" w:rsidRPr="00371137" w:rsidRDefault="00371137" w:rsidP="00371137">
            <w:pPr>
              <w:jc w:val="center"/>
              <w:rPr>
                <w:rFonts w:cstheme="minorHAnsi"/>
              </w:rPr>
            </w:pPr>
            <w:r>
              <w:rPr>
                <w:rFonts w:cstheme="minorHAnsi"/>
              </w:rPr>
              <w:t>2.61%</w:t>
            </w:r>
          </w:p>
        </w:tc>
        <w:tc>
          <w:tcPr>
            <w:tcW w:w="2988" w:type="dxa"/>
          </w:tcPr>
          <w:p w:rsidR="00371137" w:rsidRPr="00371137" w:rsidRDefault="00371137" w:rsidP="00371137">
            <w:pPr>
              <w:jc w:val="center"/>
              <w:rPr>
                <w:rFonts w:cstheme="minorHAnsi"/>
              </w:rPr>
            </w:pPr>
            <w:r>
              <w:rPr>
                <w:rFonts w:cstheme="minorHAnsi"/>
              </w:rPr>
              <w:t>2.16%</w:t>
            </w:r>
          </w:p>
        </w:tc>
      </w:tr>
      <w:tr w:rsidR="00371137" w:rsidTr="00793794">
        <w:trPr>
          <w:jc w:val="center"/>
        </w:trPr>
        <w:tc>
          <w:tcPr>
            <w:tcW w:w="1944" w:type="dxa"/>
          </w:tcPr>
          <w:p w:rsidR="00371137" w:rsidRPr="00371137" w:rsidRDefault="00371137" w:rsidP="008F762D">
            <w:pPr>
              <w:rPr>
                <w:rFonts w:cstheme="minorHAnsi"/>
              </w:rPr>
            </w:pPr>
            <w:r>
              <w:rPr>
                <w:rFonts w:cstheme="minorHAnsi"/>
              </w:rPr>
              <w:t>Met-Ed</w:t>
            </w:r>
          </w:p>
        </w:tc>
        <w:tc>
          <w:tcPr>
            <w:tcW w:w="2970" w:type="dxa"/>
          </w:tcPr>
          <w:p w:rsidR="00371137" w:rsidRPr="00371137" w:rsidRDefault="00371137" w:rsidP="00371137">
            <w:pPr>
              <w:jc w:val="center"/>
              <w:rPr>
                <w:rFonts w:cstheme="minorHAnsi"/>
              </w:rPr>
            </w:pPr>
            <w:r>
              <w:rPr>
                <w:rFonts w:cstheme="minorHAnsi"/>
              </w:rPr>
              <w:t>2.04%</w:t>
            </w:r>
          </w:p>
        </w:tc>
        <w:tc>
          <w:tcPr>
            <w:tcW w:w="2988" w:type="dxa"/>
          </w:tcPr>
          <w:p w:rsidR="00371137" w:rsidRPr="00371137" w:rsidRDefault="00371137" w:rsidP="00371137">
            <w:pPr>
              <w:jc w:val="center"/>
              <w:rPr>
                <w:rFonts w:cstheme="minorHAnsi"/>
              </w:rPr>
            </w:pPr>
            <w:r>
              <w:rPr>
                <w:rFonts w:cstheme="minorHAnsi"/>
              </w:rPr>
              <w:t>1.49%</w:t>
            </w:r>
          </w:p>
        </w:tc>
      </w:tr>
      <w:tr w:rsidR="00371137" w:rsidTr="00793794">
        <w:trPr>
          <w:jc w:val="center"/>
        </w:trPr>
        <w:tc>
          <w:tcPr>
            <w:tcW w:w="1944" w:type="dxa"/>
          </w:tcPr>
          <w:p w:rsidR="00371137" w:rsidRPr="00371137" w:rsidRDefault="00371137" w:rsidP="008F762D">
            <w:pPr>
              <w:rPr>
                <w:rFonts w:cstheme="minorHAnsi"/>
              </w:rPr>
            </w:pPr>
            <w:r>
              <w:rPr>
                <w:rFonts w:cstheme="minorHAnsi"/>
              </w:rPr>
              <w:t>Penelec</w:t>
            </w:r>
          </w:p>
        </w:tc>
        <w:tc>
          <w:tcPr>
            <w:tcW w:w="2970" w:type="dxa"/>
          </w:tcPr>
          <w:p w:rsidR="00371137" w:rsidRPr="00371137" w:rsidRDefault="00371137" w:rsidP="00371137">
            <w:pPr>
              <w:jc w:val="center"/>
              <w:rPr>
                <w:rFonts w:cstheme="minorHAnsi"/>
              </w:rPr>
            </w:pPr>
            <w:r>
              <w:rPr>
                <w:rFonts w:cstheme="minorHAnsi"/>
              </w:rPr>
              <w:t>2.16%</w:t>
            </w:r>
          </w:p>
        </w:tc>
        <w:tc>
          <w:tcPr>
            <w:tcW w:w="2988" w:type="dxa"/>
          </w:tcPr>
          <w:p w:rsidR="00371137" w:rsidRPr="00371137" w:rsidRDefault="00371137" w:rsidP="00371137">
            <w:pPr>
              <w:jc w:val="center"/>
              <w:rPr>
                <w:rFonts w:cstheme="minorHAnsi"/>
              </w:rPr>
            </w:pPr>
            <w:r>
              <w:rPr>
                <w:rFonts w:cstheme="minorHAnsi"/>
              </w:rPr>
              <w:t>1.58%</w:t>
            </w:r>
          </w:p>
        </w:tc>
      </w:tr>
      <w:tr w:rsidR="00371137" w:rsidTr="00793794">
        <w:trPr>
          <w:jc w:val="center"/>
        </w:trPr>
        <w:tc>
          <w:tcPr>
            <w:tcW w:w="1944" w:type="dxa"/>
          </w:tcPr>
          <w:p w:rsidR="00371137" w:rsidRPr="00371137" w:rsidRDefault="00371137" w:rsidP="008F762D">
            <w:pPr>
              <w:rPr>
                <w:rFonts w:cstheme="minorHAnsi"/>
              </w:rPr>
            </w:pPr>
            <w:r>
              <w:rPr>
                <w:rFonts w:cstheme="minorHAnsi"/>
              </w:rPr>
              <w:t>Penn Power</w:t>
            </w:r>
          </w:p>
        </w:tc>
        <w:tc>
          <w:tcPr>
            <w:tcW w:w="2970" w:type="dxa"/>
          </w:tcPr>
          <w:p w:rsidR="00371137" w:rsidRPr="00371137" w:rsidRDefault="00371137" w:rsidP="00371137">
            <w:pPr>
              <w:jc w:val="center"/>
              <w:rPr>
                <w:rFonts w:cstheme="minorHAnsi"/>
              </w:rPr>
            </w:pPr>
            <w:r>
              <w:rPr>
                <w:rFonts w:cstheme="minorHAnsi"/>
              </w:rPr>
              <w:t>2.25%</w:t>
            </w:r>
          </w:p>
        </w:tc>
        <w:tc>
          <w:tcPr>
            <w:tcW w:w="2988" w:type="dxa"/>
          </w:tcPr>
          <w:p w:rsidR="00371137" w:rsidRPr="00371137" w:rsidRDefault="00371137" w:rsidP="00371137">
            <w:pPr>
              <w:jc w:val="center"/>
              <w:rPr>
                <w:rFonts w:cstheme="minorHAnsi"/>
              </w:rPr>
            </w:pPr>
            <w:r>
              <w:rPr>
                <w:rFonts w:cstheme="minorHAnsi"/>
              </w:rPr>
              <w:t>1.31%</w:t>
            </w:r>
          </w:p>
        </w:tc>
      </w:tr>
      <w:tr w:rsidR="00371137" w:rsidTr="00793794">
        <w:trPr>
          <w:jc w:val="center"/>
        </w:trPr>
        <w:tc>
          <w:tcPr>
            <w:tcW w:w="1944" w:type="dxa"/>
          </w:tcPr>
          <w:p w:rsidR="00371137" w:rsidRPr="00371137" w:rsidRDefault="00371137" w:rsidP="008F762D">
            <w:pPr>
              <w:rPr>
                <w:rFonts w:cstheme="minorHAnsi"/>
              </w:rPr>
            </w:pPr>
            <w:r>
              <w:rPr>
                <w:rFonts w:cstheme="minorHAnsi"/>
              </w:rPr>
              <w:t>West Penn Power</w:t>
            </w:r>
          </w:p>
        </w:tc>
        <w:tc>
          <w:tcPr>
            <w:tcW w:w="2970" w:type="dxa"/>
          </w:tcPr>
          <w:p w:rsidR="00371137" w:rsidRPr="00371137" w:rsidRDefault="00371137" w:rsidP="00371137">
            <w:pPr>
              <w:jc w:val="center"/>
              <w:rPr>
                <w:rFonts w:cstheme="minorHAnsi"/>
              </w:rPr>
            </w:pPr>
            <w:r>
              <w:rPr>
                <w:rFonts w:cstheme="minorHAnsi"/>
              </w:rPr>
              <w:t>1.89%</w:t>
            </w:r>
          </w:p>
        </w:tc>
        <w:tc>
          <w:tcPr>
            <w:tcW w:w="2988" w:type="dxa"/>
          </w:tcPr>
          <w:p w:rsidR="00371137" w:rsidRPr="00371137" w:rsidRDefault="00371137" w:rsidP="00371137">
            <w:pPr>
              <w:jc w:val="center"/>
              <w:rPr>
                <w:rFonts w:cstheme="minorHAnsi"/>
              </w:rPr>
            </w:pPr>
            <w:r>
              <w:rPr>
                <w:rFonts w:cstheme="minorHAnsi"/>
              </w:rPr>
              <w:t>1.35%</w:t>
            </w:r>
          </w:p>
        </w:tc>
      </w:tr>
    </w:tbl>
    <w:p w:rsidR="00F712EC" w:rsidRDefault="00F712EC" w:rsidP="008F762D">
      <w:pPr>
        <w:spacing w:line="240" w:lineRule="auto"/>
        <w:rPr>
          <w:rFonts w:ascii="Garamond" w:hAnsi="Garamond"/>
          <w:sz w:val="23"/>
          <w:szCs w:val="23"/>
        </w:rPr>
      </w:pPr>
    </w:p>
    <w:p w:rsidR="003447DD" w:rsidRDefault="00604A9F" w:rsidP="008F762D">
      <w:pPr>
        <w:spacing w:line="240" w:lineRule="auto"/>
        <w:rPr>
          <w:rFonts w:ascii="Garamond" w:hAnsi="Garamond"/>
          <w:sz w:val="23"/>
          <w:szCs w:val="23"/>
        </w:rPr>
      </w:pPr>
      <w:r w:rsidRPr="00604A9F">
        <w:rPr>
          <w:rFonts w:ascii="Garamond" w:hAnsi="Garamond"/>
          <w:sz w:val="23"/>
          <w:szCs w:val="23"/>
        </w:rPr>
        <w:fldChar w:fldCharType="begin"/>
      </w:r>
      <w:r w:rsidRPr="00604A9F">
        <w:rPr>
          <w:rFonts w:ascii="Garamond" w:hAnsi="Garamond"/>
          <w:sz w:val="23"/>
          <w:szCs w:val="23"/>
        </w:rPr>
        <w:instrText xml:space="preserve"> REF _Ref344878548 \h  \* MERGEFORMAT </w:instrText>
      </w:r>
      <w:r w:rsidRPr="00604A9F">
        <w:rPr>
          <w:rFonts w:ascii="Garamond" w:hAnsi="Garamond"/>
          <w:sz w:val="23"/>
          <w:szCs w:val="23"/>
        </w:rPr>
      </w:r>
      <w:r w:rsidRPr="00604A9F">
        <w:rPr>
          <w:rFonts w:ascii="Garamond" w:hAnsi="Garamond"/>
          <w:sz w:val="23"/>
          <w:szCs w:val="23"/>
        </w:rPr>
        <w:fldChar w:fldCharType="separate"/>
      </w:r>
      <w:r w:rsidR="00451FFF" w:rsidRPr="00BC6642">
        <w:rPr>
          <w:rFonts w:ascii="Garamond" w:hAnsi="Garamond"/>
          <w:sz w:val="23"/>
          <w:szCs w:val="23"/>
        </w:rPr>
        <w:t xml:space="preserve">Table </w:t>
      </w:r>
      <w:r w:rsidR="00451FFF">
        <w:rPr>
          <w:rFonts w:ascii="Garamond" w:hAnsi="Garamond"/>
          <w:noProof/>
          <w:sz w:val="23"/>
          <w:szCs w:val="23"/>
        </w:rPr>
        <w:t>A</w:t>
      </w:r>
      <w:r w:rsidR="00451FFF" w:rsidRPr="00BC6642">
        <w:rPr>
          <w:rFonts w:ascii="Garamond" w:hAnsi="Garamond"/>
          <w:noProof/>
          <w:sz w:val="23"/>
          <w:szCs w:val="23"/>
        </w:rPr>
        <w:noBreakHyphen/>
      </w:r>
      <w:r w:rsidR="00451FFF">
        <w:rPr>
          <w:rFonts w:ascii="Garamond" w:hAnsi="Garamond"/>
          <w:noProof/>
          <w:sz w:val="23"/>
          <w:szCs w:val="23"/>
        </w:rPr>
        <w:t>1</w:t>
      </w:r>
      <w:r w:rsidRPr="00604A9F">
        <w:rPr>
          <w:rFonts w:ascii="Garamond" w:hAnsi="Garamond"/>
          <w:sz w:val="23"/>
          <w:szCs w:val="23"/>
        </w:rPr>
        <w:fldChar w:fldCharType="end"/>
      </w:r>
      <w:r w:rsidR="001A36BA">
        <w:rPr>
          <w:rFonts w:ascii="Garamond" w:hAnsi="Garamond"/>
          <w:sz w:val="23"/>
          <w:szCs w:val="23"/>
        </w:rPr>
        <w:t xml:space="preserve"> shows that most EDCs are on pace to</w:t>
      </w:r>
      <w:r>
        <w:rPr>
          <w:rFonts w:ascii="Garamond" w:hAnsi="Garamond"/>
          <w:sz w:val="23"/>
          <w:szCs w:val="23"/>
        </w:rPr>
        <w:t xml:space="preserve"> achieve between 2.0% and 2.5% </w:t>
      </w:r>
      <w:r w:rsidR="00B70D45" w:rsidRPr="00B70D45">
        <w:rPr>
          <w:rFonts w:ascii="Garamond" w:hAnsi="Garamond"/>
          <w:sz w:val="23"/>
          <w:szCs w:val="23"/>
        </w:rPr>
        <w:t xml:space="preserve">of the 4.5% peak demand reduction goal established by Act 129 </w:t>
      </w:r>
      <w:r>
        <w:rPr>
          <w:rFonts w:ascii="Garamond" w:hAnsi="Garamond"/>
          <w:sz w:val="23"/>
          <w:szCs w:val="23"/>
        </w:rPr>
        <w:t xml:space="preserve">for Phase I </w:t>
      </w:r>
      <w:r w:rsidR="00B70D45" w:rsidRPr="00B70D45">
        <w:rPr>
          <w:rFonts w:ascii="Garamond" w:hAnsi="Garamond"/>
          <w:sz w:val="23"/>
          <w:szCs w:val="23"/>
        </w:rPr>
        <w:t>through the coincident peak demand reduction produce</w:t>
      </w:r>
      <w:r w:rsidR="00B70D45">
        <w:rPr>
          <w:rFonts w:ascii="Garamond" w:hAnsi="Garamond"/>
          <w:sz w:val="23"/>
          <w:szCs w:val="23"/>
        </w:rPr>
        <w:t>d by energy efficiency measures</w:t>
      </w:r>
      <w:r>
        <w:rPr>
          <w:rFonts w:ascii="Garamond" w:hAnsi="Garamond"/>
          <w:sz w:val="23"/>
          <w:szCs w:val="23"/>
        </w:rPr>
        <w:t>. This means that</w:t>
      </w:r>
      <w:r w:rsidR="00B70D45" w:rsidRPr="00B70D45">
        <w:rPr>
          <w:rFonts w:ascii="Garamond" w:hAnsi="Garamond"/>
          <w:sz w:val="23"/>
          <w:szCs w:val="23"/>
        </w:rPr>
        <w:t xml:space="preserve"> EDCs are </w:t>
      </w:r>
      <w:r>
        <w:rPr>
          <w:rFonts w:ascii="Garamond" w:hAnsi="Garamond"/>
          <w:sz w:val="23"/>
          <w:szCs w:val="23"/>
        </w:rPr>
        <w:t>effectively presented with a 2.0</w:t>
      </w:r>
      <w:r w:rsidR="00B70D45" w:rsidRPr="00B70D45">
        <w:rPr>
          <w:rFonts w:ascii="Garamond" w:hAnsi="Garamond"/>
          <w:sz w:val="23"/>
          <w:szCs w:val="23"/>
        </w:rPr>
        <w:t>% DR goal to be achieved in a single summer.</w:t>
      </w:r>
      <w:r w:rsidR="00B70D45">
        <w:rPr>
          <w:rFonts w:ascii="Garamond" w:hAnsi="Garamond"/>
          <w:sz w:val="23"/>
          <w:szCs w:val="23"/>
        </w:rPr>
        <w:t xml:space="preserve"> </w:t>
      </w:r>
      <w:r w:rsidR="006D6A36">
        <w:rPr>
          <w:rFonts w:ascii="Garamond" w:hAnsi="Garamond"/>
          <w:sz w:val="23"/>
          <w:szCs w:val="23"/>
        </w:rPr>
        <w:t xml:space="preserve">The </w:t>
      </w:r>
      <w:r w:rsidR="00060621">
        <w:rPr>
          <w:rFonts w:ascii="Garamond" w:hAnsi="Garamond"/>
          <w:sz w:val="23"/>
          <w:szCs w:val="23"/>
        </w:rPr>
        <w:t>SWE’s review of DR programs</w:t>
      </w:r>
      <w:r w:rsidR="00CB0EB7">
        <w:rPr>
          <w:rFonts w:ascii="Garamond" w:hAnsi="Garamond"/>
          <w:sz w:val="23"/>
          <w:szCs w:val="23"/>
        </w:rPr>
        <w:t xml:space="preserve"> in other states shows that a</w:t>
      </w:r>
      <w:r w:rsidR="00B70D45">
        <w:rPr>
          <w:rFonts w:ascii="Garamond" w:hAnsi="Garamond"/>
          <w:sz w:val="23"/>
          <w:szCs w:val="23"/>
        </w:rPr>
        <w:t xml:space="preserve">nnual </w:t>
      </w:r>
      <w:r w:rsidR="00CB0EB7">
        <w:rPr>
          <w:rFonts w:ascii="Garamond" w:hAnsi="Garamond"/>
          <w:sz w:val="23"/>
          <w:szCs w:val="23"/>
        </w:rPr>
        <w:t>DR</w:t>
      </w:r>
      <w:r w:rsidR="00B70D45">
        <w:rPr>
          <w:rFonts w:ascii="Garamond" w:hAnsi="Garamond"/>
          <w:sz w:val="23"/>
          <w:szCs w:val="23"/>
        </w:rPr>
        <w:t xml:space="preserve"> goals </w:t>
      </w:r>
      <w:r w:rsidR="00CB0EB7">
        <w:rPr>
          <w:rFonts w:ascii="Garamond" w:hAnsi="Garamond"/>
          <w:sz w:val="23"/>
          <w:szCs w:val="23"/>
        </w:rPr>
        <w:t>in several states a</w:t>
      </w:r>
      <w:r w:rsidR="00B70D45">
        <w:rPr>
          <w:rFonts w:ascii="Garamond" w:hAnsi="Garamond"/>
          <w:sz w:val="23"/>
          <w:szCs w:val="23"/>
        </w:rPr>
        <w:t>re below 1%.</w:t>
      </w:r>
      <w:r w:rsidR="008F7A2F">
        <w:rPr>
          <w:rFonts w:ascii="Garamond" w:hAnsi="Garamond"/>
          <w:sz w:val="23"/>
          <w:szCs w:val="23"/>
        </w:rPr>
        <w:t xml:space="preserve"> </w:t>
      </w:r>
      <w:r w:rsidR="00CB0EB7">
        <w:rPr>
          <w:rFonts w:ascii="Garamond" w:hAnsi="Garamond"/>
          <w:sz w:val="23"/>
          <w:szCs w:val="23"/>
        </w:rPr>
        <w:t>Section</w:t>
      </w:r>
      <w:r w:rsidR="00F02F9E">
        <w:rPr>
          <w:rFonts w:ascii="Garamond" w:hAnsi="Garamond"/>
          <w:sz w:val="23"/>
          <w:szCs w:val="23"/>
        </w:rPr>
        <w:t xml:space="preserve"> </w:t>
      </w:r>
      <w:r w:rsidR="00F02F9E">
        <w:rPr>
          <w:rFonts w:ascii="Garamond" w:hAnsi="Garamond"/>
          <w:sz w:val="23"/>
          <w:szCs w:val="23"/>
        </w:rPr>
        <w:fldChar w:fldCharType="begin"/>
      </w:r>
      <w:r w:rsidR="00F02F9E">
        <w:rPr>
          <w:rFonts w:ascii="Garamond" w:hAnsi="Garamond"/>
          <w:sz w:val="23"/>
          <w:szCs w:val="23"/>
        </w:rPr>
        <w:instrText xml:space="preserve"> REF _Ref343689799 \r \h </w:instrText>
      </w:r>
      <w:r w:rsidR="00F02F9E">
        <w:rPr>
          <w:rFonts w:ascii="Garamond" w:hAnsi="Garamond"/>
          <w:sz w:val="23"/>
          <w:szCs w:val="23"/>
        </w:rPr>
      </w:r>
      <w:r w:rsidR="00F02F9E">
        <w:rPr>
          <w:rFonts w:ascii="Garamond" w:hAnsi="Garamond"/>
          <w:sz w:val="23"/>
          <w:szCs w:val="23"/>
        </w:rPr>
        <w:fldChar w:fldCharType="separate"/>
      </w:r>
      <w:r w:rsidR="00451FFF">
        <w:rPr>
          <w:rFonts w:ascii="Garamond" w:hAnsi="Garamond"/>
          <w:sz w:val="23"/>
          <w:szCs w:val="23"/>
        </w:rPr>
        <w:t>C</w:t>
      </w:r>
      <w:r w:rsidR="00F02F9E">
        <w:rPr>
          <w:rFonts w:ascii="Garamond" w:hAnsi="Garamond"/>
          <w:sz w:val="23"/>
          <w:szCs w:val="23"/>
        </w:rPr>
        <w:fldChar w:fldCharType="end"/>
      </w:r>
      <w:r w:rsidR="00060621">
        <w:rPr>
          <w:rFonts w:ascii="Garamond" w:hAnsi="Garamond"/>
          <w:sz w:val="23"/>
          <w:szCs w:val="23"/>
        </w:rPr>
        <w:t xml:space="preserve"> of this report explains the nuances of</w:t>
      </w:r>
      <w:r w:rsidR="00CB0EB7">
        <w:rPr>
          <w:rFonts w:ascii="Garamond" w:hAnsi="Garamond"/>
          <w:sz w:val="23"/>
          <w:szCs w:val="23"/>
        </w:rPr>
        <w:t xml:space="preserve"> DR structures and mechanism</w:t>
      </w:r>
      <w:r w:rsidR="00060621">
        <w:rPr>
          <w:rFonts w:ascii="Garamond" w:hAnsi="Garamond"/>
          <w:sz w:val="23"/>
          <w:szCs w:val="23"/>
        </w:rPr>
        <w:t>s</w:t>
      </w:r>
      <w:r w:rsidR="00CB0EB7">
        <w:rPr>
          <w:rFonts w:ascii="Garamond" w:hAnsi="Garamond"/>
          <w:sz w:val="23"/>
          <w:szCs w:val="23"/>
        </w:rPr>
        <w:t xml:space="preserve"> in further detail and </w:t>
      </w:r>
      <w:r w:rsidR="008F7A2F">
        <w:rPr>
          <w:rFonts w:ascii="Garamond" w:hAnsi="Garamond"/>
          <w:sz w:val="23"/>
          <w:szCs w:val="23"/>
        </w:rPr>
        <w:t xml:space="preserve">identifies differences </w:t>
      </w:r>
      <w:r w:rsidR="00BE4B20">
        <w:rPr>
          <w:rFonts w:ascii="Garamond" w:hAnsi="Garamond"/>
          <w:sz w:val="23"/>
          <w:szCs w:val="23"/>
        </w:rPr>
        <w:t xml:space="preserve">in the </w:t>
      </w:r>
      <w:r w:rsidR="002E5BF5">
        <w:rPr>
          <w:rFonts w:ascii="Garamond" w:hAnsi="Garamond"/>
          <w:sz w:val="23"/>
          <w:szCs w:val="23"/>
        </w:rPr>
        <w:t>benefit/cost</w:t>
      </w:r>
      <w:r w:rsidR="00CB0EB7">
        <w:rPr>
          <w:rFonts w:ascii="Garamond" w:hAnsi="Garamond"/>
          <w:sz w:val="23"/>
          <w:szCs w:val="23"/>
        </w:rPr>
        <w:t xml:space="preserve"> measurement guidelines, which</w:t>
      </w:r>
      <w:r w:rsidR="007F2C7F">
        <w:rPr>
          <w:rFonts w:ascii="Garamond" w:hAnsi="Garamond"/>
          <w:sz w:val="23"/>
          <w:szCs w:val="23"/>
        </w:rPr>
        <w:t xml:space="preserve"> </w:t>
      </w:r>
      <w:r w:rsidR="00CB0EB7">
        <w:rPr>
          <w:rFonts w:ascii="Garamond" w:hAnsi="Garamond"/>
          <w:sz w:val="23"/>
          <w:szCs w:val="23"/>
        </w:rPr>
        <w:t>have a significant impact on</w:t>
      </w:r>
      <w:r w:rsidR="007F2C7F">
        <w:rPr>
          <w:rFonts w:ascii="Garamond" w:hAnsi="Garamond"/>
          <w:sz w:val="23"/>
          <w:szCs w:val="23"/>
        </w:rPr>
        <w:t xml:space="preserve"> the perceived cost-effectiveness of DR programs</w:t>
      </w:r>
      <w:r w:rsidR="008F7A2F">
        <w:rPr>
          <w:rFonts w:ascii="Garamond" w:hAnsi="Garamond"/>
          <w:sz w:val="23"/>
          <w:szCs w:val="23"/>
        </w:rPr>
        <w:t xml:space="preserve">. </w:t>
      </w:r>
    </w:p>
    <w:p w:rsidR="006D6A36" w:rsidRDefault="008646F5" w:rsidP="00033BAD">
      <w:pPr>
        <w:spacing w:line="240" w:lineRule="auto"/>
        <w:rPr>
          <w:rFonts w:ascii="Garamond" w:hAnsi="Garamond"/>
          <w:sz w:val="23"/>
          <w:szCs w:val="23"/>
        </w:rPr>
      </w:pPr>
      <w:r>
        <w:rPr>
          <w:rFonts w:ascii="Garamond" w:hAnsi="Garamond"/>
          <w:sz w:val="23"/>
          <w:szCs w:val="23"/>
        </w:rPr>
        <w:t>After reviewing DR protocols from other jurisdictions, the SWE believes that basing demand reduction targets on the highest 100 hours of peak demand i</w:t>
      </w:r>
      <w:r w:rsidR="002246E2">
        <w:rPr>
          <w:rFonts w:ascii="Garamond" w:hAnsi="Garamond"/>
          <w:sz w:val="23"/>
          <w:szCs w:val="23"/>
        </w:rPr>
        <w:t>s</w:t>
      </w:r>
      <w:r>
        <w:rPr>
          <w:rFonts w:ascii="Garamond" w:hAnsi="Garamond"/>
          <w:sz w:val="23"/>
          <w:szCs w:val="23"/>
        </w:rPr>
        <w:t xml:space="preserve"> unique to </w:t>
      </w:r>
      <w:r w:rsidR="00016BF4">
        <w:rPr>
          <w:rFonts w:ascii="Garamond" w:hAnsi="Garamond"/>
          <w:sz w:val="23"/>
          <w:szCs w:val="23"/>
        </w:rPr>
        <w:t>Pennsylvania</w:t>
      </w:r>
      <w:r>
        <w:rPr>
          <w:rFonts w:ascii="Garamond" w:hAnsi="Garamond"/>
          <w:sz w:val="23"/>
          <w:szCs w:val="23"/>
        </w:rPr>
        <w:t xml:space="preserve"> and this structure does not adequately capture the complexities of the DR market. Further, the SWE believes that the top 100 hours protocol results in DR resources being dispatched when it is not cost-effective to do so. In order</w:t>
      </w:r>
      <w:r w:rsidR="002246E2">
        <w:rPr>
          <w:rFonts w:ascii="Garamond" w:hAnsi="Garamond"/>
          <w:sz w:val="23"/>
          <w:szCs w:val="23"/>
        </w:rPr>
        <w:t xml:space="preserve"> to</w:t>
      </w:r>
      <w:r>
        <w:rPr>
          <w:rFonts w:ascii="Garamond" w:hAnsi="Garamond"/>
          <w:sz w:val="23"/>
          <w:szCs w:val="23"/>
        </w:rPr>
        <w:t xml:space="preserve"> </w:t>
      </w:r>
      <w:r w:rsidR="00033BAD">
        <w:rPr>
          <w:rFonts w:ascii="Garamond" w:hAnsi="Garamond"/>
          <w:sz w:val="23"/>
          <w:szCs w:val="23"/>
        </w:rPr>
        <w:t>make an informed recommendation on possible alternatives, the SWE conducted a</w:t>
      </w:r>
      <w:r>
        <w:rPr>
          <w:rFonts w:ascii="Garamond" w:hAnsi="Garamond"/>
          <w:sz w:val="23"/>
          <w:szCs w:val="23"/>
        </w:rPr>
        <w:t xml:space="preserve"> review of </w:t>
      </w:r>
      <w:r w:rsidR="00016BF4">
        <w:rPr>
          <w:rFonts w:ascii="Garamond" w:hAnsi="Garamond"/>
          <w:sz w:val="23"/>
          <w:szCs w:val="23"/>
        </w:rPr>
        <w:t xml:space="preserve">energy prices </w:t>
      </w:r>
      <w:r>
        <w:rPr>
          <w:rFonts w:ascii="Garamond" w:hAnsi="Garamond"/>
          <w:sz w:val="23"/>
          <w:szCs w:val="23"/>
        </w:rPr>
        <w:t xml:space="preserve">in Pennsylvania during the top 100 hours of system demand </w:t>
      </w:r>
      <w:r w:rsidR="00033BAD">
        <w:rPr>
          <w:rFonts w:ascii="Garamond" w:hAnsi="Garamond"/>
          <w:sz w:val="23"/>
          <w:szCs w:val="23"/>
        </w:rPr>
        <w:t xml:space="preserve">from 2007 through 2012. </w:t>
      </w:r>
      <w:r w:rsidR="00060621">
        <w:rPr>
          <w:rFonts w:ascii="Garamond" w:hAnsi="Garamond"/>
          <w:sz w:val="23"/>
          <w:szCs w:val="23"/>
        </w:rPr>
        <w:t>Two distinct financial transaction markets need to be considered</w:t>
      </w:r>
      <w:r w:rsidR="00033BAD">
        <w:rPr>
          <w:rFonts w:ascii="Garamond" w:hAnsi="Garamond"/>
          <w:sz w:val="23"/>
          <w:szCs w:val="23"/>
        </w:rPr>
        <w:t xml:space="preserve"> when examining DR</w:t>
      </w:r>
      <w:r w:rsidR="00291B50">
        <w:rPr>
          <w:rFonts w:ascii="Garamond" w:hAnsi="Garamond"/>
          <w:sz w:val="23"/>
          <w:szCs w:val="23"/>
        </w:rPr>
        <w:t>:</w:t>
      </w:r>
      <w:r w:rsidR="00033BAD">
        <w:rPr>
          <w:rFonts w:ascii="Garamond" w:hAnsi="Garamond"/>
          <w:sz w:val="23"/>
          <w:szCs w:val="23"/>
        </w:rPr>
        <w:t xml:space="preserve"> </w:t>
      </w:r>
      <w:r w:rsidR="00060621">
        <w:rPr>
          <w:rFonts w:ascii="Garamond" w:hAnsi="Garamond"/>
          <w:sz w:val="23"/>
          <w:szCs w:val="23"/>
        </w:rPr>
        <w:t>the Forward C</w:t>
      </w:r>
      <w:r w:rsidR="00033BAD">
        <w:rPr>
          <w:rFonts w:ascii="Garamond" w:hAnsi="Garamond"/>
          <w:sz w:val="23"/>
          <w:szCs w:val="23"/>
        </w:rPr>
        <w:t>apacity</w:t>
      </w:r>
      <w:r w:rsidR="00060621">
        <w:rPr>
          <w:rFonts w:ascii="Garamond" w:hAnsi="Garamond"/>
          <w:sz w:val="23"/>
          <w:szCs w:val="23"/>
        </w:rPr>
        <w:t xml:space="preserve"> Markets (FCM)</w:t>
      </w:r>
      <w:r w:rsidR="00033BAD">
        <w:rPr>
          <w:rFonts w:ascii="Garamond" w:hAnsi="Garamond"/>
          <w:sz w:val="23"/>
          <w:szCs w:val="23"/>
        </w:rPr>
        <w:t xml:space="preserve"> and </w:t>
      </w:r>
      <w:r w:rsidR="00060621">
        <w:rPr>
          <w:rFonts w:ascii="Garamond" w:hAnsi="Garamond"/>
          <w:sz w:val="23"/>
          <w:szCs w:val="23"/>
        </w:rPr>
        <w:t>the E</w:t>
      </w:r>
      <w:r w:rsidR="00033BAD">
        <w:rPr>
          <w:rFonts w:ascii="Garamond" w:hAnsi="Garamond"/>
          <w:sz w:val="23"/>
          <w:szCs w:val="23"/>
        </w:rPr>
        <w:t>nergy</w:t>
      </w:r>
      <w:r w:rsidR="00060621">
        <w:rPr>
          <w:rFonts w:ascii="Garamond" w:hAnsi="Garamond"/>
          <w:sz w:val="23"/>
          <w:szCs w:val="23"/>
        </w:rPr>
        <w:t xml:space="preserve"> Markets</w:t>
      </w:r>
      <w:r w:rsidR="00033BAD">
        <w:rPr>
          <w:rFonts w:ascii="Garamond" w:hAnsi="Garamond"/>
          <w:sz w:val="23"/>
          <w:szCs w:val="23"/>
        </w:rPr>
        <w:t xml:space="preserve">. </w:t>
      </w:r>
    </w:p>
    <w:p w:rsidR="008F7A2F" w:rsidRDefault="00033BAD" w:rsidP="00033BAD">
      <w:pPr>
        <w:spacing w:line="240" w:lineRule="auto"/>
        <w:rPr>
          <w:rFonts w:ascii="Garamond" w:hAnsi="Garamond"/>
          <w:sz w:val="23"/>
          <w:szCs w:val="23"/>
        </w:rPr>
      </w:pPr>
      <w:r w:rsidRPr="000343FD">
        <w:rPr>
          <w:rFonts w:ascii="Garamond" w:hAnsi="Garamond"/>
          <w:sz w:val="23"/>
          <w:szCs w:val="23"/>
        </w:rPr>
        <w:t xml:space="preserve">Capacity is an annual commitment to provide energy when needed and assures that there will be sufficient resources when they are most needed. </w:t>
      </w:r>
      <w:r>
        <w:rPr>
          <w:rFonts w:ascii="Garamond" w:hAnsi="Garamond"/>
          <w:sz w:val="23"/>
          <w:szCs w:val="23"/>
        </w:rPr>
        <w:t xml:space="preserve">A </w:t>
      </w:r>
      <w:r w:rsidR="00060621">
        <w:rPr>
          <w:rFonts w:ascii="Garamond" w:hAnsi="Garamond"/>
          <w:sz w:val="23"/>
          <w:szCs w:val="23"/>
        </w:rPr>
        <w:t>FCM</w:t>
      </w:r>
      <w:r>
        <w:rPr>
          <w:rFonts w:ascii="Garamond" w:hAnsi="Garamond"/>
          <w:sz w:val="23"/>
          <w:szCs w:val="23"/>
        </w:rPr>
        <w:t xml:space="preserve"> attempts to ensure that demand for electricity will be met in the future by providing pricing signals to encourage reliability investments such as generation, energy efficiency and demand response. </w:t>
      </w:r>
      <w:r w:rsidRPr="000343FD">
        <w:rPr>
          <w:rFonts w:ascii="Garamond" w:hAnsi="Garamond"/>
          <w:sz w:val="23"/>
          <w:szCs w:val="23"/>
        </w:rPr>
        <w:t>Capacity revenues are paid whether energy is produced by the committed resource or not</w:t>
      </w:r>
      <w:r w:rsidR="00465113">
        <w:rPr>
          <w:rFonts w:ascii="Garamond" w:hAnsi="Garamond"/>
          <w:sz w:val="23"/>
          <w:szCs w:val="23"/>
        </w:rPr>
        <w:t xml:space="preserve">. </w:t>
      </w:r>
    </w:p>
    <w:p w:rsidR="00033BAD" w:rsidRDefault="00033BAD" w:rsidP="00033BAD">
      <w:pPr>
        <w:spacing w:line="240" w:lineRule="auto"/>
        <w:rPr>
          <w:rFonts w:ascii="Garamond" w:eastAsia="Calibri" w:hAnsi="Garamond" w:cs="Times New Roman"/>
          <w:sz w:val="23"/>
          <w:szCs w:val="23"/>
        </w:rPr>
      </w:pPr>
      <w:r w:rsidRPr="000343FD">
        <w:rPr>
          <w:rFonts w:ascii="Garamond" w:hAnsi="Garamond"/>
          <w:sz w:val="23"/>
          <w:szCs w:val="23"/>
        </w:rPr>
        <w:t xml:space="preserve">Energy is the generation of electrical power over a </w:t>
      </w:r>
      <w:r>
        <w:rPr>
          <w:rFonts w:ascii="Garamond" w:hAnsi="Garamond"/>
          <w:sz w:val="23"/>
          <w:szCs w:val="23"/>
        </w:rPr>
        <w:t xml:space="preserve">fixed </w:t>
      </w:r>
      <w:r w:rsidRPr="000343FD">
        <w:rPr>
          <w:rFonts w:ascii="Garamond" w:hAnsi="Garamond"/>
          <w:sz w:val="23"/>
          <w:szCs w:val="23"/>
        </w:rPr>
        <w:t xml:space="preserve">period of time and is valued on an hourly basis. </w:t>
      </w:r>
      <w:r w:rsidRPr="000343FD">
        <w:rPr>
          <w:rFonts w:ascii="Garamond" w:eastAsia="Calibri" w:hAnsi="Garamond" w:cs="Times New Roman"/>
          <w:sz w:val="23"/>
          <w:szCs w:val="23"/>
        </w:rPr>
        <w:t xml:space="preserve">Several deregulated markets in the United States, including </w:t>
      </w:r>
      <w:r w:rsidR="00060621">
        <w:rPr>
          <w:rFonts w:ascii="Garamond" w:eastAsia="Calibri" w:hAnsi="Garamond" w:cs="Times New Roman"/>
          <w:sz w:val="23"/>
          <w:szCs w:val="23"/>
        </w:rPr>
        <w:t xml:space="preserve">the </w:t>
      </w:r>
      <w:r w:rsidRPr="000343FD">
        <w:rPr>
          <w:rFonts w:ascii="Garamond" w:eastAsia="Calibri" w:hAnsi="Garamond" w:cs="Times New Roman"/>
          <w:sz w:val="23"/>
          <w:szCs w:val="23"/>
        </w:rPr>
        <w:t>PJM</w:t>
      </w:r>
      <w:r w:rsidR="00060621">
        <w:rPr>
          <w:rFonts w:ascii="Garamond" w:eastAsia="Calibri" w:hAnsi="Garamond" w:cs="Times New Roman"/>
          <w:sz w:val="23"/>
          <w:szCs w:val="23"/>
        </w:rPr>
        <w:t xml:space="preserve"> Interconnection (PJM)</w:t>
      </w:r>
      <w:r w:rsidRPr="000343FD">
        <w:rPr>
          <w:rFonts w:ascii="Garamond" w:eastAsia="Calibri" w:hAnsi="Garamond" w:cs="Times New Roman"/>
          <w:sz w:val="23"/>
          <w:szCs w:val="23"/>
        </w:rPr>
        <w:t>, use Locational Marginal Pricing (LMP) to assign wholesale market prices for electricity</w:t>
      </w:r>
      <w:r>
        <w:rPr>
          <w:rFonts w:ascii="Garamond" w:eastAsia="Calibri" w:hAnsi="Garamond" w:cs="Times New Roman"/>
          <w:sz w:val="23"/>
          <w:szCs w:val="23"/>
        </w:rPr>
        <w:t xml:space="preserve"> in dollars per megawatt-hour ($/MWh)</w:t>
      </w:r>
      <w:r w:rsidRPr="000343FD">
        <w:rPr>
          <w:rFonts w:ascii="Garamond" w:eastAsia="Calibri" w:hAnsi="Garamond" w:cs="Times New Roman"/>
          <w:sz w:val="23"/>
          <w:szCs w:val="23"/>
        </w:rPr>
        <w:t>.</w:t>
      </w:r>
      <w:r>
        <w:rPr>
          <w:rFonts w:ascii="Garamond" w:eastAsia="Calibri" w:hAnsi="Garamond" w:cs="Times New Roman"/>
          <w:sz w:val="23"/>
          <w:szCs w:val="23"/>
        </w:rPr>
        <w:t xml:space="preserve"> </w:t>
      </w:r>
      <w:r w:rsidR="00F8270E">
        <w:rPr>
          <w:rFonts w:ascii="Garamond" w:eastAsia="Calibri" w:hAnsi="Garamond" w:cs="Times New Roman"/>
          <w:sz w:val="23"/>
          <w:szCs w:val="23"/>
        </w:rPr>
        <w:t xml:space="preserve">Section </w:t>
      </w:r>
      <w:r w:rsidR="00F8270E">
        <w:rPr>
          <w:rFonts w:ascii="Garamond" w:eastAsia="Calibri" w:hAnsi="Garamond" w:cs="Times New Roman"/>
          <w:sz w:val="23"/>
          <w:szCs w:val="23"/>
        </w:rPr>
        <w:fldChar w:fldCharType="begin"/>
      </w:r>
      <w:r w:rsidR="00F8270E">
        <w:rPr>
          <w:rFonts w:ascii="Garamond" w:eastAsia="Calibri" w:hAnsi="Garamond" w:cs="Times New Roman"/>
          <w:sz w:val="23"/>
          <w:szCs w:val="23"/>
        </w:rPr>
        <w:instrText xml:space="preserve"> REF _Ref343622274 \r \h </w:instrText>
      </w:r>
      <w:r w:rsidR="00F8270E">
        <w:rPr>
          <w:rFonts w:ascii="Garamond" w:eastAsia="Calibri" w:hAnsi="Garamond" w:cs="Times New Roman"/>
          <w:sz w:val="23"/>
          <w:szCs w:val="23"/>
        </w:rPr>
      </w:r>
      <w:r w:rsidR="00F8270E">
        <w:rPr>
          <w:rFonts w:ascii="Garamond" w:eastAsia="Calibri" w:hAnsi="Garamond" w:cs="Times New Roman"/>
          <w:sz w:val="23"/>
          <w:szCs w:val="23"/>
        </w:rPr>
        <w:fldChar w:fldCharType="separate"/>
      </w:r>
      <w:r w:rsidR="00451FFF">
        <w:rPr>
          <w:rFonts w:ascii="Garamond" w:eastAsia="Calibri" w:hAnsi="Garamond" w:cs="Times New Roman"/>
          <w:sz w:val="23"/>
          <w:szCs w:val="23"/>
        </w:rPr>
        <w:t>B</w:t>
      </w:r>
      <w:r w:rsidR="00F8270E">
        <w:rPr>
          <w:rFonts w:ascii="Garamond" w:eastAsia="Calibri" w:hAnsi="Garamond" w:cs="Times New Roman"/>
          <w:sz w:val="23"/>
          <w:szCs w:val="23"/>
        </w:rPr>
        <w:fldChar w:fldCharType="end"/>
      </w:r>
      <w:r w:rsidR="00F8270E">
        <w:rPr>
          <w:rFonts w:ascii="Garamond" w:eastAsia="Calibri" w:hAnsi="Garamond" w:cs="Times New Roman"/>
          <w:sz w:val="23"/>
          <w:szCs w:val="23"/>
        </w:rPr>
        <w:t xml:space="preserve"> </w:t>
      </w:r>
      <w:r w:rsidR="00016BF4">
        <w:rPr>
          <w:rFonts w:ascii="Garamond" w:eastAsia="Calibri" w:hAnsi="Garamond" w:cs="Times New Roman"/>
          <w:sz w:val="23"/>
          <w:szCs w:val="23"/>
        </w:rPr>
        <w:t xml:space="preserve">of this report </w:t>
      </w:r>
      <w:r w:rsidR="00F8270E">
        <w:rPr>
          <w:rFonts w:ascii="Garamond" w:eastAsia="Calibri" w:hAnsi="Garamond" w:cs="Times New Roman"/>
          <w:sz w:val="23"/>
          <w:szCs w:val="23"/>
        </w:rPr>
        <w:t xml:space="preserve">includes an explanation of how LMPs are calculated and </w:t>
      </w:r>
      <w:r w:rsidR="008F7A2F">
        <w:rPr>
          <w:rFonts w:ascii="Garamond" w:eastAsia="Calibri" w:hAnsi="Garamond" w:cs="Times New Roman"/>
          <w:sz w:val="23"/>
          <w:szCs w:val="23"/>
        </w:rPr>
        <w:t xml:space="preserve">demonstrates </w:t>
      </w:r>
      <w:r w:rsidR="00F8270E">
        <w:rPr>
          <w:rFonts w:ascii="Garamond" w:eastAsia="Calibri" w:hAnsi="Garamond" w:cs="Times New Roman"/>
          <w:sz w:val="23"/>
          <w:szCs w:val="23"/>
        </w:rPr>
        <w:t xml:space="preserve">how DR can </w:t>
      </w:r>
      <w:r w:rsidR="008F7A2F">
        <w:rPr>
          <w:rFonts w:ascii="Garamond" w:eastAsia="Calibri" w:hAnsi="Garamond" w:cs="Times New Roman"/>
          <w:sz w:val="23"/>
          <w:szCs w:val="23"/>
        </w:rPr>
        <w:t>have a positive effect on the wholesale price of electricity.</w:t>
      </w:r>
    </w:p>
    <w:p w:rsidR="00465113" w:rsidRDefault="00301994" w:rsidP="00465113">
      <w:pPr>
        <w:spacing w:line="240" w:lineRule="auto"/>
        <w:rPr>
          <w:rFonts w:ascii="Garamond" w:eastAsia="Calibri" w:hAnsi="Garamond" w:cs="Times New Roman"/>
          <w:sz w:val="23"/>
          <w:szCs w:val="23"/>
        </w:rPr>
      </w:pPr>
      <w:r>
        <w:rPr>
          <w:rFonts w:ascii="Garamond" w:eastAsia="Calibri" w:hAnsi="Garamond" w:cs="Times New Roman"/>
          <w:sz w:val="23"/>
          <w:szCs w:val="23"/>
        </w:rPr>
        <w:t xml:space="preserve">Section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_Ref343514175 \r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Pr>
          <w:rFonts w:ascii="Garamond" w:eastAsia="Calibri" w:hAnsi="Garamond" w:cs="Times New Roman"/>
          <w:sz w:val="23"/>
          <w:szCs w:val="23"/>
        </w:rPr>
        <w:t>D</w:t>
      </w:r>
      <w:r>
        <w:rPr>
          <w:rFonts w:ascii="Garamond" w:eastAsia="Calibri" w:hAnsi="Garamond" w:cs="Times New Roman"/>
          <w:sz w:val="23"/>
          <w:szCs w:val="23"/>
        </w:rPr>
        <w:fldChar w:fldCharType="end"/>
      </w:r>
      <w:r w:rsidR="00465113">
        <w:rPr>
          <w:rFonts w:ascii="Garamond" w:eastAsia="Calibri" w:hAnsi="Garamond" w:cs="Times New Roman"/>
          <w:sz w:val="23"/>
          <w:szCs w:val="23"/>
        </w:rPr>
        <w:t xml:space="preserve"> identifies three sources of variation </w:t>
      </w:r>
      <w:r w:rsidR="00060621">
        <w:rPr>
          <w:rFonts w:ascii="Garamond" w:eastAsia="Calibri" w:hAnsi="Garamond" w:cs="Times New Roman"/>
          <w:sz w:val="23"/>
          <w:szCs w:val="23"/>
        </w:rPr>
        <w:t xml:space="preserve">that have a significant impact on </w:t>
      </w:r>
      <w:r w:rsidR="00465113">
        <w:rPr>
          <w:rFonts w:ascii="Garamond" w:eastAsia="Calibri" w:hAnsi="Garamond" w:cs="Times New Roman"/>
          <w:sz w:val="23"/>
          <w:szCs w:val="23"/>
        </w:rPr>
        <w:t xml:space="preserve">the top 100 hours </w:t>
      </w:r>
      <w:r w:rsidR="00016BF4">
        <w:rPr>
          <w:rFonts w:ascii="Garamond" w:eastAsia="Calibri" w:hAnsi="Garamond" w:cs="Times New Roman"/>
          <w:sz w:val="23"/>
          <w:szCs w:val="23"/>
        </w:rPr>
        <w:t>structure</w:t>
      </w:r>
      <w:r w:rsidR="008F7A2F">
        <w:rPr>
          <w:rFonts w:ascii="Garamond" w:eastAsia="Calibri" w:hAnsi="Garamond" w:cs="Times New Roman"/>
          <w:sz w:val="23"/>
          <w:szCs w:val="23"/>
        </w:rPr>
        <w:t xml:space="preserve"> of the </w:t>
      </w:r>
      <w:r w:rsidR="00016BF4">
        <w:rPr>
          <w:rFonts w:ascii="Garamond" w:eastAsia="Calibri" w:hAnsi="Garamond" w:cs="Times New Roman"/>
          <w:sz w:val="23"/>
          <w:szCs w:val="23"/>
        </w:rPr>
        <w:t xml:space="preserve">Act 129 </w:t>
      </w:r>
      <w:r w:rsidR="008F7A2F">
        <w:rPr>
          <w:rFonts w:ascii="Garamond" w:eastAsia="Calibri" w:hAnsi="Garamond" w:cs="Times New Roman"/>
          <w:sz w:val="23"/>
          <w:szCs w:val="23"/>
        </w:rPr>
        <w:t xml:space="preserve">DR </w:t>
      </w:r>
      <w:r w:rsidR="00060621">
        <w:rPr>
          <w:rFonts w:ascii="Garamond" w:eastAsia="Calibri" w:hAnsi="Garamond" w:cs="Times New Roman"/>
          <w:sz w:val="23"/>
          <w:szCs w:val="23"/>
        </w:rPr>
        <w:t>programs</w:t>
      </w:r>
      <w:r w:rsidR="00465113">
        <w:rPr>
          <w:rFonts w:ascii="Garamond" w:eastAsia="Calibri" w:hAnsi="Garamond" w:cs="Times New Roman"/>
          <w:sz w:val="23"/>
          <w:szCs w:val="23"/>
        </w:rPr>
        <w:t xml:space="preserve">. The SWE believes understanding these sources of variation and accounting for them when establishing demand response goals </w:t>
      </w:r>
      <w:r w:rsidR="00060621">
        <w:rPr>
          <w:rFonts w:ascii="Garamond" w:eastAsia="Calibri" w:hAnsi="Garamond" w:cs="Times New Roman"/>
          <w:sz w:val="23"/>
          <w:szCs w:val="23"/>
        </w:rPr>
        <w:t>is</w:t>
      </w:r>
      <w:r w:rsidR="00465113">
        <w:rPr>
          <w:rFonts w:ascii="Garamond" w:eastAsia="Calibri" w:hAnsi="Garamond" w:cs="Times New Roman"/>
          <w:sz w:val="23"/>
          <w:szCs w:val="23"/>
        </w:rPr>
        <w:t xml:space="preserve"> critical </w:t>
      </w:r>
      <w:r w:rsidR="00060621">
        <w:rPr>
          <w:rFonts w:ascii="Garamond" w:eastAsia="Calibri" w:hAnsi="Garamond" w:cs="Times New Roman"/>
          <w:sz w:val="23"/>
          <w:szCs w:val="23"/>
        </w:rPr>
        <w:t xml:space="preserve">to ensure future DR programs are </w:t>
      </w:r>
      <w:r w:rsidR="00465113">
        <w:rPr>
          <w:rFonts w:ascii="Garamond" w:eastAsia="Calibri" w:hAnsi="Garamond" w:cs="Times New Roman"/>
          <w:sz w:val="23"/>
          <w:szCs w:val="23"/>
        </w:rPr>
        <w:t xml:space="preserve">cost-effective </w:t>
      </w:r>
      <w:r w:rsidR="000D5A99">
        <w:rPr>
          <w:rFonts w:ascii="Garamond" w:eastAsia="Calibri" w:hAnsi="Garamond" w:cs="Times New Roman"/>
          <w:sz w:val="23"/>
          <w:szCs w:val="23"/>
        </w:rPr>
        <w:t xml:space="preserve">for all EDCs </w:t>
      </w:r>
      <w:r w:rsidR="00016BF4">
        <w:rPr>
          <w:rFonts w:ascii="Garamond" w:eastAsia="Calibri" w:hAnsi="Garamond" w:cs="Times New Roman"/>
          <w:sz w:val="23"/>
          <w:szCs w:val="23"/>
        </w:rPr>
        <w:t>in</w:t>
      </w:r>
      <w:r w:rsidR="007F2C7F">
        <w:rPr>
          <w:rFonts w:ascii="Garamond" w:eastAsia="Calibri" w:hAnsi="Garamond" w:cs="Times New Roman"/>
          <w:sz w:val="23"/>
          <w:szCs w:val="23"/>
        </w:rPr>
        <w:t xml:space="preserve"> Pennsylvania</w:t>
      </w:r>
      <w:r w:rsidR="00465113">
        <w:rPr>
          <w:rFonts w:ascii="Garamond" w:eastAsia="Calibri" w:hAnsi="Garamond" w:cs="Times New Roman"/>
          <w:sz w:val="23"/>
          <w:szCs w:val="23"/>
        </w:rPr>
        <w:t>.</w:t>
      </w:r>
    </w:p>
    <w:p w:rsidR="00465113" w:rsidRDefault="00465113" w:rsidP="00465113">
      <w:pPr>
        <w:pStyle w:val="ListParagraph"/>
        <w:numPr>
          <w:ilvl w:val="0"/>
          <w:numId w:val="12"/>
        </w:numPr>
        <w:spacing w:after="120"/>
        <w:rPr>
          <w:rFonts w:ascii="Garamond" w:eastAsia="Calibri" w:hAnsi="Garamond" w:cs="Times New Roman"/>
          <w:sz w:val="23"/>
          <w:szCs w:val="23"/>
        </w:rPr>
      </w:pPr>
      <w:r w:rsidRPr="00026379">
        <w:rPr>
          <w:rFonts w:ascii="Garamond" w:eastAsia="Calibri" w:hAnsi="Garamond" w:cs="Times New Roman"/>
          <w:sz w:val="23"/>
          <w:szCs w:val="23"/>
        </w:rPr>
        <w:t>The need for DR is not consistent across the state. Energy and capacity prices in t</w:t>
      </w:r>
      <w:r w:rsidR="00DD4635">
        <w:rPr>
          <w:rFonts w:ascii="Garamond" w:eastAsia="Calibri" w:hAnsi="Garamond" w:cs="Times New Roman"/>
          <w:sz w:val="23"/>
          <w:szCs w:val="23"/>
        </w:rPr>
        <w:t>he eastern part of the state have historically been</w:t>
      </w:r>
      <w:r w:rsidRPr="00026379">
        <w:rPr>
          <w:rFonts w:ascii="Garamond" w:eastAsia="Calibri" w:hAnsi="Garamond" w:cs="Times New Roman"/>
          <w:sz w:val="23"/>
          <w:szCs w:val="23"/>
        </w:rPr>
        <w:t xml:space="preserve"> higher than those in the western part of the state. </w:t>
      </w:r>
      <w:r w:rsidR="00DD4635">
        <w:rPr>
          <w:rFonts w:ascii="Garamond" w:eastAsia="Calibri" w:hAnsi="Garamond" w:cs="Times New Roman"/>
          <w:sz w:val="23"/>
          <w:szCs w:val="23"/>
        </w:rPr>
        <w:t>If this trend persists</w:t>
      </w:r>
      <w:r w:rsidRPr="00026379">
        <w:rPr>
          <w:rFonts w:ascii="Garamond" w:eastAsia="Calibri" w:hAnsi="Garamond" w:cs="Times New Roman"/>
          <w:sz w:val="23"/>
          <w:szCs w:val="23"/>
        </w:rPr>
        <w:t xml:space="preserve">, DR is likely to be </w:t>
      </w:r>
      <w:r>
        <w:rPr>
          <w:rFonts w:ascii="Garamond" w:eastAsia="Calibri" w:hAnsi="Garamond" w:cs="Times New Roman"/>
          <w:sz w:val="23"/>
          <w:szCs w:val="23"/>
        </w:rPr>
        <w:t xml:space="preserve">more </w:t>
      </w:r>
      <w:r w:rsidRPr="00026379">
        <w:rPr>
          <w:rFonts w:ascii="Garamond" w:eastAsia="Calibri" w:hAnsi="Garamond" w:cs="Times New Roman"/>
          <w:sz w:val="23"/>
          <w:szCs w:val="23"/>
        </w:rPr>
        <w:t>cost-effective for</w:t>
      </w:r>
      <w:r w:rsidR="00291B50">
        <w:rPr>
          <w:rFonts w:ascii="Garamond" w:eastAsia="Calibri" w:hAnsi="Garamond" w:cs="Times New Roman"/>
          <w:sz w:val="23"/>
          <w:szCs w:val="23"/>
        </w:rPr>
        <w:t xml:space="preserve"> the</w:t>
      </w:r>
      <w:r w:rsidRPr="00026379">
        <w:rPr>
          <w:rFonts w:ascii="Garamond" w:eastAsia="Calibri" w:hAnsi="Garamond" w:cs="Times New Roman"/>
          <w:sz w:val="23"/>
          <w:szCs w:val="23"/>
        </w:rPr>
        <w:t xml:space="preserve"> eastern EDCs compared to</w:t>
      </w:r>
      <w:r w:rsidR="00986DDE">
        <w:rPr>
          <w:rFonts w:ascii="Garamond" w:eastAsia="Calibri" w:hAnsi="Garamond" w:cs="Times New Roman"/>
          <w:sz w:val="23"/>
          <w:szCs w:val="23"/>
        </w:rPr>
        <w:t xml:space="preserve"> the</w:t>
      </w:r>
      <w:r w:rsidR="00F712EC">
        <w:rPr>
          <w:rFonts w:ascii="Garamond" w:eastAsia="Calibri" w:hAnsi="Garamond" w:cs="Times New Roman"/>
          <w:sz w:val="23"/>
          <w:szCs w:val="23"/>
        </w:rPr>
        <w:t xml:space="preserve"> western EDCs and may warrant different goals.</w:t>
      </w:r>
    </w:p>
    <w:p w:rsidR="00465113" w:rsidRDefault="00465113" w:rsidP="00465113">
      <w:pPr>
        <w:pStyle w:val="ListParagraph"/>
        <w:numPr>
          <w:ilvl w:val="0"/>
          <w:numId w:val="12"/>
        </w:numPr>
        <w:spacing w:after="120"/>
        <w:rPr>
          <w:rFonts w:ascii="Garamond" w:eastAsia="Calibri" w:hAnsi="Garamond" w:cs="Times New Roman"/>
          <w:sz w:val="23"/>
          <w:szCs w:val="23"/>
        </w:rPr>
      </w:pPr>
      <w:r>
        <w:rPr>
          <w:rFonts w:ascii="Garamond" w:eastAsia="Calibri" w:hAnsi="Garamond" w:cs="Times New Roman"/>
          <w:sz w:val="23"/>
          <w:szCs w:val="23"/>
        </w:rPr>
        <w:lastRenderedPageBreak/>
        <w:t>There is significant variation in energy price</w:t>
      </w:r>
      <w:r w:rsidR="007F2C7F">
        <w:rPr>
          <w:rFonts w:ascii="Garamond" w:eastAsia="Calibri" w:hAnsi="Garamond" w:cs="Times New Roman"/>
          <w:sz w:val="23"/>
          <w:szCs w:val="23"/>
        </w:rPr>
        <w:t xml:space="preserve">s within the top 100 hours </w:t>
      </w:r>
      <w:r>
        <w:rPr>
          <w:rFonts w:ascii="Garamond" w:eastAsia="Calibri" w:hAnsi="Garamond" w:cs="Times New Roman"/>
          <w:sz w:val="23"/>
          <w:szCs w:val="23"/>
        </w:rPr>
        <w:t xml:space="preserve">summer performance period for each EDC. During </w:t>
      </w:r>
      <w:r w:rsidR="007F2C7F">
        <w:rPr>
          <w:rFonts w:ascii="Garamond" w:eastAsia="Calibri" w:hAnsi="Garamond" w:cs="Times New Roman"/>
          <w:sz w:val="23"/>
          <w:szCs w:val="23"/>
        </w:rPr>
        <w:t>certain</w:t>
      </w:r>
      <w:r>
        <w:rPr>
          <w:rFonts w:ascii="Garamond" w:eastAsia="Calibri" w:hAnsi="Garamond" w:cs="Times New Roman"/>
          <w:sz w:val="23"/>
          <w:szCs w:val="23"/>
        </w:rPr>
        <w:t xml:space="preserve"> hours</w:t>
      </w:r>
      <w:r w:rsidR="00BE41DA">
        <w:rPr>
          <w:rFonts w:ascii="Garamond" w:eastAsia="Calibri" w:hAnsi="Garamond" w:cs="Times New Roman"/>
          <w:sz w:val="23"/>
          <w:szCs w:val="23"/>
        </w:rPr>
        <w:t>,</w:t>
      </w:r>
      <w:r>
        <w:rPr>
          <w:rFonts w:ascii="Garamond" w:eastAsia="Calibri" w:hAnsi="Garamond" w:cs="Times New Roman"/>
          <w:sz w:val="23"/>
          <w:szCs w:val="23"/>
        </w:rPr>
        <w:t xml:space="preserve"> the grid is not constrained and </w:t>
      </w:r>
      <w:r w:rsidR="00DD4635">
        <w:rPr>
          <w:rFonts w:ascii="Garamond" w:eastAsia="Calibri" w:hAnsi="Garamond" w:cs="Times New Roman"/>
          <w:sz w:val="23"/>
          <w:szCs w:val="23"/>
        </w:rPr>
        <w:t>dispatching DR will not have a significant impact on wholesale energy prices</w:t>
      </w:r>
      <w:r>
        <w:rPr>
          <w:rFonts w:ascii="Garamond" w:eastAsia="Calibri" w:hAnsi="Garamond" w:cs="Times New Roman"/>
          <w:sz w:val="23"/>
          <w:szCs w:val="23"/>
        </w:rPr>
        <w:t xml:space="preserve">. Valuing load reductions from each hour </w:t>
      </w:r>
      <w:r w:rsidR="00BE41DA">
        <w:rPr>
          <w:rFonts w:ascii="Garamond" w:eastAsia="Calibri" w:hAnsi="Garamond" w:cs="Times New Roman"/>
          <w:sz w:val="23"/>
          <w:szCs w:val="23"/>
        </w:rPr>
        <w:t xml:space="preserve">equally </w:t>
      </w:r>
      <w:r>
        <w:rPr>
          <w:rFonts w:ascii="Garamond" w:eastAsia="Calibri" w:hAnsi="Garamond" w:cs="Times New Roman"/>
          <w:sz w:val="23"/>
          <w:szCs w:val="23"/>
        </w:rPr>
        <w:t xml:space="preserve">does not address this variation. </w:t>
      </w:r>
    </w:p>
    <w:p w:rsidR="00465113" w:rsidRDefault="00465113" w:rsidP="00465113">
      <w:pPr>
        <w:pStyle w:val="ListParagraph"/>
        <w:numPr>
          <w:ilvl w:val="0"/>
          <w:numId w:val="12"/>
        </w:numPr>
        <w:spacing w:after="120"/>
        <w:rPr>
          <w:rFonts w:ascii="Garamond" w:eastAsia="Calibri" w:hAnsi="Garamond" w:cs="Times New Roman"/>
          <w:sz w:val="23"/>
          <w:szCs w:val="23"/>
        </w:rPr>
      </w:pPr>
      <w:r>
        <w:rPr>
          <w:rFonts w:ascii="Garamond" w:eastAsia="Calibri" w:hAnsi="Garamond" w:cs="Times New Roman"/>
          <w:sz w:val="23"/>
          <w:szCs w:val="23"/>
        </w:rPr>
        <w:t xml:space="preserve">The need for DR is highly correlated with weather patterns and will be much lower in a cool summer than a hot summer for a given performance period. An EDC may experience conditions that promote cost-effective DR for </w:t>
      </w:r>
      <w:r w:rsidR="00986DDE">
        <w:rPr>
          <w:rFonts w:ascii="Garamond" w:eastAsia="Calibri" w:hAnsi="Garamond" w:cs="Times New Roman"/>
          <w:sz w:val="23"/>
          <w:szCs w:val="23"/>
        </w:rPr>
        <w:t>5</w:t>
      </w:r>
      <w:r>
        <w:rPr>
          <w:rFonts w:ascii="Garamond" w:eastAsia="Calibri" w:hAnsi="Garamond" w:cs="Times New Roman"/>
          <w:sz w:val="23"/>
          <w:szCs w:val="23"/>
        </w:rPr>
        <w:t xml:space="preserve"> hours during a cool summer and 35 hours during a hot summer.</w:t>
      </w:r>
    </w:p>
    <w:p w:rsidR="00FB4098" w:rsidRPr="00FB4098" w:rsidRDefault="00DD4635" w:rsidP="008F7A2F">
      <w:pPr>
        <w:spacing w:line="240" w:lineRule="auto"/>
        <w:rPr>
          <w:rFonts w:ascii="Garamond" w:hAnsi="Garamond"/>
          <w:sz w:val="23"/>
          <w:szCs w:val="23"/>
        </w:rPr>
      </w:pPr>
      <w:r w:rsidRPr="00FB4098">
        <w:rPr>
          <w:rFonts w:ascii="Garamond" w:hAnsi="Garamond"/>
          <w:sz w:val="23"/>
          <w:szCs w:val="23"/>
        </w:rPr>
        <w:t xml:space="preserve">As part of the PJM Interconnection, </w:t>
      </w:r>
      <w:r w:rsidR="002B542F" w:rsidRPr="00FB4098">
        <w:rPr>
          <w:rFonts w:ascii="Garamond" w:hAnsi="Garamond"/>
          <w:sz w:val="23"/>
          <w:szCs w:val="23"/>
        </w:rPr>
        <w:t xml:space="preserve">Pennsylvania electric customers </w:t>
      </w:r>
      <w:r w:rsidRPr="00FB4098">
        <w:rPr>
          <w:rFonts w:ascii="Garamond" w:hAnsi="Garamond"/>
          <w:sz w:val="23"/>
          <w:szCs w:val="23"/>
        </w:rPr>
        <w:t xml:space="preserve">are eligible to participate as DR resources in the PJM </w:t>
      </w:r>
      <w:r w:rsidR="002B542F" w:rsidRPr="00FB4098">
        <w:rPr>
          <w:rFonts w:ascii="Garamond" w:hAnsi="Garamond"/>
          <w:sz w:val="23"/>
          <w:szCs w:val="23"/>
        </w:rPr>
        <w:t>capacity or energy ma</w:t>
      </w:r>
      <w:r w:rsidR="0042571E" w:rsidRPr="00FB4098">
        <w:rPr>
          <w:rFonts w:ascii="Garamond" w:hAnsi="Garamond"/>
          <w:sz w:val="23"/>
          <w:szCs w:val="23"/>
        </w:rPr>
        <w:t>rkets. A significant number of commercial and i</w:t>
      </w:r>
      <w:r w:rsidR="002B542F" w:rsidRPr="00FB4098">
        <w:rPr>
          <w:rFonts w:ascii="Garamond" w:hAnsi="Garamond"/>
          <w:sz w:val="23"/>
          <w:szCs w:val="23"/>
        </w:rPr>
        <w:t xml:space="preserve">ndustrial participants in Act 129 DR programs were also enrolled in the PJM markets in 2012. </w:t>
      </w:r>
      <w:r w:rsidRPr="00FB4098">
        <w:rPr>
          <w:rFonts w:ascii="Garamond" w:hAnsi="Garamond"/>
          <w:sz w:val="23"/>
          <w:szCs w:val="23"/>
        </w:rPr>
        <w:t xml:space="preserve">Section </w:t>
      </w:r>
      <w:r w:rsidRPr="00FB4098">
        <w:rPr>
          <w:rFonts w:ascii="Garamond" w:hAnsi="Garamond"/>
          <w:sz w:val="23"/>
          <w:szCs w:val="23"/>
        </w:rPr>
        <w:fldChar w:fldCharType="begin"/>
      </w:r>
      <w:r w:rsidRPr="00FB4098">
        <w:rPr>
          <w:rFonts w:ascii="Garamond" w:hAnsi="Garamond"/>
          <w:sz w:val="23"/>
          <w:szCs w:val="23"/>
        </w:rPr>
        <w:instrText xml:space="preserve"> REF _Ref343687753 \r \h </w:instrText>
      </w:r>
      <w:r w:rsidR="00F35643" w:rsidRPr="00FB4098">
        <w:rPr>
          <w:rFonts w:ascii="Garamond" w:hAnsi="Garamond"/>
          <w:sz w:val="23"/>
          <w:szCs w:val="23"/>
        </w:rPr>
        <w:instrText xml:space="preserve"> \* MERGEFORMAT </w:instrText>
      </w:r>
      <w:r w:rsidRPr="00FB4098">
        <w:rPr>
          <w:rFonts w:ascii="Garamond" w:hAnsi="Garamond"/>
          <w:sz w:val="23"/>
          <w:szCs w:val="23"/>
        </w:rPr>
      </w:r>
      <w:r w:rsidRPr="00FB4098">
        <w:rPr>
          <w:rFonts w:ascii="Garamond" w:hAnsi="Garamond"/>
          <w:sz w:val="23"/>
          <w:szCs w:val="23"/>
        </w:rPr>
        <w:fldChar w:fldCharType="separate"/>
      </w:r>
      <w:r w:rsidR="00451FFF">
        <w:rPr>
          <w:rFonts w:ascii="Garamond" w:hAnsi="Garamond"/>
          <w:sz w:val="23"/>
          <w:szCs w:val="23"/>
        </w:rPr>
        <w:t>E</w:t>
      </w:r>
      <w:r w:rsidRPr="00FB4098">
        <w:rPr>
          <w:rFonts w:ascii="Garamond" w:hAnsi="Garamond"/>
          <w:sz w:val="23"/>
          <w:szCs w:val="23"/>
        </w:rPr>
        <w:fldChar w:fldCharType="end"/>
      </w:r>
      <w:r w:rsidRPr="00FB4098">
        <w:rPr>
          <w:rFonts w:ascii="Garamond" w:hAnsi="Garamond"/>
          <w:sz w:val="23"/>
          <w:szCs w:val="23"/>
        </w:rPr>
        <w:t xml:space="preserve"> of the report</w:t>
      </w:r>
      <w:r w:rsidR="002B542F" w:rsidRPr="00FB4098">
        <w:rPr>
          <w:rFonts w:ascii="Garamond" w:hAnsi="Garamond"/>
          <w:sz w:val="23"/>
          <w:szCs w:val="23"/>
        </w:rPr>
        <w:t xml:space="preserve"> presents the methodology the SWE used to examine dual participation of DR resources in the Act 129 and PJM programs. The results of this analysis were used as inputs to the DR </w:t>
      </w:r>
      <w:r w:rsidR="002E5BF5" w:rsidRPr="00FB4098">
        <w:rPr>
          <w:rFonts w:ascii="Garamond" w:hAnsi="Garamond"/>
          <w:sz w:val="23"/>
          <w:szCs w:val="23"/>
        </w:rPr>
        <w:t>benefit/cost</w:t>
      </w:r>
      <w:r w:rsidR="002B542F" w:rsidRPr="00FB4098">
        <w:rPr>
          <w:rFonts w:ascii="Garamond" w:hAnsi="Garamond"/>
          <w:sz w:val="23"/>
          <w:szCs w:val="23"/>
        </w:rPr>
        <w:t xml:space="preserve"> analysis </w:t>
      </w:r>
      <w:r w:rsidR="006309A0" w:rsidRPr="00FB4098">
        <w:rPr>
          <w:rFonts w:ascii="Garamond" w:hAnsi="Garamond"/>
          <w:sz w:val="23"/>
          <w:szCs w:val="23"/>
        </w:rPr>
        <w:t>that is presented in Section</w:t>
      </w:r>
      <w:r w:rsidR="008F5602">
        <w:rPr>
          <w:rFonts w:ascii="Garamond" w:hAnsi="Garamond"/>
          <w:sz w:val="23"/>
          <w:szCs w:val="23"/>
        </w:rPr>
        <w:t xml:space="preserve"> </w:t>
      </w:r>
      <w:r w:rsidR="008F5602">
        <w:rPr>
          <w:rFonts w:ascii="Garamond" w:hAnsi="Garamond"/>
          <w:sz w:val="23"/>
          <w:szCs w:val="23"/>
        </w:rPr>
        <w:fldChar w:fldCharType="begin"/>
      </w:r>
      <w:r w:rsidR="008F5602">
        <w:rPr>
          <w:rFonts w:ascii="Garamond" w:hAnsi="Garamond"/>
          <w:sz w:val="23"/>
          <w:szCs w:val="23"/>
        </w:rPr>
        <w:instrText xml:space="preserve"> REF _Ref352604525 \r \h </w:instrText>
      </w:r>
      <w:r w:rsidR="008F5602">
        <w:rPr>
          <w:rFonts w:ascii="Garamond" w:hAnsi="Garamond"/>
          <w:sz w:val="23"/>
          <w:szCs w:val="23"/>
        </w:rPr>
      </w:r>
      <w:r w:rsidR="008F5602">
        <w:rPr>
          <w:rFonts w:ascii="Garamond" w:hAnsi="Garamond"/>
          <w:sz w:val="23"/>
          <w:szCs w:val="23"/>
        </w:rPr>
        <w:fldChar w:fldCharType="separate"/>
      </w:r>
      <w:r w:rsidR="00451FFF">
        <w:rPr>
          <w:rFonts w:ascii="Garamond" w:hAnsi="Garamond"/>
          <w:sz w:val="23"/>
          <w:szCs w:val="23"/>
        </w:rPr>
        <w:t>F</w:t>
      </w:r>
      <w:r w:rsidR="008F5602">
        <w:rPr>
          <w:rFonts w:ascii="Garamond" w:hAnsi="Garamond"/>
          <w:sz w:val="23"/>
          <w:szCs w:val="23"/>
        </w:rPr>
        <w:fldChar w:fldCharType="end"/>
      </w:r>
      <w:r w:rsidR="006309A0" w:rsidRPr="00FB4098">
        <w:rPr>
          <w:rFonts w:ascii="Garamond" w:hAnsi="Garamond"/>
          <w:sz w:val="23"/>
          <w:szCs w:val="23"/>
        </w:rPr>
        <w:t xml:space="preserve">. </w:t>
      </w:r>
    </w:p>
    <w:p w:rsidR="009B65AD" w:rsidRDefault="00FB4098" w:rsidP="008F7A2F">
      <w:pPr>
        <w:spacing w:line="240" w:lineRule="auto"/>
        <w:rPr>
          <w:rFonts w:ascii="Garamond" w:hAnsi="Garamond"/>
          <w:sz w:val="23"/>
          <w:szCs w:val="23"/>
        </w:rPr>
      </w:pPr>
      <w:r>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Pr>
          <w:rFonts w:ascii="Garamond" w:hAnsi="Garamond"/>
          <w:sz w:val="23"/>
          <w:szCs w:val="23"/>
        </w:rPr>
        <w:t xml:space="preserve"> of the report begins with an examination of the cost effectiveness of Act 129 demand response as they were offered in 2012 and finds that TRC ratios were well below 1.0 for almost all programs in the state. </w:t>
      </w:r>
      <w:r w:rsidR="002A712D">
        <w:rPr>
          <w:rFonts w:ascii="Garamond" w:hAnsi="Garamond"/>
          <w:sz w:val="23"/>
          <w:szCs w:val="23"/>
        </w:rPr>
        <w:t>However, t</w:t>
      </w:r>
      <w:r>
        <w:rPr>
          <w:rFonts w:ascii="Garamond" w:hAnsi="Garamond"/>
          <w:sz w:val="23"/>
          <w:szCs w:val="23"/>
        </w:rPr>
        <w:t xml:space="preserve">he value of demand response is highly dependent on market conditions as well as the protocols and assumptions which are used to evaluate the programs. Consequently, it is the opinion of the SWE that demand response should not </w:t>
      </w:r>
      <w:r w:rsidR="002A712D">
        <w:rPr>
          <w:rFonts w:ascii="Garamond" w:hAnsi="Garamond"/>
          <w:sz w:val="23"/>
          <w:szCs w:val="23"/>
        </w:rPr>
        <w:t xml:space="preserve">necessarily be excluded from future phases </w:t>
      </w:r>
      <w:r w:rsidR="0090092B">
        <w:rPr>
          <w:rFonts w:ascii="Garamond" w:hAnsi="Garamond"/>
          <w:sz w:val="23"/>
          <w:szCs w:val="23"/>
        </w:rPr>
        <w:t xml:space="preserve">of Act 129 </w:t>
      </w:r>
      <w:r w:rsidR="002A712D">
        <w:rPr>
          <w:rFonts w:ascii="Garamond" w:hAnsi="Garamond"/>
          <w:sz w:val="23"/>
          <w:szCs w:val="23"/>
        </w:rPr>
        <w:t xml:space="preserve">solely based on the results observed in Phase I. A sensitivity analysis is presented in Section </w:t>
      </w:r>
      <w:r w:rsidR="002A712D">
        <w:rPr>
          <w:rFonts w:ascii="Garamond" w:hAnsi="Garamond"/>
          <w:sz w:val="23"/>
          <w:szCs w:val="23"/>
        </w:rPr>
        <w:fldChar w:fldCharType="begin"/>
      </w:r>
      <w:r w:rsidR="002A712D">
        <w:rPr>
          <w:rFonts w:ascii="Garamond" w:hAnsi="Garamond"/>
          <w:sz w:val="23"/>
          <w:szCs w:val="23"/>
        </w:rPr>
        <w:instrText xml:space="preserve"> REF _Ref352604525 \r \h </w:instrText>
      </w:r>
      <w:r w:rsidR="002A712D">
        <w:rPr>
          <w:rFonts w:ascii="Garamond" w:hAnsi="Garamond"/>
          <w:sz w:val="23"/>
          <w:szCs w:val="23"/>
        </w:rPr>
      </w:r>
      <w:r w:rsidR="002A712D">
        <w:rPr>
          <w:rFonts w:ascii="Garamond" w:hAnsi="Garamond"/>
          <w:sz w:val="23"/>
          <w:szCs w:val="23"/>
        </w:rPr>
        <w:fldChar w:fldCharType="separate"/>
      </w:r>
      <w:r w:rsidR="00451FFF">
        <w:rPr>
          <w:rFonts w:ascii="Garamond" w:hAnsi="Garamond"/>
          <w:sz w:val="23"/>
          <w:szCs w:val="23"/>
        </w:rPr>
        <w:t>F</w:t>
      </w:r>
      <w:r w:rsidR="002A712D">
        <w:rPr>
          <w:rFonts w:ascii="Garamond" w:hAnsi="Garamond"/>
          <w:sz w:val="23"/>
          <w:szCs w:val="23"/>
        </w:rPr>
        <w:fldChar w:fldCharType="end"/>
      </w:r>
      <w:r w:rsidR="002A712D">
        <w:rPr>
          <w:rFonts w:ascii="Garamond" w:hAnsi="Garamond"/>
          <w:sz w:val="23"/>
          <w:szCs w:val="23"/>
        </w:rPr>
        <w:t xml:space="preserve"> to demonstrate the effect of various inputs on the perceived cost effect</w:t>
      </w:r>
      <w:r w:rsidR="0052274D">
        <w:rPr>
          <w:rFonts w:ascii="Garamond" w:hAnsi="Garamond"/>
          <w:sz w:val="23"/>
          <w:szCs w:val="23"/>
        </w:rPr>
        <w:t>iveness of Act 129 DR programs. A “best-case” scenario is included in this sensitivity analysis which shows that, with the right combination of market conditions, incentive levels, and policy assumptions, both direct load control and load curtailment programs can be cost effective with a TRC ratio greater than 1.0.</w:t>
      </w:r>
    </w:p>
    <w:p w:rsidR="00F712EC" w:rsidRDefault="00F712EC" w:rsidP="008F7A2F">
      <w:pPr>
        <w:spacing w:line="240" w:lineRule="auto"/>
        <w:rPr>
          <w:rFonts w:ascii="Garamond" w:hAnsi="Garamond"/>
          <w:sz w:val="23"/>
          <w:szCs w:val="23"/>
        </w:rPr>
      </w:pPr>
      <w:r>
        <w:rPr>
          <w:rFonts w:ascii="Garamond" w:hAnsi="Garamond"/>
          <w:sz w:val="23"/>
          <w:szCs w:val="23"/>
        </w:rPr>
        <w:t>The SWE believes that DR resources should be dispatched when they are most likely to have a positive im</w:t>
      </w:r>
      <w:r w:rsidR="00234A23">
        <w:rPr>
          <w:rFonts w:ascii="Garamond" w:hAnsi="Garamond"/>
          <w:sz w:val="23"/>
          <w:szCs w:val="23"/>
        </w:rPr>
        <w:t xml:space="preserve">pact on wholesale energy prices. Quantifying the impacts of DR on wholesale prices requires that the supply curve for each zone be reconstructed and extended for each zone in order to estimate what the </w:t>
      </w:r>
      <w:r w:rsidR="00025A44">
        <w:rPr>
          <w:rFonts w:ascii="Garamond" w:hAnsi="Garamond"/>
          <w:sz w:val="23"/>
          <w:szCs w:val="23"/>
        </w:rPr>
        <w:t xml:space="preserve">hourly </w:t>
      </w:r>
      <w:r w:rsidR="00234A23">
        <w:rPr>
          <w:rFonts w:ascii="Garamond" w:hAnsi="Garamond"/>
          <w:sz w:val="23"/>
          <w:szCs w:val="23"/>
        </w:rPr>
        <w:t xml:space="preserve">LMPs would have been in </w:t>
      </w:r>
      <w:r w:rsidR="00025A44">
        <w:rPr>
          <w:rFonts w:ascii="Garamond" w:hAnsi="Garamond"/>
          <w:sz w:val="23"/>
          <w:szCs w:val="23"/>
        </w:rPr>
        <w:t xml:space="preserve">each of the </w:t>
      </w:r>
      <w:r w:rsidR="00234A23">
        <w:rPr>
          <w:rFonts w:ascii="Garamond" w:hAnsi="Garamond"/>
          <w:sz w:val="23"/>
          <w:szCs w:val="23"/>
        </w:rPr>
        <w:t>EDC service territories if the MW provided by Act 129 DR</w:t>
      </w:r>
      <w:r w:rsidR="00025A44">
        <w:rPr>
          <w:rFonts w:ascii="Garamond" w:hAnsi="Garamond"/>
          <w:sz w:val="23"/>
          <w:szCs w:val="23"/>
        </w:rPr>
        <w:t xml:space="preserve"> had been fulfilled through generation offers instead of curtailment. </w:t>
      </w:r>
      <w:r>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_Ref352662254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G</w:t>
      </w:r>
      <w:r>
        <w:rPr>
          <w:rFonts w:ascii="Garamond" w:hAnsi="Garamond"/>
          <w:sz w:val="23"/>
          <w:szCs w:val="23"/>
        </w:rPr>
        <w:fldChar w:fldCharType="end"/>
      </w:r>
      <w:r>
        <w:rPr>
          <w:rFonts w:ascii="Garamond" w:hAnsi="Garamond"/>
          <w:sz w:val="23"/>
          <w:szCs w:val="23"/>
        </w:rPr>
        <w:t xml:space="preserve"> explains some of the challenges related to data availability and applicability of secondary research which factored </w:t>
      </w:r>
      <w:r w:rsidR="00025A44">
        <w:rPr>
          <w:rFonts w:ascii="Garamond" w:hAnsi="Garamond"/>
          <w:sz w:val="23"/>
          <w:szCs w:val="23"/>
        </w:rPr>
        <w:t xml:space="preserve">into </w:t>
      </w:r>
      <w:r>
        <w:rPr>
          <w:rFonts w:ascii="Garamond" w:hAnsi="Garamond"/>
          <w:sz w:val="23"/>
          <w:szCs w:val="23"/>
        </w:rPr>
        <w:t xml:space="preserve">the SWE excluding these benefits </w:t>
      </w:r>
      <w:r w:rsidR="00025A44">
        <w:rPr>
          <w:rFonts w:ascii="Garamond" w:hAnsi="Garamond"/>
          <w:sz w:val="23"/>
          <w:szCs w:val="23"/>
        </w:rPr>
        <w:t>from the</w:t>
      </w:r>
      <w:r>
        <w:rPr>
          <w:rFonts w:ascii="Garamond" w:hAnsi="Garamond"/>
          <w:sz w:val="23"/>
          <w:szCs w:val="23"/>
        </w:rPr>
        <w:t xml:space="preserve"> study.</w:t>
      </w:r>
    </w:p>
    <w:p w:rsidR="00EC564F" w:rsidRDefault="008F7A2F" w:rsidP="008F7A2F">
      <w:pPr>
        <w:spacing w:line="240" w:lineRule="auto"/>
        <w:rPr>
          <w:rFonts w:ascii="Garamond" w:hAnsi="Garamond"/>
          <w:sz w:val="23"/>
          <w:szCs w:val="23"/>
        </w:rPr>
      </w:pPr>
      <w:r w:rsidRPr="00264B8C">
        <w:rPr>
          <w:rFonts w:ascii="Garamond" w:hAnsi="Garamond"/>
          <w:sz w:val="23"/>
          <w:szCs w:val="23"/>
        </w:rPr>
        <w:t xml:space="preserve">The SWE has developed the following </w:t>
      </w:r>
      <w:r w:rsidR="0002713A">
        <w:rPr>
          <w:rFonts w:ascii="Garamond" w:hAnsi="Garamond"/>
          <w:sz w:val="23"/>
          <w:szCs w:val="23"/>
        </w:rPr>
        <w:t xml:space="preserve">findings and </w:t>
      </w:r>
      <w:r w:rsidRPr="00264B8C">
        <w:rPr>
          <w:rFonts w:ascii="Garamond" w:hAnsi="Garamond"/>
          <w:sz w:val="23"/>
          <w:szCs w:val="23"/>
        </w:rPr>
        <w:t xml:space="preserve">recommendations based </w:t>
      </w:r>
      <w:r w:rsidR="00986DDE">
        <w:rPr>
          <w:rFonts w:ascii="Garamond" w:hAnsi="Garamond"/>
          <w:sz w:val="23"/>
          <w:szCs w:val="23"/>
        </w:rPr>
        <w:t>on the investigations presented in this report</w:t>
      </w:r>
      <w:r w:rsidR="0042571E">
        <w:rPr>
          <w:rFonts w:ascii="Garamond" w:hAnsi="Garamond"/>
          <w:sz w:val="23"/>
          <w:szCs w:val="23"/>
        </w:rPr>
        <w:t>.</w:t>
      </w:r>
    </w:p>
    <w:p w:rsidR="006D60C7" w:rsidRDefault="006D60C7" w:rsidP="006D60C7">
      <w:pPr>
        <w:pStyle w:val="ListParagraph"/>
        <w:numPr>
          <w:ilvl w:val="0"/>
          <w:numId w:val="19"/>
        </w:numPr>
        <w:spacing w:after="0"/>
        <w:contextualSpacing w:val="0"/>
        <w:rPr>
          <w:rFonts w:ascii="Garamond" w:hAnsi="Garamond"/>
          <w:sz w:val="23"/>
          <w:szCs w:val="23"/>
        </w:rPr>
      </w:pPr>
      <w:r>
        <w:rPr>
          <w:rFonts w:ascii="Garamond" w:eastAsia="Calibri" w:hAnsi="Garamond" w:cs="Times New Roman"/>
          <w:sz w:val="23"/>
          <w:szCs w:val="23"/>
        </w:rPr>
        <w:t>The direction of capacity prices in the region should determine whether or not future phases of Act 129 include DR targets</w:t>
      </w:r>
      <w:r w:rsidRPr="00184570">
        <w:rPr>
          <w:rFonts w:ascii="Garamond" w:eastAsia="Calibri" w:hAnsi="Garamond" w:cs="Times New Roman"/>
          <w:sz w:val="23"/>
          <w:szCs w:val="23"/>
        </w:rPr>
        <w:t xml:space="preserve">. </w:t>
      </w:r>
      <w:r w:rsidR="000571AE">
        <w:rPr>
          <w:rFonts w:ascii="Garamond" w:hAnsi="Garamond"/>
          <w:sz w:val="23"/>
          <w:szCs w:val="23"/>
        </w:rPr>
        <w:t>The SWE recommends that the Commission</w:t>
      </w:r>
      <w:r>
        <w:rPr>
          <w:rFonts w:ascii="Garamond" w:hAnsi="Garamond"/>
          <w:sz w:val="23"/>
          <w:szCs w:val="23"/>
        </w:rPr>
        <w:t xml:space="preserve"> pay careful attention to the results of the PJM Base Residual Capacity Auction for the 2016</w:t>
      </w:r>
      <w:r w:rsidR="000D5A99">
        <w:rPr>
          <w:rFonts w:ascii="Garamond" w:hAnsi="Garamond"/>
          <w:sz w:val="23"/>
          <w:szCs w:val="23"/>
        </w:rPr>
        <w:t>/2017</w:t>
      </w:r>
      <w:r w:rsidR="00BE41DA">
        <w:rPr>
          <w:rFonts w:ascii="Garamond" w:hAnsi="Garamond"/>
          <w:sz w:val="23"/>
          <w:szCs w:val="23"/>
        </w:rPr>
        <w:t xml:space="preserve"> </w:t>
      </w:r>
      <w:r w:rsidR="000D5A99">
        <w:rPr>
          <w:rFonts w:ascii="Garamond" w:hAnsi="Garamond"/>
          <w:sz w:val="23"/>
          <w:szCs w:val="23"/>
        </w:rPr>
        <w:t>delivery</w:t>
      </w:r>
      <w:r>
        <w:rPr>
          <w:rFonts w:ascii="Garamond" w:hAnsi="Garamond"/>
          <w:sz w:val="23"/>
          <w:szCs w:val="23"/>
        </w:rPr>
        <w:t xml:space="preserve"> year</w:t>
      </w:r>
      <w:r>
        <w:rPr>
          <w:rStyle w:val="FootnoteReference"/>
          <w:rFonts w:ascii="Garamond" w:hAnsi="Garamond"/>
          <w:sz w:val="23"/>
          <w:szCs w:val="23"/>
        </w:rPr>
        <w:footnoteReference w:id="4"/>
      </w:r>
      <w:r>
        <w:rPr>
          <w:rFonts w:ascii="Garamond" w:hAnsi="Garamond"/>
          <w:sz w:val="23"/>
          <w:szCs w:val="23"/>
        </w:rPr>
        <w:t xml:space="preserve"> that will be held in May 2013. </w:t>
      </w:r>
      <w:r w:rsidR="0042571E">
        <w:rPr>
          <w:rFonts w:ascii="Garamond" w:hAnsi="Garamond"/>
          <w:sz w:val="23"/>
          <w:szCs w:val="23"/>
        </w:rPr>
        <w:t xml:space="preserve">Based on the program expenditures and impacts observed during the 2012 performance period, the avoided cost of generation capacity will need to be in excess of $70-$80 per kW-year to </w:t>
      </w:r>
      <w:r w:rsidR="0090092B">
        <w:rPr>
          <w:rFonts w:ascii="Garamond" w:hAnsi="Garamond"/>
          <w:sz w:val="23"/>
          <w:szCs w:val="23"/>
        </w:rPr>
        <w:t>consider</w:t>
      </w:r>
      <w:r w:rsidR="0042571E">
        <w:rPr>
          <w:rFonts w:ascii="Garamond" w:hAnsi="Garamond"/>
          <w:sz w:val="23"/>
          <w:szCs w:val="23"/>
        </w:rPr>
        <w:t xml:space="preserve"> </w:t>
      </w:r>
      <w:r w:rsidR="0090092B">
        <w:rPr>
          <w:rFonts w:ascii="Garamond" w:hAnsi="Garamond"/>
          <w:sz w:val="23"/>
          <w:szCs w:val="23"/>
        </w:rPr>
        <w:t xml:space="preserve">the </w:t>
      </w:r>
      <w:r w:rsidR="00277EB0">
        <w:rPr>
          <w:rFonts w:ascii="Garamond" w:hAnsi="Garamond"/>
          <w:sz w:val="23"/>
          <w:szCs w:val="23"/>
        </w:rPr>
        <w:t>continuation of Act 129 DR programs</w:t>
      </w:r>
      <w:r w:rsidR="0090092B">
        <w:rPr>
          <w:rFonts w:ascii="Garamond" w:hAnsi="Garamond"/>
          <w:sz w:val="23"/>
          <w:szCs w:val="23"/>
        </w:rPr>
        <w:t xml:space="preserve"> in future phases</w:t>
      </w:r>
      <w:r w:rsidR="00277EB0">
        <w:rPr>
          <w:rFonts w:ascii="Garamond" w:hAnsi="Garamond"/>
          <w:sz w:val="23"/>
          <w:szCs w:val="23"/>
        </w:rPr>
        <w:t>.</w:t>
      </w:r>
    </w:p>
    <w:p w:rsidR="00277EB0" w:rsidRDefault="00277EB0" w:rsidP="006D60C7">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Avoided transmission and distribution (T&amp;D) benefits are a major source of uncertainty in the </w:t>
      </w:r>
      <w:r w:rsidR="002E5BF5">
        <w:rPr>
          <w:rFonts w:ascii="Garamond" w:hAnsi="Garamond"/>
          <w:sz w:val="23"/>
          <w:szCs w:val="23"/>
        </w:rPr>
        <w:t>benefit/cost</w:t>
      </w:r>
      <w:r>
        <w:rPr>
          <w:rFonts w:ascii="Garamond" w:hAnsi="Garamond"/>
          <w:sz w:val="23"/>
          <w:szCs w:val="23"/>
        </w:rPr>
        <w:t xml:space="preserve"> analysis of demand response. Additional research is needed by the Pennsylvania EDCs to quantify these benefits. The </w:t>
      </w:r>
      <w:r w:rsidR="002E5BF5">
        <w:rPr>
          <w:rFonts w:ascii="Garamond" w:hAnsi="Garamond"/>
          <w:sz w:val="23"/>
          <w:szCs w:val="23"/>
        </w:rPr>
        <w:t>benefit/cost</w:t>
      </w:r>
      <w:r>
        <w:rPr>
          <w:rFonts w:ascii="Garamond" w:hAnsi="Garamond"/>
          <w:sz w:val="23"/>
          <w:szCs w:val="23"/>
        </w:rPr>
        <w:t xml:space="preserve"> analysis presented in Section </w:t>
      </w:r>
      <w:r w:rsidR="00BC6642">
        <w:rPr>
          <w:rFonts w:ascii="Garamond" w:hAnsi="Garamond"/>
          <w:sz w:val="23"/>
          <w:szCs w:val="23"/>
        </w:rPr>
        <w:fldChar w:fldCharType="begin"/>
      </w:r>
      <w:r w:rsidR="00BC6642">
        <w:rPr>
          <w:rFonts w:ascii="Garamond" w:hAnsi="Garamond"/>
          <w:sz w:val="23"/>
          <w:szCs w:val="23"/>
        </w:rPr>
        <w:instrText xml:space="preserve"> REF _Ref352604525 \r \h </w:instrText>
      </w:r>
      <w:r w:rsidR="00BC6642">
        <w:rPr>
          <w:rFonts w:ascii="Garamond" w:hAnsi="Garamond"/>
          <w:sz w:val="23"/>
          <w:szCs w:val="23"/>
        </w:rPr>
      </w:r>
      <w:r w:rsidR="00BC6642">
        <w:rPr>
          <w:rFonts w:ascii="Garamond" w:hAnsi="Garamond"/>
          <w:sz w:val="23"/>
          <w:szCs w:val="23"/>
        </w:rPr>
        <w:fldChar w:fldCharType="separate"/>
      </w:r>
      <w:r w:rsidR="00451FFF">
        <w:rPr>
          <w:rFonts w:ascii="Garamond" w:hAnsi="Garamond"/>
          <w:sz w:val="23"/>
          <w:szCs w:val="23"/>
        </w:rPr>
        <w:t>F</w:t>
      </w:r>
      <w:r w:rsidR="00BC6642">
        <w:rPr>
          <w:rFonts w:ascii="Garamond" w:hAnsi="Garamond"/>
          <w:sz w:val="23"/>
          <w:szCs w:val="23"/>
        </w:rPr>
        <w:fldChar w:fldCharType="end"/>
      </w:r>
      <w:r>
        <w:rPr>
          <w:rFonts w:ascii="Garamond" w:hAnsi="Garamond"/>
          <w:sz w:val="23"/>
          <w:szCs w:val="23"/>
        </w:rPr>
        <w:t xml:space="preserve"> considers low, medium and high cases of $0, $25 and $50 per kW-year, respectively, for the monetization of </w:t>
      </w:r>
      <w:r>
        <w:rPr>
          <w:rFonts w:ascii="Garamond" w:hAnsi="Garamond"/>
          <w:sz w:val="23"/>
          <w:szCs w:val="23"/>
        </w:rPr>
        <w:lastRenderedPageBreak/>
        <w:t xml:space="preserve">transmission and distribution benefits. Without the inclusion of some T&amp;D benefits, the SWE believes that Act 129 DR programs are unlikely to pass a TRC test. </w:t>
      </w:r>
    </w:p>
    <w:p w:rsidR="00684086" w:rsidRPr="00684086" w:rsidRDefault="00684086" w:rsidP="00F94132">
      <w:pPr>
        <w:pStyle w:val="ListParagraph"/>
        <w:numPr>
          <w:ilvl w:val="0"/>
          <w:numId w:val="19"/>
        </w:numPr>
        <w:spacing w:after="0"/>
        <w:contextualSpacing w:val="0"/>
        <w:rPr>
          <w:rFonts w:ascii="Garamond" w:hAnsi="Garamond"/>
          <w:sz w:val="23"/>
          <w:szCs w:val="23"/>
        </w:rPr>
      </w:pPr>
      <w:r>
        <w:rPr>
          <w:rFonts w:ascii="Garamond" w:hAnsi="Garamond"/>
          <w:sz w:val="23"/>
          <w:szCs w:val="23"/>
        </w:rPr>
        <w:t>Additional research is needed into possible benefits from wholesale price suppression. These benefits are not currently considered for Act</w:t>
      </w:r>
      <w:r w:rsidR="00025A44">
        <w:rPr>
          <w:rFonts w:ascii="Garamond" w:hAnsi="Garamond"/>
          <w:sz w:val="23"/>
          <w:szCs w:val="23"/>
        </w:rPr>
        <w:t xml:space="preserve"> 129 energy efficiency programs and were not quantified in the benefit/cost analysis presented in this study</w:t>
      </w:r>
      <w:r>
        <w:rPr>
          <w:rFonts w:ascii="Garamond" w:hAnsi="Garamond"/>
          <w:sz w:val="23"/>
          <w:szCs w:val="23"/>
        </w:rPr>
        <w:t>.</w:t>
      </w:r>
      <w:r w:rsidR="00025A44">
        <w:rPr>
          <w:rFonts w:ascii="Garamond" w:hAnsi="Garamond"/>
          <w:sz w:val="23"/>
          <w:szCs w:val="23"/>
        </w:rPr>
        <w:t xml:space="preserve"> Estimates of price suppression benefits </w:t>
      </w:r>
      <w:r w:rsidR="009042D4">
        <w:rPr>
          <w:rFonts w:ascii="Garamond" w:hAnsi="Garamond"/>
          <w:sz w:val="23"/>
          <w:szCs w:val="23"/>
        </w:rPr>
        <w:t xml:space="preserve">from peak-shaving </w:t>
      </w:r>
      <w:r w:rsidR="00025A44">
        <w:rPr>
          <w:rFonts w:ascii="Garamond" w:hAnsi="Garamond"/>
          <w:sz w:val="23"/>
          <w:szCs w:val="23"/>
        </w:rPr>
        <w:t xml:space="preserve">will allow for a more accurate assessment and </w:t>
      </w:r>
      <w:r w:rsidR="0052274D">
        <w:rPr>
          <w:rFonts w:ascii="Garamond" w:hAnsi="Garamond"/>
          <w:sz w:val="23"/>
          <w:szCs w:val="23"/>
        </w:rPr>
        <w:t xml:space="preserve">equitable </w:t>
      </w:r>
      <w:r w:rsidR="00025A44">
        <w:rPr>
          <w:rFonts w:ascii="Garamond" w:hAnsi="Garamond"/>
          <w:sz w:val="23"/>
          <w:szCs w:val="23"/>
        </w:rPr>
        <w:t>comparison of demand response and energy efficiency potential</w:t>
      </w:r>
      <w:r w:rsidR="00F94132">
        <w:rPr>
          <w:rFonts w:ascii="Garamond" w:hAnsi="Garamond"/>
          <w:sz w:val="23"/>
          <w:szCs w:val="23"/>
        </w:rPr>
        <w:t xml:space="preserve">. </w:t>
      </w:r>
      <w:r w:rsidR="00F94132" w:rsidRPr="00F94132">
        <w:rPr>
          <w:rFonts w:ascii="Garamond" w:hAnsi="Garamond"/>
          <w:sz w:val="23"/>
          <w:szCs w:val="23"/>
        </w:rPr>
        <w:t>The SWE will work with Commission staff to identify the need, timing, and scope of any continued research.</w:t>
      </w:r>
    </w:p>
    <w:p w:rsidR="00EC564F" w:rsidRPr="00684086" w:rsidRDefault="002C39EE" w:rsidP="00684086">
      <w:pPr>
        <w:pStyle w:val="ListParagraph"/>
        <w:numPr>
          <w:ilvl w:val="0"/>
          <w:numId w:val="19"/>
        </w:numPr>
        <w:spacing w:after="0"/>
        <w:contextualSpacing w:val="0"/>
        <w:rPr>
          <w:rFonts w:ascii="Garamond" w:hAnsi="Garamond"/>
          <w:sz w:val="23"/>
          <w:szCs w:val="23"/>
        </w:rPr>
      </w:pPr>
      <w:r>
        <w:rPr>
          <w:rFonts w:ascii="Garamond" w:hAnsi="Garamond"/>
          <w:sz w:val="23"/>
          <w:szCs w:val="23"/>
        </w:rPr>
        <w:t>EDC implementation of</w:t>
      </w:r>
      <w:r w:rsidR="0002713A">
        <w:rPr>
          <w:rFonts w:ascii="Garamond" w:hAnsi="Garamond"/>
          <w:sz w:val="23"/>
          <w:szCs w:val="23"/>
        </w:rPr>
        <w:t xml:space="preserve"> </w:t>
      </w:r>
      <w:r>
        <w:rPr>
          <w:rFonts w:ascii="Garamond" w:hAnsi="Garamond"/>
          <w:sz w:val="23"/>
          <w:szCs w:val="23"/>
        </w:rPr>
        <w:t xml:space="preserve">cost effective </w:t>
      </w:r>
      <w:r w:rsidR="0002713A">
        <w:rPr>
          <w:rFonts w:ascii="Garamond" w:hAnsi="Garamond"/>
          <w:sz w:val="23"/>
          <w:szCs w:val="23"/>
        </w:rPr>
        <w:t>c</w:t>
      </w:r>
      <w:r w:rsidR="00EC564F">
        <w:rPr>
          <w:rFonts w:ascii="Garamond" w:hAnsi="Garamond"/>
          <w:sz w:val="23"/>
          <w:szCs w:val="23"/>
        </w:rPr>
        <w:t>ommercial and industrial l</w:t>
      </w:r>
      <w:r w:rsidR="0002713A">
        <w:rPr>
          <w:rFonts w:ascii="Garamond" w:hAnsi="Garamond"/>
          <w:sz w:val="23"/>
          <w:szCs w:val="23"/>
        </w:rPr>
        <w:t xml:space="preserve">oad curtailment programs </w:t>
      </w:r>
      <w:r>
        <w:rPr>
          <w:rFonts w:ascii="Garamond" w:hAnsi="Garamond"/>
          <w:sz w:val="23"/>
          <w:szCs w:val="23"/>
        </w:rPr>
        <w:t>under Act 129 is extremely challenging</w:t>
      </w:r>
      <w:r w:rsidR="0002713A">
        <w:rPr>
          <w:rFonts w:ascii="Garamond" w:hAnsi="Garamond"/>
          <w:sz w:val="23"/>
          <w:szCs w:val="23"/>
        </w:rPr>
        <w:t xml:space="preserve"> because of the thriving PJM DR markets available to these customers. </w:t>
      </w:r>
      <w:r>
        <w:rPr>
          <w:rFonts w:ascii="Garamond" w:hAnsi="Garamond"/>
          <w:sz w:val="23"/>
          <w:szCs w:val="23"/>
        </w:rPr>
        <w:t>From June to September of 2012, settlements for 34,198 MWh of Economic DR were recorded by PJM across Pennsylvania.</w:t>
      </w:r>
      <w:r>
        <w:rPr>
          <w:rStyle w:val="FootnoteReference"/>
          <w:rFonts w:ascii="Garamond" w:hAnsi="Garamond"/>
          <w:sz w:val="23"/>
          <w:szCs w:val="23"/>
        </w:rPr>
        <w:footnoteReference w:id="5"/>
      </w:r>
      <w:r>
        <w:rPr>
          <w:rFonts w:ascii="Garamond" w:hAnsi="Garamond"/>
          <w:sz w:val="23"/>
          <w:szCs w:val="23"/>
        </w:rPr>
        <w:t xml:space="preserve"> </w:t>
      </w:r>
      <w:r w:rsidR="00EC564F">
        <w:rPr>
          <w:rFonts w:ascii="Garamond" w:hAnsi="Garamond"/>
          <w:sz w:val="23"/>
          <w:szCs w:val="23"/>
        </w:rPr>
        <w:t xml:space="preserve">A significant portion of </w:t>
      </w:r>
      <w:r w:rsidR="0002713A">
        <w:rPr>
          <w:rFonts w:ascii="Garamond" w:hAnsi="Garamond"/>
          <w:sz w:val="23"/>
          <w:szCs w:val="23"/>
        </w:rPr>
        <w:t xml:space="preserve">the </w:t>
      </w:r>
      <w:r w:rsidR="00EC564F">
        <w:rPr>
          <w:rFonts w:ascii="Garamond" w:hAnsi="Garamond"/>
          <w:sz w:val="23"/>
          <w:szCs w:val="23"/>
        </w:rPr>
        <w:t>participants in Act 129 comm</w:t>
      </w:r>
      <w:r w:rsidR="006C35A1">
        <w:rPr>
          <w:rFonts w:ascii="Garamond" w:hAnsi="Garamond"/>
          <w:sz w:val="23"/>
          <w:szCs w:val="23"/>
        </w:rPr>
        <w:t>ercial and industrial programs we</w:t>
      </w:r>
      <w:r w:rsidR="00EC564F">
        <w:rPr>
          <w:rFonts w:ascii="Garamond" w:hAnsi="Garamond"/>
          <w:sz w:val="23"/>
          <w:szCs w:val="23"/>
        </w:rPr>
        <w:t xml:space="preserve">re </w:t>
      </w:r>
      <w:r w:rsidR="006C35A1">
        <w:rPr>
          <w:rFonts w:ascii="Garamond" w:hAnsi="Garamond"/>
          <w:sz w:val="23"/>
          <w:szCs w:val="23"/>
        </w:rPr>
        <w:t xml:space="preserve">among </w:t>
      </w:r>
      <w:r w:rsidR="00A23B6C">
        <w:rPr>
          <w:rFonts w:ascii="Garamond" w:hAnsi="Garamond"/>
          <w:sz w:val="23"/>
          <w:szCs w:val="23"/>
        </w:rPr>
        <w:t xml:space="preserve">the 2,070 MW of </w:t>
      </w:r>
      <w:r w:rsidR="006C35A1">
        <w:rPr>
          <w:rFonts w:ascii="Garamond" w:hAnsi="Garamond"/>
          <w:sz w:val="23"/>
          <w:szCs w:val="23"/>
        </w:rPr>
        <w:t xml:space="preserve">Pennsylvania </w:t>
      </w:r>
      <w:r w:rsidR="00A23B6C">
        <w:rPr>
          <w:rFonts w:ascii="Garamond" w:hAnsi="Garamond"/>
          <w:sz w:val="23"/>
          <w:szCs w:val="23"/>
        </w:rPr>
        <w:t>DR</w:t>
      </w:r>
      <w:r w:rsidR="00EC564F">
        <w:rPr>
          <w:rFonts w:ascii="Garamond" w:hAnsi="Garamond"/>
          <w:sz w:val="23"/>
          <w:szCs w:val="23"/>
        </w:rPr>
        <w:t xml:space="preserve"> capacity resources in the PJM Emergency Load Response Program</w:t>
      </w:r>
      <w:r w:rsidR="006C35A1">
        <w:rPr>
          <w:rStyle w:val="FootnoteReference"/>
          <w:rFonts w:ascii="Garamond" w:hAnsi="Garamond"/>
          <w:sz w:val="23"/>
          <w:szCs w:val="23"/>
        </w:rPr>
        <w:footnoteReference w:id="6"/>
      </w:r>
      <w:r w:rsidR="00EC564F">
        <w:rPr>
          <w:rFonts w:ascii="Garamond" w:hAnsi="Garamond"/>
          <w:sz w:val="23"/>
          <w:szCs w:val="23"/>
        </w:rPr>
        <w:t>. Engaging these participants in Act 129 DR programs does not offer additional capacity into the system.</w:t>
      </w:r>
      <w:r w:rsidR="0002713A">
        <w:rPr>
          <w:rFonts w:ascii="Garamond" w:hAnsi="Garamond"/>
          <w:sz w:val="23"/>
          <w:szCs w:val="23"/>
        </w:rPr>
        <w:t xml:space="preserve"> When EDCs secure DR resources that are not committed in the PJM program, the capacity needs of the region are not adjusted accordingly so the benefits to wholesale capacity prices are not realized.</w:t>
      </w:r>
      <w:r w:rsidR="00684086">
        <w:rPr>
          <w:rFonts w:ascii="Garamond" w:hAnsi="Garamond"/>
          <w:sz w:val="23"/>
          <w:szCs w:val="23"/>
        </w:rPr>
        <w:t xml:space="preserve"> The SWE urges the Commission to be very cautious about establishing any goals for C&amp;I DR programs. If goals are established, we recommend carefully considering how Act 129 can offer incremental value to the competitive markets already in place.</w:t>
      </w:r>
    </w:p>
    <w:p w:rsidR="00684086" w:rsidRPr="00F8245F" w:rsidRDefault="00684086" w:rsidP="00684086">
      <w:pPr>
        <w:pStyle w:val="ListParagraph"/>
        <w:numPr>
          <w:ilvl w:val="0"/>
          <w:numId w:val="19"/>
        </w:numPr>
        <w:rPr>
          <w:rFonts w:ascii="Garamond" w:hAnsi="Garamond"/>
          <w:sz w:val="23"/>
          <w:szCs w:val="23"/>
        </w:rPr>
      </w:pPr>
      <w:r w:rsidRPr="00301994">
        <w:rPr>
          <w:rFonts w:ascii="Garamond" w:hAnsi="Garamond"/>
          <w:sz w:val="23"/>
          <w:szCs w:val="23"/>
        </w:rPr>
        <w:t xml:space="preserve">Although </w:t>
      </w:r>
      <w:r>
        <w:rPr>
          <w:rFonts w:ascii="Garamond" w:hAnsi="Garamond"/>
          <w:sz w:val="23"/>
          <w:szCs w:val="23"/>
        </w:rPr>
        <w:t>direct load control</w:t>
      </w:r>
      <w:r w:rsidRPr="00301994">
        <w:rPr>
          <w:rFonts w:ascii="Garamond" w:hAnsi="Garamond"/>
          <w:sz w:val="23"/>
          <w:szCs w:val="23"/>
        </w:rPr>
        <w:t xml:space="preserve"> programs did not prove to be cost effective in 2012</w:t>
      </w:r>
      <w:r w:rsidR="00A75EF3">
        <w:rPr>
          <w:rFonts w:ascii="Garamond" w:hAnsi="Garamond"/>
          <w:sz w:val="23"/>
          <w:szCs w:val="23"/>
        </w:rPr>
        <w:t xml:space="preserve"> based on the SWE’s analysis</w:t>
      </w:r>
      <w:r w:rsidRPr="00301994">
        <w:rPr>
          <w:rFonts w:ascii="Garamond" w:hAnsi="Garamond"/>
          <w:sz w:val="23"/>
          <w:szCs w:val="23"/>
        </w:rPr>
        <w:t>, there is indication that the programs could offer value in future phases of Act 129.</w:t>
      </w:r>
      <w:r>
        <w:rPr>
          <w:rFonts w:ascii="Garamond" w:hAnsi="Garamond"/>
          <w:sz w:val="23"/>
          <w:szCs w:val="23"/>
        </w:rPr>
        <w:t xml:space="preserve"> Equipment purchase, customer recruiting and installation costs result in high upfront costs for DLC programs. The SWE recommends the Commission view the Phase I infrastructure costs of these programs as </w:t>
      </w:r>
      <w:r w:rsidR="0052274D">
        <w:rPr>
          <w:rFonts w:ascii="Garamond" w:hAnsi="Garamond"/>
          <w:sz w:val="23"/>
          <w:szCs w:val="23"/>
        </w:rPr>
        <w:t>“</w:t>
      </w:r>
      <w:r>
        <w:rPr>
          <w:rFonts w:ascii="Garamond" w:hAnsi="Garamond"/>
          <w:sz w:val="23"/>
          <w:szCs w:val="23"/>
        </w:rPr>
        <w:t>sunk</w:t>
      </w:r>
      <w:r w:rsidR="0052274D">
        <w:rPr>
          <w:rFonts w:ascii="Garamond" w:hAnsi="Garamond"/>
          <w:sz w:val="23"/>
          <w:szCs w:val="23"/>
        </w:rPr>
        <w:t>”</w:t>
      </w:r>
      <w:r>
        <w:rPr>
          <w:rFonts w:ascii="Garamond" w:hAnsi="Garamond"/>
          <w:sz w:val="23"/>
          <w:szCs w:val="23"/>
        </w:rPr>
        <w:t xml:space="preserve"> and consider continuing the programs if future benefits are expected to outweigh the future costs.</w:t>
      </w:r>
      <w:r w:rsidR="00B461AE">
        <w:rPr>
          <w:rFonts w:ascii="Garamond" w:hAnsi="Garamond"/>
          <w:sz w:val="23"/>
          <w:szCs w:val="23"/>
        </w:rPr>
        <w:t xml:space="preserve"> If DLC programs are continued, </w:t>
      </w:r>
      <w:r w:rsidR="0052274D">
        <w:rPr>
          <w:rFonts w:ascii="Garamond" w:hAnsi="Garamond"/>
          <w:sz w:val="23"/>
          <w:szCs w:val="23"/>
        </w:rPr>
        <w:t xml:space="preserve">the SWE believes that </w:t>
      </w:r>
      <w:r w:rsidR="00B461AE">
        <w:rPr>
          <w:rFonts w:ascii="Garamond" w:hAnsi="Garamond"/>
          <w:sz w:val="23"/>
          <w:szCs w:val="23"/>
        </w:rPr>
        <w:t>they should be bid into the PJM capacity market and the revenue received should count as a benefit in the TRC test.</w:t>
      </w:r>
    </w:p>
    <w:p w:rsidR="006D60C7" w:rsidRPr="006D60C7" w:rsidRDefault="00724105" w:rsidP="006D60C7">
      <w:pPr>
        <w:pStyle w:val="ListParagraph"/>
        <w:numPr>
          <w:ilvl w:val="0"/>
          <w:numId w:val="19"/>
        </w:numPr>
        <w:spacing w:after="0"/>
        <w:contextualSpacing w:val="0"/>
        <w:rPr>
          <w:rFonts w:ascii="Garamond" w:hAnsi="Garamond"/>
          <w:sz w:val="23"/>
          <w:szCs w:val="23"/>
        </w:rPr>
      </w:pPr>
      <w:r>
        <w:rPr>
          <w:rFonts w:ascii="Garamond" w:hAnsi="Garamond"/>
          <w:sz w:val="23"/>
          <w:szCs w:val="23"/>
        </w:rPr>
        <w:t>The top 100 hou</w:t>
      </w:r>
      <w:r w:rsidR="0052274D">
        <w:rPr>
          <w:rFonts w:ascii="Garamond" w:hAnsi="Garamond"/>
          <w:sz w:val="23"/>
          <w:szCs w:val="23"/>
        </w:rPr>
        <w:t>rs definition of DR performance caused a number of predictive difficulties and had a negative impact on the cost effectiveness of the programs offered</w:t>
      </w:r>
      <w:r w:rsidR="00EB68CB">
        <w:rPr>
          <w:rFonts w:ascii="Garamond" w:hAnsi="Garamond"/>
          <w:sz w:val="23"/>
          <w:szCs w:val="23"/>
        </w:rPr>
        <w:t xml:space="preserve"> in 2012</w:t>
      </w:r>
      <w:r w:rsidR="0052274D">
        <w:rPr>
          <w:rFonts w:ascii="Garamond" w:hAnsi="Garamond"/>
          <w:sz w:val="23"/>
          <w:szCs w:val="23"/>
        </w:rPr>
        <w:t xml:space="preserve">. The </w:t>
      </w:r>
      <w:r w:rsidR="00EB68CB">
        <w:rPr>
          <w:rFonts w:ascii="Garamond" w:hAnsi="Garamond"/>
          <w:sz w:val="23"/>
          <w:szCs w:val="23"/>
        </w:rPr>
        <w:t xml:space="preserve">SWE recommends that the definition </w:t>
      </w:r>
      <w:r>
        <w:rPr>
          <w:rFonts w:ascii="Garamond" w:hAnsi="Garamond"/>
          <w:sz w:val="23"/>
          <w:szCs w:val="23"/>
        </w:rPr>
        <w:t xml:space="preserve">be discontinued. </w:t>
      </w:r>
      <w:r w:rsidR="006D60C7">
        <w:rPr>
          <w:rFonts w:ascii="Garamond" w:hAnsi="Garamond"/>
          <w:sz w:val="23"/>
          <w:szCs w:val="23"/>
        </w:rPr>
        <w:t xml:space="preserve">If a DR target is established for an EDC, </w:t>
      </w:r>
      <w:r w:rsidR="0024190E">
        <w:rPr>
          <w:rFonts w:ascii="Garamond" w:hAnsi="Garamond"/>
          <w:sz w:val="23"/>
          <w:szCs w:val="23"/>
        </w:rPr>
        <w:t xml:space="preserve">DR </w:t>
      </w:r>
      <w:r w:rsidR="006D60C7">
        <w:rPr>
          <w:rFonts w:ascii="Garamond" w:hAnsi="Garamond"/>
          <w:sz w:val="23"/>
          <w:szCs w:val="23"/>
        </w:rPr>
        <w:t xml:space="preserve">resources should be dispatched </w:t>
      </w:r>
      <w:r w:rsidR="000D5A99">
        <w:rPr>
          <w:rFonts w:ascii="Garamond" w:hAnsi="Garamond"/>
          <w:sz w:val="23"/>
          <w:szCs w:val="23"/>
        </w:rPr>
        <w:t xml:space="preserve">only </w:t>
      </w:r>
      <w:r w:rsidR="006D60C7">
        <w:rPr>
          <w:rFonts w:ascii="Garamond" w:hAnsi="Garamond"/>
          <w:sz w:val="23"/>
          <w:szCs w:val="23"/>
        </w:rPr>
        <w:t xml:space="preserve">when </w:t>
      </w:r>
      <w:r w:rsidR="00684086">
        <w:rPr>
          <w:rFonts w:ascii="Garamond" w:hAnsi="Garamond"/>
          <w:sz w:val="23"/>
          <w:szCs w:val="23"/>
        </w:rPr>
        <w:t>wholesale prices are elevated</w:t>
      </w:r>
      <w:r w:rsidR="008144C8">
        <w:rPr>
          <w:rFonts w:ascii="Garamond" w:hAnsi="Garamond"/>
          <w:sz w:val="23"/>
          <w:szCs w:val="23"/>
        </w:rPr>
        <w:t xml:space="preserve"> or</w:t>
      </w:r>
      <w:r w:rsidR="00684086">
        <w:rPr>
          <w:rFonts w:ascii="Garamond" w:hAnsi="Garamond"/>
          <w:sz w:val="23"/>
          <w:szCs w:val="23"/>
        </w:rPr>
        <w:t xml:space="preserve"> the load reduction is</w:t>
      </w:r>
      <w:r w:rsidR="008144C8">
        <w:rPr>
          <w:rFonts w:ascii="Garamond" w:hAnsi="Garamond"/>
          <w:sz w:val="23"/>
          <w:szCs w:val="23"/>
        </w:rPr>
        <w:t xml:space="preserve"> </w:t>
      </w:r>
      <w:r w:rsidR="006D60C7">
        <w:rPr>
          <w:rFonts w:ascii="Garamond" w:hAnsi="Garamond"/>
          <w:sz w:val="23"/>
          <w:szCs w:val="23"/>
        </w:rPr>
        <w:t>needed for reliabilit</w:t>
      </w:r>
      <w:r w:rsidR="008144C8">
        <w:rPr>
          <w:rFonts w:ascii="Garamond" w:hAnsi="Garamond"/>
          <w:sz w:val="23"/>
          <w:szCs w:val="23"/>
        </w:rPr>
        <w:t>y</w:t>
      </w:r>
      <w:r w:rsidR="006D60C7">
        <w:rPr>
          <w:rFonts w:ascii="Garamond" w:hAnsi="Garamond"/>
          <w:sz w:val="23"/>
          <w:szCs w:val="23"/>
        </w:rPr>
        <w:t xml:space="preserve">. These conditions are explored in </w:t>
      </w:r>
      <w:r w:rsidR="007E4631">
        <w:rPr>
          <w:rFonts w:ascii="Garamond" w:hAnsi="Garamond"/>
          <w:sz w:val="23"/>
          <w:szCs w:val="23"/>
        </w:rPr>
        <w:t xml:space="preserve">greater detail in </w:t>
      </w:r>
      <w:r w:rsidR="006D60C7">
        <w:rPr>
          <w:rFonts w:ascii="Garamond" w:hAnsi="Garamond"/>
          <w:sz w:val="23"/>
          <w:szCs w:val="23"/>
        </w:rPr>
        <w:t xml:space="preserve">Section </w:t>
      </w:r>
      <w:r w:rsidR="006D60C7">
        <w:rPr>
          <w:rFonts w:ascii="Garamond" w:hAnsi="Garamond"/>
          <w:sz w:val="23"/>
          <w:szCs w:val="23"/>
        </w:rPr>
        <w:fldChar w:fldCharType="begin"/>
      </w:r>
      <w:r w:rsidR="006D60C7">
        <w:rPr>
          <w:rFonts w:ascii="Garamond" w:hAnsi="Garamond"/>
          <w:sz w:val="23"/>
          <w:szCs w:val="23"/>
        </w:rPr>
        <w:instrText xml:space="preserve"> REF _Ref343514175 \r \h </w:instrText>
      </w:r>
      <w:r w:rsidR="006D60C7">
        <w:rPr>
          <w:rFonts w:ascii="Garamond" w:hAnsi="Garamond"/>
          <w:sz w:val="23"/>
          <w:szCs w:val="23"/>
        </w:rPr>
      </w:r>
      <w:r w:rsidR="006D60C7">
        <w:rPr>
          <w:rFonts w:ascii="Garamond" w:hAnsi="Garamond"/>
          <w:sz w:val="23"/>
          <w:szCs w:val="23"/>
        </w:rPr>
        <w:fldChar w:fldCharType="separate"/>
      </w:r>
      <w:r w:rsidR="00451FFF">
        <w:rPr>
          <w:rFonts w:ascii="Garamond" w:hAnsi="Garamond"/>
          <w:sz w:val="23"/>
          <w:szCs w:val="23"/>
        </w:rPr>
        <w:t>D</w:t>
      </w:r>
      <w:r w:rsidR="006D60C7">
        <w:rPr>
          <w:rFonts w:ascii="Garamond" w:hAnsi="Garamond"/>
          <w:sz w:val="23"/>
          <w:szCs w:val="23"/>
        </w:rPr>
        <w:fldChar w:fldCharType="end"/>
      </w:r>
      <w:r w:rsidR="006D60C7" w:rsidRPr="006D60C7">
        <w:rPr>
          <w:rFonts w:ascii="Garamond" w:hAnsi="Garamond"/>
          <w:sz w:val="23"/>
          <w:szCs w:val="23"/>
        </w:rPr>
        <w:t xml:space="preserve"> </w:t>
      </w:r>
      <w:r w:rsidR="007E4631">
        <w:rPr>
          <w:rFonts w:ascii="Garamond" w:hAnsi="Garamond"/>
          <w:sz w:val="23"/>
          <w:szCs w:val="23"/>
        </w:rPr>
        <w:t>of this report</w:t>
      </w:r>
      <w:r w:rsidR="006D60C7" w:rsidRPr="006D60C7">
        <w:rPr>
          <w:rFonts w:ascii="Garamond" w:hAnsi="Garamond"/>
          <w:sz w:val="23"/>
          <w:szCs w:val="23"/>
        </w:rPr>
        <w:t>.</w:t>
      </w:r>
    </w:p>
    <w:p w:rsidR="007F2C7F" w:rsidRPr="007F2C7F" w:rsidRDefault="002C39EE" w:rsidP="006D60C7">
      <w:pPr>
        <w:pStyle w:val="ListParagraph"/>
        <w:numPr>
          <w:ilvl w:val="0"/>
          <w:numId w:val="19"/>
        </w:numPr>
        <w:spacing w:after="0"/>
        <w:contextualSpacing w:val="0"/>
        <w:rPr>
          <w:rFonts w:ascii="Garamond" w:hAnsi="Garamond"/>
          <w:sz w:val="23"/>
          <w:szCs w:val="23"/>
        </w:rPr>
      </w:pPr>
      <w:r>
        <w:rPr>
          <w:rFonts w:ascii="Garamond" w:eastAsia="Calibri" w:hAnsi="Garamond" w:cs="Times New Roman"/>
          <w:sz w:val="23"/>
          <w:szCs w:val="23"/>
        </w:rPr>
        <w:t>Any f</w:t>
      </w:r>
      <w:r w:rsidR="006D60C7" w:rsidRPr="007F2C7F">
        <w:rPr>
          <w:rFonts w:ascii="Garamond" w:eastAsia="Calibri" w:hAnsi="Garamond" w:cs="Times New Roman"/>
          <w:sz w:val="23"/>
          <w:szCs w:val="23"/>
        </w:rPr>
        <w:t xml:space="preserve">uture DR targets should be crafted such that the compliance metric is the average load reduction observed over a subset of </w:t>
      </w:r>
      <w:r w:rsidR="007317E7">
        <w:rPr>
          <w:rFonts w:ascii="Garamond" w:eastAsia="Calibri" w:hAnsi="Garamond" w:cs="Times New Roman"/>
          <w:sz w:val="23"/>
          <w:szCs w:val="23"/>
        </w:rPr>
        <w:t xml:space="preserve">peak </w:t>
      </w:r>
      <w:r w:rsidR="006D60C7" w:rsidRPr="007F2C7F">
        <w:rPr>
          <w:rFonts w:ascii="Garamond" w:eastAsia="Calibri" w:hAnsi="Garamond" w:cs="Times New Roman"/>
          <w:sz w:val="23"/>
          <w:szCs w:val="23"/>
        </w:rPr>
        <w:t>hours during which DR is likely to provide a cost-effective alternative to generation.</w:t>
      </w:r>
      <w:r w:rsidR="007F2C7F" w:rsidRPr="007F2C7F">
        <w:rPr>
          <w:rFonts w:ascii="Garamond" w:eastAsia="Calibri" w:hAnsi="Garamond" w:cs="Times New Roman"/>
          <w:sz w:val="23"/>
          <w:szCs w:val="23"/>
        </w:rPr>
        <w:t xml:space="preserve"> </w:t>
      </w:r>
      <w:r w:rsidR="007F2C7F">
        <w:rPr>
          <w:rFonts w:ascii="Garamond" w:eastAsia="Calibri" w:hAnsi="Garamond" w:cs="Times New Roman"/>
          <w:sz w:val="23"/>
          <w:szCs w:val="23"/>
        </w:rPr>
        <w:t xml:space="preserve">The actual </w:t>
      </w:r>
      <w:r w:rsidR="00EF3A9C">
        <w:rPr>
          <w:rFonts w:ascii="Garamond" w:eastAsia="Calibri" w:hAnsi="Garamond" w:cs="Times New Roman"/>
          <w:sz w:val="23"/>
          <w:szCs w:val="23"/>
        </w:rPr>
        <w:t>number of hours is expected to vary by EDC and from year to y</w:t>
      </w:r>
      <w:r w:rsidR="00EB68CB">
        <w:rPr>
          <w:rFonts w:ascii="Garamond" w:eastAsia="Calibri" w:hAnsi="Garamond" w:cs="Times New Roman"/>
          <w:sz w:val="23"/>
          <w:szCs w:val="23"/>
        </w:rPr>
        <w:t>ear based on weather conditions.</w:t>
      </w:r>
    </w:p>
    <w:p w:rsidR="006D60C7" w:rsidRPr="009042D4" w:rsidRDefault="002F6F24" w:rsidP="006D60C7">
      <w:pPr>
        <w:pStyle w:val="ListParagraph"/>
        <w:numPr>
          <w:ilvl w:val="0"/>
          <w:numId w:val="19"/>
        </w:numPr>
        <w:spacing w:after="0"/>
        <w:contextualSpacing w:val="0"/>
        <w:rPr>
          <w:rFonts w:ascii="Garamond" w:hAnsi="Garamond"/>
          <w:sz w:val="23"/>
          <w:szCs w:val="23"/>
        </w:rPr>
      </w:pPr>
      <w:r w:rsidRPr="007F2C7F">
        <w:rPr>
          <w:rFonts w:ascii="Garamond" w:eastAsia="Calibri" w:hAnsi="Garamond" w:cs="Times New Roman"/>
          <w:sz w:val="23"/>
          <w:szCs w:val="23"/>
        </w:rPr>
        <w:t>The real-time LMP for an EDC zone should be used as the trigger for calling DR resources because energy prices account for the two conditions which promote cost-effective DR; elevated demand and reduced supply.</w:t>
      </w:r>
      <w:r w:rsidR="00724105">
        <w:rPr>
          <w:rFonts w:ascii="Garamond" w:eastAsia="Calibri" w:hAnsi="Garamond" w:cs="Times New Roman"/>
          <w:sz w:val="23"/>
          <w:szCs w:val="23"/>
        </w:rPr>
        <w:t xml:space="preserve"> The SWE recommends a threshold of $</w:t>
      </w:r>
      <w:r w:rsidR="009A3EE1">
        <w:rPr>
          <w:rFonts w:ascii="Garamond" w:eastAsia="Calibri" w:hAnsi="Garamond" w:cs="Times New Roman"/>
          <w:sz w:val="23"/>
          <w:szCs w:val="23"/>
        </w:rPr>
        <w:t>200 or $250</w:t>
      </w:r>
      <w:r w:rsidR="00025A44">
        <w:rPr>
          <w:rFonts w:ascii="Garamond" w:eastAsia="Calibri" w:hAnsi="Garamond" w:cs="Times New Roman"/>
          <w:sz w:val="23"/>
          <w:szCs w:val="23"/>
        </w:rPr>
        <w:t xml:space="preserve"> per MWh</w:t>
      </w:r>
      <w:r w:rsidR="00A84C46">
        <w:rPr>
          <w:rFonts w:ascii="Garamond" w:eastAsia="Calibri" w:hAnsi="Garamond" w:cs="Times New Roman"/>
          <w:sz w:val="23"/>
          <w:szCs w:val="23"/>
        </w:rPr>
        <w:t xml:space="preserve">. Additional research into wholesale price suppression benefits could adjust this threshold up or </w:t>
      </w:r>
      <w:r w:rsidR="00A84C46">
        <w:rPr>
          <w:rFonts w:ascii="Garamond" w:eastAsia="Calibri" w:hAnsi="Garamond" w:cs="Times New Roman"/>
          <w:sz w:val="23"/>
          <w:szCs w:val="23"/>
        </w:rPr>
        <w:lastRenderedPageBreak/>
        <w:t>down</w:t>
      </w:r>
      <w:r w:rsidR="0088558A">
        <w:rPr>
          <w:rFonts w:ascii="Garamond" w:eastAsia="Calibri" w:hAnsi="Garamond" w:cs="Times New Roman"/>
          <w:sz w:val="23"/>
          <w:szCs w:val="23"/>
        </w:rPr>
        <w:t>. Under this design customers c</w:t>
      </w:r>
      <w:r w:rsidR="00131813">
        <w:rPr>
          <w:rFonts w:ascii="Garamond" w:eastAsia="Calibri" w:hAnsi="Garamond" w:cs="Times New Roman"/>
          <w:sz w:val="23"/>
          <w:szCs w:val="23"/>
        </w:rPr>
        <w:t xml:space="preserve">ould receive </w:t>
      </w:r>
      <w:r w:rsidR="0088558A">
        <w:rPr>
          <w:rFonts w:ascii="Garamond" w:eastAsia="Calibri" w:hAnsi="Garamond" w:cs="Times New Roman"/>
          <w:sz w:val="23"/>
          <w:szCs w:val="23"/>
        </w:rPr>
        <w:t xml:space="preserve">an upfront </w:t>
      </w:r>
      <w:r w:rsidR="00131813">
        <w:rPr>
          <w:rFonts w:ascii="Garamond" w:eastAsia="Calibri" w:hAnsi="Garamond" w:cs="Times New Roman"/>
          <w:sz w:val="23"/>
          <w:szCs w:val="23"/>
        </w:rPr>
        <w:t>payment for amoun</w:t>
      </w:r>
      <w:r w:rsidR="0088558A">
        <w:rPr>
          <w:rFonts w:ascii="Garamond" w:eastAsia="Calibri" w:hAnsi="Garamond" w:cs="Times New Roman"/>
          <w:sz w:val="23"/>
          <w:szCs w:val="23"/>
        </w:rPr>
        <w:t>t of kW they p</w:t>
      </w:r>
      <w:r w:rsidR="002260A7">
        <w:rPr>
          <w:rFonts w:ascii="Garamond" w:eastAsia="Calibri" w:hAnsi="Garamond" w:cs="Times New Roman"/>
          <w:sz w:val="23"/>
          <w:szCs w:val="23"/>
        </w:rPr>
        <w:t xml:space="preserve">ledge to curtail, a payment </w:t>
      </w:r>
      <w:r w:rsidR="0088558A">
        <w:rPr>
          <w:rFonts w:ascii="Garamond" w:eastAsia="Calibri" w:hAnsi="Garamond" w:cs="Times New Roman"/>
          <w:sz w:val="23"/>
          <w:szCs w:val="23"/>
        </w:rPr>
        <w:t>fo</w:t>
      </w:r>
      <w:r w:rsidR="002260A7">
        <w:rPr>
          <w:rFonts w:ascii="Garamond" w:eastAsia="Calibri" w:hAnsi="Garamond" w:cs="Times New Roman"/>
          <w:sz w:val="23"/>
          <w:szCs w:val="23"/>
        </w:rPr>
        <w:t xml:space="preserve">r each hour they are dispatched, or a combination of the two. </w:t>
      </w:r>
    </w:p>
    <w:p w:rsidR="00492BFE" w:rsidRPr="00A51347" w:rsidRDefault="009042D4" w:rsidP="00996CEA">
      <w:pPr>
        <w:pStyle w:val="ListParagraph"/>
        <w:numPr>
          <w:ilvl w:val="0"/>
          <w:numId w:val="19"/>
        </w:numPr>
        <w:spacing w:after="0"/>
        <w:contextualSpacing w:val="0"/>
        <w:rPr>
          <w:rFonts w:ascii="Garamond" w:hAnsi="Garamond"/>
          <w:sz w:val="23"/>
          <w:szCs w:val="23"/>
        </w:rPr>
      </w:pPr>
      <w:r w:rsidRPr="00A51347">
        <w:rPr>
          <w:rFonts w:ascii="Garamond" w:eastAsia="Calibri" w:hAnsi="Garamond" w:cs="Times New Roman"/>
          <w:sz w:val="23"/>
          <w:szCs w:val="23"/>
        </w:rPr>
        <w:t xml:space="preserve">The optimal number of MW to </w:t>
      </w:r>
      <w:r w:rsidR="00825364">
        <w:rPr>
          <w:rFonts w:ascii="Garamond" w:eastAsia="Calibri" w:hAnsi="Garamond" w:cs="Times New Roman"/>
          <w:sz w:val="23"/>
          <w:szCs w:val="23"/>
        </w:rPr>
        <w:t xml:space="preserve">acquire and </w:t>
      </w:r>
      <w:r w:rsidRPr="00A51347">
        <w:rPr>
          <w:rFonts w:ascii="Garamond" w:eastAsia="Calibri" w:hAnsi="Garamond" w:cs="Times New Roman"/>
          <w:sz w:val="23"/>
          <w:szCs w:val="23"/>
        </w:rPr>
        <w:t xml:space="preserve">dispatch in each EDC service territory should be determined through a demand response potential </w:t>
      </w:r>
      <w:r w:rsidR="00214B6E" w:rsidRPr="00A51347">
        <w:rPr>
          <w:rFonts w:ascii="Garamond" w:eastAsia="Calibri" w:hAnsi="Garamond" w:cs="Times New Roman"/>
          <w:sz w:val="23"/>
          <w:szCs w:val="23"/>
        </w:rPr>
        <w:t>study</w:t>
      </w:r>
      <w:r w:rsidRPr="00A51347">
        <w:rPr>
          <w:rFonts w:ascii="Garamond" w:eastAsia="Calibri" w:hAnsi="Garamond" w:cs="Times New Roman"/>
          <w:sz w:val="23"/>
          <w:szCs w:val="23"/>
        </w:rPr>
        <w:t xml:space="preserve">. Estimates of wholesale price suppression </w:t>
      </w:r>
      <w:r w:rsidR="00214B6E" w:rsidRPr="00A51347">
        <w:rPr>
          <w:rFonts w:ascii="Garamond" w:eastAsia="Calibri" w:hAnsi="Garamond" w:cs="Times New Roman"/>
          <w:sz w:val="23"/>
          <w:szCs w:val="23"/>
        </w:rPr>
        <w:t xml:space="preserve">benefits </w:t>
      </w:r>
      <w:r w:rsidRPr="00A51347">
        <w:rPr>
          <w:rFonts w:ascii="Garamond" w:eastAsia="Calibri" w:hAnsi="Garamond" w:cs="Times New Roman"/>
          <w:sz w:val="23"/>
          <w:szCs w:val="23"/>
        </w:rPr>
        <w:t xml:space="preserve">and the amount of load reduction that can be achieved </w:t>
      </w:r>
      <w:r w:rsidR="00214B6E" w:rsidRPr="00A51347">
        <w:rPr>
          <w:rFonts w:ascii="Garamond" w:eastAsia="Calibri" w:hAnsi="Garamond" w:cs="Times New Roman"/>
          <w:sz w:val="23"/>
          <w:szCs w:val="23"/>
        </w:rPr>
        <w:t>with less aggressive EDC spending will be important components of this assessment.</w:t>
      </w:r>
      <w:r w:rsidR="00A51347" w:rsidRPr="00A51347">
        <w:rPr>
          <w:rFonts w:ascii="Garamond" w:eastAsia="Calibri" w:hAnsi="Garamond" w:cs="Times New Roman"/>
          <w:sz w:val="23"/>
          <w:szCs w:val="23"/>
        </w:rPr>
        <w:t xml:space="preserve"> </w:t>
      </w:r>
    </w:p>
    <w:p w:rsidR="00A51347" w:rsidRDefault="00A51347" w:rsidP="00996CEA">
      <w:pPr>
        <w:spacing w:after="0"/>
        <w:rPr>
          <w:rFonts w:ascii="Garamond" w:hAnsi="Garamond"/>
          <w:sz w:val="23"/>
          <w:szCs w:val="23"/>
        </w:rPr>
      </w:pPr>
    </w:p>
    <w:p w:rsidR="00724105" w:rsidRDefault="00492BFE" w:rsidP="00996CEA">
      <w:pPr>
        <w:spacing w:after="0"/>
        <w:rPr>
          <w:rFonts w:ascii="Garamond" w:hAnsi="Garamond"/>
          <w:sz w:val="23"/>
          <w:szCs w:val="23"/>
        </w:rPr>
      </w:pPr>
      <w:r>
        <w:rPr>
          <w:rFonts w:ascii="Garamond" w:hAnsi="Garamond"/>
          <w:sz w:val="23"/>
          <w:szCs w:val="23"/>
        </w:rPr>
        <w:t>The next sections of this report are organized as follow</w:t>
      </w:r>
      <w:r w:rsidR="00996CEA">
        <w:rPr>
          <w:rFonts w:ascii="Garamond" w:hAnsi="Garamond"/>
          <w:sz w:val="23"/>
          <w:szCs w:val="23"/>
        </w:rPr>
        <w:t>s:</w:t>
      </w:r>
    </w:p>
    <w:p w:rsidR="00A51347" w:rsidRDefault="00A51347" w:rsidP="00996CEA">
      <w:pPr>
        <w:spacing w:after="0"/>
        <w:rPr>
          <w:rFonts w:ascii="Garamond" w:hAnsi="Garamond"/>
          <w:sz w:val="23"/>
          <w:szCs w:val="23"/>
        </w:rPr>
      </w:pPr>
    </w:p>
    <w:p w:rsidR="00996CEA" w:rsidRPr="00BE31E8" w:rsidRDefault="00996CEA" w:rsidP="00996CEA">
      <w:pPr>
        <w:pStyle w:val="ListParagraph"/>
        <w:numPr>
          <w:ilvl w:val="0"/>
          <w:numId w:val="31"/>
        </w:numPr>
        <w:spacing w:after="0"/>
        <w:rPr>
          <w:rFonts w:ascii="Garamond" w:hAnsi="Garamond"/>
          <w:sz w:val="23"/>
          <w:szCs w:val="23"/>
        </w:rPr>
      </w:pPr>
      <w:r w:rsidRPr="00996CEA">
        <w:rPr>
          <w:rFonts w:ascii="Garamond" w:hAnsi="Garamond"/>
          <w:sz w:val="23"/>
          <w:szCs w:val="23"/>
        </w:rPr>
        <w:t>Section B</w:t>
      </w:r>
      <w:r>
        <w:rPr>
          <w:rFonts w:ascii="Garamond" w:hAnsi="Garamond"/>
          <w:sz w:val="23"/>
          <w:szCs w:val="23"/>
        </w:rPr>
        <w:t xml:space="preserve"> provides an </w:t>
      </w:r>
      <w:r w:rsidR="00BE31E8">
        <w:rPr>
          <w:rFonts w:ascii="Garamond" w:hAnsi="Garamond"/>
          <w:sz w:val="23"/>
          <w:szCs w:val="23"/>
        </w:rPr>
        <w:t xml:space="preserve">overview of demand response and </w:t>
      </w:r>
      <w:r w:rsidR="00BE31E8">
        <w:rPr>
          <w:rFonts w:ascii="Garamond" w:eastAsia="Calibri" w:hAnsi="Garamond" w:cs="Times New Roman"/>
          <w:sz w:val="23"/>
          <w:szCs w:val="23"/>
        </w:rPr>
        <w:t>demonstrates how DR can have a positive effect on the wholesale price of electricity.</w:t>
      </w:r>
    </w:p>
    <w:p w:rsidR="00BE31E8" w:rsidRPr="00BE31E8" w:rsidRDefault="00BE31E8" w:rsidP="00996CEA">
      <w:pPr>
        <w:pStyle w:val="ListParagraph"/>
        <w:numPr>
          <w:ilvl w:val="0"/>
          <w:numId w:val="31"/>
        </w:numPr>
        <w:spacing w:after="0"/>
        <w:rPr>
          <w:rFonts w:ascii="Garamond" w:hAnsi="Garamond"/>
          <w:sz w:val="23"/>
          <w:szCs w:val="23"/>
        </w:rPr>
      </w:pPr>
      <w:r>
        <w:rPr>
          <w:rFonts w:ascii="Garamond" w:eastAsia="Calibri" w:hAnsi="Garamond" w:cs="Times New Roman"/>
          <w:sz w:val="23"/>
          <w:szCs w:val="23"/>
        </w:rPr>
        <w:t>Section C examines demand response goals, measurement and verification approaches and benefit/cost guidelines in other jurisdictions and compares them to the DR protocols in place in Pennsylvania during Phase I of Act 129.</w:t>
      </w:r>
    </w:p>
    <w:p w:rsidR="00BE31E8" w:rsidRPr="00D02B66" w:rsidRDefault="00BE31E8" w:rsidP="00996CEA">
      <w:pPr>
        <w:pStyle w:val="ListParagraph"/>
        <w:numPr>
          <w:ilvl w:val="0"/>
          <w:numId w:val="31"/>
        </w:numPr>
        <w:spacing w:after="0"/>
        <w:rPr>
          <w:rFonts w:ascii="Garamond" w:hAnsi="Garamond"/>
          <w:sz w:val="23"/>
          <w:szCs w:val="23"/>
        </w:rPr>
      </w:pPr>
      <w:r>
        <w:rPr>
          <w:rFonts w:ascii="Garamond" w:eastAsia="Calibri" w:hAnsi="Garamond" w:cs="Times New Roman"/>
          <w:sz w:val="23"/>
          <w:szCs w:val="23"/>
        </w:rPr>
        <w:t xml:space="preserve">Section D is a historical analysis of energy and capacity prices in Pennsylvania. These market conditions contain valuable information </w:t>
      </w:r>
      <w:r w:rsidR="00D02B66">
        <w:rPr>
          <w:rFonts w:ascii="Garamond" w:eastAsia="Calibri" w:hAnsi="Garamond" w:cs="Times New Roman"/>
          <w:sz w:val="23"/>
          <w:szCs w:val="23"/>
        </w:rPr>
        <w:t>about the pote</w:t>
      </w:r>
      <w:r w:rsidR="00EB68CB">
        <w:rPr>
          <w:rFonts w:ascii="Garamond" w:eastAsia="Calibri" w:hAnsi="Garamond" w:cs="Times New Roman"/>
          <w:sz w:val="23"/>
          <w:szCs w:val="23"/>
        </w:rPr>
        <w:t xml:space="preserve">ntial cost-effectiveness of </w:t>
      </w:r>
      <w:r w:rsidR="00D02B66">
        <w:rPr>
          <w:rFonts w:ascii="Garamond" w:eastAsia="Calibri" w:hAnsi="Garamond" w:cs="Times New Roman"/>
          <w:sz w:val="23"/>
          <w:szCs w:val="23"/>
        </w:rPr>
        <w:t>DR resources.</w:t>
      </w:r>
    </w:p>
    <w:p w:rsidR="00F35643" w:rsidRDefault="00F35643" w:rsidP="00996CEA">
      <w:pPr>
        <w:pStyle w:val="ListParagraph"/>
        <w:numPr>
          <w:ilvl w:val="0"/>
          <w:numId w:val="31"/>
        </w:numPr>
        <w:spacing w:after="0"/>
        <w:rPr>
          <w:rFonts w:ascii="Garamond" w:hAnsi="Garamond"/>
          <w:sz w:val="23"/>
          <w:szCs w:val="23"/>
        </w:rPr>
      </w:pPr>
      <w:r>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_Ref343687753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E</w:t>
      </w:r>
      <w:r>
        <w:rPr>
          <w:rFonts w:ascii="Garamond" w:hAnsi="Garamond"/>
          <w:sz w:val="23"/>
          <w:szCs w:val="23"/>
        </w:rPr>
        <w:fldChar w:fldCharType="end"/>
      </w:r>
      <w:r>
        <w:rPr>
          <w:rFonts w:ascii="Garamond" w:hAnsi="Garamond"/>
          <w:sz w:val="23"/>
          <w:szCs w:val="23"/>
        </w:rPr>
        <w:t xml:space="preserve"> of the report presents the methodology that the SWE used to examine dual participation of DR resources in the Act 129 and PJM programs.</w:t>
      </w:r>
    </w:p>
    <w:p w:rsidR="00F35643" w:rsidRDefault="00F35643" w:rsidP="00996CEA">
      <w:pPr>
        <w:pStyle w:val="ListParagraph"/>
        <w:numPr>
          <w:ilvl w:val="0"/>
          <w:numId w:val="31"/>
        </w:numPr>
        <w:spacing w:after="0"/>
        <w:rPr>
          <w:rFonts w:ascii="Garamond" w:hAnsi="Garamond"/>
          <w:sz w:val="23"/>
          <w:szCs w:val="23"/>
        </w:rPr>
      </w:pPr>
      <w:r>
        <w:rPr>
          <w:rFonts w:ascii="Garamond" w:hAnsi="Garamond"/>
          <w:sz w:val="23"/>
          <w:szCs w:val="23"/>
        </w:rPr>
        <w:t xml:space="preserve">Section </w:t>
      </w:r>
      <w:r w:rsidR="00BC6642">
        <w:rPr>
          <w:rFonts w:ascii="Garamond" w:hAnsi="Garamond"/>
          <w:sz w:val="23"/>
          <w:szCs w:val="23"/>
        </w:rPr>
        <w:fldChar w:fldCharType="begin"/>
      </w:r>
      <w:r w:rsidR="00BC6642">
        <w:rPr>
          <w:rFonts w:ascii="Garamond" w:hAnsi="Garamond"/>
          <w:sz w:val="23"/>
          <w:szCs w:val="23"/>
        </w:rPr>
        <w:instrText xml:space="preserve"> REF _Ref352604525 \r \h </w:instrText>
      </w:r>
      <w:r w:rsidR="00BC6642">
        <w:rPr>
          <w:rFonts w:ascii="Garamond" w:hAnsi="Garamond"/>
          <w:sz w:val="23"/>
          <w:szCs w:val="23"/>
        </w:rPr>
      </w:r>
      <w:r w:rsidR="00BC6642">
        <w:rPr>
          <w:rFonts w:ascii="Garamond" w:hAnsi="Garamond"/>
          <w:sz w:val="23"/>
          <w:szCs w:val="23"/>
        </w:rPr>
        <w:fldChar w:fldCharType="separate"/>
      </w:r>
      <w:r w:rsidR="00451FFF">
        <w:rPr>
          <w:rFonts w:ascii="Garamond" w:hAnsi="Garamond"/>
          <w:sz w:val="23"/>
          <w:szCs w:val="23"/>
        </w:rPr>
        <w:t>F</w:t>
      </w:r>
      <w:r w:rsidR="00BC6642">
        <w:rPr>
          <w:rFonts w:ascii="Garamond" w:hAnsi="Garamond"/>
          <w:sz w:val="23"/>
          <w:szCs w:val="23"/>
        </w:rPr>
        <w:fldChar w:fldCharType="end"/>
      </w:r>
      <w:r>
        <w:rPr>
          <w:rFonts w:ascii="Garamond" w:hAnsi="Garamond"/>
          <w:sz w:val="23"/>
          <w:szCs w:val="23"/>
        </w:rPr>
        <w:t xml:space="preserve"> presents the SWE’s </w:t>
      </w:r>
      <w:r w:rsidR="002E5BF5">
        <w:rPr>
          <w:rFonts w:ascii="Garamond" w:hAnsi="Garamond"/>
          <w:sz w:val="23"/>
          <w:szCs w:val="23"/>
        </w:rPr>
        <w:t>benefit/cost</w:t>
      </w:r>
      <w:r>
        <w:rPr>
          <w:rFonts w:ascii="Garamond" w:hAnsi="Garamond"/>
          <w:sz w:val="23"/>
          <w:szCs w:val="23"/>
        </w:rPr>
        <w:t xml:space="preserve"> </w:t>
      </w:r>
      <w:r w:rsidR="001479D0">
        <w:rPr>
          <w:rFonts w:ascii="Garamond" w:hAnsi="Garamond"/>
          <w:sz w:val="23"/>
          <w:szCs w:val="23"/>
        </w:rPr>
        <w:t xml:space="preserve">analysis </w:t>
      </w:r>
      <w:r>
        <w:rPr>
          <w:rFonts w:ascii="Garamond" w:hAnsi="Garamond"/>
          <w:sz w:val="23"/>
          <w:szCs w:val="23"/>
        </w:rPr>
        <w:t>of the 2012 Act 129 programs. The programs were analyzed as offered in 2012, as well as under a variety of conditions which may be in place during future phases of Act 129. Sensitivities examined include the avoided cost of generation capacity, avoided transmission and distribution costs, the treatment of customer incentives, line loss adjustment factors, a multi-year view of direct load control, and achievable load reduction if the top 100 hours protocol were lifted in favor of a narrower performance period.</w:t>
      </w:r>
      <w:r w:rsidR="00EB68CB">
        <w:rPr>
          <w:rFonts w:ascii="Garamond" w:hAnsi="Garamond"/>
          <w:sz w:val="23"/>
          <w:szCs w:val="23"/>
        </w:rPr>
        <w:t xml:space="preserve"> </w:t>
      </w:r>
    </w:p>
    <w:p w:rsidR="00B461AE" w:rsidRPr="00D02B66" w:rsidRDefault="00B461AE" w:rsidP="00996CEA">
      <w:pPr>
        <w:pStyle w:val="ListParagraph"/>
        <w:numPr>
          <w:ilvl w:val="0"/>
          <w:numId w:val="31"/>
        </w:numPr>
        <w:spacing w:after="0"/>
        <w:rPr>
          <w:rFonts w:ascii="Garamond" w:hAnsi="Garamond"/>
          <w:sz w:val="23"/>
          <w:szCs w:val="23"/>
        </w:rPr>
      </w:pPr>
      <w:r>
        <w:rPr>
          <w:rFonts w:ascii="Garamond" w:hAnsi="Garamond"/>
          <w:sz w:val="23"/>
          <w:szCs w:val="23"/>
        </w:rPr>
        <w:t>Section G outlines the challenges associated with quantifying wholesale price suppression benefits and explains why the SWE chose to exclude the</w:t>
      </w:r>
      <w:r w:rsidR="00A51347">
        <w:rPr>
          <w:rFonts w:ascii="Garamond" w:hAnsi="Garamond"/>
          <w:sz w:val="23"/>
          <w:szCs w:val="23"/>
        </w:rPr>
        <w:t>se</w:t>
      </w:r>
      <w:r>
        <w:rPr>
          <w:rFonts w:ascii="Garamond" w:hAnsi="Garamond"/>
          <w:sz w:val="23"/>
          <w:szCs w:val="23"/>
        </w:rPr>
        <w:t xml:space="preserve"> benefits from the TRC analysis.</w:t>
      </w:r>
    </w:p>
    <w:p w:rsidR="00D02B66" w:rsidRPr="00996CEA" w:rsidRDefault="00B461AE" w:rsidP="00996CEA">
      <w:pPr>
        <w:pStyle w:val="ListParagraph"/>
        <w:numPr>
          <w:ilvl w:val="0"/>
          <w:numId w:val="31"/>
        </w:numPr>
        <w:spacing w:after="0"/>
        <w:rPr>
          <w:rFonts w:ascii="Garamond" w:hAnsi="Garamond"/>
          <w:sz w:val="23"/>
          <w:szCs w:val="23"/>
        </w:rPr>
      </w:pPr>
      <w:r>
        <w:rPr>
          <w:rFonts w:ascii="Garamond" w:eastAsia="Calibri" w:hAnsi="Garamond" w:cs="Times New Roman"/>
          <w:sz w:val="23"/>
          <w:szCs w:val="23"/>
        </w:rPr>
        <w:t xml:space="preserve">Section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_Ref352943896 \r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Pr>
          <w:rFonts w:ascii="Garamond" w:eastAsia="Calibri" w:hAnsi="Garamond" w:cs="Times New Roman"/>
          <w:sz w:val="23"/>
          <w:szCs w:val="23"/>
        </w:rPr>
        <w:t>H</w:t>
      </w:r>
      <w:r>
        <w:rPr>
          <w:rFonts w:ascii="Garamond" w:eastAsia="Calibri" w:hAnsi="Garamond" w:cs="Times New Roman"/>
          <w:sz w:val="23"/>
          <w:szCs w:val="23"/>
        </w:rPr>
        <w:fldChar w:fldCharType="end"/>
      </w:r>
      <w:r w:rsidR="00D02B66">
        <w:rPr>
          <w:rFonts w:ascii="Garamond" w:eastAsia="Calibri" w:hAnsi="Garamond" w:cs="Times New Roman"/>
          <w:sz w:val="23"/>
          <w:szCs w:val="23"/>
        </w:rPr>
        <w:t xml:space="preserve"> presents the key findings and recommendations from the </w:t>
      </w:r>
      <w:r w:rsidR="00F35643">
        <w:rPr>
          <w:rFonts w:ascii="Garamond" w:eastAsia="Calibri" w:hAnsi="Garamond" w:cs="Times New Roman"/>
          <w:sz w:val="23"/>
          <w:szCs w:val="23"/>
        </w:rPr>
        <w:t>SWE DR Study</w:t>
      </w:r>
      <w:r w:rsidR="00D02B66">
        <w:rPr>
          <w:rFonts w:ascii="Garamond" w:eastAsia="Calibri" w:hAnsi="Garamond" w:cs="Times New Roman"/>
          <w:sz w:val="23"/>
          <w:szCs w:val="23"/>
        </w:rPr>
        <w:t xml:space="preserve">. </w:t>
      </w:r>
    </w:p>
    <w:p w:rsidR="000D5A99" w:rsidRDefault="000D5A99" w:rsidP="00996CEA">
      <w:pPr>
        <w:spacing w:after="0"/>
        <w:rPr>
          <w:rFonts w:ascii="Garamond" w:hAnsi="Garamond"/>
          <w:sz w:val="23"/>
          <w:szCs w:val="23"/>
        </w:rPr>
      </w:pPr>
    </w:p>
    <w:p w:rsidR="0002590E" w:rsidRPr="0002590E" w:rsidRDefault="0002590E" w:rsidP="0002590E">
      <w:pPr>
        <w:jc w:val="left"/>
      </w:pPr>
      <w:r>
        <w:br w:type="page"/>
      </w:r>
    </w:p>
    <w:p w:rsidR="00B00D9C" w:rsidRDefault="00AC4E7D" w:rsidP="00A427B5">
      <w:pPr>
        <w:pStyle w:val="Heading1"/>
      </w:pPr>
      <w:bookmarkStart w:id="7" w:name="_Ref343622274"/>
      <w:bookmarkStart w:id="8" w:name="_Toc355954890"/>
      <w:r>
        <w:lastRenderedPageBreak/>
        <w:t xml:space="preserve">Overview of </w:t>
      </w:r>
      <w:r w:rsidRPr="00A427B5">
        <w:t>Demand</w:t>
      </w:r>
      <w:r>
        <w:t xml:space="preserve"> Response</w:t>
      </w:r>
      <w:bookmarkEnd w:id="7"/>
      <w:bookmarkEnd w:id="8"/>
    </w:p>
    <w:p w:rsidR="00286FD2" w:rsidRPr="00286FD2" w:rsidRDefault="00286FD2" w:rsidP="003447DD">
      <w:pPr>
        <w:spacing w:line="240" w:lineRule="auto"/>
        <w:rPr>
          <w:rFonts w:ascii="Garamond" w:hAnsi="Garamond"/>
          <w:sz w:val="23"/>
          <w:szCs w:val="23"/>
        </w:rPr>
      </w:pPr>
      <w:r w:rsidRPr="00286FD2">
        <w:rPr>
          <w:rFonts w:ascii="Garamond" w:hAnsi="Garamond"/>
          <w:sz w:val="23"/>
          <w:szCs w:val="23"/>
        </w:rPr>
        <w:t xml:space="preserve">Demand Response (“DR”) generally refers to an end-user, </w:t>
      </w:r>
      <w:r w:rsidR="00B51AD6">
        <w:rPr>
          <w:rFonts w:ascii="Garamond" w:hAnsi="Garamond"/>
          <w:sz w:val="23"/>
          <w:szCs w:val="23"/>
        </w:rPr>
        <w:t xml:space="preserve">or </w:t>
      </w:r>
      <w:r w:rsidRPr="00286FD2">
        <w:rPr>
          <w:rFonts w:ascii="Garamond" w:hAnsi="Garamond"/>
          <w:sz w:val="23"/>
          <w:szCs w:val="23"/>
        </w:rPr>
        <w:t>retail utility customer</w:t>
      </w:r>
      <w:r w:rsidR="00B51AD6">
        <w:rPr>
          <w:rFonts w:ascii="Garamond" w:hAnsi="Garamond"/>
          <w:sz w:val="23"/>
          <w:szCs w:val="23"/>
        </w:rPr>
        <w:t>,</w:t>
      </w:r>
      <w:r w:rsidRPr="00286FD2">
        <w:rPr>
          <w:rFonts w:ascii="Garamond" w:hAnsi="Garamond"/>
          <w:sz w:val="23"/>
          <w:szCs w:val="23"/>
        </w:rPr>
        <w:t xml:space="preserve"> forgoing, shifting, or self-generating electricity</w:t>
      </w:r>
      <w:r w:rsidR="0083345E">
        <w:rPr>
          <w:rStyle w:val="FootnoteReference"/>
          <w:rFonts w:ascii="Garamond" w:hAnsi="Garamond"/>
          <w:sz w:val="23"/>
          <w:szCs w:val="23"/>
        </w:rPr>
        <w:footnoteReference w:id="7"/>
      </w:r>
      <w:r w:rsidRPr="00286FD2">
        <w:rPr>
          <w:rFonts w:ascii="Garamond" w:hAnsi="Garamond"/>
          <w:sz w:val="23"/>
          <w:szCs w:val="23"/>
        </w:rPr>
        <w:t>:</w:t>
      </w:r>
    </w:p>
    <w:p w:rsidR="00286FD2" w:rsidRPr="00286FD2" w:rsidRDefault="007736EB" w:rsidP="003447DD">
      <w:pPr>
        <w:pStyle w:val="ListParagraph"/>
        <w:numPr>
          <w:ilvl w:val="0"/>
          <w:numId w:val="5"/>
        </w:numPr>
        <w:spacing w:line="240" w:lineRule="auto"/>
        <w:rPr>
          <w:rFonts w:ascii="Garamond" w:hAnsi="Garamond"/>
          <w:sz w:val="23"/>
          <w:szCs w:val="23"/>
        </w:rPr>
      </w:pPr>
      <w:r>
        <w:rPr>
          <w:rFonts w:ascii="Garamond" w:hAnsi="Garamond"/>
          <w:sz w:val="23"/>
          <w:szCs w:val="23"/>
        </w:rPr>
        <w:t>I</w:t>
      </w:r>
      <w:r w:rsidR="00286FD2" w:rsidRPr="00286FD2">
        <w:rPr>
          <w:rFonts w:ascii="Garamond" w:hAnsi="Garamond"/>
          <w:sz w:val="23"/>
          <w:szCs w:val="23"/>
        </w:rPr>
        <w:t xml:space="preserve">n response to a per-event signal from the applicable ISO or </w:t>
      </w:r>
      <w:r w:rsidR="00286FD2">
        <w:rPr>
          <w:rFonts w:ascii="Garamond" w:hAnsi="Garamond"/>
          <w:sz w:val="23"/>
          <w:szCs w:val="23"/>
        </w:rPr>
        <w:t>EDC</w:t>
      </w:r>
      <w:r w:rsidR="00286FD2" w:rsidRPr="00286FD2">
        <w:rPr>
          <w:rFonts w:ascii="Garamond" w:hAnsi="Garamond"/>
          <w:sz w:val="23"/>
          <w:szCs w:val="23"/>
        </w:rPr>
        <w:t xml:space="preserve"> on a </w:t>
      </w:r>
      <w:r w:rsidR="00286FD2" w:rsidRPr="00286FD2">
        <w:rPr>
          <w:rFonts w:ascii="Garamond" w:hAnsi="Garamond"/>
          <w:b/>
          <w:sz w:val="23"/>
          <w:szCs w:val="23"/>
        </w:rPr>
        <w:t>dispatchable</w:t>
      </w:r>
      <w:r w:rsidR="00286FD2" w:rsidRPr="00286FD2">
        <w:rPr>
          <w:rFonts w:ascii="Garamond" w:hAnsi="Garamond"/>
          <w:sz w:val="23"/>
          <w:szCs w:val="23"/>
        </w:rPr>
        <w:t xml:space="preserve"> (or callable) basis; or </w:t>
      </w:r>
    </w:p>
    <w:p w:rsidR="00286FD2" w:rsidRPr="00286FD2" w:rsidRDefault="007736EB" w:rsidP="003447DD">
      <w:pPr>
        <w:pStyle w:val="ListParagraph"/>
        <w:numPr>
          <w:ilvl w:val="0"/>
          <w:numId w:val="5"/>
        </w:numPr>
        <w:spacing w:line="240" w:lineRule="auto"/>
        <w:rPr>
          <w:rFonts w:ascii="Garamond" w:hAnsi="Garamond"/>
          <w:sz w:val="23"/>
          <w:szCs w:val="23"/>
        </w:rPr>
      </w:pPr>
      <w:r>
        <w:rPr>
          <w:rFonts w:ascii="Garamond" w:hAnsi="Garamond"/>
          <w:sz w:val="23"/>
          <w:szCs w:val="23"/>
        </w:rPr>
        <w:t xml:space="preserve">In </w:t>
      </w:r>
      <w:r w:rsidR="00286FD2" w:rsidRPr="00286FD2">
        <w:rPr>
          <w:rFonts w:ascii="Garamond" w:hAnsi="Garamond"/>
          <w:sz w:val="23"/>
          <w:szCs w:val="23"/>
        </w:rPr>
        <w:t xml:space="preserve">response to high electricity prices on a </w:t>
      </w:r>
      <w:r w:rsidR="00286FD2" w:rsidRPr="00286FD2">
        <w:rPr>
          <w:rFonts w:ascii="Garamond" w:hAnsi="Garamond"/>
          <w:b/>
          <w:sz w:val="23"/>
          <w:szCs w:val="23"/>
        </w:rPr>
        <w:t>non-dispatchable</w:t>
      </w:r>
      <w:r w:rsidR="00286FD2" w:rsidRPr="00286FD2">
        <w:rPr>
          <w:rFonts w:ascii="Garamond" w:hAnsi="Garamond"/>
          <w:sz w:val="23"/>
          <w:szCs w:val="23"/>
        </w:rPr>
        <w:t xml:space="preserve"> basis, with pricing incentives offered typically through an EDC’s retail service tariffs.</w:t>
      </w:r>
    </w:p>
    <w:p w:rsidR="00286FD2" w:rsidRDefault="00286FD2" w:rsidP="003447DD">
      <w:pPr>
        <w:spacing w:line="240" w:lineRule="auto"/>
        <w:rPr>
          <w:rFonts w:ascii="Garamond" w:hAnsi="Garamond"/>
          <w:sz w:val="23"/>
          <w:szCs w:val="23"/>
        </w:rPr>
      </w:pPr>
      <w:r w:rsidRPr="00286FD2">
        <w:rPr>
          <w:rFonts w:ascii="Garamond" w:hAnsi="Garamond"/>
          <w:sz w:val="23"/>
          <w:szCs w:val="23"/>
        </w:rPr>
        <w:t xml:space="preserve">As indicated below, DR is broadly grouped into two main categories: </w:t>
      </w:r>
      <w:r w:rsidRPr="00286FD2">
        <w:rPr>
          <w:rFonts w:ascii="Garamond" w:hAnsi="Garamond"/>
          <w:b/>
          <w:sz w:val="23"/>
          <w:szCs w:val="23"/>
        </w:rPr>
        <w:t>dispatchable</w:t>
      </w:r>
      <w:r w:rsidRPr="00286FD2">
        <w:rPr>
          <w:rFonts w:ascii="Garamond" w:hAnsi="Garamond"/>
          <w:sz w:val="23"/>
          <w:szCs w:val="23"/>
        </w:rPr>
        <w:t xml:space="preserve"> and </w:t>
      </w:r>
      <w:r w:rsidRPr="00286FD2">
        <w:rPr>
          <w:rFonts w:ascii="Garamond" w:hAnsi="Garamond"/>
          <w:b/>
          <w:sz w:val="23"/>
          <w:szCs w:val="23"/>
        </w:rPr>
        <w:t>non-dispatchable</w:t>
      </w:r>
      <w:r w:rsidR="00FD5D34">
        <w:rPr>
          <w:rFonts w:ascii="Garamond" w:hAnsi="Garamond"/>
          <w:sz w:val="23"/>
          <w:szCs w:val="23"/>
        </w:rPr>
        <w:t xml:space="preserve">. </w:t>
      </w:r>
      <w:r w:rsidR="00FD5D34" w:rsidRPr="00FD5D34">
        <w:rPr>
          <w:rFonts w:ascii="Garamond" w:hAnsi="Garamond"/>
          <w:sz w:val="23"/>
          <w:szCs w:val="23"/>
        </w:rPr>
        <w:fldChar w:fldCharType="begin"/>
      </w:r>
      <w:r w:rsidR="00FD5D34" w:rsidRPr="00FD5D34">
        <w:rPr>
          <w:rFonts w:ascii="Garamond" w:hAnsi="Garamond"/>
          <w:sz w:val="23"/>
          <w:szCs w:val="23"/>
        </w:rPr>
        <w:instrText xml:space="preserve"> REF _Ref343512054 \h  \* MERGEFORMAT </w:instrText>
      </w:r>
      <w:r w:rsidR="00FD5D34" w:rsidRPr="00FD5D34">
        <w:rPr>
          <w:rFonts w:ascii="Garamond" w:hAnsi="Garamond"/>
          <w:sz w:val="23"/>
          <w:szCs w:val="23"/>
        </w:rPr>
      </w:r>
      <w:r w:rsidR="00FD5D34" w:rsidRPr="00FD5D34">
        <w:rPr>
          <w:rFonts w:ascii="Garamond" w:hAnsi="Garamond"/>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B</w:t>
      </w:r>
      <w:r w:rsidR="00451FFF" w:rsidRPr="00451FFF">
        <w:rPr>
          <w:rFonts w:ascii="Garamond" w:hAnsi="Garamond"/>
          <w:noProof/>
          <w:sz w:val="23"/>
          <w:szCs w:val="23"/>
        </w:rPr>
        <w:noBreakHyphen/>
        <w:t>1</w:t>
      </w:r>
      <w:r w:rsidR="00FD5D34" w:rsidRPr="00FD5D34">
        <w:rPr>
          <w:rFonts w:ascii="Garamond" w:hAnsi="Garamond"/>
          <w:sz w:val="23"/>
          <w:szCs w:val="23"/>
        </w:rPr>
        <w:fldChar w:fldCharType="end"/>
      </w:r>
      <w:r w:rsidRPr="00286FD2">
        <w:rPr>
          <w:rFonts w:ascii="Garamond" w:hAnsi="Garamond"/>
          <w:sz w:val="23"/>
          <w:szCs w:val="23"/>
        </w:rPr>
        <w:t xml:space="preserve"> below summarizes the common types of dispatchable and non-dispatchable DR programs.  </w:t>
      </w:r>
    </w:p>
    <w:p w:rsidR="00FD5D34" w:rsidRDefault="00FD5D34" w:rsidP="00FD5D34">
      <w:pPr>
        <w:pStyle w:val="Caption"/>
        <w:keepNext/>
      </w:pPr>
      <w:bookmarkStart w:id="9" w:name="_Ref343512054"/>
      <w:r>
        <w:t xml:space="preserve">Table </w:t>
      </w:r>
      <w:fldSimple w:instr=" STYLEREF 1 \s ">
        <w:r w:rsidR="00451FFF">
          <w:rPr>
            <w:noProof/>
          </w:rPr>
          <w:t>B</w:t>
        </w:r>
      </w:fldSimple>
      <w:r w:rsidR="00C01A4C">
        <w:noBreakHyphen/>
      </w:r>
      <w:fldSimple w:instr=" SEQ Table \* ARABIC \s 1 ">
        <w:r w:rsidR="00451FFF">
          <w:rPr>
            <w:noProof/>
          </w:rPr>
          <w:t>1</w:t>
        </w:r>
      </w:fldSimple>
      <w:bookmarkEnd w:id="9"/>
      <w:r>
        <w:t>: Common Types of Demand Response Programs</w:t>
      </w:r>
      <w:r>
        <w:rPr>
          <w:rStyle w:val="FootnoteReference"/>
        </w:rPr>
        <w:footnoteReference w:id="8"/>
      </w:r>
    </w:p>
    <w:p w:rsidR="00FD5D34" w:rsidRPr="00286FD2" w:rsidRDefault="00190FF8" w:rsidP="00190FF8">
      <w:pPr>
        <w:spacing w:line="240" w:lineRule="auto"/>
        <w:jc w:val="center"/>
        <w:rPr>
          <w:rFonts w:ascii="Garamond" w:hAnsi="Garamond"/>
          <w:sz w:val="23"/>
          <w:szCs w:val="23"/>
        </w:rPr>
      </w:pPr>
      <w:r w:rsidRPr="00190FF8">
        <w:rPr>
          <w:noProof/>
        </w:rPr>
        <w:drawing>
          <wp:inline distT="0" distB="0" distL="0" distR="0" wp14:anchorId="2E9D79A9" wp14:editId="6A512740">
            <wp:extent cx="4850296" cy="37039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8884" cy="3702885"/>
                    </a:xfrm>
                    <a:prstGeom prst="rect">
                      <a:avLst/>
                    </a:prstGeom>
                    <a:noFill/>
                    <a:ln>
                      <a:noFill/>
                    </a:ln>
                  </pic:spPr>
                </pic:pic>
              </a:graphicData>
            </a:graphic>
          </wp:inline>
        </w:drawing>
      </w:r>
    </w:p>
    <w:p w:rsidR="007736EB" w:rsidRPr="00EF3A9C" w:rsidRDefault="007736EB" w:rsidP="007736EB">
      <w:pPr>
        <w:spacing w:line="240" w:lineRule="auto"/>
        <w:rPr>
          <w:rFonts w:ascii="Garamond" w:hAnsi="Garamond"/>
          <w:noProof/>
          <w:sz w:val="23"/>
          <w:szCs w:val="23"/>
        </w:rPr>
      </w:pPr>
      <w:r w:rsidRPr="00EF3A9C">
        <w:rPr>
          <w:rFonts w:ascii="Garamond" w:hAnsi="Garamond"/>
          <w:sz w:val="23"/>
          <w:szCs w:val="23"/>
        </w:rPr>
        <w:t>Dispatchable DR refers to load reductions that the end-user agrees to make in response to direction from someone other than the end-user itself. For example, direct load control (DLC) programs and interruptible utility services</w:t>
      </w:r>
      <w:r w:rsidR="0002590E" w:rsidRPr="00EF3A9C">
        <w:rPr>
          <w:rFonts w:ascii="Garamond" w:hAnsi="Garamond"/>
          <w:sz w:val="23"/>
          <w:szCs w:val="23"/>
        </w:rPr>
        <w:t xml:space="preserve"> fall into this category. The programs implemented by the Pennsylvania EDCs in 2012 consisted primarily of dispatchable DR. </w:t>
      </w:r>
      <w:r w:rsidRPr="00EF3A9C">
        <w:rPr>
          <w:rFonts w:ascii="Garamond" w:hAnsi="Garamond"/>
          <w:sz w:val="23"/>
          <w:szCs w:val="23"/>
        </w:rPr>
        <w:t xml:space="preserve">Non-dispatchable DR refers to programs in which end-users decide whether and when to reduce consumption in response to and based on a dynamic pricing </w:t>
      </w:r>
      <w:r w:rsidRPr="00EF3A9C">
        <w:rPr>
          <w:rFonts w:ascii="Garamond" w:hAnsi="Garamond"/>
          <w:sz w:val="23"/>
          <w:szCs w:val="23"/>
        </w:rPr>
        <w:lastRenderedPageBreak/>
        <w:t>structure that exposes the end-user to higher electricity prices during high, or peak, demand periods.</w:t>
      </w:r>
      <w:r w:rsidRPr="00EF3A9C">
        <w:rPr>
          <w:rStyle w:val="FootnoteReference"/>
          <w:rFonts w:ascii="Garamond" w:hAnsi="Garamond" w:cs="Times New Roman"/>
          <w:sz w:val="23"/>
          <w:szCs w:val="23"/>
        </w:rPr>
        <w:footnoteReference w:id="9"/>
      </w:r>
      <w:r w:rsidRPr="00EF3A9C">
        <w:rPr>
          <w:rFonts w:ascii="Garamond" w:hAnsi="Garamond"/>
          <w:sz w:val="23"/>
          <w:szCs w:val="23"/>
        </w:rPr>
        <w:t xml:space="preserve"> </w:t>
      </w:r>
      <w:r w:rsidRPr="00EF3A9C">
        <w:rPr>
          <w:rFonts w:ascii="Garamond" w:hAnsi="Garamond"/>
          <w:noProof/>
          <w:sz w:val="23"/>
          <w:szCs w:val="23"/>
        </w:rPr>
        <w:t xml:space="preserve">A dynamic pricing structure contrasts with average pricing (electricity is the same price regardless of period during the day, or even season), which typically provides little to no incentive to an end-user to reduce consumption when wholesale electricity prices “spike” during high demand period. </w:t>
      </w:r>
      <w:r w:rsidRPr="00EF3A9C">
        <w:rPr>
          <w:rFonts w:ascii="Garamond" w:hAnsi="Garamond"/>
          <w:noProof/>
          <w:sz w:val="23"/>
          <w:szCs w:val="23"/>
        </w:rPr>
        <w:fldChar w:fldCharType="begin"/>
      </w:r>
      <w:r w:rsidRPr="00EF3A9C">
        <w:rPr>
          <w:rFonts w:ascii="Garamond" w:hAnsi="Garamond"/>
          <w:noProof/>
          <w:sz w:val="23"/>
          <w:szCs w:val="23"/>
        </w:rPr>
        <w:instrText xml:space="preserve"> REF _Ref343513715 \h </w:instrText>
      </w:r>
      <w:r w:rsidR="00EF3A9C" w:rsidRPr="00EF3A9C">
        <w:rPr>
          <w:rFonts w:ascii="Garamond" w:hAnsi="Garamond"/>
          <w:noProof/>
          <w:sz w:val="23"/>
          <w:szCs w:val="23"/>
        </w:rPr>
        <w:instrText xml:space="preserve"> \* MERGEFORMAT </w:instrText>
      </w:r>
      <w:r w:rsidRPr="00EF3A9C">
        <w:rPr>
          <w:rFonts w:ascii="Garamond" w:hAnsi="Garamond"/>
          <w:noProof/>
          <w:sz w:val="23"/>
          <w:szCs w:val="23"/>
        </w:rPr>
      </w:r>
      <w:r w:rsidRPr="00EF3A9C">
        <w:rPr>
          <w:rFonts w:ascii="Garamond" w:hAnsi="Garamond"/>
          <w:noProof/>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B</w:t>
      </w:r>
      <w:r w:rsidR="00451FFF" w:rsidRPr="00451FFF">
        <w:rPr>
          <w:rFonts w:ascii="Garamond" w:hAnsi="Garamond"/>
          <w:noProof/>
          <w:sz w:val="23"/>
          <w:szCs w:val="23"/>
        </w:rPr>
        <w:noBreakHyphen/>
        <w:t>1</w:t>
      </w:r>
      <w:r w:rsidRPr="00EF3A9C">
        <w:rPr>
          <w:rFonts w:ascii="Garamond" w:hAnsi="Garamond"/>
          <w:noProof/>
          <w:sz w:val="23"/>
          <w:szCs w:val="23"/>
        </w:rPr>
        <w:fldChar w:fldCharType="end"/>
      </w:r>
      <w:r w:rsidRPr="00EF3A9C">
        <w:rPr>
          <w:rFonts w:ascii="Garamond" w:hAnsi="Garamond"/>
          <w:sz w:val="23"/>
          <w:szCs w:val="23"/>
        </w:rPr>
        <w:t xml:space="preserve"> shows dynamic pricing structure options.  </w:t>
      </w:r>
      <w:r w:rsidRPr="00EF3A9C">
        <w:rPr>
          <w:rFonts w:ascii="Garamond" w:hAnsi="Garamond"/>
          <w:noProof/>
          <w:sz w:val="23"/>
          <w:szCs w:val="23"/>
        </w:rPr>
        <w:t xml:space="preserve">  </w:t>
      </w:r>
    </w:p>
    <w:p w:rsidR="007736EB" w:rsidRDefault="007736EB" w:rsidP="007736EB">
      <w:pPr>
        <w:pStyle w:val="Caption"/>
        <w:keepNext/>
        <w:jc w:val="left"/>
      </w:pPr>
      <w:bookmarkStart w:id="10" w:name="_Ref343513715"/>
      <w:r>
        <w:t xml:space="preserve">Figure </w:t>
      </w:r>
      <w:fldSimple w:instr=" STYLEREF 1 \s ">
        <w:r w:rsidR="00451FFF">
          <w:rPr>
            <w:noProof/>
          </w:rPr>
          <w:t>B</w:t>
        </w:r>
      </w:fldSimple>
      <w:r w:rsidR="00F45397">
        <w:noBreakHyphen/>
      </w:r>
      <w:fldSimple w:instr=" SEQ Figure \* ARABIC \s 1 ">
        <w:r w:rsidR="00451FFF">
          <w:rPr>
            <w:noProof/>
          </w:rPr>
          <w:t>1</w:t>
        </w:r>
      </w:fldSimple>
      <w:bookmarkEnd w:id="10"/>
      <w:r>
        <w:t>: Dynamic Pricing Structure Options</w:t>
      </w:r>
    </w:p>
    <w:p w:rsidR="007736EB" w:rsidRDefault="007736EB" w:rsidP="007736EB">
      <w:pPr>
        <w:spacing w:line="240" w:lineRule="auto"/>
        <w:jc w:val="center"/>
        <w:rPr>
          <w:noProof/>
        </w:rPr>
      </w:pPr>
      <w:r>
        <w:rPr>
          <w:noProof/>
        </w:rPr>
        <w:drawing>
          <wp:inline distT="0" distB="0" distL="0" distR="0" wp14:anchorId="465BC0CE" wp14:editId="490070A8">
            <wp:extent cx="4228186" cy="2859880"/>
            <wp:effectExtent l="0" t="0" r="127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cing Structure Char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29948" cy="2861072"/>
                    </a:xfrm>
                    <a:prstGeom prst="rect">
                      <a:avLst/>
                    </a:prstGeom>
                  </pic:spPr>
                </pic:pic>
              </a:graphicData>
            </a:graphic>
          </wp:inline>
        </w:drawing>
      </w:r>
    </w:p>
    <w:p w:rsidR="00EF3A9C" w:rsidRDefault="007736EB" w:rsidP="007736EB">
      <w:pPr>
        <w:spacing w:line="240" w:lineRule="auto"/>
        <w:rPr>
          <w:rFonts w:ascii="Garamond" w:hAnsi="Garamond"/>
          <w:sz w:val="23"/>
          <w:szCs w:val="23"/>
        </w:rPr>
      </w:pPr>
      <w:r w:rsidRPr="000343FD">
        <w:rPr>
          <w:rFonts w:ascii="Garamond" w:hAnsi="Garamond"/>
          <w:sz w:val="23"/>
          <w:szCs w:val="23"/>
        </w:rPr>
        <w:t>Pricing can either be real-time (blue), which allows an end-user to be exposed to changing wholesale prices hourly, or in blocks (red) based on hourly groupings, typically termed “time of day” or “time of use.”  In exchange for exposure to peak prices during peak hours, the end-user experiences lower prices during off-peak hours.</w:t>
      </w:r>
      <w:r w:rsidR="00EF3A9C">
        <w:rPr>
          <w:rFonts w:ascii="Garamond" w:hAnsi="Garamond"/>
          <w:sz w:val="23"/>
          <w:szCs w:val="23"/>
        </w:rPr>
        <w:t xml:space="preserve"> </w:t>
      </w:r>
    </w:p>
    <w:p w:rsidR="007736EB" w:rsidRPr="000343FD" w:rsidRDefault="007736EB" w:rsidP="007736EB">
      <w:pPr>
        <w:spacing w:line="240" w:lineRule="auto"/>
        <w:rPr>
          <w:rFonts w:ascii="Garamond" w:hAnsi="Garamond"/>
          <w:sz w:val="23"/>
          <w:szCs w:val="23"/>
        </w:rPr>
      </w:pPr>
      <w:r w:rsidRPr="000343FD">
        <w:rPr>
          <w:rFonts w:ascii="Garamond" w:hAnsi="Garamond"/>
          <w:sz w:val="23"/>
          <w:szCs w:val="23"/>
        </w:rPr>
        <w:t>DR programs in the United States are implemented under the auspices of Independent System Operators (“ISO”)</w:t>
      </w:r>
      <w:r w:rsidRPr="000343FD">
        <w:rPr>
          <w:rStyle w:val="FootnoteReference"/>
          <w:rFonts w:ascii="Garamond" w:hAnsi="Garamond"/>
          <w:sz w:val="23"/>
          <w:szCs w:val="23"/>
        </w:rPr>
        <w:footnoteReference w:id="10"/>
      </w:r>
      <w:r w:rsidRPr="000343FD">
        <w:rPr>
          <w:rFonts w:ascii="Garamond" w:hAnsi="Garamond"/>
          <w:sz w:val="23"/>
          <w:szCs w:val="23"/>
        </w:rPr>
        <w:t xml:space="preserve"> </w:t>
      </w:r>
      <w:r w:rsidR="00F27657" w:rsidRPr="000343FD">
        <w:rPr>
          <w:rFonts w:ascii="Garamond" w:hAnsi="Garamond"/>
          <w:sz w:val="23"/>
          <w:szCs w:val="23"/>
        </w:rPr>
        <w:t xml:space="preserve">and EDCs. </w:t>
      </w:r>
      <w:r w:rsidRPr="000343FD">
        <w:rPr>
          <w:rFonts w:ascii="Garamond" w:hAnsi="Garamond"/>
          <w:sz w:val="23"/>
          <w:szCs w:val="23"/>
        </w:rPr>
        <w:t xml:space="preserve">ISOs will only accept DR bids above a certain minimum reduction threshold. While direct participation in ISO-sponsored DR programs is possible for very large, industrial entities, a vast number of retail customers </w:t>
      </w:r>
      <w:proofErr w:type="gramStart"/>
      <w:r w:rsidRPr="000343FD">
        <w:rPr>
          <w:rFonts w:ascii="Garamond" w:hAnsi="Garamond"/>
          <w:sz w:val="23"/>
          <w:szCs w:val="23"/>
        </w:rPr>
        <w:t>participate</w:t>
      </w:r>
      <w:proofErr w:type="gramEnd"/>
      <w:r w:rsidRPr="000343FD">
        <w:rPr>
          <w:rFonts w:ascii="Garamond" w:hAnsi="Garamond"/>
          <w:sz w:val="23"/>
          <w:szCs w:val="23"/>
        </w:rPr>
        <w:t xml:space="preserve"> indirectly through EDCs and C</w:t>
      </w:r>
      <w:r w:rsidR="00F27657" w:rsidRPr="000343FD">
        <w:rPr>
          <w:rFonts w:ascii="Garamond" w:hAnsi="Garamond"/>
          <w:sz w:val="23"/>
          <w:szCs w:val="23"/>
        </w:rPr>
        <w:t>urtailment Service Providers (C</w:t>
      </w:r>
      <w:r w:rsidRPr="000343FD">
        <w:rPr>
          <w:rFonts w:ascii="Garamond" w:hAnsi="Garamond"/>
          <w:sz w:val="23"/>
          <w:szCs w:val="23"/>
        </w:rPr>
        <w:t>SPs</w:t>
      </w:r>
      <w:r w:rsidR="00F27657" w:rsidRPr="000343FD">
        <w:rPr>
          <w:rFonts w:ascii="Garamond" w:hAnsi="Garamond"/>
          <w:sz w:val="23"/>
          <w:szCs w:val="23"/>
        </w:rPr>
        <w:t>)</w:t>
      </w:r>
      <w:r w:rsidRPr="000343FD">
        <w:rPr>
          <w:rFonts w:ascii="Garamond" w:hAnsi="Garamond"/>
          <w:sz w:val="23"/>
          <w:szCs w:val="23"/>
        </w:rPr>
        <w:t xml:space="preserve"> because they alone do not provide enough load reduction to reach the minimum level.  CSPs are agents that provide end-use customers access to wholesale markets by aggregating load from several customers to reach the level of reduction required to bid into the wholesale market. The CSP identifies opportunities for demand response and implements necessary equipment, operational processes, and/or systems, such as advanced metering, to enable DR at the customer’s facility and to sell DR capacity direc</w:t>
      </w:r>
      <w:r w:rsidR="006D5780">
        <w:rPr>
          <w:rFonts w:ascii="Garamond" w:hAnsi="Garamond"/>
          <w:sz w:val="23"/>
          <w:szCs w:val="23"/>
        </w:rPr>
        <w:t xml:space="preserve">tly into the wholesale market. </w:t>
      </w:r>
      <w:r w:rsidRPr="000343FD">
        <w:rPr>
          <w:rFonts w:ascii="Garamond" w:hAnsi="Garamond"/>
          <w:sz w:val="23"/>
          <w:szCs w:val="23"/>
        </w:rPr>
        <w:t>The CSP has ISO membership, operational infrastructure and a full understanding of markets, rules and operational procedures to bid demand response into the electricity market.  The use of such third-party DR providers in both wholesale and retail markets has grown as a percentage of total national wholesale demand response potential, from 35 percent in 2008 to 39 percent in 2010.</w:t>
      </w:r>
      <w:r w:rsidRPr="000343FD">
        <w:rPr>
          <w:rStyle w:val="FootnoteReference"/>
          <w:rFonts w:ascii="Garamond" w:hAnsi="Garamond"/>
          <w:sz w:val="23"/>
          <w:szCs w:val="23"/>
        </w:rPr>
        <w:footnoteReference w:id="11"/>
      </w:r>
      <w:r w:rsidR="000343FD">
        <w:rPr>
          <w:rFonts w:ascii="Garamond" w:hAnsi="Garamond"/>
          <w:sz w:val="23"/>
          <w:szCs w:val="23"/>
        </w:rPr>
        <w:t xml:space="preserve"> End-use</w:t>
      </w:r>
      <w:r w:rsidRPr="000343FD">
        <w:rPr>
          <w:rFonts w:ascii="Garamond" w:hAnsi="Garamond"/>
          <w:sz w:val="23"/>
          <w:szCs w:val="23"/>
        </w:rPr>
        <w:t xml:space="preserve"> customers participating in DR programs must have the </w:t>
      </w:r>
      <w:r w:rsidRPr="000343FD">
        <w:rPr>
          <w:rFonts w:ascii="Garamond" w:hAnsi="Garamond"/>
          <w:sz w:val="23"/>
          <w:szCs w:val="23"/>
        </w:rPr>
        <w:lastRenderedPageBreak/>
        <w:t>ability to reduce power consumption in response to either a reliability trigger or a price trigger from their EDC, ISO, or CSP.</w:t>
      </w:r>
      <w:r w:rsidRPr="000343FD">
        <w:rPr>
          <w:rStyle w:val="FootnoteReference"/>
          <w:rFonts w:ascii="Garamond" w:hAnsi="Garamond" w:cs="Times New Roman"/>
          <w:sz w:val="23"/>
          <w:szCs w:val="23"/>
        </w:rPr>
        <w:footnoteReference w:id="12"/>
      </w:r>
      <w:r w:rsidRPr="000343FD">
        <w:rPr>
          <w:rFonts w:ascii="Garamond" w:hAnsi="Garamond"/>
          <w:sz w:val="23"/>
          <w:szCs w:val="23"/>
        </w:rPr>
        <w:t xml:space="preserve">  </w:t>
      </w:r>
    </w:p>
    <w:p w:rsidR="00F27657" w:rsidRPr="000343FD" w:rsidRDefault="007736EB" w:rsidP="007736EB">
      <w:pPr>
        <w:spacing w:line="240" w:lineRule="auto"/>
        <w:rPr>
          <w:rFonts w:ascii="Garamond" w:hAnsi="Garamond"/>
          <w:sz w:val="23"/>
          <w:szCs w:val="23"/>
        </w:rPr>
      </w:pPr>
      <w:r w:rsidRPr="000343FD">
        <w:rPr>
          <w:rFonts w:ascii="Garamond" w:hAnsi="Garamond"/>
          <w:sz w:val="23"/>
          <w:szCs w:val="23"/>
        </w:rPr>
        <w:t>An ISO will sponsor demand response programs for both reliability and economic purposes.</w:t>
      </w:r>
      <w:r w:rsidR="00F27657" w:rsidRPr="000343FD">
        <w:rPr>
          <w:rFonts w:ascii="Garamond" w:hAnsi="Garamond"/>
          <w:sz w:val="23"/>
          <w:szCs w:val="23"/>
        </w:rPr>
        <w:t xml:space="preserve"> DR programs designed for reliability provide a surrogate for capacity</w:t>
      </w:r>
      <w:r w:rsidR="001479D0">
        <w:rPr>
          <w:rFonts w:ascii="Garamond" w:hAnsi="Garamond"/>
          <w:sz w:val="23"/>
          <w:szCs w:val="23"/>
        </w:rPr>
        <w:t xml:space="preserve">, while </w:t>
      </w:r>
      <w:r w:rsidR="00F27657" w:rsidRPr="000343FD">
        <w:rPr>
          <w:rFonts w:ascii="Garamond" w:hAnsi="Garamond"/>
          <w:sz w:val="23"/>
          <w:szCs w:val="23"/>
        </w:rPr>
        <w:t>economic programs provide a surro</w:t>
      </w:r>
      <w:r w:rsidR="000343FD" w:rsidRPr="000343FD">
        <w:rPr>
          <w:rFonts w:ascii="Garamond" w:hAnsi="Garamond"/>
          <w:sz w:val="23"/>
          <w:szCs w:val="23"/>
        </w:rPr>
        <w:t>gate for energy. Capacity is an annual</w:t>
      </w:r>
      <w:r w:rsidR="00F27657" w:rsidRPr="000343FD">
        <w:rPr>
          <w:rFonts w:ascii="Garamond" w:hAnsi="Garamond"/>
          <w:sz w:val="23"/>
          <w:szCs w:val="23"/>
        </w:rPr>
        <w:t xml:space="preserve"> </w:t>
      </w:r>
      <w:r w:rsidR="000343FD" w:rsidRPr="000343FD">
        <w:rPr>
          <w:rFonts w:ascii="Garamond" w:hAnsi="Garamond"/>
          <w:sz w:val="23"/>
          <w:szCs w:val="23"/>
        </w:rPr>
        <w:t xml:space="preserve">commitment to provide energy when needed and assures that there will be sufficient resources when they are most needed. Capacity revenues are paid whether energy is produced by the committed resource or not. Energy is the generation of electrical power over a </w:t>
      </w:r>
      <w:r w:rsidR="00D722F0">
        <w:rPr>
          <w:rFonts w:ascii="Garamond" w:hAnsi="Garamond"/>
          <w:sz w:val="23"/>
          <w:szCs w:val="23"/>
        </w:rPr>
        <w:t xml:space="preserve">fixed </w:t>
      </w:r>
      <w:r w:rsidR="000343FD" w:rsidRPr="000343FD">
        <w:rPr>
          <w:rFonts w:ascii="Garamond" w:hAnsi="Garamond"/>
          <w:sz w:val="23"/>
          <w:szCs w:val="23"/>
        </w:rPr>
        <w:t xml:space="preserve">period of time and is valued on an hourly basis. </w:t>
      </w:r>
      <w:r w:rsidR="000343FD" w:rsidRPr="000343FD">
        <w:rPr>
          <w:rFonts w:ascii="Garamond" w:eastAsia="Calibri" w:hAnsi="Garamond" w:cs="Times New Roman"/>
          <w:sz w:val="23"/>
          <w:szCs w:val="23"/>
        </w:rPr>
        <w:t>Several deregulated markets in the United States, including PJM, use Locational Marginal Pricing (LMP) to assign wholesale market prices for electricity</w:t>
      </w:r>
      <w:r w:rsidR="00D722F0">
        <w:rPr>
          <w:rFonts w:ascii="Garamond" w:eastAsia="Calibri" w:hAnsi="Garamond" w:cs="Times New Roman"/>
          <w:sz w:val="23"/>
          <w:szCs w:val="23"/>
        </w:rPr>
        <w:t xml:space="preserve"> in dollars per megawatt-hour ($/MWh)</w:t>
      </w:r>
      <w:r w:rsidR="000343FD" w:rsidRPr="000343FD">
        <w:rPr>
          <w:rFonts w:ascii="Garamond" w:eastAsia="Calibri" w:hAnsi="Garamond" w:cs="Times New Roman"/>
          <w:sz w:val="23"/>
          <w:szCs w:val="23"/>
        </w:rPr>
        <w:t>.</w:t>
      </w:r>
      <w:r w:rsidR="00D722F0">
        <w:rPr>
          <w:rFonts w:ascii="Garamond" w:eastAsia="Calibri" w:hAnsi="Garamond" w:cs="Times New Roman"/>
          <w:sz w:val="23"/>
          <w:szCs w:val="23"/>
        </w:rPr>
        <w:t xml:space="preserve"> </w:t>
      </w:r>
    </w:p>
    <w:p w:rsidR="00F27657" w:rsidRPr="000343FD" w:rsidRDefault="007736EB" w:rsidP="007736EB">
      <w:pPr>
        <w:spacing w:line="240" w:lineRule="auto"/>
        <w:rPr>
          <w:rFonts w:ascii="Garamond" w:hAnsi="Garamond"/>
          <w:sz w:val="23"/>
          <w:szCs w:val="23"/>
        </w:rPr>
      </w:pPr>
      <w:r w:rsidRPr="000343FD">
        <w:rPr>
          <w:rFonts w:ascii="Garamond" w:hAnsi="Garamond"/>
          <w:sz w:val="23"/>
          <w:szCs w:val="23"/>
        </w:rPr>
        <w:t xml:space="preserve">During critical electricity demand periods, typically characterized by extreme temperatures during summer months, the cost of providing power can increase significantly as power plants with higher variable costs are called upon to serve the increased demand (also termed </w:t>
      </w:r>
      <w:r w:rsidR="00CF368A">
        <w:rPr>
          <w:rFonts w:ascii="Garamond" w:hAnsi="Garamond"/>
          <w:sz w:val="23"/>
          <w:szCs w:val="23"/>
        </w:rPr>
        <w:t>“</w:t>
      </w:r>
      <w:r w:rsidRPr="000343FD">
        <w:rPr>
          <w:rFonts w:ascii="Garamond" w:hAnsi="Garamond"/>
          <w:sz w:val="23"/>
          <w:szCs w:val="23"/>
        </w:rPr>
        <w:t>load</w:t>
      </w:r>
      <w:r w:rsidR="00CF368A">
        <w:rPr>
          <w:rFonts w:ascii="Garamond" w:hAnsi="Garamond"/>
          <w:sz w:val="23"/>
          <w:szCs w:val="23"/>
        </w:rPr>
        <w:t>”</w:t>
      </w:r>
      <w:r w:rsidRPr="000343FD">
        <w:rPr>
          <w:rFonts w:ascii="Garamond" w:hAnsi="Garamond"/>
          <w:sz w:val="23"/>
          <w:szCs w:val="23"/>
        </w:rPr>
        <w:t xml:space="preserve">) placed on the regional transmission system (also termed </w:t>
      </w:r>
      <w:r w:rsidR="00CF368A">
        <w:rPr>
          <w:rFonts w:ascii="Garamond" w:hAnsi="Garamond"/>
          <w:sz w:val="23"/>
          <w:szCs w:val="23"/>
        </w:rPr>
        <w:t>“</w:t>
      </w:r>
      <w:r w:rsidRPr="000343FD">
        <w:rPr>
          <w:rFonts w:ascii="Garamond" w:hAnsi="Garamond"/>
          <w:sz w:val="23"/>
          <w:szCs w:val="23"/>
        </w:rPr>
        <w:t>grid</w:t>
      </w:r>
      <w:r w:rsidR="00CF368A">
        <w:rPr>
          <w:rFonts w:ascii="Garamond" w:hAnsi="Garamond"/>
          <w:sz w:val="23"/>
          <w:szCs w:val="23"/>
        </w:rPr>
        <w:t>”</w:t>
      </w:r>
      <w:r w:rsidR="006D5780">
        <w:rPr>
          <w:rFonts w:ascii="Garamond" w:hAnsi="Garamond"/>
          <w:sz w:val="23"/>
          <w:szCs w:val="23"/>
        </w:rPr>
        <w:t xml:space="preserve">). </w:t>
      </w:r>
      <w:r w:rsidRPr="000343FD">
        <w:rPr>
          <w:rFonts w:ascii="Garamond" w:hAnsi="Garamond"/>
          <w:sz w:val="23"/>
          <w:szCs w:val="23"/>
        </w:rPr>
        <w:t>As more plants come online, the remaining available capacity to se</w:t>
      </w:r>
      <w:r w:rsidR="006D5780">
        <w:rPr>
          <w:rFonts w:ascii="Garamond" w:hAnsi="Garamond"/>
          <w:sz w:val="23"/>
          <w:szCs w:val="23"/>
        </w:rPr>
        <w:t xml:space="preserve">rve the system load decreases. </w:t>
      </w:r>
      <w:r w:rsidRPr="000343FD">
        <w:rPr>
          <w:rFonts w:ascii="Garamond" w:hAnsi="Garamond"/>
          <w:sz w:val="23"/>
          <w:szCs w:val="23"/>
        </w:rPr>
        <w:t>Should a power plant shut down unexpectedly, capacity available from the remaining plants to meet the system load may be insufficient, which can result in reduced system reliability due to voltage fluctuations (brownouts) or, if additional plants shut down as a result, regional and large-scale blackouts.</w:t>
      </w:r>
      <w:r w:rsidRPr="000343FD">
        <w:rPr>
          <w:rStyle w:val="FootnoteReference"/>
          <w:rFonts w:ascii="Garamond" w:hAnsi="Garamond" w:cs="Times New Roman"/>
          <w:sz w:val="23"/>
          <w:szCs w:val="23"/>
        </w:rPr>
        <w:footnoteReference w:id="13"/>
      </w:r>
      <w:r w:rsidR="00F27657" w:rsidRPr="000343FD">
        <w:rPr>
          <w:rFonts w:ascii="Garamond" w:hAnsi="Garamond"/>
          <w:sz w:val="23"/>
          <w:szCs w:val="23"/>
        </w:rPr>
        <w:t xml:space="preserve"> </w:t>
      </w:r>
    </w:p>
    <w:p w:rsidR="007736EB" w:rsidRPr="000343FD" w:rsidRDefault="007736EB" w:rsidP="007736EB">
      <w:pPr>
        <w:spacing w:line="240" w:lineRule="auto"/>
        <w:rPr>
          <w:rFonts w:ascii="Garamond" w:hAnsi="Garamond"/>
          <w:sz w:val="23"/>
          <w:szCs w:val="23"/>
        </w:rPr>
      </w:pPr>
      <w:r w:rsidRPr="000343FD">
        <w:rPr>
          <w:rFonts w:ascii="Garamond" w:hAnsi="Garamond"/>
          <w:sz w:val="23"/>
          <w:szCs w:val="23"/>
        </w:rPr>
        <w:t>In addition to the reliability reasons explained above, an ISO can offer DR to reduc</w:t>
      </w:r>
      <w:r w:rsidR="00D722F0">
        <w:rPr>
          <w:rFonts w:ascii="Garamond" w:hAnsi="Garamond"/>
          <w:sz w:val="23"/>
          <w:szCs w:val="23"/>
        </w:rPr>
        <w:t>e the wholesale cost of energy</w:t>
      </w:r>
      <w:r w:rsidR="0002590E" w:rsidRPr="000343FD">
        <w:rPr>
          <w:rFonts w:ascii="Garamond" w:hAnsi="Garamond"/>
          <w:sz w:val="23"/>
          <w:szCs w:val="23"/>
        </w:rPr>
        <w:t xml:space="preserve">. </w:t>
      </w:r>
      <w:r w:rsidRPr="000343FD">
        <w:rPr>
          <w:rFonts w:ascii="Garamond" w:hAnsi="Garamond"/>
          <w:sz w:val="23"/>
          <w:szCs w:val="23"/>
        </w:rPr>
        <w:t>Economic DR refers to a third party aggregator, such as a CSP, or end-user submitting a bid into the wholesale</w:t>
      </w:r>
      <w:r w:rsidR="00EF3A9C">
        <w:rPr>
          <w:rFonts w:ascii="Garamond" w:hAnsi="Garamond"/>
          <w:sz w:val="23"/>
          <w:szCs w:val="23"/>
        </w:rPr>
        <w:t xml:space="preserve"> energy</w:t>
      </w:r>
      <w:r w:rsidRPr="000343FD">
        <w:rPr>
          <w:rFonts w:ascii="Garamond" w:hAnsi="Garamond"/>
          <w:sz w:val="23"/>
          <w:szCs w:val="23"/>
        </w:rPr>
        <w:t xml:space="preserve"> market, through the auspices of the ISO, to provide a curtailment service, similar to a generator submitting a bid for a supply service</w:t>
      </w:r>
      <w:r w:rsidR="0002590E" w:rsidRPr="000343FD">
        <w:rPr>
          <w:rFonts w:ascii="Garamond" w:hAnsi="Garamond"/>
          <w:sz w:val="23"/>
          <w:szCs w:val="23"/>
        </w:rPr>
        <w:t xml:space="preserve">. </w:t>
      </w:r>
      <w:r w:rsidRPr="000343FD">
        <w:rPr>
          <w:rFonts w:ascii="Garamond" w:hAnsi="Garamond"/>
          <w:sz w:val="23"/>
          <w:szCs w:val="23"/>
        </w:rPr>
        <w:t xml:space="preserve">When DR is bid into the wholesale </w:t>
      </w:r>
      <w:r w:rsidR="00EF3A9C">
        <w:rPr>
          <w:rFonts w:ascii="Garamond" w:hAnsi="Garamond"/>
          <w:sz w:val="23"/>
          <w:szCs w:val="23"/>
        </w:rPr>
        <w:t xml:space="preserve">energy </w:t>
      </w:r>
      <w:r w:rsidRPr="000343FD">
        <w:rPr>
          <w:rFonts w:ascii="Garamond" w:hAnsi="Garamond"/>
          <w:sz w:val="23"/>
          <w:szCs w:val="23"/>
        </w:rPr>
        <w:t>market and accepted, it lowers the cost of power by avoiding the need to call a marginal generator with high variable costs.  As system demand increases, the supply price curve becomes steeply sloped because the marginal generators, dispatched to serve load in peak demand periods, are typically less efficient and have higher fuel costs than the generators dispatched to serve lo</w:t>
      </w:r>
      <w:r w:rsidR="00D722F0">
        <w:rPr>
          <w:rFonts w:ascii="Garamond" w:hAnsi="Garamond"/>
          <w:sz w:val="23"/>
          <w:szCs w:val="23"/>
        </w:rPr>
        <w:t xml:space="preserve">ad in non-peak demand periods. </w:t>
      </w:r>
      <w:r w:rsidRPr="000343FD">
        <w:rPr>
          <w:rFonts w:ascii="Garamond" w:hAnsi="Garamond"/>
          <w:sz w:val="23"/>
          <w:szCs w:val="23"/>
        </w:rPr>
        <w:t xml:space="preserve">Therefore, curtailing demand through DR programs can be deployed in place of dispatching high cost generators and can result in a significant price decrease in the energy market. The </w:t>
      </w:r>
      <w:r w:rsidR="0028470F" w:rsidRPr="000343FD">
        <w:rPr>
          <w:rFonts w:ascii="Garamond" w:hAnsi="Garamond"/>
          <w:sz w:val="23"/>
          <w:szCs w:val="23"/>
        </w:rPr>
        <w:t xml:space="preserve">supply price curve is explored in more detail in Section </w:t>
      </w:r>
      <w:r w:rsidR="0028470F" w:rsidRPr="000343FD">
        <w:rPr>
          <w:rFonts w:ascii="Garamond" w:hAnsi="Garamond"/>
          <w:sz w:val="23"/>
          <w:szCs w:val="23"/>
        </w:rPr>
        <w:fldChar w:fldCharType="begin"/>
      </w:r>
      <w:r w:rsidR="0028470F" w:rsidRPr="000343FD">
        <w:rPr>
          <w:rFonts w:ascii="Garamond" w:hAnsi="Garamond"/>
          <w:sz w:val="23"/>
          <w:szCs w:val="23"/>
        </w:rPr>
        <w:instrText xml:space="preserve"> REF _Ref343514175 \r \h </w:instrText>
      </w:r>
      <w:r w:rsidR="000343FD" w:rsidRPr="000343FD">
        <w:rPr>
          <w:rFonts w:ascii="Garamond" w:hAnsi="Garamond"/>
          <w:sz w:val="23"/>
          <w:szCs w:val="23"/>
        </w:rPr>
        <w:instrText xml:space="preserve"> \* MERGEFORMAT </w:instrText>
      </w:r>
      <w:r w:rsidR="0028470F" w:rsidRPr="000343FD">
        <w:rPr>
          <w:rFonts w:ascii="Garamond" w:hAnsi="Garamond"/>
          <w:sz w:val="23"/>
          <w:szCs w:val="23"/>
        </w:rPr>
      </w:r>
      <w:r w:rsidR="0028470F" w:rsidRPr="000343FD">
        <w:rPr>
          <w:rFonts w:ascii="Garamond" w:hAnsi="Garamond"/>
          <w:sz w:val="23"/>
          <w:szCs w:val="23"/>
        </w:rPr>
        <w:fldChar w:fldCharType="separate"/>
      </w:r>
      <w:r w:rsidR="00451FFF">
        <w:rPr>
          <w:rFonts w:ascii="Garamond" w:hAnsi="Garamond"/>
          <w:sz w:val="23"/>
          <w:szCs w:val="23"/>
        </w:rPr>
        <w:t>D</w:t>
      </w:r>
      <w:r w:rsidR="0028470F" w:rsidRPr="000343FD">
        <w:rPr>
          <w:rFonts w:ascii="Garamond" w:hAnsi="Garamond"/>
          <w:sz w:val="23"/>
          <w:szCs w:val="23"/>
        </w:rPr>
        <w:fldChar w:fldCharType="end"/>
      </w:r>
      <w:r w:rsidR="0064406A">
        <w:rPr>
          <w:rFonts w:ascii="Garamond" w:hAnsi="Garamond"/>
          <w:sz w:val="23"/>
          <w:szCs w:val="23"/>
        </w:rPr>
        <w:t xml:space="preserve"> of this report</w:t>
      </w:r>
      <w:r w:rsidR="0028470F" w:rsidRPr="000343FD">
        <w:rPr>
          <w:rFonts w:ascii="Garamond" w:hAnsi="Garamond"/>
          <w:sz w:val="23"/>
          <w:szCs w:val="23"/>
        </w:rPr>
        <w:t>.</w:t>
      </w:r>
    </w:p>
    <w:p w:rsidR="00D722F0" w:rsidRDefault="00D722F0" w:rsidP="00FA7CDF">
      <w:pPr>
        <w:spacing w:line="240" w:lineRule="auto"/>
        <w:rPr>
          <w:rFonts w:ascii="Garamond" w:hAnsi="Garamond"/>
          <w:sz w:val="23"/>
          <w:szCs w:val="23"/>
        </w:rPr>
      </w:pPr>
      <w:r>
        <w:rPr>
          <w:rFonts w:ascii="Garamond" w:hAnsi="Garamond"/>
          <w:sz w:val="23"/>
          <w:szCs w:val="23"/>
        </w:rPr>
        <w:t xml:space="preserve">The following example illustrates a simplified LMP calculation and how DR resources can have a positive effect on wholesale energy prices. </w:t>
      </w:r>
      <w:r w:rsidR="00FA7CDF" w:rsidRPr="00FA7CDF">
        <w:rPr>
          <w:rFonts w:ascii="Garamond" w:hAnsi="Garamond"/>
          <w:sz w:val="23"/>
          <w:szCs w:val="23"/>
        </w:rPr>
        <w:fldChar w:fldCharType="begin"/>
      </w:r>
      <w:r w:rsidR="00FA7CDF" w:rsidRPr="00FA7CDF">
        <w:rPr>
          <w:rFonts w:ascii="Garamond" w:hAnsi="Garamond"/>
          <w:sz w:val="23"/>
          <w:szCs w:val="23"/>
        </w:rPr>
        <w:instrText xml:space="preserve"> REF _Ref343518103 \h  \* MERGEFORMAT </w:instrText>
      </w:r>
      <w:r w:rsidR="00FA7CDF" w:rsidRPr="00FA7CDF">
        <w:rPr>
          <w:rFonts w:ascii="Garamond" w:hAnsi="Garamond"/>
          <w:sz w:val="23"/>
          <w:szCs w:val="23"/>
        </w:rPr>
      </w:r>
      <w:r w:rsidR="00FA7CDF" w:rsidRPr="00FA7CDF">
        <w:rPr>
          <w:rFonts w:ascii="Garamond" w:hAnsi="Garamond"/>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B</w:t>
      </w:r>
      <w:r w:rsidR="00451FFF" w:rsidRPr="00451FFF">
        <w:rPr>
          <w:rFonts w:ascii="Garamond" w:hAnsi="Garamond"/>
          <w:noProof/>
          <w:sz w:val="23"/>
          <w:szCs w:val="23"/>
        </w:rPr>
        <w:noBreakHyphen/>
        <w:t>2</w:t>
      </w:r>
      <w:r w:rsidR="00FA7CDF" w:rsidRPr="00FA7CDF">
        <w:rPr>
          <w:rFonts w:ascii="Garamond" w:hAnsi="Garamond"/>
          <w:sz w:val="23"/>
          <w:szCs w:val="23"/>
        </w:rPr>
        <w:fldChar w:fldCharType="end"/>
      </w:r>
      <w:r w:rsidR="00FA7CDF">
        <w:rPr>
          <w:rFonts w:ascii="Garamond" w:hAnsi="Garamond"/>
          <w:sz w:val="23"/>
          <w:szCs w:val="23"/>
        </w:rPr>
        <w:t xml:space="preserve"> depicts a scenario where three electric generators with the capacity to produce 50 MW of power are located in a given load zone. The three generators are willing to supply energy at very different prices. In </w:t>
      </w:r>
      <w:r w:rsidR="00FA7CDF" w:rsidRPr="00FA7CDF">
        <w:rPr>
          <w:rFonts w:ascii="Garamond" w:hAnsi="Garamond"/>
          <w:sz w:val="23"/>
          <w:szCs w:val="23"/>
        </w:rPr>
        <w:fldChar w:fldCharType="begin"/>
      </w:r>
      <w:r w:rsidR="00FA7CDF" w:rsidRPr="00FA7CDF">
        <w:rPr>
          <w:rFonts w:ascii="Garamond" w:hAnsi="Garamond"/>
          <w:sz w:val="23"/>
          <w:szCs w:val="23"/>
        </w:rPr>
        <w:instrText xml:space="preserve"> REF _Ref343518103 \h  \* MERGEFORMAT </w:instrText>
      </w:r>
      <w:r w:rsidR="00FA7CDF" w:rsidRPr="00FA7CDF">
        <w:rPr>
          <w:rFonts w:ascii="Garamond" w:hAnsi="Garamond"/>
          <w:sz w:val="23"/>
          <w:szCs w:val="23"/>
        </w:rPr>
      </w:r>
      <w:r w:rsidR="00FA7CDF" w:rsidRPr="00FA7CDF">
        <w:rPr>
          <w:rFonts w:ascii="Garamond" w:hAnsi="Garamond"/>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B</w:t>
      </w:r>
      <w:r w:rsidR="00451FFF" w:rsidRPr="00451FFF">
        <w:rPr>
          <w:rFonts w:ascii="Garamond" w:hAnsi="Garamond"/>
          <w:noProof/>
          <w:sz w:val="23"/>
          <w:szCs w:val="23"/>
        </w:rPr>
        <w:noBreakHyphen/>
        <w:t>2</w:t>
      </w:r>
      <w:r w:rsidR="00FA7CDF" w:rsidRPr="00FA7CDF">
        <w:rPr>
          <w:rFonts w:ascii="Garamond" w:hAnsi="Garamond"/>
          <w:sz w:val="23"/>
          <w:szCs w:val="23"/>
        </w:rPr>
        <w:fldChar w:fldCharType="end"/>
      </w:r>
      <w:r w:rsidR="00FA7CDF">
        <w:rPr>
          <w:rFonts w:ascii="Garamond" w:hAnsi="Garamond"/>
          <w:sz w:val="23"/>
          <w:szCs w:val="23"/>
        </w:rPr>
        <w:t xml:space="preserve">, the demand in the zone </w:t>
      </w:r>
      <w:r w:rsidR="001F6AFF">
        <w:rPr>
          <w:rFonts w:ascii="Garamond" w:hAnsi="Garamond"/>
          <w:sz w:val="23"/>
          <w:szCs w:val="23"/>
        </w:rPr>
        <w:t xml:space="preserve">during the hour </w:t>
      </w:r>
      <w:r w:rsidR="00FA7CDF">
        <w:rPr>
          <w:rFonts w:ascii="Garamond" w:hAnsi="Garamond"/>
          <w:sz w:val="23"/>
          <w:szCs w:val="23"/>
        </w:rPr>
        <w:t>is 45 MW. Since Generator #1 can satisfy the demand in the zone during the hour in question, all 45 MW are purchased from that plant and the LMP in the zone is equal to Generator #1’s bid of $25/MWh.</w:t>
      </w:r>
      <w:r w:rsidR="001F6AFF">
        <w:rPr>
          <w:rFonts w:ascii="Garamond" w:hAnsi="Garamond"/>
          <w:sz w:val="23"/>
          <w:szCs w:val="23"/>
        </w:rPr>
        <w:t xml:space="preserve"> </w:t>
      </w:r>
      <w:r w:rsidR="00B36367">
        <w:rPr>
          <w:rFonts w:ascii="Garamond" w:hAnsi="Garamond"/>
          <w:sz w:val="23"/>
          <w:szCs w:val="23"/>
        </w:rPr>
        <w:t xml:space="preserve">The energy used in the zone is equal to the average load (45 MW) over a unit of time (1 hour in this example), or 45 MWh. </w:t>
      </w:r>
      <w:r w:rsidR="001F6AFF">
        <w:rPr>
          <w:rFonts w:ascii="Garamond" w:hAnsi="Garamond"/>
          <w:sz w:val="23"/>
          <w:szCs w:val="23"/>
        </w:rPr>
        <w:t xml:space="preserve">The total cost of meeting the zone’s electric supply needs during the hour is calculated by multiplying the </w:t>
      </w:r>
      <w:r w:rsidR="00B36367">
        <w:rPr>
          <w:rFonts w:ascii="Garamond" w:hAnsi="Garamond"/>
          <w:sz w:val="23"/>
          <w:szCs w:val="23"/>
        </w:rPr>
        <w:t xml:space="preserve">energy used in the zone by the LMP. </w:t>
      </w:r>
    </w:p>
    <w:p w:rsidR="00FA7CDF" w:rsidRDefault="00FA7CDF" w:rsidP="00FA7CDF">
      <w:r>
        <w:br w:type="page"/>
      </w:r>
    </w:p>
    <w:p w:rsidR="00FA7CDF" w:rsidRPr="00593C06" w:rsidRDefault="00FA7CDF" w:rsidP="00FA7CDF">
      <w:pPr>
        <w:pStyle w:val="Caption"/>
        <w:keepNext/>
        <w:jc w:val="left"/>
        <w:rPr>
          <w:sz w:val="23"/>
          <w:szCs w:val="23"/>
        </w:rPr>
      </w:pPr>
      <w:bookmarkStart w:id="11" w:name="_Ref343518103"/>
      <w:r w:rsidRPr="00593C06">
        <w:rPr>
          <w:sz w:val="23"/>
          <w:szCs w:val="23"/>
        </w:rPr>
        <w:lastRenderedPageBreak/>
        <w:t xml:space="preserve">Figure </w:t>
      </w:r>
      <w:r w:rsidR="00F45397">
        <w:rPr>
          <w:sz w:val="23"/>
          <w:szCs w:val="23"/>
        </w:rPr>
        <w:fldChar w:fldCharType="begin"/>
      </w:r>
      <w:r w:rsidR="00F45397">
        <w:rPr>
          <w:sz w:val="23"/>
          <w:szCs w:val="23"/>
        </w:rPr>
        <w:instrText xml:space="preserve"> STYLEREF 1 \s </w:instrText>
      </w:r>
      <w:r w:rsidR="00F45397">
        <w:rPr>
          <w:sz w:val="23"/>
          <w:szCs w:val="23"/>
        </w:rPr>
        <w:fldChar w:fldCharType="separate"/>
      </w:r>
      <w:r w:rsidR="00451FFF">
        <w:rPr>
          <w:noProof/>
          <w:sz w:val="23"/>
          <w:szCs w:val="23"/>
        </w:rPr>
        <w:t>B</w:t>
      </w:r>
      <w:r w:rsidR="00F45397">
        <w:rPr>
          <w:sz w:val="23"/>
          <w:szCs w:val="23"/>
        </w:rPr>
        <w:fldChar w:fldCharType="end"/>
      </w:r>
      <w:r w:rsidR="00F45397">
        <w:rPr>
          <w:sz w:val="23"/>
          <w:szCs w:val="23"/>
        </w:rPr>
        <w:noBreakHyphen/>
      </w:r>
      <w:r w:rsidR="00F45397">
        <w:rPr>
          <w:sz w:val="23"/>
          <w:szCs w:val="23"/>
        </w:rPr>
        <w:fldChar w:fldCharType="begin"/>
      </w:r>
      <w:r w:rsidR="00F45397">
        <w:rPr>
          <w:sz w:val="23"/>
          <w:szCs w:val="23"/>
        </w:rPr>
        <w:instrText xml:space="preserve"> SEQ Figure \* ARABIC \s 1 </w:instrText>
      </w:r>
      <w:r w:rsidR="00F45397">
        <w:rPr>
          <w:sz w:val="23"/>
          <w:szCs w:val="23"/>
        </w:rPr>
        <w:fldChar w:fldCharType="separate"/>
      </w:r>
      <w:r w:rsidR="00451FFF">
        <w:rPr>
          <w:noProof/>
          <w:sz w:val="23"/>
          <w:szCs w:val="23"/>
        </w:rPr>
        <w:t>2</w:t>
      </w:r>
      <w:r w:rsidR="00F45397">
        <w:rPr>
          <w:sz w:val="23"/>
          <w:szCs w:val="23"/>
        </w:rPr>
        <w:fldChar w:fldCharType="end"/>
      </w:r>
      <w:bookmarkEnd w:id="11"/>
      <w:r w:rsidRPr="00593C06">
        <w:rPr>
          <w:sz w:val="23"/>
          <w:szCs w:val="23"/>
        </w:rPr>
        <w:t>: LMP Calculation at Low System Demand</w:t>
      </w:r>
    </w:p>
    <w:p w:rsidR="00286FD2" w:rsidRDefault="00B36367" w:rsidP="00FA7CDF">
      <w:pPr>
        <w:jc w:val="center"/>
        <w:rPr>
          <w:rFonts w:ascii="Garamond" w:hAnsi="Garamond"/>
          <w:sz w:val="23"/>
          <w:szCs w:val="23"/>
        </w:rPr>
      </w:pPr>
      <w:r>
        <w:rPr>
          <w:rFonts w:ascii="Garamond" w:hAnsi="Garamond"/>
          <w:noProof/>
          <w:sz w:val="23"/>
          <w:szCs w:val="23"/>
        </w:rPr>
        <w:drawing>
          <wp:inline distT="0" distB="0" distL="0" distR="0" wp14:anchorId="30EEC45C" wp14:editId="52EFC367">
            <wp:extent cx="3686860" cy="3109804"/>
            <wp:effectExtent l="19050" t="19050" r="27940" b="146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P example 1 capture.PNG"/>
                    <pic:cNvPicPr/>
                  </pic:nvPicPr>
                  <pic:blipFill>
                    <a:blip r:embed="rId22">
                      <a:extLst>
                        <a:ext uri="{28A0092B-C50C-407E-A947-70E740481C1C}">
                          <a14:useLocalDpi xmlns:a14="http://schemas.microsoft.com/office/drawing/2010/main" val="0"/>
                        </a:ext>
                      </a:extLst>
                    </a:blip>
                    <a:stretch>
                      <a:fillRect/>
                    </a:stretch>
                  </pic:blipFill>
                  <pic:spPr>
                    <a:xfrm>
                      <a:off x="0" y="0"/>
                      <a:ext cx="3694220" cy="3116012"/>
                    </a:xfrm>
                    <a:prstGeom prst="rect">
                      <a:avLst/>
                    </a:prstGeom>
                    <a:ln>
                      <a:solidFill>
                        <a:schemeClr val="tx1"/>
                      </a:solidFill>
                    </a:ln>
                  </pic:spPr>
                </pic:pic>
              </a:graphicData>
            </a:graphic>
          </wp:inline>
        </w:drawing>
      </w:r>
    </w:p>
    <w:p w:rsidR="00D722F0" w:rsidRPr="000343FD" w:rsidRDefault="00C109E6" w:rsidP="00AC4E7D">
      <w:pPr>
        <w:spacing w:line="240" w:lineRule="auto"/>
        <w:rPr>
          <w:rFonts w:ascii="Garamond" w:hAnsi="Garamond"/>
          <w:sz w:val="23"/>
          <w:szCs w:val="23"/>
        </w:rPr>
      </w:pPr>
      <w:r>
        <w:rPr>
          <w:rFonts w:ascii="Garamond" w:hAnsi="Garamond"/>
          <w:sz w:val="23"/>
          <w:szCs w:val="23"/>
        </w:rPr>
        <w:t>W</w:t>
      </w:r>
      <w:r w:rsidR="00FA7CDF">
        <w:rPr>
          <w:rFonts w:ascii="Garamond" w:hAnsi="Garamond"/>
          <w:sz w:val="23"/>
          <w:szCs w:val="23"/>
        </w:rPr>
        <w:t>hen</w:t>
      </w:r>
      <w:r>
        <w:rPr>
          <w:rFonts w:ascii="Garamond" w:hAnsi="Garamond"/>
          <w:sz w:val="23"/>
          <w:szCs w:val="23"/>
        </w:rPr>
        <w:t xml:space="preserve"> the</w:t>
      </w:r>
      <w:r w:rsidR="00FA7CDF">
        <w:rPr>
          <w:rFonts w:ascii="Garamond" w:hAnsi="Garamond"/>
          <w:sz w:val="23"/>
          <w:szCs w:val="23"/>
        </w:rPr>
        <w:t xml:space="preserve"> load in the </w:t>
      </w:r>
      <w:r w:rsidR="002918F3">
        <w:rPr>
          <w:rFonts w:ascii="Garamond" w:hAnsi="Garamond"/>
          <w:sz w:val="23"/>
          <w:szCs w:val="23"/>
        </w:rPr>
        <w:t xml:space="preserve">same </w:t>
      </w:r>
      <w:r w:rsidR="00FA7CDF">
        <w:rPr>
          <w:rFonts w:ascii="Garamond" w:hAnsi="Garamond"/>
          <w:sz w:val="23"/>
          <w:szCs w:val="23"/>
        </w:rPr>
        <w:t xml:space="preserve">zone increases beyond what Generator #1 can deliver, the balance of the required power must be purchased from the next available resource, Generator #2. </w:t>
      </w:r>
      <w:r w:rsidR="00621B70">
        <w:rPr>
          <w:rFonts w:ascii="Garamond" w:hAnsi="Garamond"/>
          <w:sz w:val="23"/>
          <w:szCs w:val="23"/>
        </w:rPr>
        <w:t xml:space="preserve">The LMP </w:t>
      </w:r>
      <w:r w:rsidR="00593C06">
        <w:rPr>
          <w:rFonts w:ascii="Garamond" w:hAnsi="Garamond"/>
          <w:sz w:val="23"/>
          <w:szCs w:val="23"/>
        </w:rPr>
        <w:t>in the zone is now equal to the highest generation offer required to meet the needs of the zone</w:t>
      </w:r>
      <w:r w:rsidR="002918F3">
        <w:rPr>
          <w:rFonts w:ascii="Garamond" w:hAnsi="Garamond"/>
          <w:sz w:val="23"/>
          <w:szCs w:val="23"/>
        </w:rPr>
        <w:t xml:space="preserve"> as shown in </w:t>
      </w:r>
      <w:r w:rsidR="002918F3">
        <w:rPr>
          <w:rFonts w:ascii="Garamond" w:hAnsi="Garamond"/>
          <w:sz w:val="23"/>
          <w:szCs w:val="23"/>
        </w:rPr>
        <w:fldChar w:fldCharType="begin"/>
      </w:r>
      <w:r w:rsidR="002918F3">
        <w:rPr>
          <w:rFonts w:ascii="Garamond" w:hAnsi="Garamond"/>
          <w:sz w:val="23"/>
          <w:szCs w:val="23"/>
        </w:rPr>
        <w:instrText xml:space="preserve"> REF _Ref343677568 \h </w:instrText>
      </w:r>
      <w:r w:rsidR="002918F3">
        <w:rPr>
          <w:rFonts w:ascii="Garamond" w:hAnsi="Garamond"/>
          <w:sz w:val="23"/>
          <w:szCs w:val="23"/>
        </w:rPr>
      </w:r>
      <w:r w:rsidR="002918F3">
        <w:rPr>
          <w:rFonts w:ascii="Garamond" w:hAnsi="Garamond"/>
          <w:sz w:val="23"/>
          <w:szCs w:val="23"/>
        </w:rPr>
        <w:fldChar w:fldCharType="separate"/>
      </w:r>
      <w:r w:rsidR="00451FFF" w:rsidRPr="00593C06">
        <w:rPr>
          <w:rFonts w:ascii="Garamond" w:hAnsi="Garamond"/>
          <w:sz w:val="23"/>
          <w:szCs w:val="23"/>
        </w:rPr>
        <w:t xml:space="preserve">Figure </w:t>
      </w:r>
      <w:r w:rsidR="00451FFF">
        <w:rPr>
          <w:rFonts w:ascii="Garamond" w:hAnsi="Garamond"/>
          <w:noProof/>
          <w:sz w:val="23"/>
          <w:szCs w:val="23"/>
        </w:rPr>
        <w:t>B</w:t>
      </w:r>
      <w:r w:rsidR="00451FFF">
        <w:rPr>
          <w:rFonts w:ascii="Garamond" w:hAnsi="Garamond"/>
          <w:sz w:val="23"/>
          <w:szCs w:val="23"/>
        </w:rPr>
        <w:noBreakHyphen/>
      </w:r>
      <w:r w:rsidR="00451FFF">
        <w:rPr>
          <w:rFonts w:ascii="Garamond" w:hAnsi="Garamond"/>
          <w:noProof/>
          <w:sz w:val="23"/>
          <w:szCs w:val="23"/>
        </w:rPr>
        <w:t>3</w:t>
      </w:r>
      <w:r w:rsidR="002918F3">
        <w:rPr>
          <w:rFonts w:ascii="Garamond" w:hAnsi="Garamond"/>
          <w:sz w:val="23"/>
          <w:szCs w:val="23"/>
        </w:rPr>
        <w:fldChar w:fldCharType="end"/>
      </w:r>
      <w:r w:rsidR="00F85793">
        <w:rPr>
          <w:rFonts w:ascii="Garamond" w:hAnsi="Garamond"/>
          <w:sz w:val="23"/>
          <w:szCs w:val="23"/>
        </w:rPr>
        <w:t>. In the</w:t>
      </w:r>
      <w:r w:rsidR="00593C06">
        <w:rPr>
          <w:rFonts w:ascii="Garamond" w:hAnsi="Garamond"/>
          <w:sz w:val="23"/>
          <w:szCs w:val="23"/>
        </w:rPr>
        <w:t xml:space="preserve"> example</w:t>
      </w:r>
      <w:r w:rsidR="00F85793">
        <w:rPr>
          <w:rFonts w:ascii="Garamond" w:hAnsi="Garamond"/>
          <w:sz w:val="23"/>
          <w:szCs w:val="23"/>
        </w:rPr>
        <w:t xml:space="preserve"> shown in </w:t>
      </w:r>
      <w:r w:rsidR="00F85793">
        <w:rPr>
          <w:rFonts w:ascii="Garamond" w:hAnsi="Garamond"/>
          <w:sz w:val="23"/>
          <w:szCs w:val="23"/>
        </w:rPr>
        <w:fldChar w:fldCharType="begin"/>
      </w:r>
      <w:r w:rsidR="00F85793">
        <w:rPr>
          <w:rFonts w:ascii="Garamond" w:hAnsi="Garamond"/>
          <w:sz w:val="23"/>
          <w:szCs w:val="23"/>
        </w:rPr>
        <w:instrText xml:space="preserve"> REF _Ref343677568 \h </w:instrText>
      </w:r>
      <w:r w:rsidR="00F85793">
        <w:rPr>
          <w:rFonts w:ascii="Garamond" w:hAnsi="Garamond"/>
          <w:sz w:val="23"/>
          <w:szCs w:val="23"/>
        </w:rPr>
      </w:r>
      <w:r w:rsidR="00F85793">
        <w:rPr>
          <w:rFonts w:ascii="Garamond" w:hAnsi="Garamond"/>
          <w:sz w:val="23"/>
          <w:szCs w:val="23"/>
        </w:rPr>
        <w:fldChar w:fldCharType="separate"/>
      </w:r>
      <w:r w:rsidR="00451FFF" w:rsidRPr="00593C06">
        <w:rPr>
          <w:rFonts w:ascii="Garamond" w:hAnsi="Garamond"/>
          <w:sz w:val="23"/>
          <w:szCs w:val="23"/>
        </w:rPr>
        <w:t xml:space="preserve">Figure </w:t>
      </w:r>
      <w:r w:rsidR="00451FFF">
        <w:rPr>
          <w:rFonts w:ascii="Garamond" w:hAnsi="Garamond"/>
          <w:noProof/>
          <w:sz w:val="23"/>
          <w:szCs w:val="23"/>
        </w:rPr>
        <w:t>B</w:t>
      </w:r>
      <w:r w:rsidR="00451FFF">
        <w:rPr>
          <w:rFonts w:ascii="Garamond" w:hAnsi="Garamond"/>
          <w:sz w:val="23"/>
          <w:szCs w:val="23"/>
        </w:rPr>
        <w:noBreakHyphen/>
      </w:r>
      <w:r w:rsidR="00451FFF">
        <w:rPr>
          <w:rFonts w:ascii="Garamond" w:hAnsi="Garamond"/>
          <w:noProof/>
          <w:sz w:val="23"/>
          <w:szCs w:val="23"/>
        </w:rPr>
        <w:t>3</w:t>
      </w:r>
      <w:r w:rsidR="00F85793">
        <w:rPr>
          <w:rFonts w:ascii="Garamond" w:hAnsi="Garamond"/>
          <w:sz w:val="23"/>
          <w:szCs w:val="23"/>
        </w:rPr>
        <w:fldChar w:fldCharType="end"/>
      </w:r>
      <w:r w:rsidR="00593C06">
        <w:rPr>
          <w:rFonts w:ascii="Garamond" w:hAnsi="Garamond"/>
          <w:sz w:val="23"/>
          <w:szCs w:val="23"/>
        </w:rPr>
        <w:t>, the LMP is equal to $75/MWh and all loads pay this amount to Generators #1 and #2 for the energy they supply.</w:t>
      </w:r>
    </w:p>
    <w:p w:rsidR="00593C06" w:rsidRPr="00593C06" w:rsidRDefault="00593C06" w:rsidP="00593C06">
      <w:pPr>
        <w:pStyle w:val="Caption"/>
        <w:keepNext/>
        <w:jc w:val="left"/>
        <w:rPr>
          <w:rFonts w:ascii="Garamond" w:hAnsi="Garamond"/>
          <w:sz w:val="23"/>
          <w:szCs w:val="23"/>
        </w:rPr>
      </w:pPr>
      <w:bookmarkStart w:id="12" w:name="_Ref343677568"/>
      <w:r w:rsidRPr="00593C06">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B</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3</w:t>
      </w:r>
      <w:r w:rsidR="00F45397">
        <w:rPr>
          <w:rFonts w:ascii="Garamond" w:hAnsi="Garamond"/>
          <w:sz w:val="23"/>
          <w:szCs w:val="23"/>
        </w:rPr>
        <w:fldChar w:fldCharType="end"/>
      </w:r>
      <w:bookmarkEnd w:id="12"/>
      <w:r w:rsidR="00B36367">
        <w:rPr>
          <w:rFonts w:ascii="Garamond" w:hAnsi="Garamond"/>
          <w:sz w:val="23"/>
          <w:szCs w:val="23"/>
        </w:rPr>
        <w:t xml:space="preserve">: LMP Calculation during an Hour of </w:t>
      </w:r>
      <w:r w:rsidRPr="00593C06">
        <w:rPr>
          <w:rFonts w:ascii="Garamond" w:hAnsi="Garamond"/>
          <w:sz w:val="23"/>
          <w:szCs w:val="23"/>
        </w:rPr>
        <w:t>Increased System Demand</w:t>
      </w:r>
    </w:p>
    <w:p w:rsidR="00593C06" w:rsidRDefault="00B36367" w:rsidP="00FA7CDF">
      <w:pPr>
        <w:jc w:val="center"/>
      </w:pPr>
      <w:r>
        <w:rPr>
          <w:noProof/>
        </w:rPr>
        <w:drawing>
          <wp:inline distT="0" distB="0" distL="0" distR="0" wp14:anchorId="53283948" wp14:editId="492A6A74">
            <wp:extent cx="3694176" cy="3108960"/>
            <wp:effectExtent l="19050" t="19050" r="20955" b="152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P example 2 capture.PNG"/>
                    <pic:cNvPicPr/>
                  </pic:nvPicPr>
                  <pic:blipFill>
                    <a:blip r:embed="rId23">
                      <a:extLst>
                        <a:ext uri="{28A0092B-C50C-407E-A947-70E740481C1C}">
                          <a14:useLocalDpi xmlns:a14="http://schemas.microsoft.com/office/drawing/2010/main" val="0"/>
                        </a:ext>
                      </a:extLst>
                    </a:blip>
                    <a:stretch>
                      <a:fillRect/>
                    </a:stretch>
                  </pic:blipFill>
                  <pic:spPr>
                    <a:xfrm>
                      <a:off x="0" y="0"/>
                      <a:ext cx="3694176" cy="3108960"/>
                    </a:xfrm>
                    <a:prstGeom prst="rect">
                      <a:avLst/>
                    </a:prstGeom>
                    <a:ln>
                      <a:solidFill>
                        <a:schemeClr val="tx1"/>
                      </a:solidFill>
                    </a:ln>
                  </pic:spPr>
                </pic:pic>
              </a:graphicData>
            </a:graphic>
          </wp:inline>
        </w:drawing>
      </w:r>
    </w:p>
    <w:p w:rsidR="00593C06" w:rsidRDefault="002918F3" w:rsidP="00593C06">
      <w:pPr>
        <w:jc w:val="left"/>
        <w:rPr>
          <w:rFonts w:ascii="Garamond" w:hAnsi="Garamond"/>
          <w:sz w:val="23"/>
          <w:szCs w:val="23"/>
        </w:rPr>
      </w:pPr>
      <w:r>
        <w:rPr>
          <w:rFonts w:ascii="Garamond" w:hAnsi="Garamond"/>
          <w:sz w:val="23"/>
          <w:szCs w:val="23"/>
        </w:rPr>
        <w:lastRenderedPageBreak/>
        <w:t>The same</w:t>
      </w:r>
      <w:r w:rsidR="00593C06">
        <w:rPr>
          <w:rFonts w:ascii="Garamond" w:hAnsi="Garamond"/>
          <w:sz w:val="23"/>
          <w:szCs w:val="23"/>
        </w:rPr>
        <w:t xml:space="preserve"> pattern continues when </w:t>
      </w:r>
      <w:r w:rsidR="00C109E6">
        <w:rPr>
          <w:rFonts w:ascii="Garamond" w:hAnsi="Garamond"/>
          <w:sz w:val="23"/>
          <w:szCs w:val="23"/>
        </w:rPr>
        <w:t xml:space="preserve">the </w:t>
      </w:r>
      <w:r w:rsidR="00593C06">
        <w:rPr>
          <w:rFonts w:ascii="Garamond" w:hAnsi="Garamond"/>
          <w:sz w:val="23"/>
          <w:szCs w:val="23"/>
        </w:rPr>
        <w:t xml:space="preserve">load in the zone increases to a point where energy must be purchased from Generator #3. </w:t>
      </w:r>
      <w:r w:rsidR="000037E6">
        <w:rPr>
          <w:rFonts w:ascii="Garamond" w:hAnsi="Garamond"/>
          <w:sz w:val="23"/>
          <w:szCs w:val="23"/>
        </w:rPr>
        <w:t>As</w:t>
      </w:r>
      <w:r w:rsidR="00593C06">
        <w:rPr>
          <w:rFonts w:ascii="Garamond" w:hAnsi="Garamond"/>
          <w:sz w:val="23"/>
          <w:szCs w:val="23"/>
        </w:rPr>
        <w:t xml:space="preserve"> shown in </w:t>
      </w:r>
      <w:r w:rsidR="00593C06">
        <w:rPr>
          <w:rFonts w:ascii="Garamond" w:hAnsi="Garamond"/>
          <w:sz w:val="23"/>
          <w:szCs w:val="23"/>
        </w:rPr>
        <w:fldChar w:fldCharType="begin"/>
      </w:r>
      <w:r w:rsidR="00593C06">
        <w:rPr>
          <w:rFonts w:ascii="Garamond" w:hAnsi="Garamond"/>
          <w:sz w:val="23"/>
          <w:szCs w:val="23"/>
        </w:rPr>
        <w:instrText xml:space="preserve"> REF _Ref343520347 \h </w:instrText>
      </w:r>
      <w:r w:rsidR="00593C06">
        <w:rPr>
          <w:rFonts w:ascii="Garamond" w:hAnsi="Garamond"/>
          <w:sz w:val="23"/>
          <w:szCs w:val="23"/>
        </w:rPr>
      </w:r>
      <w:r w:rsidR="00593C06">
        <w:rPr>
          <w:rFonts w:ascii="Garamond" w:hAnsi="Garamond"/>
          <w:sz w:val="23"/>
          <w:szCs w:val="23"/>
        </w:rPr>
        <w:fldChar w:fldCharType="separate"/>
      </w:r>
      <w:r w:rsidR="00451FFF" w:rsidRPr="00593C06">
        <w:rPr>
          <w:rFonts w:ascii="Garamond" w:hAnsi="Garamond"/>
          <w:sz w:val="23"/>
          <w:szCs w:val="23"/>
        </w:rPr>
        <w:t xml:space="preserve">Figure </w:t>
      </w:r>
      <w:r w:rsidR="00451FFF">
        <w:rPr>
          <w:rFonts w:ascii="Garamond" w:hAnsi="Garamond"/>
          <w:noProof/>
          <w:sz w:val="23"/>
          <w:szCs w:val="23"/>
        </w:rPr>
        <w:t>B</w:t>
      </w:r>
      <w:r w:rsidR="00451FFF">
        <w:rPr>
          <w:rFonts w:ascii="Garamond" w:hAnsi="Garamond"/>
          <w:sz w:val="23"/>
          <w:szCs w:val="23"/>
        </w:rPr>
        <w:noBreakHyphen/>
      </w:r>
      <w:r w:rsidR="00451FFF">
        <w:rPr>
          <w:rFonts w:ascii="Garamond" w:hAnsi="Garamond"/>
          <w:noProof/>
          <w:sz w:val="23"/>
          <w:szCs w:val="23"/>
        </w:rPr>
        <w:t>4</w:t>
      </w:r>
      <w:r w:rsidR="00593C06">
        <w:rPr>
          <w:rFonts w:ascii="Garamond" w:hAnsi="Garamond"/>
          <w:sz w:val="23"/>
          <w:szCs w:val="23"/>
        </w:rPr>
        <w:fldChar w:fldCharType="end"/>
      </w:r>
      <w:r w:rsidR="000037E6">
        <w:rPr>
          <w:rFonts w:ascii="Garamond" w:hAnsi="Garamond"/>
          <w:sz w:val="23"/>
          <w:szCs w:val="23"/>
        </w:rPr>
        <w:t xml:space="preserve">, the LMP in the zone </w:t>
      </w:r>
      <w:r>
        <w:rPr>
          <w:rFonts w:ascii="Garamond" w:hAnsi="Garamond"/>
          <w:sz w:val="23"/>
          <w:szCs w:val="23"/>
        </w:rPr>
        <w:t xml:space="preserve">eventually </w:t>
      </w:r>
      <w:r w:rsidR="000037E6">
        <w:rPr>
          <w:rFonts w:ascii="Garamond" w:hAnsi="Garamond"/>
          <w:sz w:val="23"/>
          <w:szCs w:val="23"/>
        </w:rPr>
        <w:t>increases to $200/MWh.</w:t>
      </w:r>
    </w:p>
    <w:p w:rsidR="00593C06" w:rsidRPr="00593C06" w:rsidRDefault="00593C06" w:rsidP="00593C06">
      <w:pPr>
        <w:pStyle w:val="Caption"/>
        <w:keepNext/>
        <w:jc w:val="left"/>
        <w:rPr>
          <w:rFonts w:ascii="Garamond" w:hAnsi="Garamond"/>
          <w:sz w:val="23"/>
          <w:szCs w:val="23"/>
        </w:rPr>
      </w:pPr>
      <w:bookmarkStart w:id="13" w:name="_Ref343520347"/>
      <w:r w:rsidRPr="00593C06">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B</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4</w:t>
      </w:r>
      <w:r w:rsidR="00F45397">
        <w:rPr>
          <w:rFonts w:ascii="Garamond" w:hAnsi="Garamond"/>
          <w:sz w:val="23"/>
          <w:szCs w:val="23"/>
        </w:rPr>
        <w:fldChar w:fldCharType="end"/>
      </w:r>
      <w:bookmarkEnd w:id="13"/>
      <w:r w:rsidRPr="00593C06">
        <w:rPr>
          <w:rFonts w:ascii="Garamond" w:hAnsi="Garamond"/>
          <w:sz w:val="23"/>
          <w:szCs w:val="23"/>
        </w:rPr>
        <w:t>: LMP Calculation at Peak System Demand</w:t>
      </w:r>
    </w:p>
    <w:p w:rsidR="00593C06" w:rsidRDefault="00A754C2" w:rsidP="00593C06">
      <w:pPr>
        <w:jc w:val="center"/>
        <w:rPr>
          <w:rFonts w:ascii="Garamond" w:hAnsi="Garamond"/>
          <w:sz w:val="23"/>
          <w:szCs w:val="23"/>
        </w:rPr>
      </w:pPr>
      <w:r>
        <w:rPr>
          <w:rFonts w:ascii="Garamond" w:hAnsi="Garamond"/>
          <w:noProof/>
          <w:sz w:val="23"/>
          <w:szCs w:val="23"/>
        </w:rPr>
        <w:drawing>
          <wp:inline distT="0" distB="0" distL="0" distR="0" wp14:anchorId="7B42C22C" wp14:editId="4B20109D">
            <wp:extent cx="3648456" cy="3108960"/>
            <wp:effectExtent l="19050" t="19050" r="28575"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P example 3 capture.PNG"/>
                    <pic:cNvPicPr/>
                  </pic:nvPicPr>
                  <pic:blipFill>
                    <a:blip r:embed="rId24">
                      <a:extLst>
                        <a:ext uri="{28A0092B-C50C-407E-A947-70E740481C1C}">
                          <a14:useLocalDpi xmlns:a14="http://schemas.microsoft.com/office/drawing/2010/main" val="0"/>
                        </a:ext>
                      </a:extLst>
                    </a:blip>
                    <a:stretch>
                      <a:fillRect/>
                    </a:stretch>
                  </pic:blipFill>
                  <pic:spPr>
                    <a:xfrm>
                      <a:off x="0" y="0"/>
                      <a:ext cx="3648456" cy="3108960"/>
                    </a:xfrm>
                    <a:prstGeom prst="rect">
                      <a:avLst/>
                    </a:prstGeom>
                    <a:ln>
                      <a:solidFill>
                        <a:schemeClr val="tx1"/>
                      </a:solidFill>
                    </a:ln>
                  </pic:spPr>
                </pic:pic>
              </a:graphicData>
            </a:graphic>
          </wp:inline>
        </w:drawing>
      </w:r>
    </w:p>
    <w:p w:rsidR="000037E6" w:rsidRDefault="002918F3" w:rsidP="00A754C2">
      <w:pPr>
        <w:jc w:val="left"/>
        <w:rPr>
          <w:rFonts w:ascii="Garamond" w:hAnsi="Garamond"/>
          <w:sz w:val="23"/>
          <w:szCs w:val="23"/>
        </w:rPr>
      </w:pPr>
      <w:r>
        <w:rPr>
          <w:rFonts w:ascii="Garamond" w:hAnsi="Garamond"/>
          <w:sz w:val="23"/>
          <w:szCs w:val="23"/>
        </w:rPr>
        <w:t>In this example, it is important to note that when the zonal load</w:t>
      </w:r>
      <w:r w:rsidR="000037E6">
        <w:rPr>
          <w:rFonts w:ascii="Garamond" w:hAnsi="Garamond"/>
          <w:sz w:val="23"/>
          <w:szCs w:val="23"/>
        </w:rPr>
        <w:t xml:space="preserve"> increased from 100 MW to 101 MW, the cost of </w:t>
      </w:r>
      <w:r w:rsidR="00A754C2">
        <w:rPr>
          <w:rFonts w:ascii="Garamond" w:hAnsi="Garamond"/>
          <w:sz w:val="23"/>
          <w:szCs w:val="23"/>
        </w:rPr>
        <w:t>energy</w:t>
      </w:r>
      <w:r w:rsidR="000037E6">
        <w:rPr>
          <w:rFonts w:ascii="Garamond" w:hAnsi="Garamond"/>
          <w:sz w:val="23"/>
          <w:szCs w:val="23"/>
        </w:rPr>
        <w:t xml:space="preserve"> for all consumers i</w:t>
      </w:r>
      <w:r w:rsidR="00143E13">
        <w:rPr>
          <w:rFonts w:ascii="Garamond" w:hAnsi="Garamond"/>
          <w:sz w:val="23"/>
          <w:szCs w:val="23"/>
        </w:rPr>
        <w:t>n the zone increased significantly</w:t>
      </w:r>
      <w:r w:rsidR="00A754C2">
        <w:rPr>
          <w:rFonts w:ascii="Garamond" w:hAnsi="Garamond"/>
          <w:sz w:val="23"/>
          <w:szCs w:val="23"/>
        </w:rPr>
        <w:t xml:space="preserve"> for the hour</w:t>
      </w:r>
      <w:r w:rsidR="000037E6">
        <w:rPr>
          <w:rFonts w:ascii="Garamond" w:hAnsi="Garamond"/>
          <w:sz w:val="23"/>
          <w:szCs w:val="23"/>
        </w:rPr>
        <w:t xml:space="preserve">. </w:t>
      </w:r>
      <w:r w:rsidR="00A754C2">
        <w:rPr>
          <w:rFonts w:ascii="Garamond" w:hAnsi="Garamond"/>
          <w:sz w:val="23"/>
          <w:szCs w:val="23"/>
        </w:rPr>
        <w:t xml:space="preserve">During an hour when the average load is </w:t>
      </w:r>
      <w:r w:rsidR="000037E6">
        <w:rPr>
          <w:rFonts w:ascii="Garamond" w:hAnsi="Garamond"/>
          <w:sz w:val="23"/>
          <w:szCs w:val="23"/>
        </w:rPr>
        <w:t>100 MW</w:t>
      </w:r>
      <w:r w:rsidR="00A754C2">
        <w:rPr>
          <w:rFonts w:ascii="Garamond" w:hAnsi="Garamond"/>
          <w:sz w:val="23"/>
          <w:szCs w:val="23"/>
        </w:rPr>
        <w:t xml:space="preserve"> (100 MWh of energy used)</w:t>
      </w:r>
      <w:r w:rsidR="000037E6">
        <w:rPr>
          <w:rFonts w:ascii="Garamond" w:hAnsi="Garamond"/>
          <w:sz w:val="23"/>
          <w:szCs w:val="23"/>
        </w:rPr>
        <w:t xml:space="preserve">, the LMP was $75/MWh so the total cost of meeting the zone’s power needs </w:t>
      </w:r>
      <w:r w:rsidR="001F6AFF">
        <w:rPr>
          <w:rFonts w:ascii="Garamond" w:hAnsi="Garamond"/>
          <w:sz w:val="23"/>
          <w:szCs w:val="23"/>
        </w:rPr>
        <w:t xml:space="preserve">for the hour </w:t>
      </w:r>
      <w:r w:rsidR="000037E6">
        <w:rPr>
          <w:rFonts w:ascii="Garamond" w:hAnsi="Garamond"/>
          <w:sz w:val="23"/>
          <w:szCs w:val="23"/>
        </w:rPr>
        <w:t>was 100</w:t>
      </w:r>
      <w:r w:rsidR="00143E13">
        <w:rPr>
          <w:rFonts w:ascii="Garamond" w:hAnsi="Garamond"/>
          <w:sz w:val="23"/>
          <w:szCs w:val="23"/>
        </w:rPr>
        <w:t xml:space="preserve"> </w:t>
      </w:r>
      <w:r w:rsidR="000037E6">
        <w:rPr>
          <w:rFonts w:ascii="Garamond" w:hAnsi="Garamond"/>
          <w:sz w:val="23"/>
          <w:szCs w:val="23"/>
        </w:rPr>
        <w:t xml:space="preserve">*$75 = $7,500. When </w:t>
      </w:r>
      <w:r w:rsidR="00C109E6">
        <w:rPr>
          <w:rFonts w:ascii="Garamond" w:hAnsi="Garamond"/>
          <w:sz w:val="23"/>
          <w:szCs w:val="23"/>
        </w:rPr>
        <w:t xml:space="preserve">the </w:t>
      </w:r>
      <w:r w:rsidR="000037E6">
        <w:rPr>
          <w:rFonts w:ascii="Garamond" w:hAnsi="Garamond"/>
          <w:sz w:val="23"/>
          <w:szCs w:val="23"/>
        </w:rPr>
        <w:t>load reached 101 MW, the total cost of meeting the zone’s needs increased to 101*$200 = $20,200. The cost of adding 1 MW of the demand to the grid was $12,700.</w:t>
      </w:r>
      <w:r w:rsidR="00D472BA">
        <w:rPr>
          <w:rFonts w:ascii="Garamond" w:hAnsi="Garamond"/>
          <w:sz w:val="23"/>
          <w:szCs w:val="23"/>
        </w:rPr>
        <w:t xml:space="preserve"> </w:t>
      </w:r>
    </w:p>
    <w:p w:rsidR="00F67E59" w:rsidRDefault="00143E13" w:rsidP="000037E6">
      <w:pPr>
        <w:jc w:val="left"/>
        <w:rPr>
          <w:rFonts w:ascii="Garamond" w:hAnsi="Garamond"/>
          <w:sz w:val="23"/>
          <w:szCs w:val="23"/>
        </w:rPr>
      </w:pPr>
      <w:r>
        <w:rPr>
          <w:rFonts w:ascii="Garamond" w:hAnsi="Garamond"/>
          <w:sz w:val="23"/>
          <w:szCs w:val="23"/>
        </w:rPr>
        <w:t xml:space="preserve">In order to understand the value of demand response in this situation, </w:t>
      </w:r>
      <w:r w:rsidR="000037E6">
        <w:rPr>
          <w:rFonts w:ascii="Garamond" w:hAnsi="Garamond"/>
          <w:sz w:val="23"/>
          <w:szCs w:val="23"/>
        </w:rPr>
        <w:t>cons</w:t>
      </w:r>
      <w:r>
        <w:rPr>
          <w:rFonts w:ascii="Garamond" w:hAnsi="Garamond"/>
          <w:sz w:val="23"/>
          <w:szCs w:val="23"/>
        </w:rPr>
        <w:t xml:space="preserve">ider the benefits of an industrial customer </w:t>
      </w:r>
      <w:r w:rsidR="000037E6">
        <w:rPr>
          <w:rFonts w:ascii="Garamond" w:hAnsi="Garamond"/>
          <w:sz w:val="23"/>
          <w:szCs w:val="23"/>
        </w:rPr>
        <w:t xml:space="preserve">willing </w:t>
      </w:r>
      <w:r>
        <w:rPr>
          <w:rFonts w:ascii="Garamond" w:hAnsi="Garamond"/>
          <w:sz w:val="23"/>
          <w:szCs w:val="23"/>
        </w:rPr>
        <w:t xml:space="preserve">to </w:t>
      </w:r>
      <w:r w:rsidR="000037E6">
        <w:rPr>
          <w:rFonts w:ascii="Garamond" w:hAnsi="Garamond"/>
          <w:sz w:val="23"/>
          <w:szCs w:val="23"/>
        </w:rPr>
        <w:t xml:space="preserve">accept payment to shut down its production in several facilities. This </w:t>
      </w:r>
      <w:r>
        <w:rPr>
          <w:rFonts w:ascii="Garamond" w:hAnsi="Garamond"/>
          <w:sz w:val="23"/>
          <w:szCs w:val="23"/>
        </w:rPr>
        <w:t>customer</w:t>
      </w:r>
      <w:r w:rsidR="000037E6">
        <w:rPr>
          <w:rFonts w:ascii="Garamond" w:hAnsi="Garamond"/>
          <w:sz w:val="23"/>
          <w:szCs w:val="23"/>
        </w:rPr>
        <w:t xml:space="preserve"> </w:t>
      </w:r>
      <w:r>
        <w:rPr>
          <w:rFonts w:ascii="Garamond" w:hAnsi="Garamond"/>
          <w:sz w:val="23"/>
          <w:szCs w:val="23"/>
        </w:rPr>
        <w:t>is able and willing to</w:t>
      </w:r>
      <w:r w:rsidR="000037E6">
        <w:rPr>
          <w:rFonts w:ascii="Garamond" w:hAnsi="Garamond"/>
          <w:sz w:val="23"/>
          <w:szCs w:val="23"/>
        </w:rPr>
        <w:t xml:space="preserve"> reduce load </w:t>
      </w:r>
      <w:r>
        <w:rPr>
          <w:rFonts w:ascii="Garamond" w:hAnsi="Garamond"/>
          <w:sz w:val="23"/>
          <w:szCs w:val="23"/>
        </w:rPr>
        <w:t>b</w:t>
      </w:r>
      <w:r w:rsidR="000037E6">
        <w:rPr>
          <w:rFonts w:ascii="Garamond" w:hAnsi="Garamond"/>
          <w:sz w:val="23"/>
          <w:szCs w:val="23"/>
        </w:rPr>
        <w:t xml:space="preserve">y 2 MW by curtailing </w:t>
      </w:r>
      <w:r w:rsidR="00C109E6">
        <w:rPr>
          <w:rFonts w:ascii="Garamond" w:hAnsi="Garamond"/>
          <w:sz w:val="23"/>
          <w:szCs w:val="23"/>
        </w:rPr>
        <w:t xml:space="preserve">its </w:t>
      </w:r>
      <w:r>
        <w:rPr>
          <w:rFonts w:ascii="Garamond" w:hAnsi="Garamond"/>
          <w:sz w:val="23"/>
          <w:szCs w:val="23"/>
        </w:rPr>
        <w:t>production</w:t>
      </w:r>
      <w:r w:rsidR="000037E6">
        <w:rPr>
          <w:rFonts w:ascii="Garamond" w:hAnsi="Garamond"/>
          <w:sz w:val="23"/>
          <w:szCs w:val="23"/>
        </w:rPr>
        <w:t xml:space="preserve"> processes. </w:t>
      </w:r>
      <w:r w:rsidR="00AD3837">
        <w:rPr>
          <w:rFonts w:ascii="Garamond" w:hAnsi="Garamond"/>
          <w:sz w:val="23"/>
          <w:szCs w:val="23"/>
        </w:rPr>
        <w:t xml:space="preserve">By dispatching </w:t>
      </w:r>
      <w:r>
        <w:rPr>
          <w:rFonts w:ascii="Garamond" w:hAnsi="Garamond"/>
          <w:sz w:val="23"/>
          <w:szCs w:val="23"/>
        </w:rPr>
        <w:t>these facilities</w:t>
      </w:r>
      <w:r w:rsidR="00AD3837">
        <w:rPr>
          <w:rFonts w:ascii="Garamond" w:hAnsi="Garamond"/>
          <w:sz w:val="23"/>
          <w:szCs w:val="23"/>
        </w:rPr>
        <w:t xml:space="preserve"> to reduce </w:t>
      </w:r>
      <w:r>
        <w:rPr>
          <w:rFonts w:ascii="Garamond" w:hAnsi="Garamond"/>
          <w:sz w:val="23"/>
          <w:szCs w:val="23"/>
        </w:rPr>
        <w:t xml:space="preserve">load </w:t>
      </w:r>
      <w:r w:rsidR="00AD3837">
        <w:rPr>
          <w:rFonts w:ascii="Garamond" w:hAnsi="Garamond"/>
          <w:sz w:val="23"/>
          <w:szCs w:val="23"/>
        </w:rPr>
        <w:t xml:space="preserve">by 2 MW, the load in the zone stays below 100 MW and the LMP of the zone remains </w:t>
      </w:r>
      <w:r>
        <w:rPr>
          <w:rFonts w:ascii="Garamond" w:hAnsi="Garamond"/>
          <w:sz w:val="23"/>
          <w:szCs w:val="23"/>
        </w:rPr>
        <w:t xml:space="preserve">steady at </w:t>
      </w:r>
      <w:r w:rsidR="00AD3837">
        <w:rPr>
          <w:rFonts w:ascii="Garamond" w:hAnsi="Garamond"/>
          <w:sz w:val="23"/>
          <w:szCs w:val="23"/>
        </w:rPr>
        <w:t>$75/MWh</w:t>
      </w:r>
      <w:r>
        <w:rPr>
          <w:rFonts w:ascii="Garamond" w:hAnsi="Garamond"/>
          <w:sz w:val="23"/>
          <w:szCs w:val="23"/>
        </w:rPr>
        <w:t xml:space="preserve"> as shown in </w:t>
      </w:r>
      <w:r>
        <w:rPr>
          <w:rFonts w:ascii="Garamond" w:hAnsi="Garamond"/>
          <w:sz w:val="23"/>
          <w:szCs w:val="23"/>
        </w:rPr>
        <w:fldChar w:fldCharType="begin"/>
      </w:r>
      <w:r>
        <w:rPr>
          <w:rFonts w:ascii="Garamond" w:hAnsi="Garamond"/>
          <w:sz w:val="23"/>
          <w:szCs w:val="23"/>
        </w:rPr>
        <w:instrText xml:space="preserve"> REF _Ref343678123 \h </w:instrText>
      </w:r>
      <w:r>
        <w:rPr>
          <w:rFonts w:ascii="Garamond" w:hAnsi="Garamond"/>
          <w:sz w:val="23"/>
          <w:szCs w:val="23"/>
        </w:rPr>
      </w:r>
      <w:r>
        <w:rPr>
          <w:rFonts w:ascii="Garamond" w:hAnsi="Garamond"/>
          <w:sz w:val="23"/>
          <w:szCs w:val="23"/>
        </w:rPr>
        <w:fldChar w:fldCharType="separate"/>
      </w:r>
      <w:r w:rsidR="00451FFF" w:rsidRPr="00F67E59">
        <w:rPr>
          <w:rFonts w:ascii="Garamond" w:hAnsi="Garamond"/>
          <w:sz w:val="23"/>
          <w:szCs w:val="23"/>
        </w:rPr>
        <w:t xml:space="preserve">Figure </w:t>
      </w:r>
      <w:r w:rsidR="00451FFF">
        <w:rPr>
          <w:rFonts w:ascii="Garamond" w:hAnsi="Garamond"/>
          <w:noProof/>
          <w:sz w:val="23"/>
          <w:szCs w:val="23"/>
        </w:rPr>
        <w:t>B</w:t>
      </w:r>
      <w:r w:rsidR="00451FFF">
        <w:rPr>
          <w:rFonts w:ascii="Garamond" w:hAnsi="Garamond"/>
          <w:sz w:val="23"/>
          <w:szCs w:val="23"/>
        </w:rPr>
        <w:noBreakHyphen/>
      </w:r>
      <w:r w:rsidR="00451FFF">
        <w:rPr>
          <w:rFonts w:ascii="Garamond" w:hAnsi="Garamond"/>
          <w:noProof/>
          <w:sz w:val="23"/>
          <w:szCs w:val="23"/>
        </w:rPr>
        <w:t>5</w:t>
      </w:r>
      <w:r>
        <w:rPr>
          <w:rFonts w:ascii="Garamond" w:hAnsi="Garamond"/>
          <w:sz w:val="23"/>
          <w:szCs w:val="23"/>
        </w:rPr>
        <w:fldChar w:fldCharType="end"/>
      </w:r>
      <w:r w:rsidR="00AD3837">
        <w:rPr>
          <w:rFonts w:ascii="Garamond" w:hAnsi="Garamond"/>
          <w:sz w:val="23"/>
          <w:szCs w:val="23"/>
        </w:rPr>
        <w:t>.</w:t>
      </w:r>
      <w:r>
        <w:rPr>
          <w:rFonts w:ascii="Garamond" w:hAnsi="Garamond"/>
          <w:sz w:val="23"/>
          <w:szCs w:val="23"/>
        </w:rPr>
        <w:t xml:space="preserve"> If the customer</w:t>
      </w:r>
      <w:r w:rsidR="001A6706">
        <w:rPr>
          <w:rFonts w:ascii="Garamond" w:hAnsi="Garamond"/>
          <w:sz w:val="23"/>
          <w:szCs w:val="23"/>
        </w:rPr>
        <w:t xml:space="preserve"> is paid $100/MWh for the load reduction</w:t>
      </w:r>
      <w:r>
        <w:rPr>
          <w:rFonts w:ascii="Garamond" w:hAnsi="Garamond"/>
          <w:sz w:val="23"/>
          <w:szCs w:val="23"/>
        </w:rPr>
        <w:t>, the total cost of retaining economical load balance</w:t>
      </w:r>
      <w:r w:rsidR="001A6706">
        <w:rPr>
          <w:rFonts w:ascii="Garamond" w:hAnsi="Garamond"/>
          <w:sz w:val="23"/>
          <w:szCs w:val="23"/>
        </w:rPr>
        <w:t xml:space="preserve"> </w:t>
      </w:r>
      <w:r>
        <w:rPr>
          <w:rFonts w:ascii="Garamond" w:hAnsi="Garamond"/>
          <w:sz w:val="23"/>
          <w:szCs w:val="23"/>
        </w:rPr>
        <w:t xml:space="preserve">in the zone </w:t>
      </w:r>
      <w:r w:rsidR="001A6706">
        <w:rPr>
          <w:rFonts w:ascii="Garamond" w:hAnsi="Garamond"/>
          <w:sz w:val="23"/>
          <w:szCs w:val="23"/>
        </w:rPr>
        <w:t>is 99*$75 + 2*$100 = $7,625. This</w:t>
      </w:r>
      <w:r>
        <w:rPr>
          <w:rFonts w:ascii="Garamond" w:hAnsi="Garamond"/>
          <w:sz w:val="23"/>
          <w:szCs w:val="23"/>
        </w:rPr>
        <w:t xml:space="preserve"> value</w:t>
      </w:r>
      <w:r w:rsidR="001A6706">
        <w:rPr>
          <w:rFonts w:ascii="Garamond" w:hAnsi="Garamond"/>
          <w:sz w:val="23"/>
          <w:szCs w:val="23"/>
        </w:rPr>
        <w:t xml:space="preserve"> is $12,575 less than the total cost of meeting the zone’s need for 101 MW </w:t>
      </w:r>
      <w:r w:rsidR="00AC4E7D">
        <w:rPr>
          <w:rFonts w:ascii="Garamond" w:hAnsi="Garamond"/>
          <w:sz w:val="23"/>
          <w:szCs w:val="23"/>
        </w:rPr>
        <w:t xml:space="preserve">of power </w:t>
      </w:r>
      <w:r w:rsidR="001A6706">
        <w:rPr>
          <w:rFonts w:ascii="Garamond" w:hAnsi="Garamond"/>
          <w:sz w:val="23"/>
          <w:szCs w:val="23"/>
        </w:rPr>
        <w:t>via generation alone.</w:t>
      </w:r>
      <w:r w:rsidR="00AC4E7D">
        <w:rPr>
          <w:rFonts w:ascii="Garamond" w:hAnsi="Garamond"/>
          <w:sz w:val="23"/>
          <w:szCs w:val="23"/>
        </w:rPr>
        <w:t xml:space="preserve"> This example illustrates how paying customers to deliver timely load reductions can have a positive effect on wholesal</w:t>
      </w:r>
      <w:r>
        <w:rPr>
          <w:rFonts w:ascii="Garamond" w:hAnsi="Garamond"/>
          <w:sz w:val="23"/>
          <w:szCs w:val="23"/>
        </w:rPr>
        <w:t xml:space="preserve">e electric prices (LMPs) if </w:t>
      </w:r>
      <w:r w:rsidR="00AC4E7D">
        <w:rPr>
          <w:rFonts w:ascii="Garamond" w:hAnsi="Garamond"/>
          <w:sz w:val="23"/>
          <w:szCs w:val="23"/>
        </w:rPr>
        <w:t>DR resources are dispatched efficiently when they represent a cost-effective alternative to generation.</w:t>
      </w:r>
    </w:p>
    <w:p w:rsidR="00F67E59" w:rsidRPr="00F67E59" w:rsidRDefault="00F67E59" w:rsidP="00F67E59">
      <w:pPr>
        <w:pStyle w:val="Caption"/>
        <w:keepNext/>
        <w:jc w:val="left"/>
        <w:rPr>
          <w:rFonts w:ascii="Garamond" w:hAnsi="Garamond"/>
          <w:sz w:val="23"/>
          <w:szCs w:val="23"/>
        </w:rPr>
      </w:pPr>
      <w:bookmarkStart w:id="14" w:name="_Ref343678123"/>
      <w:r w:rsidRPr="00F67E59">
        <w:rPr>
          <w:rFonts w:ascii="Garamond" w:hAnsi="Garamond"/>
          <w:sz w:val="23"/>
          <w:szCs w:val="23"/>
        </w:rPr>
        <w:lastRenderedPageBreak/>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B</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5</w:t>
      </w:r>
      <w:r w:rsidR="00F45397">
        <w:rPr>
          <w:rFonts w:ascii="Garamond" w:hAnsi="Garamond"/>
          <w:sz w:val="23"/>
          <w:szCs w:val="23"/>
        </w:rPr>
        <w:fldChar w:fldCharType="end"/>
      </w:r>
      <w:bookmarkEnd w:id="14"/>
      <w:r w:rsidRPr="00F67E59">
        <w:rPr>
          <w:rFonts w:ascii="Garamond" w:hAnsi="Garamond"/>
          <w:sz w:val="23"/>
          <w:szCs w:val="23"/>
        </w:rPr>
        <w:t>: Effect of DR Resources on LMP</w:t>
      </w:r>
    </w:p>
    <w:p w:rsidR="00AC4E7D" w:rsidRDefault="00A754C2" w:rsidP="00F67E59">
      <w:pPr>
        <w:jc w:val="center"/>
        <w:rPr>
          <w:rFonts w:ascii="Garamond" w:hAnsi="Garamond"/>
          <w:sz w:val="23"/>
          <w:szCs w:val="23"/>
        </w:rPr>
      </w:pPr>
      <w:r>
        <w:rPr>
          <w:rFonts w:ascii="Garamond" w:hAnsi="Garamond"/>
          <w:noProof/>
          <w:sz w:val="23"/>
          <w:szCs w:val="23"/>
        </w:rPr>
        <w:drawing>
          <wp:inline distT="0" distB="0" distL="0" distR="0" wp14:anchorId="282A2FD4" wp14:editId="757994DB">
            <wp:extent cx="4345229" cy="4185206"/>
            <wp:effectExtent l="19050" t="19050" r="17780" b="254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P example 4 capture.PNG"/>
                    <pic:cNvPicPr/>
                  </pic:nvPicPr>
                  <pic:blipFill>
                    <a:blip r:embed="rId25">
                      <a:extLst>
                        <a:ext uri="{28A0092B-C50C-407E-A947-70E740481C1C}">
                          <a14:useLocalDpi xmlns:a14="http://schemas.microsoft.com/office/drawing/2010/main" val="0"/>
                        </a:ext>
                      </a:extLst>
                    </a:blip>
                    <a:stretch>
                      <a:fillRect/>
                    </a:stretch>
                  </pic:blipFill>
                  <pic:spPr>
                    <a:xfrm>
                      <a:off x="0" y="0"/>
                      <a:ext cx="4356021" cy="4195601"/>
                    </a:xfrm>
                    <a:prstGeom prst="rect">
                      <a:avLst/>
                    </a:prstGeom>
                    <a:ln>
                      <a:solidFill>
                        <a:schemeClr val="tx1"/>
                      </a:solidFill>
                    </a:ln>
                  </pic:spPr>
                </pic:pic>
              </a:graphicData>
            </a:graphic>
          </wp:inline>
        </w:drawing>
      </w:r>
    </w:p>
    <w:p w:rsidR="00AC4E7D" w:rsidRPr="00AC4E7D" w:rsidRDefault="00AC4E7D" w:rsidP="00AC4E7D">
      <w:r>
        <w:br w:type="page"/>
      </w:r>
    </w:p>
    <w:p w:rsidR="00AC4E7D" w:rsidRPr="00AC4E7D" w:rsidRDefault="00D52847" w:rsidP="00A427B5">
      <w:pPr>
        <w:pStyle w:val="Heading1"/>
      </w:pPr>
      <w:bookmarkStart w:id="15" w:name="_Toc340740227"/>
      <w:bookmarkStart w:id="16" w:name="_Ref343689799"/>
      <w:bookmarkStart w:id="17" w:name="_Toc355954891"/>
      <w:r w:rsidRPr="00643267">
        <w:lastRenderedPageBreak/>
        <w:t>C</w:t>
      </w:r>
      <w:r>
        <w:t>omparison</w:t>
      </w:r>
      <w:r w:rsidRPr="00643267">
        <w:t xml:space="preserve"> </w:t>
      </w:r>
      <w:r w:rsidR="00AC4E7D" w:rsidRPr="00643267">
        <w:t xml:space="preserve">of </w:t>
      </w:r>
      <w:r>
        <w:t xml:space="preserve">Act 129 </w:t>
      </w:r>
      <w:r w:rsidR="00AC4E7D" w:rsidRPr="00643267">
        <w:t xml:space="preserve">Demand Response (DR) Programs </w:t>
      </w:r>
      <w:bookmarkEnd w:id="15"/>
      <w:bookmarkEnd w:id="16"/>
      <w:r>
        <w:t>to Other Jurisdictions</w:t>
      </w:r>
      <w:bookmarkEnd w:id="17"/>
    </w:p>
    <w:p w:rsidR="00AC4E7D" w:rsidRDefault="00AC4E7D" w:rsidP="00AC4E7D">
      <w:pPr>
        <w:pStyle w:val="ListParagraph"/>
        <w:spacing w:after="0" w:line="240" w:lineRule="auto"/>
        <w:ind w:left="0"/>
        <w:rPr>
          <w:rFonts w:ascii="Garamond" w:hAnsi="Garamond"/>
          <w:sz w:val="23"/>
          <w:szCs w:val="23"/>
        </w:rPr>
      </w:pPr>
      <w:r w:rsidRPr="00286FD2">
        <w:rPr>
          <w:rFonts w:ascii="Garamond" w:hAnsi="Garamond"/>
          <w:sz w:val="23"/>
          <w:szCs w:val="23"/>
        </w:rPr>
        <w:t xml:space="preserve">This </w:t>
      </w:r>
      <w:r w:rsidR="00143E13">
        <w:rPr>
          <w:rFonts w:ascii="Garamond" w:hAnsi="Garamond"/>
          <w:sz w:val="23"/>
          <w:szCs w:val="23"/>
        </w:rPr>
        <w:t>s</w:t>
      </w:r>
      <w:r w:rsidRPr="00286FD2">
        <w:rPr>
          <w:rFonts w:ascii="Garamond" w:hAnsi="Garamond"/>
          <w:sz w:val="23"/>
          <w:szCs w:val="23"/>
        </w:rPr>
        <w:t xml:space="preserve">ection </w:t>
      </w:r>
      <w:r w:rsidR="00F85793">
        <w:rPr>
          <w:rFonts w:ascii="Garamond" w:hAnsi="Garamond"/>
          <w:sz w:val="23"/>
          <w:szCs w:val="23"/>
        </w:rPr>
        <w:t>of</w:t>
      </w:r>
      <w:r w:rsidR="00752A3F">
        <w:rPr>
          <w:rFonts w:ascii="Garamond" w:hAnsi="Garamond"/>
          <w:sz w:val="23"/>
          <w:szCs w:val="23"/>
        </w:rPr>
        <w:t xml:space="preserve"> the report </w:t>
      </w:r>
      <w:r w:rsidRPr="00286FD2">
        <w:rPr>
          <w:rFonts w:ascii="Garamond" w:hAnsi="Garamond"/>
          <w:sz w:val="23"/>
          <w:szCs w:val="23"/>
        </w:rPr>
        <w:t xml:space="preserve">summarizes the types of DR programs, their associated measurement and verification (M&amp;V) </w:t>
      </w:r>
      <w:r w:rsidR="00DB6FC9">
        <w:rPr>
          <w:rFonts w:ascii="Garamond" w:hAnsi="Garamond"/>
          <w:sz w:val="23"/>
          <w:szCs w:val="23"/>
        </w:rPr>
        <w:t>approaches</w:t>
      </w:r>
      <w:r w:rsidRPr="00286FD2">
        <w:rPr>
          <w:rFonts w:ascii="Garamond" w:hAnsi="Garamond"/>
          <w:sz w:val="23"/>
          <w:szCs w:val="23"/>
        </w:rPr>
        <w:t xml:space="preserve">, and </w:t>
      </w:r>
      <w:r w:rsidR="00DB6FC9">
        <w:rPr>
          <w:rFonts w:ascii="Garamond" w:hAnsi="Garamond"/>
          <w:sz w:val="23"/>
          <w:szCs w:val="23"/>
        </w:rPr>
        <w:t>benefit-cost</w:t>
      </w:r>
      <w:r w:rsidRPr="00286FD2">
        <w:rPr>
          <w:rFonts w:ascii="Garamond" w:hAnsi="Garamond"/>
          <w:sz w:val="23"/>
          <w:szCs w:val="23"/>
        </w:rPr>
        <w:t xml:space="preserve"> methodologies of four ISOs - PJM, CAISO, NYISO, and ISO-NE.</w:t>
      </w:r>
      <w:r w:rsidRPr="00643267">
        <w:rPr>
          <w:rStyle w:val="FootnoteReference"/>
          <w:rFonts w:ascii="Garamond" w:hAnsi="Garamond"/>
          <w:sz w:val="23"/>
          <w:szCs w:val="23"/>
        </w:rPr>
        <w:footnoteReference w:id="14"/>
      </w:r>
      <w:r w:rsidR="00752A3F">
        <w:rPr>
          <w:rFonts w:ascii="Garamond" w:hAnsi="Garamond"/>
          <w:sz w:val="23"/>
          <w:szCs w:val="23"/>
        </w:rPr>
        <w:t xml:space="preserve">  This s</w:t>
      </w:r>
      <w:r>
        <w:rPr>
          <w:rFonts w:ascii="Garamond" w:hAnsi="Garamond"/>
          <w:sz w:val="23"/>
          <w:szCs w:val="23"/>
        </w:rPr>
        <w:t>ection</w:t>
      </w:r>
      <w:r w:rsidRPr="00286FD2">
        <w:rPr>
          <w:rFonts w:ascii="Garamond" w:hAnsi="Garamond"/>
          <w:sz w:val="23"/>
          <w:szCs w:val="23"/>
        </w:rPr>
        <w:t xml:space="preserve"> also examines the types of DR </w:t>
      </w:r>
      <w:r>
        <w:rPr>
          <w:rFonts w:ascii="Garamond" w:hAnsi="Garamond"/>
          <w:sz w:val="23"/>
          <w:szCs w:val="23"/>
        </w:rPr>
        <w:t xml:space="preserve">goals, </w:t>
      </w:r>
      <w:r w:rsidRPr="00286FD2">
        <w:rPr>
          <w:rFonts w:ascii="Garamond" w:hAnsi="Garamond"/>
          <w:sz w:val="23"/>
          <w:szCs w:val="23"/>
        </w:rPr>
        <w:t xml:space="preserve">programs, M&amp;V </w:t>
      </w:r>
      <w:r w:rsidR="00DB6FC9">
        <w:rPr>
          <w:rFonts w:ascii="Garamond" w:hAnsi="Garamond"/>
          <w:sz w:val="23"/>
          <w:szCs w:val="23"/>
        </w:rPr>
        <w:t>approaches</w:t>
      </w:r>
      <w:r w:rsidRPr="00286FD2">
        <w:rPr>
          <w:rFonts w:ascii="Garamond" w:hAnsi="Garamond"/>
          <w:sz w:val="23"/>
          <w:szCs w:val="23"/>
        </w:rPr>
        <w:t xml:space="preserve"> and cost-effectiveness test methodologies used by the states of California, New York, Illinois, Ohio, and Wisconsin.  These programs were examined for the purpose of comparison to the DR programs that have been implemented by the EDCs pursuant to the mandates of Act 129.</w:t>
      </w:r>
    </w:p>
    <w:p w:rsidR="00DB6FC9" w:rsidRDefault="00DB6FC9" w:rsidP="00AC4E7D">
      <w:pPr>
        <w:pStyle w:val="ListParagraph"/>
        <w:spacing w:after="0" w:line="240" w:lineRule="auto"/>
        <w:ind w:left="0"/>
        <w:rPr>
          <w:rFonts w:ascii="Garamond" w:hAnsi="Garamond"/>
          <w:sz w:val="23"/>
          <w:szCs w:val="23"/>
        </w:rPr>
      </w:pPr>
    </w:p>
    <w:p w:rsidR="00DB6FC9" w:rsidRPr="00A427B5" w:rsidRDefault="00752A3F" w:rsidP="00E22427">
      <w:pPr>
        <w:pStyle w:val="Heading2"/>
      </w:pPr>
      <w:bookmarkStart w:id="18" w:name="_Toc355954892"/>
      <w:r>
        <w:t>Demand Response Goals in Other States</w:t>
      </w:r>
      <w:bookmarkEnd w:id="18"/>
    </w:p>
    <w:p w:rsidR="00DB6FC9" w:rsidRPr="00A96197" w:rsidRDefault="00DB6FC9" w:rsidP="00A96197">
      <w:pPr>
        <w:pStyle w:val="Caption"/>
        <w:keepNext/>
        <w:rPr>
          <w:rFonts w:ascii="Garamond" w:hAnsi="Garamond"/>
          <w:b w:val="0"/>
          <w:sz w:val="23"/>
          <w:szCs w:val="23"/>
        </w:rPr>
      </w:pPr>
      <w:r w:rsidRPr="00A96197">
        <w:rPr>
          <w:rFonts w:ascii="Garamond" w:hAnsi="Garamond"/>
          <w:b w:val="0"/>
          <w:sz w:val="23"/>
          <w:szCs w:val="23"/>
        </w:rPr>
        <w:fldChar w:fldCharType="begin"/>
      </w:r>
      <w:r w:rsidRPr="00A96197">
        <w:rPr>
          <w:rFonts w:ascii="Garamond" w:hAnsi="Garamond"/>
          <w:b w:val="0"/>
          <w:sz w:val="23"/>
          <w:szCs w:val="23"/>
        </w:rPr>
        <w:instrText xml:space="preserve"> REF _Ref343523877 \h </w:instrText>
      </w:r>
      <w:r w:rsidR="00A96197" w:rsidRPr="00A96197">
        <w:rPr>
          <w:rFonts w:ascii="Garamond" w:hAnsi="Garamond"/>
          <w:b w:val="0"/>
          <w:sz w:val="23"/>
          <w:szCs w:val="23"/>
        </w:rPr>
        <w:instrText xml:space="preserve"> \* MERGEFORMAT </w:instrText>
      </w:r>
      <w:r w:rsidRPr="00A96197">
        <w:rPr>
          <w:rFonts w:ascii="Garamond" w:hAnsi="Garamond"/>
          <w:b w:val="0"/>
          <w:sz w:val="23"/>
          <w:szCs w:val="23"/>
        </w:rPr>
      </w:r>
      <w:r w:rsidRPr="00A96197">
        <w:rPr>
          <w:rFonts w:ascii="Garamond" w:hAnsi="Garamond"/>
          <w:b w:val="0"/>
          <w:sz w:val="23"/>
          <w:szCs w:val="23"/>
        </w:rPr>
        <w:fldChar w:fldCharType="separate"/>
      </w:r>
      <w:r w:rsidR="00451FFF" w:rsidRPr="00451FFF">
        <w:rPr>
          <w:rFonts w:ascii="Garamond" w:hAnsi="Garamond"/>
          <w:b w:val="0"/>
          <w:sz w:val="23"/>
          <w:szCs w:val="23"/>
        </w:rPr>
        <w:t xml:space="preserve">Table </w:t>
      </w:r>
      <w:r w:rsidR="00451FFF" w:rsidRPr="00451FFF">
        <w:rPr>
          <w:rFonts w:ascii="Garamond" w:hAnsi="Garamond"/>
          <w:b w:val="0"/>
          <w:noProof/>
          <w:sz w:val="23"/>
          <w:szCs w:val="23"/>
        </w:rPr>
        <w:t>C</w:t>
      </w:r>
      <w:r w:rsidR="00451FFF" w:rsidRPr="00451FFF">
        <w:rPr>
          <w:rFonts w:ascii="Garamond" w:hAnsi="Garamond"/>
          <w:b w:val="0"/>
          <w:noProof/>
          <w:sz w:val="23"/>
          <w:szCs w:val="23"/>
        </w:rPr>
        <w:noBreakHyphen/>
        <w:t>1</w:t>
      </w:r>
      <w:r w:rsidRPr="00A96197">
        <w:rPr>
          <w:rFonts w:ascii="Garamond" w:hAnsi="Garamond"/>
          <w:b w:val="0"/>
          <w:sz w:val="23"/>
          <w:szCs w:val="23"/>
        </w:rPr>
        <w:fldChar w:fldCharType="end"/>
      </w:r>
      <w:r w:rsidRPr="00A96197">
        <w:rPr>
          <w:rFonts w:ascii="Garamond" w:hAnsi="Garamond"/>
          <w:b w:val="0"/>
          <w:sz w:val="23"/>
          <w:szCs w:val="23"/>
        </w:rPr>
        <w:t xml:space="preserve"> below summarizes the presence and magnitude of demand reduction and demand response goals in the surveyed states.</w:t>
      </w:r>
      <w:r w:rsidRPr="00A96197">
        <w:rPr>
          <w:rFonts w:ascii="Garamond" w:hAnsi="Garamond"/>
          <w:sz w:val="23"/>
          <w:szCs w:val="23"/>
        </w:rPr>
        <w:t xml:space="preserve"> </w:t>
      </w:r>
      <w:r w:rsidR="00A96197" w:rsidRPr="00A96197">
        <w:rPr>
          <w:rFonts w:ascii="Garamond" w:hAnsi="Garamond"/>
          <w:b w:val="0"/>
          <w:sz w:val="23"/>
          <w:szCs w:val="23"/>
        </w:rPr>
        <w:t xml:space="preserve">A </w:t>
      </w:r>
      <w:r w:rsidR="001853EF">
        <w:rPr>
          <w:rFonts w:ascii="Garamond" w:hAnsi="Garamond"/>
          <w:b w:val="0"/>
          <w:sz w:val="23"/>
          <w:szCs w:val="23"/>
        </w:rPr>
        <w:t>demand reduction goal is achieved</w:t>
      </w:r>
      <w:r w:rsidR="00A96197" w:rsidRPr="00A96197">
        <w:rPr>
          <w:rFonts w:ascii="Garamond" w:hAnsi="Garamond"/>
          <w:b w:val="0"/>
          <w:sz w:val="23"/>
          <w:szCs w:val="23"/>
        </w:rPr>
        <w:t xml:space="preserve"> by reducing peak demand through any type of measure, such as a DR program or other energy efficiency program designed to reduce consumption and demand on</w:t>
      </w:r>
      <w:r w:rsidR="00696608">
        <w:rPr>
          <w:rFonts w:ascii="Garamond" w:hAnsi="Garamond"/>
          <w:b w:val="0"/>
          <w:sz w:val="23"/>
          <w:szCs w:val="23"/>
        </w:rPr>
        <w:t xml:space="preserve"> </w:t>
      </w:r>
      <w:r w:rsidR="00F06835">
        <w:rPr>
          <w:rFonts w:ascii="Garamond" w:hAnsi="Garamond"/>
          <w:b w:val="0"/>
          <w:sz w:val="23"/>
          <w:szCs w:val="23"/>
        </w:rPr>
        <w:t xml:space="preserve">a </w:t>
      </w:r>
      <w:r w:rsidR="00696608">
        <w:rPr>
          <w:rFonts w:ascii="Garamond" w:hAnsi="Garamond"/>
          <w:b w:val="0"/>
          <w:sz w:val="23"/>
          <w:szCs w:val="23"/>
        </w:rPr>
        <w:t xml:space="preserve">permanent and constant basis. It is important to note that a demand reduction goal can be achieved exclusively through energy efficiency programs because most energy efficiency measures reduce equipment demand during periods of peak demand. </w:t>
      </w:r>
      <w:r w:rsidR="00A96197" w:rsidRPr="00A96197">
        <w:rPr>
          <w:rFonts w:ascii="Garamond" w:hAnsi="Garamond"/>
          <w:b w:val="0"/>
          <w:sz w:val="23"/>
          <w:szCs w:val="23"/>
        </w:rPr>
        <w:t xml:space="preserve">A demand response (DR) goal is reached by reducing peak demand </w:t>
      </w:r>
      <w:r w:rsidR="00A96197">
        <w:rPr>
          <w:rFonts w:ascii="Garamond" w:hAnsi="Garamond"/>
          <w:b w:val="0"/>
          <w:sz w:val="23"/>
          <w:szCs w:val="23"/>
        </w:rPr>
        <w:t xml:space="preserve">temporarily </w:t>
      </w:r>
      <w:r w:rsidR="00A96197" w:rsidRPr="00A96197">
        <w:rPr>
          <w:rFonts w:ascii="Garamond" w:hAnsi="Garamond"/>
          <w:b w:val="0"/>
          <w:sz w:val="23"/>
          <w:szCs w:val="23"/>
        </w:rPr>
        <w:t xml:space="preserve">solely </w:t>
      </w:r>
      <w:r w:rsidR="00A96197">
        <w:rPr>
          <w:rFonts w:ascii="Garamond" w:hAnsi="Garamond"/>
          <w:b w:val="0"/>
          <w:sz w:val="23"/>
          <w:szCs w:val="23"/>
        </w:rPr>
        <w:t xml:space="preserve">through </w:t>
      </w:r>
      <w:r w:rsidR="00A96197" w:rsidRPr="00A96197">
        <w:rPr>
          <w:rFonts w:ascii="Garamond" w:hAnsi="Garamond"/>
          <w:b w:val="0"/>
          <w:sz w:val="23"/>
          <w:szCs w:val="23"/>
        </w:rPr>
        <w:t>DR programs and does not include the permanent reduction in demand resulting from energy efficiency programs.</w:t>
      </w:r>
      <w:r w:rsidR="001A36BA">
        <w:rPr>
          <w:rFonts w:ascii="Garamond" w:hAnsi="Garamond"/>
          <w:b w:val="0"/>
          <w:sz w:val="23"/>
          <w:szCs w:val="23"/>
        </w:rPr>
        <w:t xml:space="preserve"> </w:t>
      </w:r>
      <w:r w:rsidR="001A36BA" w:rsidRPr="001A36BA">
        <w:rPr>
          <w:rFonts w:ascii="Garamond" w:hAnsi="Garamond"/>
          <w:b w:val="0"/>
          <w:sz w:val="23"/>
          <w:szCs w:val="23"/>
        </w:rPr>
        <w:fldChar w:fldCharType="begin"/>
      </w:r>
      <w:r w:rsidR="001A36BA" w:rsidRPr="001A36BA">
        <w:rPr>
          <w:rFonts w:ascii="Garamond" w:hAnsi="Garamond"/>
          <w:b w:val="0"/>
          <w:sz w:val="23"/>
          <w:szCs w:val="23"/>
        </w:rPr>
        <w:instrText xml:space="preserve"> REF _Ref344878548 \h  \* MERGEFORMAT </w:instrText>
      </w:r>
      <w:r w:rsidR="001A36BA" w:rsidRPr="001A36BA">
        <w:rPr>
          <w:rFonts w:ascii="Garamond" w:hAnsi="Garamond"/>
          <w:b w:val="0"/>
          <w:sz w:val="23"/>
          <w:szCs w:val="23"/>
        </w:rPr>
      </w:r>
      <w:r w:rsidR="001A36BA" w:rsidRPr="001A36BA">
        <w:rPr>
          <w:rFonts w:ascii="Garamond" w:hAnsi="Garamond"/>
          <w:b w:val="0"/>
          <w:sz w:val="23"/>
          <w:szCs w:val="23"/>
        </w:rPr>
        <w:fldChar w:fldCharType="separate"/>
      </w:r>
      <w:r w:rsidR="00451FFF" w:rsidRPr="00451FFF">
        <w:rPr>
          <w:rFonts w:ascii="Garamond" w:hAnsi="Garamond"/>
          <w:b w:val="0"/>
          <w:sz w:val="23"/>
          <w:szCs w:val="23"/>
        </w:rPr>
        <w:t xml:space="preserve">Table </w:t>
      </w:r>
      <w:r w:rsidR="00451FFF" w:rsidRPr="00451FFF">
        <w:rPr>
          <w:rFonts w:ascii="Garamond" w:hAnsi="Garamond"/>
          <w:b w:val="0"/>
          <w:noProof/>
          <w:sz w:val="23"/>
          <w:szCs w:val="23"/>
        </w:rPr>
        <w:t>A</w:t>
      </w:r>
      <w:r w:rsidR="00451FFF" w:rsidRPr="00451FFF">
        <w:rPr>
          <w:rFonts w:ascii="Garamond" w:hAnsi="Garamond"/>
          <w:b w:val="0"/>
          <w:noProof/>
          <w:sz w:val="23"/>
          <w:szCs w:val="23"/>
        </w:rPr>
        <w:noBreakHyphen/>
        <w:t>1</w:t>
      </w:r>
      <w:r w:rsidR="001A36BA" w:rsidRPr="001A36BA">
        <w:rPr>
          <w:rFonts w:ascii="Garamond" w:hAnsi="Garamond"/>
          <w:b w:val="0"/>
          <w:sz w:val="23"/>
          <w:szCs w:val="23"/>
        </w:rPr>
        <w:fldChar w:fldCharType="end"/>
      </w:r>
      <w:r w:rsidR="001A36BA">
        <w:rPr>
          <w:rFonts w:ascii="Garamond" w:hAnsi="Garamond"/>
          <w:b w:val="0"/>
          <w:sz w:val="23"/>
          <w:szCs w:val="23"/>
        </w:rPr>
        <w:t xml:space="preserve"> showed that the Pennsylvania EDCs </w:t>
      </w:r>
      <w:r w:rsidR="007C485F">
        <w:rPr>
          <w:rFonts w:ascii="Garamond" w:hAnsi="Garamond"/>
          <w:b w:val="0"/>
          <w:sz w:val="23"/>
          <w:szCs w:val="23"/>
        </w:rPr>
        <w:t>will most likely</w:t>
      </w:r>
      <w:r w:rsidR="0059260B">
        <w:rPr>
          <w:rFonts w:ascii="Garamond" w:hAnsi="Garamond"/>
          <w:b w:val="0"/>
          <w:sz w:val="23"/>
          <w:szCs w:val="23"/>
        </w:rPr>
        <w:t xml:space="preserve"> achieve between 2.0% and 2.5% of the 4.5% demand reduction target through energy efficiency programs alone. The balance of the 4.5% demand reduction goal will need to be achieved through dispatchable DR programs</w:t>
      </w:r>
      <w:r w:rsidR="000A01B8">
        <w:rPr>
          <w:rFonts w:ascii="Garamond" w:hAnsi="Garamond"/>
          <w:b w:val="0"/>
          <w:sz w:val="23"/>
          <w:szCs w:val="23"/>
        </w:rPr>
        <w:t xml:space="preserve"> during a single summer</w:t>
      </w:r>
      <w:r w:rsidR="0059260B">
        <w:rPr>
          <w:rFonts w:ascii="Garamond" w:hAnsi="Garamond"/>
          <w:b w:val="0"/>
          <w:sz w:val="23"/>
          <w:szCs w:val="23"/>
        </w:rPr>
        <w:t>.</w:t>
      </w:r>
      <w:r w:rsidR="001A36BA">
        <w:rPr>
          <w:rFonts w:ascii="Garamond" w:hAnsi="Garamond"/>
          <w:b w:val="0"/>
          <w:sz w:val="23"/>
          <w:szCs w:val="23"/>
        </w:rPr>
        <w:t xml:space="preserve">  </w:t>
      </w:r>
      <w:r w:rsidR="00A96197" w:rsidRPr="00A96197">
        <w:rPr>
          <w:rFonts w:ascii="Garamond" w:hAnsi="Garamond"/>
          <w:b w:val="0"/>
          <w:sz w:val="23"/>
          <w:szCs w:val="23"/>
        </w:rPr>
        <w:t xml:space="preserve">  </w:t>
      </w:r>
    </w:p>
    <w:p w:rsidR="00DB6FC9" w:rsidRPr="00DB6FC9" w:rsidRDefault="00DB6FC9" w:rsidP="00DB6FC9">
      <w:pPr>
        <w:pStyle w:val="Caption"/>
        <w:keepNext/>
        <w:rPr>
          <w:rFonts w:ascii="Garamond" w:hAnsi="Garamond"/>
          <w:sz w:val="23"/>
          <w:szCs w:val="23"/>
        </w:rPr>
      </w:pPr>
      <w:bookmarkStart w:id="19" w:name="_Ref343523877"/>
      <w:r w:rsidRPr="00DB6FC9">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C</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1</w:t>
      </w:r>
      <w:r w:rsidR="00C01A4C">
        <w:rPr>
          <w:rFonts w:ascii="Garamond" w:hAnsi="Garamond"/>
          <w:sz w:val="23"/>
          <w:szCs w:val="23"/>
        </w:rPr>
        <w:fldChar w:fldCharType="end"/>
      </w:r>
      <w:bookmarkEnd w:id="19"/>
      <w:r w:rsidRPr="00DB6FC9">
        <w:rPr>
          <w:rFonts w:ascii="Garamond" w:hAnsi="Garamond"/>
          <w:sz w:val="23"/>
          <w:szCs w:val="23"/>
        </w:rPr>
        <w:t>: Summary of Types of Goals in Various States</w:t>
      </w:r>
    </w:p>
    <w:tbl>
      <w:tblPr>
        <w:tblW w:w="8605" w:type="dxa"/>
        <w:jc w:val="center"/>
        <w:tblInd w:w="-694" w:type="dxa"/>
        <w:tblLook w:val="04A0" w:firstRow="1" w:lastRow="0" w:firstColumn="1" w:lastColumn="0" w:noHBand="0" w:noVBand="1"/>
      </w:tblPr>
      <w:tblGrid>
        <w:gridCol w:w="1905"/>
        <w:gridCol w:w="1340"/>
        <w:gridCol w:w="1340"/>
        <w:gridCol w:w="1075"/>
        <w:gridCol w:w="1641"/>
        <w:gridCol w:w="1304"/>
      </w:tblGrid>
      <w:tr w:rsidR="00DB6FC9" w:rsidRPr="00170DC9" w:rsidTr="00B73B73">
        <w:trPr>
          <w:trHeight w:val="20"/>
          <w:jc w:val="center"/>
        </w:trPr>
        <w:tc>
          <w:tcPr>
            <w:tcW w:w="1905" w:type="dxa"/>
            <w:tcBorders>
              <w:top w:val="single" w:sz="4" w:space="0" w:color="auto"/>
              <w:left w:val="single" w:sz="4" w:space="0" w:color="auto"/>
              <w:bottom w:val="single" w:sz="4" w:space="0" w:color="auto"/>
              <w:right w:val="nil"/>
            </w:tcBorders>
            <w:shd w:val="clear" w:color="auto" w:fill="1F497D" w:themeFill="text2"/>
            <w:noWrap/>
            <w:vAlign w:val="center"/>
            <w:hideMark/>
          </w:tcPr>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State</w:t>
            </w:r>
          </w:p>
        </w:tc>
        <w:tc>
          <w:tcPr>
            <w:tcW w:w="1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Demand</w:t>
            </w:r>
          </w:p>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Reduction</w:t>
            </w:r>
          </w:p>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Goal</w:t>
            </w:r>
          </w:p>
        </w:tc>
        <w:tc>
          <w:tcPr>
            <w:tcW w:w="134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Demand</w:t>
            </w:r>
          </w:p>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Response</w:t>
            </w:r>
          </w:p>
          <w:p w:rsidR="00DB6FC9" w:rsidRPr="00170DC9" w:rsidRDefault="00DB6FC9" w:rsidP="00DB6FC9">
            <w:pPr>
              <w:spacing w:after="0" w:line="240" w:lineRule="auto"/>
              <w:jc w:val="center"/>
              <w:rPr>
                <w:rFonts w:ascii="Garamond" w:eastAsia="Times New Roman" w:hAnsi="Garamond" w:cs="Times New Roman"/>
                <w:b/>
                <w:color w:val="FFFFFF" w:themeColor="background1"/>
                <w:sz w:val="23"/>
                <w:szCs w:val="23"/>
              </w:rPr>
            </w:pPr>
            <w:r w:rsidRPr="00170DC9">
              <w:rPr>
                <w:rFonts w:ascii="Garamond" w:eastAsia="Times New Roman" w:hAnsi="Garamond" w:cs="Times New Roman"/>
                <w:b/>
                <w:color w:val="FFFFFF" w:themeColor="background1"/>
                <w:sz w:val="23"/>
                <w:szCs w:val="23"/>
              </w:rPr>
              <w:t>Goal</w:t>
            </w:r>
          </w:p>
        </w:tc>
        <w:tc>
          <w:tcPr>
            <w:tcW w:w="1075" w:type="dxa"/>
            <w:tcBorders>
              <w:top w:val="single" w:sz="4" w:space="0" w:color="auto"/>
              <w:left w:val="nil"/>
              <w:bottom w:val="single" w:sz="4" w:space="0" w:color="auto"/>
              <w:right w:val="single" w:sz="4" w:space="0" w:color="auto"/>
            </w:tcBorders>
            <w:shd w:val="clear" w:color="auto" w:fill="1F497D" w:themeFill="text2"/>
            <w:vAlign w:val="center"/>
          </w:tcPr>
          <w:p w:rsidR="00DB6FC9" w:rsidRPr="00170DC9" w:rsidRDefault="00DB6FC9" w:rsidP="00DB6FC9">
            <w:pPr>
              <w:spacing w:after="0" w:line="240" w:lineRule="auto"/>
              <w:jc w:val="center"/>
              <w:rPr>
                <w:rFonts w:ascii="Garamond" w:eastAsia="Times New Roman" w:hAnsi="Garamond" w:cs="Times New Roman"/>
                <w:b/>
                <w:bCs/>
                <w:color w:val="FFFFFF" w:themeColor="background1"/>
                <w:sz w:val="23"/>
                <w:szCs w:val="23"/>
              </w:rPr>
            </w:pPr>
            <w:r w:rsidRPr="00170DC9">
              <w:rPr>
                <w:rFonts w:ascii="Garamond" w:eastAsia="Times New Roman" w:hAnsi="Garamond" w:cs="Times New Roman"/>
                <w:b/>
                <w:bCs/>
                <w:color w:val="FFFFFF" w:themeColor="background1"/>
                <w:sz w:val="23"/>
                <w:szCs w:val="23"/>
              </w:rPr>
              <w:t>Goal Amount</w:t>
            </w:r>
          </w:p>
        </w:tc>
        <w:tc>
          <w:tcPr>
            <w:tcW w:w="1641" w:type="dxa"/>
            <w:tcBorders>
              <w:top w:val="single" w:sz="4" w:space="0" w:color="auto"/>
              <w:left w:val="nil"/>
              <w:bottom w:val="single" w:sz="4" w:space="0" w:color="auto"/>
              <w:right w:val="single" w:sz="4" w:space="0" w:color="auto"/>
            </w:tcBorders>
            <w:shd w:val="clear" w:color="auto" w:fill="1F497D" w:themeFill="text2"/>
            <w:vAlign w:val="center"/>
          </w:tcPr>
          <w:p w:rsidR="00DB6FC9" w:rsidRPr="00170DC9" w:rsidRDefault="00DB6FC9" w:rsidP="00DB6FC9">
            <w:pPr>
              <w:spacing w:after="0" w:line="240" w:lineRule="auto"/>
              <w:jc w:val="center"/>
              <w:rPr>
                <w:rFonts w:ascii="Garamond" w:eastAsia="Times New Roman" w:hAnsi="Garamond" w:cs="Times New Roman"/>
                <w:b/>
                <w:bCs/>
                <w:color w:val="FFFFFF" w:themeColor="background1"/>
                <w:sz w:val="23"/>
                <w:szCs w:val="23"/>
              </w:rPr>
            </w:pPr>
            <w:r w:rsidRPr="00170DC9">
              <w:rPr>
                <w:rFonts w:ascii="Garamond" w:eastAsia="Times New Roman" w:hAnsi="Garamond" w:cs="Times New Roman"/>
                <w:b/>
                <w:bCs/>
                <w:color w:val="FFFFFF" w:themeColor="background1"/>
                <w:sz w:val="23"/>
                <w:szCs w:val="23"/>
              </w:rPr>
              <w:t>Goal Year</w:t>
            </w:r>
          </w:p>
        </w:tc>
        <w:tc>
          <w:tcPr>
            <w:tcW w:w="1304" w:type="dxa"/>
            <w:tcBorders>
              <w:top w:val="single" w:sz="4" w:space="0" w:color="auto"/>
              <w:left w:val="nil"/>
              <w:bottom w:val="single" w:sz="4" w:space="0" w:color="auto"/>
              <w:right w:val="single" w:sz="4" w:space="0" w:color="auto"/>
            </w:tcBorders>
            <w:shd w:val="clear" w:color="auto" w:fill="1F497D" w:themeFill="text2"/>
            <w:vAlign w:val="center"/>
          </w:tcPr>
          <w:p w:rsidR="00DB6FC9" w:rsidRPr="00170DC9" w:rsidRDefault="00DB6FC9" w:rsidP="00DB6FC9">
            <w:pPr>
              <w:spacing w:after="0" w:line="240" w:lineRule="auto"/>
              <w:jc w:val="center"/>
              <w:rPr>
                <w:rFonts w:ascii="Garamond" w:eastAsia="Times New Roman" w:hAnsi="Garamond" w:cs="Times New Roman"/>
                <w:b/>
                <w:bCs/>
                <w:color w:val="FFFFFF" w:themeColor="background1"/>
                <w:sz w:val="23"/>
                <w:szCs w:val="23"/>
              </w:rPr>
            </w:pPr>
            <w:r w:rsidRPr="00170DC9">
              <w:rPr>
                <w:rFonts w:ascii="Garamond" w:eastAsia="Times New Roman" w:hAnsi="Garamond" w:cs="Times New Roman"/>
                <w:b/>
                <w:bCs/>
                <w:color w:val="FFFFFF" w:themeColor="background1"/>
                <w:sz w:val="23"/>
                <w:szCs w:val="23"/>
              </w:rPr>
              <w:t>Average Annual Reduction</w:t>
            </w:r>
          </w:p>
        </w:tc>
      </w:tr>
      <w:tr w:rsidR="00DB6FC9" w:rsidRPr="00643267" w:rsidTr="00B73B73">
        <w:trPr>
          <w:trHeight w:val="2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CA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075" w:type="dxa"/>
            <w:tcBorders>
              <w:top w:val="single" w:sz="4" w:space="0" w:color="auto"/>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 xml:space="preserve">  5%</w:t>
            </w:r>
            <w:r w:rsidRPr="00643267">
              <w:rPr>
                <w:rStyle w:val="FootnoteReference"/>
                <w:rFonts w:ascii="Garamond" w:eastAsia="Times New Roman" w:hAnsi="Garamond" w:cs="Times New Roman"/>
                <w:b/>
                <w:bCs/>
                <w:color w:val="000000"/>
                <w:sz w:val="23"/>
                <w:szCs w:val="23"/>
              </w:rPr>
              <w:footnoteReference w:id="15"/>
            </w:r>
          </w:p>
        </w:tc>
        <w:tc>
          <w:tcPr>
            <w:tcW w:w="1641" w:type="dxa"/>
            <w:tcBorders>
              <w:top w:val="single" w:sz="4" w:space="0" w:color="auto"/>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2020</w:t>
            </w:r>
          </w:p>
        </w:tc>
        <w:tc>
          <w:tcPr>
            <w:tcW w:w="1304" w:type="dxa"/>
            <w:tcBorders>
              <w:top w:val="single" w:sz="4" w:space="0" w:color="auto"/>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N/A</w:t>
            </w:r>
          </w:p>
        </w:tc>
      </w:tr>
      <w:tr w:rsidR="00DB6FC9" w:rsidRPr="00643267" w:rsidTr="00B73B73">
        <w:trPr>
          <w:trHeight w:val="20"/>
          <w:jc w:val="center"/>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IL</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No</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075"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1.1%</w:t>
            </w:r>
          </w:p>
        </w:tc>
        <w:tc>
          <w:tcPr>
            <w:tcW w:w="1641"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2018</w:t>
            </w:r>
          </w:p>
        </w:tc>
        <w:tc>
          <w:tcPr>
            <w:tcW w:w="1304"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0.1%</w:t>
            </w:r>
          </w:p>
        </w:tc>
      </w:tr>
      <w:tr w:rsidR="00DB6FC9" w:rsidRPr="00643267" w:rsidTr="00B73B73">
        <w:trPr>
          <w:trHeight w:val="20"/>
          <w:jc w:val="center"/>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OH</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No</w:t>
            </w:r>
          </w:p>
        </w:tc>
        <w:tc>
          <w:tcPr>
            <w:tcW w:w="1075"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7%</w:t>
            </w:r>
          </w:p>
        </w:tc>
        <w:tc>
          <w:tcPr>
            <w:tcW w:w="1641"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2018</w:t>
            </w:r>
          </w:p>
        </w:tc>
        <w:tc>
          <w:tcPr>
            <w:tcW w:w="1304"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0.75%</w:t>
            </w:r>
          </w:p>
        </w:tc>
      </w:tr>
      <w:tr w:rsidR="00DB6FC9" w:rsidRPr="00643267" w:rsidTr="00B73B73">
        <w:trPr>
          <w:trHeight w:val="20"/>
          <w:jc w:val="center"/>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NY – Con Edison</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No</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075"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N/A</w:t>
            </w:r>
          </w:p>
        </w:tc>
        <w:tc>
          <w:tcPr>
            <w:tcW w:w="1641"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N/A</w:t>
            </w:r>
          </w:p>
        </w:tc>
        <w:tc>
          <w:tcPr>
            <w:tcW w:w="1304"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N/A</w:t>
            </w:r>
          </w:p>
        </w:tc>
      </w:tr>
      <w:tr w:rsidR="00DB6FC9" w:rsidRPr="00643267" w:rsidTr="00B73B73">
        <w:trPr>
          <w:trHeight w:val="20"/>
          <w:jc w:val="center"/>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PA</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No</w:t>
            </w:r>
          </w:p>
        </w:tc>
        <w:tc>
          <w:tcPr>
            <w:tcW w:w="1075"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4.5%</w:t>
            </w:r>
          </w:p>
        </w:tc>
        <w:tc>
          <w:tcPr>
            <w:tcW w:w="1641"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2012</w:t>
            </w:r>
          </w:p>
        </w:tc>
        <w:tc>
          <w:tcPr>
            <w:tcW w:w="1304"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4.5%</w:t>
            </w:r>
            <w:r w:rsidR="000A01B8">
              <w:rPr>
                <w:rStyle w:val="FootnoteReference"/>
                <w:rFonts w:ascii="Garamond" w:eastAsia="Times New Roman" w:hAnsi="Garamond" w:cs="Times New Roman"/>
                <w:color w:val="000000"/>
                <w:sz w:val="23"/>
                <w:szCs w:val="23"/>
              </w:rPr>
              <w:footnoteReference w:id="16"/>
            </w:r>
          </w:p>
        </w:tc>
      </w:tr>
      <w:tr w:rsidR="00DB6FC9" w:rsidRPr="00643267" w:rsidTr="00B73B73">
        <w:trPr>
          <w:trHeight w:val="20"/>
          <w:jc w:val="center"/>
        </w:trPr>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WI</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Yes</w:t>
            </w:r>
          </w:p>
        </w:tc>
        <w:tc>
          <w:tcPr>
            <w:tcW w:w="1340" w:type="dxa"/>
            <w:tcBorders>
              <w:top w:val="nil"/>
              <w:left w:val="nil"/>
              <w:bottom w:val="single" w:sz="4" w:space="0" w:color="auto"/>
              <w:right w:val="single" w:sz="4" w:space="0" w:color="auto"/>
            </w:tcBorders>
            <w:shd w:val="clear" w:color="auto" w:fill="auto"/>
            <w:noWrap/>
            <w:vAlign w:val="center"/>
            <w:hideMark/>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No</w:t>
            </w:r>
          </w:p>
        </w:tc>
        <w:tc>
          <w:tcPr>
            <w:tcW w:w="1075"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1.5%</w:t>
            </w:r>
          </w:p>
        </w:tc>
        <w:tc>
          <w:tcPr>
            <w:tcW w:w="1641"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2014</w:t>
            </w:r>
          </w:p>
        </w:tc>
        <w:tc>
          <w:tcPr>
            <w:tcW w:w="1304" w:type="dxa"/>
            <w:tcBorders>
              <w:top w:val="nil"/>
              <w:left w:val="nil"/>
              <w:bottom w:val="single" w:sz="4" w:space="0" w:color="auto"/>
              <w:right w:val="single" w:sz="4" w:space="0" w:color="auto"/>
            </w:tcBorders>
            <w:vAlign w:val="center"/>
          </w:tcPr>
          <w:p w:rsidR="00DB6FC9" w:rsidRPr="00643267" w:rsidRDefault="00DB6FC9" w:rsidP="00DB6FC9">
            <w:pPr>
              <w:spacing w:after="0" w:line="240" w:lineRule="auto"/>
              <w:jc w:val="center"/>
              <w:rPr>
                <w:rFonts w:ascii="Garamond" w:eastAsia="Times New Roman" w:hAnsi="Garamond" w:cs="Times New Roman"/>
                <w:color w:val="000000"/>
                <w:sz w:val="23"/>
                <w:szCs w:val="23"/>
              </w:rPr>
            </w:pPr>
            <w:r w:rsidRPr="00643267">
              <w:rPr>
                <w:rFonts w:ascii="Garamond" w:eastAsia="Times New Roman" w:hAnsi="Garamond" w:cs="Times New Roman"/>
                <w:color w:val="000000"/>
                <w:sz w:val="23"/>
                <w:szCs w:val="23"/>
              </w:rPr>
              <w:t>0.25%</w:t>
            </w:r>
          </w:p>
        </w:tc>
      </w:tr>
    </w:tbl>
    <w:p w:rsidR="00DB6FC9" w:rsidRDefault="00DB6FC9" w:rsidP="00DB6FC9"/>
    <w:p w:rsidR="00953E0F" w:rsidRPr="00B73B73" w:rsidRDefault="00B73B73" w:rsidP="00B73B73">
      <w:pPr>
        <w:spacing w:after="0" w:line="240" w:lineRule="auto"/>
        <w:rPr>
          <w:rFonts w:ascii="Garamond" w:hAnsi="Garamond"/>
          <w:sz w:val="23"/>
          <w:szCs w:val="23"/>
        </w:rPr>
      </w:pPr>
      <w:r w:rsidRPr="00B73B73">
        <w:rPr>
          <w:rFonts w:ascii="Garamond" w:hAnsi="Garamond"/>
          <w:sz w:val="23"/>
          <w:szCs w:val="23"/>
        </w:rPr>
        <w:fldChar w:fldCharType="begin"/>
      </w:r>
      <w:r w:rsidRPr="00B73B73">
        <w:rPr>
          <w:rFonts w:ascii="Garamond" w:hAnsi="Garamond"/>
          <w:sz w:val="23"/>
          <w:szCs w:val="23"/>
        </w:rPr>
        <w:instrText xml:space="preserve"> REF _Ref343523877 \h </w:instrText>
      </w:r>
      <w:r>
        <w:rPr>
          <w:rFonts w:ascii="Garamond" w:hAnsi="Garamond"/>
          <w:sz w:val="23"/>
          <w:szCs w:val="23"/>
        </w:rPr>
        <w:instrText xml:space="preserve"> \* MERGEFORMAT </w:instrText>
      </w:r>
      <w:r w:rsidRPr="00B73B73">
        <w:rPr>
          <w:rFonts w:ascii="Garamond" w:hAnsi="Garamond"/>
          <w:sz w:val="23"/>
          <w:szCs w:val="23"/>
        </w:rPr>
      </w:r>
      <w:r w:rsidRPr="00B73B73">
        <w:rPr>
          <w:rFonts w:ascii="Garamond" w:hAnsi="Garamond"/>
          <w:sz w:val="23"/>
          <w:szCs w:val="23"/>
        </w:rPr>
        <w:fldChar w:fldCharType="separate"/>
      </w:r>
      <w:r w:rsidR="00451FFF" w:rsidRPr="00DB6FC9">
        <w:rPr>
          <w:rFonts w:ascii="Garamond" w:hAnsi="Garamond"/>
          <w:sz w:val="23"/>
          <w:szCs w:val="23"/>
        </w:rPr>
        <w:t xml:space="preserve">Table </w:t>
      </w:r>
      <w:r w:rsidR="00451FFF">
        <w:rPr>
          <w:rFonts w:ascii="Garamond" w:hAnsi="Garamond"/>
          <w:noProof/>
          <w:sz w:val="23"/>
          <w:szCs w:val="23"/>
        </w:rPr>
        <w:t>C</w:t>
      </w:r>
      <w:r w:rsidR="00451FFF">
        <w:rPr>
          <w:rFonts w:ascii="Garamond" w:hAnsi="Garamond"/>
          <w:noProof/>
          <w:sz w:val="23"/>
          <w:szCs w:val="23"/>
        </w:rPr>
        <w:noBreakHyphen/>
        <w:t>1</w:t>
      </w:r>
      <w:r w:rsidRPr="00B73B73">
        <w:rPr>
          <w:rFonts w:ascii="Garamond" w:hAnsi="Garamond"/>
          <w:sz w:val="23"/>
          <w:szCs w:val="23"/>
        </w:rPr>
        <w:fldChar w:fldCharType="end"/>
      </w:r>
      <w:r w:rsidRPr="00B73B73">
        <w:rPr>
          <w:rFonts w:ascii="Garamond" w:hAnsi="Garamond"/>
          <w:sz w:val="23"/>
          <w:szCs w:val="23"/>
        </w:rPr>
        <w:t xml:space="preserve"> above shows that California is the only state examined with separately stated demand reduction</w:t>
      </w:r>
      <w:r>
        <w:rPr>
          <w:rFonts w:ascii="Garamond" w:hAnsi="Garamond"/>
          <w:sz w:val="23"/>
          <w:szCs w:val="23"/>
        </w:rPr>
        <w:t xml:space="preserve"> and DR goals. </w:t>
      </w:r>
      <w:r w:rsidRPr="00B73B73">
        <w:rPr>
          <w:rFonts w:ascii="Garamond" w:hAnsi="Garamond"/>
          <w:sz w:val="23"/>
          <w:szCs w:val="23"/>
        </w:rPr>
        <w:t>California has separate budgeting and planning processes for DR and energy efficiency (EE). The other states examined have either demand reduction or DR goals</w:t>
      </w:r>
      <w:r w:rsidR="00D5429D">
        <w:rPr>
          <w:rFonts w:ascii="Garamond" w:hAnsi="Garamond"/>
          <w:sz w:val="23"/>
          <w:szCs w:val="23"/>
        </w:rPr>
        <w:t>.</w:t>
      </w:r>
      <w:r w:rsidRPr="00B73B73">
        <w:rPr>
          <w:rFonts w:ascii="Garamond" w:hAnsi="Garamond"/>
          <w:sz w:val="23"/>
          <w:szCs w:val="23"/>
        </w:rPr>
        <w:t xml:space="preserve"> </w:t>
      </w:r>
      <w:r w:rsidR="00D5429D">
        <w:rPr>
          <w:rFonts w:ascii="Garamond" w:hAnsi="Garamond"/>
          <w:sz w:val="23"/>
          <w:szCs w:val="23"/>
        </w:rPr>
        <w:t>O</w:t>
      </w:r>
      <w:r w:rsidRPr="00B73B73">
        <w:rPr>
          <w:rFonts w:ascii="Garamond" w:hAnsi="Garamond"/>
          <w:sz w:val="23"/>
          <w:szCs w:val="23"/>
        </w:rPr>
        <w:t xml:space="preserve">f those states, only New York does not have a specified </w:t>
      </w:r>
      <w:r w:rsidR="00696608">
        <w:rPr>
          <w:rFonts w:ascii="Garamond" w:hAnsi="Garamond"/>
          <w:sz w:val="23"/>
          <w:szCs w:val="23"/>
        </w:rPr>
        <w:t xml:space="preserve">demand </w:t>
      </w:r>
      <w:r w:rsidRPr="00B73B73">
        <w:rPr>
          <w:rFonts w:ascii="Garamond" w:hAnsi="Garamond"/>
          <w:sz w:val="23"/>
          <w:szCs w:val="23"/>
        </w:rPr>
        <w:t xml:space="preserve">reduction goal amount. Additionally, the table shows that Act 129 implements more aggressive demand reduction targets in </w:t>
      </w:r>
      <w:r w:rsidR="0089366A">
        <w:rPr>
          <w:rFonts w:ascii="Garamond" w:hAnsi="Garamond"/>
          <w:sz w:val="23"/>
          <w:szCs w:val="23"/>
        </w:rPr>
        <w:t>Pennsylvania</w:t>
      </w:r>
      <w:r w:rsidRPr="00B73B73">
        <w:rPr>
          <w:rFonts w:ascii="Garamond" w:hAnsi="Garamond"/>
          <w:sz w:val="23"/>
          <w:szCs w:val="23"/>
        </w:rPr>
        <w:t xml:space="preserve"> compared to such targets in the other states examined in this paper.</w:t>
      </w:r>
      <w:r w:rsidR="005431BE">
        <w:rPr>
          <w:rFonts w:ascii="Garamond" w:hAnsi="Garamond"/>
          <w:sz w:val="23"/>
          <w:szCs w:val="23"/>
        </w:rPr>
        <w:t xml:space="preserve"> </w:t>
      </w:r>
      <w:r w:rsidR="000A01B8">
        <w:rPr>
          <w:rFonts w:ascii="Garamond" w:hAnsi="Garamond"/>
          <w:sz w:val="23"/>
          <w:szCs w:val="23"/>
        </w:rPr>
        <w:t xml:space="preserve">The effective </w:t>
      </w:r>
      <w:r w:rsidR="00B71784">
        <w:rPr>
          <w:rFonts w:ascii="Garamond" w:hAnsi="Garamond"/>
          <w:sz w:val="23"/>
          <w:szCs w:val="23"/>
        </w:rPr>
        <w:t xml:space="preserve">single-year </w:t>
      </w:r>
      <w:r w:rsidR="000A01B8">
        <w:rPr>
          <w:rFonts w:ascii="Garamond" w:hAnsi="Garamond"/>
          <w:sz w:val="23"/>
          <w:szCs w:val="23"/>
        </w:rPr>
        <w:t xml:space="preserve">2% demand response </w:t>
      </w:r>
      <w:r w:rsidR="00B71784">
        <w:rPr>
          <w:rFonts w:ascii="Garamond" w:hAnsi="Garamond"/>
          <w:sz w:val="23"/>
          <w:szCs w:val="23"/>
        </w:rPr>
        <w:t>goal created by Act 129 is considerably more aggressive that the Illinois demand response goal of approximately 0.1% per year.</w:t>
      </w:r>
    </w:p>
    <w:p w:rsidR="00953E0F" w:rsidRPr="00643267" w:rsidRDefault="00953E0F" w:rsidP="00E22427">
      <w:pPr>
        <w:pStyle w:val="Heading2"/>
      </w:pPr>
      <w:bookmarkStart w:id="20" w:name="_Toc324512051"/>
      <w:bookmarkStart w:id="21" w:name="_Toc335217135"/>
      <w:bookmarkStart w:id="22" w:name="_Toc340740229"/>
      <w:bookmarkStart w:id="23" w:name="_Toc355954893"/>
      <w:r w:rsidRPr="00643267">
        <w:lastRenderedPageBreak/>
        <w:t>Measurement and Verification – Determining Baselines</w:t>
      </w:r>
      <w:bookmarkEnd w:id="20"/>
      <w:bookmarkEnd w:id="21"/>
      <w:bookmarkEnd w:id="22"/>
      <w:bookmarkEnd w:id="23"/>
      <w:r w:rsidRPr="00643267">
        <w:t xml:space="preserve"> </w:t>
      </w:r>
    </w:p>
    <w:p w:rsidR="00953E0F" w:rsidRDefault="00953E0F" w:rsidP="00953E0F">
      <w:pPr>
        <w:spacing w:after="0" w:line="240" w:lineRule="auto"/>
        <w:rPr>
          <w:rFonts w:ascii="Garamond" w:hAnsi="Garamond"/>
          <w:sz w:val="23"/>
          <w:szCs w:val="23"/>
        </w:rPr>
      </w:pPr>
      <w:r>
        <w:rPr>
          <w:rFonts w:ascii="Garamond" w:hAnsi="Garamond"/>
          <w:sz w:val="23"/>
          <w:szCs w:val="23"/>
        </w:rPr>
        <w:t xml:space="preserve">The methodology used to estimate the load reduction that a DR resource produces depends on the type of resource and also varies by jurisdiction. Residential </w:t>
      </w:r>
      <w:r w:rsidR="00BF5A78">
        <w:rPr>
          <w:rFonts w:ascii="Garamond" w:hAnsi="Garamond"/>
          <w:sz w:val="23"/>
          <w:szCs w:val="23"/>
        </w:rPr>
        <w:t>DLC</w:t>
      </w:r>
      <w:r>
        <w:rPr>
          <w:rFonts w:ascii="Garamond" w:hAnsi="Garamond"/>
          <w:sz w:val="23"/>
          <w:szCs w:val="23"/>
        </w:rPr>
        <w:t xml:space="preserve"> programs typically rely on a load research study where a sample of customers is selected from the population of participating homes. The air conditioning load in the sampled homes is metered and the average load on event days is compared to the average load on non-event weekdays with similar temperatures. The average load difference of the sample is used as an estimate of the per-home load reduction of the population and multiplied by the number of participating homes to calculate the impact of the program during events.</w:t>
      </w:r>
      <w:r w:rsidR="001B06AD">
        <w:rPr>
          <w:rFonts w:ascii="Garamond" w:hAnsi="Garamond"/>
          <w:sz w:val="23"/>
          <w:szCs w:val="23"/>
        </w:rPr>
        <w:t xml:space="preserve"> In 2012, some Pennsylvania EDCs conducted their own load research study to determine DLC impacts and other EDCs elected to use deemed values calculated from a previous PJM load research study</w:t>
      </w:r>
      <w:r w:rsidR="001B06AD">
        <w:rPr>
          <w:rStyle w:val="FootnoteReference"/>
          <w:rFonts w:ascii="Garamond" w:hAnsi="Garamond"/>
          <w:sz w:val="23"/>
          <w:szCs w:val="23"/>
        </w:rPr>
        <w:footnoteReference w:id="17"/>
      </w:r>
      <w:r w:rsidR="001B06AD">
        <w:rPr>
          <w:rFonts w:ascii="Garamond" w:hAnsi="Garamond"/>
          <w:sz w:val="23"/>
          <w:szCs w:val="23"/>
        </w:rPr>
        <w:t>.</w:t>
      </w:r>
    </w:p>
    <w:p w:rsidR="00953E0F" w:rsidRDefault="00953E0F" w:rsidP="00953E0F">
      <w:pPr>
        <w:spacing w:after="0" w:line="240" w:lineRule="auto"/>
        <w:rPr>
          <w:rFonts w:ascii="Garamond" w:hAnsi="Garamond"/>
          <w:sz w:val="23"/>
          <w:szCs w:val="23"/>
        </w:rPr>
      </w:pPr>
    </w:p>
    <w:p w:rsidR="00953E0F" w:rsidRDefault="005E2DC2" w:rsidP="00953E0F">
      <w:pPr>
        <w:spacing w:after="0" w:line="240" w:lineRule="auto"/>
        <w:rPr>
          <w:rFonts w:ascii="Garamond" w:hAnsi="Garamond"/>
          <w:sz w:val="23"/>
          <w:szCs w:val="23"/>
        </w:rPr>
      </w:pPr>
      <w:r>
        <w:rPr>
          <w:rFonts w:ascii="Garamond" w:hAnsi="Garamond"/>
          <w:sz w:val="23"/>
          <w:szCs w:val="23"/>
        </w:rPr>
        <w:t xml:space="preserve">The electric loads of Commercial and Industrial customers are much more diverse than residential loads. For Commercial and Industrial DR, separate load reduction estimates are calculated for each participating customer. </w:t>
      </w:r>
      <w:r w:rsidR="00953E0F">
        <w:rPr>
          <w:rFonts w:ascii="Garamond" w:hAnsi="Garamond"/>
          <w:sz w:val="23"/>
          <w:szCs w:val="23"/>
        </w:rPr>
        <w:t xml:space="preserve">The </w:t>
      </w:r>
      <w:r>
        <w:rPr>
          <w:rFonts w:ascii="Garamond" w:hAnsi="Garamond"/>
          <w:sz w:val="23"/>
          <w:szCs w:val="23"/>
        </w:rPr>
        <w:t>gener</w:t>
      </w:r>
      <w:r w:rsidR="00271E02">
        <w:rPr>
          <w:rFonts w:ascii="Garamond" w:hAnsi="Garamond"/>
          <w:sz w:val="23"/>
          <w:szCs w:val="23"/>
        </w:rPr>
        <w:t>al methodology used to</w:t>
      </w:r>
      <w:r w:rsidR="00953E0F">
        <w:rPr>
          <w:rFonts w:ascii="Garamond" w:hAnsi="Garamond"/>
          <w:sz w:val="23"/>
          <w:szCs w:val="23"/>
        </w:rPr>
        <w:t xml:space="preserve"> </w:t>
      </w:r>
      <w:r w:rsidR="00271E02">
        <w:rPr>
          <w:rFonts w:ascii="Garamond" w:hAnsi="Garamond"/>
          <w:sz w:val="23"/>
          <w:szCs w:val="23"/>
        </w:rPr>
        <w:t>estimate</w:t>
      </w:r>
      <w:r w:rsidR="00953E0F">
        <w:rPr>
          <w:rFonts w:ascii="Garamond" w:hAnsi="Garamond"/>
          <w:sz w:val="23"/>
          <w:szCs w:val="23"/>
        </w:rPr>
        <w:t xml:space="preserve"> the load reduction when </w:t>
      </w:r>
      <w:r w:rsidR="00271E02">
        <w:rPr>
          <w:rFonts w:ascii="Garamond" w:hAnsi="Garamond"/>
          <w:sz w:val="23"/>
          <w:szCs w:val="23"/>
        </w:rPr>
        <w:t>Commercial and Industrial DR resources perform</w:t>
      </w:r>
      <w:r w:rsidR="00953E0F">
        <w:rPr>
          <w:rFonts w:ascii="Garamond" w:hAnsi="Garamond"/>
          <w:sz w:val="23"/>
          <w:szCs w:val="23"/>
        </w:rPr>
        <w:t xml:space="preserve"> </w:t>
      </w:r>
      <w:r w:rsidR="00271E02">
        <w:rPr>
          <w:rFonts w:ascii="Garamond" w:hAnsi="Garamond"/>
          <w:sz w:val="23"/>
          <w:szCs w:val="23"/>
        </w:rPr>
        <w:t>involves calculating or collecting</w:t>
      </w:r>
      <w:r w:rsidR="00953E0F">
        <w:rPr>
          <w:rFonts w:ascii="Garamond" w:hAnsi="Garamond"/>
          <w:sz w:val="23"/>
          <w:szCs w:val="23"/>
        </w:rPr>
        <w:t xml:space="preserve"> the following key components:</w:t>
      </w:r>
    </w:p>
    <w:p w:rsidR="00953E0F" w:rsidRDefault="00953E0F" w:rsidP="00953E0F">
      <w:pPr>
        <w:spacing w:after="0" w:line="240" w:lineRule="auto"/>
        <w:rPr>
          <w:rFonts w:ascii="Garamond" w:hAnsi="Garamond"/>
          <w:b/>
          <w:sz w:val="23"/>
          <w:szCs w:val="23"/>
        </w:rPr>
      </w:pPr>
    </w:p>
    <w:p w:rsidR="00953E0F" w:rsidRPr="005879FB" w:rsidRDefault="00271E02" w:rsidP="00953E0F">
      <w:pPr>
        <w:pStyle w:val="ListParagraph"/>
        <w:numPr>
          <w:ilvl w:val="0"/>
          <w:numId w:val="19"/>
        </w:numPr>
        <w:spacing w:after="0" w:line="240" w:lineRule="auto"/>
        <w:rPr>
          <w:rFonts w:ascii="Garamond" w:hAnsi="Garamond"/>
          <w:sz w:val="23"/>
          <w:szCs w:val="23"/>
        </w:rPr>
      </w:pPr>
      <w:r>
        <w:rPr>
          <w:rFonts w:ascii="Garamond" w:hAnsi="Garamond"/>
          <w:b/>
          <w:sz w:val="23"/>
          <w:szCs w:val="23"/>
        </w:rPr>
        <w:t xml:space="preserve">Customer </w:t>
      </w:r>
      <w:r w:rsidR="00953E0F" w:rsidRPr="005879FB">
        <w:rPr>
          <w:rFonts w:ascii="Garamond" w:hAnsi="Garamond"/>
          <w:b/>
          <w:sz w:val="23"/>
          <w:szCs w:val="23"/>
        </w:rPr>
        <w:t xml:space="preserve">Baseline </w:t>
      </w:r>
      <w:r w:rsidR="00C76ADA">
        <w:rPr>
          <w:rFonts w:ascii="Garamond" w:hAnsi="Garamond"/>
          <w:b/>
          <w:sz w:val="23"/>
          <w:szCs w:val="23"/>
        </w:rPr>
        <w:t xml:space="preserve">Load </w:t>
      </w:r>
      <w:r w:rsidR="00953E0F" w:rsidRPr="005879FB">
        <w:rPr>
          <w:rFonts w:ascii="Garamond" w:hAnsi="Garamond"/>
          <w:b/>
          <w:sz w:val="23"/>
          <w:szCs w:val="23"/>
        </w:rPr>
        <w:t xml:space="preserve">(CBL) </w:t>
      </w:r>
      <w:r>
        <w:rPr>
          <w:rFonts w:ascii="Garamond" w:hAnsi="Garamond"/>
          <w:sz w:val="23"/>
          <w:szCs w:val="23"/>
        </w:rPr>
        <w:t>An estimate of</w:t>
      </w:r>
      <w:r w:rsidR="00953E0F" w:rsidRPr="005879FB">
        <w:rPr>
          <w:rFonts w:ascii="Garamond" w:hAnsi="Garamond"/>
          <w:sz w:val="23"/>
          <w:szCs w:val="23"/>
        </w:rPr>
        <w:t xml:space="preserve"> </w:t>
      </w:r>
      <w:r>
        <w:rPr>
          <w:rFonts w:ascii="Garamond" w:hAnsi="Garamond"/>
          <w:sz w:val="23"/>
          <w:szCs w:val="23"/>
        </w:rPr>
        <w:t xml:space="preserve">the </w:t>
      </w:r>
      <w:r w:rsidR="00953E0F" w:rsidRPr="005879FB">
        <w:rPr>
          <w:rFonts w:ascii="Garamond" w:hAnsi="Garamond"/>
          <w:sz w:val="23"/>
          <w:szCs w:val="23"/>
        </w:rPr>
        <w:t xml:space="preserve">amount of energy the customer </w:t>
      </w:r>
      <w:r w:rsidR="00953E0F" w:rsidRPr="00271E02">
        <w:rPr>
          <w:rFonts w:ascii="Garamond" w:hAnsi="Garamond"/>
          <w:sz w:val="23"/>
          <w:szCs w:val="23"/>
          <w:u w:val="single"/>
        </w:rPr>
        <w:t>would have consumed</w:t>
      </w:r>
      <w:r w:rsidR="00953E0F" w:rsidRPr="005879FB">
        <w:rPr>
          <w:rFonts w:ascii="Garamond" w:hAnsi="Garamond"/>
          <w:sz w:val="23"/>
          <w:szCs w:val="23"/>
        </w:rPr>
        <w:t xml:space="preserve"> absent a signal to reduce.</w:t>
      </w:r>
    </w:p>
    <w:p w:rsidR="00953E0F" w:rsidRPr="005879FB" w:rsidRDefault="00953E0F" w:rsidP="00953E0F">
      <w:pPr>
        <w:pStyle w:val="ListParagraph"/>
        <w:numPr>
          <w:ilvl w:val="0"/>
          <w:numId w:val="19"/>
        </w:numPr>
        <w:spacing w:after="0" w:line="240" w:lineRule="auto"/>
        <w:rPr>
          <w:rFonts w:ascii="Garamond" w:hAnsi="Garamond"/>
          <w:sz w:val="23"/>
          <w:szCs w:val="23"/>
        </w:rPr>
      </w:pPr>
      <w:r w:rsidRPr="005879FB">
        <w:rPr>
          <w:rFonts w:ascii="Garamond" w:hAnsi="Garamond"/>
          <w:b/>
          <w:sz w:val="23"/>
          <w:szCs w:val="23"/>
        </w:rPr>
        <w:t xml:space="preserve">Actual Use </w:t>
      </w:r>
      <w:r w:rsidRPr="005879FB">
        <w:rPr>
          <w:rFonts w:ascii="Garamond" w:hAnsi="Garamond"/>
          <w:sz w:val="23"/>
          <w:szCs w:val="23"/>
        </w:rPr>
        <w:t xml:space="preserve">The amount of energy the customer </w:t>
      </w:r>
      <w:r w:rsidRPr="005879FB">
        <w:rPr>
          <w:rFonts w:ascii="Garamond" w:hAnsi="Garamond"/>
          <w:sz w:val="23"/>
          <w:szCs w:val="23"/>
          <w:u w:val="single"/>
        </w:rPr>
        <w:t>actually consumed</w:t>
      </w:r>
      <w:r w:rsidRPr="005879FB">
        <w:rPr>
          <w:rFonts w:ascii="Garamond" w:hAnsi="Garamond"/>
          <w:sz w:val="23"/>
          <w:szCs w:val="23"/>
        </w:rPr>
        <w:t xml:space="preserve"> during the DR event.</w:t>
      </w:r>
    </w:p>
    <w:p w:rsidR="00953E0F" w:rsidRDefault="00953E0F" w:rsidP="00953E0F">
      <w:pPr>
        <w:spacing w:after="0" w:line="240" w:lineRule="auto"/>
        <w:rPr>
          <w:rFonts w:ascii="Garamond" w:hAnsi="Garamond"/>
          <w:sz w:val="23"/>
          <w:szCs w:val="23"/>
        </w:rPr>
      </w:pPr>
    </w:p>
    <w:p w:rsidR="00953E0F" w:rsidRPr="005879FB" w:rsidRDefault="00953E0F" w:rsidP="00953E0F">
      <w:pPr>
        <w:spacing w:after="0" w:line="240" w:lineRule="auto"/>
        <w:jc w:val="center"/>
        <w:rPr>
          <w:rFonts w:ascii="Garamond" w:hAnsi="Garamond"/>
          <w:sz w:val="23"/>
          <w:szCs w:val="23"/>
        </w:rPr>
      </w:pPr>
      <w:r>
        <w:rPr>
          <w:rFonts w:ascii="Garamond" w:hAnsi="Garamond"/>
          <w:b/>
          <w:sz w:val="23"/>
          <w:szCs w:val="23"/>
        </w:rPr>
        <w:t>Load Reduction</w:t>
      </w:r>
      <w:r w:rsidR="00271E02">
        <w:rPr>
          <w:rFonts w:ascii="Garamond" w:hAnsi="Garamond"/>
          <w:b/>
          <w:sz w:val="23"/>
          <w:szCs w:val="23"/>
        </w:rPr>
        <w:t xml:space="preserve"> </w:t>
      </w:r>
      <w:r>
        <w:rPr>
          <w:rFonts w:ascii="Garamond" w:hAnsi="Garamond"/>
          <w:sz w:val="23"/>
          <w:szCs w:val="23"/>
        </w:rPr>
        <w:t>=</w:t>
      </w:r>
      <w:r w:rsidR="00271E02">
        <w:rPr>
          <w:rFonts w:ascii="Garamond" w:hAnsi="Garamond"/>
          <w:sz w:val="23"/>
          <w:szCs w:val="23"/>
        </w:rPr>
        <w:t xml:space="preserve"> Customer </w:t>
      </w:r>
      <w:r>
        <w:rPr>
          <w:rFonts w:ascii="Garamond" w:hAnsi="Garamond"/>
          <w:sz w:val="23"/>
          <w:szCs w:val="23"/>
        </w:rPr>
        <w:t>Baseline</w:t>
      </w:r>
      <w:r w:rsidR="00271E02">
        <w:rPr>
          <w:rFonts w:ascii="Garamond" w:hAnsi="Garamond"/>
          <w:sz w:val="23"/>
          <w:szCs w:val="23"/>
        </w:rPr>
        <w:t xml:space="preserve"> </w:t>
      </w:r>
      <w:r w:rsidR="00C76ADA">
        <w:rPr>
          <w:rFonts w:ascii="Garamond" w:hAnsi="Garamond"/>
          <w:sz w:val="23"/>
          <w:szCs w:val="23"/>
        </w:rPr>
        <w:t xml:space="preserve">Load </w:t>
      </w:r>
      <w:r>
        <w:rPr>
          <w:rFonts w:ascii="Garamond" w:hAnsi="Garamond"/>
          <w:sz w:val="23"/>
          <w:szCs w:val="23"/>
        </w:rPr>
        <w:t>-</w:t>
      </w:r>
      <w:r w:rsidR="00271E02">
        <w:rPr>
          <w:rFonts w:ascii="Garamond" w:hAnsi="Garamond"/>
          <w:sz w:val="23"/>
          <w:szCs w:val="23"/>
        </w:rPr>
        <w:t xml:space="preserve"> </w:t>
      </w:r>
      <w:r>
        <w:rPr>
          <w:rFonts w:ascii="Garamond" w:hAnsi="Garamond"/>
          <w:sz w:val="23"/>
          <w:szCs w:val="23"/>
        </w:rPr>
        <w:t>Actual Use</w:t>
      </w:r>
    </w:p>
    <w:p w:rsidR="00953E0F" w:rsidRPr="005879FB" w:rsidRDefault="00953E0F" w:rsidP="00953E0F">
      <w:pPr>
        <w:spacing w:after="0" w:line="240" w:lineRule="auto"/>
        <w:rPr>
          <w:rFonts w:ascii="Garamond" w:hAnsi="Garamond"/>
          <w:sz w:val="23"/>
          <w:szCs w:val="23"/>
        </w:rPr>
      </w:pPr>
    </w:p>
    <w:p w:rsidR="00953E0F" w:rsidRPr="00643267" w:rsidRDefault="00953E0F" w:rsidP="00953E0F">
      <w:pPr>
        <w:spacing w:after="0" w:line="240" w:lineRule="auto"/>
        <w:rPr>
          <w:rFonts w:ascii="Garamond" w:hAnsi="Garamond"/>
          <w:sz w:val="23"/>
          <w:szCs w:val="23"/>
        </w:rPr>
      </w:pPr>
      <w:r w:rsidRPr="00643267">
        <w:rPr>
          <w:rFonts w:ascii="Garamond" w:hAnsi="Garamond"/>
          <w:sz w:val="23"/>
          <w:szCs w:val="23"/>
        </w:rPr>
        <w:t xml:space="preserve">In general, the ISOs tend to use more complex customer baseline </w:t>
      </w:r>
      <w:r w:rsidR="00C76ADA">
        <w:rPr>
          <w:rFonts w:ascii="Garamond" w:hAnsi="Garamond"/>
          <w:sz w:val="23"/>
          <w:szCs w:val="23"/>
        </w:rPr>
        <w:t xml:space="preserve">load </w:t>
      </w:r>
      <w:r w:rsidRPr="00643267">
        <w:rPr>
          <w:rFonts w:ascii="Garamond" w:hAnsi="Garamond"/>
          <w:sz w:val="23"/>
          <w:szCs w:val="23"/>
        </w:rPr>
        <w:t>(CBL) methodologies than states that use their own baselines.  This can be attributed to the level of maturity and activity in the respective wholesale DR markets.  At the ISO level, DR is frequently used, whether through economic</w:t>
      </w:r>
      <w:r w:rsidR="00271E02">
        <w:rPr>
          <w:rFonts w:ascii="Garamond" w:hAnsi="Garamond"/>
          <w:sz w:val="23"/>
          <w:szCs w:val="23"/>
        </w:rPr>
        <w:t xml:space="preserve"> dispatch or emergency events. </w:t>
      </w:r>
      <w:r w:rsidRPr="00643267">
        <w:rPr>
          <w:rFonts w:ascii="Garamond" w:hAnsi="Garamond"/>
          <w:sz w:val="23"/>
          <w:szCs w:val="23"/>
        </w:rPr>
        <w:t xml:space="preserve">To ensure that the grid is only paying for “real” load reductions, ISOs go through greater effort to achieve accurate CBLs.  CAISO, PJM, ISO-NE and NYISO all use complex formulas which use look-back windows, moving averages, restrictions on included days, and day-of adjustments to try and create the most accurate CBL, while WEPCO in Wisconsin and ComEd in Illinois use simple CBLs which take the average of the load from a given number of previous business days.  Larger states with active DR programs and DR targets (California, New York and Pennsylvania) adopt CBL methodologies similar to those used by the ISO region in which they reside. </w:t>
      </w:r>
    </w:p>
    <w:p w:rsidR="00953E0F" w:rsidRPr="00643267" w:rsidRDefault="00953E0F" w:rsidP="00953E0F">
      <w:pPr>
        <w:spacing w:after="0" w:line="240" w:lineRule="auto"/>
        <w:rPr>
          <w:rFonts w:ascii="Garamond" w:hAnsi="Garamond"/>
          <w:sz w:val="23"/>
          <w:szCs w:val="23"/>
        </w:rPr>
      </w:pPr>
    </w:p>
    <w:p w:rsidR="00953E0F" w:rsidRDefault="00C76ADA" w:rsidP="00953E0F">
      <w:pPr>
        <w:spacing w:after="0" w:line="240" w:lineRule="auto"/>
        <w:rPr>
          <w:rFonts w:ascii="Garamond" w:hAnsi="Garamond"/>
          <w:sz w:val="23"/>
          <w:szCs w:val="23"/>
        </w:rPr>
      </w:pPr>
      <w:r w:rsidRPr="00C76ADA">
        <w:rPr>
          <w:rFonts w:ascii="Garamond" w:hAnsi="Garamond"/>
          <w:sz w:val="23"/>
          <w:szCs w:val="23"/>
        </w:rPr>
        <w:fldChar w:fldCharType="begin"/>
      </w:r>
      <w:r w:rsidRPr="00C76ADA">
        <w:rPr>
          <w:rFonts w:ascii="Garamond" w:hAnsi="Garamond"/>
          <w:sz w:val="23"/>
          <w:szCs w:val="23"/>
        </w:rPr>
        <w:instrText xml:space="preserve"> REF _Ref343529172 \h  \* MERGEFORMAT </w:instrText>
      </w:r>
      <w:r w:rsidRPr="00C76ADA">
        <w:rPr>
          <w:rFonts w:ascii="Garamond" w:hAnsi="Garamond"/>
          <w:sz w:val="23"/>
          <w:szCs w:val="23"/>
        </w:rPr>
      </w:r>
      <w:r w:rsidRPr="00C76ADA">
        <w:rPr>
          <w:rFonts w:ascii="Garamond" w:hAnsi="Garamond"/>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C</w:t>
      </w:r>
      <w:r w:rsidR="00451FFF" w:rsidRPr="00451FFF">
        <w:rPr>
          <w:rFonts w:ascii="Garamond" w:hAnsi="Garamond"/>
          <w:noProof/>
          <w:sz w:val="23"/>
          <w:szCs w:val="23"/>
        </w:rPr>
        <w:noBreakHyphen/>
        <w:t>2</w:t>
      </w:r>
      <w:r w:rsidRPr="00C76ADA">
        <w:rPr>
          <w:rFonts w:ascii="Garamond" w:hAnsi="Garamond"/>
          <w:sz w:val="23"/>
          <w:szCs w:val="23"/>
        </w:rPr>
        <w:fldChar w:fldCharType="end"/>
      </w:r>
      <w:r w:rsidRPr="00C76ADA">
        <w:rPr>
          <w:rFonts w:ascii="Garamond" w:hAnsi="Garamond"/>
          <w:sz w:val="23"/>
          <w:szCs w:val="23"/>
        </w:rPr>
        <w:t xml:space="preserve"> </w:t>
      </w:r>
      <w:r w:rsidR="00953E0F" w:rsidRPr="00643267">
        <w:rPr>
          <w:rFonts w:ascii="Garamond" w:hAnsi="Garamond"/>
          <w:sz w:val="23"/>
          <w:szCs w:val="23"/>
        </w:rPr>
        <w:t>briefly summarizes the methods used by surveyed ISOs and states to establish DR CBLs.</w:t>
      </w:r>
    </w:p>
    <w:p w:rsidR="00C76ADA" w:rsidRDefault="00C76ADA" w:rsidP="00C76ADA">
      <w:pPr>
        <w:jc w:val="left"/>
        <w:rPr>
          <w:rFonts w:ascii="Garamond" w:hAnsi="Garamond"/>
          <w:sz w:val="23"/>
          <w:szCs w:val="23"/>
        </w:rPr>
      </w:pPr>
      <w:r>
        <w:rPr>
          <w:rFonts w:ascii="Garamond" w:hAnsi="Garamond"/>
          <w:sz w:val="23"/>
          <w:szCs w:val="23"/>
        </w:rPr>
        <w:br w:type="page"/>
      </w:r>
    </w:p>
    <w:p w:rsidR="00C76ADA" w:rsidRDefault="00C76ADA" w:rsidP="00C76ADA">
      <w:pPr>
        <w:pStyle w:val="Caption"/>
        <w:keepNext/>
      </w:pPr>
      <w:bookmarkStart w:id="24" w:name="_Ref343529172"/>
      <w:r>
        <w:lastRenderedPageBreak/>
        <w:t xml:space="preserve">Table </w:t>
      </w:r>
      <w:fldSimple w:instr=" STYLEREF 1 \s ">
        <w:r w:rsidR="00451FFF">
          <w:rPr>
            <w:noProof/>
          </w:rPr>
          <w:t>C</w:t>
        </w:r>
      </w:fldSimple>
      <w:r w:rsidR="00C01A4C">
        <w:noBreakHyphen/>
      </w:r>
      <w:fldSimple w:instr=" SEQ Table \* ARABIC \s 1 ">
        <w:r w:rsidR="00451FFF">
          <w:rPr>
            <w:noProof/>
          </w:rPr>
          <w:t>2</w:t>
        </w:r>
      </w:fldSimple>
      <w:bookmarkEnd w:id="24"/>
      <w:r>
        <w:t>: Summary of CBL Methodologies</w:t>
      </w:r>
    </w:p>
    <w:tbl>
      <w:tblPr>
        <w:tblStyle w:val="TableGrid"/>
        <w:tblW w:w="9780" w:type="dxa"/>
        <w:tblLook w:val="04A0" w:firstRow="1" w:lastRow="0" w:firstColumn="1" w:lastColumn="0" w:noHBand="0" w:noVBand="1"/>
      </w:tblPr>
      <w:tblGrid>
        <w:gridCol w:w="1368"/>
        <w:gridCol w:w="5220"/>
        <w:gridCol w:w="3192"/>
      </w:tblGrid>
      <w:tr w:rsidR="00C76ADA" w:rsidRPr="00643267" w:rsidTr="00505D13">
        <w:trPr>
          <w:trHeight w:val="422"/>
          <w:tblHeader/>
        </w:trPr>
        <w:tc>
          <w:tcPr>
            <w:tcW w:w="1368" w:type="dxa"/>
            <w:shd w:val="clear" w:color="auto" w:fill="1F497D" w:themeFill="text2"/>
            <w:vAlign w:val="center"/>
          </w:tcPr>
          <w:p w:rsidR="00C76ADA" w:rsidRPr="00643267" w:rsidRDefault="00C76ADA" w:rsidP="00505D13">
            <w:pPr>
              <w:jc w:val="center"/>
              <w:rPr>
                <w:rFonts w:ascii="Garamond" w:hAnsi="Garamond"/>
                <w:b/>
                <w:color w:val="FFFFFF" w:themeColor="background1"/>
                <w:sz w:val="23"/>
                <w:szCs w:val="23"/>
              </w:rPr>
            </w:pPr>
            <w:r>
              <w:rPr>
                <w:rFonts w:ascii="Garamond" w:hAnsi="Garamond"/>
                <w:b/>
                <w:color w:val="FFFFFF" w:themeColor="background1"/>
                <w:sz w:val="23"/>
                <w:szCs w:val="23"/>
              </w:rPr>
              <w:t>Entity</w:t>
            </w:r>
          </w:p>
        </w:tc>
        <w:tc>
          <w:tcPr>
            <w:tcW w:w="5220" w:type="dxa"/>
            <w:shd w:val="clear" w:color="auto" w:fill="1F497D" w:themeFill="text2"/>
            <w:vAlign w:val="center"/>
          </w:tcPr>
          <w:p w:rsidR="00C76ADA" w:rsidRPr="00643267" w:rsidRDefault="00C76ADA" w:rsidP="00505D13">
            <w:pPr>
              <w:jc w:val="center"/>
              <w:rPr>
                <w:rFonts w:ascii="Garamond" w:hAnsi="Garamond"/>
                <w:b/>
                <w:color w:val="FFFFFF" w:themeColor="background1"/>
                <w:sz w:val="23"/>
                <w:szCs w:val="23"/>
              </w:rPr>
            </w:pPr>
            <w:r>
              <w:rPr>
                <w:rFonts w:ascii="Garamond" w:hAnsi="Garamond"/>
                <w:b/>
                <w:color w:val="FFFFFF" w:themeColor="background1"/>
                <w:sz w:val="23"/>
                <w:szCs w:val="23"/>
              </w:rPr>
              <w:t>Baseline Methodology</w:t>
            </w:r>
          </w:p>
        </w:tc>
        <w:tc>
          <w:tcPr>
            <w:tcW w:w="3192" w:type="dxa"/>
            <w:shd w:val="clear" w:color="auto" w:fill="1F497D" w:themeFill="text2"/>
            <w:vAlign w:val="center"/>
          </w:tcPr>
          <w:p w:rsidR="00C76ADA" w:rsidRPr="00643267" w:rsidRDefault="00C76ADA" w:rsidP="00505D13">
            <w:pPr>
              <w:jc w:val="center"/>
              <w:rPr>
                <w:rFonts w:ascii="Garamond" w:hAnsi="Garamond"/>
                <w:b/>
                <w:color w:val="FFFFFF" w:themeColor="background1"/>
                <w:sz w:val="23"/>
                <w:szCs w:val="23"/>
              </w:rPr>
            </w:pPr>
            <w:r>
              <w:rPr>
                <w:rFonts w:ascii="Garamond" w:hAnsi="Garamond"/>
                <w:b/>
                <w:color w:val="FFFFFF" w:themeColor="background1"/>
                <w:sz w:val="23"/>
                <w:szCs w:val="23"/>
              </w:rPr>
              <w:t>Adjustment</w:t>
            </w:r>
          </w:p>
        </w:tc>
      </w:tr>
      <w:tr w:rsidR="00C76ADA" w:rsidRPr="00643267" w:rsidTr="00C76ADA">
        <w:tc>
          <w:tcPr>
            <w:tcW w:w="1368" w:type="dxa"/>
            <w:vAlign w:val="center"/>
          </w:tcPr>
          <w:p w:rsidR="00C76ADA" w:rsidRPr="00643267" w:rsidRDefault="00C76ADA" w:rsidP="00C76ADA">
            <w:pPr>
              <w:jc w:val="center"/>
              <w:rPr>
                <w:rFonts w:ascii="Garamond" w:hAnsi="Garamond"/>
                <w:sz w:val="23"/>
                <w:szCs w:val="23"/>
              </w:rPr>
            </w:pPr>
            <w:r w:rsidRPr="00643267">
              <w:rPr>
                <w:rFonts w:ascii="Garamond" w:hAnsi="Garamond"/>
                <w:sz w:val="23"/>
                <w:szCs w:val="23"/>
              </w:rPr>
              <w:t>PJM</w:t>
            </w:r>
          </w:p>
        </w:tc>
        <w:tc>
          <w:tcPr>
            <w:tcW w:w="5220" w:type="dxa"/>
          </w:tcPr>
          <w:p w:rsidR="00C76ADA" w:rsidRPr="00643267" w:rsidRDefault="00C76ADA" w:rsidP="00C76ADA">
            <w:pPr>
              <w:jc w:val="left"/>
              <w:rPr>
                <w:rFonts w:ascii="Garamond" w:hAnsi="Garamond"/>
                <w:sz w:val="23"/>
                <w:szCs w:val="23"/>
              </w:rPr>
            </w:pPr>
            <w:r w:rsidRPr="00643267">
              <w:rPr>
                <w:rFonts w:ascii="Garamond" w:hAnsi="Garamond"/>
                <w:sz w:val="23"/>
                <w:szCs w:val="23"/>
              </w:rPr>
              <w:t xml:space="preserve">Non-Variable Loads (less than 20% </w:t>
            </w:r>
            <w:r>
              <w:rPr>
                <w:rFonts w:ascii="Garamond" w:hAnsi="Garamond"/>
                <w:sz w:val="23"/>
                <w:szCs w:val="23"/>
              </w:rPr>
              <w:t>Root Mean Square E</w:t>
            </w:r>
            <w:r w:rsidRPr="00643267">
              <w:rPr>
                <w:rFonts w:ascii="Garamond" w:hAnsi="Garamond"/>
                <w:sz w:val="23"/>
                <w:szCs w:val="23"/>
              </w:rPr>
              <w:t xml:space="preserve">rror </w:t>
            </w:r>
            <w:r w:rsidR="000879C9">
              <w:rPr>
                <w:rFonts w:ascii="Garamond" w:hAnsi="Garamond"/>
                <w:sz w:val="23"/>
                <w:szCs w:val="23"/>
              </w:rPr>
              <w:t xml:space="preserve">(RMSE) </w:t>
            </w:r>
            <w:r w:rsidRPr="00643267">
              <w:rPr>
                <w:rFonts w:ascii="Garamond" w:hAnsi="Garamond"/>
                <w:sz w:val="23"/>
                <w:szCs w:val="23"/>
              </w:rPr>
              <w:t>test)</w:t>
            </w:r>
          </w:p>
          <w:p w:rsidR="00C76ADA" w:rsidRPr="00643267" w:rsidRDefault="00C76ADA" w:rsidP="00C76ADA">
            <w:pPr>
              <w:ind w:left="432" w:hanging="180"/>
              <w:jc w:val="left"/>
              <w:rPr>
                <w:rFonts w:ascii="Garamond" w:hAnsi="Garamond"/>
                <w:sz w:val="23"/>
                <w:szCs w:val="23"/>
              </w:rPr>
            </w:pPr>
            <w:r w:rsidRPr="00643267">
              <w:rPr>
                <w:rFonts w:ascii="Garamond" w:hAnsi="Garamond"/>
                <w:sz w:val="23"/>
                <w:szCs w:val="23"/>
              </w:rPr>
              <w:t xml:space="preserve">Weekdays – highest 4 of 5 recent </w:t>
            </w:r>
            <w:r w:rsidR="007B50AB">
              <w:rPr>
                <w:rFonts w:ascii="Garamond" w:hAnsi="Garamond"/>
                <w:sz w:val="23"/>
                <w:szCs w:val="23"/>
              </w:rPr>
              <w:t xml:space="preserve">“like days” </w:t>
            </w:r>
            <w:r w:rsidRPr="00643267">
              <w:rPr>
                <w:rFonts w:ascii="Garamond" w:hAnsi="Garamond"/>
                <w:sz w:val="23"/>
                <w:szCs w:val="23"/>
              </w:rPr>
              <w:t xml:space="preserve">(excluding </w:t>
            </w:r>
            <w:r w:rsidR="007B50AB">
              <w:rPr>
                <w:rFonts w:ascii="Garamond" w:hAnsi="Garamond"/>
                <w:sz w:val="23"/>
                <w:szCs w:val="23"/>
              </w:rPr>
              <w:t xml:space="preserve">weekends, DR </w:t>
            </w:r>
            <w:r w:rsidRPr="00643267">
              <w:rPr>
                <w:rFonts w:ascii="Garamond" w:hAnsi="Garamond"/>
                <w:sz w:val="23"/>
                <w:szCs w:val="23"/>
              </w:rPr>
              <w:t>events</w:t>
            </w:r>
            <w:r w:rsidR="007B50AB">
              <w:rPr>
                <w:rFonts w:ascii="Garamond" w:hAnsi="Garamond"/>
                <w:sz w:val="23"/>
                <w:szCs w:val="23"/>
              </w:rPr>
              <w:t xml:space="preserve"> and </w:t>
            </w:r>
            <w:r w:rsidR="0076112E">
              <w:rPr>
                <w:rFonts w:ascii="Garamond" w:hAnsi="Garamond"/>
                <w:sz w:val="23"/>
                <w:szCs w:val="23"/>
              </w:rPr>
              <w:t>holidays) with a</w:t>
            </w:r>
            <w:r w:rsidRPr="00643267">
              <w:rPr>
                <w:rFonts w:ascii="Garamond" w:hAnsi="Garamond"/>
                <w:sz w:val="23"/>
                <w:szCs w:val="23"/>
              </w:rPr>
              <w:t xml:space="preserve"> 45 calendar-days </w:t>
            </w:r>
            <w:r w:rsidR="00422A1A">
              <w:rPr>
                <w:rFonts w:ascii="Garamond" w:hAnsi="Garamond"/>
                <w:sz w:val="23"/>
                <w:szCs w:val="23"/>
              </w:rPr>
              <w:t>maximum</w:t>
            </w:r>
            <w:r w:rsidRPr="00643267">
              <w:rPr>
                <w:rFonts w:ascii="Garamond" w:hAnsi="Garamond"/>
                <w:sz w:val="23"/>
                <w:szCs w:val="23"/>
              </w:rPr>
              <w:t>. If not 4 days, use highest event days in window to reach 4.</w:t>
            </w:r>
          </w:p>
          <w:p w:rsidR="00C76ADA" w:rsidRPr="00643267" w:rsidRDefault="00C76ADA" w:rsidP="00C76ADA">
            <w:pPr>
              <w:ind w:left="432" w:hanging="180"/>
              <w:jc w:val="left"/>
              <w:rPr>
                <w:rFonts w:ascii="Garamond" w:hAnsi="Garamond"/>
                <w:sz w:val="23"/>
                <w:szCs w:val="23"/>
              </w:rPr>
            </w:pPr>
            <w:r w:rsidRPr="00643267">
              <w:rPr>
                <w:rFonts w:ascii="Garamond" w:hAnsi="Garamond"/>
                <w:sz w:val="23"/>
                <w:szCs w:val="23"/>
              </w:rPr>
              <w:t>Weekends/Holidays – highest 2 of 3 recent, 45 calendar-days look back. If not 2 days, use highest event days in window to reach 2.</w:t>
            </w:r>
          </w:p>
          <w:p w:rsidR="00C76ADA" w:rsidRPr="00643267" w:rsidRDefault="00C76ADA" w:rsidP="00C76ADA">
            <w:pPr>
              <w:jc w:val="left"/>
              <w:rPr>
                <w:rFonts w:ascii="Garamond" w:hAnsi="Garamond"/>
                <w:sz w:val="23"/>
                <w:szCs w:val="23"/>
              </w:rPr>
            </w:pPr>
            <w:r w:rsidRPr="00643267">
              <w:rPr>
                <w:rFonts w:ascii="Garamond" w:hAnsi="Garamond"/>
                <w:sz w:val="23"/>
                <w:szCs w:val="23"/>
              </w:rPr>
              <w:t>Variable Loads (greater than 20% RMS</w:t>
            </w:r>
            <w:r>
              <w:rPr>
                <w:rFonts w:ascii="Garamond" w:hAnsi="Garamond"/>
                <w:sz w:val="23"/>
                <w:szCs w:val="23"/>
              </w:rPr>
              <w:t xml:space="preserve">E </w:t>
            </w:r>
            <w:r w:rsidRPr="00643267">
              <w:rPr>
                <w:rFonts w:ascii="Garamond" w:hAnsi="Garamond"/>
                <w:sz w:val="23"/>
                <w:szCs w:val="23"/>
              </w:rPr>
              <w:t>test)</w:t>
            </w:r>
          </w:p>
          <w:p w:rsidR="00C76ADA" w:rsidRPr="00643267" w:rsidRDefault="00C76ADA" w:rsidP="00C76ADA">
            <w:pPr>
              <w:ind w:left="252"/>
              <w:jc w:val="left"/>
              <w:rPr>
                <w:rFonts w:ascii="Garamond" w:hAnsi="Garamond"/>
                <w:sz w:val="23"/>
                <w:szCs w:val="23"/>
              </w:rPr>
            </w:pPr>
            <w:r w:rsidRPr="00643267">
              <w:rPr>
                <w:rFonts w:ascii="Garamond" w:hAnsi="Garamond"/>
                <w:sz w:val="23"/>
                <w:szCs w:val="23"/>
              </w:rPr>
              <w:t>Custom baseline for each customer needs approval from PJM</w:t>
            </w:r>
          </w:p>
        </w:tc>
        <w:tc>
          <w:tcPr>
            <w:tcW w:w="3192" w:type="dxa"/>
            <w:vAlign w:val="center"/>
          </w:tcPr>
          <w:p w:rsidR="00C76ADA" w:rsidRPr="00643267" w:rsidRDefault="00C76ADA" w:rsidP="00C76ADA">
            <w:pPr>
              <w:jc w:val="left"/>
              <w:rPr>
                <w:rFonts w:ascii="Garamond" w:hAnsi="Garamond"/>
                <w:sz w:val="23"/>
                <w:szCs w:val="23"/>
              </w:rPr>
            </w:pPr>
            <w:r w:rsidRPr="00643267">
              <w:rPr>
                <w:rFonts w:ascii="Garamond" w:hAnsi="Garamond"/>
                <w:sz w:val="23"/>
                <w:szCs w:val="23"/>
              </w:rPr>
              <w:t>Additive, symmetric</w:t>
            </w:r>
          </w:p>
          <w:p w:rsidR="00C76ADA" w:rsidRPr="00643267" w:rsidRDefault="00C76ADA" w:rsidP="00C76ADA">
            <w:pPr>
              <w:ind w:left="186"/>
              <w:jc w:val="left"/>
              <w:rPr>
                <w:rFonts w:ascii="Garamond" w:hAnsi="Garamond"/>
                <w:sz w:val="23"/>
                <w:szCs w:val="23"/>
              </w:rPr>
            </w:pPr>
            <w:r w:rsidRPr="00643267">
              <w:rPr>
                <w:rFonts w:ascii="Garamond" w:hAnsi="Garamond"/>
                <w:sz w:val="23"/>
                <w:szCs w:val="23"/>
              </w:rPr>
              <w:t>Difference between CBL and day-of usage over three-hour period beginning four hours before first event. Added to CBL during event hours.</w:t>
            </w:r>
          </w:p>
        </w:tc>
      </w:tr>
      <w:tr w:rsidR="00C76ADA" w:rsidRPr="00643267" w:rsidTr="00C76ADA">
        <w:tc>
          <w:tcPr>
            <w:tcW w:w="1368" w:type="dxa"/>
            <w:vAlign w:val="center"/>
          </w:tcPr>
          <w:p w:rsidR="00C76ADA" w:rsidRPr="00643267" w:rsidRDefault="00C76ADA" w:rsidP="00C76ADA">
            <w:pPr>
              <w:jc w:val="center"/>
              <w:rPr>
                <w:rFonts w:ascii="Garamond" w:hAnsi="Garamond"/>
                <w:sz w:val="23"/>
                <w:szCs w:val="23"/>
              </w:rPr>
            </w:pPr>
            <w:r w:rsidRPr="00643267">
              <w:rPr>
                <w:rFonts w:ascii="Garamond" w:hAnsi="Garamond"/>
                <w:sz w:val="23"/>
                <w:szCs w:val="23"/>
              </w:rPr>
              <w:t>CAISO</w:t>
            </w:r>
          </w:p>
        </w:tc>
        <w:tc>
          <w:tcPr>
            <w:tcW w:w="5220" w:type="dxa"/>
          </w:tcPr>
          <w:p w:rsidR="00C76ADA" w:rsidRPr="00643267" w:rsidRDefault="00C76ADA" w:rsidP="00C76ADA">
            <w:pPr>
              <w:jc w:val="left"/>
              <w:rPr>
                <w:rFonts w:ascii="Garamond" w:hAnsi="Garamond"/>
                <w:sz w:val="23"/>
                <w:szCs w:val="23"/>
              </w:rPr>
            </w:pPr>
            <w:r w:rsidRPr="00643267">
              <w:rPr>
                <w:rFonts w:ascii="Garamond" w:hAnsi="Garamond"/>
                <w:sz w:val="23"/>
                <w:szCs w:val="23"/>
              </w:rPr>
              <w:t>Weekdays</w:t>
            </w:r>
          </w:p>
          <w:p w:rsidR="00C76ADA" w:rsidRPr="00643267" w:rsidRDefault="00C76ADA" w:rsidP="00C76ADA">
            <w:pPr>
              <w:ind w:left="252"/>
              <w:jc w:val="left"/>
              <w:rPr>
                <w:rFonts w:ascii="Garamond" w:hAnsi="Garamond"/>
                <w:sz w:val="23"/>
                <w:szCs w:val="23"/>
              </w:rPr>
            </w:pPr>
            <w:r w:rsidRPr="00643267">
              <w:rPr>
                <w:rFonts w:ascii="Garamond" w:hAnsi="Garamond"/>
                <w:sz w:val="23"/>
                <w:szCs w:val="23"/>
              </w:rPr>
              <w:t>Average of 10 most recent similar, non-event days. 45 calendar-days look back window. If not 10 days, use minimum of 5 days. If not 5 days, use highest event days in window to reach 5.</w:t>
            </w:r>
          </w:p>
          <w:p w:rsidR="00C76ADA" w:rsidRPr="00643267" w:rsidRDefault="00C76ADA" w:rsidP="00C76ADA">
            <w:pPr>
              <w:jc w:val="left"/>
              <w:rPr>
                <w:rFonts w:ascii="Garamond" w:hAnsi="Garamond"/>
                <w:sz w:val="23"/>
                <w:szCs w:val="23"/>
              </w:rPr>
            </w:pPr>
            <w:r w:rsidRPr="00643267">
              <w:rPr>
                <w:rFonts w:ascii="Garamond" w:hAnsi="Garamond"/>
                <w:sz w:val="23"/>
                <w:szCs w:val="23"/>
              </w:rPr>
              <w:t>Weekends/Holidays</w:t>
            </w:r>
          </w:p>
          <w:p w:rsidR="00C76ADA" w:rsidRPr="00643267" w:rsidRDefault="00C76ADA" w:rsidP="00C76ADA">
            <w:pPr>
              <w:ind w:left="252"/>
              <w:jc w:val="left"/>
              <w:rPr>
                <w:rFonts w:ascii="Garamond" w:hAnsi="Garamond"/>
                <w:sz w:val="23"/>
                <w:szCs w:val="23"/>
              </w:rPr>
            </w:pPr>
            <w:r w:rsidRPr="00643267">
              <w:rPr>
                <w:rFonts w:ascii="Garamond" w:hAnsi="Garamond"/>
                <w:sz w:val="23"/>
                <w:szCs w:val="23"/>
              </w:rPr>
              <w:t>Average of 4 most recent similar, non-event days. 45 calendar-days look back window. If not 4 days, use highest event days to reach 4.</w:t>
            </w:r>
          </w:p>
        </w:tc>
        <w:tc>
          <w:tcPr>
            <w:tcW w:w="3192" w:type="dxa"/>
            <w:vAlign w:val="center"/>
          </w:tcPr>
          <w:p w:rsidR="00C76ADA" w:rsidRPr="00643267" w:rsidRDefault="00C76ADA" w:rsidP="00C76ADA">
            <w:pPr>
              <w:jc w:val="left"/>
              <w:rPr>
                <w:rFonts w:ascii="Garamond" w:hAnsi="Garamond"/>
                <w:sz w:val="23"/>
                <w:szCs w:val="23"/>
              </w:rPr>
            </w:pPr>
            <w:r w:rsidRPr="00643267">
              <w:rPr>
                <w:rFonts w:ascii="Garamond" w:hAnsi="Garamond"/>
                <w:sz w:val="23"/>
                <w:szCs w:val="23"/>
              </w:rPr>
              <w:t>Multiplicative, symmetric</w:t>
            </w:r>
          </w:p>
          <w:p w:rsidR="00C76ADA" w:rsidRPr="00643267" w:rsidRDefault="00C76ADA" w:rsidP="00C76ADA">
            <w:pPr>
              <w:ind w:left="162"/>
              <w:jc w:val="left"/>
              <w:rPr>
                <w:rFonts w:ascii="Garamond" w:hAnsi="Garamond"/>
                <w:sz w:val="23"/>
                <w:szCs w:val="23"/>
              </w:rPr>
            </w:pPr>
            <w:r w:rsidRPr="00643267">
              <w:rPr>
                <w:rFonts w:ascii="Garamond" w:hAnsi="Garamond"/>
                <w:sz w:val="23"/>
                <w:szCs w:val="23"/>
              </w:rPr>
              <w:t>Ratio of actual usage to baseline over three-hour period beginning four hours before first event. Multiplies baseline on event day. Cannot go below 80% or above 120%.</w:t>
            </w:r>
          </w:p>
        </w:tc>
      </w:tr>
      <w:tr w:rsidR="00C76ADA" w:rsidRPr="00643267" w:rsidTr="00505D13">
        <w:tc>
          <w:tcPr>
            <w:tcW w:w="1368" w:type="dxa"/>
            <w:vAlign w:val="center"/>
          </w:tcPr>
          <w:p w:rsidR="00C76ADA" w:rsidRPr="00643267" w:rsidRDefault="00C76ADA" w:rsidP="00505D13">
            <w:pPr>
              <w:jc w:val="center"/>
              <w:rPr>
                <w:rFonts w:ascii="Garamond" w:hAnsi="Garamond"/>
                <w:sz w:val="23"/>
                <w:szCs w:val="23"/>
              </w:rPr>
            </w:pPr>
            <w:r w:rsidRPr="00643267">
              <w:rPr>
                <w:rFonts w:ascii="Garamond" w:hAnsi="Garamond"/>
                <w:sz w:val="23"/>
                <w:szCs w:val="23"/>
              </w:rPr>
              <w:t>NYISO</w:t>
            </w:r>
          </w:p>
          <w:p w:rsidR="00C76ADA" w:rsidRPr="00643267" w:rsidRDefault="00C76ADA" w:rsidP="00505D13">
            <w:pPr>
              <w:jc w:val="center"/>
              <w:rPr>
                <w:rFonts w:ascii="Garamond" w:hAnsi="Garamond"/>
                <w:sz w:val="23"/>
                <w:szCs w:val="23"/>
              </w:rPr>
            </w:pPr>
          </w:p>
          <w:p w:rsidR="00C76ADA" w:rsidRPr="00643267" w:rsidRDefault="00C76ADA" w:rsidP="00505D13">
            <w:pPr>
              <w:jc w:val="center"/>
              <w:rPr>
                <w:rFonts w:ascii="Garamond" w:hAnsi="Garamond"/>
                <w:sz w:val="23"/>
                <w:szCs w:val="23"/>
              </w:rPr>
            </w:pPr>
          </w:p>
          <w:p w:rsidR="00C76ADA" w:rsidRPr="00643267" w:rsidRDefault="00C76ADA" w:rsidP="00505D13">
            <w:pPr>
              <w:jc w:val="center"/>
              <w:rPr>
                <w:rFonts w:ascii="Garamond" w:hAnsi="Garamond"/>
                <w:sz w:val="23"/>
                <w:szCs w:val="23"/>
              </w:rPr>
            </w:pPr>
          </w:p>
        </w:tc>
        <w:tc>
          <w:tcPr>
            <w:tcW w:w="5220" w:type="dxa"/>
          </w:tcPr>
          <w:p w:rsidR="00C76ADA" w:rsidRPr="00643267" w:rsidRDefault="00C76ADA" w:rsidP="00C76ADA">
            <w:pPr>
              <w:jc w:val="left"/>
              <w:rPr>
                <w:rFonts w:ascii="Garamond" w:hAnsi="Garamond"/>
                <w:sz w:val="23"/>
                <w:szCs w:val="23"/>
              </w:rPr>
            </w:pPr>
            <w:r w:rsidRPr="00643267">
              <w:rPr>
                <w:rFonts w:ascii="Garamond" w:hAnsi="Garamond"/>
                <w:sz w:val="23"/>
                <w:szCs w:val="23"/>
              </w:rPr>
              <w:t>Weekdays</w:t>
            </w:r>
          </w:p>
          <w:p w:rsidR="00C76ADA" w:rsidRPr="00643267" w:rsidRDefault="00C76ADA" w:rsidP="00C76ADA">
            <w:pPr>
              <w:ind w:left="252"/>
              <w:jc w:val="left"/>
              <w:rPr>
                <w:rFonts w:ascii="Garamond" w:hAnsi="Garamond"/>
                <w:sz w:val="23"/>
                <w:szCs w:val="23"/>
              </w:rPr>
            </w:pPr>
            <w:r w:rsidRPr="00643267">
              <w:rPr>
                <w:rFonts w:ascii="Garamond" w:hAnsi="Garamond"/>
                <w:sz w:val="23"/>
                <w:szCs w:val="23"/>
              </w:rPr>
              <w:t>Use a 10 previous weekday look-back window. For hours within past 10 day</w:t>
            </w:r>
            <w:r>
              <w:rPr>
                <w:rFonts w:ascii="Garamond" w:hAnsi="Garamond"/>
                <w:sz w:val="23"/>
                <w:szCs w:val="23"/>
              </w:rPr>
              <w:t>s</w:t>
            </w:r>
            <w:r w:rsidRPr="00643267">
              <w:rPr>
                <w:rFonts w:ascii="Garamond" w:hAnsi="Garamond"/>
                <w:sz w:val="23"/>
                <w:szCs w:val="23"/>
              </w:rPr>
              <w:t xml:space="preserve"> where no day-ahead reduction was scheduled, actual metered data is used. For hours where a day-ahead reduction was scheduled, the 10 weekday values are ranked in descending order and the baseline is the average of the 5</w:t>
            </w:r>
            <w:r w:rsidRPr="00643267">
              <w:rPr>
                <w:rFonts w:ascii="Garamond" w:hAnsi="Garamond"/>
                <w:sz w:val="23"/>
                <w:szCs w:val="23"/>
                <w:vertAlign w:val="superscript"/>
              </w:rPr>
              <w:t>th</w:t>
            </w:r>
            <w:r w:rsidRPr="00643267">
              <w:rPr>
                <w:rFonts w:ascii="Garamond" w:hAnsi="Garamond"/>
                <w:sz w:val="23"/>
                <w:szCs w:val="23"/>
              </w:rPr>
              <w:t xml:space="preserve"> and 6</w:t>
            </w:r>
            <w:r w:rsidRPr="00643267">
              <w:rPr>
                <w:rFonts w:ascii="Garamond" w:hAnsi="Garamond"/>
                <w:sz w:val="23"/>
                <w:szCs w:val="23"/>
                <w:vertAlign w:val="superscript"/>
              </w:rPr>
              <w:t>th</w:t>
            </w:r>
            <w:r w:rsidRPr="00643267">
              <w:rPr>
                <w:rFonts w:ascii="Garamond" w:hAnsi="Garamond"/>
                <w:sz w:val="23"/>
                <w:szCs w:val="23"/>
              </w:rPr>
              <w:t xml:space="preserve"> ranked values.</w:t>
            </w:r>
          </w:p>
          <w:p w:rsidR="00C76ADA" w:rsidRPr="00643267" w:rsidRDefault="00C76ADA" w:rsidP="00C76ADA">
            <w:pPr>
              <w:jc w:val="left"/>
              <w:rPr>
                <w:rFonts w:ascii="Garamond" w:hAnsi="Garamond"/>
                <w:sz w:val="23"/>
                <w:szCs w:val="23"/>
              </w:rPr>
            </w:pPr>
            <w:r w:rsidRPr="00643267">
              <w:rPr>
                <w:rFonts w:ascii="Garamond" w:hAnsi="Garamond"/>
                <w:sz w:val="23"/>
                <w:szCs w:val="23"/>
              </w:rPr>
              <w:t>Weekends</w:t>
            </w:r>
          </w:p>
          <w:p w:rsidR="00C76ADA" w:rsidRPr="00643267" w:rsidRDefault="00C76ADA" w:rsidP="00C76ADA">
            <w:pPr>
              <w:ind w:left="252"/>
              <w:jc w:val="left"/>
              <w:rPr>
                <w:rFonts w:ascii="Garamond" w:hAnsi="Garamond"/>
                <w:sz w:val="23"/>
                <w:szCs w:val="23"/>
              </w:rPr>
            </w:pPr>
            <w:r w:rsidRPr="00643267">
              <w:rPr>
                <w:rFonts w:ascii="Garamond" w:hAnsi="Garamond"/>
                <w:sz w:val="23"/>
                <w:szCs w:val="23"/>
              </w:rPr>
              <w:t>Use a 3 previous same weekend day (i.e. Saturday or Sunday) look-back window. For hours in past 3 days with no day-ahead reduction scheduled, use actual metered load. For hours where a day-ahead reduction was scheduled, use average of the 3 previous days for that hour.</w:t>
            </w:r>
          </w:p>
        </w:tc>
        <w:tc>
          <w:tcPr>
            <w:tcW w:w="3192" w:type="dxa"/>
            <w:vAlign w:val="center"/>
          </w:tcPr>
          <w:p w:rsidR="00C76ADA" w:rsidRPr="00643267" w:rsidRDefault="00C76ADA" w:rsidP="00C76ADA">
            <w:pPr>
              <w:jc w:val="left"/>
              <w:rPr>
                <w:rFonts w:ascii="Garamond" w:hAnsi="Garamond"/>
                <w:sz w:val="23"/>
                <w:szCs w:val="23"/>
              </w:rPr>
            </w:pPr>
            <w:r w:rsidRPr="00643267">
              <w:rPr>
                <w:rFonts w:ascii="Garamond" w:hAnsi="Garamond"/>
                <w:sz w:val="23"/>
                <w:szCs w:val="23"/>
              </w:rPr>
              <w:t>Multiplicative, symmetric</w:t>
            </w:r>
          </w:p>
          <w:p w:rsidR="00C76ADA" w:rsidRPr="00643267" w:rsidRDefault="00C76ADA" w:rsidP="00C76ADA">
            <w:pPr>
              <w:ind w:left="162"/>
              <w:jc w:val="left"/>
              <w:rPr>
                <w:rFonts w:ascii="Garamond" w:hAnsi="Garamond"/>
                <w:sz w:val="23"/>
                <w:szCs w:val="23"/>
              </w:rPr>
            </w:pPr>
            <w:r w:rsidRPr="00643267">
              <w:rPr>
                <w:rFonts w:ascii="Garamond" w:hAnsi="Garamond"/>
                <w:sz w:val="23"/>
                <w:szCs w:val="23"/>
              </w:rPr>
              <w:t>Ratio of actual usage to baseline over two-hour period beginning four hours before the first event. Cannot be below 80% or above 120%.</w:t>
            </w:r>
          </w:p>
        </w:tc>
      </w:tr>
    </w:tbl>
    <w:p w:rsidR="00505D13" w:rsidRDefault="00505D13">
      <w:r>
        <w:br w:type="page"/>
      </w:r>
    </w:p>
    <w:tbl>
      <w:tblPr>
        <w:tblStyle w:val="TableGrid"/>
        <w:tblW w:w="9780" w:type="dxa"/>
        <w:tblLook w:val="04A0" w:firstRow="1" w:lastRow="0" w:firstColumn="1" w:lastColumn="0" w:noHBand="0" w:noVBand="1"/>
      </w:tblPr>
      <w:tblGrid>
        <w:gridCol w:w="1368"/>
        <w:gridCol w:w="5220"/>
        <w:gridCol w:w="3192"/>
      </w:tblGrid>
      <w:tr w:rsidR="00505D13" w:rsidRPr="00505D13" w:rsidTr="00505D13">
        <w:trPr>
          <w:trHeight w:val="440"/>
        </w:trPr>
        <w:tc>
          <w:tcPr>
            <w:tcW w:w="1368" w:type="dxa"/>
            <w:shd w:val="clear" w:color="auto" w:fill="1F497D" w:themeFill="text2"/>
            <w:vAlign w:val="center"/>
          </w:tcPr>
          <w:p w:rsidR="00505D13" w:rsidRPr="00505D13" w:rsidRDefault="00505D13" w:rsidP="00505D13">
            <w:pPr>
              <w:jc w:val="center"/>
              <w:rPr>
                <w:rFonts w:ascii="Garamond" w:hAnsi="Garamond"/>
                <w:b/>
                <w:color w:val="FFFFFF" w:themeColor="background1"/>
                <w:sz w:val="23"/>
                <w:szCs w:val="23"/>
              </w:rPr>
            </w:pPr>
            <w:r w:rsidRPr="00505D13">
              <w:rPr>
                <w:rFonts w:ascii="Garamond" w:hAnsi="Garamond"/>
                <w:b/>
                <w:color w:val="FFFFFF" w:themeColor="background1"/>
                <w:sz w:val="23"/>
                <w:szCs w:val="23"/>
              </w:rPr>
              <w:lastRenderedPageBreak/>
              <w:t>Entity</w:t>
            </w:r>
          </w:p>
        </w:tc>
        <w:tc>
          <w:tcPr>
            <w:tcW w:w="5220" w:type="dxa"/>
            <w:shd w:val="clear" w:color="auto" w:fill="1F497D" w:themeFill="text2"/>
            <w:vAlign w:val="center"/>
          </w:tcPr>
          <w:p w:rsidR="00505D13" w:rsidRPr="00505D13" w:rsidRDefault="00505D13" w:rsidP="00505D13">
            <w:pPr>
              <w:jc w:val="center"/>
              <w:rPr>
                <w:rFonts w:ascii="Garamond" w:hAnsi="Garamond"/>
                <w:b/>
                <w:color w:val="FFFFFF" w:themeColor="background1"/>
                <w:sz w:val="23"/>
                <w:szCs w:val="23"/>
              </w:rPr>
            </w:pPr>
            <w:r w:rsidRPr="00505D13">
              <w:rPr>
                <w:rFonts w:ascii="Garamond" w:hAnsi="Garamond"/>
                <w:b/>
                <w:color w:val="FFFFFF" w:themeColor="background1"/>
                <w:sz w:val="23"/>
                <w:szCs w:val="23"/>
              </w:rPr>
              <w:t>Baseline Methodology</w:t>
            </w:r>
          </w:p>
        </w:tc>
        <w:tc>
          <w:tcPr>
            <w:tcW w:w="3192" w:type="dxa"/>
            <w:shd w:val="clear" w:color="auto" w:fill="1F497D" w:themeFill="text2"/>
            <w:vAlign w:val="center"/>
          </w:tcPr>
          <w:p w:rsidR="00505D13" w:rsidRPr="00505D13" w:rsidRDefault="00505D13" w:rsidP="00505D13">
            <w:pPr>
              <w:jc w:val="center"/>
              <w:rPr>
                <w:rFonts w:ascii="Garamond" w:hAnsi="Garamond"/>
                <w:b/>
                <w:color w:val="FFFFFF" w:themeColor="background1"/>
                <w:sz w:val="23"/>
                <w:szCs w:val="23"/>
              </w:rPr>
            </w:pPr>
            <w:r w:rsidRPr="00505D13">
              <w:rPr>
                <w:rFonts w:ascii="Garamond" w:hAnsi="Garamond"/>
                <w:b/>
                <w:color w:val="FFFFFF" w:themeColor="background1"/>
                <w:sz w:val="23"/>
                <w:szCs w:val="23"/>
              </w:rPr>
              <w:t>Adjustment</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CA</w:t>
            </w:r>
          </w:p>
        </w:tc>
        <w:tc>
          <w:tcPr>
            <w:tcW w:w="5220" w:type="dxa"/>
          </w:tcPr>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“10-in-10 baseline with day-of adjustment.”</w:t>
            </w:r>
          </w:p>
          <w:p w:rsidR="00505D13" w:rsidRPr="00643267" w:rsidRDefault="00505D13" w:rsidP="00C76ADA">
            <w:pPr>
              <w:ind w:left="252"/>
              <w:jc w:val="left"/>
              <w:rPr>
                <w:rFonts w:ascii="Garamond" w:hAnsi="Garamond"/>
                <w:sz w:val="23"/>
                <w:szCs w:val="23"/>
              </w:rPr>
            </w:pPr>
            <w:r w:rsidRPr="00643267">
              <w:rPr>
                <w:rFonts w:ascii="Garamond" w:hAnsi="Garamond"/>
                <w:sz w:val="23"/>
                <w:szCs w:val="23"/>
              </w:rPr>
              <w:t xml:space="preserve">Average for each hour of 10 previous non-events, non-holiday weekdays. </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Multiplicative, symmetric. Same as CAISO but capped at 40%.</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IL – ComEd</w:t>
            </w:r>
          </w:p>
        </w:tc>
        <w:tc>
          <w:tcPr>
            <w:tcW w:w="5220" w:type="dxa"/>
          </w:tcPr>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Average usage of the past 5 business days</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None</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OH – Duke Energy</w:t>
            </w:r>
          </w:p>
        </w:tc>
        <w:tc>
          <w:tcPr>
            <w:tcW w:w="5220" w:type="dxa"/>
          </w:tcPr>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One complete year of hourly metered data</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None</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NY – ConEd</w:t>
            </w:r>
          </w:p>
        </w:tc>
        <w:tc>
          <w:tcPr>
            <w:tcW w:w="5220" w:type="dxa"/>
          </w:tcPr>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Choice of NYISO Average CBL or Adjusted CBL</w:t>
            </w:r>
          </w:p>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Weekdays</w:t>
            </w:r>
          </w:p>
          <w:p w:rsidR="00505D13" w:rsidRPr="00643267" w:rsidRDefault="00505D13" w:rsidP="00C76ADA">
            <w:pPr>
              <w:ind w:left="252"/>
              <w:jc w:val="left"/>
              <w:rPr>
                <w:rFonts w:ascii="Garamond" w:hAnsi="Garamond"/>
                <w:sz w:val="23"/>
                <w:szCs w:val="23"/>
              </w:rPr>
            </w:pPr>
            <w:r w:rsidRPr="00643267">
              <w:rPr>
                <w:rFonts w:ascii="Garamond" w:hAnsi="Garamond"/>
                <w:sz w:val="23"/>
                <w:szCs w:val="23"/>
              </w:rPr>
              <w:t>Uses 10</w:t>
            </w:r>
            <w:r w:rsidR="00ED4BCD">
              <w:rPr>
                <w:rFonts w:ascii="Garamond" w:hAnsi="Garamond"/>
                <w:sz w:val="23"/>
                <w:szCs w:val="23"/>
              </w:rPr>
              <w:t xml:space="preserve"> </w:t>
            </w:r>
            <w:r w:rsidRPr="00643267">
              <w:rPr>
                <w:rFonts w:ascii="Garamond" w:hAnsi="Garamond"/>
                <w:sz w:val="23"/>
                <w:szCs w:val="23"/>
              </w:rPr>
              <w:t>days prior to an event, excluding events, weekends, holidays, or low usage days. 10 days are ordered based on average daily event period usage, and the five lowest days are eliminated. CBL is the average of the remaining five days.</w:t>
            </w:r>
          </w:p>
          <w:p w:rsidR="00505D13" w:rsidRPr="00643267" w:rsidRDefault="00505D13" w:rsidP="00C76ADA">
            <w:pPr>
              <w:jc w:val="left"/>
              <w:rPr>
                <w:rFonts w:ascii="Garamond" w:hAnsi="Garamond"/>
                <w:sz w:val="23"/>
                <w:szCs w:val="23"/>
              </w:rPr>
            </w:pPr>
            <w:r w:rsidRPr="00643267">
              <w:rPr>
                <w:rFonts w:ascii="Garamond" w:hAnsi="Garamond"/>
                <w:sz w:val="23"/>
                <w:szCs w:val="23"/>
              </w:rPr>
              <w:t>Weekends</w:t>
            </w:r>
          </w:p>
          <w:p w:rsidR="00505D13" w:rsidRPr="00643267" w:rsidRDefault="00505D13" w:rsidP="00C76ADA">
            <w:pPr>
              <w:ind w:left="252"/>
              <w:jc w:val="left"/>
              <w:rPr>
                <w:rFonts w:ascii="Garamond" w:hAnsi="Garamond"/>
                <w:sz w:val="23"/>
                <w:szCs w:val="23"/>
              </w:rPr>
            </w:pPr>
            <w:r w:rsidRPr="00643267">
              <w:rPr>
                <w:rFonts w:ascii="Garamond" w:hAnsi="Garamond"/>
                <w:sz w:val="23"/>
                <w:szCs w:val="23"/>
              </w:rPr>
              <w:t>Uses three like days (either Saturdays or Sundays) prior to an event, with no exclusions for Holidays or event days. The three days are ordered based on average daily event period usage, and the lowest day is eliminated. The CBL is the average of the remaining two days.</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Average CBL – none</w:t>
            </w:r>
          </w:p>
          <w:p w:rsidR="00505D13" w:rsidRPr="00643267" w:rsidRDefault="00505D13" w:rsidP="00C76ADA">
            <w:pPr>
              <w:jc w:val="left"/>
              <w:rPr>
                <w:rFonts w:ascii="Garamond" w:hAnsi="Garamond"/>
                <w:sz w:val="23"/>
                <w:szCs w:val="23"/>
              </w:rPr>
            </w:pPr>
            <w:r w:rsidRPr="00643267">
              <w:rPr>
                <w:rFonts w:ascii="Garamond" w:hAnsi="Garamond"/>
                <w:sz w:val="23"/>
                <w:szCs w:val="23"/>
              </w:rPr>
              <w:t xml:space="preserve">Adjusted CBL – </w:t>
            </w:r>
          </w:p>
          <w:p w:rsidR="00505D13" w:rsidRPr="00643267" w:rsidRDefault="00505D13" w:rsidP="00C76ADA">
            <w:pPr>
              <w:ind w:left="162"/>
              <w:jc w:val="left"/>
              <w:rPr>
                <w:rFonts w:ascii="Garamond" w:hAnsi="Garamond"/>
                <w:sz w:val="23"/>
                <w:szCs w:val="23"/>
              </w:rPr>
            </w:pPr>
            <w:r w:rsidRPr="00643267">
              <w:rPr>
                <w:rFonts w:ascii="Garamond" w:hAnsi="Garamond"/>
                <w:sz w:val="23"/>
                <w:szCs w:val="23"/>
              </w:rPr>
              <w:t>Ratio of customer</w:t>
            </w:r>
            <w:r>
              <w:rPr>
                <w:rFonts w:ascii="Garamond" w:hAnsi="Garamond"/>
                <w:sz w:val="23"/>
                <w:szCs w:val="23"/>
              </w:rPr>
              <w:t>’</w:t>
            </w:r>
            <w:r w:rsidRPr="00643267">
              <w:rPr>
                <w:rFonts w:ascii="Garamond" w:hAnsi="Garamond"/>
                <w:sz w:val="23"/>
                <w:szCs w:val="23"/>
              </w:rPr>
              <w:t>s demand to CBL demand during two-hour period four hours prior to beginning of event</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PA</w:t>
            </w:r>
          </w:p>
        </w:tc>
        <w:tc>
          <w:tcPr>
            <w:tcW w:w="5220" w:type="dxa"/>
          </w:tcPr>
          <w:p w:rsidR="00505D13" w:rsidRPr="00643267" w:rsidRDefault="00505D13" w:rsidP="00C76ADA">
            <w:pPr>
              <w:ind w:left="252" w:hanging="252"/>
              <w:jc w:val="left"/>
              <w:rPr>
                <w:rFonts w:ascii="Garamond" w:hAnsi="Garamond"/>
                <w:sz w:val="23"/>
                <w:szCs w:val="23"/>
              </w:rPr>
            </w:pPr>
            <w:r w:rsidRPr="00643267">
              <w:rPr>
                <w:rFonts w:ascii="Garamond" w:hAnsi="Garamond"/>
                <w:sz w:val="23"/>
                <w:szCs w:val="23"/>
              </w:rPr>
              <w:t xml:space="preserve">Use </w:t>
            </w:r>
            <w:r>
              <w:rPr>
                <w:rFonts w:ascii="Garamond" w:hAnsi="Garamond"/>
                <w:sz w:val="23"/>
                <w:szCs w:val="23"/>
              </w:rPr>
              <w:t xml:space="preserve">PA </w:t>
            </w:r>
            <w:r w:rsidRPr="00643267">
              <w:rPr>
                <w:rFonts w:ascii="Garamond" w:hAnsi="Garamond"/>
                <w:sz w:val="23"/>
                <w:szCs w:val="23"/>
              </w:rPr>
              <w:t>T</w:t>
            </w:r>
            <w:r>
              <w:rPr>
                <w:rFonts w:ascii="Garamond" w:hAnsi="Garamond"/>
                <w:sz w:val="23"/>
                <w:szCs w:val="23"/>
              </w:rPr>
              <w:t xml:space="preserve">echnical </w:t>
            </w:r>
            <w:r w:rsidRPr="00643267">
              <w:rPr>
                <w:rFonts w:ascii="Garamond" w:hAnsi="Garamond"/>
                <w:sz w:val="23"/>
                <w:szCs w:val="23"/>
              </w:rPr>
              <w:t>R</w:t>
            </w:r>
            <w:r>
              <w:rPr>
                <w:rFonts w:ascii="Garamond" w:hAnsi="Garamond"/>
                <w:sz w:val="23"/>
                <w:szCs w:val="23"/>
              </w:rPr>
              <w:t xml:space="preserve">eference </w:t>
            </w:r>
            <w:r w:rsidRPr="00643267">
              <w:rPr>
                <w:rFonts w:ascii="Garamond" w:hAnsi="Garamond"/>
                <w:sz w:val="23"/>
                <w:szCs w:val="23"/>
              </w:rPr>
              <w:t>M</w:t>
            </w:r>
            <w:r>
              <w:rPr>
                <w:rFonts w:ascii="Garamond" w:hAnsi="Garamond"/>
                <w:sz w:val="23"/>
                <w:szCs w:val="23"/>
              </w:rPr>
              <w:t>anual (TRM)</w:t>
            </w:r>
            <w:r w:rsidRPr="00643267">
              <w:rPr>
                <w:rFonts w:ascii="Garamond" w:hAnsi="Garamond"/>
                <w:sz w:val="23"/>
                <w:szCs w:val="23"/>
              </w:rPr>
              <w:t xml:space="preserve"> and PJM Protocols</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 xml:space="preserve">See PJM </w:t>
            </w:r>
            <w:r w:rsidR="00A818C1">
              <w:rPr>
                <w:rFonts w:ascii="Garamond" w:hAnsi="Garamond"/>
                <w:sz w:val="23"/>
                <w:szCs w:val="23"/>
              </w:rPr>
              <w:t>Manual 11 and 18</w:t>
            </w:r>
          </w:p>
        </w:tc>
      </w:tr>
      <w:tr w:rsidR="00505D13" w:rsidRPr="00643267" w:rsidTr="00C76ADA">
        <w:tc>
          <w:tcPr>
            <w:tcW w:w="1368" w:type="dxa"/>
            <w:vAlign w:val="center"/>
          </w:tcPr>
          <w:p w:rsidR="00505D13" w:rsidRPr="00643267" w:rsidRDefault="00505D13" w:rsidP="00C76ADA">
            <w:pPr>
              <w:jc w:val="center"/>
              <w:rPr>
                <w:rFonts w:ascii="Garamond" w:hAnsi="Garamond"/>
                <w:sz w:val="23"/>
                <w:szCs w:val="23"/>
              </w:rPr>
            </w:pPr>
            <w:r w:rsidRPr="00643267">
              <w:rPr>
                <w:rFonts w:ascii="Garamond" w:hAnsi="Garamond"/>
                <w:sz w:val="23"/>
                <w:szCs w:val="23"/>
              </w:rPr>
              <w:t>WI - WEPCO</w:t>
            </w:r>
          </w:p>
        </w:tc>
        <w:tc>
          <w:tcPr>
            <w:tcW w:w="5220" w:type="dxa"/>
          </w:tcPr>
          <w:p w:rsidR="00505D13" w:rsidRPr="00643267" w:rsidRDefault="00505D13" w:rsidP="00C76ADA">
            <w:pPr>
              <w:jc w:val="left"/>
              <w:rPr>
                <w:rFonts w:ascii="Garamond" w:hAnsi="Garamond"/>
                <w:sz w:val="23"/>
                <w:szCs w:val="23"/>
              </w:rPr>
            </w:pPr>
            <w:r w:rsidRPr="00643267">
              <w:rPr>
                <w:rFonts w:ascii="Garamond" w:hAnsi="Garamond"/>
                <w:sz w:val="23"/>
                <w:szCs w:val="23"/>
              </w:rPr>
              <w:t>The average measured demands occurring between 10am and 4pm on the first two weekdays preceding each day that a curtailment occurred, excluding weekends, holidays, and curtailment days</w:t>
            </w:r>
          </w:p>
        </w:tc>
        <w:tc>
          <w:tcPr>
            <w:tcW w:w="3192" w:type="dxa"/>
            <w:vAlign w:val="center"/>
          </w:tcPr>
          <w:p w:rsidR="00505D13" w:rsidRPr="00643267" w:rsidRDefault="00505D13" w:rsidP="00C76ADA">
            <w:pPr>
              <w:jc w:val="left"/>
              <w:rPr>
                <w:rFonts w:ascii="Garamond" w:hAnsi="Garamond"/>
                <w:sz w:val="23"/>
                <w:szCs w:val="23"/>
              </w:rPr>
            </w:pPr>
            <w:r w:rsidRPr="00643267">
              <w:rPr>
                <w:rFonts w:ascii="Garamond" w:hAnsi="Garamond"/>
                <w:sz w:val="23"/>
                <w:szCs w:val="23"/>
              </w:rPr>
              <w:t>None</w:t>
            </w:r>
          </w:p>
        </w:tc>
      </w:tr>
    </w:tbl>
    <w:p w:rsidR="00C76ADA" w:rsidRPr="00643267" w:rsidRDefault="00C76ADA" w:rsidP="00953E0F">
      <w:pPr>
        <w:spacing w:after="0" w:line="240" w:lineRule="auto"/>
        <w:rPr>
          <w:rFonts w:ascii="Garamond" w:hAnsi="Garamond"/>
          <w:sz w:val="23"/>
          <w:szCs w:val="23"/>
        </w:rPr>
      </w:pPr>
    </w:p>
    <w:p w:rsidR="00505D13" w:rsidRPr="00643267" w:rsidRDefault="005D2D99" w:rsidP="00505D13">
      <w:pPr>
        <w:spacing w:after="120" w:line="240" w:lineRule="auto"/>
        <w:rPr>
          <w:rFonts w:ascii="Garamond" w:hAnsi="Garamond"/>
          <w:sz w:val="23"/>
          <w:szCs w:val="23"/>
        </w:rPr>
      </w:pPr>
      <w:r>
        <w:rPr>
          <w:rFonts w:ascii="Garamond" w:hAnsi="Garamond"/>
          <w:sz w:val="23"/>
          <w:szCs w:val="23"/>
        </w:rPr>
        <w:t>Measurement &amp; Verification (M&amp;V) of savings generated by the Pennsylvania Act 129 DR programs is based on the</w:t>
      </w:r>
      <w:r w:rsidR="00505D13" w:rsidRPr="00643267">
        <w:rPr>
          <w:rFonts w:ascii="Garamond" w:hAnsi="Garamond"/>
          <w:sz w:val="23"/>
          <w:szCs w:val="23"/>
        </w:rPr>
        <w:t xml:space="preserve"> protocols specified in the </w:t>
      </w:r>
      <w:r>
        <w:rPr>
          <w:rFonts w:ascii="Garamond" w:hAnsi="Garamond"/>
          <w:sz w:val="23"/>
          <w:szCs w:val="23"/>
        </w:rPr>
        <w:t xml:space="preserve">Act 129 </w:t>
      </w:r>
      <w:r w:rsidR="00505D13" w:rsidRPr="00643267">
        <w:rPr>
          <w:rFonts w:ascii="Garamond" w:hAnsi="Garamond"/>
          <w:sz w:val="23"/>
          <w:szCs w:val="23"/>
        </w:rPr>
        <w:t>TRM, the current version as adopted by the Commission effective June 1, 2012.</w:t>
      </w:r>
      <w:r w:rsidR="00505D13" w:rsidRPr="00643267">
        <w:rPr>
          <w:rStyle w:val="FootnoteReference"/>
          <w:rFonts w:ascii="Garamond" w:hAnsi="Garamond"/>
          <w:sz w:val="23"/>
          <w:szCs w:val="23"/>
        </w:rPr>
        <w:footnoteReference w:id="18"/>
      </w:r>
      <w:r w:rsidR="00505D13" w:rsidRPr="00643267">
        <w:rPr>
          <w:rFonts w:ascii="Garamond" w:hAnsi="Garamond"/>
          <w:sz w:val="23"/>
          <w:szCs w:val="23"/>
        </w:rPr>
        <w:t xml:space="preserve">  The following is a summary of the provisions of the 2012 TRM addressing DR:</w:t>
      </w:r>
      <w:r w:rsidR="00505D13">
        <w:rPr>
          <w:rStyle w:val="FootnoteReference"/>
          <w:rFonts w:ascii="Garamond" w:hAnsi="Garamond"/>
          <w:sz w:val="23"/>
          <w:szCs w:val="23"/>
        </w:rPr>
        <w:footnoteReference w:id="19"/>
      </w:r>
    </w:p>
    <w:p w:rsidR="00505D13" w:rsidRPr="00643267" w:rsidRDefault="00505D13" w:rsidP="00505D13">
      <w:pPr>
        <w:pStyle w:val="ListParagraph"/>
        <w:numPr>
          <w:ilvl w:val="0"/>
          <w:numId w:val="7"/>
        </w:numPr>
        <w:spacing w:after="0" w:line="240" w:lineRule="auto"/>
        <w:contextualSpacing w:val="0"/>
        <w:rPr>
          <w:rFonts w:ascii="Garamond" w:hAnsi="Garamond"/>
          <w:sz w:val="23"/>
          <w:szCs w:val="23"/>
        </w:rPr>
      </w:pPr>
      <w:r w:rsidRPr="00643267">
        <w:rPr>
          <w:rFonts w:ascii="Garamond" w:hAnsi="Garamond"/>
          <w:sz w:val="23"/>
          <w:szCs w:val="23"/>
        </w:rPr>
        <w:t>Hourly peak load reductions from direct load</w:t>
      </w:r>
      <w:r>
        <w:rPr>
          <w:rFonts w:ascii="Garamond" w:hAnsi="Garamond"/>
          <w:sz w:val="23"/>
          <w:szCs w:val="23"/>
        </w:rPr>
        <w:t xml:space="preserve"> control</w:t>
      </w:r>
      <w:r w:rsidRPr="00643267">
        <w:rPr>
          <w:rFonts w:ascii="Garamond" w:hAnsi="Garamond"/>
          <w:sz w:val="23"/>
          <w:szCs w:val="23"/>
        </w:rPr>
        <w:t xml:space="preserve"> (DLC) and load curtailment (LC) are determined in accordance with PJM </w:t>
      </w:r>
      <w:r>
        <w:rPr>
          <w:rFonts w:ascii="Garamond" w:hAnsi="Garamond"/>
          <w:sz w:val="23"/>
          <w:szCs w:val="23"/>
        </w:rPr>
        <w:t>M&amp;V</w:t>
      </w:r>
      <w:r w:rsidRPr="00643267">
        <w:rPr>
          <w:rFonts w:ascii="Garamond" w:hAnsi="Garamond"/>
          <w:sz w:val="23"/>
          <w:szCs w:val="23"/>
        </w:rPr>
        <w:t xml:space="preserve"> protocols, related business rules, protocol approval processes and settlement clearing due diligence practices in place during the summer of 2012. </w:t>
      </w:r>
    </w:p>
    <w:p w:rsidR="00505D13" w:rsidRPr="00643267" w:rsidRDefault="00505D13" w:rsidP="00505D13">
      <w:pPr>
        <w:pStyle w:val="ListParagraph"/>
        <w:numPr>
          <w:ilvl w:val="0"/>
          <w:numId w:val="7"/>
        </w:numPr>
        <w:spacing w:after="0" w:line="240" w:lineRule="auto"/>
        <w:contextualSpacing w:val="0"/>
        <w:rPr>
          <w:rFonts w:ascii="Garamond" w:hAnsi="Garamond"/>
          <w:sz w:val="23"/>
          <w:szCs w:val="23"/>
        </w:rPr>
      </w:pPr>
      <w:r w:rsidRPr="00643267">
        <w:rPr>
          <w:rFonts w:ascii="Garamond" w:hAnsi="Garamond"/>
          <w:sz w:val="23"/>
          <w:szCs w:val="23"/>
        </w:rPr>
        <w:t xml:space="preserve">Peak load reductions from all other measures and programs, including energy efficiency, </w:t>
      </w:r>
      <w:r w:rsidR="007B50AB">
        <w:rPr>
          <w:rFonts w:ascii="Garamond" w:hAnsi="Garamond"/>
          <w:sz w:val="23"/>
          <w:szCs w:val="23"/>
        </w:rPr>
        <w:t>critical peak pricing (</w:t>
      </w:r>
      <w:r w:rsidRPr="00643267">
        <w:rPr>
          <w:rFonts w:ascii="Garamond" w:hAnsi="Garamond"/>
          <w:sz w:val="23"/>
          <w:szCs w:val="23"/>
        </w:rPr>
        <w:t>CPP</w:t>
      </w:r>
      <w:r w:rsidR="007B50AB">
        <w:rPr>
          <w:rFonts w:ascii="Garamond" w:hAnsi="Garamond"/>
          <w:sz w:val="23"/>
          <w:szCs w:val="23"/>
        </w:rPr>
        <w:t>)</w:t>
      </w:r>
      <w:r w:rsidRPr="00643267">
        <w:rPr>
          <w:rFonts w:ascii="Garamond" w:hAnsi="Garamond"/>
          <w:sz w:val="23"/>
          <w:szCs w:val="23"/>
        </w:rPr>
        <w:t xml:space="preserve"> programs, and conservation voltage control are determined with the protocols specified in the TRM, or with a custom measure protocol. </w:t>
      </w:r>
    </w:p>
    <w:p w:rsidR="00505D13" w:rsidRDefault="00505D13" w:rsidP="00505D13">
      <w:pPr>
        <w:pStyle w:val="ListParagraph"/>
        <w:numPr>
          <w:ilvl w:val="0"/>
          <w:numId w:val="7"/>
        </w:numPr>
        <w:spacing w:after="0" w:line="240" w:lineRule="auto"/>
        <w:contextualSpacing w:val="0"/>
        <w:rPr>
          <w:rFonts w:ascii="Garamond" w:hAnsi="Garamond"/>
          <w:sz w:val="23"/>
          <w:szCs w:val="23"/>
        </w:rPr>
      </w:pPr>
      <w:r w:rsidRPr="00643267">
        <w:rPr>
          <w:rFonts w:ascii="Garamond" w:hAnsi="Garamond"/>
          <w:sz w:val="23"/>
          <w:szCs w:val="23"/>
        </w:rPr>
        <w:t xml:space="preserve">In order to accurately account for load reductions in each of the 100 hours of highest demand, both Act 129 and PJM event days must be excluded when establishing the CBLs.  </w:t>
      </w:r>
    </w:p>
    <w:p w:rsidR="00505D13" w:rsidRPr="005A09DF" w:rsidRDefault="00505D13" w:rsidP="00505D13">
      <w:pPr>
        <w:pStyle w:val="ListParagraph"/>
        <w:numPr>
          <w:ilvl w:val="0"/>
          <w:numId w:val="7"/>
        </w:numPr>
        <w:spacing w:after="0" w:line="240" w:lineRule="auto"/>
        <w:contextualSpacing w:val="0"/>
        <w:rPr>
          <w:rFonts w:ascii="Garamond" w:hAnsi="Garamond"/>
          <w:sz w:val="23"/>
          <w:szCs w:val="23"/>
        </w:rPr>
      </w:pPr>
      <w:r w:rsidRPr="005A09DF">
        <w:rPr>
          <w:rFonts w:ascii="Garamond" w:hAnsi="Garamond"/>
          <w:sz w:val="23"/>
          <w:szCs w:val="23"/>
        </w:rPr>
        <w:t xml:space="preserve">An EDC will </w:t>
      </w:r>
      <w:r w:rsidR="007B50AB">
        <w:rPr>
          <w:rFonts w:ascii="Garamond" w:hAnsi="Garamond"/>
          <w:sz w:val="23"/>
          <w:szCs w:val="23"/>
        </w:rPr>
        <w:t xml:space="preserve">sum </w:t>
      </w:r>
      <w:r w:rsidRPr="005A09DF">
        <w:rPr>
          <w:rFonts w:ascii="Garamond" w:hAnsi="Garamond"/>
          <w:sz w:val="23"/>
          <w:szCs w:val="23"/>
        </w:rPr>
        <w:t>the Total Hourly Peak Load Reduction in each hour (calculated at the customer level) to reflect transmission and distribution losses if the EDC’s peak load reduction targets were determined at the system level.</w:t>
      </w:r>
    </w:p>
    <w:p w:rsidR="00286FD2" w:rsidRDefault="00286FD2" w:rsidP="00AC4E7D">
      <w:pPr>
        <w:jc w:val="left"/>
        <w:rPr>
          <w:rFonts w:ascii="Garamond" w:hAnsi="Garamond"/>
          <w:sz w:val="23"/>
          <w:szCs w:val="23"/>
        </w:rPr>
      </w:pPr>
    </w:p>
    <w:p w:rsidR="00D4068D" w:rsidRPr="00643267" w:rsidRDefault="005E6655" w:rsidP="00D4068D">
      <w:pPr>
        <w:spacing w:after="120" w:line="240" w:lineRule="auto"/>
        <w:rPr>
          <w:rFonts w:ascii="Garamond" w:hAnsi="Garamond" w:cs="Times New Roman"/>
          <w:sz w:val="23"/>
          <w:szCs w:val="23"/>
        </w:rPr>
      </w:pPr>
      <w:r>
        <w:rPr>
          <w:rFonts w:ascii="Garamond" w:hAnsi="Garamond"/>
          <w:sz w:val="23"/>
          <w:szCs w:val="23"/>
        </w:rPr>
        <w:lastRenderedPageBreak/>
        <w:t>Assessing Act 129 demand reductions over 100 hours</w:t>
      </w:r>
      <w:r w:rsidRPr="00643267">
        <w:rPr>
          <w:rFonts w:ascii="Garamond" w:hAnsi="Garamond" w:cs="Times New Roman"/>
          <w:sz w:val="23"/>
          <w:szCs w:val="23"/>
        </w:rPr>
        <w:t xml:space="preserve"> </w:t>
      </w:r>
      <w:r w:rsidR="00F06835">
        <w:rPr>
          <w:rFonts w:ascii="Garamond" w:hAnsi="Garamond" w:cs="Times New Roman"/>
          <w:sz w:val="23"/>
          <w:szCs w:val="23"/>
        </w:rPr>
        <w:t xml:space="preserve">rather than a smaller subset of hours </w:t>
      </w:r>
      <w:r w:rsidR="00D947BA">
        <w:rPr>
          <w:rFonts w:ascii="Garamond" w:hAnsi="Garamond" w:cs="Times New Roman"/>
          <w:sz w:val="23"/>
          <w:szCs w:val="23"/>
        </w:rPr>
        <w:t>present</w:t>
      </w:r>
      <w:r w:rsidR="00FE4BB0">
        <w:rPr>
          <w:rFonts w:ascii="Garamond" w:hAnsi="Garamond" w:cs="Times New Roman"/>
          <w:sz w:val="23"/>
          <w:szCs w:val="23"/>
        </w:rPr>
        <w:t>ed</w:t>
      </w:r>
      <w:r w:rsidR="00D947BA">
        <w:rPr>
          <w:rFonts w:ascii="Garamond" w:hAnsi="Garamond" w:cs="Times New Roman"/>
          <w:sz w:val="23"/>
          <w:szCs w:val="23"/>
        </w:rPr>
        <w:t xml:space="preserve"> two challenges in the measurement and verification of </w:t>
      </w:r>
      <w:r>
        <w:rPr>
          <w:rFonts w:ascii="Garamond" w:hAnsi="Garamond" w:cs="Times New Roman"/>
          <w:sz w:val="23"/>
          <w:szCs w:val="23"/>
        </w:rPr>
        <w:t>DR</w:t>
      </w:r>
      <w:r w:rsidR="00D947BA">
        <w:rPr>
          <w:rFonts w:ascii="Garamond" w:hAnsi="Garamond" w:cs="Times New Roman"/>
          <w:sz w:val="23"/>
          <w:szCs w:val="23"/>
        </w:rPr>
        <w:t xml:space="preserve"> impacts</w:t>
      </w:r>
      <w:r w:rsidR="00D4068D" w:rsidRPr="00643267">
        <w:rPr>
          <w:rFonts w:ascii="Garamond" w:hAnsi="Garamond" w:cs="Times New Roman"/>
          <w:sz w:val="23"/>
          <w:szCs w:val="23"/>
        </w:rPr>
        <w:t>:</w:t>
      </w:r>
    </w:p>
    <w:p w:rsidR="00D4068D" w:rsidRPr="00643267" w:rsidRDefault="005E6655" w:rsidP="00D4068D">
      <w:pPr>
        <w:pStyle w:val="ListParagraph"/>
        <w:numPr>
          <w:ilvl w:val="0"/>
          <w:numId w:val="6"/>
        </w:numPr>
        <w:spacing w:after="0" w:line="240" w:lineRule="auto"/>
        <w:contextualSpacing w:val="0"/>
        <w:rPr>
          <w:rFonts w:ascii="Garamond" w:hAnsi="Garamond"/>
          <w:sz w:val="23"/>
          <w:szCs w:val="23"/>
        </w:rPr>
      </w:pPr>
      <w:r>
        <w:rPr>
          <w:rFonts w:ascii="Garamond" w:hAnsi="Garamond"/>
          <w:sz w:val="23"/>
          <w:szCs w:val="23"/>
        </w:rPr>
        <w:t xml:space="preserve">The number of days resources need to be called on to reduce load </w:t>
      </w:r>
      <w:r w:rsidR="00CF1608">
        <w:rPr>
          <w:rFonts w:ascii="Garamond" w:hAnsi="Garamond"/>
          <w:sz w:val="23"/>
          <w:szCs w:val="23"/>
        </w:rPr>
        <w:t>created</w:t>
      </w:r>
      <w:r w:rsidR="00D4068D" w:rsidRPr="00643267">
        <w:rPr>
          <w:rFonts w:ascii="Garamond" w:hAnsi="Garamond"/>
          <w:sz w:val="23"/>
          <w:szCs w:val="23"/>
        </w:rPr>
        <w:t xml:space="preserve"> problems establishing a</w:t>
      </w:r>
      <w:r w:rsidR="00D947BA">
        <w:rPr>
          <w:rFonts w:ascii="Garamond" w:hAnsi="Garamond"/>
          <w:sz w:val="23"/>
          <w:szCs w:val="23"/>
        </w:rPr>
        <w:t>n accurate</w:t>
      </w:r>
      <w:r w:rsidR="00D4068D" w:rsidRPr="00643267">
        <w:rPr>
          <w:rFonts w:ascii="Garamond" w:hAnsi="Garamond"/>
          <w:sz w:val="23"/>
          <w:szCs w:val="23"/>
        </w:rPr>
        <w:t xml:space="preserve"> </w:t>
      </w:r>
      <w:r w:rsidR="00D947BA">
        <w:rPr>
          <w:rFonts w:ascii="Garamond" w:hAnsi="Garamond"/>
          <w:sz w:val="23"/>
          <w:szCs w:val="23"/>
        </w:rPr>
        <w:t>CBL. If the highest 4 of 5 days in the past 45 day</w:t>
      </w:r>
      <w:r>
        <w:rPr>
          <w:rFonts w:ascii="Garamond" w:hAnsi="Garamond"/>
          <w:sz w:val="23"/>
          <w:szCs w:val="23"/>
        </w:rPr>
        <w:t>s are used to establish the CBL</w:t>
      </w:r>
      <w:r w:rsidR="00D947BA">
        <w:rPr>
          <w:rFonts w:ascii="Garamond" w:hAnsi="Garamond"/>
          <w:sz w:val="23"/>
          <w:szCs w:val="23"/>
        </w:rPr>
        <w:t xml:space="preserve"> and Act 129 or PJM events have been called on all comparably hot days in the past 45 days, a situation </w:t>
      </w:r>
      <w:r w:rsidR="00FE4BB0">
        <w:rPr>
          <w:rFonts w:ascii="Garamond" w:hAnsi="Garamond"/>
          <w:sz w:val="23"/>
          <w:szCs w:val="23"/>
        </w:rPr>
        <w:t>arises</w:t>
      </w:r>
      <w:r w:rsidR="00D947BA">
        <w:rPr>
          <w:rFonts w:ascii="Garamond" w:hAnsi="Garamond"/>
          <w:sz w:val="23"/>
          <w:szCs w:val="23"/>
        </w:rPr>
        <w:t xml:space="preserve"> where there are not 4 hot summer non-event weekdays in the CBL look back window.</w:t>
      </w:r>
      <w:r w:rsidR="00FE4BB0">
        <w:rPr>
          <w:rFonts w:ascii="Garamond" w:hAnsi="Garamond"/>
          <w:sz w:val="23"/>
          <w:szCs w:val="23"/>
        </w:rPr>
        <w:t xml:space="preserve"> This situation can lead to heavy reliance on the symmetric additive adjustment (SAA) component of CBL algorithm </w:t>
      </w:r>
      <w:r w:rsidR="00CF1608">
        <w:rPr>
          <w:rFonts w:ascii="Garamond" w:hAnsi="Garamond"/>
          <w:sz w:val="23"/>
          <w:szCs w:val="23"/>
        </w:rPr>
        <w:t xml:space="preserve">or using event days in the CBL </w:t>
      </w:r>
      <w:r w:rsidR="00FE4BB0">
        <w:rPr>
          <w:rFonts w:ascii="Garamond" w:hAnsi="Garamond"/>
          <w:sz w:val="23"/>
          <w:szCs w:val="23"/>
        </w:rPr>
        <w:t>and compromise the accuracy of load reduction estimates.</w:t>
      </w:r>
      <w:r w:rsidR="00CF1608">
        <w:rPr>
          <w:rFonts w:ascii="Garamond" w:hAnsi="Garamond"/>
          <w:sz w:val="23"/>
          <w:szCs w:val="23"/>
        </w:rPr>
        <w:t xml:space="preserve"> </w:t>
      </w:r>
    </w:p>
    <w:p w:rsidR="00D4068D" w:rsidRDefault="00D4068D" w:rsidP="00D4068D">
      <w:pPr>
        <w:pStyle w:val="ListParagraph"/>
        <w:numPr>
          <w:ilvl w:val="0"/>
          <w:numId w:val="6"/>
        </w:numPr>
        <w:spacing w:after="0" w:line="240" w:lineRule="auto"/>
        <w:contextualSpacing w:val="0"/>
        <w:rPr>
          <w:rFonts w:ascii="Garamond" w:hAnsi="Garamond"/>
          <w:sz w:val="23"/>
          <w:szCs w:val="23"/>
        </w:rPr>
      </w:pPr>
      <w:r w:rsidRPr="00643267">
        <w:rPr>
          <w:rFonts w:ascii="Garamond" w:hAnsi="Garamond"/>
          <w:sz w:val="23"/>
          <w:szCs w:val="23"/>
        </w:rPr>
        <w:t xml:space="preserve">PJM protocols that focus on capacity impacts may not be suitable for quantifying demand reduction for purposes of determining achievement of the Act 129 demand reduction goals. </w:t>
      </w:r>
      <w:r w:rsidR="005E6655">
        <w:rPr>
          <w:rFonts w:ascii="Garamond" w:hAnsi="Garamond"/>
          <w:sz w:val="23"/>
          <w:szCs w:val="23"/>
        </w:rPr>
        <w:t xml:space="preserve">PJM allows the use of deemed savings values to estimate the load reductions produced by DLC programs. These deemed savings values are based on very hot outdoor air temperatures that are expected to be in place during a system emergency. To achieve demand reduction over the top 100 hours, Act 129 DLC programs </w:t>
      </w:r>
      <w:r w:rsidR="00FE4BB0">
        <w:rPr>
          <w:rFonts w:ascii="Garamond" w:hAnsi="Garamond"/>
          <w:sz w:val="23"/>
          <w:szCs w:val="23"/>
        </w:rPr>
        <w:t>were</w:t>
      </w:r>
      <w:r w:rsidR="005E6655">
        <w:rPr>
          <w:rFonts w:ascii="Garamond" w:hAnsi="Garamond"/>
          <w:sz w:val="23"/>
          <w:szCs w:val="23"/>
        </w:rPr>
        <w:t xml:space="preserve"> called on milder days. The use of PJM deemed savings values at these milder temperatures are likely to over-estimate the actual load reduction achieved by the Act 129 program.</w:t>
      </w:r>
      <w:r w:rsidR="00A1557F">
        <w:rPr>
          <w:rFonts w:ascii="Garamond" w:hAnsi="Garamond"/>
          <w:sz w:val="23"/>
          <w:szCs w:val="23"/>
        </w:rPr>
        <w:t xml:space="preserve"> The SWE recommends that PJM deemed savings values be disallowed for EDC direct load control programs if the top 100 hours protocol is continued. </w:t>
      </w:r>
    </w:p>
    <w:p w:rsidR="00D4068D" w:rsidRDefault="00D4068D" w:rsidP="00D4068D">
      <w:pPr>
        <w:spacing w:after="0" w:line="240" w:lineRule="auto"/>
        <w:rPr>
          <w:rFonts w:ascii="Garamond" w:hAnsi="Garamond"/>
          <w:sz w:val="23"/>
          <w:szCs w:val="23"/>
        </w:rPr>
      </w:pPr>
    </w:p>
    <w:p w:rsidR="00571EEF" w:rsidRPr="00643267" w:rsidRDefault="00BC09CF" w:rsidP="00E22427">
      <w:pPr>
        <w:pStyle w:val="Heading2"/>
      </w:pPr>
      <w:bookmarkStart w:id="25" w:name="_Toc324512052"/>
      <w:bookmarkStart w:id="26" w:name="_Toc335217136"/>
      <w:bookmarkStart w:id="27" w:name="_Toc340740231"/>
      <w:bookmarkStart w:id="28" w:name="_Toc355954894"/>
      <w:r>
        <w:t>Cost-Effectiveness</w:t>
      </w:r>
      <w:bookmarkEnd w:id="25"/>
      <w:bookmarkEnd w:id="26"/>
      <w:bookmarkEnd w:id="27"/>
      <w:r w:rsidR="00B15B7F">
        <w:t xml:space="preserve"> Analysis</w:t>
      </w:r>
      <w:bookmarkEnd w:id="28"/>
    </w:p>
    <w:p w:rsidR="00571EEF" w:rsidRPr="00643267" w:rsidRDefault="00571EEF" w:rsidP="00571EEF">
      <w:pPr>
        <w:spacing w:after="0" w:line="240" w:lineRule="auto"/>
        <w:rPr>
          <w:rFonts w:ascii="Garamond" w:hAnsi="Garamond"/>
          <w:sz w:val="23"/>
          <w:szCs w:val="23"/>
        </w:rPr>
      </w:pPr>
      <w:r>
        <w:fldChar w:fldCharType="begin"/>
      </w:r>
      <w:r>
        <w:instrText xml:space="preserve"> REF _Ref343532272 \h </w:instrText>
      </w:r>
      <w:r>
        <w:fldChar w:fldCharType="separate"/>
      </w:r>
      <w:r w:rsidR="00451FFF" w:rsidRPr="00571EEF">
        <w:rPr>
          <w:rFonts w:ascii="Garamond" w:hAnsi="Garamond"/>
          <w:sz w:val="23"/>
          <w:szCs w:val="23"/>
        </w:rPr>
        <w:t xml:space="preserve">Table </w:t>
      </w:r>
      <w:r w:rsidR="00451FFF">
        <w:rPr>
          <w:rFonts w:ascii="Garamond" w:hAnsi="Garamond"/>
          <w:noProof/>
          <w:sz w:val="23"/>
          <w:szCs w:val="23"/>
        </w:rPr>
        <w:t>C</w:t>
      </w:r>
      <w:r w:rsidR="00451FFF">
        <w:rPr>
          <w:rFonts w:ascii="Garamond" w:hAnsi="Garamond"/>
          <w:sz w:val="23"/>
          <w:szCs w:val="23"/>
        </w:rPr>
        <w:noBreakHyphen/>
      </w:r>
      <w:r w:rsidR="00451FFF">
        <w:rPr>
          <w:rFonts w:ascii="Garamond" w:hAnsi="Garamond"/>
          <w:noProof/>
          <w:sz w:val="23"/>
          <w:szCs w:val="23"/>
        </w:rPr>
        <w:t>3</w:t>
      </w:r>
      <w:r>
        <w:fldChar w:fldCharType="end"/>
      </w:r>
      <w:r w:rsidRPr="00643267">
        <w:rPr>
          <w:rFonts w:ascii="Garamond" w:hAnsi="Garamond"/>
          <w:sz w:val="23"/>
          <w:szCs w:val="23"/>
        </w:rPr>
        <w:t xml:space="preserve"> below provides a </w:t>
      </w:r>
      <w:r w:rsidR="005D2D99">
        <w:rPr>
          <w:rFonts w:ascii="Garamond" w:hAnsi="Garamond"/>
          <w:sz w:val="23"/>
          <w:szCs w:val="23"/>
        </w:rPr>
        <w:t>comparison</w:t>
      </w:r>
      <w:r w:rsidRPr="00643267">
        <w:rPr>
          <w:rFonts w:ascii="Garamond" w:hAnsi="Garamond"/>
          <w:sz w:val="23"/>
          <w:szCs w:val="23"/>
        </w:rPr>
        <w:t xml:space="preserve"> of how incentive payments to end-use participants in DR programs and ISO payments to EDCs for wholesale market participation are treated under cost</w:t>
      </w:r>
      <w:r>
        <w:rPr>
          <w:rFonts w:ascii="Garamond" w:hAnsi="Garamond"/>
          <w:sz w:val="23"/>
          <w:szCs w:val="23"/>
        </w:rPr>
        <w:t>-</w:t>
      </w:r>
      <w:r w:rsidRPr="00643267">
        <w:rPr>
          <w:rFonts w:ascii="Garamond" w:hAnsi="Garamond"/>
          <w:sz w:val="23"/>
          <w:szCs w:val="23"/>
        </w:rPr>
        <w:t xml:space="preserve">effectiveness tests implemented in </w:t>
      </w:r>
      <w:r w:rsidR="005D2D99">
        <w:rPr>
          <w:rFonts w:ascii="Garamond" w:hAnsi="Garamond"/>
          <w:sz w:val="23"/>
          <w:szCs w:val="23"/>
        </w:rPr>
        <w:t>other states and the Commonwealth of Pennsylv</w:t>
      </w:r>
      <w:r w:rsidR="00AD0E1F">
        <w:rPr>
          <w:rFonts w:ascii="Garamond" w:hAnsi="Garamond"/>
          <w:sz w:val="23"/>
          <w:szCs w:val="23"/>
        </w:rPr>
        <w:t>a</w:t>
      </w:r>
      <w:r w:rsidR="005D2D99">
        <w:rPr>
          <w:rFonts w:ascii="Garamond" w:hAnsi="Garamond"/>
          <w:sz w:val="23"/>
          <w:szCs w:val="23"/>
        </w:rPr>
        <w:t>nia</w:t>
      </w:r>
      <w:r w:rsidRPr="00643267">
        <w:rPr>
          <w:rFonts w:ascii="Garamond" w:hAnsi="Garamond"/>
          <w:sz w:val="23"/>
          <w:szCs w:val="23"/>
        </w:rPr>
        <w:t>.</w:t>
      </w:r>
    </w:p>
    <w:p w:rsidR="00571EEF" w:rsidRPr="00643267" w:rsidRDefault="00571EEF" w:rsidP="00571EEF">
      <w:pPr>
        <w:pStyle w:val="Caption"/>
        <w:keepNext/>
        <w:spacing w:after="120"/>
        <w:jc w:val="center"/>
        <w:rPr>
          <w:rFonts w:ascii="Garamond" w:hAnsi="Garamond"/>
          <w:sz w:val="23"/>
          <w:szCs w:val="23"/>
        </w:rPr>
      </w:pPr>
    </w:p>
    <w:p w:rsidR="00571EEF" w:rsidRPr="00571EEF" w:rsidRDefault="00571EEF" w:rsidP="00571EEF">
      <w:pPr>
        <w:pStyle w:val="Caption"/>
        <w:keepNext/>
        <w:rPr>
          <w:rFonts w:ascii="Garamond" w:hAnsi="Garamond"/>
          <w:sz w:val="23"/>
          <w:szCs w:val="23"/>
        </w:rPr>
      </w:pPr>
      <w:bookmarkStart w:id="29" w:name="_Ref343532272"/>
      <w:r w:rsidRPr="00571EEF">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C</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3</w:t>
      </w:r>
      <w:r w:rsidR="00C01A4C">
        <w:rPr>
          <w:rFonts w:ascii="Garamond" w:hAnsi="Garamond"/>
          <w:sz w:val="23"/>
          <w:szCs w:val="23"/>
        </w:rPr>
        <w:fldChar w:fldCharType="end"/>
      </w:r>
      <w:bookmarkEnd w:id="29"/>
      <w:r w:rsidRPr="00571EEF">
        <w:rPr>
          <w:rFonts w:ascii="Garamond" w:hAnsi="Garamond"/>
          <w:sz w:val="23"/>
          <w:szCs w:val="23"/>
        </w:rPr>
        <w:t>: Treatment of DR Payments by Various States</w:t>
      </w:r>
    </w:p>
    <w:tbl>
      <w:tblPr>
        <w:tblStyle w:val="TableGrid"/>
        <w:tblW w:w="5000" w:type="pct"/>
        <w:tblLook w:val="04A0" w:firstRow="1" w:lastRow="0" w:firstColumn="1" w:lastColumn="0" w:noHBand="0" w:noVBand="1"/>
      </w:tblPr>
      <w:tblGrid>
        <w:gridCol w:w="1458"/>
        <w:gridCol w:w="2028"/>
        <w:gridCol w:w="2030"/>
        <w:gridCol w:w="2028"/>
        <w:gridCol w:w="2032"/>
      </w:tblGrid>
      <w:tr w:rsidR="00571EEF" w:rsidRPr="00643267" w:rsidTr="00571EEF">
        <w:tc>
          <w:tcPr>
            <w:tcW w:w="761" w:type="pct"/>
            <w:vMerge w:val="restart"/>
            <w:shd w:val="clear" w:color="auto" w:fill="1F497D" w:themeFill="text2"/>
            <w:vAlign w:val="center"/>
          </w:tcPr>
          <w:p w:rsidR="00571EEF" w:rsidRPr="00643267" w:rsidRDefault="00571EEF" w:rsidP="00571EEF">
            <w:pPr>
              <w:jc w:val="left"/>
              <w:rPr>
                <w:rFonts w:ascii="Garamond" w:hAnsi="Garamond"/>
                <w:b/>
                <w:color w:val="FFFFFF" w:themeColor="background1"/>
                <w:sz w:val="23"/>
                <w:szCs w:val="23"/>
              </w:rPr>
            </w:pPr>
            <w:r w:rsidRPr="00643267">
              <w:rPr>
                <w:rFonts w:ascii="Garamond" w:hAnsi="Garamond"/>
                <w:b/>
                <w:color w:val="FFFFFF" w:themeColor="background1"/>
                <w:sz w:val="23"/>
                <w:szCs w:val="23"/>
              </w:rPr>
              <w:t>State</w:t>
            </w:r>
          </w:p>
        </w:tc>
        <w:tc>
          <w:tcPr>
            <w:tcW w:w="2119" w:type="pct"/>
            <w:gridSpan w:val="2"/>
            <w:tcBorders>
              <w:bottom w:val="single" w:sz="4" w:space="0" w:color="000000" w:themeColor="text1"/>
            </w:tcBorders>
            <w:shd w:val="clear" w:color="auto" w:fill="1F497D" w:themeFill="text2"/>
            <w:vAlign w:val="center"/>
          </w:tcPr>
          <w:p w:rsidR="00571EEF" w:rsidRPr="00643267" w:rsidRDefault="00571EEF" w:rsidP="00571EEF">
            <w:pPr>
              <w:jc w:val="center"/>
              <w:rPr>
                <w:rFonts w:ascii="Garamond" w:hAnsi="Garamond"/>
                <w:b/>
                <w:color w:val="FFFFFF" w:themeColor="background1"/>
                <w:sz w:val="23"/>
                <w:szCs w:val="23"/>
              </w:rPr>
            </w:pPr>
            <w:r w:rsidRPr="00643267">
              <w:rPr>
                <w:rFonts w:ascii="Garamond" w:hAnsi="Garamond"/>
                <w:b/>
                <w:color w:val="FFFFFF" w:themeColor="background1"/>
                <w:sz w:val="23"/>
                <w:szCs w:val="23"/>
              </w:rPr>
              <w:t>Incentive Payments from EDCS to Participants</w:t>
            </w:r>
          </w:p>
        </w:tc>
        <w:tc>
          <w:tcPr>
            <w:tcW w:w="2120" w:type="pct"/>
            <w:gridSpan w:val="2"/>
            <w:tcBorders>
              <w:bottom w:val="single" w:sz="4" w:space="0" w:color="000000" w:themeColor="text1"/>
            </w:tcBorders>
            <w:shd w:val="clear" w:color="auto" w:fill="1F497D" w:themeFill="text2"/>
            <w:vAlign w:val="center"/>
          </w:tcPr>
          <w:p w:rsidR="00571EEF" w:rsidRPr="00643267" w:rsidRDefault="00571EEF" w:rsidP="00571EEF">
            <w:pPr>
              <w:jc w:val="center"/>
              <w:rPr>
                <w:rFonts w:ascii="Garamond" w:hAnsi="Garamond"/>
                <w:b/>
                <w:color w:val="FFFFFF" w:themeColor="background1"/>
                <w:sz w:val="23"/>
                <w:szCs w:val="23"/>
              </w:rPr>
            </w:pPr>
            <w:r w:rsidRPr="00643267">
              <w:rPr>
                <w:rFonts w:ascii="Garamond" w:hAnsi="Garamond"/>
                <w:b/>
                <w:color w:val="FFFFFF" w:themeColor="background1"/>
                <w:sz w:val="23"/>
                <w:szCs w:val="23"/>
              </w:rPr>
              <w:t>ISO Payments to EDCs</w:t>
            </w:r>
            <w:r w:rsidRPr="00643267">
              <w:rPr>
                <w:rStyle w:val="FootnoteReference"/>
                <w:rFonts w:ascii="Garamond" w:hAnsi="Garamond"/>
                <w:b/>
                <w:color w:val="FFFFFF" w:themeColor="background1"/>
                <w:sz w:val="23"/>
                <w:szCs w:val="23"/>
              </w:rPr>
              <w:footnoteReference w:id="20"/>
            </w:r>
          </w:p>
        </w:tc>
      </w:tr>
      <w:tr w:rsidR="00571EEF" w:rsidRPr="00643267" w:rsidTr="00571EEF">
        <w:tc>
          <w:tcPr>
            <w:tcW w:w="761" w:type="pct"/>
            <w:vMerge/>
            <w:vAlign w:val="center"/>
          </w:tcPr>
          <w:p w:rsidR="00571EEF" w:rsidRPr="00643267" w:rsidRDefault="00571EEF" w:rsidP="00571EEF">
            <w:pPr>
              <w:jc w:val="left"/>
              <w:rPr>
                <w:rFonts w:ascii="Garamond" w:hAnsi="Garamond"/>
                <w:b/>
                <w:sz w:val="23"/>
                <w:szCs w:val="23"/>
              </w:rPr>
            </w:pPr>
          </w:p>
        </w:tc>
        <w:tc>
          <w:tcPr>
            <w:tcW w:w="1059" w:type="pct"/>
            <w:shd w:val="clear" w:color="auto" w:fill="DBE5F1" w:themeFill="accent1" w:themeFillTint="33"/>
            <w:vAlign w:val="center"/>
          </w:tcPr>
          <w:p w:rsidR="00571EEF" w:rsidRPr="00643267" w:rsidRDefault="00571EEF" w:rsidP="00571EEF">
            <w:pPr>
              <w:jc w:val="center"/>
              <w:rPr>
                <w:rFonts w:ascii="Garamond" w:hAnsi="Garamond"/>
                <w:b/>
                <w:sz w:val="23"/>
                <w:szCs w:val="23"/>
              </w:rPr>
            </w:pPr>
            <w:r w:rsidRPr="00643267">
              <w:rPr>
                <w:rFonts w:ascii="Garamond" w:hAnsi="Garamond"/>
                <w:b/>
                <w:sz w:val="23"/>
                <w:szCs w:val="23"/>
              </w:rPr>
              <w:t>In TRC?</w:t>
            </w:r>
            <w:r>
              <w:rPr>
                <w:rStyle w:val="FootnoteReference"/>
                <w:rFonts w:ascii="Garamond" w:hAnsi="Garamond"/>
                <w:b/>
                <w:sz w:val="23"/>
                <w:szCs w:val="23"/>
              </w:rPr>
              <w:footnoteReference w:id="21"/>
            </w:r>
          </w:p>
        </w:tc>
        <w:tc>
          <w:tcPr>
            <w:tcW w:w="1060" w:type="pct"/>
            <w:shd w:val="clear" w:color="auto" w:fill="DBE5F1" w:themeFill="accent1" w:themeFillTint="33"/>
            <w:vAlign w:val="center"/>
          </w:tcPr>
          <w:p w:rsidR="00571EEF" w:rsidRPr="00643267" w:rsidRDefault="00571EEF" w:rsidP="00571EEF">
            <w:pPr>
              <w:jc w:val="center"/>
              <w:rPr>
                <w:rFonts w:ascii="Garamond" w:hAnsi="Garamond"/>
                <w:b/>
                <w:sz w:val="23"/>
                <w:szCs w:val="23"/>
              </w:rPr>
            </w:pPr>
            <w:r w:rsidRPr="00643267">
              <w:rPr>
                <w:rFonts w:ascii="Garamond" w:hAnsi="Garamond"/>
                <w:b/>
                <w:sz w:val="23"/>
                <w:szCs w:val="23"/>
              </w:rPr>
              <w:t>Where?</w:t>
            </w:r>
          </w:p>
        </w:tc>
        <w:tc>
          <w:tcPr>
            <w:tcW w:w="1059" w:type="pct"/>
            <w:shd w:val="clear" w:color="auto" w:fill="DBE5F1" w:themeFill="accent1" w:themeFillTint="33"/>
            <w:vAlign w:val="center"/>
          </w:tcPr>
          <w:p w:rsidR="00571EEF" w:rsidRPr="00643267" w:rsidRDefault="00571EEF" w:rsidP="00571EEF">
            <w:pPr>
              <w:jc w:val="center"/>
              <w:rPr>
                <w:rFonts w:ascii="Garamond" w:hAnsi="Garamond"/>
                <w:b/>
                <w:sz w:val="23"/>
                <w:szCs w:val="23"/>
              </w:rPr>
            </w:pPr>
            <w:r w:rsidRPr="00643267">
              <w:rPr>
                <w:rFonts w:ascii="Garamond" w:hAnsi="Garamond"/>
                <w:b/>
                <w:sz w:val="23"/>
                <w:szCs w:val="23"/>
              </w:rPr>
              <w:t>In TRC?</w:t>
            </w:r>
          </w:p>
        </w:tc>
        <w:tc>
          <w:tcPr>
            <w:tcW w:w="1061" w:type="pct"/>
            <w:shd w:val="clear" w:color="auto" w:fill="DBE5F1" w:themeFill="accent1" w:themeFillTint="33"/>
            <w:vAlign w:val="center"/>
          </w:tcPr>
          <w:p w:rsidR="00571EEF" w:rsidRPr="00643267" w:rsidRDefault="00571EEF" w:rsidP="00571EEF">
            <w:pPr>
              <w:jc w:val="center"/>
              <w:rPr>
                <w:rFonts w:ascii="Garamond" w:hAnsi="Garamond"/>
                <w:b/>
                <w:sz w:val="23"/>
                <w:szCs w:val="23"/>
              </w:rPr>
            </w:pPr>
            <w:r w:rsidRPr="00643267">
              <w:rPr>
                <w:rFonts w:ascii="Garamond" w:hAnsi="Garamond"/>
                <w:b/>
                <w:sz w:val="23"/>
                <w:szCs w:val="23"/>
              </w:rPr>
              <w:t>Where?</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CA</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0"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 xml:space="preserve">Proxy for Participant Costs </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1"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Benefit</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IL</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0"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N/A</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1"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Benefit</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OH</w:t>
            </w:r>
          </w:p>
        </w:tc>
        <w:tc>
          <w:tcPr>
            <w:tcW w:w="4239" w:type="pct"/>
            <w:gridSpan w:val="4"/>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Cost-effectiveness test not yet approved.</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NY - ConEd</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0"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Proxy for Participant Costs</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No</w:t>
            </w:r>
          </w:p>
        </w:tc>
        <w:tc>
          <w:tcPr>
            <w:tcW w:w="1061"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Not in TRC</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PA</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Yes</w:t>
            </w:r>
          </w:p>
        </w:tc>
        <w:tc>
          <w:tcPr>
            <w:tcW w:w="1060"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Proxy for Participant Costs</w:t>
            </w:r>
          </w:p>
        </w:tc>
        <w:tc>
          <w:tcPr>
            <w:tcW w:w="1059"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No</w:t>
            </w:r>
          </w:p>
        </w:tc>
        <w:tc>
          <w:tcPr>
            <w:tcW w:w="1061" w:type="pct"/>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Not in TRC</w:t>
            </w:r>
          </w:p>
        </w:tc>
      </w:tr>
      <w:tr w:rsidR="00571EEF" w:rsidRPr="00643267" w:rsidTr="00571EEF">
        <w:tc>
          <w:tcPr>
            <w:tcW w:w="761" w:type="pct"/>
            <w:vAlign w:val="center"/>
          </w:tcPr>
          <w:p w:rsidR="00571EEF" w:rsidRPr="00643267" w:rsidRDefault="00571EEF" w:rsidP="00571EEF">
            <w:pPr>
              <w:jc w:val="left"/>
              <w:rPr>
                <w:rFonts w:ascii="Garamond" w:hAnsi="Garamond"/>
                <w:sz w:val="23"/>
                <w:szCs w:val="23"/>
              </w:rPr>
            </w:pPr>
            <w:r w:rsidRPr="00643267">
              <w:rPr>
                <w:rFonts w:ascii="Garamond" w:hAnsi="Garamond"/>
                <w:sz w:val="23"/>
                <w:szCs w:val="23"/>
              </w:rPr>
              <w:t>WI</w:t>
            </w:r>
          </w:p>
        </w:tc>
        <w:tc>
          <w:tcPr>
            <w:tcW w:w="4239" w:type="pct"/>
            <w:gridSpan w:val="4"/>
            <w:vAlign w:val="center"/>
          </w:tcPr>
          <w:p w:rsidR="00571EEF" w:rsidRPr="00643267" w:rsidRDefault="00571EEF" w:rsidP="00571EEF">
            <w:pPr>
              <w:jc w:val="center"/>
              <w:rPr>
                <w:rFonts w:ascii="Garamond" w:hAnsi="Garamond"/>
                <w:sz w:val="23"/>
                <w:szCs w:val="23"/>
              </w:rPr>
            </w:pPr>
            <w:r w:rsidRPr="00643267">
              <w:rPr>
                <w:rFonts w:ascii="Garamond" w:hAnsi="Garamond"/>
                <w:sz w:val="23"/>
                <w:szCs w:val="23"/>
              </w:rPr>
              <w:t>No TRC test for DR found.</w:t>
            </w:r>
          </w:p>
        </w:tc>
      </w:tr>
    </w:tbl>
    <w:p w:rsidR="00571EEF" w:rsidRPr="005A09DF" w:rsidRDefault="00571EEF" w:rsidP="00D4068D">
      <w:pPr>
        <w:spacing w:after="0" w:line="240" w:lineRule="auto"/>
        <w:rPr>
          <w:rFonts w:ascii="Garamond" w:hAnsi="Garamond"/>
          <w:sz w:val="23"/>
          <w:szCs w:val="23"/>
        </w:rPr>
      </w:pPr>
    </w:p>
    <w:p w:rsidR="00571EEF" w:rsidRDefault="00571EEF" w:rsidP="00571EEF">
      <w:pPr>
        <w:spacing w:after="0" w:line="240" w:lineRule="auto"/>
        <w:rPr>
          <w:rFonts w:ascii="Garamond" w:hAnsi="Garamond"/>
          <w:sz w:val="23"/>
          <w:szCs w:val="23"/>
        </w:rPr>
      </w:pPr>
      <w:r w:rsidRPr="00571EEF">
        <w:rPr>
          <w:rFonts w:ascii="Garamond" w:hAnsi="Garamond"/>
          <w:sz w:val="23"/>
          <w:szCs w:val="23"/>
        </w:rPr>
        <w:t>As shown</w:t>
      </w:r>
      <w:r w:rsidR="005D2D99">
        <w:rPr>
          <w:rFonts w:ascii="Garamond" w:hAnsi="Garamond"/>
          <w:sz w:val="23"/>
          <w:szCs w:val="23"/>
        </w:rPr>
        <w:t xml:space="preserve"> in </w:t>
      </w:r>
      <w:r w:rsidR="005D2D99">
        <w:rPr>
          <w:rFonts w:ascii="Garamond" w:hAnsi="Garamond"/>
          <w:sz w:val="23"/>
          <w:szCs w:val="23"/>
        </w:rPr>
        <w:fldChar w:fldCharType="begin"/>
      </w:r>
      <w:r w:rsidR="005D2D99">
        <w:rPr>
          <w:rFonts w:ascii="Garamond" w:hAnsi="Garamond"/>
          <w:sz w:val="23"/>
          <w:szCs w:val="23"/>
        </w:rPr>
        <w:instrText xml:space="preserve"> REF _Ref343532272 \h </w:instrText>
      </w:r>
      <w:r w:rsidR="005D2D99">
        <w:rPr>
          <w:rFonts w:ascii="Garamond" w:hAnsi="Garamond"/>
          <w:sz w:val="23"/>
          <w:szCs w:val="23"/>
        </w:rPr>
      </w:r>
      <w:r w:rsidR="005D2D99">
        <w:rPr>
          <w:rFonts w:ascii="Garamond" w:hAnsi="Garamond"/>
          <w:sz w:val="23"/>
          <w:szCs w:val="23"/>
        </w:rPr>
        <w:fldChar w:fldCharType="separate"/>
      </w:r>
      <w:r w:rsidR="00451FFF" w:rsidRPr="00571EEF">
        <w:rPr>
          <w:rFonts w:ascii="Garamond" w:hAnsi="Garamond"/>
          <w:sz w:val="23"/>
          <w:szCs w:val="23"/>
        </w:rPr>
        <w:t xml:space="preserve">Table </w:t>
      </w:r>
      <w:r w:rsidR="00451FFF">
        <w:rPr>
          <w:rFonts w:ascii="Garamond" w:hAnsi="Garamond"/>
          <w:noProof/>
          <w:sz w:val="23"/>
          <w:szCs w:val="23"/>
        </w:rPr>
        <w:t>C</w:t>
      </w:r>
      <w:r w:rsidR="00451FFF">
        <w:rPr>
          <w:rFonts w:ascii="Garamond" w:hAnsi="Garamond"/>
          <w:sz w:val="23"/>
          <w:szCs w:val="23"/>
        </w:rPr>
        <w:noBreakHyphen/>
      </w:r>
      <w:r w:rsidR="00451FFF">
        <w:rPr>
          <w:rFonts w:ascii="Garamond" w:hAnsi="Garamond"/>
          <w:noProof/>
          <w:sz w:val="23"/>
          <w:szCs w:val="23"/>
        </w:rPr>
        <w:t>3</w:t>
      </w:r>
      <w:r w:rsidR="005D2D99">
        <w:rPr>
          <w:rFonts w:ascii="Garamond" w:hAnsi="Garamond"/>
          <w:sz w:val="23"/>
          <w:szCs w:val="23"/>
        </w:rPr>
        <w:fldChar w:fldCharType="end"/>
      </w:r>
      <w:r w:rsidRPr="00571EEF">
        <w:rPr>
          <w:rFonts w:ascii="Garamond" w:hAnsi="Garamond"/>
          <w:sz w:val="23"/>
          <w:szCs w:val="23"/>
        </w:rPr>
        <w:t xml:space="preserve">, there is consistency between states with published TRC test methods in regard to the treatment of </w:t>
      </w:r>
      <w:r w:rsidR="00644319">
        <w:rPr>
          <w:rFonts w:ascii="Garamond" w:hAnsi="Garamond"/>
          <w:sz w:val="23"/>
          <w:szCs w:val="23"/>
        </w:rPr>
        <w:t xml:space="preserve">DR program incentive payments. </w:t>
      </w:r>
      <w:r w:rsidRPr="00571EEF">
        <w:rPr>
          <w:rFonts w:ascii="Garamond" w:hAnsi="Garamond"/>
          <w:sz w:val="23"/>
          <w:szCs w:val="23"/>
        </w:rPr>
        <w:t>In California, New York and Pennsylvania, incentive payments made by EDCs to program participants are included in the TRC test as a proxy for participant costs.</w:t>
      </w:r>
      <w:r w:rsidRPr="00571EEF">
        <w:rPr>
          <w:rStyle w:val="FootnoteReference"/>
          <w:rFonts w:ascii="Garamond" w:hAnsi="Garamond"/>
          <w:sz w:val="23"/>
          <w:szCs w:val="23"/>
        </w:rPr>
        <w:footnoteReference w:id="22"/>
      </w:r>
      <w:r w:rsidRPr="00571EEF">
        <w:rPr>
          <w:rFonts w:ascii="Garamond" w:hAnsi="Garamond"/>
          <w:sz w:val="23"/>
          <w:szCs w:val="23"/>
        </w:rPr>
        <w:t xml:space="preserve">  The rationale is that a participant’s actual transaction costs cannot be readily or easily determined, but an end-user would not participate unless the incentives received are at least equal to the participant’s costs to curtail usa</w:t>
      </w:r>
      <w:r w:rsidR="00644319">
        <w:rPr>
          <w:rFonts w:ascii="Garamond" w:hAnsi="Garamond"/>
          <w:sz w:val="23"/>
          <w:szCs w:val="23"/>
        </w:rPr>
        <w:t xml:space="preserve">ge during peak demand periods. </w:t>
      </w:r>
      <w:r w:rsidRPr="00571EEF">
        <w:rPr>
          <w:rFonts w:ascii="Garamond" w:hAnsi="Garamond"/>
          <w:sz w:val="23"/>
          <w:szCs w:val="23"/>
        </w:rPr>
        <w:t xml:space="preserve">California includes 75% of the incentive payment to participants as the proxy for participant costs, whereas New York and </w:t>
      </w:r>
      <w:r w:rsidR="005D2D99">
        <w:rPr>
          <w:rFonts w:ascii="Garamond" w:hAnsi="Garamond"/>
          <w:sz w:val="23"/>
          <w:szCs w:val="23"/>
        </w:rPr>
        <w:t xml:space="preserve">Pennsylvania </w:t>
      </w:r>
      <w:r w:rsidRPr="00571EEF">
        <w:rPr>
          <w:rFonts w:ascii="Garamond" w:hAnsi="Garamond"/>
          <w:sz w:val="23"/>
          <w:szCs w:val="23"/>
        </w:rPr>
        <w:t xml:space="preserve">include </w:t>
      </w:r>
      <w:r w:rsidRPr="00571EEF">
        <w:rPr>
          <w:rFonts w:ascii="Garamond" w:hAnsi="Garamond"/>
          <w:sz w:val="23"/>
          <w:szCs w:val="23"/>
        </w:rPr>
        <w:lastRenderedPageBreak/>
        <w:t>the entire incentive payment to participants as the proxy for participant costs. By including 75% of the incentive as a proxy for costs, California assumes that the incentive payment given to the participant is greater than the participant’s DR program costs. Additionally, both California and Illinois include ISO payments to the EDC as a benefit so long as the payments are a result of DR being bid into the wholesale market, whereas Pennsylvania does not include such ISO payments.</w:t>
      </w:r>
      <w:r w:rsidRPr="00571EEF">
        <w:rPr>
          <w:rStyle w:val="FootnoteReference"/>
          <w:rFonts w:ascii="Garamond" w:hAnsi="Garamond"/>
          <w:sz w:val="23"/>
          <w:szCs w:val="23"/>
        </w:rPr>
        <w:footnoteReference w:id="23"/>
      </w:r>
      <w:r w:rsidR="00945D8B">
        <w:rPr>
          <w:rFonts w:ascii="Garamond" w:hAnsi="Garamond"/>
          <w:sz w:val="23"/>
          <w:szCs w:val="23"/>
        </w:rPr>
        <w:t xml:space="preserve"> This situation is analogous to an EDC acting as an aggregator for DR resources into the PJM market. Such an arrangement makes sense for direct load control programs because residential customers are too small to go to market in PJM without aggregation. EDC aggregation of C&amp;I load curtailment resources is unnecessary because these customers have access to the PJM markets without EDC involvement and EDC involvement would place risk on an EDC in exchange for little benefit. </w:t>
      </w:r>
    </w:p>
    <w:p w:rsidR="00571EEF" w:rsidRDefault="00571EEF" w:rsidP="00571EEF">
      <w:pPr>
        <w:spacing w:after="0" w:line="240" w:lineRule="auto"/>
        <w:rPr>
          <w:rFonts w:ascii="Garamond" w:hAnsi="Garamond"/>
          <w:sz w:val="23"/>
          <w:szCs w:val="23"/>
        </w:rPr>
      </w:pPr>
    </w:p>
    <w:p w:rsidR="00793FC3" w:rsidRDefault="00644319" w:rsidP="00571EEF">
      <w:pPr>
        <w:spacing w:after="0" w:line="240" w:lineRule="auto"/>
        <w:rPr>
          <w:rFonts w:ascii="Garamond" w:hAnsi="Garamond"/>
          <w:sz w:val="23"/>
          <w:szCs w:val="23"/>
        </w:rPr>
      </w:pPr>
      <w:r>
        <w:rPr>
          <w:rFonts w:ascii="Garamond" w:hAnsi="Garamond"/>
          <w:sz w:val="23"/>
          <w:szCs w:val="23"/>
        </w:rPr>
        <w:t xml:space="preserve">Section </w:t>
      </w:r>
      <w:r w:rsidR="008F5602">
        <w:rPr>
          <w:rFonts w:ascii="Garamond" w:hAnsi="Garamond"/>
          <w:sz w:val="23"/>
          <w:szCs w:val="23"/>
        </w:rPr>
        <w:fldChar w:fldCharType="begin"/>
      </w:r>
      <w:r w:rsidR="008F5602">
        <w:rPr>
          <w:rFonts w:ascii="Garamond" w:hAnsi="Garamond"/>
          <w:sz w:val="23"/>
          <w:szCs w:val="23"/>
        </w:rPr>
        <w:instrText xml:space="preserve"> REF _Ref352604525 \r \h </w:instrText>
      </w:r>
      <w:r w:rsidR="008F5602">
        <w:rPr>
          <w:rFonts w:ascii="Garamond" w:hAnsi="Garamond"/>
          <w:sz w:val="23"/>
          <w:szCs w:val="23"/>
        </w:rPr>
      </w:r>
      <w:r w:rsidR="008F5602">
        <w:rPr>
          <w:rFonts w:ascii="Garamond" w:hAnsi="Garamond"/>
          <w:sz w:val="23"/>
          <w:szCs w:val="23"/>
        </w:rPr>
        <w:fldChar w:fldCharType="separate"/>
      </w:r>
      <w:r w:rsidR="00451FFF">
        <w:rPr>
          <w:rFonts w:ascii="Garamond" w:hAnsi="Garamond"/>
          <w:sz w:val="23"/>
          <w:szCs w:val="23"/>
        </w:rPr>
        <w:t>F</w:t>
      </w:r>
      <w:r w:rsidR="008F5602">
        <w:rPr>
          <w:rFonts w:ascii="Garamond" w:hAnsi="Garamond"/>
          <w:sz w:val="23"/>
          <w:szCs w:val="23"/>
        </w:rPr>
        <w:fldChar w:fldCharType="end"/>
      </w:r>
      <w:r>
        <w:rPr>
          <w:rFonts w:ascii="Garamond" w:hAnsi="Garamond"/>
          <w:sz w:val="23"/>
          <w:szCs w:val="23"/>
        </w:rPr>
        <w:t xml:space="preserve"> </w:t>
      </w:r>
      <w:r w:rsidR="005D2D99">
        <w:rPr>
          <w:rFonts w:ascii="Garamond" w:hAnsi="Garamond"/>
          <w:sz w:val="23"/>
          <w:szCs w:val="23"/>
        </w:rPr>
        <w:t>of this report</w:t>
      </w:r>
      <w:r w:rsidR="00793FC3">
        <w:rPr>
          <w:rFonts w:ascii="Garamond" w:hAnsi="Garamond"/>
          <w:sz w:val="23"/>
          <w:szCs w:val="23"/>
        </w:rPr>
        <w:t xml:space="preserve"> include</w:t>
      </w:r>
      <w:r>
        <w:rPr>
          <w:rFonts w:ascii="Garamond" w:hAnsi="Garamond"/>
          <w:sz w:val="23"/>
          <w:szCs w:val="23"/>
        </w:rPr>
        <w:t>s</w:t>
      </w:r>
      <w:r w:rsidR="00793FC3">
        <w:rPr>
          <w:rFonts w:ascii="Garamond" w:hAnsi="Garamond"/>
          <w:sz w:val="23"/>
          <w:szCs w:val="23"/>
        </w:rPr>
        <w:t xml:space="preserve"> a sensitivity analysis </w:t>
      </w:r>
      <w:r>
        <w:rPr>
          <w:rFonts w:ascii="Garamond" w:hAnsi="Garamond"/>
          <w:sz w:val="23"/>
          <w:szCs w:val="23"/>
        </w:rPr>
        <w:t>which examines</w:t>
      </w:r>
      <w:r w:rsidR="005D2D99">
        <w:rPr>
          <w:rFonts w:ascii="Garamond" w:hAnsi="Garamond"/>
          <w:sz w:val="23"/>
          <w:szCs w:val="23"/>
        </w:rPr>
        <w:t xml:space="preserve"> </w:t>
      </w:r>
      <w:r w:rsidR="00793FC3">
        <w:rPr>
          <w:rFonts w:ascii="Garamond" w:hAnsi="Garamond"/>
          <w:sz w:val="23"/>
          <w:szCs w:val="23"/>
        </w:rPr>
        <w:t xml:space="preserve">the effect </w:t>
      </w:r>
      <w:r>
        <w:rPr>
          <w:rFonts w:ascii="Garamond" w:hAnsi="Garamond"/>
          <w:sz w:val="23"/>
          <w:szCs w:val="23"/>
        </w:rPr>
        <w:t>that these protocols have</w:t>
      </w:r>
      <w:r w:rsidR="00793FC3">
        <w:rPr>
          <w:rFonts w:ascii="Garamond" w:hAnsi="Garamond"/>
          <w:sz w:val="23"/>
          <w:szCs w:val="23"/>
        </w:rPr>
        <w:t xml:space="preserve"> on the cost-effectiveness of EDC-sponsored DR programs in Pennsylvania in 2012. </w:t>
      </w:r>
    </w:p>
    <w:p w:rsidR="005D2D99" w:rsidRDefault="005D2D99" w:rsidP="00571EEF">
      <w:pPr>
        <w:spacing w:after="0" w:line="240" w:lineRule="auto"/>
        <w:rPr>
          <w:rFonts w:ascii="Garamond" w:hAnsi="Garamond"/>
          <w:sz w:val="23"/>
          <w:szCs w:val="23"/>
        </w:rPr>
      </w:pPr>
    </w:p>
    <w:p w:rsidR="00D4068D" w:rsidRDefault="000879C9" w:rsidP="00DF0703">
      <w:pPr>
        <w:pStyle w:val="Heading3"/>
      </w:pPr>
      <w:bookmarkStart w:id="30" w:name="_Toc355954895"/>
      <w:r>
        <w:t>Treatment of Payments from Multiple Sources</w:t>
      </w:r>
      <w:bookmarkEnd w:id="30"/>
    </w:p>
    <w:p w:rsidR="0034661A" w:rsidRDefault="00B15B7F" w:rsidP="009E3A5A">
      <w:pPr>
        <w:spacing w:after="0" w:line="240" w:lineRule="auto"/>
        <w:rPr>
          <w:rFonts w:ascii="Garamond" w:hAnsi="Garamond"/>
          <w:sz w:val="23"/>
          <w:szCs w:val="23"/>
        </w:rPr>
      </w:pPr>
      <w:r>
        <w:rPr>
          <w:rFonts w:ascii="Garamond" w:hAnsi="Garamond"/>
          <w:sz w:val="23"/>
          <w:szCs w:val="23"/>
        </w:rPr>
        <w:t>This section of the report explores</w:t>
      </w:r>
      <w:r w:rsidR="009E3A5A" w:rsidRPr="00643267">
        <w:rPr>
          <w:rFonts w:ascii="Garamond" w:hAnsi="Garamond"/>
          <w:sz w:val="23"/>
          <w:szCs w:val="23"/>
        </w:rPr>
        <w:t xml:space="preserve"> how the </w:t>
      </w:r>
      <w:r>
        <w:rPr>
          <w:rFonts w:ascii="Garamond" w:hAnsi="Garamond"/>
          <w:sz w:val="23"/>
          <w:szCs w:val="23"/>
        </w:rPr>
        <w:t xml:space="preserve">examined </w:t>
      </w:r>
      <w:r w:rsidR="009E3A5A" w:rsidRPr="00643267">
        <w:rPr>
          <w:rFonts w:ascii="Garamond" w:hAnsi="Garamond"/>
          <w:sz w:val="23"/>
          <w:szCs w:val="23"/>
        </w:rPr>
        <w:t xml:space="preserve">states treat </w:t>
      </w:r>
      <w:r w:rsidR="009E3A5A">
        <w:rPr>
          <w:rFonts w:ascii="Garamond" w:hAnsi="Garamond"/>
          <w:sz w:val="23"/>
          <w:szCs w:val="23"/>
        </w:rPr>
        <w:t>payments from multiple sources,</w:t>
      </w:r>
      <w:r w:rsidR="009E3A5A" w:rsidRPr="00643267">
        <w:rPr>
          <w:rFonts w:ascii="Garamond" w:hAnsi="Garamond"/>
          <w:sz w:val="23"/>
          <w:szCs w:val="23"/>
        </w:rPr>
        <w:t xml:space="preserve"> defined as a participant receiving two payment streams for the same DR event - a payment directly from the ISO or indirectly through an independent </w:t>
      </w:r>
      <w:r w:rsidR="009E3A5A">
        <w:rPr>
          <w:rFonts w:ascii="Garamond" w:hAnsi="Garamond"/>
          <w:sz w:val="23"/>
          <w:szCs w:val="23"/>
        </w:rPr>
        <w:t>curtailment service provider (</w:t>
      </w:r>
      <w:r w:rsidR="009E3A5A" w:rsidRPr="00643267">
        <w:rPr>
          <w:rFonts w:ascii="Garamond" w:hAnsi="Garamond"/>
          <w:sz w:val="23"/>
          <w:szCs w:val="23"/>
        </w:rPr>
        <w:t>CSP</w:t>
      </w:r>
      <w:r w:rsidR="009E3A5A">
        <w:rPr>
          <w:rFonts w:ascii="Garamond" w:hAnsi="Garamond"/>
          <w:sz w:val="23"/>
          <w:szCs w:val="23"/>
        </w:rPr>
        <w:t>)</w:t>
      </w:r>
      <w:r w:rsidR="009E3A5A" w:rsidRPr="00643267">
        <w:rPr>
          <w:rFonts w:ascii="Garamond" w:hAnsi="Garamond"/>
          <w:sz w:val="23"/>
          <w:szCs w:val="23"/>
        </w:rPr>
        <w:t>, and a payment from the EDC (or a CSP acting on behalf of the EDC).</w:t>
      </w:r>
      <w:r w:rsidR="009E3A5A" w:rsidRPr="00643267">
        <w:rPr>
          <w:rStyle w:val="FootnoteReference"/>
          <w:rFonts w:ascii="Garamond" w:hAnsi="Garamond"/>
          <w:sz w:val="23"/>
          <w:szCs w:val="23"/>
        </w:rPr>
        <w:footnoteReference w:id="24"/>
      </w:r>
      <w:r w:rsidR="009E3A5A" w:rsidRPr="00643267">
        <w:rPr>
          <w:rFonts w:ascii="Garamond" w:hAnsi="Garamond"/>
          <w:sz w:val="23"/>
          <w:szCs w:val="23"/>
        </w:rPr>
        <w:t xml:space="preserve">  The Commonwealth</w:t>
      </w:r>
      <w:r>
        <w:rPr>
          <w:rFonts w:ascii="Garamond" w:hAnsi="Garamond"/>
          <w:sz w:val="23"/>
          <w:szCs w:val="23"/>
        </w:rPr>
        <w:t xml:space="preserve"> of Pennsylvania</w:t>
      </w:r>
      <w:r w:rsidR="009E3A5A" w:rsidRPr="00643267">
        <w:rPr>
          <w:rFonts w:ascii="Garamond" w:hAnsi="Garamond"/>
          <w:sz w:val="23"/>
          <w:szCs w:val="23"/>
        </w:rPr>
        <w:t xml:space="preserve"> currently allows DR participants </w:t>
      </w:r>
      <w:r w:rsidR="009E3A5A">
        <w:rPr>
          <w:rFonts w:ascii="Garamond" w:hAnsi="Garamond"/>
          <w:sz w:val="23"/>
          <w:szCs w:val="23"/>
        </w:rPr>
        <w:t>to enroll in both the PJM DR markets and</w:t>
      </w:r>
      <w:r>
        <w:rPr>
          <w:rFonts w:ascii="Garamond" w:hAnsi="Garamond"/>
          <w:sz w:val="23"/>
          <w:szCs w:val="23"/>
        </w:rPr>
        <w:t xml:space="preserve"> the Act 129</w:t>
      </w:r>
      <w:r w:rsidR="009E3A5A">
        <w:rPr>
          <w:rFonts w:ascii="Garamond" w:hAnsi="Garamond"/>
          <w:sz w:val="23"/>
          <w:szCs w:val="23"/>
        </w:rPr>
        <w:t xml:space="preserve"> EDC-sponsored DR programs, which creates the possibility of a customer receiving two</w:t>
      </w:r>
      <w:r>
        <w:rPr>
          <w:rFonts w:ascii="Garamond" w:hAnsi="Garamond"/>
          <w:sz w:val="23"/>
          <w:szCs w:val="23"/>
        </w:rPr>
        <w:t xml:space="preserve"> payments for the same load reduction</w:t>
      </w:r>
      <w:r w:rsidR="00FC6C33">
        <w:rPr>
          <w:rFonts w:ascii="Garamond" w:hAnsi="Garamond"/>
          <w:sz w:val="23"/>
          <w:szCs w:val="23"/>
        </w:rPr>
        <w:t xml:space="preserve">. </w:t>
      </w:r>
      <w:r w:rsidR="00E76CB6" w:rsidRPr="00E76CB6">
        <w:rPr>
          <w:rFonts w:ascii="Garamond" w:hAnsi="Garamond"/>
          <w:sz w:val="23"/>
          <w:szCs w:val="23"/>
        </w:rPr>
        <w:t xml:space="preserve">Section </w:t>
      </w:r>
      <w:r w:rsidR="00E76CB6" w:rsidRPr="00E76CB6">
        <w:rPr>
          <w:rFonts w:ascii="Garamond" w:hAnsi="Garamond"/>
          <w:sz w:val="23"/>
          <w:szCs w:val="23"/>
        </w:rPr>
        <w:fldChar w:fldCharType="begin"/>
      </w:r>
      <w:r w:rsidR="00E76CB6" w:rsidRPr="00E76CB6">
        <w:rPr>
          <w:rFonts w:ascii="Garamond" w:hAnsi="Garamond"/>
          <w:sz w:val="23"/>
          <w:szCs w:val="23"/>
        </w:rPr>
        <w:instrText xml:space="preserve"> REF _Ref343687753 \r \h </w:instrText>
      </w:r>
      <w:r w:rsidR="00E76CB6">
        <w:rPr>
          <w:rFonts w:ascii="Garamond" w:hAnsi="Garamond"/>
          <w:sz w:val="23"/>
          <w:szCs w:val="23"/>
        </w:rPr>
        <w:instrText xml:space="preserve"> \* MERGEFORMAT </w:instrText>
      </w:r>
      <w:r w:rsidR="00E76CB6" w:rsidRPr="00E76CB6">
        <w:rPr>
          <w:rFonts w:ascii="Garamond" w:hAnsi="Garamond"/>
          <w:sz w:val="23"/>
          <w:szCs w:val="23"/>
        </w:rPr>
      </w:r>
      <w:r w:rsidR="00E76CB6" w:rsidRPr="00E76CB6">
        <w:rPr>
          <w:rFonts w:ascii="Garamond" w:hAnsi="Garamond"/>
          <w:sz w:val="23"/>
          <w:szCs w:val="23"/>
        </w:rPr>
        <w:fldChar w:fldCharType="separate"/>
      </w:r>
      <w:r w:rsidR="00451FFF">
        <w:rPr>
          <w:rFonts w:ascii="Garamond" w:hAnsi="Garamond"/>
          <w:sz w:val="23"/>
          <w:szCs w:val="23"/>
        </w:rPr>
        <w:t>E</w:t>
      </w:r>
      <w:r w:rsidR="00E76CB6" w:rsidRPr="00E76CB6">
        <w:rPr>
          <w:rFonts w:ascii="Garamond" w:hAnsi="Garamond"/>
          <w:sz w:val="23"/>
          <w:szCs w:val="23"/>
        </w:rPr>
        <w:fldChar w:fldCharType="end"/>
      </w:r>
      <w:r w:rsidR="00E76CB6" w:rsidRPr="00E76CB6">
        <w:rPr>
          <w:rFonts w:ascii="Garamond" w:hAnsi="Garamond"/>
          <w:sz w:val="23"/>
          <w:szCs w:val="23"/>
        </w:rPr>
        <w:t xml:space="preserve"> and Section </w:t>
      </w:r>
      <w:r w:rsidR="008F5602">
        <w:rPr>
          <w:rFonts w:ascii="Garamond" w:hAnsi="Garamond"/>
          <w:sz w:val="23"/>
          <w:szCs w:val="23"/>
        </w:rPr>
        <w:fldChar w:fldCharType="begin"/>
      </w:r>
      <w:r w:rsidR="008F5602">
        <w:rPr>
          <w:rFonts w:ascii="Garamond" w:hAnsi="Garamond"/>
          <w:sz w:val="23"/>
          <w:szCs w:val="23"/>
        </w:rPr>
        <w:instrText xml:space="preserve"> REF _Ref352604525 \r \h </w:instrText>
      </w:r>
      <w:r w:rsidR="008F5602">
        <w:rPr>
          <w:rFonts w:ascii="Garamond" w:hAnsi="Garamond"/>
          <w:sz w:val="23"/>
          <w:szCs w:val="23"/>
        </w:rPr>
      </w:r>
      <w:r w:rsidR="008F5602">
        <w:rPr>
          <w:rFonts w:ascii="Garamond" w:hAnsi="Garamond"/>
          <w:sz w:val="23"/>
          <w:szCs w:val="23"/>
        </w:rPr>
        <w:fldChar w:fldCharType="separate"/>
      </w:r>
      <w:r w:rsidR="00451FFF">
        <w:rPr>
          <w:rFonts w:ascii="Garamond" w:hAnsi="Garamond"/>
          <w:sz w:val="23"/>
          <w:szCs w:val="23"/>
        </w:rPr>
        <w:t>F</w:t>
      </w:r>
      <w:r w:rsidR="008F5602">
        <w:rPr>
          <w:rFonts w:ascii="Garamond" w:hAnsi="Garamond"/>
          <w:sz w:val="23"/>
          <w:szCs w:val="23"/>
        </w:rPr>
        <w:fldChar w:fldCharType="end"/>
      </w:r>
      <w:r w:rsidR="00E76CB6" w:rsidRPr="00E76CB6">
        <w:rPr>
          <w:rFonts w:ascii="Garamond" w:hAnsi="Garamond"/>
          <w:sz w:val="23"/>
          <w:szCs w:val="23"/>
        </w:rPr>
        <w:t xml:space="preserve"> of this report examine the </w:t>
      </w:r>
      <w:r w:rsidR="009E3A5A" w:rsidRPr="00E76CB6">
        <w:rPr>
          <w:rFonts w:ascii="Garamond" w:hAnsi="Garamond"/>
          <w:sz w:val="23"/>
          <w:szCs w:val="23"/>
        </w:rPr>
        <w:t>prevalence of “overlapping participation” during the summer of 2012</w:t>
      </w:r>
      <w:r w:rsidRPr="00E76CB6">
        <w:rPr>
          <w:rFonts w:ascii="Garamond" w:hAnsi="Garamond"/>
          <w:sz w:val="23"/>
          <w:szCs w:val="23"/>
        </w:rPr>
        <w:t xml:space="preserve"> performance period </w:t>
      </w:r>
      <w:r w:rsidR="009E3A5A" w:rsidRPr="00E76CB6">
        <w:rPr>
          <w:rFonts w:ascii="Garamond" w:hAnsi="Garamond"/>
          <w:sz w:val="23"/>
          <w:szCs w:val="23"/>
        </w:rPr>
        <w:t>and exp</w:t>
      </w:r>
      <w:r w:rsidR="00193510" w:rsidRPr="00E76CB6">
        <w:rPr>
          <w:rFonts w:ascii="Garamond" w:hAnsi="Garamond"/>
          <w:sz w:val="23"/>
          <w:szCs w:val="23"/>
        </w:rPr>
        <w:t xml:space="preserve">lore the impact it has on the cost effectiveness of </w:t>
      </w:r>
      <w:r w:rsidRPr="00E76CB6">
        <w:rPr>
          <w:rFonts w:ascii="Garamond" w:hAnsi="Garamond"/>
          <w:sz w:val="23"/>
          <w:szCs w:val="23"/>
        </w:rPr>
        <w:t xml:space="preserve">the </w:t>
      </w:r>
      <w:r w:rsidR="00193510" w:rsidRPr="00E76CB6">
        <w:rPr>
          <w:rFonts w:ascii="Garamond" w:hAnsi="Garamond"/>
          <w:sz w:val="23"/>
          <w:szCs w:val="23"/>
        </w:rPr>
        <w:t xml:space="preserve">Act 129 DR programs. </w:t>
      </w:r>
    </w:p>
    <w:p w:rsidR="00E76CB6" w:rsidRDefault="00E76CB6" w:rsidP="009E3A5A">
      <w:pPr>
        <w:spacing w:after="0" w:line="240" w:lineRule="auto"/>
        <w:rPr>
          <w:rFonts w:ascii="Garamond" w:hAnsi="Garamond"/>
          <w:sz w:val="23"/>
          <w:szCs w:val="23"/>
        </w:rPr>
      </w:pPr>
    </w:p>
    <w:p w:rsidR="009E3A5A" w:rsidRPr="00643267" w:rsidRDefault="009E3A5A" w:rsidP="009E3A5A">
      <w:pPr>
        <w:spacing w:after="0" w:line="240" w:lineRule="auto"/>
        <w:rPr>
          <w:rFonts w:ascii="Garamond" w:hAnsi="Garamond"/>
          <w:sz w:val="23"/>
          <w:szCs w:val="23"/>
        </w:rPr>
      </w:pPr>
      <w:r w:rsidRPr="006A10BE">
        <w:rPr>
          <w:rFonts w:ascii="Garamond" w:hAnsi="Garamond"/>
          <w:sz w:val="23"/>
          <w:szCs w:val="23"/>
        </w:rPr>
        <w:t xml:space="preserve">CAISO and the California Public Utilities Commission (CPUC) have rules </w:t>
      </w:r>
      <w:r w:rsidR="00B15B7F" w:rsidRPr="006A10BE">
        <w:rPr>
          <w:rFonts w:ascii="Garamond" w:hAnsi="Garamond"/>
          <w:sz w:val="23"/>
          <w:szCs w:val="23"/>
        </w:rPr>
        <w:t>to</w:t>
      </w:r>
      <w:r w:rsidRPr="006A10BE">
        <w:rPr>
          <w:rFonts w:ascii="Garamond" w:hAnsi="Garamond"/>
          <w:sz w:val="23"/>
          <w:szCs w:val="23"/>
        </w:rPr>
        <w:t xml:space="preserve"> prevent multiple </w:t>
      </w:r>
      <w:r w:rsidR="00B15B7F" w:rsidRPr="006A10BE">
        <w:rPr>
          <w:rFonts w:ascii="Garamond" w:hAnsi="Garamond"/>
          <w:sz w:val="23"/>
          <w:szCs w:val="23"/>
        </w:rPr>
        <w:t>payments for a single load reduction</w:t>
      </w:r>
      <w:r w:rsidR="00761750" w:rsidRPr="006A10BE">
        <w:rPr>
          <w:rFonts w:ascii="Garamond" w:hAnsi="Garamond"/>
          <w:sz w:val="23"/>
          <w:szCs w:val="23"/>
        </w:rPr>
        <w:t>. T</w:t>
      </w:r>
      <w:r w:rsidRPr="006A10BE">
        <w:rPr>
          <w:rFonts w:ascii="Garamond" w:hAnsi="Garamond"/>
          <w:sz w:val="23"/>
          <w:szCs w:val="23"/>
        </w:rPr>
        <w:t>he CPUC states that when two retail programs call an event at the same time, the participant can only receive payment under the capacity prog</w:t>
      </w:r>
      <w:r w:rsidR="00BC09CF" w:rsidRPr="006A10BE">
        <w:rPr>
          <w:rFonts w:ascii="Garamond" w:hAnsi="Garamond"/>
          <w:sz w:val="23"/>
          <w:szCs w:val="23"/>
        </w:rPr>
        <w:t>ram and not the energy program.</w:t>
      </w:r>
      <w:r w:rsidR="006A10BE">
        <w:rPr>
          <w:rFonts w:ascii="Garamond" w:hAnsi="Garamond"/>
          <w:sz w:val="23"/>
          <w:szCs w:val="23"/>
        </w:rPr>
        <w:t xml:space="preserve"> California EDCs also prohibit customers enrolled in CAISO demand response programs from participating in their programs which aggregate power for CAISO.</w:t>
      </w:r>
    </w:p>
    <w:p w:rsidR="009E3A5A" w:rsidRPr="00643267" w:rsidRDefault="009E3A5A" w:rsidP="009E3A5A">
      <w:pPr>
        <w:spacing w:after="0" w:line="240" w:lineRule="auto"/>
        <w:rPr>
          <w:rFonts w:ascii="Garamond" w:hAnsi="Garamond"/>
          <w:sz w:val="23"/>
          <w:szCs w:val="23"/>
        </w:rPr>
      </w:pPr>
    </w:p>
    <w:p w:rsidR="009E3A5A" w:rsidRPr="00643267" w:rsidRDefault="009E3A5A" w:rsidP="009E3A5A">
      <w:pPr>
        <w:spacing w:after="0" w:line="240" w:lineRule="auto"/>
        <w:rPr>
          <w:rFonts w:ascii="Garamond" w:hAnsi="Garamond"/>
          <w:sz w:val="23"/>
          <w:szCs w:val="23"/>
        </w:rPr>
      </w:pPr>
      <w:r w:rsidRPr="00643267">
        <w:rPr>
          <w:rFonts w:ascii="Garamond" w:hAnsi="Garamond"/>
          <w:sz w:val="23"/>
          <w:szCs w:val="23"/>
        </w:rPr>
        <w:t>In New York</w:t>
      </w:r>
      <w:r>
        <w:rPr>
          <w:rFonts w:ascii="Garamond" w:hAnsi="Garamond"/>
          <w:sz w:val="23"/>
          <w:szCs w:val="23"/>
        </w:rPr>
        <w:t>,</w:t>
      </w:r>
      <w:r w:rsidRPr="00643267">
        <w:rPr>
          <w:rFonts w:ascii="Garamond" w:hAnsi="Garamond"/>
          <w:sz w:val="23"/>
          <w:szCs w:val="23"/>
        </w:rPr>
        <w:t xml:space="preserve"> entities can enroll in both NYISO and Con-Edison commercial and industri</w:t>
      </w:r>
      <w:r w:rsidR="00C76E6C">
        <w:rPr>
          <w:rFonts w:ascii="Garamond" w:hAnsi="Garamond"/>
          <w:sz w:val="23"/>
          <w:szCs w:val="23"/>
        </w:rPr>
        <w:t xml:space="preserve">al DR programs simultaneously. </w:t>
      </w:r>
      <w:r w:rsidRPr="00643267">
        <w:rPr>
          <w:rFonts w:ascii="Garamond" w:hAnsi="Garamond"/>
          <w:sz w:val="23"/>
          <w:szCs w:val="23"/>
        </w:rPr>
        <w:t>Con Edison’s programs are driven by the economics of supporting the distribution system whereas the NYISO programs are based on the econom</w:t>
      </w:r>
      <w:r w:rsidR="00193510">
        <w:rPr>
          <w:rFonts w:ascii="Garamond" w:hAnsi="Garamond"/>
          <w:sz w:val="23"/>
          <w:szCs w:val="23"/>
        </w:rPr>
        <w:t>ics of the bulk supply system. Essentially, the Con Edison programs are implemented for the transmission and distribution (T&amp;D) benefits and the NYISO programs are implemented for the generation benefits. This separation is possible because avoided T&amp;D costs in</w:t>
      </w:r>
      <w:r w:rsidR="00B15B7F">
        <w:rPr>
          <w:rFonts w:ascii="Garamond" w:hAnsi="Garamond"/>
          <w:sz w:val="23"/>
          <w:szCs w:val="23"/>
        </w:rPr>
        <w:t xml:space="preserve"> the New York metro area are </w:t>
      </w:r>
      <w:r w:rsidR="00C76E6C">
        <w:rPr>
          <w:rFonts w:ascii="Garamond" w:hAnsi="Garamond"/>
          <w:sz w:val="23"/>
          <w:szCs w:val="23"/>
        </w:rPr>
        <w:t xml:space="preserve">quite </w:t>
      </w:r>
      <w:r w:rsidR="00193510">
        <w:rPr>
          <w:rFonts w:ascii="Garamond" w:hAnsi="Garamond"/>
          <w:sz w:val="23"/>
          <w:szCs w:val="23"/>
        </w:rPr>
        <w:t>high</w:t>
      </w:r>
      <w:r w:rsidR="00643A61">
        <w:rPr>
          <w:rFonts w:ascii="Garamond" w:hAnsi="Garamond"/>
          <w:sz w:val="23"/>
          <w:szCs w:val="23"/>
        </w:rPr>
        <w:t xml:space="preserve"> ($100/kW-year)</w:t>
      </w:r>
      <w:r w:rsidR="00193510">
        <w:rPr>
          <w:rFonts w:ascii="Garamond" w:hAnsi="Garamond"/>
          <w:sz w:val="23"/>
          <w:szCs w:val="23"/>
        </w:rPr>
        <w:t xml:space="preserve"> </w:t>
      </w:r>
      <w:r w:rsidR="00B15B7F">
        <w:rPr>
          <w:rFonts w:ascii="Garamond" w:hAnsi="Garamond"/>
          <w:sz w:val="23"/>
          <w:szCs w:val="23"/>
        </w:rPr>
        <w:t>and the</w:t>
      </w:r>
      <w:r w:rsidR="00643A61">
        <w:rPr>
          <w:rFonts w:ascii="Garamond" w:hAnsi="Garamond"/>
          <w:sz w:val="23"/>
          <w:szCs w:val="23"/>
        </w:rPr>
        <w:t xml:space="preserve"> Con Edison programs are cost effective based on avoided T&amp;D costs alone. </w:t>
      </w:r>
      <w:r w:rsidRPr="00643267">
        <w:rPr>
          <w:rFonts w:ascii="Garamond" w:hAnsi="Garamond"/>
          <w:sz w:val="23"/>
          <w:szCs w:val="23"/>
        </w:rPr>
        <w:t xml:space="preserve">The one exception to being able to enroll in both programs is residential </w:t>
      </w:r>
      <w:r>
        <w:rPr>
          <w:rFonts w:ascii="Garamond" w:hAnsi="Garamond"/>
          <w:sz w:val="23"/>
          <w:szCs w:val="23"/>
        </w:rPr>
        <w:t>DLC</w:t>
      </w:r>
      <w:r w:rsidRPr="00643267">
        <w:rPr>
          <w:rFonts w:ascii="Garamond" w:hAnsi="Garamond"/>
          <w:sz w:val="23"/>
          <w:szCs w:val="23"/>
        </w:rPr>
        <w:t>, which Con-Edison bids into NYISO.  For this program</w:t>
      </w:r>
      <w:r>
        <w:rPr>
          <w:rFonts w:ascii="Garamond" w:hAnsi="Garamond"/>
          <w:sz w:val="23"/>
          <w:szCs w:val="23"/>
        </w:rPr>
        <w:t>,</w:t>
      </w:r>
      <w:r w:rsidRPr="00643267">
        <w:rPr>
          <w:rFonts w:ascii="Garamond" w:hAnsi="Garamond"/>
          <w:sz w:val="23"/>
          <w:szCs w:val="23"/>
        </w:rPr>
        <w:t xml:space="preserve"> the Company has a requirement that customers cannot bid into NYISO via other channels.</w:t>
      </w:r>
      <w:r w:rsidRPr="00643267">
        <w:rPr>
          <w:rStyle w:val="FootnoteReference"/>
          <w:rFonts w:ascii="Garamond" w:hAnsi="Garamond"/>
          <w:sz w:val="23"/>
          <w:szCs w:val="23"/>
        </w:rPr>
        <w:footnoteReference w:id="25"/>
      </w:r>
    </w:p>
    <w:p w:rsidR="00571EEF" w:rsidRDefault="00571EEF" w:rsidP="00D4068D">
      <w:pPr>
        <w:spacing w:after="0" w:line="240" w:lineRule="auto"/>
        <w:rPr>
          <w:rFonts w:ascii="Garamond" w:hAnsi="Garamond"/>
          <w:sz w:val="23"/>
          <w:szCs w:val="23"/>
        </w:rPr>
      </w:pPr>
    </w:p>
    <w:p w:rsidR="00BC09CF" w:rsidRDefault="00B15B7F" w:rsidP="00DF0703">
      <w:pPr>
        <w:pStyle w:val="Heading3"/>
      </w:pPr>
      <w:bookmarkStart w:id="31" w:name="_Toc355954896"/>
      <w:r>
        <w:t>Treatment of Payments in Pennsylvania Act 129</w:t>
      </w:r>
      <w:bookmarkEnd w:id="31"/>
    </w:p>
    <w:p w:rsidR="00BC09CF" w:rsidRPr="00643267" w:rsidRDefault="00BC09CF" w:rsidP="00BC09CF">
      <w:pPr>
        <w:spacing w:after="0" w:line="240" w:lineRule="auto"/>
        <w:rPr>
          <w:rFonts w:ascii="Garamond" w:hAnsi="Garamond" w:cs="Times New Roman"/>
          <w:sz w:val="23"/>
          <w:szCs w:val="23"/>
        </w:rPr>
      </w:pPr>
      <w:r w:rsidRPr="00643267">
        <w:rPr>
          <w:rFonts w:ascii="Garamond" w:hAnsi="Garamond" w:cs="Times New Roman"/>
          <w:sz w:val="23"/>
          <w:szCs w:val="23"/>
        </w:rPr>
        <w:t xml:space="preserve">Act 129 requires the use of a TRC test to evaluate the cost-effectiveness of the EDCs’ EE&amp;C plans, inclusive of DR programs utilized to achieve the Act 129 demand reduction goals. </w:t>
      </w:r>
      <w:r w:rsidRPr="00643267">
        <w:rPr>
          <w:rFonts w:ascii="Garamond" w:hAnsi="Garamond"/>
          <w:sz w:val="23"/>
          <w:szCs w:val="23"/>
        </w:rPr>
        <w:t xml:space="preserve">Act 129 defines a </w:t>
      </w:r>
      <w:r w:rsidRPr="00643267">
        <w:rPr>
          <w:rFonts w:ascii="Garamond" w:hAnsi="Garamond"/>
          <w:sz w:val="23"/>
          <w:szCs w:val="23"/>
        </w:rPr>
        <w:lastRenderedPageBreak/>
        <w:t>TRC test as “a standard test that is met if, over the effective life of each plan not to exceed 15 years, the net present value of the avoided monetary cost of supply</w:t>
      </w:r>
      <w:r w:rsidR="004E2C12">
        <w:rPr>
          <w:rFonts w:ascii="Garamond" w:hAnsi="Garamond"/>
          <w:sz w:val="23"/>
          <w:szCs w:val="23"/>
        </w:rPr>
        <w:t>ing</w:t>
      </w:r>
      <w:r w:rsidRPr="00643267">
        <w:rPr>
          <w:rFonts w:ascii="Garamond" w:hAnsi="Garamond"/>
          <w:sz w:val="23"/>
          <w:szCs w:val="23"/>
        </w:rPr>
        <w:t xml:space="preserve"> electricity is greater than the net present value of the monetary cost of energy efficiency conservation measures.”</w:t>
      </w:r>
      <w:r w:rsidRPr="00643267">
        <w:rPr>
          <w:rStyle w:val="FootnoteReference"/>
          <w:rFonts w:ascii="Garamond" w:hAnsi="Garamond"/>
          <w:sz w:val="23"/>
          <w:szCs w:val="23"/>
        </w:rPr>
        <w:footnoteReference w:id="26"/>
      </w:r>
      <w:r w:rsidRPr="00643267">
        <w:rPr>
          <w:rFonts w:ascii="Garamond" w:hAnsi="Garamond"/>
          <w:sz w:val="23"/>
          <w:szCs w:val="23"/>
        </w:rPr>
        <w:t xml:space="preserve">  </w:t>
      </w:r>
      <w:r w:rsidRPr="00643267">
        <w:rPr>
          <w:rFonts w:ascii="Garamond" w:hAnsi="Garamond" w:cs="Times New Roman"/>
          <w:sz w:val="23"/>
          <w:szCs w:val="23"/>
        </w:rPr>
        <w:t>The TRC test is “to be used to determine whether ratepayers, as a whole, received more benefits (in reduced capacity, energy, transmission, and distribution costs) than the implementation cost of EE&amp;C plans.”</w:t>
      </w:r>
      <w:r w:rsidRPr="00643267">
        <w:rPr>
          <w:rStyle w:val="FootnoteReference"/>
          <w:rFonts w:ascii="Garamond" w:hAnsi="Garamond" w:cs="Times New Roman"/>
          <w:sz w:val="23"/>
          <w:szCs w:val="23"/>
        </w:rPr>
        <w:footnoteReference w:id="27"/>
      </w:r>
      <w:r w:rsidRPr="00643267">
        <w:rPr>
          <w:rFonts w:ascii="Garamond" w:hAnsi="Garamond" w:cs="Times New Roman"/>
          <w:sz w:val="23"/>
          <w:szCs w:val="23"/>
        </w:rPr>
        <w:t xml:space="preserve">  </w:t>
      </w:r>
    </w:p>
    <w:p w:rsidR="00BC09CF" w:rsidRPr="00643267" w:rsidRDefault="00BC09CF" w:rsidP="00BC09CF">
      <w:pPr>
        <w:spacing w:after="0" w:line="240" w:lineRule="auto"/>
        <w:rPr>
          <w:rFonts w:ascii="Garamond" w:hAnsi="Garamond" w:cs="Times New Roman"/>
          <w:sz w:val="23"/>
          <w:szCs w:val="23"/>
        </w:rPr>
      </w:pPr>
    </w:p>
    <w:p w:rsidR="00BC09CF" w:rsidRPr="00643267" w:rsidRDefault="00BC09CF" w:rsidP="00BC09CF">
      <w:pPr>
        <w:spacing w:after="120" w:line="240" w:lineRule="auto"/>
        <w:rPr>
          <w:rFonts w:ascii="Garamond" w:hAnsi="Garamond" w:cs="Times New Roman"/>
          <w:sz w:val="23"/>
          <w:szCs w:val="23"/>
        </w:rPr>
      </w:pPr>
      <w:r w:rsidRPr="00643267">
        <w:rPr>
          <w:rFonts w:ascii="Garamond" w:hAnsi="Garamond" w:cs="Times New Roman"/>
          <w:sz w:val="23"/>
          <w:szCs w:val="23"/>
        </w:rPr>
        <w:t>DR program costs typically include administrative and equipment costs, which should be included in the TRC test cal</w:t>
      </w:r>
      <w:r w:rsidR="00C76E6C">
        <w:rPr>
          <w:rFonts w:ascii="Garamond" w:hAnsi="Garamond" w:cs="Times New Roman"/>
          <w:sz w:val="23"/>
          <w:szCs w:val="23"/>
        </w:rPr>
        <w:t xml:space="preserve">culations. </w:t>
      </w:r>
      <w:r w:rsidRPr="00643267">
        <w:rPr>
          <w:rFonts w:ascii="Garamond" w:hAnsi="Garamond" w:cs="Times New Roman"/>
          <w:sz w:val="23"/>
          <w:szCs w:val="23"/>
        </w:rPr>
        <w:t>In the 2011 TRC Order, the Commission addressed the treatment of certain transaction payments and funding for purposes of the TRC test, as follows:</w:t>
      </w:r>
    </w:p>
    <w:p w:rsidR="00BC09CF" w:rsidRPr="00643267" w:rsidRDefault="00BC09CF" w:rsidP="00BC09CF">
      <w:pPr>
        <w:pStyle w:val="ListParagraph"/>
        <w:numPr>
          <w:ilvl w:val="0"/>
          <w:numId w:val="8"/>
        </w:numPr>
        <w:spacing w:after="0" w:line="240" w:lineRule="auto"/>
        <w:contextualSpacing w:val="0"/>
        <w:rPr>
          <w:rFonts w:ascii="Garamond" w:hAnsi="Garamond"/>
          <w:sz w:val="23"/>
          <w:szCs w:val="23"/>
        </w:rPr>
      </w:pPr>
      <w:bookmarkStart w:id="32" w:name="_Ref323891684"/>
      <w:r w:rsidRPr="00643267">
        <w:rPr>
          <w:rFonts w:ascii="Garamond" w:hAnsi="Garamond"/>
          <w:sz w:val="23"/>
          <w:szCs w:val="23"/>
        </w:rPr>
        <w:t>DR payments to CSPs and EDCs from PJM – the Commission ruled that “PJM’s economic DR programs are independent programs from Act 129 and that any charges, penalties, or payments from the PJM DR programs should be ignored for purposes of Act 129, regardless of whether charges, penalties, or payments are to/from a CSP, a customer or an EDC.”</w:t>
      </w:r>
      <w:r>
        <w:rPr>
          <w:rStyle w:val="FootnoteReference"/>
          <w:rFonts w:ascii="Garamond" w:hAnsi="Garamond"/>
          <w:sz w:val="23"/>
          <w:szCs w:val="23"/>
        </w:rPr>
        <w:footnoteReference w:id="28"/>
      </w:r>
      <w:r w:rsidRPr="00643267">
        <w:rPr>
          <w:rFonts w:ascii="Garamond" w:hAnsi="Garamond"/>
          <w:sz w:val="23"/>
          <w:szCs w:val="23"/>
        </w:rPr>
        <w:t xml:space="preserve">  Thus, all PJM payments pursuant to DR programs, whether to CSPs, customers or EDCs, are uniformly excluded from the TRC test.</w:t>
      </w:r>
    </w:p>
    <w:p w:rsidR="00BC09CF" w:rsidRPr="00643267" w:rsidRDefault="00BC09CF" w:rsidP="00BC09CF">
      <w:pPr>
        <w:pStyle w:val="ListParagraph"/>
        <w:numPr>
          <w:ilvl w:val="0"/>
          <w:numId w:val="8"/>
        </w:numPr>
        <w:spacing w:after="0" w:line="240" w:lineRule="auto"/>
        <w:contextualSpacing w:val="0"/>
        <w:rPr>
          <w:rFonts w:ascii="Garamond" w:hAnsi="Garamond"/>
          <w:sz w:val="23"/>
          <w:szCs w:val="23"/>
        </w:rPr>
      </w:pPr>
      <w:r w:rsidRPr="00643267">
        <w:rPr>
          <w:rFonts w:ascii="Garamond" w:hAnsi="Garamond"/>
          <w:sz w:val="23"/>
          <w:szCs w:val="23"/>
        </w:rPr>
        <w:t>DR payments to CSPs and Participants from EDCs – The Commission ruled that these payments are treated as a proxy for DR program participant transaction costs.</w:t>
      </w:r>
    </w:p>
    <w:bookmarkEnd w:id="32"/>
    <w:p w:rsidR="00AD0E1F" w:rsidRDefault="00AD0E1F">
      <w:pPr>
        <w:jc w:val="left"/>
        <w:rPr>
          <w:rFonts w:ascii="Garamond" w:hAnsi="Garamond"/>
          <w:sz w:val="23"/>
          <w:szCs w:val="23"/>
        </w:rPr>
      </w:pPr>
    </w:p>
    <w:p w:rsidR="00AE2A92" w:rsidRDefault="00AD0E1F" w:rsidP="0041726C">
      <w:pPr>
        <w:spacing w:line="240" w:lineRule="auto"/>
        <w:jc w:val="left"/>
        <w:rPr>
          <w:rFonts w:ascii="Garamond" w:hAnsi="Garamond"/>
          <w:sz w:val="23"/>
          <w:szCs w:val="23"/>
        </w:rPr>
      </w:pPr>
      <w:r>
        <w:rPr>
          <w:rFonts w:ascii="Garamond" w:hAnsi="Garamond"/>
          <w:sz w:val="23"/>
          <w:szCs w:val="23"/>
        </w:rPr>
        <w:t xml:space="preserve">The Act 129 TRC test guidelines are </w:t>
      </w:r>
      <w:r w:rsidR="0075378C">
        <w:rPr>
          <w:rFonts w:ascii="Garamond" w:hAnsi="Garamond"/>
          <w:sz w:val="23"/>
          <w:szCs w:val="23"/>
        </w:rPr>
        <w:t xml:space="preserve">mostly </w:t>
      </w:r>
      <w:r>
        <w:rPr>
          <w:rFonts w:ascii="Garamond" w:hAnsi="Garamond"/>
          <w:sz w:val="23"/>
          <w:szCs w:val="23"/>
        </w:rPr>
        <w:t xml:space="preserve">consistent </w:t>
      </w:r>
      <w:r w:rsidR="0075378C">
        <w:rPr>
          <w:rFonts w:ascii="Garamond" w:hAnsi="Garamond"/>
          <w:sz w:val="23"/>
          <w:szCs w:val="23"/>
        </w:rPr>
        <w:t xml:space="preserve">with other jurisdictions in the treatment of payments to C&amp;I load curtailment program participants. None of the states surveyed allow payments from an ISO load curtailment program </w:t>
      </w:r>
      <w:r w:rsidR="00863248">
        <w:rPr>
          <w:rFonts w:ascii="Garamond" w:hAnsi="Garamond"/>
          <w:sz w:val="23"/>
          <w:szCs w:val="23"/>
        </w:rPr>
        <w:t xml:space="preserve">to participants </w:t>
      </w:r>
      <w:r w:rsidR="0075378C">
        <w:rPr>
          <w:rFonts w:ascii="Garamond" w:hAnsi="Garamond"/>
          <w:sz w:val="23"/>
          <w:szCs w:val="23"/>
        </w:rPr>
        <w:t>to be included in the benefits portion of the EDC program’s TRC ratio. Each of</w:t>
      </w:r>
      <w:r w:rsidR="00AE2A92">
        <w:rPr>
          <w:rFonts w:ascii="Garamond" w:hAnsi="Garamond"/>
          <w:sz w:val="23"/>
          <w:szCs w:val="23"/>
        </w:rPr>
        <w:t xml:space="preserve"> the states considered, other than </w:t>
      </w:r>
      <w:r w:rsidR="0075378C">
        <w:rPr>
          <w:rFonts w:ascii="Garamond" w:hAnsi="Garamond"/>
          <w:sz w:val="23"/>
          <w:szCs w:val="23"/>
        </w:rPr>
        <w:t xml:space="preserve">California, also include 100% of the </w:t>
      </w:r>
      <w:r w:rsidR="006E02A9">
        <w:rPr>
          <w:rFonts w:ascii="Garamond" w:hAnsi="Garamond"/>
          <w:sz w:val="23"/>
          <w:szCs w:val="23"/>
        </w:rPr>
        <w:t xml:space="preserve">EDC </w:t>
      </w:r>
      <w:r w:rsidR="0075378C">
        <w:rPr>
          <w:rFonts w:ascii="Garamond" w:hAnsi="Garamond"/>
          <w:sz w:val="23"/>
          <w:szCs w:val="23"/>
        </w:rPr>
        <w:t xml:space="preserve">payments to CSPs and participants as a proxy for participant costs. California includes </w:t>
      </w:r>
      <w:r w:rsidR="00AE2A92">
        <w:rPr>
          <w:rFonts w:ascii="Garamond" w:hAnsi="Garamond"/>
          <w:sz w:val="23"/>
          <w:szCs w:val="23"/>
        </w:rPr>
        <w:t>75% of these payments in the TRC calculation as a proxy for participant costs, which results in a more favorable TRC ratio.</w:t>
      </w:r>
    </w:p>
    <w:p w:rsidR="00AE2A92" w:rsidRDefault="00AE2A92" w:rsidP="0041726C">
      <w:pPr>
        <w:spacing w:line="240" w:lineRule="auto"/>
        <w:jc w:val="left"/>
        <w:rPr>
          <w:rFonts w:ascii="Garamond" w:hAnsi="Garamond"/>
          <w:sz w:val="23"/>
          <w:szCs w:val="23"/>
        </w:rPr>
      </w:pPr>
      <w:r>
        <w:rPr>
          <w:rFonts w:ascii="Garamond" w:hAnsi="Garamond"/>
          <w:sz w:val="23"/>
          <w:szCs w:val="23"/>
        </w:rPr>
        <w:t xml:space="preserve">Payments from programs like residential DLC are treated more conservatively in Pennsylvania and New York than in California or Illinois. </w:t>
      </w:r>
      <w:r w:rsidR="00150849">
        <w:rPr>
          <w:rFonts w:ascii="Garamond" w:hAnsi="Garamond"/>
          <w:sz w:val="23"/>
          <w:szCs w:val="23"/>
        </w:rPr>
        <w:t>Under the current Act 129 TRC test guidelines, i</w:t>
      </w:r>
      <w:r>
        <w:rPr>
          <w:rFonts w:ascii="Garamond" w:hAnsi="Garamond"/>
          <w:sz w:val="23"/>
          <w:szCs w:val="23"/>
        </w:rPr>
        <w:t xml:space="preserve">f a Pennsylvania EDC were to bid its DLC program into the PJM </w:t>
      </w:r>
      <w:r w:rsidR="00C76E6C">
        <w:rPr>
          <w:rFonts w:ascii="Garamond" w:hAnsi="Garamond"/>
          <w:sz w:val="23"/>
          <w:szCs w:val="23"/>
        </w:rPr>
        <w:t>forward capacity market</w:t>
      </w:r>
      <w:r>
        <w:rPr>
          <w:rFonts w:ascii="Garamond" w:hAnsi="Garamond"/>
          <w:sz w:val="23"/>
          <w:szCs w:val="23"/>
        </w:rPr>
        <w:t>, the revenue earned would be excluded from the benefits of the TRC test. California and Illinois include this type of revenue in the TRC benefits. Inclusion of this wholesale market</w:t>
      </w:r>
      <w:r w:rsidR="00863248">
        <w:rPr>
          <w:rFonts w:ascii="Garamond" w:hAnsi="Garamond"/>
          <w:sz w:val="23"/>
          <w:szCs w:val="23"/>
        </w:rPr>
        <w:t xml:space="preserve"> revenue from PJM would replace the avoided cost of generation capacity calculation in</w:t>
      </w:r>
      <w:r>
        <w:rPr>
          <w:rFonts w:ascii="Garamond" w:hAnsi="Garamond"/>
          <w:sz w:val="23"/>
          <w:szCs w:val="23"/>
        </w:rPr>
        <w:t xml:space="preserve"> the TRC ratio of Pennsylvania DLC programs</w:t>
      </w:r>
      <w:r w:rsidR="00863248">
        <w:rPr>
          <w:rFonts w:ascii="Garamond" w:hAnsi="Garamond"/>
          <w:sz w:val="23"/>
          <w:szCs w:val="23"/>
        </w:rPr>
        <w:t xml:space="preserve"> with actual revenue</w:t>
      </w:r>
      <w:r>
        <w:rPr>
          <w:rFonts w:ascii="Garamond" w:hAnsi="Garamond"/>
          <w:sz w:val="23"/>
          <w:szCs w:val="23"/>
        </w:rPr>
        <w:t>.</w:t>
      </w:r>
      <w:r w:rsidR="00863248">
        <w:rPr>
          <w:rFonts w:ascii="Garamond" w:hAnsi="Garamond"/>
          <w:sz w:val="23"/>
          <w:szCs w:val="23"/>
        </w:rPr>
        <w:t xml:space="preserve"> Bidding these programs into the Forward Capacity Market would exert downward pressure on the capacity prices in the region.</w:t>
      </w:r>
      <w:r w:rsidR="00C76E6C">
        <w:rPr>
          <w:rFonts w:ascii="Garamond" w:hAnsi="Garamond"/>
          <w:sz w:val="23"/>
          <w:szCs w:val="23"/>
        </w:rPr>
        <w:t xml:space="preserve"> </w:t>
      </w:r>
      <w:r w:rsidR="006E225B">
        <w:rPr>
          <w:rFonts w:ascii="Garamond" w:hAnsi="Garamond"/>
          <w:sz w:val="23"/>
          <w:szCs w:val="23"/>
        </w:rPr>
        <w:t xml:space="preserve">The SWE feels that bidding EDC direct load control programs into the PJM capacity market is necessary to realize the full program benefits, however ultimately this is a business decision that must be made by each EDC individually.  </w:t>
      </w:r>
    </w:p>
    <w:p w:rsidR="000037E6" w:rsidRPr="00593C06" w:rsidRDefault="0075378C" w:rsidP="000037E6">
      <w:pPr>
        <w:jc w:val="left"/>
        <w:rPr>
          <w:rFonts w:ascii="Garamond" w:hAnsi="Garamond"/>
          <w:sz w:val="23"/>
          <w:szCs w:val="23"/>
        </w:rPr>
      </w:pPr>
      <w:r>
        <w:rPr>
          <w:rFonts w:ascii="Garamond" w:hAnsi="Garamond"/>
          <w:sz w:val="23"/>
          <w:szCs w:val="23"/>
        </w:rPr>
        <w:t xml:space="preserve"> </w:t>
      </w:r>
      <w:r w:rsidR="006B7670">
        <w:rPr>
          <w:rFonts w:ascii="Garamond" w:hAnsi="Garamond"/>
          <w:sz w:val="23"/>
          <w:szCs w:val="23"/>
        </w:rPr>
        <w:br w:type="page"/>
      </w:r>
    </w:p>
    <w:p w:rsidR="00B00D9C" w:rsidRPr="00643267" w:rsidRDefault="00CE3879" w:rsidP="00BD2C6C">
      <w:pPr>
        <w:pStyle w:val="Heading1"/>
      </w:pPr>
      <w:bookmarkStart w:id="33" w:name="_Ref343514175"/>
      <w:bookmarkStart w:id="34" w:name="_Toc355954897"/>
      <w:r>
        <w:lastRenderedPageBreak/>
        <w:t xml:space="preserve">Pennsylvania </w:t>
      </w:r>
      <w:r w:rsidR="00905838">
        <w:t>D</w:t>
      </w:r>
      <w:r w:rsidR="00DF0C4F">
        <w:t>emand Response</w:t>
      </w:r>
      <w:r w:rsidR="00905838">
        <w:t xml:space="preserve"> Market Pricing</w:t>
      </w:r>
      <w:r w:rsidR="00905838" w:rsidRPr="00643267">
        <w:t xml:space="preserve"> </w:t>
      </w:r>
      <w:r w:rsidR="005222CE" w:rsidRPr="00643267">
        <w:t>Analysis</w:t>
      </w:r>
      <w:bookmarkEnd w:id="33"/>
      <w:bookmarkEnd w:id="34"/>
      <w:r w:rsidR="005222CE" w:rsidRPr="00643267">
        <w:t xml:space="preserve"> </w:t>
      </w:r>
    </w:p>
    <w:p w:rsidR="00EC4D77" w:rsidRDefault="00EC4D77" w:rsidP="00EC4D77">
      <w:pPr>
        <w:spacing w:after="0" w:line="240" w:lineRule="auto"/>
        <w:rPr>
          <w:rFonts w:ascii="Garamond" w:eastAsia="Calibri" w:hAnsi="Garamond" w:cs="Times New Roman"/>
          <w:sz w:val="23"/>
          <w:szCs w:val="23"/>
        </w:rPr>
      </w:pPr>
      <w:r>
        <w:rPr>
          <w:rFonts w:ascii="Garamond" w:eastAsia="Calibri" w:hAnsi="Garamond" w:cs="Times New Roman"/>
          <w:sz w:val="23"/>
          <w:szCs w:val="23"/>
        </w:rPr>
        <w:t>DR</w:t>
      </w:r>
      <w:r w:rsidRPr="00643267">
        <w:rPr>
          <w:rFonts w:ascii="Garamond" w:eastAsia="Calibri" w:hAnsi="Garamond" w:cs="Times New Roman"/>
          <w:sz w:val="23"/>
          <w:szCs w:val="23"/>
        </w:rPr>
        <w:t xml:space="preserve"> programs are designed to secure resources which can be dispatched during periods when the electrical grid is constrained. Calling on these customers to reduce demand during hours of peak consumption increases the reliability of the grid by balancing supply and demand. This helps prevent blackouts or brownouts and can also have a positive effect on wholesale electric prices. The two key market components which serve as a proxy for the value of </w:t>
      </w:r>
      <w:r>
        <w:rPr>
          <w:rFonts w:ascii="Garamond" w:eastAsia="Calibri" w:hAnsi="Garamond" w:cs="Times New Roman"/>
          <w:sz w:val="23"/>
          <w:szCs w:val="23"/>
        </w:rPr>
        <w:t>DR</w:t>
      </w:r>
      <w:r w:rsidRPr="00643267">
        <w:rPr>
          <w:rFonts w:ascii="Garamond" w:eastAsia="Calibri" w:hAnsi="Garamond" w:cs="Times New Roman"/>
          <w:sz w:val="23"/>
          <w:szCs w:val="23"/>
        </w:rPr>
        <w:t xml:space="preserve"> are the value of energy and the value of capacity. This section of the report investigates the market conditions which promote cost</w:t>
      </w:r>
      <w:r>
        <w:rPr>
          <w:rFonts w:ascii="Garamond" w:eastAsia="Calibri" w:hAnsi="Garamond" w:cs="Times New Roman"/>
          <w:sz w:val="23"/>
          <w:szCs w:val="23"/>
        </w:rPr>
        <w:t>-</w:t>
      </w:r>
      <w:r w:rsidRPr="00643267">
        <w:rPr>
          <w:rFonts w:ascii="Garamond" w:eastAsia="Calibri" w:hAnsi="Garamond" w:cs="Times New Roman"/>
          <w:sz w:val="23"/>
          <w:szCs w:val="23"/>
        </w:rPr>
        <w:t>effective DR and examines the cost values which were in place during the summer 2012 DR season in Pennsylvania.</w:t>
      </w:r>
    </w:p>
    <w:p w:rsidR="00EC4D77" w:rsidRDefault="00EC4D77" w:rsidP="00EC4D77">
      <w:pPr>
        <w:spacing w:after="0" w:line="240" w:lineRule="auto"/>
        <w:rPr>
          <w:rFonts w:ascii="Garamond" w:eastAsia="Calibri" w:hAnsi="Garamond" w:cs="Times New Roman"/>
          <w:sz w:val="23"/>
          <w:szCs w:val="23"/>
        </w:rPr>
      </w:pPr>
    </w:p>
    <w:p w:rsidR="00EC4D77" w:rsidRDefault="00EC4D77" w:rsidP="00EC4D77">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Generation resources are secured to meet demand in the order of ascending price. During periods of low demand, the needs of the region can typically be met with low</w:t>
      </w:r>
      <w:r>
        <w:rPr>
          <w:rFonts w:ascii="Garamond" w:eastAsia="Calibri" w:hAnsi="Garamond" w:cs="Times New Roman"/>
          <w:sz w:val="23"/>
          <w:szCs w:val="23"/>
        </w:rPr>
        <w:t>-</w:t>
      </w:r>
      <w:r w:rsidRPr="00643267">
        <w:rPr>
          <w:rFonts w:ascii="Garamond" w:eastAsia="Calibri" w:hAnsi="Garamond" w:cs="Times New Roman"/>
          <w:sz w:val="23"/>
          <w:szCs w:val="23"/>
        </w:rPr>
        <w:t>cost power. As system load increases, utilities are forced to accept increasingly high</w:t>
      </w:r>
      <w:r>
        <w:rPr>
          <w:rFonts w:ascii="Garamond" w:eastAsia="Calibri" w:hAnsi="Garamond" w:cs="Times New Roman"/>
          <w:sz w:val="23"/>
          <w:szCs w:val="23"/>
        </w:rPr>
        <w:t>er</w:t>
      </w:r>
      <w:r w:rsidRPr="00643267">
        <w:rPr>
          <w:rFonts w:ascii="Garamond" w:eastAsia="Calibri" w:hAnsi="Garamond" w:cs="Times New Roman"/>
          <w:sz w:val="23"/>
          <w:szCs w:val="23"/>
        </w:rPr>
        <w:t xml:space="preserve"> generation bids in order to meet the demand for energy. These higher price generation resources are usually inefficient natural gas turbines that can be brought online quickly during periods of peak demand. Several deregulated markets in the United States, including PJM, use </w:t>
      </w:r>
      <w:r w:rsidR="00513221">
        <w:rPr>
          <w:rFonts w:ascii="Garamond" w:eastAsia="Calibri" w:hAnsi="Garamond" w:cs="Times New Roman"/>
          <w:sz w:val="23"/>
          <w:szCs w:val="23"/>
        </w:rPr>
        <w:t>Locational Marginal Pricing (LMP)</w:t>
      </w:r>
      <w:r w:rsidR="00513221" w:rsidRPr="00643267">
        <w:rPr>
          <w:rFonts w:ascii="Garamond" w:eastAsia="Calibri" w:hAnsi="Garamond" w:cs="Times New Roman"/>
          <w:sz w:val="23"/>
          <w:szCs w:val="23"/>
        </w:rPr>
        <w:t xml:space="preserve"> </w:t>
      </w:r>
      <w:r w:rsidRPr="00643267">
        <w:rPr>
          <w:rFonts w:ascii="Garamond" w:eastAsia="Calibri" w:hAnsi="Garamond" w:cs="Times New Roman"/>
          <w:sz w:val="23"/>
          <w:szCs w:val="23"/>
        </w:rPr>
        <w:t xml:space="preserve">to assign wholesale market prices for electricity. The </w:t>
      </w:r>
      <w:r w:rsidR="00D77B59">
        <w:rPr>
          <w:rFonts w:ascii="Garamond" w:eastAsia="Calibri" w:hAnsi="Garamond" w:cs="Times New Roman"/>
          <w:sz w:val="23"/>
          <w:szCs w:val="23"/>
        </w:rPr>
        <w:t xml:space="preserve">LMP </w:t>
      </w:r>
      <w:r w:rsidR="00DF0C4F">
        <w:rPr>
          <w:rFonts w:ascii="Garamond" w:eastAsia="Calibri" w:hAnsi="Garamond" w:cs="Times New Roman"/>
          <w:sz w:val="23"/>
          <w:szCs w:val="23"/>
        </w:rPr>
        <w:t xml:space="preserve">($/MWh) </w:t>
      </w:r>
      <w:r w:rsidR="00D77B59">
        <w:rPr>
          <w:rFonts w:ascii="Garamond" w:eastAsia="Calibri" w:hAnsi="Garamond" w:cs="Times New Roman"/>
          <w:sz w:val="23"/>
          <w:szCs w:val="23"/>
        </w:rPr>
        <w:t>of</w:t>
      </w:r>
      <w:r w:rsidRPr="00643267">
        <w:rPr>
          <w:rFonts w:ascii="Garamond" w:eastAsia="Calibri" w:hAnsi="Garamond" w:cs="Times New Roman"/>
          <w:sz w:val="23"/>
          <w:szCs w:val="23"/>
        </w:rPr>
        <w:t xml:space="preserve"> a zone within a region for a given time is based on an optimal dispatch of power within the system and is equal to the highest cost generation offer required to meet system demand plus adjustments for transmission constraints and line losses. </w:t>
      </w:r>
      <w:r w:rsidR="0071462F">
        <w:rPr>
          <w:rFonts w:ascii="Garamond" w:eastAsia="Calibri" w:hAnsi="Garamond" w:cs="Times New Roman"/>
          <w:sz w:val="23"/>
          <w:szCs w:val="23"/>
        </w:rPr>
        <w:t>A high LMP means that the grid is constrained and demand is higher than supply.</w:t>
      </w:r>
    </w:p>
    <w:p w:rsidR="00D77B59" w:rsidRDefault="00D77B59" w:rsidP="00EC4D77">
      <w:pPr>
        <w:spacing w:after="0" w:line="240" w:lineRule="auto"/>
        <w:rPr>
          <w:rFonts w:ascii="Garamond" w:eastAsia="Calibri" w:hAnsi="Garamond" w:cs="Times New Roman"/>
          <w:sz w:val="23"/>
          <w:szCs w:val="23"/>
        </w:rPr>
      </w:pPr>
    </w:p>
    <w:p w:rsidR="00D77B59" w:rsidRPr="00B47EBD" w:rsidRDefault="00D77B59" w:rsidP="00D77B59">
      <w:pPr>
        <w:spacing w:after="0" w:line="240" w:lineRule="auto"/>
        <w:rPr>
          <w:rFonts w:ascii="Garamond" w:eastAsia="Calibri" w:hAnsi="Garamond" w:cs="Times New Roman"/>
          <w:sz w:val="23"/>
          <w:szCs w:val="23"/>
        </w:rPr>
      </w:pPr>
      <w:r w:rsidRPr="00B47EBD">
        <w:rPr>
          <w:rFonts w:ascii="Garamond" w:eastAsia="Calibri" w:hAnsi="Garamond" w:cs="Times New Roman"/>
          <w:sz w:val="23"/>
          <w:szCs w:val="23"/>
        </w:rPr>
        <w:t xml:space="preserve">The general relationship between system demand and LMP in PJM is shown below in </w:t>
      </w:r>
      <w:r w:rsidR="000879C9" w:rsidRPr="00332511">
        <w:rPr>
          <w:rFonts w:ascii="Garamond" w:hAnsi="Garamond"/>
          <w:sz w:val="23"/>
          <w:szCs w:val="23"/>
        </w:rPr>
        <w:fldChar w:fldCharType="begin"/>
      </w:r>
      <w:r w:rsidR="000879C9" w:rsidRPr="00332511">
        <w:rPr>
          <w:rFonts w:ascii="Garamond" w:eastAsia="Calibri" w:hAnsi="Garamond" w:cs="Times New Roman"/>
          <w:sz w:val="23"/>
          <w:szCs w:val="23"/>
        </w:rPr>
        <w:instrText xml:space="preserve"> REF _Ref342979152 \h </w:instrText>
      </w:r>
      <w:r w:rsidR="00332511">
        <w:rPr>
          <w:rFonts w:ascii="Garamond" w:hAnsi="Garamond"/>
          <w:sz w:val="23"/>
          <w:szCs w:val="23"/>
        </w:rPr>
        <w:instrText xml:space="preserve"> \* MERGEFORMAT </w:instrText>
      </w:r>
      <w:r w:rsidR="000879C9" w:rsidRPr="00332511">
        <w:rPr>
          <w:rFonts w:ascii="Garamond" w:hAnsi="Garamond"/>
          <w:sz w:val="23"/>
          <w:szCs w:val="23"/>
        </w:rPr>
      </w:r>
      <w:r w:rsidR="000879C9" w:rsidRPr="00332511">
        <w:rPr>
          <w:rFonts w:ascii="Garamond" w:hAnsi="Garamond"/>
          <w:sz w:val="23"/>
          <w:szCs w:val="23"/>
        </w:rPr>
        <w:fldChar w:fldCharType="separate"/>
      </w:r>
      <w:r w:rsidR="00451FFF" w:rsidRPr="00451FFF">
        <w:rPr>
          <w:rFonts w:ascii="Garamond" w:hAnsi="Garamond"/>
        </w:rPr>
        <w:t xml:space="preserve">Figure </w:t>
      </w:r>
      <w:r w:rsidR="00451FFF" w:rsidRPr="00451FFF">
        <w:rPr>
          <w:rFonts w:ascii="Garamond" w:hAnsi="Garamond"/>
          <w:noProof/>
        </w:rPr>
        <w:t>D</w:t>
      </w:r>
      <w:r w:rsidR="00451FFF" w:rsidRPr="00451FFF">
        <w:rPr>
          <w:rFonts w:ascii="Garamond" w:hAnsi="Garamond"/>
          <w:noProof/>
        </w:rPr>
        <w:noBreakHyphen/>
        <w:t>1</w:t>
      </w:r>
      <w:r w:rsidR="000879C9" w:rsidRPr="00332511">
        <w:rPr>
          <w:rFonts w:ascii="Garamond" w:hAnsi="Garamond"/>
          <w:sz w:val="23"/>
          <w:szCs w:val="23"/>
        </w:rPr>
        <w:fldChar w:fldCharType="end"/>
      </w:r>
      <w:r w:rsidR="000879C9" w:rsidRPr="00332511">
        <w:rPr>
          <w:rFonts w:ascii="Garamond" w:hAnsi="Garamond"/>
          <w:sz w:val="23"/>
          <w:szCs w:val="23"/>
        </w:rPr>
        <w:t>.</w:t>
      </w:r>
      <w:r w:rsidR="000879C9">
        <w:rPr>
          <w:rFonts w:ascii="Garamond" w:hAnsi="Garamond"/>
          <w:sz w:val="23"/>
          <w:szCs w:val="23"/>
        </w:rPr>
        <w:t xml:space="preserve"> </w:t>
      </w:r>
      <w:r w:rsidR="00513221" w:rsidRPr="00B47EBD">
        <w:rPr>
          <w:rFonts w:ascii="Garamond" w:hAnsi="Garamond"/>
          <w:sz w:val="23"/>
          <w:szCs w:val="23"/>
        </w:rPr>
        <w:t>The example shown is</w:t>
      </w:r>
      <w:r w:rsidRPr="00B47EBD">
        <w:rPr>
          <w:rFonts w:ascii="Garamond" w:eastAsia="Calibri" w:hAnsi="Garamond" w:cs="Times New Roman"/>
          <w:sz w:val="23"/>
          <w:szCs w:val="23"/>
        </w:rPr>
        <w:t xml:space="preserve"> for </w:t>
      </w:r>
      <w:r w:rsidR="00513221" w:rsidRPr="00B47EBD">
        <w:rPr>
          <w:rFonts w:ascii="Garamond" w:eastAsia="Calibri" w:hAnsi="Garamond" w:cs="Times New Roman"/>
          <w:sz w:val="23"/>
          <w:szCs w:val="23"/>
        </w:rPr>
        <w:t xml:space="preserve">the PJM Interconnection in </w:t>
      </w:r>
      <w:r w:rsidRPr="00B47EBD">
        <w:rPr>
          <w:rFonts w:ascii="Garamond" w:eastAsia="Calibri" w:hAnsi="Garamond" w:cs="Times New Roman"/>
          <w:sz w:val="23"/>
          <w:szCs w:val="23"/>
        </w:rPr>
        <w:t xml:space="preserve">July 2012. PJM calculates this supply curve on a monthly basis using historical generation offers and adjusting them for current fuel prices. In reality, PJM is made up of a number of zones in different states, and the exact relationship </w:t>
      </w:r>
      <w:r w:rsidR="00887607" w:rsidRPr="00B47EBD">
        <w:rPr>
          <w:rFonts w:ascii="Garamond" w:eastAsia="Calibri" w:hAnsi="Garamond" w:cs="Times New Roman"/>
          <w:sz w:val="23"/>
          <w:szCs w:val="23"/>
        </w:rPr>
        <w:t>in each zone</w:t>
      </w:r>
      <w:r w:rsidR="0071462F" w:rsidRPr="00B47EBD">
        <w:rPr>
          <w:rStyle w:val="FootnoteReference"/>
          <w:rFonts w:ascii="Garamond" w:eastAsia="Calibri" w:hAnsi="Garamond" w:cs="Times New Roman"/>
          <w:sz w:val="23"/>
          <w:szCs w:val="23"/>
        </w:rPr>
        <w:footnoteReference w:id="29"/>
      </w:r>
      <w:r w:rsidR="00887607" w:rsidRPr="00B47EBD">
        <w:rPr>
          <w:rFonts w:ascii="Garamond" w:eastAsia="Calibri" w:hAnsi="Garamond" w:cs="Times New Roman"/>
          <w:sz w:val="23"/>
          <w:szCs w:val="23"/>
        </w:rPr>
        <w:t xml:space="preserve"> </w:t>
      </w:r>
      <w:r w:rsidRPr="00B47EBD">
        <w:rPr>
          <w:rFonts w:ascii="Garamond" w:eastAsia="Calibri" w:hAnsi="Garamond" w:cs="Times New Roman"/>
          <w:sz w:val="23"/>
          <w:szCs w:val="23"/>
        </w:rPr>
        <w:t>is somewhat varied</w:t>
      </w:r>
      <w:r w:rsidR="0071462F" w:rsidRPr="00B47EBD">
        <w:rPr>
          <w:rFonts w:ascii="Garamond" w:eastAsia="Calibri" w:hAnsi="Garamond" w:cs="Times New Roman"/>
          <w:sz w:val="23"/>
          <w:szCs w:val="23"/>
        </w:rPr>
        <w:t xml:space="preserve"> and depends on available supply as well as demand.</w:t>
      </w:r>
      <w:r w:rsidR="00CF2A20" w:rsidRPr="00B47EBD">
        <w:rPr>
          <w:rFonts w:ascii="Garamond" w:eastAsia="Calibri" w:hAnsi="Garamond" w:cs="Times New Roman"/>
          <w:sz w:val="23"/>
          <w:szCs w:val="23"/>
        </w:rPr>
        <w:t xml:space="preserve"> </w:t>
      </w:r>
      <w:r w:rsidRPr="00B47EBD">
        <w:rPr>
          <w:rFonts w:ascii="Garamond" w:eastAsia="Calibri" w:hAnsi="Garamond" w:cs="Times New Roman"/>
          <w:sz w:val="23"/>
          <w:szCs w:val="23"/>
        </w:rPr>
        <w:t xml:space="preserve">This </w:t>
      </w:r>
      <w:r w:rsidR="00513221" w:rsidRPr="00B47EBD">
        <w:rPr>
          <w:rFonts w:ascii="Garamond" w:eastAsia="Calibri" w:hAnsi="Garamond" w:cs="Times New Roman"/>
          <w:sz w:val="23"/>
          <w:szCs w:val="23"/>
        </w:rPr>
        <w:t>example</w:t>
      </w:r>
      <w:r w:rsidRPr="00B47EBD">
        <w:rPr>
          <w:rFonts w:ascii="Garamond" w:eastAsia="Calibri" w:hAnsi="Garamond" w:cs="Times New Roman"/>
          <w:sz w:val="23"/>
          <w:szCs w:val="23"/>
        </w:rPr>
        <w:t xml:space="preserve"> is presented </w:t>
      </w:r>
      <w:r w:rsidR="00DF0C4F">
        <w:rPr>
          <w:rFonts w:ascii="Garamond" w:eastAsia="Calibri" w:hAnsi="Garamond" w:cs="Times New Roman"/>
          <w:sz w:val="23"/>
          <w:szCs w:val="23"/>
        </w:rPr>
        <w:t>to illustrate the impact of energy prices (LMP) on the cost effectiveness of a DR program</w:t>
      </w:r>
      <w:r w:rsidRPr="00B47EBD">
        <w:rPr>
          <w:rFonts w:ascii="Garamond" w:eastAsia="Calibri" w:hAnsi="Garamond" w:cs="Times New Roman"/>
          <w:sz w:val="23"/>
          <w:szCs w:val="23"/>
        </w:rPr>
        <w:t xml:space="preserve">. </w:t>
      </w:r>
      <w:r w:rsidR="00CF2A20" w:rsidRPr="00B47EBD">
        <w:rPr>
          <w:rFonts w:ascii="Garamond" w:eastAsia="Calibri" w:hAnsi="Garamond" w:cs="Times New Roman"/>
          <w:sz w:val="23"/>
          <w:szCs w:val="23"/>
        </w:rPr>
        <w:t xml:space="preserve">The effect of </w:t>
      </w:r>
      <w:r w:rsidR="00DF0C4F">
        <w:rPr>
          <w:rFonts w:ascii="Garamond" w:eastAsia="Calibri" w:hAnsi="Garamond" w:cs="Times New Roman"/>
          <w:sz w:val="23"/>
          <w:szCs w:val="23"/>
        </w:rPr>
        <w:t xml:space="preserve">electric </w:t>
      </w:r>
      <w:r w:rsidR="00CF2A20" w:rsidRPr="00B47EBD">
        <w:rPr>
          <w:rFonts w:ascii="Garamond" w:eastAsia="Calibri" w:hAnsi="Garamond" w:cs="Times New Roman"/>
          <w:sz w:val="23"/>
          <w:szCs w:val="23"/>
        </w:rPr>
        <w:t xml:space="preserve">supply </w:t>
      </w:r>
      <w:r w:rsidR="00DF0C4F">
        <w:rPr>
          <w:rFonts w:ascii="Garamond" w:eastAsia="Calibri" w:hAnsi="Garamond" w:cs="Times New Roman"/>
          <w:sz w:val="23"/>
          <w:szCs w:val="23"/>
        </w:rPr>
        <w:t xml:space="preserve">on Pennsylvania Act 129 DR programs </w:t>
      </w:r>
      <w:r w:rsidR="00CF2A20" w:rsidRPr="00B47EBD">
        <w:rPr>
          <w:rFonts w:ascii="Garamond" w:eastAsia="Calibri" w:hAnsi="Garamond" w:cs="Times New Roman"/>
          <w:sz w:val="23"/>
          <w:szCs w:val="23"/>
        </w:rPr>
        <w:t xml:space="preserve">is discussed in more detail in Section </w:t>
      </w:r>
      <w:r w:rsidR="00CF2A20" w:rsidRPr="00B47EBD">
        <w:rPr>
          <w:rFonts w:ascii="Garamond" w:eastAsia="Calibri" w:hAnsi="Garamond" w:cs="Times New Roman"/>
          <w:sz w:val="23"/>
          <w:szCs w:val="23"/>
        </w:rPr>
        <w:fldChar w:fldCharType="begin"/>
      </w:r>
      <w:r w:rsidR="00CF2A20" w:rsidRPr="00B47EBD">
        <w:rPr>
          <w:rFonts w:ascii="Garamond" w:eastAsia="Calibri" w:hAnsi="Garamond" w:cs="Times New Roman"/>
          <w:sz w:val="23"/>
          <w:szCs w:val="23"/>
        </w:rPr>
        <w:instrText xml:space="preserve"> REF _Ref343501711 \r \h </w:instrText>
      </w:r>
      <w:r w:rsidR="00B47EBD" w:rsidRPr="00B47EBD">
        <w:rPr>
          <w:rFonts w:ascii="Garamond" w:eastAsia="Calibri" w:hAnsi="Garamond" w:cs="Times New Roman"/>
          <w:sz w:val="23"/>
          <w:szCs w:val="23"/>
        </w:rPr>
        <w:instrText xml:space="preserve"> \* MERGEFORMAT </w:instrText>
      </w:r>
      <w:r w:rsidR="00CF2A20" w:rsidRPr="00B47EBD">
        <w:rPr>
          <w:rFonts w:ascii="Garamond" w:eastAsia="Calibri" w:hAnsi="Garamond" w:cs="Times New Roman"/>
          <w:sz w:val="23"/>
          <w:szCs w:val="23"/>
        </w:rPr>
      </w:r>
      <w:r w:rsidR="00CF2A20" w:rsidRPr="00B47EBD">
        <w:rPr>
          <w:rFonts w:ascii="Garamond" w:eastAsia="Calibri" w:hAnsi="Garamond" w:cs="Times New Roman"/>
          <w:sz w:val="23"/>
          <w:szCs w:val="23"/>
        </w:rPr>
        <w:fldChar w:fldCharType="separate"/>
      </w:r>
      <w:r w:rsidR="00451FFF">
        <w:rPr>
          <w:rFonts w:ascii="Garamond" w:eastAsia="Calibri" w:hAnsi="Garamond" w:cs="Times New Roman"/>
          <w:sz w:val="23"/>
          <w:szCs w:val="23"/>
        </w:rPr>
        <w:t>2</w:t>
      </w:r>
      <w:r w:rsidR="00CF2A20" w:rsidRPr="00B47EBD">
        <w:rPr>
          <w:rFonts w:ascii="Garamond" w:eastAsia="Calibri" w:hAnsi="Garamond" w:cs="Times New Roman"/>
          <w:sz w:val="23"/>
          <w:szCs w:val="23"/>
        </w:rPr>
        <w:fldChar w:fldCharType="end"/>
      </w:r>
      <w:r w:rsidR="00CF2A20" w:rsidRPr="00B47EBD">
        <w:rPr>
          <w:rFonts w:ascii="Garamond" w:eastAsia="Calibri" w:hAnsi="Garamond" w:cs="Times New Roman"/>
          <w:sz w:val="23"/>
          <w:szCs w:val="23"/>
        </w:rPr>
        <w:t xml:space="preserve">. </w:t>
      </w:r>
      <w:r w:rsidR="00DF0C4F" w:rsidRPr="00DF0C4F">
        <w:rPr>
          <w:rFonts w:ascii="Garamond" w:eastAsia="Calibri" w:hAnsi="Garamond" w:cs="Times New Roman"/>
          <w:sz w:val="23"/>
          <w:szCs w:val="23"/>
        </w:rPr>
        <w:fldChar w:fldCharType="begin"/>
      </w:r>
      <w:r w:rsidR="00DF0C4F" w:rsidRPr="00DF0C4F">
        <w:rPr>
          <w:rFonts w:ascii="Garamond" w:eastAsia="Calibri" w:hAnsi="Garamond" w:cs="Times New Roman"/>
          <w:sz w:val="23"/>
          <w:szCs w:val="23"/>
        </w:rPr>
        <w:instrText xml:space="preserve"> REF _Ref342979152 \h  \* MERGEFORMAT </w:instrText>
      </w:r>
      <w:r w:rsidR="00DF0C4F" w:rsidRPr="00DF0C4F">
        <w:rPr>
          <w:rFonts w:ascii="Garamond" w:eastAsia="Calibri" w:hAnsi="Garamond" w:cs="Times New Roman"/>
          <w:sz w:val="23"/>
          <w:szCs w:val="23"/>
        </w:rPr>
      </w:r>
      <w:r w:rsidR="00DF0C4F" w:rsidRPr="00DF0C4F">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00DF0C4F" w:rsidRPr="00DF0C4F">
        <w:rPr>
          <w:rFonts w:ascii="Garamond" w:eastAsia="Calibri" w:hAnsi="Garamond" w:cs="Times New Roman"/>
          <w:sz w:val="23"/>
          <w:szCs w:val="23"/>
        </w:rPr>
        <w:fldChar w:fldCharType="end"/>
      </w:r>
      <w:r w:rsidR="00DF0C4F">
        <w:rPr>
          <w:rFonts w:ascii="Garamond" w:eastAsia="Calibri" w:hAnsi="Garamond" w:cs="Times New Roman"/>
          <w:sz w:val="23"/>
          <w:szCs w:val="23"/>
        </w:rPr>
        <w:t xml:space="preserve"> shows</w:t>
      </w:r>
      <w:r w:rsidRPr="00B47EBD">
        <w:rPr>
          <w:rFonts w:ascii="Garamond" w:eastAsia="Calibri" w:hAnsi="Garamond" w:cs="Times New Roman"/>
          <w:sz w:val="23"/>
          <w:szCs w:val="23"/>
        </w:rPr>
        <w:t xml:space="preserve"> that the wholesale price of energy remains relatively constant at around $20 per megawatt-hour (MWh) until </w:t>
      </w:r>
      <w:r w:rsidR="00513221" w:rsidRPr="00B47EBD">
        <w:rPr>
          <w:rFonts w:ascii="Garamond" w:eastAsia="Calibri" w:hAnsi="Garamond" w:cs="Times New Roman"/>
          <w:sz w:val="23"/>
          <w:szCs w:val="23"/>
        </w:rPr>
        <w:t xml:space="preserve">the </w:t>
      </w:r>
      <w:r w:rsidRPr="00B47EBD">
        <w:rPr>
          <w:rFonts w:ascii="Garamond" w:eastAsia="Calibri" w:hAnsi="Garamond" w:cs="Times New Roman"/>
          <w:sz w:val="23"/>
          <w:szCs w:val="23"/>
        </w:rPr>
        <w:t>system demand reaches about 150,000 megawatts (MW). At this point, the estimated LMP begins to increase sharply in response to increases in system load.</w:t>
      </w:r>
      <w:r w:rsidR="006B3469" w:rsidRPr="00B47EBD">
        <w:rPr>
          <w:rFonts w:ascii="Garamond" w:eastAsia="Calibri" w:hAnsi="Garamond" w:cs="Times New Roman"/>
          <w:sz w:val="23"/>
          <w:szCs w:val="23"/>
        </w:rPr>
        <w:t xml:space="preserve"> </w:t>
      </w:r>
      <w:r w:rsidR="00DF0C4F" w:rsidRPr="00B47EBD">
        <w:rPr>
          <w:rFonts w:ascii="Garamond" w:eastAsia="Calibri" w:hAnsi="Garamond" w:cs="Times New Roman"/>
          <w:sz w:val="23"/>
          <w:szCs w:val="23"/>
        </w:rPr>
        <w:t xml:space="preserve">This period of </w:t>
      </w:r>
      <w:r w:rsidR="00DF0C4F">
        <w:rPr>
          <w:rFonts w:ascii="Garamond" w:eastAsia="Calibri" w:hAnsi="Garamond" w:cs="Times New Roman"/>
          <w:sz w:val="23"/>
          <w:szCs w:val="23"/>
        </w:rPr>
        <w:t xml:space="preserve">price </w:t>
      </w:r>
      <w:r w:rsidR="00FB0801">
        <w:rPr>
          <w:rFonts w:ascii="Garamond" w:eastAsia="Calibri" w:hAnsi="Garamond" w:cs="Times New Roman"/>
          <w:sz w:val="23"/>
          <w:szCs w:val="23"/>
        </w:rPr>
        <w:t>responsiveness</w:t>
      </w:r>
      <w:r w:rsidR="00DF0C4F" w:rsidRPr="00B47EBD">
        <w:rPr>
          <w:rFonts w:ascii="Garamond" w:eastAsia="Calibri" w:hAnsi="Garamond" w:cs="Times New Roman"/>
          <w:sz w:val="23"/>
          <w:szCs w:val="23"/>
        </w:rPr>
        <w:t xml:space="preserve"> </w:t>
      </w:r>
      <w:r w:rsidR="00FB0801">
        <w:rPr>
          <w:rFonts w:ascii="Garamond" w:eastAsia="Calibri" w:hAnsi="Garamond" w:cs="Times New Roman"/>
          <w:sz w:val="23"/>
          <w:szCs w:val="23"/>
        </w:rPr>
        <w:t xml:space="preserve">on the supply curve </w:t>
      </w:r>
      <w:r w:rsidR="00DF0C4F">
        <w:rPr>
          <w:rFonts w:ascii="Garamond" w:eastAsia="Calibri" w:hAnsi="Garamond" w:cs="Times New Roman"/>
          <w:sz w:val="23"/>
          <w:szCs w:val="23"/>
        </w:rPr>
        <w:t xml:space="preserve">is when DR resources are generally deemed cost effective. The SWE team defines this area as the </w:t>
      </w:r>
      <w:r w:rsidR="00DF0C4F" w:rsidRPr="00B47EBD">
        <w:rPr>
          <w:rFonts w:ascii="Garamond" w:eastAsia="Calibri" w:hAnsi="Garamond" w:cs="Times New Roman"/>
          <w:sz w:val="23"/>
          <w:szCs w:val="23"/>
        </w:rPr>
        <w:t>“green zone”</w:t>
      </w:r>
      <w:r w:rsidR="00DF0C4F">
        <w:rPr>
          <w:rFonts w:ascii="Garamond" w:eastAsia="Calibri" w:hAnsi="Garamond" w:cs="Times New Roman"/>
          <w:sz w:val="23"/>
          <w:szCs w:val="23"/>
        </w:rPr>
        <w:t xml:space="preserve"> for DR programs on the LMP curve in a given period (month)</w:t>
      </w:r>
      <w:r w:rsidR="00DF0C4F" w:rsidRPr="00B47EBD">
        <w:rPr>
          <w:rFonts w:ascii="Garamond" w:eastAsia="Calibri" w:hAnsi="Garamond" w:cs="Times New Roman"/>
          <w:sz w:val="23"/>
          <w:szCs w:val="23"/>
        </w:rPr>
        <w:t>.</w:t>
      </w:r>
    </w:p>
    <w:p w:rsidR="00D77B59" w:rsidRPr="00B47EBD" w:rsidRDefault="00D77B59" w:rsidP="00EC4D77">
      <w:pPr>
        <w:spacing w:after="0" w:line="240" w:lineRule="auto"/>
        <w:rPr>
          <w:rFonts w:ascii="Garamond" w:eastAsia="Calibri" w:hAnsi="Garamond" w:cs="Times New Roman"/>
          <w:sz w:val="23"/>
          <w:szCs w:val="23"/>
        </w:rPr>
      </w:pPr>
    </w:p>
    <w:p w:rsidR="00D77B59" w:rsidRDefault="00D77B59" w:rsidP="00D77B59">
      <w:pPr>
        <w:pStyle w:val="Caption"/>
        <w:keepNext/>
        <w:jc w:val="center"/>
      </w:pPr>
      <w:bookmarkStart w:id="35" w:name="_Ref342979152"/>
      <w:r>
        <w:lastRenderedPageBreak/>
        <w:t xml:space="preserve">Figure </w:t>
      </w:r>
      <w:fldSimple w:instr=" STYLEREF 1 \s ">
        <w:r w:rsidR="00451FFF">
          <w:rPr>
            <w:noProof/>
          </w:rPr>
          <w:t>D</w:t>
        </w:r>
      </w:fldSimple>
      <w:r w:rsidR="00F45397">
        <w:noBreakHyphen/>
      </w:r>
      <w:fldSimple w:instr=" SEQ Figure \* ARABIC \s 1 ">
        <w:r w:rsidR="00451FFF">
          <w:rPr>
            <w:noProof/>
          </w:rPr>
          <w:t>1</w:t>
        </w:r>
      </w:fldSimple>
      <w:bookmarkEnd w:id="35"/>
      <w:r>
        <w:t>: Relationship between LMP and System Load</w:t>
      </w:r>
    </w:p>
    <w:p w:rsidR="00EC4D77" w:rsidRDefault="00887607" w:rsidP="00D77B59">
      <w:pPr>
        <w:spacing w:after="0" w:line="240" w:lineRule="auto"/>
        <w:jc w:val="center"/>
        <w:rPr>
          <w:rFonts w:ascii="Garamond" w:eastAsia="Calibri" w:hAnsi="Garamond" w:cs="Times New Roman"/>
          <w:sz w:val="23"/>
          <w:szCs w:val="23"/>
        </w:rPr>
      </w:pPr>
      <w:r>
        <w:rPr>
          <w:rFonts w:ascii="Garamond" w:eastAsia="Calibri" w:hAnsi="Garamond" w:cs="Times New Roman"/>
          <w:noProof/>
          <w:sz w:val="23"/>
          <w:szCs w:val="23"/>
        </w:rPr>
        <w:drawing>
          <wp:inline distT="0" distB="0" distL="0" distR="0" wp14:anchorId="54508247" wp14:editId="2FA2CD36">
            <wp:extent cx="4834393" cy="28138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6571" cy="2815167"/>
                    </a:xfrm>
                    <a:prstGeom prst="rect">
                      <a:avLst/>
                    </a:prstGeom>
                    <a:noFill/>
                  </pic:spPr>
                </pic:pic>
              </a:graphicData>
            </a:graphic>
          </wp:inline>
        </w:drawing>
      </w:r>
    </w:p>
    <w:p w:rsidR="00EC4D77" w:rsidRDefault="00EC4D77" w:rsidP="00EC4D77">
      <w:pPr>
        <w:spacing w:after="0" w:line="240" w:lineRule="auto"/>
        <w:rPr>
          <w:rFonts w:ascii="Garamond" w:eastAsia="Calibri" w:hAnsi="Garamond" w:cs="Times New Roman"/>
          <w:sz w:val="23"/>
          <w:szCs w:val="23"/>
        </w:rPr>
      </w:pPr>
    </w:p>
    <w:p w:rsidR="006B3469" w:rsidRDefault="00513221" w:rsidP="00655CDE">
      <w:pPr>
        <w:spacing w:after="120" w:line="240" w:lineRule="auto"/>
        <w:rPr>
          <w:rFonts w:ascii="Garamond" w:eastAsia="Calibri" w:hAnsi="Garamond" w:cs="Times New Roman"/>
          <w:sz w:val="23"/>
          <w:szCs w:val="23"/>
        </w:rPr>
      </w:pPr>
      <w:r>
        <w:rPr>
          <w:rFonts w:ascii="Garamond" w:eastAsia="Calibri" w:hAnsi="Garamond" w:cs="Times New Roman"/>
          <w:sz w:val="23"/>
          <w:szCs w:val="23"/>
        </w:rPr>
        <w:t>Understanding th</w:t>
      </w:r>
      <w:r w:rsidR="00B2270D">
        <w:rPr>
          <w:rFonts w:ascii="Garamond" w:eastAsia="Calibri" w:hAnsi="Garamond" w:cs="Times New Roman"/>
          <w:sz w:val="23"/>
          <w:szCs w:val="23"/>
        </w:rPr>
        <w:t>e</w:t>
      </w:r>
      <w:r>
        <w:rPr>
          <w:rFonts w:ascii="Garamond" w:eastAsia="Calibri" w:hAnsi="Garamond" w:cs="Times New Roman"/>
          <w:sz w:val="23"/>
          <w:szCs w:val="23"/>
        </w:rPr>
        <w:t xml:space="preserve"> volatility of the LMP is of critical importance </w:t>
      </w:r>
      <w:r w:rsidR="00B2270D">
        <w:rPr>
          <w:rFonts w:ascii="Garamond" w:eastAsia="Calibri" w:hAnsi="Garamond" w:cs="Times New Roman"/>
          <w:sz w:val="23"/>
          <w:szCs w:val="23"/>
        </w:rPr>
        <w:t xml:space="preserve">to </w:t>
      </w:r>
      <w:r w:rsidR="00495D2A">
        <w:rPr>
          <w:rFonts w:ascii="Garamond" w:eastAsia="Calibri" w:hAnsi="Garamond" w:cs="Times New Roman"/>
          <w:sz w:val="23"/>
          <w:szCs w:val="23"/>
        </w:rPr>
        <w:t xml:space="preserve">the </w:t>
      </w:r>
      <w:r w:rsidR="00B2270D">
        <w:rPr>
          <w:rFonts w:ascii="Garamond" w:eastAsia="Calibri" w:hAnsi="Garamond" w:cs="Times New Roman"/>
          <w:sz w:val="23"/>
          <w:szCs w:val="23"/>
        </w:rPr>
        <w:t>design</w:t>
      </w:r>
      <w:r>
        <w:rPr>
          <w:rFonts w:ascii="Garamond" w:eastAsia="Calibri" w:hAnsi="Garamond" w:cs="Times New Roman"/>
          <w:sz w:val="23"/>
          <w:szCs w:val="23"/>
        </w:rPr>
        <w:t xml:space="preserve"> </w:t>
      </w:r>
      <w:r w:rsidR="00495D2A">
        <w:rPr>
          <w:rFonts w:ascii="Garamond" w:eastAsia="Calibri" w:hAnsi="Garamond" w:cs="Times New Roman"/>
          <w:sz w:val="23"/>
          <w:szCs w:val="23"/>
        </w:rPr>
        <w:t xml:space="preserve">of </w:t>
      </w:r>
      <w:r>
        <w:rPr>
          <w:rFonts w:ascii="Garamond" w:eastAsia="Calibri" w:hAnsi="Garamond" w:cs="Times New Roman"/>
          <w:sz w:val="23"/>
          <w:szCs w:val="23"/>
        </w:rPr>
        <w:t xml:space="preserve">a DR program. </w:t>
      </w:r>
      <w:r w:rsidR="00D77B59">
        <w:rPr>
          <w:rFonts w:ascii="Garamond" w:eastAsia="Calibri" w:hAnsi="Garamond" w:cs="Times New Roman"/>
          <w:sz w:val="23"/>
          <w:szCs w:val="23"/>
        </w:rPr>
        <w:t>DR</w:t>
      </w:r>
      <w:r w:rsidR="00D77B59" w:rsidRPr="00643267">
        <w:rPr>
          <w:rFonts w:ascii="Garamond" w:eastAsia="Calibri" w:hAnsi="Garamond" w:cs="Times New Roman"/>
          <w:sz w:val="23"/>
          <w:szCs w:val="23"/>
        </w:rPr>
        <w:t xml:space="preserve"> is most cost</w:t>
      </w:r>
      <w:r w:rsidR="00D77B59">
        <w:rPr>
          <w:rFonts w:ascii="Garamond" w:eastAsia="Calibri" w:hAnsi="Garamond" w:cs="Times New Roman"/>
          <w:sz w:val="23"/>
          <w:szCs w:val="23"/>
        </w:rPr>
        <w:t>-</w:t>
      </w:r>
      <w:r w:rsidR="00D77B59" w:rsidRPr="00643267">
        <w:rPr>
          <w:rFonts w:ascii="Garamond" w:eastAsia="Calibri" w:hAnsi="Garamond" w:cs="Times New Roman"/>
          <w:sz w:val="23"/>
          <w:szCs w:val="23"/>
        </w:rPr>
        <w:t xml:space="preserve">effective when events are called during periods </w:t>
      </w:r>
      <w:r w:rsidR="003F5F82">
        <w:rPr>
          <w:rFonts w:ascii="Garamond" w:eastAsia="Calibri" w:hAnsi="Garamond" w:cs="Times New Roman"/>
          <w:sz w:val="23"/>
          <w:szCs w:val="23"/>
        </w:rPr>
        <w:t>in the “green zone</w:t>
      </w:r>
      <w:r w:rsidR="00C55C53">
        <w:rPr>
          <w:rFonts w:ascii="Garamond" w:eastAsia="Calibri" w:hAnsi="Garamond" w:cs="Times New Roman"/>
          <w:sz w:val="23"/>
          <w:szCs w:val="23"/>
        </w:rPr>
        <w:t>,</w:t>
      </w:r>
      <w:r w:rsidR="003F5F82">
        <w:rPr>
          <w:rFonts w:ascii="Garamond" w:eastAsia="Calibri" w:hAnsi="Garamond" w:cs="Times New Roman"/>
          <w:sz w:val="23"/>
          <w:szCs w:val="23"/>
        </w:rPr>
        <w:t>”</w:t>
      </w:r>
      <w:r w:rsidR="00C55C53">
        <w:rPr>
          <w:rFonts w:ascii="Garamond" w:eastAsia="Calibri" w:hAnsi="Garamond" w:cs="Times New Roman"/>
          <w:sz w:val="23"/>
          <w:szCs w:val="23"/>
        </w:rPr>
        <w:t xml:space="preserve"> or</w:t>
      </w:r>
      <w:r w:rsidR="003F5F82">
        <w:rPr>
          <w:rFonts w:ascii="Garamond" w:eastAsia="Calibri" w:hAnsi="Garamond" w:cs="Times New Roman"/>
          <w:sz w:val="23"/>
          <w:szCs w:val="23"/>
        </w:rPr>
        <w:t xml:space="preserve"> </w:t>
      </w:r>
      <w:r w:rsidR="00D77B59" w:rsidRPr="00643267">
        <w:rPr>
          <w:rFonts w:ascii="Garamond" w:eastAsia="Calibri" w:hAnsi="Garamond" w:cs="Times New Roman"/>
          <w:sz w:val="23"/>
          <w:szCs w:val="23"/>
        </w:rPr>
        <w:t xml:space="preserve">when the LMP </w:t>
      </w:r>
      <w:r w:rsidR="00B2270D">
        <w:rPr>
          <w:rFonts w:ascii="Garamond" w:eastAsia="Calibri" w:hAnsi="Garamond" w:cs="Times New Roman"/>
          <w:sz w:val="23"/>
          <w:szCs w:val="23"/>
        </w:rPr>
        <w:t>is</w:t>
      </w:r>
      <w:r w:rsidR="00FB0801">
        <w:rPr>
          <w:rFonts w:ascii="Garamond" w:eastAsia="Calibri" w:hAnsi="Garamond" w:cs="Times New Roman"/>
          <w:sz w:val="23"/>
          <w:szCs w:val="23"/>
        </w:rPr>
        <w:t xml:space="preserve"> highly responsive</w:t>
      </w:r>
      <w:r w:rsidR="00D77B59" w:rsidRPr="00643267">
        <w:rPr>
          <w:rFonts w:ascii="Garamond" w:eastAsia="Calibri" w:hAnsi="Garamond" w:cs="Times New Roman"/>
          <w:sz w:val="23"/>
          <w:szCs w:val="23"/>
        </w:rPr>
        <w:t xml:space="preserve"> to system load and prices are elevated. Reducing system load during these periods can reduce the LMP by moving the system lower on the supply curve shown in</w:t>
      </w:r>
      <w:r w:rsidR="00D77B59">
        <w:rPr>
          <w:rFonts w:ascii="Garamond" w:eastAsia="Calibri" w:hAnsi="Garamond" w:cs="Times New Roman"/>
          <w:sz w:val="23"/>
          <w:szCs w:val="23"/>
        </w:rPr>
        <w:t xml:space="preserve"> </w:t>
      </w:r>
      <w:r w:rsidR="00D77B59" w:rsidRPr="00D77B59">
        <w:rPr>
          <w:rFonts w:ascii="Garamond" w:eastAsia="Calibri" w:hAnsi="Garamond" w:cs="Times New Roman"/>
          <w:sz w:val="23"/>
          <w:szCs w:val="23"/>
        </w:rPr>
        <w:fldChar w:fldCharType="begin"/>
      </w:r>
      <w:r w:rsidR="00D77B59" w:rsidRPr="00D77B59">
        <w:rPr>
          <w:rFonts w:ascii="Garamond" w:eastAsia="Calibri" w:hAnsi="Garamond" w:cs="Times New Roman"/>
          <w:sz w:val="23"/>
          <w:szCs w:val="23"/>
        </w:rPr>
        <w:instrText xml:space="preserve"> REF _Ref342979152 \h  \* MERGEFORMAT </w:instrText>
      </w:r>
      <w:r w:rsidR="00D77B59" w:rsidRPr="00D77B59">
        <w:rPr>
          <w:rFonts w:ascii="Garamond" w:eastAsia="Calibri" w:hAnsi="Garamond" w:cs="Times New Roman"/>
          <w:sz w:val="23"/>
          <w:szCs w:val="23"/>
        </w:rPr>
      </w:r>
      <w:r w:rsidR="00D77B59" w:rsidRPr="00D77B59">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00D77B59" w:rsidRPr="00D77B59">
        <w:rPr>
          <w:rFonts w:ascii="Garamond" w:eastAsia="Calibri" w:hAnsi="Garamond" w:cs="Times New Roman"/>
          <w:sz w:val="23"/>
          <w:szCs w:val="23"/>
        </w:rPr>
        <w:fldChar w:fldCharType="end"/>
      </w:r>
      <w:r w:rsidR="00C51C15">
        <w:rPr>
          <w:rFonts w:ascii="Garamond" w:eastAsia="Calibri" w:hAnsi="Garamond" w:cs="Times New Roman"/>
          <w:sz w:val="23"/>
          <w:szCs w:val="23"/>
        </w:rPr>
        <w:t>. Consider a 1,000 MW curtailment event that is called when the system</w:t>
      </w:r>
      <w:r w:rsidR="0036319F">
        <w:rPr>
          <w:rFonts w:ascii="Garamond" w:eastAsia="Calibri" w:hAnsi="Garamond" w:cs="Times New Roman"/>
          <w:sz w:val="23"/>
          <w:szCs w:val="23"/>
        </w:rPr>
        <w:t xml:space="preserve"> demand is 165,000 MW. Reducing load by 1,000 MW under these system conditions and moving </w:t>
      </w:r>
      <w:r w:rsidR="00690154">
        <w:rPr>
          <w:rFonts w:ascii="Garamond" w:eastAsia="Calibri" w:hAnsi="Garamond" w:cs="Times New Roman"/>
          <w:sz w:val="23"/>
          <w:szCs w:val="23"/>
        </w:rPr>
        <w:t xml:space="preserve">it </w:t>
      </w:r>
      <w:r w:rsidR="0036319F">
        <w:rPr>
          <w:rFonts w:ascii="Garamond" w:eastAsia="Calibri" w:hAnsi="Garamond" w:cs="Times New Roman"/>
          <w:sz w:val="23"/>
          <w:szCs w:val="23"/>
        </w:rPr>
        <w:t xml:space="preserve">left along the x-axis of </w:t>
      </w:r>
      <w:r w:rsidR="0036319F" w:rsidRPr="0036319F">
        <w:rPr>
          <w:rFonts w:ascii="Garamond" w:eastAsia="Calibri" w:hAnsi="Garamond" w:cs="Times New Roman"/>
          <w:sz w:val="23"/>
          <w:szCs w:val="23"/>
        </w:rPr>
        <w:fldChar w:fldCharType="begin"/>
      </w:r>
      <w:r w:rsidR="0036319F" w:rsidRPr="0036319F">
        <w:rPr>
          <w:rFonts w:ascii="Garamond" w:eastAsia="Calibri" w:hAnsi="Garamond" w:cs="Times New Roman"/>
          <w:sz w:val="23"/>
          <w:szCs w:val="23"/>
        </w:rPr>
        <w:instrText xml:space="preserve"> REF _Ref342979152 \h  \* MERGEFORMAT </w:instrText>
      </w:r>
      <w:r w:rsidR="0036319F" w:rsidRPr="0036319F">
        <w:rPr>
          <w:rFonts w:ascii="Garamond" w:eastAsia="Calibri" w:hAnsi="Garamond" w:cs="Times New Roman"/>
          <w:sz w:val="23"/>
          <w:szCs w:val="23"/>
        </w:rPr>
      </w:r>
      <w:r w:rsidR="0036319F" w:rsidRPr="0036319F">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0036319F" w:rsidRPr="0036319F">
        <w:rPr>
          <w:rFonts w:ascii="Garamond" w:eastAsia="Calibri" w:hAnsi="Garamond" w:cs="Times New Roman"/>
          <w:sz w:val="23"/>
          <w:szCs w:val="23"/>
        </w:rPr>
        <w:fldChar w:fldCharType="end"/>
      </w:r>
      <w:r w:rsidR="0036319F">
        <w:rPr>
          <w:rFonts w:ascii="Garamond" w:eastAsia="Calibri" w:hAnsi="Garamond" w:cs="Times New Roman"/>
          <w:sz w:val="23"/>
          <w:szCs w:val="23"/>
        </w:rPr>
        <w:t xml:space="preserve"> would lower the LMP by almost $30</w:t>
      </w:r>
      <w:r w:rsidR="00DF0C4F">
        <w:rPr>
          <w:rFonts w:ascii="Garamond" w:eastAsia="Calibri" w:hAnsi="Garamond" w:cs="Times New Roman"/>
          <w:sz w:val="23"/>
          <w:szCs w:val="23"/>
        </w:rPr>
        <w:t>/MWh</w:t>
      </w:r>
      <w:r w:rsidR="0036319F">
        <w:rPr>
          <w:rFonts w:ascii="Garamond" w:eastAsia="Calibri" w:hAnsi="Garamond" w:cs="Times New Roman"/>
          <w:sz w:val="23"/>
          <w:szCs w:val="23"/>
        </w:rPr>
        <w:t>. If the same 1,000 MW of DR resources were dispatched when the system demand was 140,000 MW</w:t>
      </w:r>
      <w:r w:rsidR="00690154">
        <w:rPr>
          <w:rFonts w:ascii="Garamond" w:eastAsia="Calibri" w:hAnsi="Garamond" w:cs="Times New Roman"/>
          <w:sz w:val="23"/>
          <w:szCs w:val="23"/>
        </w:rPr>
        <w:t xml:space="preserve">, the estimated reduction in LMP would be </w:t>
      </w:r>
      <w:r w:rsidR="00DF0C4F">
        <w:rPr>
          <w:rFonts w:ascii="Garamond" w:eastAsia="Calibri" w:hAnsi="Garamond" w:cs="Times New Roman"/>
          <w:sz w:val="23"/>
          <w:szCs w:val="23"/>
        </w:rPr>
        <w:t xml:space="preserve">merely </w:t>
      </w:r>
      <w:r w:rsidR="00690154">
        <w:rPr>
          <w:rFonts w:ascii="Garamond" w:eastAsia="Calibri" w:hAnsi="Garamond" w:cs="Times New Roman"/>
          <w:sz w:val="23"/>
          <w:szCs w:val="23"/>
        </w:rPr>
        <w:t>$0.70</w:t>
      </w:r>
      <w:r w:rsidR="00DF0C4F">
        <w:rPr>
          <w:rFonts w:ascii="Garamond" w:eastAsia="Calibri" w:hAnsi="Garamond" w:cs="Times New Roman"/>
          <w:sz w:val="23"/>
          <w:szCs w:val="23"/>
        </w:rPr>
        <w:t>/MWh</w:t>
      </w:r>
      <w:r w:rsidR="00690154">
        <w:rPr>
          <w:rFonts w:ascii="Garamond" w:eastAsia="Calibri" w:hAnsi="Garamond" w:cs="Times New Roman"/>
          <w:sz w:val="23"/>
          <w:szCs w:val="23"/>
        </w:rPr>
        <w:t xml:space="preserve">. </w:t>
      </w:r>
      <w:r w:rsidR="00DF0C4F">
        <w:rPr>
          <w:rFonts w:ascii="Garamond" w:eastAsia="Calibri" w:hAnsi="Garamond" w:cs="Times New Roman"/>
          <w:sz w:val="23"/>
          <w:szCs w:val="23"/>
        </w:rPr>
        <w:t xml:space="preserve">DR participants </w:t>
      </w:r>
      <w:r w:rsidR="00DF0C4F" w:rsidRPr="00643267">
        <w:rPr>
          <w:rFonts w:ascii="Garamond" w:eastAsia="Calibri" w:hAnsi="Garamond" w:cs="Times New Roman"/>
          <w:sz w:val="23"/>
          <w:szCs w:val="23"/>
        </w:rPr>
        <w:t xml:space="preserve">have to be incented </w:t>
      </w:r>
      <w:r w:rsidR="00997726">
        <w:rPr>
          <w:rFonts w:ascii="Garamond" w:eastAsia="Calibri" w:hAnsi="Garamond" w:cs="Times New Roman"/>
          <w:sz w:val="23"/>
          <w:szCs w:val="23"/>
        </w:rPr>
        <w:t xml:space="preserve">to reduce load </w:t>
      </w:r>
      <w:r w:rsidR="00DF0C4F" w:rsidRPr="00643267">
        <w:rPr>
          <w:rFonts w:ascii="Garamond" w:eastAsia="Calibri" w:hAnsi="Garamond" w:cs="Times New Roman"/>
          <w:sz w:val="23"/>
          <w:szCs w:val="23"/>
        </w:rPr>
        <w:t>because of the potential discomfort or disruption to opera</w:t>
      </w:r>
      <w:r w:rsidR="00DF0C4F">
        <w:rPr>
          <w:rFonts w:ascii="Garamond" w:eastAsia="Calibri" w:hAnsi="Garamond" w:cs="Times New Roman"/>
          <w:sz w:val="23"/>
          <w:szCs w:val="23"/>
        </w:rPr>
        <w:t>tions</w:t>
      </w:r>
      <w:r w:rsidR="00C55C53">
        <w:rPr>
          <w:rFonts w:ascii="Garamond" w:eastAsia="Calibri" w:hAnsi="Garamond" w:cs="Times New Roman"/>
          <w:sz w:val="23"/>
          <w:szCs w:val="23"/>
        </w:rPr>
        <w:t>.</w:t>
      </w:r>
      <w:r w:rsidR="00DF0C4F">
        <w:rPr>
          <w:rFonts w:ascii="Garamond" w:eastAsia="Calibri" w:hAnsi="Garamond" w:cs="Times New Roman"/>
          <w:sz w:val="23"/>
          <w:szCs w:val="23"/>
        </w:rPr>
        <w:t xml:space="preserve"> </w:t>
      </w:r>
      <w:r w:rsidR="00C55C53">
        <w:rPr>
          <w:rFonts w:ascii="Garamond" w:eastAsia="Calibri" w:hAnsi="Garamond" w:cs="Times New Roman"/>
          <w:sz w:val="23"/>
          <w:szCs w:val="23"/>
        </w:rPr>
        <w:t>Thus,</w:t>
      </w:r>
      <w:r w:rsidR="00DF0C4F">
        <w:rPr>
          <w:rFonts w:ascii="Garamond" w:eastAsia="Calibri" w:hAnsi="Garamond" w:cs="Times New Roman"/>
          <w:sz w:val="23"/>
          <w:szCs w:val="23"/>
        </w:rPr>
        <w:t xml:space="preserve"> DR resources should only be dispatched during periods when the grid is constrained and LMPs are high to ensure the curtailment will have a positive economic effect.</w:t>
      </w:r>
    </w:p>
    <w:p w:rsidR="00FD6897" w:rsidRDefault="006B3469" w:rsidP="00655CDE">
      <w:pPr>
        <w:spacing w:after="0" w:line="240" w:lineRule="auto"/>
        <w:rPr>
          <w:rFonts w:ascii="Garamond" w:eastAsia="Calibri" w:hAnsi="Garamond" w:cs="Times New Roman"/>
          <w:sz w:val="23"/>
          <w:szCs w:val="23"/>
        </w:rPr>
      </w:pPr>
      <w:r>
        <w:rPr>
          <w:rFonts w:ascii="Garamond" w:eastAsia="Calibri" w:hAnsi="Garamond" w:cs="Times New Roman"/>
          <w:sz w:val="23"/>
          <w:szCs w:val="23"/>
        </w:rPr>
        <w:t>As noted previously, o</w:t>
      </w:r>
      <w:r w:rsidRPr="00643267">
        <w:rPr>
          <w:rFonts w:ascii="Garamond" w:eastAsia="Calibri" w:hAnsi="Garamond" w:cs="Times New Roman"/>
          <w:sz w:val="23"/>
          <w:szCs w:val="23"/>
        </w:rPr>
        <w:t>n March 15, 2011</w:t>
      </w:r>
      <w:r>
        <w:rPr>
          <w:rFonts w:ascii="Garamond" w:eastAsia="Calibri" w:hAnsi="Garamond" w:cs="Times New Roman"/>
          <w:sz w:val="23"/>
          <w:szCs w:val="23"/>
        </w:rPr>
        <w:t>,</w:t>
      </w:r>
      <w:r w:rsidRPr="00643267">
        <w:rPr>
          <w:rFonts w:ascii="Garamond" w:eastAsia="Calibri" w:hAnsi="Garamond" w:cs="Times New Roman"/>
          <w:sz w:val="23"/>
          <w:szCs w:val="23"/>
        </w:rPr>
        <w:t xml:space="preserve"> FERC issued Order 745 </w:t>
      </w:r>
      <w:r w:rsidR="00DF0C4F">
        <w:rPr>
          <w:rFonts w:ascii="Garamond" w:eastAsia="Calibri" w:hAnsi="Garamond" w:cs="Times New Roman"/>
          <w:sz w:val="23"/>
          <w:szCs w:val="23"/>
        </w:rPr>
        <w:t>regarding</w:t>
      </w:r>
      <w:r w:rsidRPr="00643267">
        <w:rPr>
          <w:rFonts w:ascii="Garamond" w:eastAsia="Calibri" w:hAnsi="Garamond" w:cs="Times New Roman"/>
          <w:sz w:val="23"/>
          <w:szCs w:val="23"/>
        </w:rPr>
        <w:t xml:space="preserve"> Demand Response Compensation on Wholesale Energy Markets. One of the primary requirements of the order was that DR resources be compensated at the full zonal LMP for the hour during which the load reduction occurred. Since the zonal LMP is the price of adding an additional MWh of supply to the grid for a zone, it makes sense that a load reduction during the hour be valued equally. Under this protocol, a utility should choose between additional generation and DR on the basis of price. If additional supply can be procured for less than the cost of a DR resource, the utility should procure the generation resource.</w:t>
      </w:r>
      <w:r w:rsidR="003F5F82">
        <w:rPr>
          <w:rFonts w:ascii="Garamond" w:eastAsia="Calibri" w:hAnsi="Garamond" w:cs="Times New Roman"/>
          <w:sz w:val="23"/>
          <w:szCs w:val="23"/>
        </w:rPr>
        <w:t xml:space="preserve"> </w:t>
      </w:r>
      <w:r w:rsidR="00887607">
        <w:rPr>
          <w:rFonts w:ascii="Garamond" w:eastAsia="Calibri" w:hAnsi="Garamond" w:cs="Times New Roman"/>
          <w:sz w:val="23"/>
          <w:szCs w:val="23"/>
        </w:rPr>
        <w:t xml:space="preserve">Comparing this protocol with the Act 129 DR structure </w:t>
      </w:r>
      <w:r w:rsidRPr="00643267">
        <w:rPr>
          <w:rFonts w:ascii="Garamond" w:eastAsia="Calibri" w:hAnsi="Garamond" w:cs="Times New Roman"/>
          <w:sz w:val="23"/>
          <w:szCs w:val="23"/>
        </w:rPr>
        <w:t xml:space="preserve">reveals </w:t>
      </w:r>
      <w:r w:rsidR="00DF0C4F">
        <w:rPr>
          <w:rFonts w:ascii="Garamond" w:eastAsia="Calibri" w:hAnsi="Garamond" w:cs="Times New Roman"/>
          <w:sz w:val="23"/>
          <w:szCs w:val="23"/>
        </w:rPr>
        <w:t>a</w:t>
      </w:r>
      <w:r w:rsidRPr="00643267">
        <w:rPr>
          <w:rFonts w:ascii="Garamond" w:eastAsia="Calibri" w:hAnsi="Garamond" w:cs="Times New Roman"/>
          <w:sz w:val="23"/>
          <w:szCs w:val="23"/>
        </w:rPr>
        <w:t xml:space="preserve"> m</w:t>
      </w:r>
      <w:r w:rsidR="00DF0C4F">
        <w:rPr>
          <w:rFonts w:ascii="Garamond" w:eastAsia="Calibri" w:hAnsi="Garamond" w:cs="Times New Roman"/>
          <w:sz w:val="23"/>
          <w:szCs w:val="23"/>
        </w:rPr>
        <w:t>ajor drawback</w:t>
      </w:r>
      <w:r w:rsidRPr="00643267">
        <w:rPr>
          <w:rFonts w:ascii="Garamond" w:eastAsia="Calibri" w:hAnsi="Garamond" w:cs="Times New Roman"/>
          <w:sz w:val="23"/>
          <w:szCs w:val="23"/>
        </w:rPr>
        <w:t xml:space="preserve"> of setting </w:t>
      </w:r>
      <w:r>
        <w:rPr>
          <w:rFonts w:ascii="Garamond" w:eastAsia="Calibri" w:hAnsi="Garamond" w:cs="Times New Roman"/>
          <w:sz w:val="23"/>
          <w:szCs w:val="23"/>
        </w:rPr>
        <w:t>DR</w:t>
      </w:r>
      <w:r w:rsidRPr="00643267">
        <w:rPr>
          <w:rFonts w:ascii="Garamond" w:eastAsia="Calibri" w:hAnsi="Garamond" w:cs="Times New Roman"/>
          <w:sz w:val="23"/>
          <w:szCs w:val="23"/>
        </w:rPr>
        <w:t xml:space="preserve"> targets for </w:t>
      </w:r>
      <w:r>
        <w:rPr>
          <w:rFonts w:ascii="Garamond" w:eastAsia="Calibri" w:hAnsi="Garamond" w:cs="Times New Roman"/>
          <w:sz w:val="23"/>
          <w:szCs w:val="23"/>
        </w:rPr>
        <w:t xml:space="preserve">EDCs </w:t>
      </w:r>
      <w:r w:rsidRPr="00643267">
        <w:rPr>
          <w:rFonts w:ascii="Garamond" w:eastAsia="Calibri" w:hAnsi="Garamond" w:cs="Times New Roman"/>
          <w:sz w:val="23"/>
          <w:szCs w:val="23"/>
        </w:rPr>
        <w:t>in Pennsylvania</w:t>
      </w:r>
      <w:r>
        <w:rPr>
          <w:rFonts w:ascii="Garamond" w:eastAsia="Calibri" w:hAnsi="Garamond" w:cs="Times New Roman"/>
          <w:sz w:val="23"/>
          <w:szCs w:val="23"/>
        </w:rPr>
        <w:t xml:space="preserve"> during hours when DR is not likely to be cost-effective</w:t>
      </w:r>
      <w:r w:rsidRPr="00643267">
        <w:rPr>
          <w:rFonts w:ascii="Garamond" w:eastAsia="Calibri" w:hAnsi="Garamond" w:cs="Times New Roman"/>
          <w:sz w:val="23"/>
          <w:szCs w:val="23"/>
        </w:rPr>
        <w:t>. In order to meet a mandated target, EDCs are forced to procure DR resources when the more cost</w:t>
      </w:r>
      <w:r>
        <w:rPr>
          <w:rFonts w:ascii="Garamond" w:eastAsia="Calibri" w:hAnsi="Garamond" w:cs="Times New Roman"/>
          <w:sz w:val="23"/>
          <w:szCs w:val="23"/>
        </w:rPr>
        <w:t>-</w:t>
      </w:r>
      <w:r w:rsidRPr="00643267">
        <w:rPr>
          <w:rFonts w:ascii="Garamond" w:eastAsia="Calibri" w:hAnsi="Garamond" w:cs="Times New Roman"/>
          <w:sz w:val="23"/>
          <w:szCs w:val="23"/>
        </w:rPr>
        <w:t xml:space="preserve">effective option to balance supply and demand would be additional generation. The possibility of fines being imposed for missing demand reduction targets forces EDCs to set incentive payments at levels necessary to gather enough resources to meet the target rather than at the actual value of the resources. </w:t>
      </w:r>
      <w:r w:rsidR="00DF0C4F" w:rsidRPr="00643267">
        <w:rPr>
          <w:rFonts w:ascii="Garamond" w:eastAsia="Calibri" w:hAnsi="Garamond" w:cs="Times New Roman"/>
          <w:sz w:val="23"/>
          <w:szCs w:val="23"/>
        </w:rPr>
        <w:t xml:space="preserve">This leads to EDCs paying customers significantly more to reduce load than the </w:t>
      </w:r>
      <w:r w:rsidR="00DF0C4F">
        <w:rPr>
          <w:rFonts w:ascii="Garamond" w:eastAsia="Calibri" w:hAnsi="Garamond" w:cs="Times New Roman"/>
          <w:sz w:val="23"/>
          <w:szCs w:val="23"/>
        </w:rPr>
        <w:t xml:space="preserve">cost at which the </w:t>
      </w:r>
      <w:r w:rsidR="00DF0C4F" w:rsidRPr="00643267">
        <w:rPr>
          <w:rFonts w:ascii="Garamond" w:eastAsia="Calibri" w:hAnsi="Garamond" w:cs="Times New Roman"/>
          <w:sz w:val="23"/>
          <w:szCs w:val="23"/>
        </w:rPr>
        <w:t>load could have been acquired from a generation-side resource</w:t>
      </w:r>
      <w:r w:rsidR="00DF0C4F">
        <w:rPr>
          <w:rFonts w:ascii="Garamond" w:eastAsia="Calibri" w:hAnsi="Garamond" w:cs="Times New Roman"/>
          <w:sz w:val="23"/>
          <w:szCs w:val="23"/>
        </w:rPr>
        <w:t xml:space="preserve"> resulting in poor cost to benefit ratios for the Act 129 DR program</w:t>
      </w:r>
      <w:r w:rsidR="00DF0C4F" w:rsidRPr="00643267">
        <w:rPr>
          <w:rFonts w:ascii="Garamond" w:eastAsia="Calibri" w:hAnsi="Garamond" w:cs="Times New Roman"/>
          <w:sz w:val="23"/>
          <w:szCs w:val="23"/>
        </w:rPr>
        <w:t xml:space="preserve">. </w:t>
      </w:r>
      <w:r w:rsidRPr="00643267">
        <w:rPr>
          <w:rFonts w:ascii="Garamond" w:eastAsia="Calibri" w:hAnsi="Garamond" w:cs="Times New Roman"/>
          <w:sz w:val="23"/>
          <w:szCs w:val="23"/>
        </w:rPr>
        <w:t xml:space="preserve"> </w:t>
      </w:r>
    </w:p>
    <w:p w:rsidR="00FD6897" w:rsidRDefault="00FD6897" w:rsidP="00655CDE">
      <w:pPr>
        <w:spacing w:after="0" w:line="240" w:lineRule="auto"/>
        <w:rPr>
          <w:rFonts w:ascii="Garamond" w:eastAsia="Calibri" w:hAnsi="Garamond" w:cs="Times New Roman"/>
          <w:sz w:val="23"/>
          <w:szCs w:val="23"/>
        </w:rPr>
      </w:pPr>
    </w:p>
    <w:p w:rsidR="00DF0C4F" w:rsidRDefault="006B3469" w:rsidP="00655CDE">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 xml:space="preserve">Consider an EDC which decides that it will need to offer customers $500 per MWh in order to gather sufficient participation to meet its mandated DR target. If an event is called during an hour when the LMP is $100 per MWh in the EDC’s zone, the EDC is effectively paying the customer five times what </w:t>
      </w:r>
      <w:r w:rsidRPr="00643267">
        <w:rPr>
          <w:rFonts w:ascii="Garamond" w:eastAsia="Calibri" w:hAnsi="Garamond" w:cs="Times New Roman"/>
          <w:sz w:val="23"/>
          <w:szCs w:val="23"/>
        </w:rPr>
        <w:lastRenderedPageBreak/>
        <w:t xml:space="preserve">the load reduction is worth and dispatching the DR resource was not a cost-effective </w:t>
      </w:r>
      <w:r w:rsidR="00924D48">
        <w:rPr>
          <w:rFonts w:ascii="Garamond" w:eastAsia="Calibri" w:hAnsi="Garamond" w:cs="Times New Roman"/>
          <w:sz w:val="23"/>
          <w:szCs w:val="23"/>
        </w:rPr>
        <w:t>energy purchase</w:t>
      </w:r>
      <w:r w:rsidRPr="00643267">
        <w:rPr>
          <w:rFonts w:ascii="Garamond" w:eastAsia="Calibri" w:hAnsi="Garamond" w:cs="Times New Roman"/>
          <w:sz w:val="23"/>
          <w:szCs w:val="23"/>
        </w:rPr>
        <w:t xml:space="preserve"> for the utility or its ratepayers</w:t>
      </w:r>
      <w:r w:rsidR="00A84C46">
        <w:rPr>
          <w:rStyle w:val="FootnoteReference"/>
          <w:rFonts w:ascii="Garamond" w:eastAsia="Calibri" w:hAnsi="Garamond" w:cs="Times New Roman"/>
          <w:sz w:val="23"/>
          <w:szCs w:val="23"/>
        </w:rPr>
        <w:footnoteReference w:id="30"/>
      </w:r>
      <w:r w:rsidRPr="00643267">
        <w:rPr>
          <w:rFonts w:ascii="Garamond" w:eastAsia="Calibri" w:hAnsi="Garamond" w:cs="Times New Roman"/>
          <w:sz w:val="23"/>
          <w:szCs w:val="23"/>
        </w:rPr>
        <w:t xml:space="preserve">. </w:t>
      </w:r>
      <w:r w:rsidR="00FD6897">
        <w:rPr>
          <w:rFonts w:ascii="Garamond" w:eastAsia="Calibri" w:hAnsi="Garamond" w:cs="Times New Roman"/>
          <w:sz w:val="23"/>
          <w:szCs w:val="23"/>
        </w:rPr>
        <w:t>The SWE’s review of Act 129 DR participation data shows that t</w:t>
      </w:r>
      <w:r w:rsidRPr="00643267">
        <w:rPr>
          <w:rFonts w:ascii="Garamond" w:eastAsia="Calibri" w:hAnsi="Garamond" w:cs="Times New Roman"/>
          <w:sz w:val="23"/>
          <w:szCs w:val="23"/>
        </w:rPr>
        <w:t xml:space="preserve">his was frequently the case during the summer 2012 DR season in Pennsylvania. </w:t>
      </w:r>
    </w:p>
    <w:p w:rsidR="00924D48" w:rsidRDefault="00924D48" w:rsidP="00655CDE">
      <w:pPr>
        <w:spacing w:after="0" w:line="240" w:lineRule="auto"/>
        <w:rPr>
          <w:rFonts w:ascii="Garamond" w:eastAsia="Calibri" w:hAnsi="Garamond" w:cs="Times New Roman"/>
          <w:sz w:val="23"/>
          <w:szCs w:val="23"/>
        </w:rPr>
      </w:pPr>
    </w:p>
    <w:p w:rsidR="00655CDE" w:rsidRDefault="00655CDE" w:rsidP="00655CDE">
      <w:pPr>
        <w:spacing w:after="120" w:line="240" w:lineRule="auto"/>
        <w:rPr>
          <w:rFonts w:ascii="Garamond" w:eastAsia="Calibri" w:hAnsi="Garamond" w:cs="Times New Roman"/>
          <w:sz w:val="23"/>
          <w:szCs w:val="23"/>
        </w:rPr>
      </w:pPr>
      <w:r>
        <w:rPr>
          <w:rFonts w:ascii="Garamond" w:eastAsia="Calibri" w:hAnsi="Garamond" w:cs="Times New Roman"/>
          <w:sz w:val="23"/>
          <w:szCs w:val="23"/>
        </w:rPr>
        <w:t>Establishing a fixed</w:t>
      </w:r>
      <w:r w:rsidR="00DF0C4F">
        <w:rPr>
          <w:rFonts w:ascii="Garamond" w:eastAsia="Calibri" w:hAnsi="Garamond" w:cs="Times New Roman"/>
          <w:sz w:val="23"/>
          <w:szCs w:val="23"/>
        </w:rPr>
        <w:t xml:space="preserve"> demand reduction target in</w:t>
      </w:r>
      <w:r>
        <w:rPr>
          <w:rFonts w:ascii="Garamond" w:eastAsia="Calibri" w:hAnsi="Garamond" w:cs="Times New Roman"/>
          <w:sz w:val="23"/>
          <w:szCs w:val="23"/>
        </w:rPr>
        <w:t xml:space="preserve"> the top 100 hours does not account for the complexity of the demand response market. </w:t>
      </w:r>
      <w:r w:rsidR="003F5F82">
        <w:rPr>
          <w:rFonts w:ascii="Garamond" w:eastAsia="Calibri" w:hAnsi="Garamond" w:cs="Times New Roman"/>
          <w:sz w:val="23"/>
          <w:szCs w:val="23"/>
        </w:rPr>
        <w:t xml:space="preserve">DR programs are designed </w:t>
      </w:r>
      <w:r w:rsidR="002C5D70">
        <w:rPr>
          <w:rFonts w:ascii="Garamond" w:eastAsia="Calibri" w:hAnsi="Garamond" w:cs="Times New Roman"/>
          <w:sz w:val="23"/>
          <w:szCs w:val="23"/>
        </w:rPr>
        <w:t xml:space="preserve">to </w:t>
      </w:r>
      <w:r w:rsidR="003F5F82">
        <w:rPr>
          <w:rFonts w:ascii="Garamond" w:eastAsia="Calibri" w:hAnsi="Garamond" w:cs="Times New Roman"/>
          <w:sz w:val="23"/>
          <w:szCs w:val="23"/>
        </w:rPr>
        <w:t>produce temporary reductions in consumption when the grid is most constrained</w:t>
      </w:r>
      <w:r w:rsidR="002C5D70">
        <w:rPr>
          <w:rFonts w:ascii="Garamond" w:eastAsia="Calibri" w:hAnsi="Garamond" w:cs="Times New Roman"/>
          <w:sz w:val="23"/>
          <w:szCs w:val="23"/>
        </w:rPr>
        <w:t>. The availability of DR resources during periods of peak demand reduces the need to increase the capacity of the system.</w:t>
      </w:r>
      <w:r w:rsidR="001F046D">
        <w:rPr>
          <w:rFonts w:ascii="Garamond" w:eastAsia="Calibri" w:hAnsi="Garamond" w:cs="Times New Roman"/>
          <w:sz w:val="23"/>
          <w:szCs w:val="23"/>
        </w:rPr>
        <w:t xml:space="preserve"> E</w:t>
      </w:r>
      <w:r w:rsidR="002C5D70">
        <w:rPr>
          <w:rFonts w:ascii="Garamond" w:eastAsia="Calibri" w:hAnsi="Garamond" w:cs="Times New Roman"/>
          <w:sz w:val="23"/>
          <w:szCs w:val="23"/>
        </w:rPr>
        <w:t xml:space="preserve">xamining </w:t>
      </w:r>
      <w:r w:rsidR="001F046D">
        <w:rPr>
          <w:rFonts w:ascii="Garamond" w:eastAsia="Calibri" w:hAnsi="Garamond" w:cs="Times New Roman"/>
          <w:sz w:val="23"/>
          <w:szCs w:val="23"/>
        </w:rPr>
        <w:t xml:space="preserve">real-time </w:t>
      </w:r>
      <w:r w:rsidR="002C5D70">
        <w:rPr>
          <w:rFonts w:ascii="Garamond" w:eastAsia="Calibri" w:hAnsi="Garamond" w:cs="Times New Roman"/>
          <w:sz w:val="23"/>
          <w:szCs w:val="23"/>
        </w:rPr>
        <w:t xml:space="preserve">energy prices (LMPs) reveals </w:t>
      </w:r>
      <w:r w:rsidR="0044550E">
        <w:rPr>
          <w:rFonts w:ascii="Garamond" w:eastAsia="Calibri" w:hAnsi="Garamond" w:cs="Times New Roman"/>
          <w:sz w:val="23"/>
          <w:szCs w:val="23"/>
        </w:rPr>
        <w:t xml:space="preserve">times </w:t>
      </w:r>
      <w:r w:rsidR="002C5D70">
        <w:rPr>
          <w:rFonts w:ascii="Garamond" w:eastAsia="Calibri" w:hAnsi="Garamond" w:cs="Times New Roman"/>
          <w:sz w:val="23"/>
          <w:szCs w:val="23"/>
        </w:rPr>
        <w:t xml:space="preserve">when the grid is constrained and DR is needed to balance supply and demand.  </w:t>
      </w:r>
      <w:r>
        <w:rPr>
          <w:rFonts w:ascii="Garamond" w:eastAsia="Calibri" w:hAnsi="Garamond" w:cs="Times New Roman"/>
          <w:sz w:val="23"/>
          <w:szCs w:val="23"/>
        </w:rPr>
        <w:t>Th</w:t>
      </w:r>
      <w:r w:rsidR="00905838">
        <w:rPr>
          <w:rFonts w:ascii="Garamond" w:eastAsia="Calibri" w:hAnsi="Garamond" w:cs="Times New Roman"/>
          <w:sz w:val="23"/>
          <w:szCs w:val="23"/>
        </w:rPr>
        <w:t>e</w:t>
      </w:r>
      <w:r>
        <w:rPr>
          <w:rFonts w:ascii="Garamond" w:eastAsia="Calibri" w:hAnsi="Garamond" w:cs="Times New Roman"/>
          <w:sz w:val="23"/>
          <w:szCs w:val="23"/>
        </w:rPr>
        <w:t xml:space="preserve"> </w:t>
      </w:r>
      <w:r w:rsidR="00DF0C4F">
        <w:rPr>
          <w:rFonts w:ascii="Garamond" w:eastAsia="Calibri" w:hAnsi="Garamond" w:cs="Times New Roman"/>
          <w:sz w:val="23"/>
          <w:szCs w:val="23"/>
        </w:rPr>
        <w:t>next</w:t>
      </w:r>
      <w:r w:rsidR="002C5D70">
        <w:rPr>
          <w:rFonts w:ascii="Garamond" w:eastAsia="Calibri" w:hAnsi="Garamond" w:cs="Times New Roman"/>
          <w:sz w:val="23"/>
          <w:szCs w:val="23"/>
        </w:rPr>
        <w:t xml:space="preserve"> </w:t>
      </w:r>
      <w:r>
        <w:rPr>
          <w:rFonts w:ascii="Garamond" w:eastAsia="Calibri" w:hAnsi="Garamond" w:cs="Times New Roman"/>
          <w:sz w:val="23"/>
          <w:szCs w:val="23"/>
        </w:rPr>
        <w:t>section</w:t>
      </w:r>
      <w:r w:rsidR="00905838">
        <w:rPr>
          <w:rFonts w:ascii="Garamond" w:eastAsia="Calibri" w:hAnsi="Garamond" w:cs="Times New Roman"/>
          <w:sz w:val="23"/>
          <w:szCs w:val="23"/>
        </w:rPr>
        <w:t>s</w:t>
      </w:r>
      <w:r>
        <w:rPr>
          <w:rFonts w:ascii="Garamond" w:eastAsia="Calibri" w:hAnsi="Garamond" w:cs="Times New Roman"/>
          <w:sz w:val="23"/>
          <w:szCs w:val="23"/>
        </w:rPr>
        <w:t xml:space="preserve"> of th</w:t>
      </w:r>
      <w:r w:rsidR="00905838">
        <w:rPr>
          <w:rFonts w:ascii="Garamond" w:eastAsia="Calibri" w:hAnsi="Garamond" w:cs="Times New Roman"/>
          <w:sz w:val="23"/>
          <w:szCs w:val="23"/>
        </w:rPr>
        <w:t>is</w:t>
      </w:r>
      <w:r>
        <w:rPr>
          <w:rFonts w:ascii="Garamond" w:eastAsia="Calibri" w:hAnsi="Garamond" w:cs="Times New Roman"/>
          <w:sz w:val="23"/>
          <w:szCs w:val="23"/>
        </w:rPr>
        <w:t xml:space="preserve"> report examine historical LMPs across the Commonwealth of Pennsylvania from 2007 to 2012 and identifies three sources of variation that must be accounted for when establishing demand response goals if programs are going to be cost-effective for Pennsylvania ratepayers. Each of these findings is discussed in detail in subsequent sections.</w:t>
      </w:r>
    </w:p>
    <w:bookmarkEnd w:id="1"/>
    <w:p w:rsidR="00DF0C4F" w:rsidRDefault="00DF0C4F" w:rsidP="00C57D72">
      <w:pPr>
        <w:pStyle w:val="ListParagraph"/>
        <w:numPr>
          <w:ilvl w:val="0"/>
          <w:numId w:val="30"/>
        </w:numPr>
        <w:spacing w:after="120" w:line="240" w:lineRule="auto"/>
        <w:rPr>
          <w:rFonts w:ascii="Garamond" w:eastAsia="Calibri" w:hAnsi="Garamond" w:cs="Times New Roman"/>
          <w:sz w:val="23"/>
          <w:szCs w:val="23"/>
        </w:rPr>
      </w:pPr>
      <w:r w:rsidRPr="00026379">
        <w:rPr>
          <w:rFonts w:ascii="Garamond" w:eastAsia="Calibri" w:hAnsi="Garamond" w:cs="Times New Roman"/>
          <w:sz w:val="23"/>
          <w:szCs w:val="23"/>
        </w:rPr>
        <w:t xml:space="preserve">The need for DR is not consistent across the state. Energy and capacity prices in the eastern part of the state </w:t>
      </w:r>
      <w:r w:rsidR="00924D48">
        <w:rPr>
          <w:rFonts w:ascii="Garamond" w:eastAsia="Calibri" w:hAnsi="Garamond" w:cs="Times New Roman"/>
          <w:sz w:val="23"/>
          <w:szCs w:val="23"/>
        </w:rPr>
        <w:t>have been historically</w:t>
      </w:r>
      <w:r w:rsidRPr="00026379">
        <w:rPr>
          <w:rFonts w:ascii="Garamond" w:eastAsia="Calibri" w:hAnsi="Garamond" w:cs="Times New Roman"/>
          <w:sz w:val="23"/>
          <w:szCs w:val="23"/>
        </w:rPr>
        <w:t xml:space="preserve"> higher than those in the western part of the state. Consequently, DR is likely to be </w:t>
      </w:r>
      <w:r>
        <w:rPr>
          <w:rFonts w:ascii="Garamond" w:eastAsia="Calibri" w:hAnsi="Garamond" w:cs="Times New Roman"/>
          <w:sz w:val="23"/>
          <w:szCs w:val="23"/>
        </w:rPr>
        <w:t xml:space="preserve">more </w:t>
      </w:r>
      <w:r w:rsidRPr="00026379">
        <w:rPr>
          <w:rFonts w:ascii="Garamond" w:eastAsia="Calibri" w:hAnsi="Garamond" w:cs="Times New Roman"/>
          <w:sz w:val="23"/>
          <w:szCs w:val="23"/>
        </w:rPr>
        <w:t>cost-effective for eastern EDCs compared to western EDCs.</w:t>
      </w:r>
    </w:p>
    <w:p w:rsidR="00DF0C4F" w:rsidRDefault="00DF0C4F" w:rsidP="00C57D72">
      <w:pPr>
        <w:pStyle w:val="ListParagraph"/>
        <w:numPr>
          <w:ilvl w:val="0"/>
          <w:numId w:val="30"/>
        </w:numPr>
        <w:spacing w:after="120" w:line="240" w:lineRule="auto"/>
        <w:rPr>
          <w:rFonts w:ascii="Garamond" w:eastAsia="Calibri" w:hAnsi="Garamond" w:cs="Times New Roman"/>
          <w:sz w:val="23"/>
          <w:szCs w:val="23"/>
        </w:rPr>
      </w:pPr>
      <w:r>
        <w:rPr>
          <w:rFonts w:ascii="Garamond" w:eastAsia="Calibri" w:hAnsi="Garamond" w:cs="Times New Roman"/>
          <w:sz w:val="23"/>
          <w:szCs w:val="23"/>
        </w:rPr>
        <w:t xml:space="preserve">There is significant variation in energy prices within the top 100 hours of a summer performance period for each EDC. During several hours </w:t>
      </w:r>
      <w:r w:rsidR="00AB61DF">
        <w:rPr>
          <w:rFonts w:ascii="Garamond" w:eastAsia="Calibri" w:hAnsi="Garamond" w:cs="Times New Roman"/>
          <w:sz w:val="23"/>
          <w:szCs w:val="23"/>
        </w:rPr>
        <w:t xml:space="preserve">it appears that </w:t>
      </w:r>
      <w:r>
        <w:rPr>
          <w:rFonts w:ascii="Garamond" w:eastAsia="Calibri" w:hAnsi="Garamond" w:cs="Times New Roman"/>
          <w:sz w:val="23"/>
          <w:szCs w:val="23"/>
        </w:rPr>
        <w:t xml:space="preserve">the grid is not constrained and DR </w:t>
      </w:r>
      <w:r w:rsidR="00623E6A">
        <w:rPr>
          <w:rFonts w:ascii="Garamond" w:eastAsia="Calibri" w:hAnsi="Garamond" w:cs="Times New Roman"/>
          <w:sz w:val="23"/>
          <w:szCs w:val="23"/>
        </w:rPr>
        <w:t>may not be</w:t>
      </w:r>
      <w:r>
        <w:rPr>
          <w:rFonts w:ascii="Garamond" w:eastAsia="Calibri" w:hAnsi="Garamond" w:cs="Times New Roman"/>
          <w:sz w:val="23"/>
          <w:szCs w:val="23"/>
        </w:rPr>
        <w:t xml:space="preserve"> cost effective. Valuing load reductions from each hour the same does not address this variation. </w:t>
      </w:r>
    </w:p>
    <w:p w:rsidR="00DF0C4F" w:rsidRDefault="00DF0C4F" w:rsidP="00C57D72">
      <w:pPr>
        <w:pStyle w:val="ListParagraph"/>
        <w:numPr>
          <w:ilvl w:val="0"/>
          <w:numId w:val="30"/>
        </w:numPr>
        <w:spacing w:after="120" w:line="240" w:lineRule="auto"/>
        <w:rPr>
          <w:rFonts w:ascii="Garamond" w:eastAsia="Calibri" w:hAnsi="Garamond" w:cs="Times New Roman"/>
          <w:sz w:val="23"/>
          <w:szCs w:val="23"/>
        </w:rPr>
      </w:pPr>
      <w:bookmarkStart w:id="36" w:name="_Ref343514156"/>
      <w:r>
        <w:rPr>
          <w:rFonts w:ascii="Garamond" w:eastAsia="Calibri" w:hAnsi="Garamond" w:cs="Times New Roman"/>
          <w:sz w:val="23"/>
          <w:szCs w:val="23"/>
        </w:rPr>
        <w:t>The need for DR is highly correlated with weather patterns and will be much lower in a cool summer than a hot summer for a given performance period. An EDC may experience conditions that promote cost-effective DR for 5 hours during a cool summer and 35 hours during a hot summer.</w:t>
      </w:r>
      <w:bookmarkEnd w:id="36"/>
    </w:p>
    <w:p w:rsidR="00DF0C4F" w:rsidRPr="00E22427" w:rsidRDefault="00DF0C4F" w:rsidP="00E22427">
      <w:pPr>
        <w:pStyle w:val="Heading2"/>
        <w:numPr>
          <w:ilvl w:val="0"/>
          <w:numId w:val="27"/>
        </w:numPr>
        <w:ind w:left="0" w:firstLine="0"/>
      </w:pPr>
      <w:bookmarkStart w:id="37" w:name="_Ref343275424"/>
      <w:bookmarkStart w:id="38" w:name="_Toc343501582"/>
      <w:bookmarkStart w:id="39" w:name="_Toc355954898"/>
      <w:r w:rsidRPr="00E22427">
        <w:t>Geographic Variance in DR Market Pricing</w:t>
      </w:r>
      <w:bookmarkEnd w:id="37"/>
      <w:bookmarkEnd w:id="38"/>
      <w:bookmarkEnd w:id="39"/>
    </w:p>
    <w:p w:rsidR="00DF0C4F" w:rsidRDefault="00DF0C4F" w:rsidP="00DF0C4F">
      <w:pPr>
        <w:spacing w:line="240" w:lineRule="auto"/>
        <w:rPr>
          <w:rFonts w:ascii="Garamond" w:hAnsi="Garamond"/>
          <w:sz w:val="23"/>
          <w:szCs w:val="23"/>
        </w:rPr>
      </w:pPr>
      <w:r>
        <w:rPr>
          <w:rFonts w:ascii="Garamond" w:hAnsi="Garamond"/>
          <w:sz w:val="23"/>
          <w:szCs w:val="23"/>
        </w:rPr>
        <w:t>The state of Pennsylvania spans both the Mid-Atlantic and West market regions o</w:t>
      </w:r>
      <w:r w:rsidR="00924D48">
        <w:rPr>
          <w:rFonts w:ascii="Garamond" w:hAnsi="Garamond"/>
          <w:sz w:val="23"/>
          <w:szCs w:val="23"/>
        </w:rPr>
        <w:t>f PJM and the economics of DR has been historically</w:t>
      </w:r>
      <w:r>
        <w:rPr>
          <w:rFonts w:ascii="Garamond" w:hAnsi="Garamond"/>
          <w:sz w:val="23"/>
          <w:szCs w:val="23"/>
        </w:rPr>
        <w:t xml:space="preserve"> very different in these two regions. PECO Energy Company, PPL Electric Utilities, Metropolitan Edison Company and Pennsylvania Electric Company are part of the Mid-Atlantic market region and West Penn Power Company, Duquesne Light Company and Pennsylvania Power Company are part of the West market region. While the cost of acquiring DR resources is somewhat consistent across the state, the value of capacity and peak energy differ significantly. </w:t>
      </w:r>
    </w:p>
    <w:p w:rsidR="00DF0C4F" w:rsidRDefault="00DF0C4F" w:rsidP="00DF0C4F">
      <w:pPr>
        <w:spacing w:line="240" w:lineRule="auto"/>
        <w:rPr>
          <w:rFonts w:ascii="Garamond" w:eastAsia="Calibri" w:hAnsi="Garamond" w:cs="Times New Roman"/>
          <w:sz w:val="23"/>
          <w:szCs w:val="23"/>
        </w:rPr>
      </w:pPr>
      <w:r w:rsidRPr="00643267">
        <w:rPr>
          <w:rFonts w:ascii="Garamond" w:eastAsia="Calibri" w:hAnsi="Garamond" w:cs="Times New Roman"/>
          <w:sz w:val="23"/>
          <w:szCs w:val="23"/>
        </w:rPr>
        <w:t xml:space="preserve">The top 100 hours peak </w:t>
      </w:r>
      <w:r>
        <w:rPr>
          <w:rFonts w:ascii="Garamond" w:eastAsia="Calibri" w:hAnsi="Garamond" w:cs="Times New Roman"/>
          <w:sz w:val="23"/>
          <w:szCs w:val="23"/>
        </w:rPr>
        <w:t xml:space="preserve">load </w:t>
      </w:r>
      <w:r w:rsidRPr="00643267">
        <w:rPr>
          <w:rFonts w:ascii="Garamond" w:eastAsia="Calibri" w:hAnsi="Garamond" w:cs="Times New Roman"/>
          <w:sz w:val="23"/>
          <w:szCs w:val="23"/>
        </w:rPr>
        <w:t xml:space="preserve">reduction protocol used for Phase </w:t>
      </w:r>
      <w:r>
        <w:rPr>
          <w:rFonts w:ascii="Garamond" w:eastAsia="Calibri" w:hAnsi="Garamond" w:cs="Times New Roman"/>
          <w:sz w:val="23"/>
          <w:szCs w:val="23"/>
        </w:rPr>
        <w:t>I</w:t>
      </w:r>
      <w:r w:rsidRPr="00643267">
        <w:rPr>
          <w:rFonts w:ascii="Garamond" w:eastAsia="Calibri" w:hAnsi="Garamond" w:cs="Times New Roman"/>
          <w:sz w:val="23"/>
          <w:szCs w:val="23"/>
        </w:rPr>
        <w:t xml:space="preserve"> of Act 129 values DR resources </w:t>
      </w:r>
      <w:r>
        <w:rPr>
          <w:rFonts w:ascii="Garamond" w:eastAsia="Calibri" w:hAnsi="Garamond" w:cs="Times New Roman"/>
          <w:sz w:val="23"/>
          <w:szCs w:val="23"/>
        </w:rPr>
        <w:t>a</w:t>
      </w:r>
      <w:r w:rsidRPr="00643267">
        <w:rPr>
          <w:rFonts w:ascii="Garamond" w:eastAsia="Calibri" w:hAnsi="Garamond" w:cs="Times New Roman"/>
          <w:sz w:val="23"/>
          <w:szCs w:val="23"/>
        </w:rPr>
        <w:t xml:space="preserve">s somewhat of a hybrid between energy and capacity. </w:t>
      </w:r>
      <w:r>
        <w:rPr>
          <w:rFonts w:ascii="Garamond" w:eastAsia="Calibri" w:hAnsi="Garamond" w:cs="Times New Roman"/>
          <w:sz w:val="23"/>
          <w:szCs w:val="23"/>
        </w:rPr>
        <w:t>Capacity benefits only occur when the grid is constrained and the demand for power is approaching the available supply. DR events called during any of the top 100 hours when the grid is not particularly constrained save some energy but provide very little benefit compared to the cost of acquiring these resources at high incentive levels.</w:t>
      </w:r>
    </w:p>
    <w:p w:rsidR="00DF0C4F" w:rsidRDefault="00DF0C4F" w:rsidP="00DF0C4F">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 xml:space="preserve">In PJM, capacity resources are secured to meet the region’s electric needs through an auction process. Generators and DR resources are allowed to bid the load which they can reliably produce or reduce </w:t>
      </w:r>
      <w:r>
        <w:rPr>
          <w:rFonts w:ascii="Garamond" w:eastAsia="Calibri" w:hAnsi="Garamond" w:cs="Times New Roman"/>
          <w:sz w:val="23"/>
          <w:szCs w:val="23"/>
        </w:rPr>
        <w:t xml:space="preserve">load in </w:t>
      </w:r>
      <w:r w:rsidRPr="00643267">
        <w:rPr>
          <w:rFonts w:ascii="Garamond" w:eastAsia="Calibri" w:hAnsi="Garamond" w:cs="Times New Roman"/>
          <w:sz w:val="23"/>
          <w:szCs w:val="23"/>
        </w:rPr>
        <w:t>the capacity market on equal footing. A resource which clears in the capacity auction must be able to produce or reduce load when called upon or else face financial penalties. A DR resource which clears in the PJM capacity auction receives a monthly payment whether</w:t>
      </w:r>
      <w:r>
        <w:rPr>
          <w:rFonts w:ascii="Garamond" w:eastAsia="Calibri" w:hAnsi="Garamond" w:cs="Times New Roman"/>
          <w:sz w:val="23"/>
          <w:szCs w:val="23"/>
        </w:rPr>
        <w:t xml:space="preserve"> or not</w:t>
      </w:r>
      <w:r w:rsidRPr="00643267">
        <w:rPr>
          <w:rFonts w:ascii="Garamond" w:eastAsia="Calibri" w:hAnsi="Garamond" w:cs="Times New Roman"/>
          <w:sz w:val="23"/>
          <w:szCs w:val="23"/>
        </w:rPr>
        <w:t xml:space="preserve"> it is actually called to curtail load. The fundamental difference between the PJM capacity market and the Act 129 </w:t>
      </w:r>
      <w:r>
        <w:rPr>
          <w:rFonts w:ascii="Garamond" w:eastAsia="Calibri" w:hAnsi="Garamond" w:cs="Times New Roman"/>
          <w:sz w:val="23"/>
          <w:szCs w:val="23"/>
        </w:rPr>
        <w:t>DR</w:t>
      </w:r>
      <w:r w:rsidRPr="00643267">
        <w:rPr>
          <w:rFonts w:ascii="Garamond" w:eastAsia="Calibri" w:hAnsi="Garamond" w:cs="Times New Roman"/>
          <w:sz w:val="23"/>
          <w:szCs w:val="23"/>
        </w:rPr>
        <w:t xml:space="preserve"> programs is that PJM capacity resources are paid for the ability to curtail if needed and Act 129 DR resources are paid for actual curtailment, irrespective of whether that load reduction was needed</w:t>
      </w:r>
      <w:r>
        <w:rPr>
          <w:rFonts w:ascii="Garamond" w:eastAsia="Calibri" w:hAnsi="Garamond" w:cs="Times New Roman"/>
          <w:sz w:val="23"/>
          <w:szCs w:val="23"/>
        </w:rPr>
        <w:t xml:space="preserve"> to maintain system reliability or not.</w:t>
      </w:r>
    </w:p>
    <w:p w:rsidR="00DF0C4F" w:rsidRDefault="00DF0C4F" w:rsidP="00DF0C4F">
      <w:pPr>
        <w:spacing w:after="0" w:line="240" w:lineRule="auto"/>
        <w:rPr>
          <w:rFonts w:ascii="Garamond" w:eastAsia="Calibri" w:hAnsi="Garamond" w:cs="Times New Roman"/>
          <w:sz w:val="23"/>
          <w:szCs w:val="23"/>
        </w:rPr>
      </w:pPr>
    </w:p>
    <w:p w:rsidR="00DF0C4F" w:rsidRPr="00643267" w:rsidRDefault="00DF0C4F" w:rsidP="00DF0C4F">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In PJM, the majority of the regional capacity resources are secured during a Base Residual Auction. This auction is held in May, three years prior to the delivery year. A delivery year begins on June 1</w:t>
      </w:r>
      <w:r w:rsidRPr="00643267">
        <w:rPr>
          <w:rFonts w:ascii="Garamond" w:eastAsia="Calibri" w:hAnsi="Garamond" w:cs="Times New Roman"/>
          <w:sz w:val="23"/>
          <w:szCs w:val="23"/>
          <w:vertAlign w:val="superscript"/>
        </w:rPr>
        <w:t>st</w:t>
      </w:r>
      <w:r w:rsidRPr="00643267">
        <w:rPr>
          <w:rFonts w:ascii="Garamond" w:eastAsia="Calibri" w:hAnsi="Garamond" w:cs="Times New Roman"/>
          <w:sz w:val="23"/>
          <w:szCs w:val="23"/>
        </w:rPr>
        <w:t xml:space="preserve"> and ends on May 31</w:t>
      </w:r>
      <w:r w:rsidRPr="00643267">
        <w:rPr>
          <w:rFonts w:ascii="Garamond" w:eastAsia="Calibri" w:hAnsi="Garamond" w:cs="Times New Roman"/>
          <w:sz w:val="23"/>
          <w:szCs w:val="23"/>
          <w:vertAlign w:val="superscript"/>
        </w:rPr>
        <w:t>st</w:t>
      </w:r>
      <w:r w:rsidRPr="00643267">
        <w:rPr>
          <w:rFonts w:ascii="Garamond" w:eastAsia="Calibri" w:hAnsi="Garamond" w:cs="Times New Roman"/>
          <w:sz w:val="23"/>
          <w:szCs w:val="23"/>
        </w:rPr>
        <w:t xml:space="preserve"> of the following calendar year. The avoided cost of capacity values the Pennsylvania EDCs will use to assess the cost-effectiveness of their 2012 </w:t>
      </w:r>
      <w:r>
        <w:rPr>
          <w:rFonts w:ascii="Garamond" w:eastAsia="Calibri" w:hAnsi="Garamond" w:cs="Times New Roman"/>
          <w:sz w:val="23"/>
          <w:szCs w:val="23"/>
        </w:rPr>
        <w:t>DR</w:t>
      </w:r>
      <w:r w:rsidRPr="00643267">
        <w:rPr>
          <w:rFonts w:ascii="Garamond" w:eastAsia="Calibri" w:hAnsi="Garamond" w:cs="Times New Roman"/>
          <w:sz w:val="23"/>
          <w:szCs w:val="23"/>
        </w:rPr>
        <w:t xml:space="preserve"> programs were established in May 2009 and are shown below in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_Ref343008637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B0004D">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1</w:t>
      </w:r>
      <w:r>
        <w:rPr>
          <w:rFonts w:ascii="Garamond" w:eastAsia="Calibri" w:hAnsi="Garamond" w:cs="Times New Roman"/>
          <w:sz w:val="23"/>
          <w:szCs w:val="23"/>
        </w:rPr>
        <w:fldChar w:fldCharType="end"/>
      </w:r>
      <w:r>
        <w:rPr>
          <w:rFonts w:ascii="Garamond" w:eastAsia="Calibri" w:hAnsi="Garamond" w:cs="Times New Roman"/>
          <w:sz w:val="23"/>
          <w:szCs w:val="23"/>
        </w:rPr>
        <w:t xml:space="preserve"> </w:t>
      </w:r>
      <w:r w:rsidRPr="00643267">
        <w:rPr>
          <w:rFonts w:ascii="Garamond" w:eastAsia="Calibri" w:hAnsi="Garamond" w:cs="Times New Roman"/>
          <w:sz w:val="23"/>
          <w:szCs w:val="23"/>
        </w:rPr>
        <w:t>along with the zonal capacity prices for the next three delivery years.</w:t>
      </w:r>
      <w:r>
        <w:rPr>
          <w:rFonts w:ascii="Garamond" w:eastAsia="Calibri" w:hAnsi="Garamond" w:cs="Times New Roman"/>
          <w:sz w:val="23"/>
          <w:szCs w:val="23"/>
        </w:rPr>
        <w:t xml:space="preserve"> </w:t>
      </w:r>
    </w:p>
    <w:p w:rsidR="00DF0C4F" w:rsidRDefault="00DF0C4F" w:rsidP="00DF0C4F">
      <w:pPr>
        <w:spacing w:after="0" w:line="240" w:lineRule="auto"/>
        <w:rPr>
          <w:rFonts w:ascii="Garamond" w:eastAsia="Calibri" w:hAnsi="Garamond" w:cs="Times New Roman"/>
          <w:sz w:val="23"/>
          <w:szCs w:val="23"/>
        </w:rPr>
      </w:pPr>
    </w:p>
    <w:p w:rsidR="00DF0C4F" w:rsidRPr="00B0004D" w:rsidRDefault="00DF0C4F" w:rsidP="00DF0C4F">
      <w:pPr>
        <w:pStyle w:val="Caption"/>
        <w:keepNext/>
        <w:jc w:val="center"/>
        <w:rPr>
          <w:rFonts w:ascii="Garamond" w:hAnsi="Garamond"/>
          <w:sz w:val="23"/>
          <w:szCs w:val="23"/>
        </w:rPr>
      </w:pPr>
      <w:bookmarkStart w:id="40" w:name="_Ref343008637"/>
      <w:bookmarkStart w:id="41" w:name="_Ref343264217"/>
      <w:r w:rsidRPr="00B0004D">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D</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1</w:t>
      </w:r>
      <w:r w:rsidR="00C01A4C">
        <w:rPr>
          <w:rFonts w:ascii="Garamond" w:hAnsi="Garamond"/>
          <w:sz w:val="23"/>
          <w:szCs w:val="23"/>
        </w:rPr>
        <w:fldChar w:fldCharType="end"/>
      </w:r>
      <w:bookmarkEnd w:id="40"/>
      <w:r w:rsidRPr="00B0004D">
        <w:rPr>
          <w:rFonts w:ascii="Garamond" w:hAnsi="Garamond"/>
          <w:sz w:val="23"/>
          <w:szCs w:val="23"/>
        </w:rPr>
        <w:t xml:space="preserve">: </w:t>
      </w:r>
      <w:r w:rsidRPr="00B0004D">
        <w:rPr>
          <w:rFonts w:ascii="Garamond" w:eastAsia="Calibri" w:hAnsi="Garamond" w:cs="Times New Roman"/>
          <w:sz w:val="23"/>
          <w:szCs w:val="23"/>
        </w:rPr>
        <w:t>Base Residual Auction Results – Pennsylvania EDC Zonal Capacity Prices</w:t>
      </w:r>
      <w:bookmarkEnd w:id="41"/>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F0C4F" w:rsidRPr="00B0004D" w:rsidTr="00DF0C4F">
        <w:trPr>
          <w:trHeight w:val="600"/>
        </w:trPr>
        <w:tc>
          <w:tcPr>
            <w:tcW w:w="1596" w:type="dxa"/>
            <w:shd w:val="clear" w:color="auto" w:fill="1F497D" w:themeFill="text2"/>
            <w:noWrap/>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Market Region</w:t>
            </w:r>
          </w:p>
        </w:tc>
        <w:tc>
          <w:tcPr>
            <w:tcW w:w="1596" w:type="dxa"/>
            <w:shd w:val="clear" w:color="auto" w:fill="1F497D" w:themeFill="text2"/>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EDC</w:t>
            </w:r>
          </w:p>
        </w:tc>
        <w:tc>
          <w:tcPr>
            <w:tcW w:w="1596" w:type="dxa"/>
            <w:shd w:val="clear" w:color="auto" w:fill="1F497D" w:themeFill="text2"/>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2012/2013  ($/kW-year)</w:t>
            </w:r>
          </w:p>
        </w:tc>
        <w:tc>
          <w:tcPr>
            <w:tcW w:w="1596" w:type="dxa"/>
            <w:shd w:val="clear" w:color="auto" w:fill="1F497D" w:themeFill="text2"/>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2013/2014  ($/kW-year)</w:t>
            </w:r>
          </w:p>
        </w:tc>
        <w:tc>
          <w:tcPr>
            <w:tcW w:w="1596" w:type="dxa"/>
            <w:shd w:val="clear" w:color="auto" w:fill="1F497D" w:themeFill="text2"/>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2014/2015  ($/kW-year)</w:t>
            </w:r>
          </w:p>
        </w:tc>
        <w:tc>
          <w:tcPr>
            <w:tcW w:w="1596" w:type="dxa"/>
            <w:shd w:val="clear" w:color="auto" w:fill="1F497D" w:themeFill="text2"/>
            <w:vAlign w:val="center"/>
            <w:hideMark/>
          </w:tcPr>
          <w:p w:rsidR="00DF0C4F" w:rsidRPr="00B0004D" w:rsidRDefault="00DF0C4F" w:rsidP="00DF0C4F">
            <w:pPr>
              <w:jc w:val="center"/>
              <w:rPr>
                <w:rFonts w:ascii="Garamond" w:eastAsia="Times New Roman" w:hAnsi="Garamond" w:cs="Calibri"/>
                <w:b/>
                <w:bCs/>
                <w:color w:val="FFFFFF" w:themeColor="background1"/>
                <w:sz w:val="23"/>
                <w:szCs w:val="23"/>
              </w:rPr>
            </w:pPr>
            <w:r w:rsidRPr="00B0004D">
              <w:rPr>
                <w:rFonts w:ascii="Garamond" w:eastAsia="Times New Roman" w:hAnsi="Garamond" w:cs="Calibri"/>
                <w:b/>
                <w:bCs/>
                <w:color w:val="FFFFFF" w:themeColor="background1"/>
                <w:sz w:val="23"/>
                <w:szCs w:val="23"/>
              </w:rPr>
              <w:t>2015/2016  ($/kW-year)</w:t>
            </w:r>
          </w:p>
        </w:tc>
      </w:tr>
      <w:tr w:rsidR="00DF0C4F" w:rsidRPr="00D27252" w:rsidTr="00DF0C4F">
        <w:trPr>
          <w:trHeight w:val="300"/>
        </w:trPr>
        <w:tc>
          <w:tcPr>
            <w:tcW w:w="1596" w:type="dxa"/>
            <w:vMerge w:val="restart"/>
            <w:noWrap/>
            <w:vAlign w:val="center"/>
            <w:hideMark/>
          </w:tcPr>
          <w:p w:rsidR="00DF0C4F" w:rsidRPr="00D27252" w:rsidRDefault="00DF0C4F" w:rsidP="00DF0C4F">
            <w:pPr>
              <w:jc w:val="center"/>
              <w:rPr>
                <w:rFonts w:ascii="Calibri" w:eastAsia="Times New Roman" w:hAnsi="Calibri" w:cs="Calibri"/>
              </w:rPr>
            </w:pPr>
          </w:p>
          <w:p w:rsidR="00DF0C4F" w:rsidRPr="00D27252" w:rsidRDefault="00DF0C4F" w:rsidP="00DF0C4F">
            <w:pPr>
              <w:jc w:val="center"/>
              <w:rPr>
                <w:rFonts w:ascii="Calibri" w:eastAsia="Times New Roman" w:hAnsi="Calibri" w:cs="Calibri"/>
              </w:rPr>
            </w:pPr>
            <w:r>
              <w:rPr>
                <w:rFonts w:ascii="Calibri" w:eastAsia="Times New Roman" w:hAnsi="Calibri" w:cs="Calibri"/>
              </w:rPr>
              <w:t>West</w:t>
            </w:r>
          </w:p>
          <w:p w:rsidR="00DF0C4F" w:rsidRPr="00D27252" w:rsidRDefault="00DF0C4F" w:rsidP="00DF0C4F">
            <w:pPr>
              <w:jc w:val="center"/>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Duquesne</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$6.11</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$10.12</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$45.97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$49.14</w:t>
            </w:r>
          </w:p>
        </w:tc>
      </w:tr>
      <w:tr w:rsidR="00DF0C4F" w:rsidRPr="00D27252" w:rsidTr="00DF0C4F">
        <w:trPr>
          <w:trHeight w:val="300"/>
        </w:trPr>
        <w:tc>
          <w:tcPr>
            <w:tcW w:w="1596" w:type="dxa"/>
            <w:vMerge/>
            <w:noWrap/>
            <w:vAlign w:val="center"/>
            <w:hideMark/>
          </w:tcPr>
          <w:p w:rsidR="00DF0C4F" w:rsidRPr="00D27252" w:rsidRDefault="00DF0C4F" w:rsidP="00DF0C4F">
            <w:pPr>
              <w:jc w:val="center"/>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West Penn Power</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$6.11</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$10.12</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$45.97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$49.14</w:t>
            </w:r>
          </w:p>
        </w:tc>
      </w:tr>
      <w:tr w:rsidR="00DF0C4F" w:rsidRPr="00D27252" w:rsidTr="00DF0C4F">
        <w:trPr>
          <w:trHeight w:val="300"/>
        </w:trPr>
        <w:tc>
          <w:tcPr>
            <w:tcW w:w="1596" w:type="dxa"/>
            <w:vMerge/>
            <w:noWrap/>
            <w:vAlign w:val="center"/>
            <w:hideMark/>
          </w:tcPr>
          <w:p w:rsidR="00DF0C4F" w:rsidRPr="00D27252" w:rsidRDefault="00DF0C4F" w:rsidP="00DF0C4F">
            <w:pPr>
              <w:jc w:val="center"/>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Penn Power</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NA</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$10.12</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$45.97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$107.32</w:t>
            </w:r>
          </w:p>
        </w:tc>
      </w:tr>
      <w:tr w:rsidR="00DF0C4F" w:rsidRPr="00D27252" w:rsidTr="00DF0C4F">
        <w:trPr>
          <w:trHeight w:val="300"/>
        </w:trPr>
        <w:tc>
          <w:tcPr>
            <w:tcW w:w="1596" w:type="dxa"/>
            <w:vMerge w:val="restart"/>
            <w:noWrap/>
            <w:vAlign w:val="center"/>
            <w:hideMark/>
          </w:tcPr>
          <w:p w:rsidR="00DF0C4F" w:rsidRPr="00D27252" w:rsidRDefault="00DF0C4F" w:rsidP="00DF0C4F">
            <w:pPr>
              <w:jc w:val="center"/>
              <w:rPr>
                <w:rFonts w:ascii="Calibri" w:eastAsia="Times New Roman" w:hAnsi="Calibri" w:cs="Calibri"/>
              </w:rPr>
            </w:pPr>
            <w:r>
              <w:rPr>
                <w:rFonts w:ascii="Calibri" w:eastAsia="Times New Roman" w:hAnsi="Calibri" w:cs="Calibri"/>
              </w:rPr>
              <w:t>Mid-Atlantic</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Met-Ed</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$48.69</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$82.54</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$49.37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$60.51</w:t>
            </w:r>
          </w:p>
        </w:tc>
      </w:tr>
      <w:tr w:rsidR="00DF0C4F" w:rsidRPr="00D27252" w:rsidTr="00DF0C4F">
        <w:trPr>
          <w:trHeight w:val="300"/>
        </w:trPr>
        <w:tc>
          <w:tcPr>
            <w:tcW w:w="1596" w:type="dxa"/>
            <w:vMerge/>
            <w:noWrap/>
            <w:hideMark/>
          </w:tcPr>
          <w:p w:rsidR="00DF0C4F" w:rsidRPr="00D27252" w:rsidRDefault="00DF0C4F" w:rsidP="00DF0C4F">
            <w:pPr>
              <w:jc w:val="left"/>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PECO</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$52.21</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$89.46</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$49.37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$60.51</w:t>
            </w:r>
          </w:p>
        </w:tc>
      </w:tr>
      <w:tr w:rsidR="00DF0C4F" w:rsidRPr="00D27252" w:rsidTr="00DF0C4F">
        <w:trPr>
          <w:trHeight w:val="300"/>
        </w:trPr>
        <w:tc>
          <w:tcPr>
            <w:tcW w:w="1596" w:type="dxa"/>
            <w:vMerge/>
            <w:noWrap/>
            <w:hideMark/>
          </w:tcPr>
          <w:p w:rsidR="00DF0C4F" w:rsidRPr="00D27252" w:rsidRDefault="00DF0C4F" w:rsidP="00DF0C4F">
            <w:pPr>
              <w:jc w:val="left"/>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Penelec</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$48.69</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$82.54</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$49.37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$60.51</w:t>
            </w:r>
          </w:p>
        </w:tc>
      </w:tr>
      <w:tr w:rsidR="00DF0C4F" w:rsidRPr="00D27252" w:rsidTr="00DF0C4F">
        <w:trPr>
          <w:trHeight w:val="300"/>
        </w:trPr>
        <w:tc>
          <w:tcPr>
            <w:tcW w:w="1596" w:type="dxa"/>
            <w:vMerge/>
            <w:noWrap/>
            <w:hideMark/>
          </w:tcPr>
          <w:p w:rsidR="00DF0C4F" w:rsidRPr="00D27252" w:rsidRDefault="00DF0C4F" w:rsidP="00DF0C4F">
            <w:pPr>
              <w:jc w:val="left"/>
              <w:rPr>
                <w:rFonts w:ascii="Calibri" w:eastAsia="Times New Roman" w:hAnsi="Calibri" w:cs="Calibri"/>
              </w:rPr>
            </w:pP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PPL</w:t>
            </w:r>
          </w:p>
        </w:tc>
        <w:tc>
          <w:tcPr>
            <w:tcW w:w="1596" w:type="dxa"/>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$48.69</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$82.54</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$49.37</w:t>
            </w:r>
          </w:p>
        </w:tc>
        <w:tc>
          <w:tcPr>
            <w:tcW w:w="1596" w:type="dxa"/>
            <w:noWrap/>
            <w:vAlign w:val="center"/>
            <w:hideMark/>
          </w:tcPr>
          <w:p w:rsidR="00DF0C4F" w:rsidRPr="00D27252" w:rsidRDefault="00DF0C4F" w:rsidP="00DF0C4F">
            <w:pPr>
              <w:jc w:val="center"/>
              <w:rPr>
                <w:rFonts w:ascii="Garamond" w:eastAsia="Times New Roman" w:hAnsi="Garamond" w:cs="Calibri"/>
                <w:sz w:val="23"/>
                <w:szCs w:val="23"/>
              </w:rPr>
            </w:pPr>
            <w:r w:rsidRPr="00D27252">
              <w:rPr>
                <w:rFonts w:ascii="Garamond" w:eastAsia="Times New Roman" w:hAnsi="Garamond" w:cs="Calibri"/>
                <w:sz w:val="23"/>
                <w:szCs w:val="23"/>
              </w:rPr>
              <w:t>$60.51</w:t>
            </w:r>
          </w:p>
        </w:tc>
      </w:tr>
    </w:tbl>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_Ref343008637 \h </w:instrText>
      </w:r>
      <w:r>
        <w:rPr>
          <w:rFonts w:ascii="Garamond" w:eastAsia="Calibri" w:hAnsi="Garamond" w:cs="Times New Roman"/>
          <w:sz w:val="23"/>
          <w:szCs w:val="23"/>
        </w:rPr>
      </w:r>
      <w:r>
        <w:rPr>
          <w:rFonts w:ascii="Garamond" w:eastAsia="Calibri" w:hAnsi="Garamond" w:cs="Times New Roman"/>
          <w:sz w:val="23"/>
          <w:szCs w:val="23"/>
        </w:rPr>
        <w:fldChar w:fldCharType="separate"/>
      </w:r>
      <w:proofErr w:type="gramStart"/>
      <w:r w:rsidR="00451FFF" w:rsidRPr="00B0004D">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1</w:t>
      </w:r>
      <w:r>
        <w:rPr>
          <w:rFonts w:ascii="Garamond" w:eastAsia="Calibri" w:hAnsi="Garamond" w:cs="Times New Roman"/>
          <w:sz w:val="23"/>
          <w:szCs w:val="23"/>
        </w:rPr>
        <w:fldChar w:fldCharType="end"/>
      </w:r>
      <w:r>
        <w:rPr>
          <w:rFonts w:ascii="Garamond" w:eastAsia="Calibri" w:hAnsi="Garamond" w:cs="Times New Roman"/>
          <w:sz w:val="23"/>
          <w:szCs w:val="23"/>
        </w:rPr>
        <w:t xml:space="preserve"> shows </w:t>
      </w:r>
      <w:r w:rsidRPr="00643267">
        <w:rPr>
          <w:rFonts w:ascii="Garamond" w:eastAsia="Calibri" w:hAnsi="Garamond" w:cs="Times New Roman"/>
          <w:sz w:val="23"/>
          <w:szCs w:val="23"/>
        </w:rPr>
        <w:t xml:space="preserve">that there is a </w:t>
      </w:r>
      <w:r>
        <w:rPr>
          <w:rFonts w:ascii="Garamond" w:eastAsia="Calibri" w:hAnsi="Garamond" w:cs="Times New Roman"/>
          <w:sz w:val="23"/>
          <w:szCs w:val="23"/>
        </w:rPr>
        <w:t>significant</w:t>
      </w:r>
      <w:r w:rsidRPr="00643267">
        <w:rPr>
          <w:rFonts w:ascii="Garamond" w:eastAsia="Calibri" w:hAnsi="Garamond" w:cs="Times New Roman"/>
          <w:sz w:val="23"/>
          <w:szCs w:val="23"/>
        </w:rPr>
        <w:t xml:space="preserve"> difference in the value of capa</w:t>
      </w:r>
      <w:r w:rsidR="00FD4421">
        <w:rPr>
          <w:rFonts w:ascii="Garamond" w:eastAsia="Calibri" w:hAnsi="Garamond" w:cs="Times New Roman"/>
          <w:sz w:val="23"/>
          <w:szCs w:val="23"/>
        </w:rPr>
        <w:t xml:space="preserve">city for the 2012/2013 delivery </w:t>
      </w:r>
      <w:r w:rsidRPr="00643267">
        <w:rPr>
          <w:rFonts w:ascii="Garamond" w:eastAsia="Calibri" w:hAnsi="Garamond" w:cs="Times New Roman"/>
          <w:sz w:val="23"/>
          <w:szCs w:val="23"/>
        </w:rPr>
        <w:t xml:space="preserve">year between the EDCs in the </w:t>
      </w:r>
      <w:r>
        <w:rPr>
          <w:rFonts w:ascii="Garamond" w:eastAsia="Calibri" w:hAnsi="Garamond" w:cs="Times New Roman"/>
          <w:sz w:val="23"/>
          <w:szCs w:val="23"/>
        </w:rPr>
        <w:t>West market region and those in the Mid-Atlantic market region</w:t>
      </w:r>
      <w:r w:rsidRPr="00643267">
        <w:rPr>
          <w:rFonts w:ascii="Garamond" w:eastAsia="Calibri" w:hAnsi="Garamond" w:cs="Times New Roman"/>
          <w:sz w:val="23"/>
          <w:szCs w:val="23"/>
        </w:rPr>
        <w:t>.</w:t>
      </w:r>
      <w:proofErr w:type="gramEnd"/>
      <w:r w:rsidRPr="00643267">
        <w:rPr>
          <w:rFonts w:ascii="Garamond" w:eastAsia="Calibri" w:hAnsi="Garamond" w:cs="Times New Roman"/>
          <w:sz w:val="23"/>
          <w:szCs w:val="23"/>
        </w:rPr>
        <w:t xml:space="preserve"> Based on these values, a 1 MW peak load reduction </w:t>
      </w:r>
      <w:r>
        <w:rPr>
          <w:rFonts w:ascii="Garamond" w:eastAsia="Calibri" w:hAnsi="Garamond" w:cs="Times New Roman"/>
          <w:sz w:val="23"/>
          <w:szCs w:val="23"/>
        </w:rPr>
        <w:t xml:space="preserve">in </w:t>
      </w:r>
      <w:r w:rsidR="002246E2">
        <w:rPr>
          <w:rFonts w:ascii="Garamond" w:eastAsia="Calibri" w:hAnsi="Garamond" w:cs="Times New Roman"/>
          <w:sz w:val="23"/>
          <w:szCs w:val="23"/>
        </w:rPr>
        <w:t xml:space="preserve">the </w:t>
      </w:r>
      <w:r>
        <w:rPr>
          <w:rFonts w:ascii="Garamond" w:eastAsia="Calibri" w:hAnsi="Garamond" w:cs="Times New Roman"/>
          <w:sz w:val="23"/>
          <w:szCs w:val="23"/>
        </w:rPr>
        <w:t>eastern part of the state</w:t>
      </w:r>
      <w:r w:rsidRPr="00643267">
        <w:rPr>
          <w:rFonts w:ascii="Garamond" w:eastAsia="Calibri" w:hAnsi="Garamond" w:cs="Times New Roman"/>
          <w:sz w:val="23"/>
          <w:szCs w:val="23"/>
        </w:rPr>
        <w:t xml:space="preserve"> is worth </w:t>
      </w:r>
      <w:r>
        <w:rPr>
          <w:rFonts w:ascii="Garamond" w:eastAsia="Calibri" w:hAnsi="Garamond" w:cs="Times New Roman"/>
          <w:sz w:val="23"/>
          <w:szCs w:val="23"/>
        </w:rPr>
        <w:t>almost eight</w:t>
      </w:r>
      <w:r w:rsidRPr="00643267">
        <w:rPr>
          <w:rFonts w:ascii="Garamond" w:eastAsia="Calibri" w:hAnsi="Garamond" w:cs="Times New Roman"/>
          <w:sz w:val="23"/>
          <w:szCs w:val="23"/>
        </w:rPr>
        <w:t xml:space="preserve"> times as much as the same 1 MW peak load reduction in </w:t>
      </w:r>
      <w:r>
        <w:rPr>
          <w:rFonts w:ascii="Garamond" w:eastAsia="Calibri" w:hAnsi="Garamond" w:cs="Times New Roman"/>
          <w:sz w:val="23"/>
          <w:szCs w:val="23"/>
        </w:rPr>
        <w:t>the western part of the state</w:t>
      </w:r>
      <w:r w:rsidRPr="00643267">
        <w:rPr>
          <w:rFonts w:ascii="Garamond" w:eastAsia="Calibri" w:hAnsi="Garamond" w:cs="Times New Roman"/>
          <w:sz w:val="23"/>
          <w:szCs w:val="23"/>
        </w:rPr>
        <w:t>. The difference is similarly pronounced for the 2013/2014 delivery year, but values across the state become more homogenous for the 2014/2015 and 2015/2016 delivery years.</w:t>
      </w:r>
      <w:r>
        <w:rPr>
          <w:rFonts w:ascii="Garamond" w:eastAsia="Calibri" w:hAnsi="Garamond" w:cs="Times New Roman"/>
          <w:sz w:val="23"/>
          <w:szCs w:val="23"/>
        </w:rPr>
        <w:t xml:space="preserve"> Low capacity prices indicate widely available generation resources and a lack of electric supply constraint in the zone. These conditions are clearly met in the West market region in the 2012/2013 and 2013/2014 delivery years and it is unlikely that any </w:t>
      </w:r>
      <w:r w:rsidR="001D4D6D">
        <w:rPr>
          <w:rFonts w:ascii="Garamond" w:eastAsia="Calibri" w:hAnsi="Garamond" w:cs="Times New Roman"/>
          <w:sz w:val="23"/>
          <w:szCs w:val="23"/>
        </w:rPr>
        <w:t xml:space="preserve">Act 129 </w:t>
      </w:r>
      <w:r>
        <w:rPr>
          <w:rFonts w:ascii="Garamond" w:eastAsia="Calibri" w:hAnsi="Garamond" w:cs="Times New Roman"/>
          <w:sz w:val="23"/>
          <w:szCs w:val="23"/>
        </w:rPr>
        <w:t>DR will be cost effective in these service territories. The SWE recommends</w:t>
      </w:r>
      <w:r w:rsidR="002246E2">
        <w:rPr>
          <w:rFonts w:ascii="Garamond" w:eastAsia="Calibri" w:hAnsi="Garamond" w:cs="Times New Roman"/>
          <w:sz w:val="23"/>
          <w:szCs w:val="23"/>
        </w:rPr>
        <w:t xml:space="preserve"> that</w:t>
      </w:r>
      <w:r>
        <w:rPr>
          <w:rFonts w:ascii="Garamond" w:eastAsia="Calibri" w:hAnsi="Garamond" w:cs="Times New Roman"/>
          <w:sz w:val="23"/>
          <w:szCs w:val="23"/>
        </w:rPr>
        <w:t xml:space="preserve"> the Commission pay close attention to the results of the Base Residual Auction for the 2016/2017 delivery year when considering peak demand reduction goals in Phase III of Act 129. </w:t>
      </w:r>
      <w:r w:rsidR="00006A1E">
        <w:rPr>
          <w:rFonts w:ascii="Garamond" w:eastAsia="Calibri" w:hAnsi="Garamond" w:cs="Times New Roman"/>
          <w:sz w:val="23"/>
          <w:szCs w:val="23"/>
        </w:rPr>
        <w:t xml:space="preserve">There are indications that the east/west differences may be dissipating due to the construction of new transmission lines </w:t>
      </w:r>
      <w:r w:rsidR="00871879">
        <w:rPr>
          <w:rFonts w:ascii="Garamond" w:eastAsia="Calibri" w:hAnsi="Garamond" w:cs="Times New Roman"/>
          <w:sz w:val="23"/>
          <w:szCs w:val="23"/>
        </w:rPr>
        <w:t xml:space="preserve">in Pennsylvania </w:t>
      </w:r>
      <w:r w:rsidR="00006A1E">
        <w:rPr>
          <w:rFonts w:ascii="Garamond" w:eastAsia="Calibri" w:hAnsi="Garamond" w:cs="Times New Roman"/>
          <w:sz w:val="23"/>
          <w:szCs w:val="23"/>
        </w:rPr>
        <w:t xml:space="preserve">and additional generation in New Jersey. However, </w:t>
      </w:r>
      <w:r>
        <w:rPr>
          <w:rFonts w:ascii="Garamond" w:eastAsia="Calibri" w:hAnsi="Garamond" w:cs="Times New Roman"/>
          <w:sz w:val="23"/>
          <w:szCs w:val="23"/>
        </w:rPr>
        <w:t>historical analysis of market conditions indicates that EDCs in the West market region may warrant a lower peak demand reduction target than the companies in the Mid-Atlantic market region.</w:t>
      </w:r>
    </w:p>
    <w:p w:rsidR="00DF0C4F" w:rsidRDefault="00DF0C4F" w:rsidP="00DF0C4F">
      <w:pPr>
        <w:spacing w:after="0" w:line="240" w:lineRule="auto"/>
        <w:rPr>
          <w:rFonts w:ascii="Garamond" w:eastAsia="Calibri" w:hAnsi="Garamond" w:cs="Times New Roman"/>
          <w:sz w:val="23"/>
          <w:szCs w:val="23"/>
        </w:rPr>
      </w:pPr>
    </w:p>
    <w:p w:rsidR="00C57D72"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Similar to the variation in regional capacity prices, the variation in regional energy prices (LMPs) across the state </w:t>
      </w:r>
      <w:r w:rsidR="00871879">
        <w:rPr>
          <w:rFonts w:ascii="Garamond" w:eastAsia="Calibri" w:hAnsi="Garamond" w:cs="Times New Roman"/>
          <w:sz w:val="23"/>
          <w:szCs w:val="23"/>
        </w:rPr>
        <w:t xml:space="preserve">can </w:t>
      </w:r>
      <w:r>
        <w:rPr>
          <w:rFonts w:ascii="Garamond" w:eastAsia="Calibri" w:hAnsi="Garamond" w:cs="Times New Roman"/>
          <w:sz w:val="23"/>
          <w:szCs w:val="23"/>
        </w:rPr>
        <w:t>have a</w:t>
      </w:r>
      <w:r w:rsidR="00871879">
        <w:rPr>
          <w:rFonts w:ascii="Garamond" w:eastAsia="Calibri" w:hAnsi="Garamond" w:cs="Times New Roman"/>
          <w:sz w:val="23"/>
          <w:szCs w:val="23"/>
        </w:rPr>
        <w:t>n</w:t>
      </w:r>
      <w:r>
        <w:rPr>
          <w:rFonts w:ascii="Garamond" w:eastAsia="Calibri" w:hAnsi="Garamond" w:cs="Times New Roman"/>
          <w:sz w:val="23"/>
          <w:szCs w:val="23"/>
        </w:rPr>
        <w:t xml:space="preserve"> effect on DR cost effectiveness</w:t>
      </w:r>
      <w:r w:rsidR="00871879">
        <w:rPr>
          <w:rFonts w:ascii="Garamond" w:eastAsia="Calibri" w:hAnsi="Garamond" w:cs="Times New Roman"/>
          <w:sz w:val="23"/>
          <w:szCs w:val="23"/>
        </w:rPr>
        <w:t xml:space="preserve"> if the intent of a dispatch is to lower wholesale energy prices</w:t>
      </w:r>
      <w:r>
        <w:rPr>
          <w:rFonts w:ascii="Garamond" w:eastAsia="Calibri" w:hAnsi="Garamond" w:cs="Times New Roman"/>
          <w:sz w:val="23"/>
          <w:szCs w:val="23"/>
        </w:rPr>
        <w:t xml:space="preserve">. The LMPs provide information on how constrained the grid was during previous summers and how often the grid was in the DR “green zone” defined in </w:t>
      </w:r>
      <w:r w:rsidRPr="00A526D7">
        <w:rPr>
          <w:rFonts w:ascii="Garamond" w:eastAsia="Calibri" w:hAnsi="Garamond" w:cs="Times New Roman"/>
          <w:sz w:val="23"/>
          <w:szCs w:val="23"/>
        </w:rPr>
        <w:fldChar w:fldCharType="begin"/>
      </w:r>
      <w:r w:rsidRPr="00A526D7">
        <w:rPr>
          <w:rFonts w:ascii="Garamond" w:eastAsia="Calibri" w:hAnsi="Garamond" w:cs="Times New Roman"/>
          <w:sz w:val="23"/>
          <w:szCs w:val="23"/>
        </w:rPr>
        <w:instrText xml:space="preserve"> REF _Ref342979152 \h  \* MERGEFORMAT </w:instrText>
      </w:r>
      <w:r w:rsidRPr="00A526D7">
        <w:rPr>
          <w:rFonts w:ascii="Garamond" w:eastAsia="Calibri" w:hAnsi="Garamond" w:cs="Times New Roman"/>
          <w:sz w:val="23"/>
          <w:szCs w:val="23"/>
        </w:rPr>
      </w:r>
      <w:r w:rsidRPr="00A526D7">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Pr="00A526D7">
        <w:rPr>
          <w:rFonts w:ascii="Garamond" w:eastAsia="Calibri" w:hAnsi="Garamond" w:cs="Times New Roman"/>
          <w:sz w:val="23"/>
          <w:szCs w:val="23"/>
        </w:rPr>
        <w:fldChar w:fldCharType="end"/>
      </w:r>
      <w:r w:rsidRPr="00A526D7">
        <w:rPr>
          <w:rFonts w:ascii="Garamond" w:eastAsia="Calibri" w:hAnsi="Garamond" w:cs="Times New Roman"/>
          <w:sz w:val="23"/>
          <w:szCs w:val="23"/>
        </w:rPr>
        <w:t xml:space="preserve">. </w:t>
      </w:r>
      <w:r w:rsidRPr="003256BA">
        <w:rPr>
          <w:rFonts w:ascii="Garamond" w:eastAsia="Calibri" w:hAnsi="Garamond" w:cs="Times New Roman"/>
          <w:sz w:val="23"/>
          <w:szCs w:val="23"/>
        </w:rPr>
        <w:fldChar w:fldCharType="begin"/>
      </w:r>
      <w:r w:rsidRPr="003256BA">
        <w:rPr>
          <w:rFonts w:ascii="Garamond" w:eastAsia="Calibri" w:hAnsi="Garamond" w:cs="Times New Roman"/>
          <w:sz w:val="23"/>
          <w:szCs w:val="23"/>
        </w:rPr>
        <w:instrText xml:space="preserve"> REF _Ref343013591 \h  \* MERGEFORMAT </w:instrText>
      </w:r>
      <w:r w:rsidRPr="003256BA">
        <w:rPr>
          <w:rFonts w:ascii="Garamond" w:eastAsia="Calibri" w:hAnsi="Garamond" w:cs="Times New Roman"/>
          <w:sz w:val="23"/>
          <w:szCs w:val="23"/>
        </w:rPr>
      </w:r>
      <w:r w:rsidRPr="003256BA">
        <w:rPr>
          <w:rFonts w:ascii="Garamond" w:eastAsia="Calibri" w:hAnsi="Garamond" w:cs="Times New Roman"/>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D</w:t>
      </w:r>
      <w:r w:rsidR="00451FFF" w:rsidRPr="00451FFF">
        <w:rPr>
          <w:rFonts w:ascii="Garamond" w:hAnsi="Garamond"/>
          <w:noProof/>
          <w:sz w:val="23"/>
          <w:szCs w:val="23"/>
        </w:rPr>
        <w:noBreakHyphen/>
        <w:t>2</w:t>
      </w:r>
      <w:r w:rsidRPr="003256BA">
        <w:rPr>
          <w:rFonts w:ascii="Garamond" w:eastAsia="Calibri" w:hAnsi="Garamond" w:cs="Times New Roman"/>
          <w:sz w:val="23"/>
          <w:szCs w:val="23"/>
        </w:rPr>
        <w:fldChar w:fldCharType="end"/>
      </w:r>
      <w:r w:rsidRPr="003256BA">
        <w:rPr>
          <w:rFonts w:ascii="Garamond" w:eastAsia="Calibri" w:hAnsi="Garamond" w:cs="Times New Roman"/>
          <w:b/>
          <w:sz w:val="23"/>
          <w:szCs w:val="23"/>
        </w:rPr>
        <w:t xml:space="preserve"> </w:t>
      </w:r>
      <w:r w:rsidRPr="00643267">
        <w:rPr>
          <w:rFonts w:ascii="Garamond" w:eastAsia="Calibri" w:hAnsi="Garamond" w:cs="Times New Roman"/>
          <w:sz w:val="23"/>
          <w:szCs w:val="23"/>
        </w:rPr>
        <w:t xml:space="preserve">shows </w:t>
      </w:r>
      <w:r>
        <w:rPr>
          <w:rFonts w:ascii="Garamond" w:eastAsia="Calibri" w:hAnsi="Garamond" w:cs="Times New Roman"/>
          <w:sz w:val="23"/>
          <w:szCs w:val="23"/>
        </w:rPr>
        <w:t xml:space="preserve">the </w:t>
      </w:r>
      <w:r w:rsidRPr="00643267">
        <w:rPr>
          <w:rFonts w:ascii="Garamond" w:eastAsia="Calibri" w:hAnsi="Garamond" w:cs="Times New Roman"/>
          <w:sz w:val="23"/>
          <w:szCs w:val="23"/>
        </w:rPr>
        <w:t xml:space="preserve">average LMPs for each EDC in the previous six summers over the 100 hours of highest system demand. </w:t>
      </w:r>
      <w:r w:rsidR="00190FF8" w:rsidRPr="00643267">
        <w:rPr>
          <w:rFonts w:ascii="Garamond" w:eastAsia="Calibri" w:hAnsi="Garamond" w:cs="Times New Roman"/>
          <w:sz w:val="23"/>
          <w:szCs w:val="23"/>
        </w:rPr>
        <w:t xml:space="preserve">Penn Power became part of the PJM Interconnection on June 1, 2011 so the following historical comparison only includes </w:t>
      </w:r>
      <w:r w:rsidR="00190FF8">
        <w:rPr>
          <w:rFonts w:ascii="Garamond" w:eastAsia="Calibri" w:hAnsi="Garamond" w:cs="Times New Roman"/>
          <w:sz w:val="23"/>
          <w:szCs w:val="23"/>
        </w:rPr>
        <w:t xml:space="preserve">Penn Power for </w:t>
      </w:r>
      <w:r w:rsidR="00190FF8" w:rsidRPr="00643267">
        <w:rPr>
          <w:rFonts w:ascii="Garamond" w:eastAsia="Calibri" w:hAnsi="Garamond" w:cs="Times New Roman"/>
          <w:sz w:val="23"/>
          <w:szCs w:val="23"/>
        </w:rPr>
        <w:t>the summers of 2011 and 2012.</w:t>
      </w:r>
    </w:p>
    <w:p w:rsidR="00DF0C4F" w:rsidRDefault="00C57D72" w:rsidP="00371137">
      <w:pPr>
        <w:jc w:val="left"/>
        <w:rPr>
          <w:rFonts w:ascii="Garamond" w:eastAsia="Calibri" w:hAnsi="Garamond" w:cs="Times New Roman"/>
          <w:sz w:val="23"/>
          <w:szCs w:val="23"/>
        </w:rPr>
      </w:pPr>
      <w:r>
        <w:rPr>
          <w:rFonts w:ascii="Garamond" w:eastAsia="Calibri" w:hAnsi="Garamond" w:cs="Times New Roman"/>
          <w:sz w:val="23"/>
          <w:szCs w:val="23"/>
        </w:rPr>
        <w:br w:type="page"/>
      </w:r>
    </w:p>
    <w:p w:rsidR="00C57D72" w:rsidRPr="00643267" w:rsidRDefault="00C57D72" w:rsidP="00DF0C4F">
      <w:pPr>
        <w:spacing w:after="0" w:line="240" w:lineRule="auto"/>
        <w:rPr>
          <w:rFonts w:ascii="Garamond" w:eastAsia="Calibri" w:hAnsi="Garamond" w:cs="Times New Roman"/>
          <w:sz w:val="23"/>
          <w:szCs w:val="23"/>
        </w:rPr>
      </w:pPr>
    </w:p>
    <w:p w:rsidR="00DF0C4F" w:rsidRPr="003256BA" w:rsidRDefault="00DF0C4F" w:rsidP="00DF0C4F">
      <w:pPr>
        <w:keepNext/>
        <w:spacing w:after="120" w:line="240" w:lineRule="auto"/>
        <w:jc w:val="center"/>
        <w:rPr>
          <w:rFonts w:ascii="Garamond" w:eastAsia="Calibri" w:hAnsi="Garamond" w:cs="Times New Roman"/>
          <w:b/>
          <w:bCs/>
          <w:sz w:val="23"/>
          <w:szCs w:val="23"/>
        </w:rPr>
      </w:pPr>
      <w:bookmarkStart w:id="42" w:name="_Ref343013591"/>
      <w:r w:rsidRPr="003256BA">
        <w:rPr>
          <w:rFonts w:ascii="Garamond" w:hAnsi="Garamond"/>
          <w:b/>
          <w:sz w:val="23"/>
          <w:szCs w:val="23"/>
        </w:rPr>
        <w:t xml:space="preserve">Table </w:t>
      </w:r>
      <w:r w:rsidR="00C01A4C">
        <w:rPr>
          <w:rFonts w:ascii="Garamond" w:hAnsi="Garamond"/>
          <w:b/>
          <w:sz w:val="23"/>
          <w:szCs w:val="23"/>
        </w:rPr>
        <w:fldChar w:fldCharType="begin"/>
      </w:r>
      <w:r w:rsidR="00C01A4C">
        <w:rPr>
          <w:rFonts w:ascii="Garamond" w:hAnsi="Garamond"/>
          <w:b/>
          <w:sz w:val="23"/>
          <w:szCs w:val="23"/>
        </w:rPr>
        <w:instrText xml:space="preserve"> STYLEREF 1 \s </w:instrText>
      </w:r>
      <w:r w:rsidR="00C01A4C">
        <w:rPr>
          <w:rFonts w:ascii="Garamond" w:hAnsi="Garamond"/>
          <w:b/>
          <w:sz w:val="23"/>
          <w:szCs w:val="23"/>
        </w:rPr>
        <w:fldChar w:fldCharType="separate"/>
      </w:r>
      <w:r w:rsidR="00451FFF">
        <w:rPr>
          <w:rFonts w:ascii="Garamond" w:hAnsi="Garamond"/>
          <w:b/>
          <w:noProof/>
          <w:sz w:val="23"/>
          <w:szCs w:val="23"/>
        </w:rPr>
        <w:t>D</w:t>
      </w:r>
      <w:r w:rsidR="00C01A4C">
        <w:rPr>
          <w:rFonts w:ascii="Garamond" w:hAnsi="Garamond"/>
          <w:b/>
          <w:sz w:val="23"/>
          <w:szCs w:val="23"/>
        </w:rPr>
        <w:fldChar w:fldCharType="end"/>
      </w:r>
      <w:r w:rsidR="00C01A4C">
        <w:rPr>
          <w:rFonts w:ascii="Garamond" w:hAnsi="Garamond"/>
          <w:b/>
          <w:sz w:val="23"/>
          <w:szCs w:val="23"/>
        </w:rPr>
        <w:noBreakHyphen/>
      </w:r>
      <w:r w:rsidR="00C01A4C">
        <w:rPr>
          <w:rFonts w:ascii="Garamond" w:hAnsi="Garamond"/>
          <w:b/>
          <w:sz w:val="23"/>
          <w:szCs w:val="23"/>
        </w:rPr>
        <w:fldChar w:fldCharType="begin"/>
      </w:r>
      <w:r w:rsidR="00C01A4C">
        <w:rPr>
          <w:rFonts w:ascii="Garamond" w:hAnsi="Garamond"/>
          <w:b/>
          <w:sz w:val="23"/>
          <w:szCs w:val="23"/>
        </w:rPr>
        <w:instrText xml:space="preserve"> SEQ Table \* ARABIC \s 1 </w:instrText>
      </w:r>
      <w:r w:rsidR="00C01A4C">
        <w:rPr>
          <w:rFonts w:ascii="Garamond" w:hAnsi="Garamond"/>
          <w:b/>
          <w:sz w:val="23"/>
          <w:szCs w:val="23"/>
        </w:rPr>
        <w:fldChar w:fldCharType="separate"/>
      </w:r>
      <w:r w:rsidR="00451FFF">
        <w:rPr>
          <w:rFonts w:ascii="Garamond" w:hAnsi="Garamond"/>
          <w:b/>
          <w:noProof/>
          <w:sz w:val="23"/>
          <w:szCs w:val="23"/>
        </w:rPr>
        <w:t>2</w:t>
      </w:r>
      <w:r w:rsidR="00C01A4C">
        <w:rPr>
          <w:rFonts w:ascii="Garamond" w:hAnsi="Garamond"/>
          <w:b/>
          <w:sz w:val="23"/>
          <w:szCs w:val="23"/>
        </w:rPr>
        <w:fldChar w:fldCharType="end"/>
      </w:r>
      <w:bookmarkEnd w:id="42"/>
      <w:r w:rsidRPr="003256BA">
        <w:rPr>
          <w:rFonts w:ascii="Garamond" w:hAnsi="Garamond"/>
          <w:b/>
          <w:sz w:val="23"/>
          <w:szCs w:val="23"/>
        </w:rPr>
        <w:t xml:space="preserve">: </w:t>
      </w:r>
      <w:r w:rsidRPr="003256BA">
        <w:rPr>
          <w:rFonts w:ascii="Garamond" w:eastAsia="Calibri" w:hAnsi="Garamond" w:cs="Times New Roman"/>
          <w:b/>
          <w:bCs/>
          <w:sz w:val="23"/>
          <w:szCs w:val="23"/>
        </w:rPr>
        <w:t>Comparison of Averag</w:t>
      </w:r>
      <w:r>
        <w:rPr>
          <w:rFonts w:ascii="Garamond" w:eastAsia="Calibri" w:hAnsi="Garamond" w:cs="Times New Roman"/>
          <w:b/>
          <w:bCs/>
          <w:sz w:val="23"/>
          <w:szCs w:val="23"/>
        </w:rPr>
        <w:t>e Top 100 LMPs by EDC and Year.</w:t>
      </w:r>
    </w:p>
    <w:tbl>
      <w:tblPr>
        <w:tblStyle w:val="TableGrid1"/>
        <w:tblW w:w="0" w:type="auto"/>
        <w:tblLook w:val="04A0" w:firstRow="1" w:lastRow="0" w:firstColumn="1" w:lastColumn="0" w:noHBand="0" w:noVBand="1"/>
      </w:tblPr>
      <w:tblGrid>
        <w:gridCol w:w="1150"/>
        <w:gridCol w:w="1175"/>
        <w:gridCol w:w="1158"/>
        <w:gridCol w:w="1158"/>
        <w:gridCol w:w="1221"/>
        <w:gridCol w:w="1265"/>
        <w:gridCol w:w="1291"/>
        <w:gridCol w:w="1158"/>
      </w:tblGrid>
      <w:tr w:rsidR="00DF0C4F" w:rsidRPr="00643267" w:rsidTr="00264688">
        <w:trPr>
          <w:trHeight w:val="300"/>
          <w:tblHeader/>
        </w:trPr>
        <w:tc>
          <w:tcPr>
            <w:tcW w:w="1151" w:type="dxa"/>
            <w:vMerge w:val="restart"/>
            <w:shd w:val="clear" w:color="auto" w:fill="1F497D"/>
            <w:noWrap/>
            <w:vAlign w:val="center"/>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Year</w:t>
            </w:r>
          </w:p>
        </w:tc>
        <w:tc>
          <w:tcPr>
            <w:tcW w:w="4712" w:type="dxa"/>
            <w:gridSpan w:val="4"/>
            <w:shd w:val="clear" w:color="auto" w:fill="BFBFBF" w:themeFill="background1" w:themeFillShade="BF"/>
            <w:noWrap/>
            <w:vAlign w:val="center"/>
          </w:tcPr>
          <w:p w:rsidR="00DF0C4F" w:rsidRPr="00273E37" w:rsidRDefault="00DF0C4F" w:rsidP="00DF0C4F">
            <w:pPr>
              <w:jc w:val="center"/>
              <w:rPr>
                <w:rFonts w:ascii="Garamond" w:eastAsia="Times New Roman" w:hAnsi="Garamond" w:cs="Calibri"/>
                <w:b/>
                <w:sz w:val="23"/>
                <w:szCs w:val="23"/>
              </w:rPr>
            </w:pPr>
            <w:r w:rsidRPr="00273E37">
              <w:rPr>
                <w:rFonts w:ascii="Garamond" w:eastAsia="Times New Roman" w:hAnsi="Garamond" w:cs="Calibri"/>
                <w:b/>
                <w:sz w:val="23"/>
                <w:szCs w:val="23"/>
              </w:rPr>
              <w:t>Mid-Atlantic Market Region</w:t>
            </w:r>
          </w:p>
        </w:tc>
        <w:tc>
          <w:tcPr>
            <w:tcW w:w="3713" w:type="dxa"/>
            <w:gridSpan w:val="3"/>
            <w:shd w:val="clear" w:color="auto" w:fill="BFBFBF" w:themeFill="background1" w:themeFillShade="BF"/>
            <w:noWrap/>
            <w:vAlign w:val="center"/>
          </w:tcPr>
          <w:p w:rsidR="00DF0C4F" w:rsidRPr="00273E37" w:rsidRDefault="00DF0C4F" w:rsidP="00DF0C4F">
            <w:pPr>
              <w:jc w:val="center"/>
              <w:rPr>
                <w:rFonts w:ascii="Garamond" w:eastAsia="Times New Roman" w:hAnsi="Garamond" w:cs="Calibri"/>
                <w:b/>
                <w:sz w:val="23"/>
                <w:szCs w:val="23"/>
              </w:rPr>
            </w:pPr>
            <w:r w:rsidRPr="00273E37">
              <w:rPr>
                <w:rFonts w:ascii="Garamond" w:eastAsia="Times New Roman" w:hAnsi="Garamond" w:cs="Calibri"/>
                <w:b/>
                <w:sz w:val="23"/>
                <w:szCs w:val="23"/>
              </w:rPr>
              <w:t>West Market Region</w:t>
            </w:r>
          </w:p>
        </w:tc>
      </w:tr>
      <w:tr w:rsidR="00264688" w:rsidRPr="00643267" w:rsidTr="00264688">
        <w:trPr>
          <w:trHeight w:val="300"/>
          <w:tblHeader/>
        </w:trPr>
        <w:tc>
          <w:tcPr>
            <w:tcW w:w="1151" w:type="dxa"/>
            <w:vMerge/>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p>
        </w:tc>
        <w:tc>
          <w:tcPr>
            <w:tcW w:w="1175"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PECO</w:t>
            </w:r>
            <w:r w:rsidR="00264688">
              <w:rPr>
                <w:rFonts w:ascii="Garamond" w:eastAsia="Times New Roman" w:hAnsi="Garamond" w:cs="Calibri"/>
                <w:b/>
                <w:color w:val="FFFFFF"/>
                <w:sz w:val="23"/>
                <w:szCs w:val="23"/>
              </w:rPr>
              <w:t xml:space="preserve"> ($/MWh)</w:t>
            </w:r>
          </w:p>
        </w:tc>
        <w:tc>
          <w:tcPr>
            <w:tcW w:w="1158"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Met-Ed</w:t>
            </w:r>
            <w:r w:rsidR="00264688">
              <w:rPr>
                <w:rFonts w:ascii="Garamond" w:eastAsia="Times New Roman" w:hAnsi="Garamond" w:cs="Calibri"/>
                <w:b/>
                <w:color w:val="FFFFFF"/>
                <w:sz w:val="23"/>
                <w:szCs w:val="23"/>
              </w:rPr>
              <w:t xml:space="preserve"> ($/MWh)</w:t>
            </w:r>
          </w:p>
        </w:tc>
        <w:tc>
          <w:tcPr>
            <w:tcW w:w="1158"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PPL</w:t>
            </w:r>
            <w:r w:rsidR="00264688">
              <w:rPr>
                <w:rFonts w:ascii="Garamond" w:eastAsia="Times New Roman" w:hAnsi="Garamond" w:cs="Calibri"/>
                <w:b/>
                <w:color w:val="FFFFFF"/>
                <w:sz w:val="23"/>
                <w:szCs w:val="23"/>
              </w:rPr>
              <w:t xml:space="preserve"> ($/MWh)</w:t>
            </w:r>
          </w:p>
        </w:tc>
        <w:tc>
          <w:tcPr>
            <w:tcW w:w="1221"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Penelec</w:t>
            </w:r>
            <w:r w:rsidR="00264688">
              <w:rPr>
                <w:rFonts w:ascii="Garamond" w:eastAsia="Times New Roman" w:hAnsi="Garamond" w:cs="Calibri"/>
                <w:b/>
                <w:color w:val="FFFFFF"/>
                <w:sz w:val="23"/>
                <w:szCs w:val="23"/>
              </w:rPr>
              <w:t xml:space="preserve"> ($/MWh)</w:t>
            </w:r>
          </w:p>
        </w:tc>
        <w:tc>
          <w:tcPr>
            <w:tcW w:w="1265"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West Penn</w:t>
            </w:r>
            <w:r w:rsidR="00264688">
              <w:rPr>
                <w:rFonts w:ascii="Garamond" w:eastAsia="Times New Roman" w:hAnsi="Garamond" w:cs="Calibri"/>
                <w:b/>
                <w:color w:val="FFFFFF"/>
                <w:sz w:val="23"/>
                <w:szCs w:val="23"/>
              </w:rPr>
              <w:t xml:space="preserve"> ($/MWh)</w:t>
            </w:r>
          </w:p>
        </w:tc>
        <w:tc>
          <w:tcPr>
            <w:tcW w:w="1291"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Duquesne</w:t>
            </w:r>
            <w:r w:rsidR="00264688">
              <w:rPr>
                <w:rFonts w:ascii="Garamond" w:eastAsia="Times New Roman" w:hAnsi="Garamond" w:cs="Calibri"/>
                <w:b/>
                <w:color w:val="FFFFFF"/>
                <w:sz w:val="23"/>
                <w:szCs w:val="23"/>
              </w:rPr>
              <w:t xml:space="preserve"> ($/MWh)</w:t>
            </w:r>
          </w:p>
        </w:tc>
        <w:tc>
          <w:tcPr>
            <w:tcW w:w="1157" w:type="dxa"/>
            <w:shd w:val="clear" w:color="auto" w:fill="1F497D"/>
            <w:noWrap/>
            <w:vAlign w:val="center"/>
            <w:hideMark/>
          </w:tcPr>
          <w:p w:rsidR="00DF0C4F" w:rsidRPr="00643267" w:rsidRDefault="00DF0C4F" w:rsidP="00DF0C4F">
            <w:pPr>
              <w:jc w:val="center"/>
              <w:rPr>
                <w:rFonts w:ascii="Garamond" w:eastAsia="Times New Roman" w:hAnsi="Garamond" w:cs="Calibri"/>
                <w:b/>
                <w:color w:val="FFFFFF"/>
                <w:sz w:val="23"/>
                <w:szCs w:val="23"/>
              </w:rPr>
            </w:pPr>
            <w:r w:rsidRPr="00643267">
              <w:rPr>
                <w:rFonts w:ascii="Garamond" w:eastAsia="Times New Roman" w:hAnsi="Garamond" w:cs="Calibri"/>
                <w:b/>
                <w:color w:val="FFFFFF"/>
                <w:sz w:val="23"/>
                <w:szCs w:val="23"/>
              </w:rPr>
              <w:t>Penn Power</w:t>
            </w:r>
            <w:r w:rsidR="00264688">
              <w:rPr>
                <w:rFonts w:ascii="Garamond" w:eastAsia="Times New Roman" w:hAnsi="Garamond" w:cs="Calibri"/>
                <w:b/>
                <w:color w:val="FFFFFF"/>
                <w:sz w:val="23"/>
                <w:szCs w:val="23"/>
              </w:rPr>
              <w:t xml:space="preserve"> ($/MWh)</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2007</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$160.65</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$180.32</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$148.80</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$121.62</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$144.12</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$118.55</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NA</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2008</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$209.59</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$201.00</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$190.70</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$149.73</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$174.06</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$134.79</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NA</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2009</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$65.95</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$66.04</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$64.73</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$56.66</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$64.22</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$62.95</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NA</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2010</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$137.46</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$128.97</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$126.72</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$99.69</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$103.80</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$84.03</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NA</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2011</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$199.88</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$194.36</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$195.87</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$155.07</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$129.21</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$118.29</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$96.04</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2012</w:t>
            </w:r>
          </w:p>
        </w:tc>
        <w:tc>
          <w:tcPr>
            <w:tcW w:w="117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$112.47</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$109.38</w:t>
            </w:r>
          </w:p>
        </w:tc>
        <w:tc>
          <w:tcPr>
            <w:tcW w:w="1158"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$105.60</w:t>
            </w:r>
          </w:p>
        </w:tc>
        <w:tc>
          <w:tcPr>
            <w:tcW w:w="122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$102.96</w:t>
            </w:r>
          </w:p>
        </w:tc>
        <w:tc>
          <w:tcPr>
            <w:tcW w:w="1265"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$97.26</w:t>
            </w:r>
          </w:p>
        </w:tc>
        <w:tc>
          <w:tcPr>
            <w:tcW w:w="1291"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$100.98</w:t>
            </w:r>
          </w:p>
        </w:tc>
        <w:tc>
          <w:tcPr>
            <w:tcW w:w="1157" w:type="dxa"/>
            <w:noWrap/>
            <w:vAlign w:val="center"/>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$99.68</w:t>
            </w:r>
          </w:p>
        </w:tc>
      </w:tr>
      <w:tr w:rsidR="00264688" w:rsidRPr="00643267" w:rsidTr="00264688">
        <w:trPr>
          <w:trHeight w:val="300"/>
        </w:trPr>
        <w:tc>
          <w:tcPr>
            <w:tcW w:w="1151"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Six Year Average</w:t>
            </w:r>
          </w:p>
        </w:tc>
        <w:tc>
          <w:tcPr>
            <w:tcW w:w="1175"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$147.67</w:t>
            </w:r>
          </w:p>
        </w:tc>
        <w:tc>
          <w:tcPr>
            <w:tcW w:w="1158"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$146.68</w:t>
            </w:r>
          </w:p>
        </w:tc>
        <w:tc>
          <w:tcPr>
            <w:tcW w:w="1158"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$138.74</w:t>
            </w:r>
          </w:p>
        </w:tc>
        <w:tc>
          <w:tcPr>
            <w:tcW w:w="1221"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$114.29</w:t>
            </w:r>
          </w:p>
        </w:tc>
        <w:tc>
          <w:tcPr>
            <w:tcW w:w="1265"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$118.78</w:t>
            </w:r>
          </w:p>
        </w:tc>
        <w:tc>
          <w:tcPr>
            <w:tcW w:w="1291"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$103.26</w:t>
            </w:r>
          </w:p>
        </w:tc>
        <w:tc>
          <w:tcPr>
            <w:tcW w:w="1157" w:type="dxa"/>
            <w:noWrap/>
            <w:vAlign w:val="center"/>
            <w:hideMark/>
          </w:tcPr>
          <w:p w:rsidR="00DF0C4F" w:rsidRPr="00643267" w:rsidRDefault="00DF0C4F" w:rsidP="00DF0C4F">
            <w:pPr>
              <w:jc w:val="center"/>
              <w:rPr>
                <w:rFonts w:ascii="Garamond" w:eastAsia="Times New Roman" w:hAnsi="Garamond" w:cs="Calibri"/>
                <w:b/>
                <w:color w:val="000000"/>
                <w:sz w:val="23"/>
                <w:szCs w:val="23"/>
              </w:rPr>
            </w:pPr>
            <w:r w:rsidRPr="00643267">
              <w:rPr>
                <w:rFonts w:ascii="Garamond" w:eastAsia="Times New Roman" w:hAnsi="Garamond" w:cs="Calibri"/>
                <w:b/>
                <w:color w:val="000000"/>
                <w:sz w:val="23"/>
                <w:szCs w:val="23"/>
              </w:rPr>
              <w:t>$97.86</w:t>
            </w:r>
          </w:p>
        </w:tc>
      </w:tr>
    </w:tbl>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A visual comparison of the average values in </w:t>
      </w:r>
      <w:r w:rsidRPr="00273E37">
        <w:rPr>
          <w:rFonts w:ascii="Garamond" w:eastAsia="Calibri" w:hAnsi="Garamond" w:cs="Times New Roman"/>
          <w:sz w:val="23"/>
          <w:szCs w:val="23"/>
        </w:rPr>
        <w:fldChar w:fldCharType="begin"/>
      </w:r>
      <w:r w:rsidRPr="00273E37">
        <w:rPr>
          <w:rFonts w:ascii="Garamond" w:eastAsia="Calibri" w:hAnsi="Garamond" w:cs="Times New Roman"/>
          <w:sz w:val="23"/>
          <w:szCs w:val="23"/>
        </w:rPr>
        <w:instrText xml:space="preserve"> REF _Ref343013591 \h  \* MERGEFORMAT </w:instrText>
      </w:r>
      <w:r w:rsidRPr="00273E37">
        <w:rPr>
          <w:rFonts w:ascii="Garamond" w:eastAsia="Calibri" w:hAnsi="Garamond" w:cs="Times New Roman"/>
          <w:sz w:val="23"/>
          <w:szCs w:val="23"/>
        </w:rPr>
      </w:r>
      <w:r w:rsidRPr="00273E37">
        <w:rPr>
          <w:rFonts w:ascii="Garamond" w:eastAsia="Calibri" w:hAnsi="Garamond" w:cs="Times New Roman"/>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D</w:t>
      </w:r>
      <w:r w:rsidR="00451FFF" w:rsidRPr="00451FFF">
        <w:rPr>
          <w:rFonts w:ascii="Garamond" w:hAnsi="Garamond"/>
          <w:noProof/>
          <w:sz w:val="23"/>
          <w:szCs w:val="23"/>
        </w:rPr>
        <w:noBreakHyphen/>
        <w:t>2</w:t>
      </w:r>
      <w:r w:rsidRPr="00273E37">
        <w:rPr>
          <w:rFonts w:ascii="Garamond" w:eastAsia="Calibri" w:hAnsi="Garamond" w:cs="Times New Roman"/>
          <w:sz w:val="23"/>
          <w:szCs w:val="23"/>
        </w:rPr>
        <w:fldChar w:fldCharType="end"/>
      </w:r>
      <w:r>
        <w:rPr>
          <w:rFonts w:ascii="Garamond" w:eastAsia="Calibri" w:hAnsi="Garamond" w:cs="Times New Roman"/>
          <w:sz w:val="23"/>
          <w:szCs w:val="23"/>
        </w:rPr>
        <w:t xml:space="preserve"> reveals that the EDCs in the Mid-Atlantic market region typically experience higher LMPs during peak summer hours than those in the West market region. Unlike the capacity prices</w:t>
      </w:r>
      <w:r w:rsidR="000B31ED">
        <w:rPr>
          <w:rFonts w:ascii="Garamond" w:eastAsia="Calibri" w:hAnsi="Garamond" w:cs="Times New Roman"/>
          <w:sz w:val="23"/>
          <w:szCs w:val="23"/>
        </w:rPr>
        <w:t>, which are calculated annually,</w:t>
      </w:r>
      <w:r>
        <w:rPr>
          <w:rFonts w:ascii="Garamond" w:eastAsia="Calibri" w:hAnsi="Garamond" w:cs="Times New Roman"/>
          <w:sz w:val="23"/>
          <w:szCs w:val="23"/>
        </w:rPr>
        <w:t xml:space="preserve"> energy prices (LMPs) </w:t>
      </w:r>
      <w:r w:rsidR="000B31ED">
        <w:rPr>
          <w:rFonts w:ascii="Garamond" w:eastAsia="Calibri" w:hAnsi="Garamond" w:cs="Times New Roman"/>
          <w:sz w:val="23"/>
          <w:szCs w:val="23"/>
        </w:rPr>
        <w:t xml:space="preserve">are calculated on an hourly basis. The number of data points and the volatility of the LMPs values meant that </w:t>
      </w:r>
      <w:r>
        <w:rPr>
          <w:rFonts w:ascii="Garamond" w:eastAsia="Calibri" w:hAnsi="Garamond" w:cs="Times New Roman"/>
          <w:sz w:val="23"/>
          <w:szCs w:val="23"/>
        </w:rPr>
        <w:t>the analysis of variance across the state requires sophisticated techniques. The SWE used a statistical model to analyze this variance in LMPs. The goal was to determine whether these differences were statistically significant or trivial within a noise band</w:t>
      </w:r>
      <w:r w:rsidR="000B31ED">
        <w:rPr>
          <w:rStyle w:val="FootnoteReference"/>
          <w:rFonts w:ascii="Garamond" w:eastAsia="Calibri" w:hAnsi="Garamond" w:cs="Times New Roman"/>
          <w:sz w:val="23"/>
          <w:szCs w:val="23"/>
        </w:rPr>
        <w:footnoteReference w:id="31"/>
      </w:r>
      <w:r>
        <w:rPr>
          <w:rFonts w:ascii="Garamond" w:eastAsia="Calibri" w:hAnsi="Garamond" w:cs="Times New Roman"/>
          <w:sz w:val="23"/>
          <w:szCs w:val="23"/>
        </w:rPr>
        <w:t xml:space="preserve">. </w:t>
      </w:r>
      <w:r w:rsidRPr="00643267">
        <w:rPr>
          <w:rFonts w:ascii="Garamond" w:eastAsia="Calibri" w:hAnsi="Garamond" w:cs="Times New Roman"/>
          <w:sz w:val="23"/>
          <w:szCs w:val="23"/>
        </w:rPr>
        <w:t xml:space="preserve">If statistically significant differences in wholesale electric prices exist between EDCs during the top 100 hours of summer peak demand, </w:t>
      </w:r>
      <w:r>
        <w:rPr>
          <w:rFonts w:ascii="Garamond" w:eastAsia="Calibri" w:hAnsi="Garamond" w:cs="Times New Roman"/>
          <w:sz w:val="23"/>
          <w:szCs w:val="23"/>
        </w:rPr>
        <w:t>the value of</w:t>
      </w:r>
      <w:r w:rsidRPr="00643267">
        <w:rPr>
          <w:rFonts w:ascii="Garamond" w:eastAsia="Calibri" w:hAnsi="Garamond" w:cs="Times New Roman"/>
          <w:sz w:val="23"/>
          <w:szCs w:val="23"/>
        </w:rPr>
        <w:t xml:space="preserve"> </w:t>
      </w:r>
      <w:r>
        <w:rPr>
          <w:rFonts w:ascii="Garamond" w:eastAsia="Calibri" w:hAnsi="Garamond" w:cs="Times New Roman"/>
          <w:sz w:val="23"/>
          <w:szCs w:val="23"/>
        </w:rPr>
        <w:t>DR</w:t>
      </w:r>
      <w:r w:rsidRPr="00643267">
        <w:rPr>
          <w:rFonts w:ascii="Garamond" w:eastAsia="Calibri" w:hAnsi="Garamond" w:cs="Times New Roman"/>
          <w:sz w:val="23"/>
          <w:szCs w:val="23"/>
        </w:rPr>
        <w:t xml:space="preserve"> in those EDC service territories during the top 100 hours</w:t>
      </w:r>
      <w:r>
        <w:rPr>
          <w:rFonts w:ascii="Garamond" w:eastAsia="Calibri" w:hAnsi="Garamond" w:cs="Times New Roman"/>
          <w:sz w:val="23"/>
          <w:szCs w:val="23"/>
        </w:rPr>
        <w:t xml:space="preserve"> is different and should be addressed when establishing DR goals.</w:t>
      </w:r>
    </w:p>
    <w:p w:rsidR="00DF0C4F" w:rsidRDefault="00DF0C4F" w:rsidP="00DF0C4F">
      <w:pPr>
        <w:spacing w:after="0" w:line="240" w:lineRule="auto"/>
        <w:rPr>
          <w:rFonts w:ascii="Garamond" w:eastAsia="Calibri" w:hAnsi="Garamond" w:cs="Times New Roman"/>
          <w:sz w:val="23"/>
          <w:szCs w:val="23"/>
        </w:rPr>
      </w:pPr>
    </w:p>
    <w:p w:rsidR="00DF0C4F" w:rsidRPr="00643267" w:rsidRDefault="00DF0C4F" w:rsidP="00DF0C4F">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A one-way analysis of variance (ANOVA</w:t>
      </w:r>
      <w:r w:rsidRPr="00643267">
        <w:rPr>
          <w:rFonts w:ascii="Garamond" w:eastAsia="Calibri" w:hAnsi="Garamond" w:cs="Times New Roman"/>
          <w:sz w:val="23"/>
          <w:szCs w:val="23"/>
          <w:vertAlign w:val="superscript"/>
        </w:rPr>
        <w:footnoteReference w:id="32"/>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is a common statistical </w:t>
      </w:r>
      <w:r w:rsidRPr="00643267">
        <w:rPr>
          <w:rFonts w:ascii="Garamond" w:eastAsia="Calibri" w:hAnsi="Garamond" w:cs="Times New Roman"/>
          <w:sz w:val="23"/>
          <w:szCs w:val="23"/>
        </w:rPr>
        <w:t xml:space="preserve">procedure used to </w:t>
      </w:r>
      <w:r>
        <w:rPr>
          <w:rFonts w:ascii="Garamond" w:eastAsia="Calibri" w:hAnsi="Garamond" w:cs="Times New Roman"/>
          <w:sz w:val="23"/>
          <w:szCs w:val="23"/>
        </w:rPr>
        <w:t>test</w:t>
      </w:r>
      <w:r w:rsidRPr="00643267">
        <w:rPr>
          <w:rFonts w:ascii="Garamond" w:eastAsia="Calibri" w:hAnsi="Garamond" w:cs="Times New Roman"/>
          <w:sz w:val="23"/>
          <w:szCs w:val="23"/>
        </w:rPr>
        <w:t xml:space="preserve"> statistical variance and compare a single factor (in this case the LMP) among multiple groups (EDCs) to see if a significant difference exists between the groups</w:t>
      </w:r>
      <w:r>
        <w:rPr>
          <w:rFonts w:ascii="Garamond" w:eastAsia="Calibri" w:hAnsi="Garamond" w:cs="Times New Roman"/>
          <w:sz w:val="23"/>
          <w:szCs w:val="23"/>
        </w:rPr>
        <w:t xml:space="preserve">. </w:t>
      </w:r>
      <w:r w:rsidRPr="00643267">
        <w:rPr>
          <w:rFonts w:ascii="Garamond" w:eastAsia="Calibri" w:hAnsi="Garamond" w:cs="Times New Roman"/>
          <w:sz w:val="23"/>
          <w:szCs w:val="23"/>
        </w:rPr>
        <w:t xml:space="preserve">However, one of the underlying assumptions of the traditional version of the test is that the data being compared is </w:t>
      </w:r>
      <w:r w:rsidRPr="00273E37">
        <w:rPr>
          <w:rFonts w:ascii="Garamond" w:eastAsia="Calibri" w:hAnsi="Garamond" w:cs="Times New Roman"/>
          <w:sz w:val="23"/>
          <w:szCs w:val="23"/>
        </w:rPr>
        <w:t>normally distributed</w:t>
      </w:r>
      <w:r w:rsidRPr="00643267">
        <w:rPr>
          <w:rFonts w:ascii="Garamond" w:eastAsia="Calibri" w:hAnsi="Garamond" w:cs="Times New Roman"/>
          <w:sz w:val="23"/>
          <w:szCs w:val="23"/>
        </w:rPr>
        <w:t xml:space="preserve">. </w:t>
      </w:r>
      <w:r>
        <w:rPr>
          <w:rFonts w:ascii="Garamond" w:eastAsia="Calibri" w:hAnsi="Garamond" w:cs="Times New Roman"/>
          <w:sz w:val="23"/>
          <w:szCs w:val="23"/>
        </w:rPr>
        <w:t>Normally distributed data will produce a bell shaped distribution when plotted with most values concentrated near the mean and the remaining values scattered evenly above and below the mean</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However, LMPs tend to increase in an exponential fashion as shown in </w:t>
      </w:r>
      <w:r w:rsidRPr="00A526D7">
        <w:rPr>
          <w:rFonts w:ascii="Garamond" w:eastAsia="Calibri" w:hAnsi="Garamond" w:cs="Times New Roman"/>
          <w:sz w:val="23"/>
          <w:szCs w:val="23"/>
        </w:rPr>
        <w:fldChar w:fldCharType="begin"/>
      </w:r>
      <w:r w:rsidRPr="00A526D7">
        <w:rPr>
          <w:rFonts w:ascii="Garamond" w:eastAsia="Calibri" w:hAnsi="Garamond" w:cs="Times New Roman"/>
          <w:sz w:val="23"/>
          <w:szCs w:val="23"/>
        </w:rPr>
        <w:instrText xml:space="preserve"> REF _Ref342979152 \h  \* MERGEFORMAT </w:instrText>
      </w:r>
      <w:r w:rsidRPr="00A526D7">
        <w:rPr>
          <w:rFonts w:ascii="Garamond" w:eastAsia="Calibri" w:hAnsi="Garamond" w:cs="Times New Roman"/>
          <w:sz w:val="23"/>
          <w:szCs w:val="23"/>
        </w:rPr>
      </w:r>
      <w:r w:rsidRPr="00A526D7">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Pr="00A526D7">
        <w:rPr>
          <w:rFonts w:ascii="Garamond" w:eastAsia="Calibri" w:hAnsi="Garamond" w:cs="Times New Roman"/>
          <w:sz w:val="23"/>
          <w:szCs w:val="23"/>
        </w:rPr>
        <w:fldChar w:fldCharType="end"/>
      </w:r>
      <w:r>
        <w:rPr>
          <w:rFonts w:ascii="Garamond" w:eastAsia="Calibri" w:hAnsi="Garamond" w:cs="Times New Roman"/>
          <w:sz w:val="23"/>
          <w:szCs w:val="23"/>
        </w:rPr>
        <w:t xml:space="preserve"> and violate this assumption. </w:t>
      </w:r>
      <w:r w:rsidRPr="00643267">
        <w:rPr>
          <w:rFonts w:ascii="Garamond" w:eastAsia="Calibri" w:hAnsi="Garamond" w:cs="Times New Roman"/>
          <w:sz w:val="23"/>
          <w:szCs w:val="23"/>
        </w:rPr>
        <w:t xml:space="preserve">A </w:t>
      </w:r>
      <w:r>
        <w:rPr>
          <w:rFonts w:ascii="Garamond" w:eastAsia="Calibri" w:hAnsi="Garamond" w:cs="Times New Roman"/>
          <w:sz w:val="23"/>
          <w:szCs w:val="23"/>
        </w:rPr>
        <w:t xml:space="preserve">quick </w:t>
      </w:r>
      <w:r w:rsidRPr="00643267">
        <w:rPr>
          <w:rFonts w:ascii="Garamond" w:eastAsia="Calibri" w:hAnsi="Garamond" w:cs="Times New Roman"/>
          <w:sz w:val="23"/>
          <w:szCs w:val="23"/>
        </w:rPr>
        <w:t xml:space="preserve">statistical </w:t>
      </w:r>
      <w:r>
        <w:rPr>
          <w:rFonts w:ascii="Garamond" w:eastAsia="Calibri" w:hAnsi="Garamond" w:cs="Times New Roman"/>
          <w:sz w:val="23"/>
          <w:szCs w:val="23"/>
        </w:rPr>
        <w:t xml:space="preserve">check </w:t>
      </w:r>
      <w:r w:rsidRPr="00643267">
        <w:rPr>
          <w:rFonts w:ascii="Garamond" w:eastAsia="Calibri" w:hAnsi="Garamond" w:cs="Times New Roman"/>
          <w:sz w:val="23"/>
          <w:szCs w:val="23"/>
        </w:rPr>
        <w:t xml:space="preserve">test conducted by the SWE for normality confirmed this finding for all seven EDCs for each year and prompted the need for a non-parametric test. A non-parametric test does not require that the data be normally distributed. </w:t>
      </w:r>
      <w:r>
        <w:rPr>
          <w:rFonts w:ascii="Garamond" w:eastAsia="Calibri" w:hAnsi="Garamond" w:cs="Times New Roman"/>
          <w:sz w:val="23"/>
          <w:szCs w:val="23"/>
        </w:rPr>
        <w:t>The test chosen by the SWE as a substitute to the ANOVA was the</w:t>
      </w:r>
      <w:r w:rsidRPr="00643267">
        <w:rPr>
          <w:rFonts w:ascii="Garamond" w:eastAsia="Calibri" w:hAnsi="Garamond" w:cs="Times New Roman"/>
          <w:sz w:val="23"/>
          <w:szCs w:val="23"/>
        </w:rPr>
        <w:t xml:space="preserve"> Kruskal-Wallis</w:t>
      </w:r>
      <w:r w:rsidRPr="00643267">
        <w:rPr>
          <w:rFonts w:ascii="Garamond" w:eastAsia="Calibri" w:hAnsi="Garamond" w:cs="Times New Roman"/>
          <w:sz w:val="23"/>
          <w:szCs w:val="23"/>
          <w:vertAlign w:val="superscript"/>
        </w:rPr>
        <w:footnoteReference w:id="33"/>
      </w:r>
      <w:r w:rsidRPr="00643267">
        <w:rPr>
          <w:rFonts w:ascii="Garamond" w:eastAsia="Calibri" w:hAnsi="Garamond" w:cs="Times New Roman"/>
          <w:sz w:val="23"/>
          <w:szCs w:val="23"/>
        </w:rPr>
        <w:t xml:space="preserve"> test. The SWE conducted a separate Kruskal-Wallis test for each year from 2007 to 2012 to determine whether there was a significant difference in </w:t>
      </w:r>
      <w:r>
        <w:rPr>
          <w:rFonts w:ascii="Garamond" w:eastAsia="Calibri" w:hAnsi="Garamond" w:cs="Times New Roman"/>
          <w:sz w:val="23"/>
          <w:szCs w:val="23"/>
        </w:rPr>
        <w:t xml:space="preserve">the </w:t>
      </w:r>
      <w:r w:rsidRPr="00643267">
        <w:rPr>
          <w:rFonts w:ascii="Garamond" w:eastAsia="Calibri" w:hAnsi="Garamond" w:cs="Times New Roman"/>
          <w:sz w:val="23"/>
          <w:szCs w:val="23"/>
        </w:rPr>
        <w:t>top 100 hour LMP</w:t>
      </w:r>
      <w:r>
        <w:rPr>
          <w:rFonts w:ascii="Garamond" w:eastAsia="Calibri" w:hAnsi="Garamond" w:cs="Times New Roman"/>
          <w:sz w:val="23"/>
          <w:szCs w:val="23"/>
        </w:rPr>
        <w:t>s</w:t>
      </w:r>
      <w:r w:rsidRPr="00643267">
        <w:rPr>
          <w:rFonts w:ascii="Garamond" w:eastAsia="Calibri" w:hAnsi="Garamond" w:cs="Times New Roman"/>
          <w:sz w:val="23"/>
          <w:szCs w:val="23"/>
        </w:rPr>
        <w:t xml:space="preserve"> between </w:t>
      </w:r>
      <w:r>
        <w:rPr>
          <w:rFonts w:ascii="Garamond" w:eastAsia="Calibri" w:hAnsi="Garamond" w:cs="Times New Roman"/>
          <w:sz w:val="23"/>
          <w:szCs w:val="23"/>
        </w:rPr>
        <w:t xml:space="preserve">the </w:t>
      </w:r>
      <w:r w:rsidRPr="00643267">
        <w:rPr>
          <w:rFonts w:ascii="Garamond" w:eastAsia="Calibri" w:hAnsi="Garamond" w:cs="Times New Roman"/>
          <w:sz w:val="23"/>
          <w:szCs w:val="23"/>
        </w:rPr>
        <w:t xml:space="preserve">EDCs. </w:t>
      </w:r>
    </w:p>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 xml:space="preserve">Mechanically, the Kruskal-Wallis test is based on a ranking system. </w:t>
      </w:r>
      <w:r>
        <w:rPr>
          <w:rFonts w:ascii="Garamond" w:eastAsia="Calibri" w:hAnsi="Garamond" w:cs="Times New Roman"/>
          <w:sz w:val="23"/>
          <w:szCs w:val="23"/>
        </w:rPr>
        <w:t>The LMPs for each year (2007-2012)</w:t>
      </w:r>
      <w:r w:rsidRPr="00643267">
        <w:rPr>
          <w:rFonts w:ascii="Garamond" w:eastAsia="Calibri" w:hAnsi="Garamond" w:cs="Times New Roman"/>
          <w:sz w:val="23"/>
          <w:szCs w:val="23"/>
        </w:rPr>
        <w:t xml:space="preserve"> across the state (all EDCs combined) </w:t>
      </w:r>
      <w:r>
        <w:rPr>
          <w:rFonts w:ascii="Garamond" w:eastAsia="Calibri" w:hAnsi="Garamond" w:cs="Times New Roman"/>
          <w:sz w:val="23"/>
          <w:szCs w:val="23"/>
        </w:rPr>
        <w:t>are</w:t>
      </w:r>
      <w:r w:rsidRPr="00643267">
        <w:rPr>
          <w:rFonts w:ascii="Garamond" w:eastAsia="Calibri" w:hAnsi="Garamond" w:cs="Times New Roman"/>
          <w:sz w:val="23"/>
          <w:szCs w:val="23"/>
        </w:rPr>
        <w:t xml:space="preserve"> ranked lowest to highest</w:t>
      </w:r>
      <w:r>
        <w:rPr>
          <w:rFonts w:ascii="Garamond" w:eastAsia="Calibri" w:hAnsi="Garamond" w:cs="Times New Roman"/>
          <w:sz w:val="23"/>
          <w:szCs w:val="23"/>
        </w:rPr>
        <w:t>, for hours 1-100,</w:t>
      </w:r>
      <w:r w:rsidRPr="00643267">
        <w:rPr>
          <w:rFonts w:ascii="Garamond" w:eastAsia="Calibri" w:hAnsi="Garamond" w:cs="Times New Roman"/>
          <w:sz w:val="23"/>
          <w:szCs w:val="23"/>
        </w:rPr>
        <w:t xml:space="preserve"> </w:t>
      </w:r>
      <w:r>
        <w:rPr>
          <w:rFonts w:ascii="Garamond" w:eastAsia="Calibri" w:hAnsi="Garamond" w:cs="Times New Roman"/>
          <w:sz w:val="23"/>
          <w:szCs w:val="23"/>
        </w:rPr>
        <w:t>producing 700 values</w:t>
      </w:r>
      <w:r w:rsidRPr="00643267">
        <w:rPr>
          <w:rFonts w:ascii="Garamond" w:eastAsia="Calibri" w:hAnsi="Garamond" w:cs="Times New Roman"/>
          <w:sz w:val="23"/>
          <w:szCs w:val="23"/>
        </w:rPr>
        <w:t xml:space="preserve">. </w:t>
      </w:r>
      <w:r>
        <w:rPr>
          <w:rFonts w:ascii="Garamond" w:eastAsia="Calibri" w:hAnsi="Garamond" w:cs="Times New Roman"/>
          <w:sz w:val="23"/>
          <w:szCs w:val="23"/>
        </w:rPr>
        <w:t>Next, the</w:t>
      </w:r>
      <w:r w:rsidRPr="00643267">
        <w:rPr>
          <w:rFonts w:ascii="Garamond" w:eastAsia="Calibri" w:hAnsi="Garamond" w:cs="Times New Roman"/>
          <w:sz w:val="23"/>
          <w:szCs w:val="23"/>
        </w:rPr>
        <w:t xml:space="preserve"> sum of the ranks within each EDC is calculated. The result of</w:t>
      </w:r>
      <w:r>
        <w:rPr>
          <w:rFonts w:ascii="Garamond" w:eastAsia="Calibri" w:hAnsi="Garamond" w:cs="Times New Roman"/>
          <w:sz w:val="23"/>
          <w:szCs w:val="23"/>
        </w:rPr>
        <w:t xml:space="preserve"> this step is shown in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_Ref343014997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D607B8">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3</w:t>
      </w:r>
      <w:r>
        <w:rPr>
          <w:rFonts w:ascii="Garamond" w:eastAsia="Calibri" w:hAnsi="Garamond" w:cs="Times New Roman"/>
          <w:sz w:val="23"/>
          <w:szCs w:val="23"/>
        </w:rPr>
        <w:fldChar w:fldCharType="end"/>
      </w:r>
      <w:r w:rsidRPr="00643267">
        <w:rPr>
          <w:rFonts w:ascii="Garamond" w:eastAsia="Calibri" w:hAnsi="Garamond" w:cs="Times New Roman"/>
          <w:sz w:val="23"/>
          <w:szCs w:val="23"/>
        </w:rPr>
        <w:t xml:space="preserve"> below using LMP data from 20</w:t>
      </w:r>
      <w:r>
        <w:rPr>
          <w:rFonts w:ascii="Garamond" w:eastAsia="Calibri" w:hAnsi="Garamond" w:cs="Times New Roman"/>
          <w:sz w:val="23"/>
          <w:szCs w:val="23"/>
        </w:rPr>
        <w:t>11, as an example</w:t>
      </w:r>
      <w:r w:rsidRPr="00643267">
        <w:rPr>
          <w:rFonts w:ascii="Garamond" w:eastAsia="Calibri" w:hAnsi="Garamond" w:cs="Times New Roman"/>
          <w:sz w:val="23"/>
          <w:szCs w:val="23"/>
        </w:rPr>
        <w:t xml:space="preserve">. </w:t>
      </w:r>
    </w:p>
    <w:p w:rsidR="00DF0C4F" w:rsidRPr="00D607B8" w:rsidRDefault="00DF0C4F" w:rsidP="00DF0C4F">
      <w:pPr>
        <w:pStyle w:val="Caption"/>
        <w:keepNext/>
        <w:jc w:val="center"/>
        <w:rPr>
          <w:rFonts w:ascii="Garamond" w:hAnsi="Garamond"/>
          <w:sz w:val="23"/>
          <w:szCs w:val="23"/>
        </w:rPr>
      </w:pPr>
      <w:bookmarkStart w:id="43" w:name="_Ref343014997"/>
      <w:r w:rsidRPr="00D607B8">
        <w:rPr>
          <w:rFonts w:ascii="Garamond" w:hAnsi="Garamond"/>
          <w:sz w:val="23"/>
          <w:szCs w:val="23"/>
        </w:rPr>
        <w:lastRenderedPageBreak/>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D</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3</w:t>
      </w:r>
      <w:r w:rsidR="00C01A4C">
        <w:rPr>
          <w:rFonts w:ascii="Garamond" w:hAnsi="Garamond"/>
          <w:sz w:val="23"/>
          <w:szCs w:val="23"/>
        </w:rPr>
        <w:fldChar w:fldCharType="end"/>
      </w:r>
      <w:bookmarkEnd w:id="43"/>
      <w:r w:rsidRPr="00D607B8">
        <w:rPr>
          <w:rFonts w:ascii="Garamond" w:hAnsi="Garamond"/>
          <w:sz w:val="23"/>
          <w:szCs w:val="23"/>
        </w:rPr>
        <w:t>: Sum of LMP Rankings by EDC</w:t>
      </w:r>
      <w:r w:rsidR="00B461AE">
        <w:rPr>
          <w:rFonts w:ascii="Garamond" w:hAnsi="Garamond"/>
          <w:sz w:val="23"/>
          <w:szCs w:val="23"/>
        </w:rPr>
        <w:t xml:space="preserve"> - </w:t>
      </w:r>
      <w:proofErr w:type="gramStart"/>
      <w:r w:rsidR="00871879">
        <w:rPr>
          <w:rFonts w:ascii="Garamond" w:hAnsi="Garamond"/>
          <w:sz w:val="23"/>
          <w:szCs w:val="23"/>
        </w:rPr>
        <w:t>S</w:t>
      </w:r>
      <w:r>
        <w:rPr>
          <w:rFonts w:ascii="Garamond" w:hAnsi="Garamond"/>
          <w:sz w:val="23"/>
          <w:szCs w:val="23"/>
        </w:rPr>
        <w:t>ummer</w:t>
      </w:r>
      <w:proofErr w:type="gramEnd"/>
      <w:r w:rsidRPr="00D607B8">
        <w:rPr>
          <w:rFonts w:ascii="Garamond" w:hAnsi="Garamond"/>
          <w:sz w:val="23"/>
          <w:szCs w:val="23"/>
        </w:rPr>
        <w:t xml:space="preserve"> 20</w:t>
      </w:r>
      <w:r>
        <w:rPr>
          <w:rFonts w:ascii="Garamond" w:hAnsi="Garamond"/>
          <w:sz w:val="23"/>
          <w:szCs w:val="23"/>
        </w:rPr>
        <w:t>11</w:t>
      </w:r>
    </w:p>
    <w:tbl>
      <w:tblPr>
        <w:tblStyle w:val="TableGrid1"/>
        <w:tblW w:w="0" w:type="auto"/>
        <w:jc w:val="center"/>
        <w:tblLook w:val="04A0" w:firstRow="1" w:lastRow="0" w:firstColumn="1" w:lastColumn="0" w:noHBand="0" w:noVBand="1"/>
      </w:tblPr>
      <w:tblGrid>
        <w:gridCol w:w="2358"/>
        <w:gridCol w:w="2160"/>
      </w:tblGrid>
      <w:tr w:rsidR="00DF0C4F" w:rsidRPr="00643267" w:rsidTr="00DF0C4F">
        <w:trPr>
          <w:jc w:val="center"/>
        </w:trPr>
        <w:tc>
          <w:tcPr>
            <w:tcW w:w="2358" w:type="dxa"/>
            <w:shd w:val="clear" w:color="auto" w:fill="1F497D"/>
          </w:tcPr>
          <w:p w:rsidR="00DF0C4F" w:rsidRPr="00643267" w:rsidRDefault="00DF0C4F" w:rsidP="00DF0C4F">
            <w:pPr>
              <w:jc w:val="center"/>
              <w:rPr>
                <w:rFonts w:ascii="Garamond" w:eastAsia="Calibri" w:hAnsi="Garamond" w:cs="Times New Roman"/>
                <w:b/>
                <w:color w:val="FFFFFF"/>
                <w:sz w:val="23"/>
                <w:szCs w:val="23"/>
              </w:rPr>
            </w:pPr>
            <w:r w:rsidRPr="00643267">
              <w:rPr>
                <w:rFonts w:ascii="Garamond" w:eastAsia="Calibri" w:hAnsi="Garamond" w:cs="Times New Roman"/>
                <w:b/>
                <w:color w:val="FFFFFF"/>
                <w:sz w:val="23"/>
                <w:szCs w:val="23"/>
              </w:rPr>
              <w:t>EDC</w:t>
            </w:r>
          </w:p>
        </w:tc>
        <w:tc>
          <w:tcPr>
            <w:tcW w:w="2160" w:type="dxa"/>
            <w:shd w:val="clear" w:color="auto" w:fill="1F497D"/>
          </w:tcPr>
          <w:p w:rsidR="00DF0C4F" w:rsidRPr="00643267" w:rsidRDefault="00DF0C4F" w:rsidP="00DF0C4F">
            <w:pPr>
              <w:jc w:val="center"/>
              <w:rPr>
                <w:rFonts w:ascii="Garamond" w:eastAsia="Calibri" w:hAnsi="Garamond" w:cs="Times New Roman"/>
                <w:b/>
                <w:color w:val="FFFFFF"/>
                <w:sz w:val="23"/>
                <w:szCs w:val="23"/>
              </w:rPr>
            </w:pPr>
            <w:r w:rsidRPr="00643267">
              <w:rPr>
                <w:rFonts w:ascii="Garamond" w:eastAsia="Calibri" w:hAnsi="Garamond" w:cs="Times New Roman"/>
                <w:b/>
                <w:color w:val="FFFFFF"/>
                <w:sz w:val="23"/>
                <w:szCs w:val="23"/>
              </w:rPr>
              <w:t>Sum of Ranks (SR)</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West Penn Power</w:t>
            </w:r>
          </w:p>
        </w:tc>
        <w:tc>
          <w:tcPr>
            <w:tcW w:w="2160"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30,116</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Duquesne</w:t>
            </w:r>
          </w:p>
        </w:tc>
        <w:tc>
          <w:tcPr>
            <w:tcW w:w="2160"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27,094</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Met-Ed</w:t>
            </w:r>
          </w:p>
        </w:tc>
        <w:tc>
          <w:tcPr>
            <w:tcW w:w="2160"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43,573</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Penn Power</w:t>
            </w:r>
          </w:p>
        </w:tc>
        <w:tc>
          <w:tcPr>
            <w:tcW w:w="2160" w:type="dxa"/>
          </w:tcPr>
          <w:p w:rsidR="00DF0C4F"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20,223</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PECO</w:t>
            </w:r>
          </w:p>
        </w:tc>
        <w:tc>
          <w:tcPr>
            <w:tcW w:w="2160"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44,885</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PENELEC</w:t>
            </w:r>
          </w:p>
        </w:tc>
        <w:tc>
          <w:tcPr>
            <w:tcW w:w="2160" w:type="dxa"/>
          </w:tcPr>
          <w:p w:rsidR="00DF0C4F" w:rsidRPr="00643267" w:rsidRDefault="00631A8B" w:rsidP="00DF0C4F">
            <w:pPr>
              <w:jc w:val="center"/>
              <w:rPr>
                <w:rFonts w:ascii="Garamond" w:eastAsia="Calibri" w:hAnsi="Garamond" w:cs="Times New Roman"/>
                <w:sz w:val="23"/>
                <w:szCs w:val="23"/>
              </w:rPr>
            </w:pPr>
            <w:r>
              <w:rPr>
                <w:rFonts w:ascii="Garamond" w:eastAsia="Calibri" w:hAnsi="Garamond" w:cs="Times New Roman"/>
                <w:sz w:val="23"/>
                <w:szCs w:val="23"/>
              </w:rPr>
              <w:t>3</w:t>
            </w:r>
            <w:r w:rsidR="00DF0C4F">
              <w:rPr>
                <w:rFonts w:ascii="Garamond" w:eastAsia="Calibri" w:hAnsi="Garamond" w:cs="Times New Roman"/>
                <w:sz w:val="23"/>
                <w:szCs w:val="23"/>
              </w:rPr>
              <w:t>5,824</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sz w:val="23"/>
                <w:szCs w:val="23"/>
              </w:rPr>
            </w:pPr>
            <w:r w:rsidRPr="00643267">
              <w:rPr>
                <w:rFonts w:ascii="Garamond" w:eastAsia="Calibri" w:hAnsi="Garamond" w:cs="Times New Roman"/>
                <w:sz w:val="23"/>
                <w:szCs w:val="23"/>
              </w:rPr>
              <w:t>PPL</w:t>
            </w:r>
          </w:p>
        </w:tc>
        <w:tc>
          <w:tcPr>
            <w:tcW w:w="2160" w:type="dxa"/>
          </w:tcPr>
          <w:p w:rsidR="00DF0C4F" w:rsidRPr="00643267" w:rsidRDefault="00DF0C4F" w:rsidP="00DF0C4F">
            <w:pPr>
              <w:jc w:val="center"/>
              <w:rPr>
                <w:rFonts w:ascii="Garamond" w:eastAsia="Calibri" w:hAnsi="Garamond" w:cs="Times New Roman"/>
                <w:sz w:val="23"/>
                <w:szCs w:val="23"/>
              </w:rPr>
            </w:pPr>
            <w:r>
              <w:rPr>
                <w:rFonts w:ascii="Garamond" w:eastAsia="Calibri" w:hAnsi="Garamond" w:cs="Times New Roman"/>
                <w:sz w:val="23"/>
                <w:szCs w:val="23"/>
              </w:rPr>
              <w:t>43,635</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b/>
                <w:sz w:val="23"/>
                <w:szCs w:val="23"/>
              </w:rPr>
            </w:pPr>
            <w:r>
              <w:rPr>
                <w:rFonts w:ascii="Garamond" w:eastAsia="Calibri" w:hAnsi="Garamond" w:cs="Times New Roman"/>
                <w:b/>
                <w:sz w:val="23"/>
                <w:szCs w:val="23"/>
              </w:rPr>
              <w:t>Mean Value</w:t>
            </w:r>
          </w:p>
        </w:tc>
        <w:tc>
          <w:tcPr>
            <w:tcW w:w="2160" w:type="dxa"/>
          </w:tcPr>
          <w:p w:rsidR="00DF0C4F" w:rsidRPr="00643267" w:rsidRDefault="00DF0C4F" w:rsidP="00DF0C4F">
            <w:pPr>
              <w:jc w:val="center"/>
              <w:rPr>
                <w:rFonts w:ascii="Garamond" w:eastAsia="Calibri" w:hAnsi="Garamond" w:cs="Times New Roman"/>
                <w:b/>
                <w:sz w:val="23"/>
                <w:szCs w:val="23"/>
              </w:rPr>
            </w:pPr>
            <w:r>
              <w:rPr>
                <w:rFonts w:ascii="Garamond" w:eastAsia="Calibri" w:hAnsi="Garamond" w:cs="Times New Roman"/>
                <w:b/>
                <w:sz w:val="23"/>
                <w:szCs w:val="23"/>
              </w:rPr>
              <w:t>35,050</w:t>
            </w:r>
          </w:p>
        </w:tc>
      </w:tr>
      <w:tr w:rsidR="00DF0C4F" w:rsidRPr="00643267" w:rsidTr="00DF0C4F">
        <w:trPr>
          <w:jc w:val="center"/>
        </w:trPr>
        <w:tc>
          <w:tcPr>
            <w:tcW w:w="2358" w:type="dxa"/>
          </w:tcPr>
          <w:p w:rsidR="00DF0C4F" w:rsidRPr="00643267" w:rsidRDefault="00DF0C4F" w:rsidP="00DF0C4F">
            <w:pPr>
              <w:jc w:val="center"/>
              <w:rPr>
                <w:rFonts w:ascii="Garamond" w:eastAsia="Calibri" w:hAnsi="Garamond" w:cs="Times New Roman"/>
                <w:b/>
                <w:sz w:val="23"/>
                <w:szCs w:val="23"/>
              </w:rPr>
            </w:pPr>
            <w:r w:rsidRPr="00643267">
              <w:rPr>
                <w:rFonts w:ascii="Garamond" w:eastAsia="Calibri" w:hAnsi="Garamond" w:cs="Times New Roman"/>
                <w:b/>
                <w:sz w:val="23"/>
                <w:szCs w:val="23"/>
              </w:rPr>
              <w:t>Total</w:t>
            </w:r>
          </w:p>
        </w:tc>
        <w:tc>
          <w:tcPr>
            <w:tcW w:w="2160" w:type="dxa"/>
          </w:tcPr>
          <w:p w:rsidR="00DF0C4F" w:rsidRPr="00643267" w:rsidRDefault="00631A8B" w:rsidP="00DF0C4F">
            <w:pPr>
              <w:jc w:val="center"/>
              <w:rPr>
                <w:rFonts w:ascii="Garamond" w:eastAsia="Calibri" w:hAnsi="Garamond" w:cs="Times New Roman"/>
                <w:b/>
                <w:sz w:val="23"/>
                <w:szCs w:val="23"/>
              </w:rPr>
            </w:pPr>
            <w:r>
              <w:rPr>
                <w:rFonts w:ascii="Garamond" w:eastAsia="Calibri" w:hAnsi="Garamond" w:cs="Times New Roman"/>
                <w:b/>
                <w:sz w:val="23"/>
                <w:szCs w:val="23"/>
              </w:rPr>
              <w:t>24</w:t>
            </w:r>
            <w:r w:rsidR="00DF0C4F">
              <w:rPr>
                <w:rFonts w:ascii="Garamond" w:eastAsia="Calibri" w:hAnsi="Garamond" w:cs="Times New Roman"/>
                <w:b/>
                <w:sz w:val="23"/>
                <w:szCs w:val="23"/>
              </w:rPr>
              <w:t>5,350</w:t>
            </w:r>
          </w:p>
        </w:tc>
      </w:tr>
    </w:tbl>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sidRPr="00643267">
        <w:rPr>
          <w:rFonts w:ascii="Garamond" w:eastAsia="Calibri" w:hAnsi="Garamond" w:cs="Times New Roman"/>
          <w:sz w:val="23"/>
          <w:szCs w:val="23"/>
        </w:rPr>
        <w:t>The next step is to assess the significance of th</w:t>
      </w:r>
      <w:r>
        <w:rPr>
          <w:rFonts w:ascii="Garamond" w:eastAsia="Calibri" w:hAnsi="Garamond" w:cs="Times New Roman"/>
          <w:sz w:val="23"/>
          <w:szCs w:val="23"/>
        </w:rPr>
        <w:t>e</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variation of the EDCs’ Sum of Ranks (SR) from the mean value </w:t>
      </w:r>
      <w:r w:rsidRPr="006D39CE">
        <w:rPr>
          <w:rFonts w:ascii="Garamond" w:eastAsia="Calibri" w:hAnsi="Garamond" w:cs="Times New Roman"/>
          <w:sz w:val="23"/>
          <w:szCs w:val="23"/>
        </w:rPr>
        <w:t>(35,050 in this example).</w:t>
      </w:r>
      <w:r w:rsidRPr="00643267">
        <w:rPr>
          <w:rFonts w:ascii="Garamond" w:eastAsia="Calibri" w:hAnsi="Garamond" w:cs="Times New Roman"/>
          <w:sz w:val="23"/>
          <w:szCs w:val="23"/>
        </w:rPr>
        <w:t xml:space="preserve">  A test statistic, H, is calculated using the following formula</w:t>
      </w:r>
      <w:r>
        <w:rPr>
          <w:rFonts w:ascii="Garamond" w:eastAsia="Calibri" w:hAnsi="Garamond" w:cs="Times New Roman"/>
          <w:sz w:val="23"/>
          <w:szCs w:val="23"/>
        </w:rPr>
        <w:t>, to assess this variance</w:t>
      </w:r>
      <w:r w:rsidRPr="00643267">
        <w:rPr>
          <w:rFonts w:ascii="Garamond" w:eastAsia="Calibri" w:hAnsi="Garamond" w:cs="Times New Roman"/>
          <w:sz w:val="23"/>
          <w:szCs w:val="23"/>
        </w:rPr>
        <w:t>.</w:t>
      </w:r>
    </w:p>
    <w:p w:rsidR="00DF0C4F" w:rsidRPr="00643267" w:rsidRDefault="00DF0C4F" w:rsidP="00DF0C4F">
      <w:pPr>
        <w:spacing w:after="0" w:line="240" w:lineRule="auto"/>
        <w:rPr>
          <w:rFonts w:ascii="Garamond" w:eastAsia="Calibri" w:hAnsi="Garamond" w:cs="Times New Roman"/>
          <w:sz w:val="23"/>
          <w:szCs w:val="23"/>
        </w:rPr>
      </w:pPr>
    </w:p>
    <w:p w:rsidR="00DF0C4F" w:rsidRPr="00643267" w:rsidRDefault="00DF0C4F" w:rsidP="00DF0C4F">
      <w:pPr>
        <w:spacing w:after="0" w:line="240" w:lineRule="auto"/>
        <w:rPr>
          <w:rFonts w:ascii="Garamond" w:eastAsia="Calibri" w:hAnsi="Garamond" w:cs="Times New Roman"/>
          <w:sz w:val="23"/>
          <w:szCs w:val="23"/>
        </w:rPr>
      </w:pPr>
      <m:oMathPara>
        <m:oMath>
          <m:r>
            <w:rPr>
              <w:rFonts w:ascii="Cambria Math" w:eastAsia="Calibri" w:hAnsi="Cambria Math" w:cs="Times New Roman"/>
              <w:sz w:val="23"/>
              <w:szCs w:val="23"/>
            </w:rPr>
            <m:t>H</m:t>
          </m:r>
          <m:r>
            <w:rPr>
              <w:rFonts w:ascii="Cambria Math" w:eastAsia="Calibri" w:hAnsi="Garamond" w:cs="Times New Roman"/>
              <w:sz w:val="23"/>
              <w:szCs w:val="23"/>
            </w:rPr>
            <m:t>=</m:t>
          </m:r>
          <m:f>
            <m:fPr>
              <m:ctrlPr>
                <w:rPr>
                  <w:rFonts w:ascii="Cambria Math" w:eastAsia="Calibri" w:hAnsi="Garamond" w:cs="Times New Roman"/>
                  <w:i/>
                  <w:sz w:val="23"/>
                  <w:szCs w:val="23"/>
                </w:rPr>
              </m:ctrlPr>
            </m:fPr>
            <m:num>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WPP</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DLC</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Met</m:t>
                      </m:r>
                      <m:r>
                        <w:rPr>
                          <w:rFonts w:ascii="Garamond" w:eastAsia="Calibri" w:hAnsi="Garamond" w:cs="Times New Roman"/>
                          <w:sz w:val="23"/>
                          <w:szCs w:val="23"/>
                        </w:rPr>
                        <m:t>-</m:t>
                      </m:r>
                      <m:r>
                        <w:rPr>
                          <w:rFonts w:ascii="Cambria Math" w:eastAsia="Calibri" w:hAnsi="Cambria Math" w:cs="Times New Roman"/>
                          <w:sz w:val="23"/>
                          <w:szCs w:val="23"/>
                        </w:rPr>
                        <m:t>Ed</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PP</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PECO</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PNLC</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Cambria Math"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PPL</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100</m:t>
                  </m:r>
                </m:den>
              </m:f>
              <m:r>
                <w:rPr>
                  <w:rFonts w:ascii="Garamond" w:eastAsia="Calibri" w:hAnsi="Garamond" w:cs="Times New Roman"/>
                  <w:sz w:val="23"/>
                  <w:szCs w:val="23"/>
                </w:rPr>
                <m:t>-</m:t>
              </m:r>
              <m:f>
                <m:fPr>
                  <m:ctrlPr>
                    <w:rPr>
                      <w:rFonts w:ascii="Cambria Math" w:eastAsia="Calibri" w:hAnsi="Garamond" w:cs="Times New Roman"/>
                      <w:i/>
                      <w:sz w:val="23"/>
                      <w:szCs w:val="23"/>
                    </w:rPr>
                  </m:ctrlPr>
                </m:fPr>
                <m:num>
                  <m:sSubSup>
                    <m:sSubSupPr>
                      <m:ctrlPr>
                        <w:rPr>
                          <w:rFonts w:ascii="Cambria Math" w:eastAsia="Calibri" w:hAnsi="Garamond" w:cs="Times New Roman"/>
                          <w:i/>
                          <w:sz w:val="23"/>
                          <w:szCs w:val="23"/>
                        </w:rPr>
                      </m:ctrlPr>
                    </m:sSubSupPr>
                    <m:e>
                      <m:r>
                        <w:rPr>
                          <w:rFonts w:ascii="Cambria Math" w:eastAsia="Calibri" w:hAnsi="Cambria Math" w:cs="Times New Roman"/>
                          <w:sz w:val="23"/>
                          <w:szCs w:val="23"/>
                        </w:rPr>
                        <m:t>SR</m:t>
                      </m:r>
                    </m:e>
                    <m:sub>
                      <m:r>
                        <w:rPr>
                          <w:rFonts w:ascii="Cambria Math" w:eastAsia="Calibri" w:hAnsi="Cambria Math" w:cs="Times New Roman"/>
                          <w:sz w:val="23"/>
                          <w:szCs w:val="23"/>
                        </w:rPr>
                        <m:t>total</m:t>
                      </m:r>
                    </m:sub>
                    <m:sup>
                      <m:r>
                        <w:rPr>
                          <w:rFonts w:ascii="Cambria Math" w:eastAsia="Calibri" w:hAnsi="Garamond" w:cs="Times New Roman"/>
                          <w:sz w:val="23"/>
                          <w:szCs w:val="23"/>
                        </w:rPr>
                        <m:t>2</m:t>
                      </m:r>
                    </m:sup>
                  </m:sSubSup>
                </m:num>
                <m:den>
                  <m:r>
                    <w:rPr>
                      <w:rFonts w:ascii="Cambria Math" w:eastAsia="Calibri" w:hAnsi="Garamond" w:cs="Times New Roman"/>
                      <w:sz w:val="23"/>
                      <w:szCs w:val="23"/>
                    </w:rPr>
                    <m:t>700</m:t>
                  </m:r>
                </m:den>
              </m:f>
            </m:num>
            <m:den>
              <m:f>
                <m:fPr>
                  <m:type m:val="skw"/>
                  <m:ctrlPr>
                    <w:rPr>
                      <w:rFonts w:ascii="Cambria Math" w:eastAsia="Calibri" w:hAnsi="Garamond" w:cs="Times New Roman"/>
                      <w:i/>
                      <w:sz w:val="23"/>
                      <w:szCs w:val="23"/>
                    </w:rPr>
                  </m:ctrlPr>
                </m:fPr>
                <m:num>
                  <m:r>
                    <w:rPr>
                      <w:rFonts w:ascii="Cambria Math" w:eastAsia="Calibri" w:hAnsi="Garamond" w:cs="Times New Roman"/>
                      <w:sz w:val="23"/>
                      <w:szCs w:val="23"/>
                    </w:rPr>
                    <m:t>700(700+1)</m:t>
                  </m:r>
                </m:num>
                <m:den>
                  <m:r>
                    <w:rPr>
                      <w:rFonts w:ascii="Cambria Math" w:eastAsia="Calibri" w:hAnsi="Garamond" w:cs="Times New Roman"/>
                      <w:sz w:val="23"/>
                      <w:szCs w:val="23"/>
                    </w:rPr>
                    <m:t>12</m:t>
                  </m:r>
                </m:den>
              </m:f>
            </m:den>
          </m:f>
        </m:oMath>
      </m:oMathPara>
    </w:p>
    <w:p w:rsidR="00DF0C4F" w:rsidRPr="00643267" w:rsidRDefault="00DF0C4F" w:rsidP="00DF0C4F">
      <w:pPr>
        <w:spacing w:after="120" w:line="240" w:lineRule="auto"/>
        <w:rPr>
          <w:rFonts w:ascii="Garamond" w:eastAsia="Calibri" w:hAnsi="Garamond" w:cs="Times New Roman"/>
          <w:sz w:val="23"/>
          <w:szCs w:val="23"/>
        </w:rPr>
      </w:pPr>
      <w:r w:rsidRPr="00643267">
        <w:rPr>
          <w:rFonts w:ascii="Garamond" w:eastAsia="Calibri" w:hAnsi="Garamond" w:cs="Times New Roman"/>
          <w:sz w:val="23"/>
          <w:szCs w:val="23"/>
        </w:rPr>
        <w:t>Using the values shown previously in</w:t>
      </w:r>
      <w:r>
        <w:rPr>
          <w:rFonts w:ascii="Garamond" w:eastAsia="Calibri" w:hAnsi="Garamond" w:cs="Times New Roman"/>
          <w:sz w:val="23"/>
          <w:szCs w:val="23"/>
        </w:rPr>
        <w:t xml:space="preserve">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_Ref343014997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D607B8">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3</w:t>
      </w:r>
      <w:r>
        <w:rPr>
          <w:rFonts w:ascii="Garamond" w:eastAsia="Calibri" w:hAnsi="Garamond" w:cs="Times New Roman"/>
          <w:sz w:val="23"/>
          <w:szCs w:val="23"/>
        </w:rPr>
        <w:fldChar w:fldCharType="end"/>
      </w:r>
      <w:r w:rsidRPr="00643267">
        <w:rPr>
          <w:rFonts w:ascii="Garamond" w:eastAsia="Calibri" w:hAnsi="Garamond" w:cs="Times New Roman"/>
          <w:sz w:val="23"/>
          <w:szCs w:val="23"/>
        </w:rPr>
        <w:t>, the solution to this equation is:</w:t>
      </w:r>
    </w:p>
    <w:p w:rsidR="00DF0C4F" w:rsidRPr="00643267" w:rsidRDefault="00DF0C4F" w:rsidP="00DF0C4F">
      <w:pPr>
        <w:spacing w:after="0" w:line="240" w:lineRule="auto"/>
        <w:rPr>
          <w:rFonts w:ascii="Garamond" w:eastAsia="Calibri" w:hAnsi="Garamond" w:cs="Times New Roman"/>
          <w:sz w:val="23"/>
          <w:szCs w:val="23"/>
        </w:rPr>
      </w:pPr>
      <m:oMathPara>
        <m:oMath>
          <m:r>
            <w:rPr>
              <w:rFonts w:ascii="Cambria Math" w:eastAsia="Calibri" w:hAnsi="Cambria Math" w:cs="Times New Roman"/>
              <w:sz w:val="23"/>
              <w:szCs w:val="23"/>
            </w:rPr>
            <m:t>H</m:t>
          </m:r>
          <m:r>
            <w:rPr>
              <w:rFonts w:ascii="Cambria Math" w:eastAsia="Calibri" w:hAnsi="Garamond" w:cs="Times New Roman"/>
              <w:sz w:val="23"/>
              <w:szCs w:val="23"/>
            </w:rPr>
            <m:t>=</m:t>
          </m:r>
          <m:r>
            <w:rPr>
              <w:rFonts w:ascii="Cambria Math" w:eastAsia="Calibri" w:hAnsi="Cambria Math" w:cs="Times New Roman"/>
              <w:sz w:val="23"/>
              <w:szCs w:val="23"/>
            </w:rPr>
            <m:t>134.78</m:t>
          </m:r>
        </m:oMath>
      </m:oMathPara>
    </w:p>
    <w:p w:rsidR="00DF0C4F" w:rsidRPr="00643267" w:rsidRDefault="00DF0C4F" w:rsidP="00DF0C4F">
      <w:pPr>
        <w:spacing w:after="0" w:line="240" w:lineRule="auto"/>
        <w:rPr>
          <w:rFonts w:ascii="Garamond" w:eastAsia="Calibri" w:hAnsi="Garamond" w:cs="Times New Roman"/>
          <w:sz w:val="23"/>
          <w:szCs w:val="23"/>
        </w:rPr>
      </w:pPr>
    </w:p>
    <w:p w:rsidR="00DF0C4F" w:rsidRPr="00643267"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The</w:t>
      </w:r>
      <w:r w:rsidRPr="00643267">
        <w:rPr>
          <w:rFonts w:ascii="Garamond" w:eastAsia="Calibri" w:hAnsi="Garamond" w:cs="Times New Roman"/>
          <w:sz w:val="23"/>
          <w:szCs w:val="23"/>
        </w:rPr>
        <w:t xml:space="preserve"> test statistic H follows a </w:t>
      </w:r>
      <w:r w:rsidRPr="00D607B8">
        <w:rPr>
          <w:rFonts w:ascii="Garamond" w:eastAsia="Calibri" w:hAnsi="Garamond" w:cs="Times New Roman"/>
          <w:sz w:val="23"/>
          <w:szCs w:val="23"/>
        </w:rPr>
        <w:t>chi-square distribution</w:t>
      </w:r>
      <w:r w:rsidRPr="00643267">
        <w:rPr>
          <w:rFonts w:ascii="Garamond" w:eastAsia="Calibri" w:hAnsi="Garamond" w:cs="Times New Roman"/>
          <w:sz w:val="23"/>
          <w:szCs w:val="23"/>
        </w:rPr>
        <w:t xml:space="preserve"> and the </w:t>
      </w:r>
      <w:r>
        <w:rPr>
          <w:rFonts w:ascii="Garamond" w:eastAsia="Calibri" w:hAnsi="Garamond" w:cs="Times New Roman"/>
          <w:sz w:val="23"/>
          <w:szCs w:val="23"/>
        </w:rPr>
        <w:t xml:space="preserve">statistical </w:t>
      </w:r>
      <w:r w:rsidRPr="00643267">
        <w:rPr>
          <w:rFonts w:ascii="Garamond" w:eastAsia="Calibri" w:hAnsi="Garamond" w:cs="Times New Roman"/>
          <w:sz w:val="23"/>
          <w:szCs w:val="23"/>
        </w:rPr>
        <w:t xml:space="preserve">significance of the </w:t>
      </w:r>
      <w:r>
        <w:rPr>
          <w:rFonts w:ascii="Garamond" w:eastAsia="Calibri" w:hAnsi="Garamond" w:cs="Times New Roman"/>
          <w:sz w:val="23"/>
          <w:szCs w:val="23"/>
        </w:rPr>
        <w:t>LMP variance can be substantiated</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The probability value (p-value) of the chi-square distribution provides a framework for interpreting the observed difference in LMPs between the EDCs. </w:t>
      </w:r>
      <w:r w:rsidRPr="00643267">
        <w:rPr>
          <w:rFonts w:ascii="Garamond" w:eastAsia="Calibri" w:hAnsi="Garamond" w:cs="Times New Roman"/>
          <w:sz w:val="23"/>
          <w:szCs w:val="23"/>
        </w:rPr>
        <w:t xml:space="preserve">The larger the test statistic H, the lower the probability that the amount of variance observed in the year was due to </w:t>
      </w:r>
      <w:r>
        <w:rPr>
          <w:rFonts w:ascii="Garamond" w:eastAsia="Calibri" w:hAnsi="Garamond" w:cs="Times New Roman"/>
          <w:sz w:val="23"/>
          <w:szCs w:val="23"/>
        </w:rPr>
        <w:t>noise (</w:t>
      </w:r>
      <w:r w:rsidRPr="00643267">
        <w:rPr>
          <w:rFonts w:ascii="Garamond" w:eastAsia="Calibri" w:hAnsi="Garamond" w:cs="Times New Roman"/>
          <w:sz w:val="23"/>
          <w:szCs w:val="23"/>
        </w:rPr>
        <w:t>random error</w:t>
      </w:r>
      <w:r>
        <w:rPr>
          <w:rFonts w:ascii="Garamond" w:eastAsia="Calibri" w:hAnsi="Garamond" w:cs="Times New Roman"/>
          <w:sz w:val="23"/>
          <w:szCs w:val="23"/>
        </w:rPr>
        <w:t>)</w:t>
      </w:r>
      <w:r w:rsidRPr="00643267">
        <w:rPr>
          <w:rFonts w:ascii="Garamond" w:eastAsia="Calibri" w:hAnsi="Garamond" w:cs="Times New Roman"/>
          <w:sz w:val="23"/>
          <w:szCs w:val="23"/>
        </w:rPr>
        <w:t xml:space="preserve"> and the more likely it is that a significant difference </w:t>
      </w:r>
      <w:r>
        <w:rPr>
          <w:rFonts w:ascii="Garamond" w:eastAsia="Calibri" w:hAnsi="Garamond" w:cs="Times New Roman"/>
          <w:sz w:val="23"/>
          <w:szCs w:val="23"/>
        </w:rPr>
        <w:t xml:space="preserve">truly </w:t>
      </w:r>
      <w:r w:rsidRPr="00643267">
        <w:rPr>
          <w:rFonts w:ascii="Garamond" w:eastAsia="Calibri" w:hAnsi="Garamond" w:cs="Times New Roman"/>
          <w:sz w:val="23"/>
          <w:szCs w:val="23"/>
        </w:rPr>
        <w:t xml:space="preserve">exists between the </w:t>
      </w:r>
      <w:r>
        <w:rPr>
          <w:rFonts w:ascii="Garamond" w:eastAsia="Calibri" w:hAnsi="Garamond" w:cs="Times New Roman"/>
          <w:sz w:val="23"/>
          <w:szCs w:val="23"/>
        </w:rPr>
        <w:t>EDCs</w:t>
      </w:r>
      <w:r w:rsidRPr="00643267">
        <w:rPr>
          <w:rFonts w:ascii="Garamond" w:eastAsia="Calibri" w:hAnsi="Garamond" w:cs="Times New Roman"/>
          <w:sz w:val="23"/>
          <w:szCs w:val="23"/>
        </w:rPr>
        <w:t>. The test statistic and corresponding probability (p-value) for each y</w:t>
      </w:r>
      <w:r>
        <w:rPr>
          <w:rFonts w:ascii="Garamond" w:eastAsia="Calibri" w:hAnsi="Garamond" w:cs="Times New Roman"/>
          <w:sz w:val="23"/>
          <w:szCs w:val="23"/>
        </w:rPr>
        <w:t>ear are shown below in</w:t>
      </w:r>
      <w:r w:rsidR="004E7D85">
        <w:rPr>
          <w:rFonts w:ascii="Garamond" w:eastAsia="Calibri" w:hAnsi="Garamond" w:cs="Times New Roman"/>
          <w:sz w:val="23"/>
          <w:szCs w:val="23"/>
        </w:rPr>
        <w:t xml:space="preserve"> </w:t>
      </w:r>
      <w:r w:rsidR="004E7D85" w:rsidRPr="004E7D85">
        <w:rPr>
          <w:rFonts w:ascii="Garamond" w:eastAsia="Calibri" w:hAnsi="Garamond" w:cs="Times New Roman"/>
          <w:sz w:val="23"/>
          <w:szCs w:val="23"/>
        </w:rPr>
        <w:fldChar w:fldCharType="begin"/>
      </w:r>
      <w:r w:rsidR="004E7D85" w:rsidRPr="0076112E">
        <w:rPr>
          <w:rFonts w:ascii="Garamond" w:eastAsia="Calibri" w:hAnsi="Garamond" w:cs="Times New Roman"/>
          <w:sz w:val="23"/>
          <w:szCs w:val="23"/>
        </w:rPr>
        <w:instrText xml:space="preserve"> REF _Ref343015774 \h  \* MERGEFORMAT </w:instrText>
      </w:r>
      <w:r w:rsidR="004E7D85" w:rsidRPr="004E7D85">
        <w:rPr>
          <w:rFonts w:ascii="Garamond" w:eastAsia="Calibri" w:hAnsi="Garamond" w:cs="Times New Roman"/>
          <w:sz w:val="23"/>
          <w:szCs w:val="23"/>
        </w:rPr>
      </w:r>
      <w:r w:rsidR="004E7D85" w:rsidRPr="004E7D85">
        <w:rPr>
          <w:rFonts w:ascii="Garamond" w:eastAsia="Calibri" w:hAnsi="Garamond" w:cs="Times New Roman"/>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D</w:t>
      </w:r>
      <w:r w:rsidR="00451FFF" w:rsidRPr="00451FFF">
        <w:rPr>
          <w:rFonts w:ascii="Garamond" w:hAnsi="Garamond"/>
          <w:noProof/>
          <w:sz w:val="23"/>
          <w:szCs w:val="23"/>
        </w:rPr>
        <w:noBreakHyphen/>
        <w:t>4</w:t>
      </w:r>
      <w:r w:rsidR="004E7D85" w:rsidRPr="004E7D85">
        <w:rPr>
          <w:rFonts w:ascii="Garamond" w:eastAsia="Calibri" w:hAnsi="Garamond" w:cs="Times New Roman"/>
          <w:sz w:val="23"/>
          <w:szCs w:val="23"/>
        </w:rPr>
        <w:fldChar w:fldCharType="end"/>
      </w:r>
      <w:r w:rsidRPr="00643267">
        <w:rPr>
          <w:rFonts w:ascii="Garamond" w:eastAsia="Calibri" w:hAnsi="Garamond" w:cs="Times New Roman"/>
          <w:sz w:val="23"/>
          <w:szCs w:val="23"/>
        </w:rPr>
        <w:t>. The p-value is the most informative value presented in</w:t>
      </w:r>
      <w:r>
        <w:rPr>
          <w:rFonts w:ascii="Garamond" w:eastAsia="Calibri" w:hAnsi="Garamond" w:cs="Times New Roman"/>
          <w:sz w:val="23"/>
          <w:szCs w:val="23"/>
        </w:rPr>
        <w:t xml:space="preserve"> </w:t>
      </w:r>
      <w:r w:rsidRPr="004423F6">
        <w:rPr>
          <w:rFonts w:ascii="Garamond" w:eastAsia="Calibri" w:hAnsi="Garamond" w:cs="Times New Roman"/>
          <w:sz w:val="23"/>
          <w:szCs w:val="23"/>
        </w:rPr>
        <w:fldChar w:fldCharType="begin"/>
      </w:r>
      <w:r w:rsidRPr="004423F6">
        <w:rPr>
          <w:rFonts w:ascii="Garamond" w:eastAsia="Calibri" w:hAnsi="Garamond" w:cs="Times New Roman"/>
          <w:sz w:val="23"/>
          <w:szCs w:val="23"/>
        </w:rPr>
        <w:instrText xml:space="preserve"> REF _Ref343015774 \h  \* MERGEFORMAT </w:instrText>
      </w:r>
      <w:r w:rsidRPr="004423F6">
        <w:rPr>
          <w:rFonts w:ascii="Garamond" w:eastAsia="Calibri" w:hAnsi="Garamond" w:cs="Times New Roman"/>
          <w:sz w:val="23"/>
          <w:szCs w:val="23"/>
        </w:rPr>
      </w:r>
      <w:r w:rsidRPr="004423F6">
        <w:rPr>
          <w:rFonts w:ascii="Garamond" w:eastAsia="Calibri" w:hAnsi="Garamond" w:cs="Times New Roman"/>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D</w:t>
      </w:r>
      <w:r w:rsidR="00451FFF" w:rsidRPr="00451FFF">
        <w:rPr>
          <w:rFonts w:ascii="Garamond" w:hAnsi="Garamond"/>
          <w:noProof/>
          <w:sz w:val="23"/>
          <w:szCs w:val="23"/>
        </w:rPr>
        <w:noBreakHyphen/>
        <w:t>4</w:t>
      </w:r>
      <w:r w:rsidRPr="004423F6">
        <w:rPr>
          <w:rFonts w:ascii="Garamond" w:eastAsia="Calibri" w:hAnsi="Garamond" w:cs="Times New Roman"/>
          <w:sz w:val="23"/>
          <w:szCs w:val="23"/>
        </w:rPr>
        <w:fldChar w:fldCharType="end"/>
      </w:r>
      <w:r w:rsidRPr="00643267">
        <w:rPr>
          <w:rFonts w:ascii="Garamond" w:eastAsia="Calibri" w:hAnsi="Garamond" w:cs="Times New Roman"/>
          <w:sz w:val="23"/>
          <w:szCs w:val="23"/>
        </w:rPr>
        <w:t xml:space="preserve">. The p-value represents the probability that the amount of variation in </w:t>
      </w:r>
      <w:r>
        <w:rPr>
          <w:rFonts w:ascii="Garamond" w:eastAsia="Calibri" w:hAnsi="Garamond" w:cs="Times New Roman"/>
          <w:sz w:val="23"/>
          <w:szCs w:val="23"/>
        </w:rPr>
        <w:t>LMPs</w:t>
      </w:r>
      <w:r w:rsidRPr="00643267">
        <w:rPr>
          <w:rFonts w:ascii="Garamond" w:eastAsia="Calibri" w:hAnsi="Garamond" w:cs="Times New Roman"/>
          <w:sz w:val="23"/>
          <w:szCs w:val="23"/>
        </w:rPr>
        <w:t xml:space="preserve"> observed between EDCs for that year would occur through random error </w:t>
      </w:r>
      <w:r>
        <w:rPr>
          <w:rFonts w:ascii="Garamond" w:eastAsia="Calibri" w:hAnsi="Garamond" w:cs="Times New Roman"/>
          <w:sz w:val="23"/>
          <w:szCs w:val="23"/>
        </w:rPr>
        <w:t xml:space="preserve">instead of a statistically significant </w:t>
      </w:r>
      <w:r w:rsidRPr="00643267">
        <w:rPr>
          <w:rFonts w:ascii="Garamond" w:eastAsia="Calibri" w:hAnsi="Garamond" w:cs="Times New Roman"/>
          <w:sz w:val="23"/>
          <w:szCs w:val="23"/>
        </w:rPr>
        <w:t xml:space="preserve">difference in the </w:t>
      </w:r>
      <w:r>
        <w:rPr>
          <w:rFonts w:ascii="Garamond" w:eastAsia="Calibri" w:hAnsi="Garamond" w:cs="Times New Roman"/>
          <w:sz w:val="23"/>
          <w:szCs w:val="23"/>
        </w:rPr>
        <w:t>LMPs</w:t>
      </w:r>
      <w:r w:rsidRPr="00643267">
        <w:rPr>
          <w:rFonts w:ascii="Garamond" w:eastAsia="Calibri" w:hAnsi="Garamond" w:cs="Times New Roman"/>
          <w:sz w:val="23"/>
          <w:szCs w:val="23"/>
        </w:rPr>
        <w:t xml:space="preserve">. </w:t>
      </w:r>
      <w:r w:rsidR="00871879">
        <w:rPr>
          <w:rFonts w:ascii="Garamond" w:eastAsia="Calibri" w:hAnsi="Garamond" w:cs="Times New Roman"/>
          <w:sz w:val="23"/>
          <w:szCs w:val="23"/>
        </w:rPr>
        <w:t xml:space="preserve">A low p-value is strong </w:t>
      </w:r>
      <w:r w:rsidRPr="00643267">
        <w:rPr>
          <w:rFonts w:ascii="Garamond" w:eastAsia="Calibri" w:hAnsi="Garamond" w:cs="Times New Roman"/>
          <w:sz w:val="23"/>
          <w:szCs w:val="23"/>
        </w:rPr>
        <w:t>evidence that a significant difference in top 100 hour LMP</w:t>
      </w:r>
      <w:r>
        <w:rPr>
          <w:rFonts w:ascii="Garamond" w:eastAsia="Calibri" w:hAnsi="Garamond" w:cs="Times New Roman"/>
          <w:sz w:val="23"/>
          <w:szCs w:val="23"/>
        </w:rPr>
        <w:t>s</w:t>
      </w:r>
      <w:r w:rsidRPr="00643267">
        <w:rPr>
          <w:rFonts w:ascii="Garamond" w:eastAsia="Calibri" w:hAnsi="Garamond" w:cs="Times New Roman"/>
          <w:sz w:val="23"/>
          <w:szCs w:val="23"/>
        </w:rPr>
        <w:t xml:space="preserve"> exists between </w:t>
      </w:r>
      <w:r>
        <w:rPr>
          <w:rFonts w:ascii="Garamond" w:eastAsia="Calibri" w:hAnsi="Garamond" w:cs="Times New Roman"/>
          <w:sz w:val="23"/>
          <w:szCs w:val="23"/>
        </w:rPr>
        <w:t xml:space="preserve">the </w:t>
      </w:r>
      <w:r w:rsidRPr="00643267">
        <w:rPr>
          <w:rFonts w:ascii="Garamond" w:eastAsia="Calibri" w:hAnsi="Garamond" w:cs="Times New Roman"/>
          <w:sz w:val="23"/>
          <w:szCs w:val="23"/>
        </w:rPr>
        <w:t>EDCs. Notice in each year other than 2012</w:t>
      </w:r>
      <w:r>
        <w:rPr>
          <w:rFonts w:ascii="Garamond" w:eastAsia="Calibri" w:hAnsi="Garamond" w:cs="Times New Roman"/>
          <w:sz w:val="23"/>
          <w:szCs w:val="23"/>
        </w:rPr>
        <w:t xml:space="preserve"> there is less than </w:t>
      </w:r>
      <w:r w:rsidRPr="00643267">
        <w:rPr>
          <w:rFonts w:ascii="Garamond" w:eastAsia="Calibri" w:hAnsi="Garamond" w:cs="Times New Roman"/>
          <w:sz w:val="23"/>
          <w:szCs w:val="23"/>
        </w:rPr>
        <w:t xml:space="preserve">0.01% </w:t>
      </w:r>
      <w:r>
        <w:rPr>
          <w:rFonts w:ascii="Garamond" w:eastAsia="Calibri" w:hAnsi="Garamond" w:cs="Times New Roman"/>
          <w:sz w:val="23"/>
          <w:szCs w:val="23"/>
        </w:rPr>
        <w:t>probability (p-value)</w:t>
      </w:r>
      <w:r w:rsidRPr="00643267">
        <w:rPr>
          <w:rFonts w:ascii="Garamond" w:eastAsia="Calibri" w:hAnsi="Garamond" w:cs="Times New Roman"/>
          <w:sz w:val="23"/>
          <w:szCs w:val="23"/>
        </w:rPr>
        <w:t xml:space="preserve"> that the differences observed would occur </w:t>
      </w:r>
      <w:r w:rsidR="000B31ED">
        <w:rPr>
          <w:rFonts w:ascii="Garamond" w:eastAsia="Calibri" w:hAnsi="Garamond" w:cs="Times New Roman"/>
          <w:sz w:val="23"/>
          <w:szCs w:val="23"/>
        </w:rPr>
        <w:t>due to random error</w:t>
      </w:r>
      <w:r w:rsidRPr="00643267">
        <w:rPr>
          <w:rFonts w:ascii="Garamond" w:eastAsia="Calibri" w:hAnsi="Garamond" w:cs="Times New Roman"/>
          <w:sz w:val="23"/>
          <w:szCs w:val="23"/>
        </w:rPr>
        <w:t xml:space="preserve">. </w:t>
      </w:r>
    </w:p>
    <w:p w:rsidR="00DF0C4F" w:rsidRDefault="00DF0C4F" w:rsidP="00DF0C4F">
      <w:pPr>
        <w:spacing w:after="0" w:line="240" w:lineRule="auto"/>
        <w:rPr>
          <w:rFonts w:ascii="Garamond" w:eastAsia="Calibri" w:hAnsi="Garamond" w:cs="Times New Roman"/>
          <w:sz w:val="23"/>
          <w:szCs w:val="23"/>
        </w:rPr>
      </w:pPr>
    </w:p>
    <w:p w:rsidR="00DF0C4F" w:rsidRPr="004423F6" w:rsidRDefault="00DF0C4F" w:rsidP="00DF0C4F">
      <w:pPr>
        <w:keepNext/>
        <w:spacing w:after="120" w:line="240" w:lineRule="auto"/>
        <w:jc w:val="center"/>
        <w:rPr>
          <w:rFonts w:ascii="Garamond" w:eastAsia="Calibri" w:hAnsi="Garamond" w:cs="Times New Roman"/>
          <w:b/>
          <w:bCs/>
          <w:sz w:val="23"/>
          <w:szCs w:val="23"/>
        </w:rPr>
      </w:pPr>
      <w:bookmarkStart w:id="44" w:name="_Ref343015774"/>
      <w:r w:rsidRPr="004423F6">
        <w:rPr>
          <w:rFonts w:ascii="Garamond" w:hAnsi="Garamond"/>
          <w:b/>
          <w:sz w:val="23"/>
          <w:szCs w:val="23"/>
        </w:rPr>
        <w:t xml:space="preserve">Table </w:t>
      </w:r>
      <w:r w:rsidR="00C01A4C">
        <w:rPr>
          <w:rFonts w:ascii="Garamond" w:hAnsi="Garamond"/>
          <w:b/>
          <w:sz w:val="23"/>
          <w:szCs w:val="23"/>
        </w:rPr>
        <w:fldChar w:fldCharType="begin"/>
      </w:r>
      <w:r w:rsidR="00C01A4C">
        <w:rPr>
          <w:rFonts w:ascii="Garamond" w:hAnsi="Garamond"/>
          <w:b/>
          <w:sz w:val="23"/>
          <w:szCs w:val="23"/>
        </w:rPr>
        <w:instrText xml:space="preserve"> STYLEREF 1 \s </w:instrText>
      </w:r>
      <w:r w:rsidR="00C01A4C">
        <w:rPr>
          <w:rFonts w:ascii="Garamond" w:hAnsi="Garamond"/>
          <w:b/>
          <w:sz w:val="23"/>
          <w:szCs w:val="23"/>
        </w:rPr>
        <w:fldChar w:fldCharType="separate"/>
      </w:r>
      <w:r w:rsidR="00451FFF">
        <w:rPr>
          <w:rFonts w:ascii="Garamond" w:hAnsi="Garamond"/>
          <w:b/>
          <w:noProof/>
          <w:sz w:val="23"/>
          <w:szCs w:val="23"/>
        </w:rPr>
        <w:t>D</w:t>
      </w:r>
      <w:r w:rsidR="00C01A4C">
        <w:rPr>
          <w:rFonts w:ascii="Garamond" w:hAnsi="Garamond"/>
          <w:b/>
          <w:sz w:val="23"/>
          <w:szCs w:val="23"/>
        </w:rPr>
        <w:fldChar w:fldCharType="end"/>
      </w:r>
      <w:r w:rsidR="00C01A4C">
        <w:rPr>
          <w:rFonts w:ascii="Garamond" w:hAnsi="Garamond"/>
          <w:b/>
          <w:sz w:val="23"/>
          <w:szCs w:val="23"/>
        </w:rPr>
        <w:noBreakHyphen/>
      </w:r>
      <w:r w:rsidR="00C01A4C">
        <w:rPr>
          <w:rFonts w:ascii="Garamond" w:hAnsi="Garamond"/>
          <w:b/>
          <w:sz w:val="23"/>
          <w:szCs w:val="23"/>
        </w:rPr>
        <w:fldChar w:fldCharType="begin"/>
      </w:r>
      <w:r w:rsidR="00C01A4C">
        <w:rPr>
          <w:rFonts w:ascii="Garamond" w:hAnsi="Garamond"/>
          <w:b/>
          <w:sz w:val="23"/>
          <w:szCs w:val="23"/>
        </w:rPr>
        <w:instrText xml:space="preserve"> SEQ Table \* ARABIC \s 1 </w:instrText>
      </w:r>
      <w:r w:rsidR="00C01A4C">
        <w:rPr>
          <w:rFonts w:ascii="Garamond" w:hAnsi="Garamond"/>
          <w:b/>
          <w:sz w:val="23"/>
          <w:szCs w:val="23"/>
        </w:rPr>
        <w:fldChar w:fldCharType="separate"/>
      </w:r>
      <w:r w:rsidR="00451FFF">
        <w:rPr>
          <w:rFonts w:ascii="Garamond" w:hAnsi="Garamond"/>
          <w:b/>
          <w:noProof/>
          <w:sz w:val="23"/>
          <w:szCs w:val="23"/>
        </w:rPr>
        <w:t>4</w:t>
      </w:r>
      <w:r w:rsidR="00C01A4C">
        <w:rPr>
          <w:rFonts w:ascii="Garamond" w:hAnsi="Garamond"/>
          <w:b/>
          <w:sz w:val="23"/>
          <w:szCs w:val="23"/>
        </w:rPr>
        <w:fldChar w:fldCharType="end"/>
      </w:r>
      <w:bookmarkEnd w:id="44"/>
      <w:r w:rsidRPr="004423F6">
        <w:rPr>
          <w:rFonts w:ascii="Garamond" w:hAnsi="Garamond"/>
          <w:b/>
          <w:sz w:val="23"/>
          <w:szCs w:val="23"/>
        </w:rPr>
        <w:t xml:space="preserve">: </w:t>
      </w:r>
      <w:r w:rsidRPr="004423F6">
        <w:rPr>
          <w:rFonts w:ascii="Garamond" w:eastAsia="Calibri" w:hAnsi="Garamond" w:cs="Times New Roman"/>
          <w:b/>
          <w:bCs/>
          <w:sz w:val="23"/>
          <w:szCs w:val="23"/>
        </w:rPr>
        <w:t>Kruskal-Wallis Test Results by Year</w:t>
      </w:r>
    </w:p>
    <w:tbl>
      <w:tblPr>
        <w:tblStyle w:val="TableGrid1"/>
        <w:tblW w:w="0" w:type="auto"/>
        <w:tblLook w:val="04A0" w:firstRow="1" w:lastRow="0" w:firstColumn="1" w:lastColumn="0" w:noHBand="0" w:noVBand="1"/>
      </w:tblPr>
      <w:tblGrid>
        <w:gridCol w:w="1278"/>
        <w:gridCol w:w="3240"/>
        <w:gridCol w:w="1980"/>
        <w:gridCol w:w="2880"/>
      </w:tblGrid>
      <w:tr w:rsidR="00DF0C4F" w:rsidRPr="00643267" w:rsidTr="00DF0C4F">
        <w:trPr>
          <w:trHeight w:val="300"/>
        </w:trPr>
        <w:tc>
          <w:tcPr>
            <w:tcW w:w="1278" w:type="dxa"/>
            <w:shd w:val="clear" w:color="auto" w:fill="1F497D"/>
            <w:noWrap/>
            <w:vAlign w:val="center"/>
            <w:hideMark/>
          </w:tcPr>
          <w:p w:rsidR="00DF0C4F" w:rsidRPr="00643267" w:rsidRDefault="00DF0C4F" w:rsidP="00DF0C4F">
            <w:pPr>
              <w:jc w:val="center"/>
              <w:rPr>
                <w:rFonts w:ascii="Garamond" w:eastAsia="Times New Roman" w:hAnsi="Garamond" w:cs="Calibri"/>
                <w:b/>
                <w:bCs/>
                <w:color w:val="FFFFFF"/>
                <w:sz w:val="23"/>
                <w:szCs w:val="23"/>
              </w:rPr>
            </w:pPr>
            <w:r w:rsidRPr="00643267">
              <w:rPr>
                <w:rFonts w:ascii="Garamond" w:eastAsia="Times New Roman" w:hAnsi="Garamond" w:cs="Calibri"/>
                <w:b/>
                <w:bCs/>
                <w:color w:val="FFFFFF"/>
                <w:sz w:val="23"/>
                <w:szCs w:val="23"/>
              </w:rPr>
              <w:t>Year</w:t>
            </w:r>
          </w:p>
        </w:tc>
        <w:tc>
          <w:tcPr>
            <w:tcW w:w="3240" w:type="dxa"/>
            <w:shd w:val="clear" w:color="auto" w:fill="1F497D"/>
            <w:noWrap/>
            <w:vAlign w:val="center"/>
            <w:hideMark/>
          </w:tcPr>
          <w:p w:rsidR="00DF0C4F" w:rsidRPr="00643267" w:rsidRDefault="00DF0C4F" w:rsidP="00DF0C4F">
            <w:pPr>
              <w:jc w:val="center"/>
              <w:rPr>
                <w:rFonts w:ascii="Garamond" w:eastAsia="Times New Roman" w:hAnsi="Garamond" w:cs="Calibri"/>
                <w:b/>
                <w:bCs/>
                <w:color w:val="FFFFFF"/>
                <w:sz w:val="23"/>
                <w:szCs w:val="23"/>
              </w:rPr>
            </w:pPr>
            <w:r w:rsidRPr="00643267">
              <w:rPr>
                <w:rFonts w:ascii="Garamond" w:eastAsia="Times New Roman" w:hAnsi="Garamond" w:cs="Calibri"/>
                <w:b/>
                <w:bCs/>
                <w:color w:val="FFFFFF"/>
                <w:sz w:val="23"/>
                <w:szCs w:val="23"/>
              </w:rPr>
              <w:t>H (Chi-square)</w:t>
            </w:r>
          </w:p>
        </w:tc>
        <w:tc>
          <w:tcPr>
            <w:tcW w:w="1980" w:type="dxa"/>
            <w:shd w:val="clear" w:color="auto" w:fill="1F497D"/>
            <w:noWrap/>
            <w:vAlign w:val="center"/>
            <w:hideMark/>
          </w:tcPr>
          <w:p w:rsidR="00DF0C4F" w:rsidRPr="00643267" w:rsidRDefault="00DF0C4F" w:rsidP="00DF0C4F">
            <w:pPr>
              <w:jc w:val="center"/>
              <w:rPr>
                <w:rFonts w:ascii="Garamond" w:eastAsia="Times New Roman" w:hAnsi="Garamond" w:cs="Calibri"/>
                <w:b/>
                <w:bCs/>
                <w:color w:val="FFFFFF"/>
                <w:sz w:val="23"/>
                <w:szCs w:val="23"/>
              </w:rPr>
            </w:pPr>
            <w:r>
              <w:rPr>
                <w:rFonts w:ascii="Garamond" w:eastAsia="Times New Roman" w:hAnsi="Garamond" w:cs="Calibri"/>
                <w:b/>
                <w:bCs/>
                <w:color w:val="FFFFFF"/>
                <w:sz w:val="23"/>
                <w:szCs w:val="23"/>
              </w:rPr>
              <w:t>P</w:t>
            </w:r>
            <w:r w:rsidRPr="00643267">
              <w:rPr>
                <w:rFonts w:ascii="Garamond" w:eastAsia="Times New Roman" w:hAnsi="Garamond" w:cs="Calibri"/>
                <w:b/>
                <w:bCs/>
                <w:color w:val="FFFFFF"/>
                <w:sz w:val="23"/>
                <w:szCs w:val="23"/>
              </w:rPr>
              <w:t>-value</w:t>
            </w:r>
          </w:p>
        </w:tc>
        <w:tc>
          <w:tcPr>
            <w:tcW w:w="2880" w:type="dxa"/>
            <w:shd w:val="clear" w:color="auto" w:fill="1F497D"/>
            <w:vAlign w:val="center"/>
          </w:tcPr>
          <w:p w:rsidR="00DF0C4F" w:rsidRPr="00643267" w:rsidRDefault="00DF0C4F" w:rsidP="00DF0C4F">
            <w:pPr>
              <w:jc w:val="center"/>
              <w:rPr>
                <w:rFonts w:ascii="Garamond" w:eastAsia="Times New Roman" w:hAnsi="Garamond" w:cs="Calibri"/>
                <w:b/>
                <w:bCs/>
                <w:color w:val="FFFFFF"/>
                <w:sz w:val="23"/>
                <w:szCs w:val="23"/>
              </w:rPr>
            </w:pPr>
            <w:r>
              <w:rPr>
                <w:rFonts w:ascii="Garamond" w:eastAsia="Times New Roman" w:hAnsi="Garamond" w:cs="Calibri"/>
                <w:b/>
                <w:bCs/>
                <w:color w:val="FFFFFF"/>
                <w:sz w:val="23"/>
                <w:szCs w:val="23"/>
              </w:rPr>
              <w:t>Significant Difference Between EDCs?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2007</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86.88</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&lt; 0.0001</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Yes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2008</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93.69</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&lt; 0.0001</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Yes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2009</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20.97</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0.0008</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Yes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2010</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112.64</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&lt; 0.0001</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Yes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2011</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134.78</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&lt; 0.0001</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Yes</w:t>
            </w:r>
          </w:p>
        </w:tc>
      </w:tr>
      <w:tr w:rsidR="00DF0C4F" w:rsidRPr="00643267" w:rsidTr="00DF0C4F">
        <w:trPr>
          <w:trHeight w:val="300"/>
        </w:trPr>
        <w:tc>
          <w:tcPr>
            <w:tcW w:w="1278"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2012</w:t>
            </w:r>
          </w:p>
        </w:tc>
        <w:tc>
          <w:tcPr>
            <w:tcW w:w="324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8.46</w:t>
            </w:r>
          </w:p>
        </w:tc>
        <w:tc>
          <w:tcPr>
            <w:tcW w:w="1980" w:type="dxa"/>
            <w:noWrap/>
            <w:hideMark/>
          </w:tcPr>
          <w:p w:rsidR="00DF0C4F" w:rsidRPr="00643267" w:rsidRDefault="00DF0C4F" w:rsidP="00DF0C4F">
            <w:pPr>
              <w:jc w:val="center"/>
              <w:rPr>
                <w:rFonts w:ascii="Garamond" w:eastAsia="Times New Roman" w:hAnsi="Garamond" w:cs="Calibri"/>
                <w:color w:val="000000"/>
                <w:sz w:val="23"/>
                <w:szCs w:val="23"/>
              </w:rPr>
            </w:pPr>
            <w:r w:rsidRPr="00643267">
              <w:rPr>
                <w:rFonts w:ascii="Garamond" w:eastAsia="Times New Roman" w:hAnsi="Garamond" w:cs="Calibri"/>
                <w:color w:val="000000"/>
                <w:sz w:val="23"/>
                <w:szCs w:val="23"/>
              </w:rPr>
              <w:t>0.2061</w:t>
            </w:r>
          </w:p>
        </w:tc>
        <w:tc>
          <w:tcPr>
            <w:tcW w:w="2880" w:type="dxa"/>
          </w:tcPr>
          <w:p w:rsidR="00DF0C4F" w:rsidRPr="00643267" w:rsidRDefault="00DF0C4F" w:rsidP="00DF0C4F">
            <w:pPr>
              <w:jc w:val="center"/>
              <w:rPr>
                <w:rFonts w:ascii="Garamond" w:eastAsia="Times New Roman" w:hAnsi="Garamond" w:cs="Calibri"/>
                <w:color w:val="000000"/>
                <w:sz w:val="23"/>
                <w:szCs w:val="23"/>
              </w:rPr>
            </w:pPr>
            <w:r>
              <w:rPr>
                <w:rFonts w:ascii="Garamond" w:eastAsia="Times New Roman" w:hAnsi="Garamond" w:cs="Calibri"/>
                <w:color w:val="000000"/>
                <w:sz w:val="23"/>
                <w:szCs w:val="23"/>
              </w:rPr>
              <w:t>No</w:t>
            </w:r>
          </w:p>
        </w:tc>
      </w:tr>
    </w:tbl>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The results in </w:t>
      </w:r>
      <w:r w:rsidRPr="004423F6">
        <w:rPr>
          <w:rFonts w:ascii="Garamond" w:eastAsia="Calibri" w:hAnsi="Garamond" w:cs="Times New Roman"/>
          <w:sz w:val="23"/>
          <w:szCs w:val="23"/>
        </w:rPr>
        <w:fldChar w:fldCharType="begin"/>
      </w:r>
      <w:r w:rsidRPr="004423F6">
        <w:rPr>
          <w:rFonts w:ascii="Garamond" w:eastAsia="Calibri" w:hAnsi="Garamond" w:cs="Times New Roman"/>
          <w:sz w:val="23"/>
          <w:szCs w:val="23"/>
        </w:rPr>
        <w:instrText xml:space="preserve"> REF _Ref343015774 \h  \* MERGEFORMAT </w:instrText>
      </w:r>
      <w:r w:rsidRPr="004423F6">
        <w:rPr>
          <w:rFonts w:ascii="Garamond" w:eastAsia="Calibri" w:hAnsi="Garamond" w:cs="Times New Roman"/>
          <w:sz w:val="23"/>
          <w:szCs w:val="23"/>
        </w:rPr>
      </w:r>
      <w:r w:rsidRPr="004423F6">
        <w:rPr>
          <w:rFonts w:ascii="Garamond" w:eastAsia="Calibri" w:hAnsi="Garamond" w:cs="Times New Roman"/>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D</w:t>
      </w:r>
      <w:r w:rsidR="00451FFF" w:rsidRPr="00451FFF">
        <w:rPr>
          <w:rFonts w:ascii="Garamond" w:hAnsi="Garamond"/>
          <w:noProof/>
          <w:sz w:val="23"/>
          <w:szCs w:val="23"/>
        </w:rPr>
        <w:noBreakHyphen/>
        <w:t>4</w:t>
      </w:r>
      <w:r w:rsidRPr="004423F6">
        <w:rPr>
          <w:rFonts w:ascii="Garamond" w:eastAsia="Calibri" w:hAnsi="Garamond" w:cs="Times New Roman"/>
          <w:sz w:val="23"/>
          <w:szCs w:val="23"/>
        </w:rPr>
        <w:fldChar w:fldCharType="end"/>
      </w:r>
      <w:r>
        <w:rPr>
          <w:rFonts w:ascii="Garamond" w:eastAsia="Calibri" w:hAnsi="Garamond" w:cs="Times New Roman"/>
          <w:sz w:val="23"/>
          <w:szCs w:val="23"/>
        </w:rPr>
        <w:t xml:space="preserve"> </w:t>
      </w:r>
      <w:r w:rsidRPr="00643267">
        <w:rPr>
          <w:rFonts w:ascii="Garamond" w:eastAsia="Calibri" w:hAnsi="Garamond" w:cs="Times New Roman"/>
          <w:sz w:val="23"/>
          <w:szCs w:val="23"/>
        </w:rPr>
        <w:t xml:space="preserve">provide compelling evidence that peak energy </w:t>
      </w:r>
      <w:r>
        <w:rPr>
          <w:rFonts w:ascii="Garamond" w:eastAsia="Calibri" w:hAnsi="Garamond" w:cs="Times New Roman"/>
          <w:sz w:val="23"/>
          <w:szCs w:val="23"/>
        </w:rPr>
        <w:t xml:space="preserve">(LMP) </w:t>
      </w:r>
      <w:r w:rsidR="00871879">
        <w:rPr>
          <w:rFonts w:ascii="Garamond" w:eastAsia="Calibri" w:hAnsi="Garamond" w:cs="Times New Roman"/>
          <w:sz w:val="23"/>
          <w:szCs w:val="23"/>
        </w:rPr>
        <w:t>has</w:t>
      </w:r>
      <w:r w:rsidRPr="00643267">
        <w:rPr>
          <w:rFonts w:ascii="Garamond" w:eastAsia="Calibri" w:hAnsi="Garamond" w:cs="Times New Roman"/>
          <w:sz w:val="23"/>
          <w:szCs w:val="23"/>
        </w:rPr>
        <w:t xml:space="preserve"> not </w:t>
      </w:r>
      <w:r w:rsidR="00871879">
        <w:rPr>
          <w:rFonts w:ascii="Garamond" w:eastAsia="Calibri" w:hAnsi="Garamond" w:cs="Times New Roman"/>
          <w:sz w:val="23"/>
          <w:szCs w:val="23"/>
        </w:rPr>
        <w:t xml:space="preserve">been </w:t>
      </w:r>
      <w:r w:rsidRPr="00643267">
        <w:rPr>
          <w:rFonts w:ascii="Garamond" w:eastAsia="Calibri" w:hAnsi="Garamond" w:cs="Times New Roman"/>
          <w:sz w:val="23"/>
          <w:szCs w:val="23"/>
        </w:rPr>
        <w:t>valued equally across the Commonwealth of Pennsylvania</w:t>
      </w:r>
      <w:r w:rsidR="00871879">
        <w:rPr>
          <w:rFonts w:ascii="Garamond" w:eastAsia="Calibri" w:hAnsi="Garamond" w:cs="Times New Roman"/>
          <w:sz w:val="23"/>
          <w:szCs w:val="23"/>
        </w:rPr>
        <w:t xml:space="preserve"> historically</w:t>
      </w:r>
      <w:r w:rsidRPr="00643267">
        <w:rPr>
          <w:rFonts w:ascii="Garamond" w:eastAsia="Calibri" w:hAnsi="Garamond" w:cs="Times New Roman"/>
          <w:sz w:val="23"/>
          <w:szCs w:val="23"/>
        </w:rPr>
        <w:t xml:space="preserve">. The </w:t>
      </w:r>
      <w:r>
        <w:rPr>
          <w:rFonts w:ascii="Garamond" w:eastAsia="Calibri" w:hAnsi="Garamond" w:cs="Times New Roman"/>
          <w:sz w:val="23"/>
          <w:szCs w:val="23"/>
        </w:rPr>
        <w:t xml:space="preserve">SWE further examined the results of the Kruskal-Wallis test to determine where these significant differences were coming from. As expected, </w:t>
      </w:r>
      <w:r>
        <w:rPr>
          <w:rFonts w:ascii="Garamond" w:eastAsia="Calibri" w:hAnsi="Garamond" w:cs="Times New Roman"/>
          <w:sz w:val="23"/>
          <w:szCs w:val="23"/>
        </w:rPr>
        <w:lastRenderedPageBreak/>
        <w:t>LMPs in the easternmost zones (PECO, PPL and Met-Ed) were significantly higher than the zones in the western part of the state (Duquesne, Penn Power and West Penn). Penelec experienced the lowest LMPs in the Mid-Atlantic market region and for several years has peak LMPs lower than West Penn Power.</w:t>
      </w:r>
    </w:p>
    <w:p w:rsidR="00DF0C4F" w:rsidRDefault="00DF0C4F" w:rsidP="00DF0C4F">
      <w:pPr>
        <w:spacing w:after="0" w:line="240" w:lineRule="auto"/>
        <w:rPr>
          <w:rFonts w:ascii="Garamond" w:eastAsia="Calibri" w:hAnsi="Garamond" w:cs="Times New Roman"/>
          <w:sz w:val="23"/>
          <w:szCs w:val="23"/>
        </w:rPr>
      </w:pPr>
    </w:p>
    <w:p w:rsidR="00DF0C4F" w:rsidRPr="00643267"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It is noteworthy that 2012 energy prices were not significantly different between EDCs. The SWE believes that </w:t>
      </w:r>
      <w:r w:rsidR="00871879">
        <w:rPr>
          <w:rFonts w:ascii="Garamond" w:eastAsia="Calibri" w:hAnsi="Garamond" w:cs="Times New Roman"/>
          <w:sz w:val="23"/>
          <w:szCs w:val="23"/>
        </w:rPr>
        <w:t>additional research is needed to determine if</w:t>
      </w:r>
      <w:r>
        <w:rPr>
          <w:rFonts w:ascii="Garamond" w:eastAsia="Calibri" w:hAnsi="Garamond" w:cs="Times New Roman"/>
          <w:sz w:val="23"/>
          <w:szCs w:val="23"/>
        </w:rPr>
        <w:t xml:space="preserve"> the differences between companies in the eastern a</w:t>
      </w:r>
      <w:r w:rsidR="00871879">
        <w:rPr>
          <w:rFonts w:ascii="Garamond" w:eastAsia="Calibri" w:hAnsi="Garamond" w:cs="Times New Roman"/>
          <w:sz w:val="23"/>
          <w:szCs w:val="23"/>
        </w:rPr>
        <w:t>nd western parts of the state can be expected to</w:t>
      </w:r>
      <w:r>
        <w:rPr>
          <w:rFonts w:ascii="Garamond" w:eastAsia="Calibri" w:hAnsi="Garamond" w:cs="Times New Roman"/>
          <w:sz w:val="23"/>
          <w:szCs w:val="23"/>
        </w:rPr>
        <w:t xml:space="preserve"> persist in future phases of Act 129. </w:t>
      </w:r>
    </w:p>
    <w:p w:rsidR="00DF0C4F" w:rsidRDefault="00DF0C4F" w:rsidP="00DF0C4F">
      <w:pPr>
        <w:spacing w:after="0" w:line="240" w:lineRule="auto"/>
        <w:rPr>
          <w:rFonts w:ascii="Garamond" w:eastAsia="Calibri" w:hAnsi="Garamond" w:cs="Times New Roman"/>
          <w:sz w:val="23"/>
          <w:szCs w:val="23"/>
        </w:rPr>
      </w:pPr>
    </w:p>
    <w:p w:rsidR="00DF0C4F" w:rsidRDefault="00DF0C4F" w:rsidP="00E22427">
      <w:pPr>
        <w:pStyle w:val="Heading2"/>
      </w:pPr>
      <w:bookmarkStart w:id="45" w:name="_Toc343501583"/>
      <w:bookmarkStart w:id="46" w:name="_Ref343501711"/>
      <w:bookmarkStart w:id="47" w:name="_Ref343599102"/>
      <w:bookmarkStart w:id="48" w:name="_Ref343620677"/>
      <w:bookmarkStart w:id="49" w:name="_Ref343692002"/>
      <w:bookmarkStart w:id="50" w:name="_Ref343692036"/>
      <w:bookmarkStart w:id="51" w:name="_Toc355954899"/>
      <w:r>
        <w:t>Pricing Variance Within the top 100 Hours</w:t>
      </w:r>
      <w:bookmarkEnd w:id="45"/>
      <w:bookmarkEnd w:id="46"/>
      <w:bookmarkEnd w:id="47"/>
      <w:bookmarkEnd w:id="48"/>
      <w:bookmarkEnd w:id="49"/>
      <w:bookmarkEnd w:id="50"/>
      <w:bookmarkEnd w:id="51"/>
    </w:p>
    <w:p w:rsidR="00DF0C4F" w:rsidRDefault="00DF0C4F" w:rsidP="00DF0C4F">
      <w:pPr>
        <w:pStyle w:val="ListParagraph"/>
        <w:spacing w:after="0" w:line="240" w:lineRule="auto"/>
        <w:ind w:left="0"/>
        <w:rPr>
          <w:rFonts w:ascii="Garamond" w:eastAsia="Calibri" w:hAnsi="Garamond" w:cs="Times New Roman"/>
          <w:sz w:val="23"/>
          <w:szCs w:val="23"/>
        </w:rPr>
      </w:pPr>
      <w:r>
        <w:rPr>
          <w:rFonts w:ascii="Garamond" w:eastAsia="Calibri" w:hAnsi="Garamond" w:cs="Times New Roman"/>
          <w:sz w:val="23"/>
          <w:szCs w:val="23"/>
        </w:rPr>
        <w:t>The Act 129 Phase I TRC Order directed the Pennsylvania EDCs to average the impact of DR programs across the top 100 hours of system demand and multiply this kW reduction by an avoided cost of capacity  ($ per kW/year) to calculate the benefits of the Act 129 DR program. This approach indirectly implies that load reductions in the top 100 hours for a given EDC are valued equally. On the contrary, the SWE’s review of LMPs across the state during the top 100 hours of ea</w:t>
      </w:r>
      <w:r w:rsidR="00871879">
        <w:rPr>
          <w:rFonts w:ascii="Garamond" w:eastAsia="Calibri" w:hAnsi="Garamond" w:cs="Times New Roman"/>
          <w:sz w:val="23"/>
          <w:szCs w:val="23"/>
        </w:rPr>
        <w:t>ch year revealed that there is</w:t>
      </w:r>
      <w:r>
        <w:rPr>
          <w:rFonts w:ascii="Garamond" w:eastAsia="Calibri" w:hAnsi="Garamond" w:cs="Times New Roman"/>
          <w:sz w:val="23"/>
          <w:szCs w:val="23"/>
        </w:rPr>
        <w:t xml:space="preserve"> significant variation in energy prices within the top 100 hours for each EDC in any given year. As an example,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_Ref343073923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2F3E2A">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2</w:t>
      </w:r>
      <w:r>
        <w:rPr>
          <w:rFonts w:ascii="Garamond" w:eastAsia="Calibri" w:hAnsi="Garamond" w:cs="Times New Roman"/>
          <w:sz w:val="23"/>
          <w:szCs w:val="23"/>
        </w:rPr>
        <w:fldChar w:fldCharType="end"/>
      </w:r>
      <w:r>
        <w:rPr>
          <w:rFonts w:ascii="Garamond" w:eastAsia="Calibri" w:hAnsi="Garamond" w:cs="Times New Roman"/>
          <w:sz w:val="23"/>
          <w:szCs w:val="23"/>
        </w:rPr>
        <w:t xml:space="preserve"> shows the LMPs during the top 100 hours of system demand for the seven Pennsylvania EDCs during the Act 129 summer performance period of 2012. As noted in the previous section, 2012 was the only summer when the difference in LMPs between the EDCs was not substantial. </w:t>
      </w:r>
    </w:p>
    <w:p w:rsidR="00DF0C4F" w:rsidRDefault="00DF0C4F" w:rsidP="00DF0C4F">
      <w:pPr>
        <w:pStyle w:val="ListParagraph"/>
        <w:spacing w:after="0" w:line="240" w:lineRule="auto"/>
        <w:ind w:left="0"/>
        <w:rPr>
          <w:rFonts w:ascii="Garamond" w:eastAsia="Calibri" w:hAnsi="Garamond" w:cs="Times New Roman"/>
          <w:sz w:val="23"/>
          <w:szCs w:val="23"/>
        </w:rPr>
      </w:pPr>
    </w:p>
    <w:p w:rsidR="00DF0C4F" w:rsidRPr="002F3E2A" w:rsidRDefault="00DF0C4F" w:rsidP="00DF0C4F">
      <w:pPr>
        <w:pStyle w:val="Caption"/>
        <w:keepNext/>
        <w:jc w:val="center"/>
        <w:rPr>
          <w:rFonts w:ascii="Garamond" w:hAnsi="Garamond"/>
          <w:sz w:val="23"/>
          <w:szCs w:val="23"/>
        </w:rPr>
      </w:pPr>
      <w:bookmarkStart w:id="52" w:name="IDX"/>
      <w:bookmarkStart w:id="53" w:name="_Ref343073923"/>
      <w:bookmarkEnd w:id="52"/>
      <w:r w:rsidRPr="002F3E2A">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D</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2</w:t>
      </w:r>
      <w:r w:rsidR="00F45397">
        <w:rPr>
          <w:rFonts w:ascii="Garamond" w:hAnsi="Garamond"/>
          <w:sz w:val="23"/>
          <w:szCs w:val="23"/>
        </w:rPr>
        <w:fldChar w:fldCharType="end"/>
      </w:r>
      <w:bookmarkEnd w:id="53"/>
      <w:r w:rsidRPr="002F3E2A">
        <w:rPr>
          <w:rFonts w:ascii="Garamond" w:hAnsi="Garamond"/>
          <w:sz w:val="23"/>
          <w:szCs w:val="23"/>
        </w:rPr>
        <w:t>: LMPs during the Top 100 Hours of 2012 by EDC</w:t>
      </w:r>
    </w:p>
    <w:p w:rsidR="00DF0C4F" w:rsidRPr="00FD6897" w:rsidRDefault="00DF0C4F" w:rsidP="00DF0C4F">
      <w:pPr>
        <w:rPr>
          <w:rFonts w:ascii="Garamond" w:hAnsi="Garamond"/>
          <w:sz w:val="23"/>
          <w:szCs w:val="23"/>
        </w:rPr>
      </w:pPr>
      <w:r>
        <w:rPr>
          <w:noProof/>
          <w:sz w:val="24"/>
          <w:szCs w:val="24"/>
        </w:rPr>
        <w:drawing>
          <wp:inline distT="0" distB="0" distL="0" distR="0" wp14:anchorId="13A76E48" wp14:editId="193E7595">
            <wp:extent cx="5943600" cy="4644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4644985"/>
                    </a:xfrm>
                    <a:prstGeom prst="rect">
                      <a:avLst/>
                    </a:prstGeom>
                    <a:noFill/>
                    <a:ln>
                      <a:noFill/>
                    </a:ln>
                  </pic:spPr>
                </pic:pic>
              </a:graphicData>
            </a:graphic>
          </wp:inline>
        </w:drawing>
      </w:r>
    </w:p>
    <w:p w:rsidR="00DF0C4F" w:rsidRDefault="00DF0C4F" w:rsidP="00DF0C4F">
      <w:pPr>
        <w:spacing w:after="0" w:line="240" w:lineRule="auto"/>
        <w:rPr>
          <w:rFonts w:ascii="Garamond" w:eastAsia="Calibri" w:hAnsi="Garamond" w:cs="Times New Roman"/>
          <w:sz w:val="23"/>
          <w:szCs w:val="23"/>
        </w:rPr>
      </w:pPr>
      <w:r>
        <w:rPr>
          <w:rFonts w:ascii="Garamond" w:hAnsi="Garamond"/>
          <w:sz w:val="23"/>
          <w:szCs w:val="23"/>
        </w:rPr>
        <w:lastRenderedPageBreak/>
        <w:t xml:space="preserve">Although the difference in LMPs between EDCs was not substantial in 2012, </w:t>
      </w:r>
      <w:r>
        <w:rPr>
          <w:rFonts w:ascii="Garamond" w:hAnsi="Garamond"/>
          <w:sz w:val="23"/>
          <w:szCs w:val="23"/>
        </w:rPr>
        <w:fldChar w:fldCharType="begin"/>
      </w:r>
      <w:r>
        <w:rPr>
          <w:rFonts w:ascii="Garamond" w:hAnsi="Garamond"/>
          <w:sz w:val="23"/>
          <w:szCs w:val="23"/>
        </w:rPr>
        <w:instrText xml:space="preserve"> REF _Ref343073923 \h </w:instrText>
      </w:r>
      <w:r>
        <w:rPr>
          <w:rFonts w:ascii="Garamond" w:hAnsi="Garamond"/>
          <w:sz w:val="23"/>
          <w:szCs w:val="23"/>
        </w:rPr>
      </w:r>
      <w:r>
        <w:rPr>
          <w:rFonts w:ascii="Garamond" w:hAnsi="Garamond"/>
          <w:sz w:val="23"/>
          <w:szCs w:val="23"/>
        </w:rPr>
        <w:fldChar w:fldCharType="separate"/>
      </w:r>
      <w:r w:rsidR="00451FFF" w:rsidRPr="002F3E2A">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2</w:t>
      </w:r>
      <w:r>
        <w:rPr>
          <w:rFonts w:ascii="Garamond" w:hAnsi="Garamond"/>
          <w:sz w:val="23"/>
          <w:szCs w:val="23"/>
        </w:rPr>
        <w:fldChar w:fldCharType="end"/>
      </w:r>
      <w:r>
        <w:rPr>
          <w:rFonts w:ascii="Garamond" w:hAnsi="Garamond"/>
          <w:sz w:val="23"/>
          <w:szCs w:val="23"/>
        </w:rPr>
        <w:t xml:space="preserve"> shows that considerable variation in LMPs was observed within the top 100 hours for each EDC. </w:t>
      </w:r>
      <w:r>
        <w:rPr>
          <w:rFonts w:ascii="Garamond" w:eastAsia="Calibri" w:hAnsi="Garamond" w:cs="Times New Roman"/>
          <w:sz w:val="23"/>
          <w:szCs w:val="23"/>
        </w:rPr>
        <w:t>The LMPs for each EDC varied by a factor of 10 between Hour 1 and Hour 100</w:t>
      </w:r>
      <w:r>
        <w:rPr>
          <w:rStyle w:val="FootnoteReference"/>
          <w:rFonts w:ascii="Garamond" w:eastAsia="Calibri" w:hAnsi="Garamond" w:cs="Times New Roman"/>
          <w:sz w:val="23"/>
          <w:szCs w:val="23"/>
        </w:rPr>
        <w:footnoteReference w:id="34"/>
      </w:r>
      <w:r>
        <w:rPr>
          <w:rFonts w:ascii="Garamond" w:eastAsia="Calibri" w:hAnsi="Garamond" w:cs="Times New Roman"/>
          <w:sz w:val="23"/>
          <w:szCs w:val="23"/>
        </w:rPr>
        <w:t xml:space="preserve"> in 2012</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As explained in Section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_Ref343275424 \r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Pr>
          <w:rFonts w:ascii="Garamond" w:eastAsia="Calibri" w:hAnsi="Garamond" w:cs="Times New Roman"/>
          <w:sz w:val="23"/>
          <w:szCs w:val="23"/>
        </w:rPr>
        <w:t>1</w:t>
      </w:r>
      <w:r>
        <w:rPr>
          <w:rFonts w:ascii="Garamond" w:eastAsia="Calibri" w:hAnsi="Garamond" w:cs="Times New Roman"/>
          <w:sz w:val="23"/>
          <w:szCs w:val="23"/>
        </w:rPr>
        <w:fldChar w:fldCharType="end"/>
      </w:r>
      <w:r w:rsidRPr="00F55ADF">
        <w:rPr>
          <w:rFonts w:ascii="Garamond" w:eastAsia="Calibri" w:hAnsi="Garamond" w:cs="Times New Roman"/>
          <w:sz w:val="23"/>
          <w:szCs w:val="23"/>
        </w:rPr>
        <w:t>,</w:t>
      </w:r>
      <w:r>
        <w:rPr>
          <w:rFonts w:ascii="Garamond" w:eastAsia="Calibri" w:hAnsi="Garamond" w:cs="Times New Roman"/>
          <w:sz w:val="23"/>
          <w:szCs w:val="23"/>
        </w:rPr>
        <w:t xml:space="preserve"> the</w:t>
      </w:r>
      <w:r w:rsidRPr="00643267">
        <w:rPr>
          <w:rFonts w:ascii="Garamond" w:eastAsia="Calibri" w:hAnsi="Garamond" w:cs="Times New Roman"/>
          <w:sz w:val="23"/>
          <w:szCs w:val="23"/>
        </w:rPr>
        <w:t xml:space="preserve"> cost-effectiveness of </w:t>
      </w:r>
      <w:r>
        <w:rPr>
          <w:rFonts w:ascii="Garamond" w:eastAsia="Calibri" w:hAnsi="Garamond" w:cs="Times New Roman"/>
          <w:sz w:val="23"/>
          <w:szCs w:val="23"/>
        </w:rPr>
        <w:t>DR</w:t>
      </w:r>
      <w:r w:rsidRPr="00643267">
        <w:rPr>
          <w:rFonts w:ascii="Garamond" w:eastAsia="Calibri" w:hAnsi="Garamond" w:cs="Times New Roman"/>
          <w:sz w:val="23"/>
          <w:szCs w:val="23"/>
        </w:rPr>
        <w:t xml:space="preserve"> is negatively impacted </w:t>
      </w:r>
      <w:r>
        <w:rPr>
          <w:rFonts w:ascii="Garamond" w:eastAsia="Calibri" w:hAnsi="Garamond" w:cs="Times New Roman"/>
          <w:sz w:val="23"/>
          <w:szCs w:val="23"/>
        </w:rPr>
        <w:t xml:space="preserve">when </w:t>
      </w:r>
      <w:r w:rsidRPr="00643267">
        <w:rPr>
          <w:rFonts w:ascii="Garamond" w:eastAsia="Calibri" w:hAnsi="Garamond" w:cs="Times New Roman"/>
          <w:sz w:val="23"/>
          <w:szCs w:val="23"/>
        </w:rPr>
        <w:t xml:space="preserve">events </w:t>
      </w:r>
      <w:r>
        <w:rPr>
          <w:rFonts w:ascii="Garamond" w:eastAsia="Calibri" w:hAnsi="Garamond" w:cs="Times New Roman"/>
          <w:sz w:val="23"/>
          <w:szCs w:val="23"/>
        </w:rPr>
        <w:t>are called outside the LMP “green zone”. DR programs are cost-effective when events are called in a</w:t>
      </w:r>
      <w:r w:rsidRPr="00643267">
        <w:rPr>
          <w:rFonts w:ascii="Garamond" w:eastAsia="Calibri" w:hAnsi="Garamond" w:cs="Times New Roman"/>
          <w:sz w:val="23"/>
          <w:szCs w:val="23"/>
        </w:rPr>
        <w:t xml:space="preserve"> smaller subset of hours when </w:t>
      </w:r>
      <w:r>
        <w:rPr>
          <w:rFonts w:ascii="Garamond" w:eastAsia="Calibri" w:hAnsi="Garamond" w:cs="Times New Roman"/>
          <w:sz w:val="23"/>
          <w:szCs w:val="23"/>
        </w:rPr>
        <w:t>the LMPs</w:t>
      </w:r>
      <w:r w:rsidRPr="00643267">
        <w:rPr>
          <w:rFonts w:ascii="Garamond" w:eastAsia="Calibri" w:hAnsi="Garamond" w:cs="Times New Roman"/>
          <w:sz w:val="23"/>
          <w:szCs w:val="23"/>
        </w:rPr>
        <w:t xml:space="preserve"> are elevated and DR benefits are more valuable than generation. In 2012, </w:t>
      </w:r>
      <w:r>
        <w:rPr>
          <w:rFonts w:ascii="Garamond" w:eastAsia="Calibri" w:hAnsi="Garamond" w:cs="Times New Roman"/>
          <w:sz w:val="23"/>
          <w:szCs w:val="23"/>
        </w:rPr>
        <w:t>the LMPs for all EDCs were elevated (&gt;$200 per MWh) only during 12 to 14 hours of the summer performance period</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DR </w:t>
      </w:r>
      <w:r w:rsidRPr="00643267">
        <w:rPr>
          <w:rFonts w:ascii="Garamond" w:eastAsia="Calibri" w:hAnsi="Garamond" w:cs="Times New Roman"/>
          <w:sz w:val="23"/>
          <w:szCs w:val="23"/>
        </w:rPr>
        <w:t xml:space="preserve">resources called during these hours of high price volatility </w:t>
      </w:r>
      <w:r w:rsidR="00623E6A">
        <w:rPr>
          <w:rFonts w:ascii="Garamond" w:eastAsia="Calibri" w:hAnsi="Garamond" w:cs="Times New Roman"/>
          <w:sz w:val="23"/>
          <w:szCs w:val="23"/>
        </w:rPr>
        <w:t>may have been</w:t>
      </w:r>
      <w:r w:rsidRPr="00643267">
        <w:rPr>
          <w:rFonts w:ascii="Garamond" w:eastAsia="Calibri" w:hAnsi="Garamond" w:cs="Times New Roman"/>
          <w:sz w:val="23"/>
          <w:szCs w:val="23"/>
        </w:rPr>
        <w:t xml:space="preserve"> the only cost-effective events of summer</w:t>
      </w:r>
      <w:r>
        <w:rPr>
          <w:rFonts w:ascii="Garamond" w:eastAsia="Calibri" w:hAnsi="Garamond" w:cs="Times New Roman"/>
          <w:sz w:val="23"/>
          <w:szCs w:val="23"/>
        </w:rPr>
        <w:t xml:space="preserve"> 2012</w:t>
      </w:r>
      <w:r w:rsidRPr="00643267">
        <w:rPr>
          <w:rFonts w:ascii="Garamond" w:eastAsia="Calibri" w:hAnsi="Garamond" w:cs="Times New Roman"/>
          <w:sz w:val="23"/>
          <w:szCs w:val="23"/>
        </w:rPr>
        <w:t>. The cos</w:t>
      </w:r>
      <w:r>
        <w:rPr>
          <w:rFonts w:ascii="Garamond" w:eastAsia="Calibri" w:hAnsi="Garamond" w:cs="Times New Roman"/>
          <w:sz w:val="23"/>
          <w:szCs w:val="23"/>
        </w:rPr>
        <w:t xml:space="preserve">t effectiveness of </w:t>
      </w:r>
      <w:r w:rsidR="00863248">
        <w:rPr>
          <w:rFonts w:ascii="Garamond" w:eastAsia="Calibri" w:hAnsi="Garamond" w:cs="Times New Roman"/>
          <w:sz w:val="23"/>
          <w:szCs w:val="23"/>
        </w:rPr>
        <w:t>DR in the 2012 top</w:t>
      </w:r>
      <w:r w:rsidRPr="00643267">
        <w:rPr>
          <w:rFonts w:ascii="Garamond" w:eastAsia="Calibri" w:hAnsi="Garamond" w:cs="Times New Roman"/>
          <w:sz w:val="23"/>
          <w:szCs w:val="23"/>
        </w:rPr>
        <w:t xml:space="preserve"> 100 hours </w:t>
      </w:r>
      <w:r w:rsidR="00863248">
        <w:rPr>
          <w:rFonts w:ascii="Garamond" w:eastAsia="Calibri" w:hAnsi="Garamond" w:cs="Times New Roman"/>
          <w:sz w:val="23"/>
          <w:szCs w:val="23"/>
        </w:rPr>
        <w:t>is</w:t>
      </w:r>
      <w:r w:rsidRPr="00643267">
        <w:rPr>
          <w:rFonts w:ascii="Garamond" w:eastAsia="Calibri" w:hAnsi="Garamond" w:cs="Times New Roman"/>
          <w:sz w:val="23"/>
          <w:szCs w:val="23"/>
        </w:rPr>
        <w:t xml:space="preserve"> explored in further detail in</w:t>
      </w:r>
      <w:r w:rsidR="00863248">
        <w:rPr>
          <w:rFonts w:ascii="Garamond" w:eastAsia="Calibri" w:hAnsi="Garamond" w:cs="Times New Roman"/>
          <w:sz w:val="23"/>
          <w:szCs w:val="23"/>
        </w:rPr>
        <w:t xml:space="preserve"> Section </w:t>
      </w:r>
      <w:r w:rsidR="00863248">
        <w:rPr>
          <w:rFonts w:ascii="Garamond" w:eastAsia="Calibri" w:hAnsi="Garamond" w:cs="Times New Roman"/>
          <w:sz w:val="23"/>
          <w:szCs w:val="23"/>
        </w:rPr>
        <w:fldChar w:fldCharType="begin"/>
      </w:r>
      <w:r w:rsidR="00863248">
        <w:rPr>
          <w:rFonts w:ascii="Garamond" w:eastAsia="Calibri" w:hAnsi="Garamond" w:cs="Times New Roman"/>
          <w:sz w:val="23"/>
          <w:szCs w:val="23"/>
        </w:rPr>
        <w:instrText xml:space="preserve"> REF _Ref352604525 \r \h </w:instrText>
      </w:r>
      <w:r w:rsidR="00863248">
        <w:rPr>
          <w:rFonts w:ascii="Garamond" w:eastAsia="Calibri" w:hAnsi="Garamond" w:cs="Times New Roman"/>
          <w:sz w:val="23"/>
          <w:szCs w:val="23"/>
        </w:rPr>
      </w:r>
      <w:r w:rsidR="00863248">
        <w:rPr>
          <w:rFonts w:ascii="Garamond" w:eastAsia="Calibri" w:hAnsi="Garamond" w:cs="Times New Roman"/>
          <w:sz w:val="23"/>
          <w:szCs w:val="23"/>
        </w:rPr>
        <w:fldChar w:fldCharType="separate"/>
      </w:r>
      <w:r w:rsidR="00451FFF">
        <w:rPr>
          <w:rFonts w:ascii="Garamond" w:eastAsia="Calibri" w:hAnsi="Garamond" w:cs="Times New Roman"/>
          <w:sz w:val="23"/>
          <w:szCs w:val="23"/>
        </w:rPr>
        <w:t>F</w:t>
      </w:r>
      <w:r w:rsidR="00863248">
        <w:rPr>
          <w:rFonts w:ascii="Garamond" w:eastAsia="Calibri" w:hAnsi="Garamond" w:cs="Times New Roman"/>
          <w:sz w:val="23"/>
          <w:szCs w:val="23"/>
        </w:rPr>
        <w:fldChar w:fldCharType="end"/>
      </w:r>
      <w:r w:rsidRPr="00643267">
        <w:rPr>
          <w:rFonts w:ascii="Garamond" w:eastAsia="Calibri" w:hAnsi="Garamond" w:cs="Times New Roman"/>
          <w:sz w:val="23"/>
          <w:szCs w:val="23"/>
        </w:rPr>
        <w:t xml:space="preserve">. If </w:t>
      </w:r>
      <w:r>
        <w:rPr>
          <w:rFonts w:ascii="Garamond" w:eastAsia="Calibri" w:hAnsi="Garamond" w:cs="Times New Roman"/>
          <w:sz w:val="23"/>
          <w:szCs w:val="23"/>
        </w:rPr>
        <w:t>DR</w:t>
      </w:r>
      <w:r w:rsidRPr="00643267">
        <w:rPr>
          <w:rFonts w:ascii="Garamond" w:eastAsia="Calibri" w:hAnsi="Garamond" w:cs="Times New Roman"/>
          <w:sz w:val="23"/>
          <w:szCs w:val="23"/>
        </w:rPr>
        <w:t xml:space="preserve"> continues in future phases of Act 129, it will be crucial to reduce the number of hours DR resources are called to a subset during which the resources have a greater likelihood of being cost-effective.</w:t>
      </w:r>
    </w:p>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Identifying the best subset of hours over which to dispatch DR resources requires an understanding of the demand and supply economics. The “green zone” introduced in </w:t>
      </w:r>
      <w:r w:rsidRPr="00B167CA">
        <w:rPr>
          <w:rFonts w:ascii="Garamond" w:eastAsia="Calibri" w:hAnsi="Garamond" w:cs="Times New Roman"/>
          <w:sz w:val="23"/>
          <w:szCs w:val="23"/>
        </w:rPr>
        <w:fldChar w:fldCharType="begin"/>
      </w:r>
      <w:r w:rsidRPr="00B167CA">
        <w:rPr>
          <w:rFonts w:ascii="Garamond" w:eastAsia="Calibri" w:hAnsi="Garamond" w:cs="Times New Roman"/>
          <w:sz w:val="23"/>
          <w:szCs w:val="23"/>
        </w:rPr>
        <w:instrText xml:space="preserve"> REF _Ref342979152 \h  \* MERGEFORMAT </w:instrText>
      </w:r>
      <w:r w:rsidRPr="00B167CA">
        <w:rPr>
          <w:rFonts w:ascii="Garamond" w:eastAsia="Calibri" w:hAnsi="Garamond" w:cs="Times New Roman"/>
          <w:sz w:val="23"/>
          <w:szCs w:val="23"/>
        </w:rPr>
      </w:r>
      <w:r w:rsidRPr="00B167CA">
        <w:rPr>
          <w:rFonts w:ascii="Garamond" w:eastAsia="Calibri" w:hAnsi="Garamond" w:cs="Times New Roman"/>
          <w:sz w:val="23"/>
          <w:szCs w:val="23"/>
        </w:rPr>
        <w:fldChar w:fldCharType="separate"/>
      </w:r>
      <w:r w:rsidR="00451FFF" w:rsidRPr="00451FFF">
        <w:rPr>
          <w:rFonts w:ascii="Garamond" w:hAnsi="Garamond"/>
          <w:sz w:val="23"/>
          <w:szCs w:val="23"/>
        </w:rPr>
        <w:t xml:space="preserve">Figure </w:t>
      </w:r>
      <w:r w:rsidR="00451FFF" w:rsidRPr="00451FFF">
        <w:rPr>
          <w:rFonts w:ascii="Garamond" w:hAnsi="Garamond"/>
          <w:noProof/>
          <w:sz w:val="23"/>
          <w:szCs w:val="23"/>
        </w:rPr>
        <w:t>D</w:t>
      </w:r>
      <w:r w:rsidR="00451FFF" w:rsidRPr="00451FFF">
        <w:rPr>
          <w:rFonts w:ascii="Garamond" w:hAnsi="Garamond"/>
          <w:noProof/>
          <w:sz w:val="23"/>
          <w:szCs w:val="23"/>
        </w:rPr>
        <w:noBreakHyphen/>
        <w:t>1</w:t>
      </w:r>
      <w:r w:rsidRPr="00B167CA">
        <w:rPr>
          <w:rFonts w:ascii="Garamond" w:eastAsia="Calibri" w:hAnsi="Garamond" w:cs="Times New Roman"/>
          <w:sz w:val="23"/>
          <w:szCs w:val="23"/>
        </w:rPr>
        <w:fldChar w:fldCharType="end"/>
      </w:r>
      <w:r>
        <w:rPr>
          <w:rFonts w:ascii="Garamond" w:eastAsia="Calibri" w:hAnsi="Garamond" w:cs="Times New Roman"/>
          <w:sz w:val="23"/>
          <w:szCs w:val="23"/>
        </w:rPr>
        <w:t xml:space="preserve"> illustrated the effect of extremely high demand on LMPs. However, an unexpected generation shortfall on a summer afternoon when load is moderately high can also cause the grid to become constrained and elevate LMPs and the need for DR. </w:t>
      </w:r>
      <w:r w:rsidRPr="001C0C1E">
        <w:rPr>
          <w:rFonts w:ascii="Garamond" w:eastAsia="Calibri" w:hAnsi="Garamond" w:cs="Times New Roman"/>
          <w:sz w:val="23"/>
          <w:szCs w:val="23"/>
        </w:rPr>
        <w:fldChar w:fldCharType="begin"/>
      </w:r>
      <w:r w:rsidRPr="001C0C1E">
        <w:rPr>
          <w:rFonts w:ascii="Garamond" w:eastAsia="Calibri" w:hAnsi="Garamond" w:cs="Times New Roman"/>
          <w:sz w:val="23"/>
          <w:szCs w:val="23"/>
        </w:rPr>
        <w:instrText xml:space="preserve"> REF _Ref343504832 \h  \* MERGEFORMAT </w:instrText>
      </w:r>
      <w:r w:rsidRPr="001C0C1E">
        <w:rPr>
          <w:rFonts w:ascii="Garamond" w:eastAsia="Calibri" w:hAnsi="Garamond" w:cs="Times New Roman"/>
          <w:sz w:val="23"/>
          <w:szCs w:val="23"/>
        </w:rPr>
      </w:r>
      <w:r w:rsidRPr="001C0C1E">
        <w:rPr>
          <w:rFonts w:ascii="Garamond" w:eastAsia="Calibri" w:hAnsi="Garamond" w:cs="Times New Roman"/>
          <w:sz w:val="23"/>
          <w:szCs w:val="23"/>
        </w:rPr>
        <w:fldChar w:fldCharType="separate"/>
      </w:r>
      <w:r w:rsidR="00451FFF" w:rsidRPr="006C646A">
        <w:rPr>
          <w:rFonts w:ascii="Garamond" w:hAnsi="Garamond"/>
          <w:sz w:val="23"/>
          <w:szCs w:val="23"/>
        </w:rPr>
        <w:t xml:space="preserve">Figure </w:t>
      </w:r>
      <w:r w:rsidR="00451FFF">
        <w:rPr>
          <w:rFonts w:ascii="Garamond" w:hAnsi="Garamond"/>
          <w:noProof/>
          <w:sz w:val="23"/>
          <w:szCs w:val="23"/>
        </w:rPr>
        <w:t>D</w:t>
      </w:r>
      <w:r w:rsidR="00451FFF">
        <w:rPr>
          <w:rFonts w:ascii="Garamond" w:hAnsi="Garamond"/>
          <w:noProof/>
          <w:sz w:val="23"/>
          <w:szCs w:val="23"/>
        </w:rPr>
        <w:noBreakHyphen/>
        <w:t>3</w:t>
      </w:r>
      <w:r w:rsidRPr="001C0C1E">
        <w:rPr>
          <w:rFonts w:ascii="Garamond" w:eastAsia="Calibri" w:hAnsi="Garamond" w:cs="Times New Roman"/>
          <w:sz w:val="23"/>
          <w:szCs w:val="23"/>
        </w:rPr>
        <w:fldChar w:fldCharType="end"/>
      </w:r>
      <w:r>
        <w:rPr>
          <w:rFonts w:ascii="Garamond" w:eastAsia="Calibri" w:hAnsi="Garamond" w:cs="Times New Roman"/>
          <w:sz w:val="23"/>
          <w:szCs w:val="23"/>
        </w:rPr>
        <w:t xml:space="preserve"> illustrates this phenomenon by showing the LMPs in the PECO zone plotted against the system load (in megawatts) for the top 100 hours of system demand during the summer of 2007. The “green zone” illustrates the elevated LMPs when the grid is highly constrained due to high demand. However, it is noteworthy that four of the top twelve LMPs of the summer (shown on the left side of the scatter plot) occurred in the area shaded red when the load was not substantially elevated. This “red zone” occurs when demand is close to exceeding the amount of power generation available. An unplanned service outage of a large generator can cause significant gr</w:t>
      </w:r>
      <w:r w:rsidR="00FB0801">
        <w:rPr>
          <w:rFonts w:ascii="Garamond" w:eastAsia="Calibri" w:hAnsi="Garamond" w:cs="Times New Roman"/>
          <w:sz w:val="23"/>
          <w:szCs w:val="23"/>
        </w:rPr>
        <w:t>id constraint and LMPs to increase exponentially</w:t>
      </w:r>
      <w:r>
        <w:rPr>
          <w:rFonts w:ascii="Garamond" w:eastAsia="Calibri" w:hAnsi="Garamond" w:cs="Times New Roman"/>
          <w:sz w:val="23"/>
          <w:szCs w:val="23"/>
        </w:rPr>
        <w:t xml:space="preserve">. DR resources are more valuable during these hours (the red zone) than in hours where system demand is higher </w:t>
      </w:r>
      <w:r w:rsidR="003F2090">
        <w:rPr>
          <w:rFonts w:ascii="Garamond" w:eastAsia="Calibri" w:hAnsi="Garamond" w:cs="Times New Roman"/>
          <w:sz w:val="23"/>
          <w:szCs w:val="23"/>
        </w:rPr>
        <w:t>but balanced</w:t>
      </w:r>
      <w:r>
        <w:rPr>
          <w:rFonts w:ascii="Garamond" w:eastAsia="Calibri" w:hAnsi="Garamond" w:cs="Times New Roman"/>
          <w:sz w:val="23"/>
          <w:szCs w:val="23"/>
        </w:rPr>
        <w:t xml:space="preserve"> with the amount of available supply</w:t>
      </w:r>
      <w:r w:rsidR="003F2090">
        <w:rPr>
          <w:rFonts w:ascii="Garamond" w:eastAsia="Calibri" w:hAnsi="Garamond" w:cs="Times New Roman"/>
          <w:sz w:val="23"/>
          <w:szCs w:val="23"/>
        </w:rPr>
        <w:t xml:space="preserve"> (hours with load between 7,800 and 8,200 MW represent this situation in </w:t>
      </w:r>
      <w:r w:rsidR="003F2090">
        <w:rPr>
          <w:rFonts w:ascii="Garamond" w:eastAsia="Calibri" w:hAnsi="Garamond" w:cs="Times New Roman"/>
          <w:sz w:val="23"/>
          <w:szCs w:val="23"/>
        </w:rPr>
        <w:fldChar w:fldCharType="begin"/>
      </w:r>
      <w:r w:rsidR="003F2090">
        <w:rPr>
          <w:rFonts w:ascii="Garamond" w:eastAsia="Calibri" w:hAnsi="Garamond" w:cs="Times New Roman"/>
          <w:sz w:val="23"/>
          <w:szCs w:val="23"/>
        </w:rPr>
        <w:instrText xml:space="preserve"> REF _Ref343504832 \h </w:instrText>
      </w:r>
      <w:r w:rsidR="003F2090">
        <w:rPr>
          <w:rFonts w:ascii="Garamond" w:eastAsia="Calibri" w:hAnsi="Garamond" w:cs="Times New Roman"/>
          <w:sz w:val="23"/>
          <w:szCs w:val="23"/>
        </w:rPr>
      </w:r>
      <w:r w:rsidR="003F2090">
        <w:rPr>
          <w:rFonts w:ascii="Garamond" w:eastAsia="Calibri" w:hAnsi="Garamond" w:cs="Times New Roman"/>
          <w:sz w:val="23"/>
          <w:szCs w:val="23"/>
        </w:rPr>
        <w:fldChar w:fldCharType="separate"/>
      </w:r>
      <w:r w:rsidR="00451FFF" w:rsidRPr="006C646A">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3</w:t>
      </w:r>
      <w:r w:rsidR="003F2090">
        <w:rPr>
          <w:rFonts w:ascii="Garamond" w:eastAsia="Calibri" w:hAnsi="Garamond" w:cs="Times New Roman"/>
          <w:sz w:val="23"/>
          <w:szCs w:val="23"/>
        </w:rPr>
        <w:fldChar w:fldCharType="end"/>
      </w:r>
      <w:r w:rsidR="003F2090">
        <w:rPr>
          <w:rFonts w:ascii="Garamond" w:eastAsia="Calibri" w:hAnsi="Garamond" w:cs="Times New Roman"/>
          <w:sz w:val="23"/>
          <w:szCs w:val="23"/>
        </w:rPr>
        <w:t>)</w:t>
      </w:r>
      <w:r>
        <w:rPr>
          <w:rFonts w:ascii="Garamond" w:eastAsia="Calibri" w:hAnsi="Garamond" w:cs="Times New Roman"/>
          <w:sz w:val="23"/>
          <w:szCs w:val="23"/>
        </w:rPr>
        <w:t>.</w:t>
      </w:r>
    </w:p>
    <w:p w:rsidR="00DF0C4F" w:rsidRDefault="00DF0C4F" w:rsidP="00DF0C4F">
      <w:pPr>
        <w:spacing w:after="0" w:line="240" w:lineRule="auto"/>
        <w:rPr>
          <w:rFonts w:ascii="Garamond" w:eastAsia="Calibri" w:hAnsi="Garamond" w:cs="Times New Roman"/>
          <w:sz w:val="23"/>
          <w:szCs w:val="23"/>
        </w:rPr>
      </w:pPr>
    </w:p>
    <w:p w:rsidR="00DF0C4F" w:rsidRPr="006C646A" w:rsidRDefault="00DF0C4F" w:rsidP="00DF0C4F">
      <w:pPr>
        <w:pStyle w:val="Caption"/>
        <w:keepNext/>
        <w:jc w:val="center"/>
        <w:rPr>
          <w:rFonts w:ascii="Garamond" w:hAnsi="Garamond"/>
          <w:sz w:val="23"/>
          <w:szCs w:val="23"/>
        </w:rPr>
      </w:pPr>
      <w:bookmarkStart w:id="54" w:name="_Ref343504832"/>
      <w:r w:rsidRPr="006C646A">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D</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3</w:t>
      </w:r>
      <w:r w:rsidR="00F45397">
        <w:rPr>
          <w:rFonts w:ascii="Garamond" w:hAnsi="Garamond"/>
          <w:sz w:val="23"/>
          <w:szCs w:val="23"/>
        </w:rPr>
        <w:fldChar w:fldCharType="end"/>
      </w:r>
      <w:bookmarkEnd w:id="54"/>
      <w:r w:rsidRPr="006C646A">
        <w:rPr>
          <w:rFonts w:ascii="Garamond" w:hAnsi="Garamond"/>
          <w:sz w:val="23"/>
          <w:szCs w:val="23"/>
        </w:rPr>
        <w:t>: LMP versus Load in PECO Zone: Summer 2007</w:t>
      </w:r>
    </w:p>
    <w:p w:rsidR="00DF0C4F" w:rsidRDefault="00DF0C4F" w:rsidP="00DF0C4F">
      <w:pPr>
        <w:spacing w:after="0" w:line="240" w:lineRule="auto"/>
        <w:jc w:val="center"/>
        <w:rPr>
          <w:rFonts w:ascii="Garamond" w:eastAsia="Calibri" w:hAnsi="Garamond" w:cs="Times New Roman"/>
          <w:sz w:val="23"/>
          <w:szCs w:val="23"/>
        </w:rPr>
      </w:pPr>
      <w:r w:rsidRPr="001C0C1E">
        <w:rPr>
          <w:noProof/>
        </w:rPr>
        <w:drawing>
          <wp:inline distT="0" distB="0" distL="0" distR="0" wp14:anchorId="0C319C2A" wp14:editId="6640B239">
            <wp:extent cx="5222196" cy="31831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22196" cy="3183148"/>
                    </a:xfrm>
                    <a:prstGeom prst="rect">
                      <a:avLst/>
                    </a:prstGeom>
                    <a:noFill/>
                    <a:ln>
                      <a:noFill/>
                    </a:ln>
                  </pic:spPr>
                </pic:pic>
              </a:graphicData>
            </a:graphic>
          </wp:inline>
        </w:drawing>
      </w:r>
    </w:p>
    <w:p w:rsidR="00DF0C4F" w:rsidRDefault="00DF0C4F" w:rsidP="00DF0C4F">
      <w:pPr>
        <w:spacing w:after="0" w:line="240" w:lineRule="auto"/>
        <w:rPr>
          <w:rFonts w:ascii="Garamond" w:eastAsia="Calibri" w:hAnsi="Garamond" w:cs="Times New Roman"/>
          <w:sz w:val="23"/>
          <w:szCs w:val="23"/>
        </w:rPr>
      </w:pPr>
    </w:p>
    <w:p w:rsidR="00DF0C4F" w:rsidRDefault="000571AE"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If the Commission</w:t>
      </w:r>
      <w:r w:rsidR="00DF0C4F">
        <w:rPr>
          <w:rFonts w:ascii="Garamond" w:eastAsia="Calibri" w:hAnsi="Garamond" w:cs="Times New Roman"/>
          <w:sz w:val="23"/>
          <w:szCs w:val="23"/>
        </w:rPr>
        <w:t xml:space="preserve"> decides to establish DR goals in Phase III of Act 129</w:t>
      </w:r>
      <w:r w:rsidR="00902E9B">
        <w:rPr>
          <w:rFonts w:ascii="Garamond" w:eastAsia="Calibri" w:hAnsi="Garamond" w:cs="Times New Roman"/>
          <w:sz w:val="23"/>
          <w:szCs w:val="23"/>
        </w:rPr>
        <w:t>,</w:t>
      </w:r>
      <w:r w:rsidR="00DF0C4F">
        <w:rPr>
          <w:rFonts w:ascii="Garamond" w:eastAsia="Calibri" w:hAnsi="Garamond" w:cs="Times New Roman"/>
          <w:sz w:val="23"/>
          <w:szCs w:val="23"/>
        </w:rPr>
        <w:t xml:space="preserve"> it will be important to establish how the benefits of the achieved load reductions will be determined. Multiplying the average achieved load reduction by an avoided cost of capacity is a sound approach if the number of performance hours is reduced to correspond with the LMP “green zone” and “red zone”. Capacity is typically valued over the 5 to 10 hours of system demand when the grid is constrained at a critical point. This constraint can be a product of high demand (green zone), low supply (red zone) or a combination of the two. The energy pricing data presented</w:t>
      </w:r>
      <w:r w:rsidR="002246E2">
        <w:rPr>
          <w:rFonts w:ascii="Garamond" w:eastAsia="Calibri" w:hAnsi="Garamond" w:cs="Times New Roman"/>
          <w:sz w:val="23"/>
          <w:szCs w:val="23"/>
        </w:rPr>
        <w:t xml:space="preserve"> in</w:t>
      </w:r>
      <w:r w:rsidR="00DF0C4F">
        <w:rPr>
          <w:rFonts w:ascii="Garamond" w:eastAsia="Calibri" w:hAnsi="Garamond" w:cs="Times New Roman"/>
          <w:sz w:val="23"/>
          <w:szCs w:val="23"/>
        </w:rPr>
        <w:t xml:space="preserve"> </w:t>
      </w:r>
      <w:r w:rsidR="00DF0C4F">
        <w:rPr>
          <w:rFonts w:ascii="Garamond" w:eastAsia="Calibri" w:hAnsi="Garamond" w:cs="Times New Roman"/>
          <w:sz w:val="23"/>
          <w:szCs w:val="23"/>
        </w:rPr>
        <w:fldChar w:fldCharType="begin"/>
      </w:r>
      <w:r w:rsidR="00DF0C4F">
        <w:rPr>
          <w:rFonts w:ascii="Garamond" w:eastAsia="Calibri" w:hAnsi="Garamond" w:cs="Times New Roman"/>
          <w:sz w:val="23"/>
          <w:szCs w:val="23"/>
        </w:rPr>
        <w:instrText xml:space="preserve"> REF _Ref343073923 \h </w:instrText>
      </w:r>
      <w:r w:rsidR="00DF0C4F">
        <w:rPr>
          <w:rFonts w:ascii="Garamond" w:eastAsia="Calibri" w:hAnsi="Garamond" w:cs="Times New Roman"/>
          <w:sz w:val="23"/>
          <w:szCs w:val="23"/>
        </w:rPr>
      </w:r>
      <w:r w:rsidR="00DF0C4F">
        <w:rPr>
          <w:rFonts w:ascii="Garamond" w:eastAsia="Calibri" w:hAnsi="Garamond" w:cs="Times New Roman"/>
          <w:sz w:val="23"/>
          <w:szCs w:val="23"/>
        </w:rPr>
        <w:fldChar w:fldCharType="separate"/>
      </w:r>
      <w:r w:rsidR="00451FFF" w:rsidRPr="002F3E2A">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2</w:t>
      </w:r>
      <w:r w:rsidR="00DF0C4F">
        <w:rPr>
          <w:rFonts w:ascii="Garamond" w:eastAsia="Calibri" w:hAnsi="Garamond" w:cs="Times New Roman"/>
          <w:sz w:val="23"/>
          <w:szCs w:val="23"/>
        </w:rPr>
        <w:fldChar w:fldCharType="end"/>
      </w:r>
      <w:r w:rsidR="00DF0C4F">
        <w:rPr>
          <w:rFonts w:ascii="Garamond" w:eastAsia="Calibri" w:hAnsi="Garamond" w:cs="Times New Roman"/>
          <w:sz w:val="23"/>
          <w:szCs w:val="23"/>
        </w:rPr>
        <w:t xml:space="preserve"> indicates the grid was not significantly constrained during at least 50 of the top 100 hours of 2012 for all EDCs likely because reasonably priced generation offers were available and LMPs were not elevated. The SWE believes that Act 129 DR did not produce any cost beneficial savings </w:t>
      </w:r>
      <w:r w:rsidR="00623E6A">
        <w:rPr>
          <w:rFonts w:ascii="Garamond" w:eastAsia="Calibri" w:hAnsi="Garamond" w:cs="Times New Roman"/>
          <w:sz w:val="23"/>
          <w:szCs w:val="23"/>
        </w:rPr>
        <w:t xml:space="preserve">because </w:t>
      </w:r>
      <w:r w:rsidR="00E76640">
        <w:rPr>
          <w:rFonts w:ascii="Garamond" w:eastAsia="Calibri" w:hAnsi="Garamond" w:cs="Times New Roman"/>
          <w:sz w:val="23"/>
          <w:szCs w:val="23"/>
        </w:rPr>
        <w:t xml:space="preserve">these hours are not considered when assessing the capacity footprint of the region. Therefore, avoided generation capacity benefits and any wholesale capacity price suppression benefits would not be realized. Further, the SWE believes </w:t>
      </w:r>
      <w:r w:rsidR="00DF0C4F">
        <w:rPr>
          <w:rFonts w:ascii="Garamond" w:eastAsia="Calibri" w:hAnsi="Garamond" w:cs="Times New Roman"/>
          <w:sz w:val="23"/>
          <w:szCs w:val="23"/>
        </w:rPr>
        <w:t xml:space="preserve">any avoided energy costs </w:t>
      </w:r>
      <w:r w:rsidR="00FA21C3">
        <w:rPr>
          <w:rFonts w:ascii="Garamond" w:eastAsia="Calibri" w:hAnsi="Garamond" w:cs="Times New Roman"/>
          <w:sz w:val="23"/>
          <w:szCs w:val="23"/>
        </w:rPr>
        <w:t xml:space="preserve">or wholesale </w:t>
      </w:r>
      <w:r w:rsidR="00E76640">
        <w:rPr>
          <w:rFonts w:ascii="Garamond" w:eastAsia="Calibri" w:hAnsi="Garamond" w:cs="Times New Roman"/>
          <w:sz w:val="23"/>
          <w:szCs w:val="23"/>
        </w:rPr>
        <w:t>energy price suppression benefits are likely</w:t>
      </w:r>
      <w:r w:rsidR="00DF0C4F">
        <w:rPr>
          <w:rFonts w:ascii="Garamond" w:eastAsia="Calibri" w:hAnsi="Garamond" w:cs="Times New Roman"/>
          <w:sz w:val="23"/>
          <w:szCs w:val="23"/>
        </w:rPr>
        <w:t xml:space="preserve"> insignificant compared to the cost of acquiring resources due to low market prices.</w:t>
      </w:r>
    </w:p>
    <w:p w:rsidR="00DF0C4F" w:rsidRPr="002F3E2A" w:rsidRDefault="00DF0C4F" w:rsidP="00DF0C4F">
      <w:pPr>
        <w:spacing w:after="0" w:line="240" w:lineRule="auto"/>
        <w:rPr>
          <w:rFonts w:ascii="Garamond" w:hAnsi="Garamond"/>
          <w:sz w:val="23"/>
          <w:szCs w:val="23"/>
        </w:rPr>
      </w:pPr>
    </w:p>
    <w:p w:rsidR="00DF0C4F" w:rsidRDefault="00DF0C4F" w:rsidP="00E22427">
      <w:pPr>
        <w:pStyle w:val="Heading2"/>
      </w:pPr>
      <w:bookmarkStart w:id="55" w:name="_Toc343501584"/>
      <w:bookmarkStart w:id="56" w:name="_Toc355954900"/>
      <w:r>
        <w:t>Variance in Market Pricing From Year to Year</w:t>
      </w:r>
      <w:bookmarkEnd w:id="55"/>
      <w:bookmarkEnd w:id="56"/>
    </w:p>
    <w:p w:rsidR="00DF0C4F" w:rsidRDefault="00DF0C4F" w:rsidP="00DF0C4F">
      <w:pPr>
        <w:spacing w:after="0" w:line="240" w:lineRule="auto"/>
        <w:rPr>
          <w:rFonts w:ascii="Garamond" w:eastAsia="Calibri" w:hAnsi="Garamond" w:cs="Times New Roman"/>
          <w:sz w:val="23"/>
          <w:szCs w:val="23"/>
        </w:rPr>
      </w:pPr>
      <w:r>
        <w:rPr>
          <w:rFonts w:ascii="Garamond" w:hAnsi="Garamond"/>
          <w:sz w:val="23"/>
          <w:szCs w:val="23"/>
        </w:rPr>
        <w:t xml:space="preserve">The previous section examined the difference in the value of DR within the top 100 hours for each EDC. </w:t>
      </w:r>
      <w:r w:rsidRPr="00643267">
        <w:rPr>
          <w:rFonts w:ascii="Garamond" w:eastAsia="Calibri" w:hAnsi="Garamond" w:cs="Times New Roman"/>
          <w:sz w:val="23"/>
          <w:szCs w:val="23"/>
        </w:rPr>
        <w:t>Precisely estimating the number of hours during which DR is likely to be cost-effective is challenging because of the</w:t>
      </w:r>
      <w:r>
        <w:rPr>
          <w:rFonts w:ascii="Garamond" w:eastAsia="Calibri" w:hAnsi="Garamond" w:cs="Times New Roman"/>
          <w:sz w:val="23"/>
          <w:szCs w:val="23"/>
        </w:rPr>
        <w:t xml:space="preserve"> LMP</w:t>
      </w:r>
      <w:r w:rsidRPr="00643267">
        <w:rPr>
          <w:rFonts w:ascii="Garamond" w:eastAsia="Calibri" w:hAnsi="Garamond" w:cs="Times New Roman"/>
          <w:sz w:val="23"/>
          <w:szCs w:val="23"/>
        </w:rPr>
        <w:t xml:space="preserve"> variation observed in the state from year to year. </w:t>
      </w:r>
      <w:r>
        <w:rPr>
          <w:rFonts w:ascii="Garamond" w:eastAsia="Calibri" w:hAnsi="Garamond" w:cs="Times New Roman"/>
          <w:sz w:val="23"/>
          <w:szCs w:val="23"/>
        </w:rPr>
        <w:t xml:space="preserve">In Section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_Ref343275424 \r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Pr>
          <w:rFonts w:ascii="Garamond" w:eastAsia="Calibri" w:hAnsi="Garamond" w:cs="Times New Roman"/>
          <w:sz w:val="23"/>
          <w:szCs w:val="23"/>
        </w:rPr>
        <w:t>1</w:t>
      </w:r>
      <w:r>
        <w:rPr>
          <w:rFonts w:ascii="Garamond" w:eastAsia="Calibri" w:hAnsi="Garamond" w:cs="Times New Roman"/>
          <w:sz w:val="23"/>
          <w:szCs w:val="23"/>
        </w:rPr>
        <w:fldChar w:fldCharType="end"/>
      </w:r>
      <w:r>
        <w:rPr>
          <w:rFonts w:ascii="Garamond" w:eastAsia="Calibri" w:hAnsi="Garamond" w:cs="Times New Roman"/>
          <w:sz w:val="23"/>
          <w:szCs w:val="23"/>
        </w:rPr>
        <w:t xml:space="preserve">,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_Ref343008637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B0004D">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1</w:t>
      </w:r>
      <w:r>
        <w:rPr>
          <w:rFonts w:ascii="Garamond" w:eastAsia="Calibri" w:hAnsi="Garamond" w:cs="Times New Roman"/>
          <w:sz w:val="23"/>
          <w:szCs w:val="23"/>
        </w:rPr>
        <w:fldChar w:fldCharType="end"/>
      </w:r>
      <w:r>
        <w:rPr>
          <w:rFonts w:ascii="Garamond" w:eastAsia="Calibri" w:hAnsi="Garamond" w:cs="Times New Roman"/>
          <w:sz w:val="23"/>
          <w:szCs w:val="23"/>
        </w:rPr>
        <w:t xml:space="preserve"> showed that, in addition to the geographical differences, PJM zonal capacity values vary significantly over time for each EDC. This section will explore the variation in zonal LMP over time.  </w:t>
      </w:r>
    </w:p>
    <w:p w:rsidR="00DF0C4F" w:rsidRDefault="00DF0C4F" w:rsidP="00DF0C4F">
      <w:pPr>
        <w:spacing w:after="0" w:line="240" w:lineRule="auto"/>
        <w:rPr>
          <w:rFonts w:ascii="Garamond" w:eastAsia="Calibri" w:hAnsi="Garamond" w:cs="Times New Roman"/>
          <w:sz w:val="23"/>
          <w:szCs w:val="23"/>
        </w:rPr>
      </w:pPr>
    </w:p>
    <w:p w:rsidR="00DF0C4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 xml:space="preserve">Weather patterns during a given summer have a pronounced effect on the amount of grid constraint and resulting energy prices in the EDC service territories. Similar to the variation in capacity values over time shown in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_Ref343008637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B0004D">
        <w:rPr>
          <w:rFonts w:ascii="Garamond" w:hAnsi="Garamond"/>
          <w:sz w:val="23"/>
          <w:szCs w:val="23"/>
        </w:rPr>
        <w:t xml:space="preserve">Table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1</w:t>
      </w:r>
      <w:r>
        <w:rPr>
          <w:rFonts w:ascii="Garamond" w:eastAsia="Calibri" w:hAnsi="Garamond" w:cs="Times New Roman"/>
          <w:sz w:val="23"/>
          <w:szCs w:val="23"/>
        </w:rPr>
        <w:fldChar w:fldCharType="end"/>
      </w:r>
      <w:r>
        <w:rPr>
          <w:rFonts w:ascii="Garamond" w:eastAsia="Calibri" w:hAnsi="Garamond" w:cs="Times New Roman"/>
          <w:sz w:val="23"/>
          <w:szCs w:val="23"/>
        </w:rPr>
        <w:t xml:space="preserve">,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_Ref343088368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AC7BE3">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4</w:t>
      </w:r>
      <w:r>
        <w:rPr>
          <w:rFonts w:ascii="Garamond" w:eastAsia="Calibri" w:hAnsi="Garamond" w:cs="Times New Roman"/>
          <w:sz w:val="23"/>
          <w:szCs w:val="23"/>
        </w:rPr>
        <w:fldChar w:fldCharType="end"/>
      </w:r>
      <w:r>
        <w:rPr>
          <w:rFonts w:ascii="Garamond" w:eastAsia="Calibri" w:hAnsi="Garamond" w:cs="Times New Roman"/>
          <w:sz w:val="23"/>
          <w:szCs w:val="23"/>
        </w:rPr>
        <w:t xml:space="preserve"> shows the average top 100 hour energy values (LMPs) for each EDC for the 2007 to 2012 performance period. </w:t>
      </w:r>
      <w:r>
        <w:rPr>
          <w:rFonts w:ascii="Garamond" w:eastAsia="Calibri" w:hAnsi="Garamond" w:cs="Times New Roman"/>
          <w:sz w:val="23"/>
          <w:szCs w:val="23"/>
        </w:rPr>
        <w:fldChar w:fldCharType="begin"/>
      </w:r>
      <w:r>
        <w:rPr>
          <w:rFonts w:ascii="Garamond" w:eastAsia="Calibri" w:hAnsi="Garamond" w:cs="Times New Roman"/>
          <w:sz w:val="23"/>
          <w:szCs w:val="23"/>
        </w:rPr>
        <w:instrText xml:space="preserve"> REF _Ref343088368 \h </w:instrText>
      </w:r>
      <w:r>
        <w:rPr>
          <w:rFonts w:ascii="Garamond" w:eastAsia="Calibri" w:hAnsi="Garamond" w:cs="Times New Roman"/>
          <w:sz w:val="23"/>
          <w:szCs w:val="23"/>
        </w:rPr>
      </w:r>
      <w:r>
        <w:rPr>
          <w:rFonts w:ascii="Garamond" w:eastAsia="Calibri" w:hAnsi="Garamond" w:cs="Times New Roman"/>
          <w:sz w:val="23"/>
          <w:szCs w:val="23"/>
        </w:rPr>
        <w:fldChar w:fldCharType="separate"/>
      </w:r>
      <w:r w:rsidR="00451FFF" w:rsidRPr="00AC7BE3">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4</w:t>
      </w:r>
      <w:r>
        <w:rPr>
          <w:rFonts w:ascii="Garamond" w:eastAsia="Calibri" w:hAnsi="Garamond" w:cs="Times New Roman"/>
          <w:sz w:val="23"/>
          <w:szCs w:val="23"/>
        </w:rPr>
        <w:fldChar w:fldCharType="end"/>
      </w:r>
      <w:r>
        <w:rPr>
          <w:rFonts w:ascii="Garamond" w:eastAsia="Calibri" w:hAnsi="Garamond" w:cs="Times New Roman"/>
          <w:sz w:val="23"/>
          <w:szCs w:val="23"/>
        </w:rPr>
        <w:t xml:space="preserve"> shows that while the general shape of the pricing distribution is similar, the LMP values are not uniform from year to year.</w:t>
      </w:r>
    </w:p>
    <w:p w:rsidR="00DF0C4F" w:rsidRDefault="00DF0C4F" w:rsidP="00DF0C4F">
      <w:pPr>
        <w:spacing w:after="0" w:line="240" w:lineRule="auto"/>
        <w:rPr>
          <w:rFonts w:ascii="Garamond" w:eastAsia="Calibri" w:hAnsi="Garamond" w:cs="Times New Roman"/>
          <w:sz w:val="23"/>
          <w:szCs w:val="23"/>
        </w:rPr>
      </w:pPr>
    </w:p>
    <w:p w:rsidR="00DF0C4F" w:rsidRPr="00AC7BE3" w:rsidRDefault="00DF0C4F" w:rsidP="00DF0C4F">
      <w:pPr>
        <w:pStyle w:val="Caption"/>
        <w:keepNext/>
        <w:jc w:val="center"/>
        <w:rPr>
          <w:rFonts w:ascii="Garamond" w:hAnsi="Garamond"/>
          <w:sz w:val="23"/>
          <w:szCs w:val="23"/>
        </w:rPr>
      </w:pPr>
      <w:bookmarkStart w:id="57" w:name="_Ref343088368"/>
      <w:r w:rsidRPr="00AC7BE3">
        <w:rPr>
          <w:rFonts w:ascii="Garamond" w:hAnsi="Garamond"/>
          <w:sz w:val="23"/>
          <w:szCs w:val="23"/>
        </w:rPr>
        <w:lastRenderedPageBreak/>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D</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4</w:t>
      </w:r>
      <w:r w:rsidR="00F45397">
        <w:rPr>
          <w:rFonts w:ascii="Garamond" w:hAnsi="Garamond"/>
          <w:sz w:val="23"/>
          <w:szCs w:val="23"/>
        </w:rPr>
        <w:fldChar w:fldCharType="end"/>
      </w:r>
      <w:bookmarkEnd w:id="57"/>
      <w:r w:rsidRPr="00AC7BE3">
        <w:rPr>
          <w:rFonts w:ascii="Garamond" w:hAnsi="Garamond"/>
          <w:sz w:val="23"/>
          <w:szCs w:val="23"/>
        </w:rPr>
        <w:t xml:space="preserve">: Average </w:t>
      </w:r>
      <w:r>
        <w:rPr>
          <w:rFonts w:ascii="Garamond" w:hAnsi="Garamond"/>
          <w:sz w:val="23"/>
          <w:szCs w:val="23"/>
        </w:rPr>
        <w:t>EDC</w:t>
      </w:r>
      <w:r w:rsidRPr="00AC7BE3">
        <w:rPr>
          <w:rFonts w:ascii="Garamond" w:hAnsi="Garamond"/>
          <w:sz w:val="23"/>
          <w:szCs w:val="23"/>
        </w:rPr>
        <w:t xml:space="preserve"> LMPs over the Top 100 Hours by Year</w:t>
      </w:r>
    </w:p>
    <w:p w:rsidR="00DF0C4F" w:rsidRDefault="00DF0C4F" w:rsidP="00DF0C4F">
      <w:pPr>
        <w:spacing w:after="0" w:line="240" w:lineRule="auto"/>
        <w:rPr>
          <w:rFonts w:ascii="Garamond" w:eastAsia="Calibri" w:hAnsi="Garamond" w:cs="Times New Roman"/>
          <w:sz w:val="23"/>
          <w:szCs w:val="23"/>
        </w:rPr>
      </w:pPr>
      <w:r>
        <w:rPr>
          <w:noProof/>
          <w:sz w:val="24"/>
          <w:szCs w:val="24"/>
        </w:rPr>
        <w:drawing>
          <wp:inline distT="0" distB="0" distL="0" distR="0" wp14:anchorId="5B023309" wp14:editId="7E6CC38C">
            <wp:extent cx="5943600" cy="4644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4644985"/>
                    </a:xfrm>
                    <a:prstGeom prst="rect">
                      <a:avLst/>
                    </a:prstGeom>
                    <a:noFill/>
                    <a:ln>
                      <a:noFill/>
                    </a:ln>
                  </pic:spPr>
                </pic:pic>
              </a:graphicData>
            </a:graphic>
          </wp:inline>
        </w:drawing>
      </w:r>
    </w:p>
    <w:p w:rsidR="00DF0C4F" w:rsidRDefault="00DF0C4F" w:rsidP="00DF0C4F">
      <w:pPr>
        <w:spacing w:after="0" w:line="240" w:lineRule="auto"/>
        <w:rPr>
          <w:rFonts w:ascii="Garamond" w:eastAsia="Calibri" w:hAnsi="Garamond" w:cs="Times New Roman"/>
          <w:sz w:val="23"/>
          <w:szCs w:val="23"/>
        </w:rPr>
      </w:pPr>
    </w:p>
    <w:p w:rsidR="0011127F" w:rsidRDefault="00DF0C4F" w:rsidP="00DF0C4F">
      <w:pPr>
        <w:spacing w:after="0" w:line="240" w:lineRule="auto"/>
        <w:rPr>
          <w:rFonts w:ascii="Garamond" w:eastAsia="Calibri" w:hAnsi="Garamond" w:cs="Times New Roman"/>
          <w:sz w:val="23"/>
          <w:szCs w:val="23"/>
        </w:rPr>
      </w:pPr>
      <w:r>
        <w:rPr>
          <w:rFonts w:ascii="Garamond" w:eastAsia="Calibri" w:hAnsi="Garamond" w:cs="Times New Roman"/>
          <w:sz w:val="23"/>
          <w:szCs w:val="23"/>
        </w:rPr>
        <w:t>Energy demand was low</w:t>
      </w:r>
      <w:r w:rsidRPr="00643267">
        <w:rPr>
          <w:rFonts w:ascii="Garamond" w:eastAsia="Calibri" w:hAnsi="Garamond" w:cs="Times New Roman"/>
          <w:sz w:val="23"/>
          <w:szCs w:val="23"/>
        </w:rPr>
        <w:t xml:space="preserve"> </w:t>
      </w:r>
      <w:r>
        <w:rPr>
          <w:rFonts w:ascii="Garamond" w:eastAsia="Calibri" w:hAnsi="Garamond" w:cs="Times New Roman"/>
          <w:sz w:val="23"/>
          <w:szCs w:val="23"/>
        </w:rPr>
        <w:t xml:space="preserve">in </w:t>
      </w:r>
      <w:r w:rsidRPr="00643267">
        <w:rPr>
          <w:rFonts w:ascii="Garamond" w:eastAsia="Calibri" w:hAnsi="Garamond" w:cs="Times New Roman"/>
          <w:sz w:val="23"/>
          <w:szCs w:val="23"/>
        </w:rPr>
        <w:t>the Commonwealth of Pennsylvania in 2009 due to abnormally cool summer temperatures and an economic recession which reduced demand in the Commercial and Industrial sectors.</w:t>
      </w:r>
      <w:r>
        <w:rPr>
          <w:rFonts w:ascii="Garamond" w:eastAsia="Calibri" w:hAnsi="Garamond" w:cs="Times New Roman"/>
          <w:sz w:val="23"/>
          <w:szCs w:val="23"/>
        </w:rPr>
        <w:t xml:space="preserve"> The effects of these two key factors on energy prices are clearly noticeable in </w:t>
      </w:r>
      <w:r w:rsidR="0011127F">
        <w:rPr>
          <w:rFonts w:ascii="Garamond" w:eastAsia="Calibri" w:hAnsi="Garamond" w:cs="Times New Roman"/>
          <w:sz w:val="23"/>
          <w:szCs w:val="23"/>
        </w:rPr>
        <w:fldChar w:fldCharType="begin"/>
      </w:r>
      <w:r w:rsidR="0011127F">
        <w:rPr>
          <w:rFonts w:ascii="Garamond" w:eastAsia="Calibri" w:hAnsi="Garamond" w:cs="Times New Roman"/>
          <w:sz w:val="23"/>
          <w:szCs w:val="23"/>
        </w:rPr>
        <w:instrText xml:space="preserve"> REF _Ref343088368 \h </w:instrText>
      </w:r>
      <w:r w:rsidR="0011127F">
        <w:rPr>
          <w:rFonts w:ascii="Garamond" w:eastAsia="Calibri" w:hAnsi="Garamond" w:cs="Times New Roman"/>
          <w:sz w:val="23"/>
          <w:szCs w:val="23"/>
        </w:rPr>
      </w:r>
      <w:r w:rsidR="0011127F">
        <w:rPr>
          <w:rFonts w:ascii="Garamond" w:eastAsia="Calibri" w:hAnsi="Garamond" w:cs="Times New Roman"/>
          <w:sz w:val="23"/>
          <w:szCs w:val="23"/>
        </w:rPr>
        <w:fldChar w:fldCharType="separate"/>
      </w:r>
      <w:r w:rsidR="00451FFF" w:rsidRPr="00AC7BE3">
        <w:rPr>
          <w:rFonts w:ascii="Garamond" w:hAnsi="Garamond"/>
          <w:sz w:val="23"/>
          <w:szCs w:val="23"/>
        </w:rPr>
        <w:t xml:space="preserve">Figure </w:t>
      </w:r>
      <w:r w:rsidR="00451FFF">
        <w:rPr>
          <w:rFonts w:ascii="Garamond" w:hAnsi="Garamond"/>
          <w:noProof/>
          <w:sz w:val="23"/>
          <w:szCs w:val="23"/>
        </w:rPr>
        <w:t>D</w:t>
      </w:r>
      <w:r w:rsidR="00451FFF">
        <w:rPr>
          <w:rFonts w:ascii="Garamond" w:hAnsi="Garamond"/>
          <w:sz w:val="23"/>
          <w:szCs w:val="23"/>
        </w:rPr>
        <w:noBreakHyphen/>
      </w:r>
      <w:r w:rsidR="00451FFF">
        <w:rPr>
          <w:rFonts w:ascii="Garamond" w:hAnsi="Garamond"/>
          <w:noProof/>
          <w:sz w:val="23"/>
          <w:szCs w:val="23"/>
        </w:rPr>
        <w:t>4</w:t>
      </w:r>
      <w:r w:rsidR="0011127F">
        <w:rPr>
          <w:rFonts w:ascii="Garamond" w:eastAsia="Calibri" w:hAnsi="Garamond" w:cs="Times New Roman"/>
          <w:sz w:val="23"/>
          <w:szCs w:val="23"/>
        </w:rPr>
        <w:fldChar w:fldCharType="end"/>
      </w:r>
      <w:r w:rsidR="0011127F">
        <w:rPr>
          <w:rFonts w:ascii="Garamond" w:eastAsia="Calibri" w:hAnsi="Garamond" w:cs="Times New Roman"/>
          <w:sz w:val="23"/>
          <w:szCs w:val="23"/>
        </w:rPr>
        <w:t>.</w:t>
      </w:r>
      <w:r>
        <w:rPr>
          <w:rFonts w:ascii="Garamond" w:eastAsia="Calibri" w:hAnsi="Garamond" w:cs="Times New Roman"/>
          <w:sz w:val="23"/>
          <w:szCs w:val="23"/>
        </w:rPr>
        <w:t xml:space="preserve"> </w:t>
      </w:r>
      <w:r w:rsidRPr="00643267">
        <w:rPr>
          <w:rFonts w:ascii="Garamond" w:eastAsia="Calibri" w:hAnsi="Garamond" w:cs="Times New Roman"/>
          <w:sz w:val="23"/>
          <w:szCs w:val="23"/>
        </w:rPr>
        <w:t>In 2009, there were only two hours in</w:t>
      </w:r>
      <w:r w:rsidR="00A5725A">
        <w:rPr>
          <w:rFonts w:ascii="Garamond" w:eastAsia="Calibri" w:hAnsi="Garamond" w:cs="Times New Roman"/>
          <w:sz w:val="23"/>
          <w:szCs w:val="23"/>
        </w:rPr>
        <w:t xml:space="preserve"> any EDC service territory</w:t>
      </w:r>
      <w:r>
        <w:rPr>
          <w:rFonts w:ascii="Garamond" w:eastAsia="Calibri" w:hAnsi="Garamond" w:cs="Times New Roman"/>
          <w:sz w:val="23"/>
          <w:szCs w:val="23"/>
        </w:rPr>
        <w:t xml:space="preserve"> where the </w:t>
      </w:r>
      <w:r w:rsidR="004E7D85">
        <w:rPr>
          <w:rFonts w:ascii="Garamond" w:eastAsia="Calibri" w:hAnsi="Garamond" w:cs="Times New Roman"/>
          <w:sz w:val="23"/>
          <w:szCs w:val="23"/>
        </w:rPr>
        <w:t xml:space="preserve">average </w:t>
      </w:r>
      <w:r>
        <w:rPr>
          <w:rFonts w:ascii="Garamond" w:eastAsia="Calibri" w:hAnsi="Garamond" w:cs="Times New Roman"/>
          <w:sz w:val="23"/>
          <w:szCs w:val="23"/>
        </w:rPr>
        <w:t>LMP was above $1</w:t>
      </w:r>
      <w:r w:rsidR="00A5725A">
        <w:rPr>
          <w:rFonts w:ascii="Garamond" w:eastAsia="Calibri" w:hAnsi="Garamond" w:cs="Times New Roman"/>
          <w:sz w:val="23"/>
          <w:szCs w:val="23"/>
        </w:rPr>
        <w:t>6</w:t>
      </w:r>
      <w:r>
        <w:rPr>
          <w:rFonts w:ascii="Garamond" w:eastAsia="Calibri" w:hAnsi="Garamond" w:cs="Times New Roman"/>
          <w:sz w:val="23"/>
          <w:szCs w:val="23"/>
        </w:rPr>
        <w:t>0</w:t>
      </w:r>
      <w:r w:rsidR="00A5725A">
        <w:rPr>
          <w:rStyle w:val="FootnoteReference"/>
          <w:rFonts w:ascii="Garamond" w:eastAsia="Calibri" w:hAnsi="Garamond" w:cs="Times New Roman"/>
          <w:sz w:val="23"/>
          <w:szCs w:val="23"/>
        </w:rPr>
        <w:footnoteReference w:id="35"/>
      </w:r>
      <w:r w:rsidR="004E7D85">
        <w:rPr>
          <w:rFonts w:ascii="Garamond" w:eastAsia="Calibri" w:hAnsi="Garamond" w:cs="Times New Roman"/>
          <w:sz w:val="23"/>
          <w:szCs w:val="23"/>
        </w:rPr>
        <w:t>.</w:t>
      </w:r>
      <w:r w:rsidRPr="00643267">
        <w:rPr>
          <w:rFonts w:ascii="Garamond" w:eastAsia="Calibri" w:hAnsi="Garamond" w:cs="Times New Roman"/>
          <w:sz w:val="23"/>
          <w:szCs w:val="23"/>
        </w:rPr>
        <w:t xml:space="preserve"> During a </w:t>
      </w:r>
      <w:r>
        <w:rPr>
          <w:rFonts w:ascii="Garamond" w:eastAsia="Calibri" w:hAnsi="Garamond" w:cs="Times New Roman"/>
          <w:sz w:val="23"/>
          <w:szCs w:val="23"/>
        </w:rPr>
        <w:t xml:space="preserve">high temperature </w:t>
      </w:r>
      <w:r w:rsidRPr="00643267">
        <w:rPr>
          <w:rFonts w:ascii="Garamond" w:eastAsia="Calibri" w:hAnsi="Garamond" w:cs="Times New Roman"/>
          <w:sz w:val="23"/>
          <w:szCs w:val="23"/>
        </w:rPr>
        <w:t xml:space="preserve">summer </w:t>
      </w:r>
      <w:r>
        <w:rPr>
          <w:rFonts w:ascii="Garamond" w:eastAsia="Calibri" w:hAnsi="Garamond" w:cs="Times New Roman"/>
          <w:sz w:val="23"/>
          <w:szCs w:val="23"/>
        </w:rPr>
        <w:t xml:space="preserve">period such as 2008 or 2011, </w:t>
      </w:r>
      <w:r w:rsidRPr="00643267">
        <w:rPr>
          <w:rFonts w:ascii="Garamond" w:eastAsia="Calibri" w:hAnsi="Garamond" w:cs="Times New Roman"/>
          <w:sz w:val="23"/>
          <w:szCs w:val="23"/>
        </w:rPr>
        <w:t xml:space="preserve">there </w:t>
      </w:r>
      <w:r>
        <w:rPr>
          <w:rFonts w:ascii="Garamond" w:eastAsia="Calibri" w:hAnsi="Garamond" w:cs="Times New Roman"/>
          <w:sz w:val="23"/>
          <w:szCs w:val="23"/>
        </w:rPr>
        <w:t>were</w:t>
      </w:r>
      <w:r w:rsidRPr="00643267">
        <w:rPr>
          <w:rFonts w:ascii="Garamond" w:eastAsia="Calibri" w:hAnsi="Garamond" w:cs="Times New Roman"/>
          <w:sz w:val="23"/>
          <w:szCs w:val="23"/>
        </w:rPr>
        <w:t xml:space="preserve"> 20 </w:t>
      </w:r>
      <w:r>
        <w:rPr>
          <w:rFonts w:ascii="Garamond" w:eastAsia="Calibri" w:hAnsi="Garamond" w:cs="Times New Roman"/>
          <w:sz w:val="23"/>
          <w:szCs w:val="23"/>
        </w:rPr>
        <w:t>to</w:t>
      </w:r>
      <w:r w:rsidRPr="00643267">
        <w:rPr>
          <w:rFonts w:ascii="Garamond" w:eastAsia="Calibri" w:hAnsi="Garamond" w:cs="Times New Roman"/>
          <w:sz w:val="23"/>
          <w:szCs w:val="23"/>
        </w:rPr>
        <w:t xml:space="preserve"> 30 hours when </w:t>
      </w:r>
      <w:r>
        <w:rPr>
          <w:rFonts w:ascii="Garamond" w:eastAsia="Calibri" w:hAnsi="Garamond" w:cs="Times New Roman"/>
          <w:sz w:val="23"/>
          <w:szCs w:val="23"/>
        </w:rPr>
        <w:t>DR</w:t>
      </w:r>
      <w:r w:rsidRPr="00643267">
        <w:rPr>
          <w:rFonts w:ascii="Garamond" w:eastAsia="Calibri" w:hAnsi="Garamond" w:cs="Times New Roman"/>
          <w:sz w:val="23"/>
          <w:szCs w:val="23"/>
        </w:rPr>
        <w:t xml:space="preserve"> </w:t>
      </w:r>
      <w:r>
        <w:rPr>
          <w:rFonts w:ascii="Garamond" w:eastAsia="Calibri" w:hAnsi="Garamond" w:cs="Times New Roman"/>
          <w:sz w:val="23"/>
          <w:szCs w:val="23"/>
        </w:rPr>
        <w:t>would have relieved grid constraint, been economically cost effective</w:t>
      </w:r>
      <w:r w:rsidRPr="00643267">
        <w:rPr>
          <w:rFonts w:ascii="Garamond" w:eastAsia="Calibri" w:hAnsi="Garamond" w:cs="Times New Roman"/>
          <w:sz w:val="23"/>
          <w:szCs w:val="23"/>
        </w:rPr>
        <w:t xml:space="preserve"> and </w:t>
      </w:r>
      <w:r>
        <w:rPr>
          <w:rFonts w:ascii="Garamond" w:eastAsia="Calibri" w:hAnsi="Garamond" w:cs="Times New Roman"/>
          <w:sz w:val="23"/>
          <w:szCs w:val="23"/>
        </w:rPr>
        <w:t xml:space="preserve">would have </w:t>
      </w:r>
      <w:r w:rsidRPr="00643267">
        <w:rPr>
          <w:rFonts w:ascii="Garamond" w:eastAsia="Calibri" w:hAnsi="Garamond" w:cs="Times New Roman"/>
          <w:sz w:val="23"/>
          <w:szCs w:val="23"/>
        </w:rPr>
        <w:t>ha</w:t>
      </w:r>
      <w:r>
        <w:rPr>
          <w:rFonts w:ascii="Garamond" w:eastAsia="Calibri" w:hAnsi="Garamond" w:cs="Times New Roman"/>
          <w:sz w:val="23"/>
          <w:szCs w:val="23"/>
        </w:rPr>
        <w:t>d</w:t>
      </w:r>
      <w:r w:rsidRPr="00643267">
        <w:rPr>
          <w:rFonts w:ascii="Garamond" w:eastAsia="Calibri" w:hAnsi="Garamond" w:cs="Times New Roman"/>
          <w:sz w:val="23"/>
          <w:szCs w:val="23"/>
        </w:rPr>
        <w:t xml:space="preserve"> a positive effect on electric reliability. </w:t>
      </w:r>
      <w:r>
        <w:rPr>
          <w:rFonts w:ascii="Garamond" w:eastAsia="Calibri" w:hAnsi="Garamond" w:cs="Times New Roman"/>
          <w:sz w:val="23"/>
          <w:szCs w:val="23"/>
        </w:rPr>
        <w:t xml:space="preserve">Based on this observed variance in </w:t>
      </w:r>
      <w:r w:rsidR="0011127F">
        <w:rPr>
          <w:rFonts w:ascii="Garamond" w:eastAsia="Calibri" w:hAnsi="Garamond" w:cs="Times New Roman"/>
          <w:sz w:val="23"/>
          <w:szCs w:val="23"/>
        </w:rPr>
        <w:t xml:space="preserve">energy pricing, </w:t>
      </w:r>
      <w:r>
        <w:rPr>
          <w:rFonts w:ascii="Garamond" w:eastAsia="Calibri" w:hAnsi="Garamond" w:cs="Times New Roman"/>
          <w:sz w:val="23"/>
          <w:szCs w:val="23"/>
        </w:rPr>
        <w:t>t</w:t>
      </w:r>
      <w:r w:rsidRPr="00643267">
        <w:rPr>
          <w:rFonts w:ascii="Garamond" w:eastAsia="Calibri" w:hAnsi="Garamond" w:cs="Times New Roman"/>
          <w:sz w:val="23"/>
          <w:szCs w:val="23"/>
        </w:rPr>
        <w:t xml:space="preserve">he SWE recommends that any future </w:t>
      </w:r>
      <w:r>
        <w:rPr>
          <w:rFonts w:ascii="Garamond" w:eastAsia="Calibri" w:hAnsi="Garamond" w:cs="Times New Roman"/>
          <w:sz w:val="23"/>
          <w:szCs w:val="23"/>
        </w:rPr>
        <w:t>DR</w:t>
      </w:r>
      <w:r w:rsidRPr="00643267">
        <w:rPr>
          <w:rFonts w:ascii="Garamond" w:eastAsia="Calibri" w:hAnsi="Garamond" w:cs="Times New Roman"/>
          <w:sz w:val="23"/>
          <w:szCs w:val="23"/>
        </w:rPr>
        <w:t xml:space="preserve"> targets be crafted such that the compliance metric is the average load reduction observed over a subset of hours during which </w:t>
      </w:r>
      <w:r>
        <w:rPr>
          <w:rFonts w:ascii="Garamond" w:eastAsia="Calibri" w:hAnsi="Garamond" w:cs="Times New Roman"/>
          <w:sz w:val="23"/>
          <w:szCs w:val="23"/>
        </w:rPr>
        <w:t>DR</w:t>
      </w:r>
      <w:r w:rsidRPr="00643267">
        <w:rPr>
          <w:rFonts w:ascii="Garamond" w:eastAsia="Calibri" w:hAnsi="Garamond" w:cs="Times New Roman"/>
          <w:sz w:val="23"/>
          <w:szCs w:val="23"/>
        </w:rPr>
        <w:t xml:space="preserve"> is likely to provide a cost-effec</w:t>
      </w:r>
      <w:r>
        <w:rPr>
          <w:rFonts w:ascii="Garamond" w:eastAsia="Calibri" w:hAnsi="Garamond" w:cs="Times New Roman"/>
          <w:sz w:val="23"/>
          <w:szCs w:val="23"/>
        </w:rPr>
        <w:t>tive alternative to generation. The performance period (number of hours) should be flexible and determined by load or economic conditions in place that year.</w:t>
      </w:r>
    </w:p>
    <w:p w:rsidR="00DF0C4F" w:rsidRPr="0011127F" w:rsidRDefault="0011127F" w:rsidP="0011127F">
      <w:r>
        <w:br w:type="page"/>
      </w:r>
    </w:p>
    <w:p w:rsidR="008A055D" w:rsidRDefault="00B875D9" w:rsidP="00BD2C6C">
      <w:pPr>
        <w:pStyle w:val="Heading1"/>
      </w:pPr>
      <w:bookmarkStart w:id="58" w:name="_Ref343687753"/>
      <w:bookmarkStart w:id="59" w:name="_Toc355954901"/>
      <w:r>
        <w:lastRenderedPageBreak/>
        <w:t xml:space="preserve">Attribution </w:t>
      </w:r>
      <w:r w:rsidR="008A055D">
        <w:t>of the Act 129 Phase I DR Programs</w:t>
      </w:r>
      <w:bookmarkEnd w:id="58"/>
      <w:bookmarkEnd w:id="59"/>
    </w:p>
    <w:p w:rsidR="00A03385" w:rsidRPr="00643267" w:rsidRDefault="00A03385" w:rsidP="00A03385">
      <w:pPr>
        <w:spacing w:after="0" w:line="240" w:lineRule="auto"/>
        <w:rPr>
          <w:rFonts w:ascii="Garamond" w:hAnsi="Garamond"/>
          <w:sz w:val="23"/>
          <w:szCs w:val="23"/>
        </w:rPr>
      </w:pPr>
      <w:r w:rsidRPr="00643267">
        <w:rPr>
          <w:rFonts w:ascii="Garamond" w:hAnsi="Garamond"/>
          <w:sz w:val="23"/>
          <w:szCs w:val="23"/>
        </w:rPr>
        <w:t>One of the primary objectives of this study is to provide</w:t>
      </w:r>
      <w:r>
        <w:rPr>
          <w:rFonts w:ascii="Garamond" w:hAnsi="Garamond"/>
          <w:sz w:val="23"/>
          <w:szCs w:val="23"/>
        </w:rPr>
        <w:t xml:space="preserve"> the</w:t>
      </w:r>
      <w:r w:rsidRPr="00643267">
        <w:rPr>
          <w:rFonts w:ascii="Garamond" w:hAnsi="Garamond"/>
          <w:sz w:val="23"/>
          <w:szCs w:val="23"/>
        </w:rPr>
        <w:t xml:space="preserve"> </w:t>
      </w:r>
      <w:r>
        <w:rPr>
          <w:rFonts w:ascii="Garamond" w:hAnsi="Garamond"/>
          <w:sz w:val="23"/>
          <w:szCs w:val="23"/>
        </w:rPr>
        <w:t>Commission</w:t>
      </w:r>
      <w:r w:rsidRPr="00643267">
        <w:rPr>
          <w:rFonts w:ascii="Garamond" w:hAnsi="Garamond"/>
          <w:sz w:val="23"/>
          <w:szCs w:val="23"/>
        </w:rPr>
        <w:t xml:space="preserve"> with information that will inform their decision </w:t>
      </w:r>
      <w:r>
        <w:rPr>
          <w:rFonts w:ascii="Garamond" w:hAnsi="Garamond"/>
          <w:sz w:val="23"/>
          <w:szCs w:val="23"/>
        </w:rPr>
        <w:t>on the possible inclusion of</w:t>
      </w:r>
      <w:r w:rsidRPr="00643267">
        <w:rPr>
          <w:rFonts w:ascii="Garamond" w:hAnsi="Garamond"/>
          <w:sz w:val="23"/>
          <w:szCs w:val="23"/>
        </w:rPr>
        <w:t xml:space="preserve"> DR programs in future phases of Act 129. The cost-effectiveness of EDC-sponsored programs is </w:t>
      </w:r>
      <w:r w:rsidR="000226C6">
        <w:rPr>
          <w:rFonts w:ascii="Garamond" w:hAnsi="Garamond"/>
          <w:sz w:val="23"/>
          <w:szCs w:val="23"/>
        </w:rPr>
        <w:t>the key component</w:t>
      </w:r>
      <w:r w:rsidRPr="00643267">
        <w:rPr>
          <w:rFonts w:ascii="Garamond" w:hAnsi="Garamond"/>
          <w:sz w:val="23"/>
          <w:szCs w:val="23"/>
        </w:rPr>
        <w:t xml:space="preserve"> which will be used to determine whether DR should be included in Phase III of Act 129. If the costs of acquiring DR resources are </w:t>
      </w:r>
      <w:r>
        <w:rPr>
          <w:rFonts w:ascii="Garamond" w:hAnsi="Garamond"/>
          <w:sz w:val="23"/>
          <w:szCs w:val="23"/>
        </w:rPr>
        <w:t xml:space="preserve">greater </w:t>
      </w:r>
      <w:r w:rsidRPr="00643267">
        <w:rPr>
          <w:rFonts w:ascii="Garamond" w:hAnsi="Garamond"/>
          <w:sz w:val="23"/>
          <w:szCs w:val="23"/>
        </w:rPr>
        <w:t xml:space="preserve">than the energy and capacity benefits they produce given market conditions, the programs are </w:t>
      </w:r>
      <w:r>
        <w:rPr>
          <w:rFonts w:ascii="Garamond" w:hAnsi="Garamond"/>
          <w:sz w:val="23"/>
          <w:szCs w:val="23"/>
        </w:rPr>
        <w:t xml:space="preserve">not </w:t>
      </w:r>
      <w:r w:rsidRPr="00643267">
        <w:rPr>
          <w:rFonts w:ascii="Garamond" w:hAnsi="Garamond"/>
          <w:sz w:val="23"/>
          <w:szCs w:val="23"/>
        </w:rPr>
        <w:t>beneficial to the Commonwealth of Pennsylvania and should</w:t>
      </w:r>
      <w:r>
        <w:rPr>
          <w:rFonts w:ascii="Garamond" w:hAnsi="Garamond"/>
          <w:sz w:val="23"/>
          <w:szCs w:val="23"/>
        </w:rPr>
        <w:t xml:space="preserve"> not</w:t>
      </w:r>
      <w:r w:rsidRPr="00643267">
        <w:rPr>
          <w:rFonts w:ascii="Garamond" w:hAnsi="Garamond"/>
          <w:sz w:val="23"/>
          <w:szCs w:val="23"/>
        </w:rPr>
        <w:t xml:space="preserve"> be continued. Assessing the cost</w:t>
      </w:r>
      <w:r>
        <w:rPr>
          <w:rFonts w:ascii="Garamond" w:hAnsi="Garamond"/>
          <w:sz w:val="23"/>
          <w:szCs w:val="23"/>
        </w:rPr>
        <w:t>-</w:t>
      </w:r>
      <w:r w:rsidRPr="00643267">
        <w:rPr>
          <w:rFonts w:ascii="Garamond" w:hAnsi="Garamond"/>
          <w:sz w:val="23"/>
          <w:szCs w:val="23"/>
        </w:rPr>
        <w:t xml:space="preserve">effectiveness of DR programs requires </w:t>
      </w:r>
      <w:r>
        <w:rPr>
          <w:rFonts w:ascii="Garamond" w:hAnsi="Garamond"/>
          <w:sz w:val="23"/>
          <w:szCs w:val="23"/>
        </w:rPr>
        <w:t xml:space="preserve">that </w:t>
      </w:r>
      <w:r w:rsidRPr="00643267">
        <w:rPr>
          <w:rFonts w:ascii="Garamond" w:hAnsi="Garamond"/>
          <w:sz w:val="23"/>
          <w:szCs w:val="23"/>
        </w:rPr>
        <w:t xml:space="preserve">program performance records and avoided cost figures be merged to develop estimates of the benefits produced.  </w:t>
      </w:r>
    </w:p>
    <w:p w:rsidR="00A03385" w:rsidRPr="00643267" w:rsidRDefault="00A03385" w:rsidP="00A03385">
      <w:pPr>
        <w:spacing w:after="0" w:line="240" w:lineRule="auto"/>
        <w:rPr>
          <w:rFonts w:ascii="Garamond" w:hAnsi="Garamond"/>
          <w:sz w:val="23"/>
          <w:szCs w:val="23"/>
        </w:rPr>
      </w:pPr>
    </w:p>
    <w:p w:rsidR="00A03385" w:rsidRPr="00643267" w:rsidRDefault="00A03385" w:rsidP="00A03385">
      <w:pPr>
        <w:spacing w:after="0" w:line="240" w:lineRule="auto"/>
        <w:rPr>
          <w:rFonts w:ascii="Garamond" w:hAnsi="Garamond"/>
          <w:sz w:val="23"/>
          <w:szCs w:val="23"/>
        </w:rPr>
      </w:pPr>
      <w:r w:rsidRPr="00643267">
        <w:rPr>
          <w:rFonts w:ascii="Garamond" w:hAnsi="Garamond"/>
          <w:sz w:val="23"/>
          <w:szCs w:val="23"/>
        </w:rPr>
        <w:t xml:space="preserve">In 2012, each of the seven Pennsylvania EDCs sponsored </w:t>
      </w:r>
      <w:r>
        <w:rPr>
          <w:rFonts w:ascii="Garamond" w:hAnsi="Garamond"/>
          <w:sz w:val="23"/>
          <w:szCs w:val="23"/>
        </w:rPr>
        <w:t>a load curtailment</w:t>
      </w:r>
      <w:r w:rsidRPr="00643267">
        <w:rPr>
          <w:rFonts w:ascii="Garamond" w:hAnsi="Garamond"/>
          <w:sz w:val="23"/>
          <w:szCs w:val="23"/>
        </w:rPr>
        <w:t xml:space="preserve"> DR program available to its non-residential customers in an effort to achieve the mandated 4.5% peak demand reduction. Many of the participants in the EDC progr</w:t>
      </w:r>
      <w:r>
        <w:rPr>
          <w:rFonts w:ascii="Garamond" w:hAnsi="Garamond"/>
          <w:sz w:val="23"/>
          <w:szCs w:val="23"/>
        </w:rPr>
        <w:t>ams also participate in similar</w:t>
      </w:r>
      <w:r w:rsidRPr="00643267">
        <w:rPr>
          <w:rFonts w:ascii="Garamond" w:hAnsi="Garamond"/>
          <w:sz w:val="23"/>
          <w:szCs w:val="23"/>
        </w:rPr>
        <w:t xml:space="preserve"> DR programs offered by PJM. Managing the transmission grid means that PJM must balance the supply and demand for electricity at all times. PJM allows large non-residential customers to participate in both the wholesale capacity and energy market</w:t>
      </w:r>
      <w:r>
        <w:rPr>
          <w:rFonts w:ascii="Garamond" w:hAnsi="Garamond"/>
          <w:sz w:val="23"/>
          <w:szCs w:val="23"/>
        </w:rPr>
        <w:t>s</w:t>
      </w:r>
      <w:r w:rsidRPr="00643267">
        <w:rPr>
          <w:rFonts w:ascii="Garamond" w:hAnsi="Garamond"/>
          <w:sz w:val="23"/>
          <w:szCs w:val="23"/>
        </w:rPr>
        <w:t xml:space="preserve"> in the same </w:t>
      </w:r>
      <w:r>
        <w:rPr>
          <w:rFonts w:ascii="Garamond" w:hAnsi="Garamond"/>
          <w:sz w:val="23"/>
          <w:szCs w:val="23"/>
        </w:rPr>
        <w:t>manner as</w:t>
      </w:r>
      <w:r w:rsidRPr="00643267">
        <w:rPr>
          <w:rFonts w:ascii="Garamond" w:hAnsi="Garamond"/>
          <w:sz w:val="23"/>
          <w:szCs w:val="23"/>
        </w:rPr>
        <w:t xml:space="preserve"> genera</w:t>
      </w:r>
      <w:r>
        <w:rPr>
          <w:rFonts w:ascii="Garamond" w:hAnsi="Garamond"/>
          <w:sz w:val="23"/>
          <w:szCs w:val="23"/>
        </w:rPr>
        <w:t>tion resources. These customer</w:t>
      </w:r>
      <w:r w:rsidRPr="00643267">
        <w:rPr>
          <w:rFonts w:ascii="Garamond" w:hAnsi="Garamond"/>
          <w:sz w:val="23"/>
          <w:szCs w:val="23"/>
        </w:rPr>
        <w:t xml:space="preserve"> offer</w:t>
      </w:r>
      <w:r>
        <w:rPr>
          <w:rFonts w:ascii="Garamond" w:hAnsi="Garamond"/>
          <w:sz w:val="23"/>
          <w:szCs w:val="23"/>
        </w:rPr>
        <w:t>s</w:t>
      </w:r>
      <w:r w:rsidRPr="00643267">
        <w:rPr>
          <w:rFonts w:ascii="Garamond" w:hAnsi="Garamond"/>
          <w:sz w:val="23"/>
          <w:szCs w:val="23"/>
        </w:rPr>
        <w:t xml:space="preserve"> to </w:t>
      </w:r>
      <w:r w:rsidR="00480326">
        <w:rPr>
          <w:rFonts w:ascii="Garamond" w:hAnsi="Garamond"/>
          <w:sz w:val="23"/>
          <w:szCs w:val="23"/>
        </w:rPr>
        <w:t>reduce demand</w:t>
      </w:r>
      <w:r w:rsidRPr="00643267">
        <w:rPr>
          <w:rFonts w:ascii="Garamond" w:hAnsi="Garamond"/>
          <w:sz w:val="23"/>
          <w:szCs w:val="23"/>
        </w:rPr>
        <w:t xml:space="preserve"> during periods of high demand are treated and valued on equal footing with offers from generators to increase supply. </w:t>
      </w:r>
    </w:p>
    <w:p w:rsidR="00A03385" w:rsidRPr="00643267"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643267">
        <w:rPr>
          <w:rFonts w:ascii="Garamond" w:hAnsi="Garamond"/>
          <w:sz w:val="23"/>
          <w:szCs w:val="23"/>
        </w:rPr>
        <w:t xml:space="preserve">Because the Pennsylvania EDCs implemented programs on top of an existing </w:t>
      </w:r>
      <w:r w:rsidR="00986C56">
        <w:rPr>
          <w:rFonts w:ascii="Garamond" w:hAnsi="Garamond"/>
          <w:sz w:val="23"/>
          <w:szCs w:val="23"/>
        </w:rPr>
        <w:t xml:space="preserve">PJM </w:t>
      </w:r>
      <w:r w:rsidRPr="00643267">
        <w:rPr>
          <w:rFonts w:ascii="Garamond" w:hAnsi="Garamond"/>
          <w:sz w:val="23"/>
          <w:szCs w:val="23"/>
        </w:rPr>
        <w:t xml:space="preserve">DR framework, the </w:t>
      </w:r>
      <w:r>
        <w:rPr>
          <w:rFonts w:ascii="Garamond" w:hAnsi="Garamond"/>
          <w:sz w:val="23"/>
          <w:szCs w:val="23"/>
        </w:rPr>
        <w:t>assessment</w:t>
      </w:r>
      <w:r w:rsidRPr="00643267">
        <w:rPr>
          <w:rFonts w:ascii="Garamond" w:hAnsi="Garamond"/>
          <w:sz w:val="23"/>
          <w:szCs w:val="23"/>
        </w:rPr>
        <w:t xml:space="preserve"> of cost-effectiveness becomes more challenging. There is a </w:t>
      </w:r>
      <w:r>
        <w:rPr>
          <w:rFonts w:ascii="Garamond" w:hAnsi="Garamond"/>
          <w:sz w:val="23"/>
          <w:szCs w:val="23"/>
        </w:rPr>
        <w:t xml:space="preserve">large </w:t>
      </w:r>
      <w:r w:rsidRPr="00643267">
        <w:rPr>
          <w:rFonts w:ascii="Garamond" w:hAnsi="Garamond"/>
          <w:sz w:val="23"/>
          <w:szCs w:val="23"/>
        </w:rPr>
        <w:t xml:space="preserve">subset of customers participating in Act 129 </w:t>
      </w:r>
      <w:r>
        <w:rPr>
          <w:rFonts w:ascii="Garamond" w:hAnsi="Garamond"/>
          <w:sz w:val="23"/>
          <w:szCs w:val="23"/>
        </w:rPr>
        <w:t>load curtailment</w:t>
      </w:r>
      <w:r w:rsidRPr="00643267">
        <w:rPr>
          <w:rFonts w:ascii="Garamond" w:hAnsi="Garamond"/>
          <w:sz w:val="23"/>
          <w:szCs w:val="23"/>
        </w:rPr>
        <w:t xml:space="preserve"> programs who </w:t>
      </w:r>
      <w:r>
        <w:rPr>
          <w:rFonts w:ascii="Garamond" w:hAnsi="Garamond"/>
          <w:sz w:val="23"/>
          <w:szCs w:val="23"/>
        </w:rPr>
        <w:t xml:space="preserve">have committed load reductions into the PJM Emergency (capacity) market. These are also customers who may have </w:t>
      </w:r>
      <w:r w:rsidRPr="00643267">
        <w:rPr>
          <w:rFonts w:ascii="Garamond" w:hAnsi="Garamond"/>
          <w:sz w:val="23"/>
          <w:szCs w:val="23"/>
        </w:rPr>
        <w:t xml:space="preserve">reduced their load via </w:t>
      </w:r>
      <w:r>
        <w:rPr>
          <w:rFonts w:ascii="Garamond" w:hAnsi="Garamond"/>
          <w:sz w:val="23"/>
          <w:szCs w:val="23"/>
        </w:rPr>
        <w:t xml:space="preserve">dispatch in </w:t>
      </w:r>
      <w:r w:rsidRPr="00643267">
        <w:rPr>
          <w:rFonts w:ascii="Garamond" w:hAnsi="Garamond"/>
          <w:sz w:val="23"/>
          <w:szCs w:val="23"/>
        </w:rPr>
        <w:t xml:space="preserve">the PJM </w:t>
      </w:r>
      <w:r>
        <w:rPr>
          <w:rFonts w:ascii="Garamond" w:hAnsi="Garamond"/>
          <w:sz w:val="23"/>
          <w:szCs w:val="23"/>
        </w:rPr>
        <w:t xml:space="preserve">Energy </w:t>
      </w:r>
      <w:r w:rsidRPr="00643267">
        <w:rPr>
          <w:rFonts w:ascii="Garamond" w:hAnsi="Garamond"/>
          <w:sz w:val="23"/>
          <w:szCs w:val="23"/>
        </w:rPr>
        <w:t xml:space="preserve">markets without the incentives provided through Act 129. The 2011 TRC </w:t>
      </w:r>
      <w:r>
        <w:rPr>
          <w:rFonts w:ascii="Garamond" w:hAnsi="Garamond"/>
          <w:sz w:val="23"/>
          <w:szCs w:val="23"/>
        </w:rPr>
        <w:t xml:space="preserve">Order </w:t>
      </w:r>
      <w:r w:rsidRPr="00643267">
        <w:rPr>
          <w:rFonts w:ascii="Garamond" w:hAnsi="Garamond"/>
          <w:sz w:val="23"/>
          <w:szCs w:val="23"/>
        </w:rPr>
        <w:t xml:space="preserve">directed EDCs to ignore any </w:t>
      </w:r>
      <w:r>
        <w:rPr>
          <w:rFonts w:ascii="Garamond" w:hAnsi="Garamond"/>
          <w:sz w:val="23"/>
          <w:szCs w:val="23"/>
        </w:rPr>
        <w:t xml:space="preserve">PJM </w:t>
      </w:r>
      <w:r w:rsidRPr="00643267">
        <w:rPr>
          <w:rFonts w:ascii="Garamond" w:hAnsi="Garamond"/>
          <w:sz w:val="23"/>
          <w:szCs w:val="23"/>
        </w:rPr>
        <w:t xml:space="preserve">charges, penalties or payments in the calculation of the TRC ratio for </w:t>
      </w:r>
      <w:r>
        <w:rPr>
          <w:rFonts w:ascii="Garamond" w:hAnsi="Garamond"/>
          <w:sz w:val="23"/>
          <w:szCs w:val="23"/>
        </w:rPr>
        <w:t xml:space="preserve">Act 129 </w:t>
      </w:r>
      <w:r w:rsidRPr="00643267">
        <w:rPr>
          <w:rFonts w:ascii="Garamond" w:hAnsi="Garamond"/>
          <w:sz w:val="23"/>
          <w:szCs w:val="23"/>
        </w:rPr>
        <w:t>DR programs</w:t>
      </w:r>
      <w:r>
        <w:rPr>
          <w:rFonts w:ascii="Garamond" w:hAnsi="Garamond"/>
          <w:sz w:val="23"/>
          <w:szCs w:val="23"/>
        </w:rPr>
        <w:t>,</w:t>
      </w:r>
      <w:r w:rsidRPr="00643267">
        <w:rPr>
          <w:rFonts w:ascii="Garamond" w:hAnsi="Garamond"/>
          <w:sz w:val="23"/>
          <w:szCs w:val="23"/>
        </w:rPr>
        <w:t xml:space="preserve"> </w:t>
      </w:r>
      <w:r>
        <w:rPr>
          <w:rFonts w:ascii="Garamond" w:hAnsi="Garamond"/>
          <w:sz w:val="23"/>
          <w:szCs w:val="23"/>
        </w:rPr>
        <w:t>h</w:t>
      </w:r>
      <w:r w:rsidRPr="00643267">
        <w:rPr>
          <w:rFonts w:ascii="Garamond" w:hAnsi="Garamond"/>
          <w:sz w:val="23"/>
          <w:szCs w:val="23"/>
        </w:rPr>
        <w:t xml:space="preserve">owever, the SWE </w:t>
      </w:r>
      <w:r>
        <w:rPr>
          <w:rFonts w:ascii="Garamond" w:hAnsi="Garamond"/>
          <w:sz w:val="23"/>
          <w:szCs w:val="23"/>
        </w:rPr>
        <w:t>believes</w:t>
      </w:r>
      <w:r w:rsidRPr="00643267">
        <w:rPr>
          <w:rFonts w:ascii="Garamond" w:hAnsi="Garamond"/>
          <w:sz w:val="23"/>
          <w:szCs w:val="23"/>
        </w:rPr>
        <w:t xml:space="preserve"> that, for purposes of this study, it is inappropriate to allocate all of the energy and capacity benefits to the EDC program when a customer receives payment from both the EDC and PJM for a load red</w:t>
      </w:r>
      <w:r>
        <w:rPr>
          <w:rFonts w:ascii="Garamond" w:hAnsi="Garamond"/>
          <w:sz w:val="23"/>
          <w:szCs w:val="23"/>
        </w:rPr>
        <w:t>uction during a given hour</w:t>
      </w:r>
      <w:r w:rsidRPr="00643267">
        <w:rPr>
          <w:rFonts w:ascii="Garamond" w:hAnsi="Garamond"/>
          <w:sz w:val="23"/>
          <w:szCs w:val="23"/>
        </w:rPr>
        <w:t xml:space="preserve">. The SWE believes that understanding customer motivation is necessary to estimate the incremental value of </w:t>
      </w:r>
      <w:r>
        <w:rPr>
          <w:rFonts w:ascii="Garamond" w:hAnsi="Garamond"/>
          <w:sz w:val="23"/>
          <w:szCs w:val="23"/>
        </w:rPr>
        <w:t>load curtailment</w:t>
      </w:r>
      <w:r w:rsidRPr="00643267">
        <w:rPr>
          <w:rFonts w:ascii="Garamond" w:hAnsi="Garamond"/>
          <w:sz w:val="23"/>
          <w:szCs w:val="23"/>
        </w:rPr>
        <w:t xml:space="preserve"> programs in Pennsylvania because the benefits from a load reduction should be allocated to the program which motivated the action.</w:t>
      </w:r>
      <w:r>
        <w:rPr>
          <w:rFonts w:ascii="Garamond" w:hAnsi="Garamond"/>
          <w:sz w:val="23"/>
          <w:szCs w:val="23"/>
        </w:rPr>
        <w:t xml:space="preserve"> To that end, a survey of customers participating in the Act 129 load curtailment programs was conducted by the SWE tea</w:t>
      </w:r>
      <w:r w:rsidR="00480326">
        <w:rPr>
          <w:rFonts w:ascii="Garamond" w:hAnsi="Garamond"/>
          <w:sz w:val="23"/>
          <w:szCs w:val="23"/>
        </w:rPr>
        <w:t>m with assistance from the EDC evaluation contractors</w:t>
      </w:r>
      <w:r>
        <w:rPr>
          <w:rFonts w:ascii="Garamond" w:hAnsi="Garamond"/>
          <w:sz w:val="23"/>
          <w:szCs w:val="23"/>
        </w:rPr>
        <w:t xml:space="preserve"> to obtain the information needed to better determine the impacts of the Act 129 program relative to the PJM programs.</w:t>
      </w:r>
    </w:p>
    <w:p w:rsidR="00A03385" w:rsidRDefault="00A03385" w:rsidP="00A03385">
      <w:pPr>
        <w:spacing w:after="0" w:line="240" w:lineRule="auto"/>
        <w:rPr>
          <w:rFonts w:ascii="Garamond" w:hAnsi="Garamond"/>
          <w:sz w:val="23"/>
          <w:szCs w:val="23"/>
        </w:rPr>
      </w:pPr>
    </w:p>
    <w:p w:rsidR="00A03385" w:rsidRPr="007B1D29" w:rsidRDefault="00A03385" w:rsidP="00A03385">
      <w:pPr>
        <w:pStyle w:val="Heading2"/>
        <w:numPr>
          <w:ilvl w:val="0"/>
          <w:numId w:val="42"/>
        </w:numPr>
      </w:pPr>
      <w:bookmarkStart w:id="60" w:name="_Toc355954902"/>
      <w:r w:rsidRPr="007B1D29">
        <w:t>Survey Highlights</w:t>
      </w:r>
      <w:bookmarkEnd w:id="60"/>
    </w:p>
    <w:p w:rsidR="00A03385" w:rsidRPr="007B1D29" w:rsidRDefault="00A03385" w:rsidP="00A03385">
      <w:pPr>
        <w:spacing w:after="0" w:line="240" w:lineRule="auto"/>
        <w:rPr>
          <w:rFonts w:ascii="Garamond" w:hAnsi="Garamond"/>
          <w:sz w:val="23"/>
          <w:szCs w:val="23"/>
        </w:rPr>
      </w:pPr>
      <w:r w:rsidRPr="007B1D29">
        <w:rPr>
          <w:rFonts w:ascii="Garamond" w:hAnsi="Garamond"/>
          <w:sz w:val="23"/>
          <w:szCs w:val="23"/>
        </w:rPr>
        <w:t xml:space="preserve">A total of 86 customers participated in the survey.  Of this total, </w:t>
      </w:r>
      <w:r>
        <w:rPr>
          <w:rFonts w:ascii="Garamond" w:hAnsi="Garamond"/>
          <w:sz w:val="23"/>
          <w:szCs w:val="23"/>
        </w:rPr>
        <w:t>60%</w:t>
      </w:r>
      <w:r w:rsidRPr="007B1D29">
        <w:rPr>
          <w:rFonts w:ascii="Garamond" w:hAnsi="Garamond"/>
          <w:sz w:val="23"/>
          <w:szCs w:val="23"/>
        </w:rPr>
        <w:t xml:space="preserve"> first heard about the Act 129 load curtailment program through a curtailment service provider (CSP), either through an existing relationship or through marketing efforts of another CSP. </w:t>
      </w:r>
      <w:r>
        <w:rPr>
          <w:rFonts w:ascii="Garamond" w:hAnsi="Garamond"/>
          <w:sz w:val="23"/>
          <w:szCs w:val="23"/>
        </w:rPr>
        <w:t>23%</w:t>
      </w:r>
      <w:r w:rsidRPr="007B1D29">
        <w:rPr>
          <w:rFonts w:ascii="Garamond" w:hAnsi="Garamond"/>
          <w:sz w:val="23"/>
          <w:szCs w:val="23"/>
        </w:rPr>
        <w:t xml:space="preserve"> became aware of the program through their utility’s website, email, or bill insert.  </w:t>
      </w:r>
      <w:r>
        <w:rPr>
          <w:rFonts w:ascii="Garamond" w:hAnsi="Garamond"/>
          <w:sz w:val="23"/>
          <w:szCs w:val="23"/>
        </w:rPr>
        <w:t>67%</w:t>
      </w:r>
      <w:r w:rsidRPr="007B1D29">
        <w:rPr>
          <w:rFonts w:ascii="Garamond" w:hAnsi="Garamond"/>
          <w:sz w:val="23"/>
          <w:szCs w:val="23"/>
        </w:rPr>
        <w:t xml:space="preserve"> of the Act 129 participants also participated in the PJM Economic Demand Response program, and </w:t>
      </w:r>
      <w:r>
        <w:rPr>
          <w:rFonts w:ascii="Garamond" w:hAnsi="Garamond"/>
          <w:sz w:val="23"/>
          <w:szCs w:val="23"/>
        </w:rPr>
        <w:t>69%</w:t>
      </w:r>
      <w:r w:rsidRPr="007B1D29">
        <w:rPr>
          <w:rFonts w:ascii="Garamond" w:hAnsi="Garamond"/>
          <w:sz w:val="23"/>
          <w:szCs w:val="23"/>
        </w:rPr>
        <w:t xml:space="preserve"> of customers participated in the PJM Emergency Demand Response Program. Approximately 42% of customers participated in both PJM programs.  </w:t>
      </w:r>
    </w:p>
    <w:p w:rsidR="00A03385" w:rsidRPr="007B1D29" w:rsidRDefault="00A03385" w:rsidP="00A03385">
      <w:pPr>
        <w:spacing w:after="0" w:line="240" w:lineRule="auto"/>
        <w:rPr>
          <w:rFonts w:ascii="Garamond" w:hAnsi="Garamond"/>
          <w:sz w:val="23"/>
          <w:szCs w:val="23"/>
        </w:rPr>
      </w:pPr>
    </w:p>
    <w:p w:rsidR="00A03385" w:rsidRPr="007B1D29" w:rsidRDefault="00A03385" w:rsidP="00A03385">
      <w:pPr>
        <w:spacing w:after="0" w:line="240" w:lineRule="auto"/>
        <w:rPr>
          <w:rFonts w:ascii="Garamond" w:hAnsi="Garamond"/>
          <w:sz w:val="23"/>
          <w:szCs w:val="23"/>
        </w:rPr>
      </w:pPr>
      <w:r w:rsidRPr="007B1D29">
        <w:rPr>
          <w:rFonts w:ascii="Garamond" w:hAnsi="Garamond"/>
          <w:sz w:val="23"/>
          <w:szCs w:val="23"/>
        </w:rPr>
        <w:t>With respect to curtailment activities, customer actions focus primarily on increasing the thermostat settings of HVAC equipment, turning off lights, or shutting down/reschedulin</w:t>
      </w:r>
      <w:r>
        <w:rPr>
          <w:rFonts w:ascii="Garamond" w:hAnsi="Garamond"/>
          <w:sz w:val="23"/>
          <w:szCs w:val="23"/>
        </w:rPr>
        <w:t>g manufacturing processes. To a</w:t>
      </w:r>
      <w:r w:rsidRPr="007B1D29">
        <w:rPr>
          <w:rFonts w:ascii="Garamond" w:hAnsi="Garamond"/>
          <w:sz w:val="23"/>
          <w:szCs w:val="23"/>
        </w:rPr>
        <w:t xml:space="preserve"> lesser degree,</w:t>
      </w:r>
      <w:r>
        <w:rPr>
          <w:rFonts w:ascii="Garamond" w:hAnsi="Garamond"/>
          <w:sz w:val="23"/>
          <w:szCs w:val="23"/>
        </w:rPr>
        <w:t xml:space="preserve"> they use on-site generations. </w:t>
      </w:r>
      <w:r w:rsidRPr="007B1D29">
        <w:rPr>
          <w:rFonts w:ascii="Garamond" w:hAnsi="Garamond"/>
          <w:sz w:val="23"/>
          <w:szCs w:val="23"/>
        </w:rPr>
        <w:t>With respect to motivations for participating in load curtailment activities, receiving a financial incentive was the overwhelming response with a score of 4.3 on a scale of 0 to 5.  Being viewed as a good corporate citizen, helping the EDC avoid outages, helping avoid rolling outages, and helping to improve electric reliability all scored lower, ranging from 3.5 to 3.8.</w:t>
      </w:r>
    </w:p>
    <w:p w:rsidR="00480326" w:rsidRDefault="00480326"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7B1D29">
        <w:rPr>
          <w:rFonts w:ascii="Garamond" w:hAnsi="Garamond"/>
          <w:sz w:val="23"/>
          <w:szCs w:val="23"/>
        </w:rPr>
        <w:t xml:space="preserve">The general awareness of participants with respect to the program(s) they participated in varied.  Considerable efforts were made to contact the person most familiar with their respective </w:t>
      </w:r>
      <w:r w:rsidR="00480326">
        <w:rPr>
          <w:rFonts w:ascii="Garamond" w:hAnsi="Garamond"/>
          <w:sz w:val="23"/>
          <w:szCs w:val="23"/>
        </w:rPr>
        <w:t xml:space="preserve">facility’s </w:t>
      </w:r>
      <w:r w:rsidRPr="007B1D29">
        <w:rPr>
          <w:rFonts w:ascii="Garamond" w:hAnsi="Garamond"/>
          <w:sz w:val="23"/>
          <w:szCs w:val="23"/>
        </w:rPr>
        <w:t>participation in load curtailment activities, and in most instances,</w:t>
      </w:r>
      <w:r w:rsidR="000226C6">
        <w:rPr>
          <w:rFonts w:ascii="Garamond" w:hAnsi="Garamond"/>
          <w:sz w:val="23"/>
          <w:szCs w:val="23"/>
        </w:rPr>
        <w:t xml:space="preserve"> respondents were knowledgeable about the various demand response markets that the facility participated in</w:t>
      </w:r>
      <w:r>
        <w:rPr>
          <w:rFonts w:ascii="Garamond" w:hAnsi="Garamond"/>
          <w:sz w:val="23"/>
          <w:szCs w:val="23"/>
        </w:rPr>
        <w:t xml:space="preserve">. </w:t>
      </w:r>
      <w:r w:rsidRPr="007B1D29">
        <w:rPr>
          <w:rFonts w:ascii="Garamond" w:hAnsi="Garamond"/>
          <w:sz w:val="23"/>
          <w:szCs w:val="23"/>
        </w:rPr>
        <w:t>In some instances however, there were respondents who were not able to differentiate between the Act 129 program and the PJM programs</w:t>
      </w:r>
      <w:r>
        <w:rPr>
          <w:rFonts w:ascii="Garamond" w:hAnsi="Garamond"/>
          <w:sz w:val="23"/>
          <w:szCs w:val="23"/>
        </w:rPr>
        <w:t xml:space="preserve">. These respondents received a slightly different battery of questions tailored to understand how likely the site would have been to participate in curtailments if the Act 129 revenue were not available. </w:t>
      </w:r>
    </w:p>
    <w:p w:rsidR="00A03385" w:rsidRPr="007B1D29" w:rsidRDefault="00A03385" w:rsidP="00A03385">
      <w:pPr>
        <w:spacing w:after="0" w:line="240" w:lineRule="auto"/>
        <w:rPr>
          <w:rFonts w:ascii="Garamond" w:hAnsi="Garamond"/>
          <w:sz w:val="23"/>
          <w:szCs w:val="23"/>
        </w:rPr>
      </w:pPr>
    </w:p>
    <w:p w:rsidR="00A03385" w:rsidRPr="007B1D29" w:rsidRDefault="00A03385" w:rsidP="00A03385">
      <w:pPr>
        <w:spacing w:after="0" w:line="240" w:lineRule="auto"/>
        <w:rPr>
          <w:rFonts w:ascii="Garamond" w:hAnsi="Garamond"/>
          <w:sz w:val="23"/>
          <w:szCs w:val="23"/>
        </w:rPr>
      </w:pPr>
      <w:r w:rsidRPr="00FC6E55">
        <w:rPr>
          <w:rFonts w:ascii="Garamond" w:hAnsi="Garamond"/>
          <w:sz w:val="23"/>
          <w:szCs w:val="23"/>
        </w:rPr>
        <w:t>An in-depth look at Act 129 participants reveals that participation was influenced in large part by the high incentive</w:t>
      </w:r>
      <w:r w:rsidR="00FC6E55">
        <w:rPr>
          <w:rFonts w:ascii="Garamond" w:hAnsi="Garamond"/>
          <w:sz w:val="23"/>
          <w:szCs w:val="23"/>
        </w:rPr>
        <w:t>s</w:t>
      </w:r>
      <w:r w:rsidRPr="00FC6E55">
        <w:rPr>
          <w:rFonts w:ascii="Garamond" w:hAnsi="Garamond"/>
          <w:sz w:val="23"/>
          <w:szCs w:val="23"/>
        </w:rPr>
        <w:t>.</w:t>
      </w:r>
      <w:r w:rsidR="00FC6E55">
        <w:rPr>
          <w:rFonts w:ascii="Garamond" w:hAnsi="Garamond"/>
          <w:sz w:val="23"/>
          <w:szCs w:val="23"/>
        </w:rPr>
        <w:t xml:space="preserve"> </w:t>
      </w:r>
      <w:r w:rsidRPr="007B1D29">
        <w:rPr>
          <w:rFonts w:ascii="Garamond" w:hAnsi="Garamond"/>
          <w:sz w:val="23"/>
          <w:szCs w:val="23"/>
        </w:rPr>
        <w:t xml:space="preserve">When asked the likelihood of participating in curtailment activities if the financial incentive had been lower, only 5% of survey participants </w:t>
      </w:r>
      <w:r w:rsidR="00480326">
        <w:rPr>
          <w:rFonts w:ascii="Garamond" w:hAnsi="Garamond"/>
          <w:sz w:val="23"/>
          <w:szCs w:val="23"/>
        </w:rPr>
        <w:t xml:space="preserve">also </w:t>
      </w:r>
      <w:r w:rsidRPr="007B1D29">
        <w:rPr>
          <w:rFonts w:ascii="Garamond" w:hAnsi="Garamond"/>
          <w:sz w:val="23"/>
          <w:szCs w:val="23"/>
        </w:rPr>
        <w:t>participating in the PJM Economic Program indicated strongly that they would have still particip</w:t>
      </w:r>
      <w:r>
        <w:rPr>
          <w:rFonts w:ascii="Garamond" w:hAnsi="Garamond"/>
          <w:sz w:val="23"/>
          <w:szCs w:val="23"/>
        </w:rPr>
        <w:t xml:space="preserve">ated in curtailment activities. </w:t>
      </w:r>
      <w:r w:rsidRPr="007B1D29">
        <w:rPr>
          <w:rFonts w:ascii="Garamond" w:hAnsi="Garamond"/>
          <w:sz w:val="23"/>
          <w:szCs w:val="23"/>
        </w:rPr>
        <w:t xml:space="preserve">Similarly, only 13% of survey participants </w:t>
      </w:r>
      <w:r w:rsidR="00480326">
        <w:rPr>
          <w:rFonts w:ascii="Garamond" w:hAnsi="Garamond"/>
          <w:sz w:val="23"/>
          <w:szCs w:val="23"/>
        </w:rPr>
        <w:t xml:space="preserve">also </w:t>
      </w:r>
      <w:r w:rsidRPr="007B1D29">
        <w:rPr>
          <w:rFonts w:ascii="Garamond" w:hAnsi="Garamond"/>
          <w:sz w:val="23"/>
          <w:szCs w:val="23"/>
        </w:rPr>
        <w:t>participating in the PJM Emergency Program indicated strongly that they would have still participated in curtailment activities had the f</w:t>
      </w:r>
      <w:r w:rsidR="0046520A">
        <w:rPr>
          <w:rFonts w:ascii="Garamond" w:hAnsi="Garamond"/>
          <w:sz w:val="23"/>
          <w:szCs w:val="23"/>
        </w:rPr>
        <w:t xml:space="preserve">inancial incentive been lower. This finding suggests that EDC load curtailment programs may not be able to deliver the same level of load reduction observed in 2012 if incentives are reduced </w:t>
      </w:r>
      <w:r w:rsidR="00480326">
        <w:rPr>
          <w:rFonts w:ascii="Garamond" w:hAnsi="Garamond"/>
          <w:sz w:val="23"/>
          <w:szCs w:val="23"/>
        </w:rPr>
        <w:t xml:space="preserve">in future program years </w:t>
      </w:r>
      <w:r w:rsidR="0046520A">
        <w:rPr>
          <w:rFonts w:ascii="Garamond" w:hAnsi="Garamond"/>
          <w:sz w:val="23"/>
          <w:szCs w:val="23"/>
        </w:rPr>
        <w:t>to the levels needed to ensure cost effective programs.</w:t>
      </w:r>
    </w:p>
    <w:p w:rsidR="00A03385" w:rsidRPr="007B1D29"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7B1D29">
        <w:rPr>
          <w:rFonts w:ascii="Garamond" w:hAnsi="Garamond"/>
          <w:sz w:val="23"/>
          <w:szCs w:val="23"/>
        </w:rPr>
        <w:t>The sample of customers participating in the survey included “PJM</w:t>
      </w:r>
      <w:r>
        <w:rPr>
          <w:rFonts w:ascii="Garamond" w:hAnsi="Garamond"/>
          <w:sz w:val="23"/>
          <w:szCs w:val="23"/>
        </w:rPr>
        <w:t xml:space="preserve"> veterans” and “first-timers”. </w:t>
      </w:r>
      <w:r w:rsidRPr="007B1D29">
        <w:rPr>
          <w:rFonts w:ascii="Garamond" w:hAnsi="Garamond"/>
          <w:sz w:val="23"/>
          <w:szCs w:val="23"/>
        </w:rPr>
        <w:t>PJM veterans represent customers who participated in the PJM Economic and/or the PJM Emerge</w:t>
      </w:r>
      <w:r>
        <w:rPr>
          <w:rFonts w:ascii="Garamond" w:hAnsi="Garamond"/>
          <w:sz w:val="23"/>
          <w:szCs w:val="23"/>
        </w:rPr>
        <w:t xml:space="preserve">ncy Program in or before 2011. </w:t>
      </w:r>
      <w:r w:rsidRPr="007B1D29">
        <w:rPr>
          <w:rFonts w:ascii="Garamond" w:hAnsi="Garamond"/>
          <w:sz w:val="23"/>
          <w:szCs w:val="23"/>
        </w:rPr>
        <w:t xml:space="preserve">First-timers represent customers that participated in one or both of the </w:t>
      </w:r>
      <w:r>
        <w:rPr>
          <w:rFonts w:ascii="Garamond" w:hAnsi="Garamond"/>
          <w:sz w:val="23"/>
          <w:szCs w:val="23"/>
        </w:rPr>
        <w:t xml:space="preserve">PJM </w:t>
      </w:r>
      <w:r w:rsidRPr="007B1D29">
        <w:rPr>
          <w:rFonts w:ascii="Garamond" w:hAnsi="Garamond"/>
          <w:sz w:val="23"/>
          <w:szCs w:val="23"/>
        </w:rPr>
        <w:t xml:space="preserve">programs </w:t>
      </w:r>
      <w:r>
        <w:rPr>
          <w:rFonts w:ascii="Garamond" w:hAnsi="Garamond"/>
          <w:sz w:val="23"/>
          <w:szCs w:val="23"/>
        </w:rPr>
        <w:t>for the first time in 2012. 45% of survey participants were veterans of the PJM Economic Program, 49% were veterans of the PJM Emergency Program, and 26% were veterans of both the Economic and Emergency programs.  With respect to the PJM Economic</w:t>
      </w:r>
      <w:r w:rsidR="00FC6E55">
        <w:rPr>
          <w:rFonts w:ascii="Garamond" w:hAnsi="Garamond"/>
          <w:sz w:val="23"/>
          <w:szCs w:val="23"/>
        </w:rPr>
        <w:t xml:space="preserve"> Program, PJM v</w:t>
      </w:r>
      <w:r w:rsidRPr="007B1D29">
        <w:rPr>
          <w:rFonts w:ascii="Garamond" w:hAnsi="Garamond"/>
          <w:sz w:val="23"/>
          <w:szCs w:val="23"/>
        </w:rPr>
        <w:t xml:space="preserve">eterans were impacted less by the Act 129 program than were the first-timers, as the veterans indicated that they were more likely to participate in load curtailment activities if the total financial incentive was lower (i.e., the Act 129 incentive was not offered). Likewise, with respect to </w:t>
      </w:r>
      <w:r w:rsidR="00FC6E55">
        <w:rPr>
          <w:rFonts w:ascii="Garamond" w:hAnsi="Garamond"/>
          <w:sz w:val="23"/>
          <w:szCs w:val="23"/>
        </w:rPr>
        <w:t>the PJM Emergency Program, PJM v</w:t>
      </w:r>
      <w:r w:rsidRPr="007B1D29">
        <w:rPr>
          <w:rFonts w:ascii="Garamond" w:hAnsi="Garamond"/>
          <w:sz w:val="23"/>
          <w:szCs w:val="23"/>
        </w:rPr>
        <w:t>eterans were impacted less by the Act 129 program than were the first-timers.</w:t>
      </w:r>
      <w:r>
        <w:rPr>
          <w:rFonts w:ascii="Garamond" w:hAnsi="Garamond"/>
          <w:sz w:val="23"/>
          <w:szCs w:val="23"/>
        </w:rPr>
        <w:t xml:space="preserve"> These responses </w:t>
      </w:r>
      <w:r w:rsidR="007F14A7">
        <w:rPr>
          <w:rFonts w:ascii="Garamond" w:hAnsi="Garamond"/>
          <w:sz w:val="23"/>
          <w:szCs w:val="23"/>
        </w:rPr>
        <w:t xml:space="preserve">from first-timers </w:t>
      </w:r>
      <w:r>
        <w:rPr>
          <w:rFonts w:ascii="Garamond" w:hAnsi="Garamond"/>
          <w:sz w:val="23"/>
          <w:szCs w:val="23"/>
        </w:rPr>
        <w:t>indicate that the Act 129 programs attracted load curtailment commitments from customers who were influenced by the high incentive or may not have been willing to participate for the PJM revenue alone.</w:t>
      </w:r>
      <w:r w:rsidR="009763A6">
        <w:rPr>
          <w:rFonts w:ascii="Garamond" w:hAnsi="Garamond"/>
          <w:sz w:val="23"/>
          <w:szCs w:val="23"/>
        </w:rPr>
        <w:t xml:space="preserve"> Section </w:t>
      </w:r>
      <w:r w:rsidR="009763A6">
        <w:rPr>
          <w:rFonts w:ascii="Garamond" w:hAnsi="Garamond"/>
          <w:sz w:val="23"/>
          <w:szCs w:val="23"/>
        </w:rPr>
        <w:fldChar w:fldCharType="begin"/>
      </w:r>
      <w:r w:rsidR="009763A6">
        <w:rPr>
          <w:rFonts w:ascii="Garamond" w:hAnsi="Garamond"/>
          <w:sz w:val="23"/>
          <w:szCs w:val="23"/>
        </w:rPr>
        <w:instrText xml:space="preserve"> REF _Ref352604525 \r \h </w:instrText>
      </w:r>
      <w:r w:rsidR="009763A6">
        <w:rPr>
          <w:rFonts w:ascii="Garamond" w:hAnsi="Garamond"/>
          <w:sz w:val="23"/>
          <w:szCs w:val="23"/>
        </w:rPr>
      </w:r>
      <w:r w:rsidR="009763A6">
        <w:rPr>
          <w:rFonts w:ascii="Garamond" w:hAnsi="Garamond"/>
          <w:sz w:val="23"/>
          <w:szCs w:val="23"/>
        </w:rPr>
        <w:fldChar w:fldCharType="separate"/>
      </w:r>
      <w:r w:rsidR="00451FFF">
        <w:rPr>
          <w:rFonts w:ascii="Garamond" w:hAnsi="Garamond"/>
          <w:sz w:val="23"/>
          <w:szCs w:val="23"/>
        </w:rPr>
        <w:t>F</w:t>
      </w:r>
      <w:r w:rsidR="009763A6">
        <w:rPr>
          <w:rFonts w:ascii="Garamond" w:hAnsi="Garamond"/>
          <w:sz w:val="23"/>
          <w:szCs w:val="23"/>
        </w:rPr>
        <w:fldChar w:fldCharType="end"/>
      </w:r>
      <w:r w:rsidR="009763A6">
        <w:rPr>
          <w:rFonts w:ascii="Garamond" w:hAnsi="Garamond"/>
          <w:sz w:val="23"/>
          <w:szCs w:val="23"/>
        </w:rPr>
        <w:t xml:space="preserve"> will show that the EDC load curtailment programs were not cost effective as offered in 2012 </w:t>
      </w:r>
      <w:r w:rsidR="00480326">
        <w:rPr>
          <w:rFonts w:ascii="Garamond" w:hAnsi="Garamond"/>
          <w:sz w:val="23"/>
          <w:szCs w:val="23"/>
        </w:rPr>
        <w:t xml:space="preserve">largely because of the </w:t>
      </w:r>
      <w:r w:rsidR="009763A6">
        <w:rPr>
          <w:rFonts w:ascii="Garamond" w:hAnsi="Garamond"/>
          <w:sz w:val="23"/>
          <w:szCs w:val="23"/>
        </w:rPr>
        <w:t>EDCs overpaying customers for curtailments, so this additional par</w:t>
      </w:r>
      <w:r w:rsidR="00E76640">
        <w:rPr>
          <w:rFonts w:ascii="Garamond" w:hAnsi="Garamond"/>
          <w:sz w:val="23"/>
          <w:szCs w:val="23"/>
        </w:rPr>
        <w:t>ticipation is something that may</w:t>
      </w:r>
      <w:r w:rsidR="009763A6">
        <w:rPr>
          <w:rFonts w:ascii="Garamond" w:hAnsi="Garamond"/>
          <w:sz w:val="23"/>
          <w:szCs w:val="23"/>
        </w:rPr>
        <w:t xml:space="preserve"> not </w:t>
      </w:r>
      <w:r w:rsidR="00E76640">
        <w:rPr>
          <w:rFonts w:ascii="Garamond" w:hAnsi="Garamond"/>
          <w:sz w:val="23"/>
          <w:szCs w:val="23"/>
        </w:rPr>
        <w:t xml:space="preserve">have </w:t>
      </w:r>
      <w:r w:rsidR="009763A6">
        <w:rPr>
          <w:rFonts w:ascii="Garamond" w:hAnsi="Garamond"/>
          <w:sz w:val="23"/>
          <w:szCs w:val="23"/>
        </w:rPr>
        <w:t>benefit</w:t>
      </w:r>
      <w:r w:rsidR="00E76640">
        <w:rPr>
          <w:rFonts w:ascii="Garamond" w:hAnsi="Garamond"/>
          <w:sz w:val="23"/>
          <w:szCs w:val="23"/>
        </w:rPr>
        <w:t>ted</w:t>
      </w:r>
      <w:r w:rsidR="009763A6">
        <w:rPr>
          <w:rFonts w:ascii="Garamond" w:hAnsi="Garamond"/>
          <w:sz w:val="23"/>
          <w:szCs w:val="23"/>
        </w:rPr>
        <w:t xml:space="preserve"> the Commonwealth.</w:t>
      </w:r>
    </w:p>
    <w:p w:rsidR="00A03385" w:rsidRDefault="00A03385" w:rsidP="00A03385">
      <w:pPr>
        <w:spacing w:after="0" w:line="240" w:lineRule="auto"/>
        <w:rPr>
          <w:rFonts w:ascii="Garamond" w:hAnsi="Garamond"/>
          <w:sz w:val="23"/>
          <w:szCs w:val="23"/>
        </w:rPr>
      </w:pPr>
    </w:p>
    <w:p w:rsidR="00A03385" w:rsidRPr="00643267" w:rsidRDefault="00A03385" w:rsidP="00A03385">
      <w:pPr>
        <w:pStyle w:val="Heading2"/>
      </w:pPr>
      <w:bookmarkStart w:id="61" w:name="_Toc355954903"/>
      <w:r>
        <w:t>Survey Design</w:t>
      </w:r>
      <w:bookmarkEnd w:id="61"/>
    </w:p>
    <w:p w:rsidR="00A03385" w:rsidRDefault="00A03385" w:rsidP="00A03385">
      <w:pPr>
        <w:spacing w:after="0" w:line="240" w:lineRule="auto"/>
        <w:rPr>
          <w:rFonts w:ascii="Garamond" w:hAnsi="Garamond"/>
          <w:sz w:val="23"/>
          <w:szCs w:val="23"/>
        </w:rPr>
      </w:pPr>
      <w:r>
        <w:rPr>
          <w:rFonts w:ascii="Garamond" w:hAnsi="Garamond"/>
          <w:sz w:val="23"/>
          <w:szCs w:val="23"/>
        </w:rPr>
        <w:t xml:space="preserve">The survey was conducted on a sample of EDC customers to obtain the information needed to develop scores which could be used to allocate benefits between the Act 129 program and PJM programs. The sample design specified providing estimates with precision of ±10% at the 90% confidence level at the statewide level, which required a sample of 70 participants. The sample was stratified by area and customer type. Area was defined by EDC service territory. </w:t>
      </w:r>
      <w:r w:rsidRPr="004C4AD5">
        <w:rPr>
          <w:rFonts w:ascii="Garamond" w:hAnsi="Garamond"/>
          <w:sz w:val="23"/>
          <w:szCs w:val="23"/>
        </w:rPr>
        <w:t>Customer type was defined by the nature of a customer’s bu</w:t>
      </w:r>
      <w:r>
        <w:rPr>
          <w:rFonts w:ascii="Garamond" w:hAnsi="Garamond"/>
          <w:sz w:val="23"/>
          <w:szCs w:val="23"/>
        </w:rPr>
        <w:t xml:space="preserve">siness and energy consumption. </w:t>
      </w:r>
      <w:r w:rsidRPr="004C4AD5">
        <w:rPr>
          <w:rFonts w:ascii="Garamond" w:hAnsi="Garamond"/>
          <w:sz w:val="23"/>
          <w:szCs w:val="23"/>
        </w:rPr>
        <w:t>Analysis of the qualified population of customers revealed over 20 building types and various levels of energy consumption</w:t>
      </w:r>
      <w:r>
        <w:rPr>
          <w:rFonts w:ascii="Garamond" w:hAnsi="Garamond"/>
          <w:sz w:val="23"/>
          <w:szCs w:val="23"/>
        </w:rPr>
        <w:t xml:space="preserve"> for each. </w:t>
      </w:r>
      <w:r w:rsidRPr="004C4AD5">
        <w:rPr>
          <w:rFonts w:ascii="Garamond" w:hAnsi="Garamond"/>
          <w:sz w:val="23"/>
          <w:szCs w:val="23"/>
        </w:rPr>
        <w:t>The customer population for each EDC was analyzed, and each customer was assigned to one of four customer type categories: industrial-large, industrial-small, commercial-large, and commercial-small.</w:t>
      </w:r>
    </w:p>
    <w:p w:rsidR="00A03385" w:rsidRDefault="00A03385" w:rsidP="00A03385">
      <w:pPr>
        <w:spacing w:after="0" w:line="240" w:lineRule="auto"/>
        <w:rPr>
          <w:rFonts w:ascii="Garamond" w:hAnsi="Garamond"/>
          <w:sz w:val="23"/>
          <w:szCs w:val="23"/>
        </w:rPr>
      </w:pPr>
    </w:p>
    <w:p w:rsidR="00A03385" w:rsidRDefault="00A03385" w:rsidP="000226C6">
      <w:pPr>
        <w:spacing w:after="0" w:line="240" w:lineRule="auto"/>
        <w:rPr>
          <w:rFonts w:ascii="Garamond" w:hAnsi="Garamond"/>
          <w:sz w:val="23"/>
          <w:szCs w:val="23"/>
        </w:rPr>
      </w:pPr>
      <w:r>
        <w:rPr>
          <w:rFonts w:ascii="Garamond" w:hAnsi="Garamond"/>
          <w:sz w:val="23"/>
          <w:szCs w:val="23"/>
        </w:rPr>
        <w:t xml:space="preserve">To ensure proper representation, and to provide a level of over sampling in efforts to achieve a final sample of 70, a minimum of 10 customers was established for each EDC.  The survey was conducted via telephone interviews, which took approximately 15-20 minutes to complete. </w:t>
      </w:r>
      <w:r w:rsidR="006A025D">
        <w:rPr>
          <w:rFonts w:ascii="Garamond" w:hAnsi="Garamond"/>
          <w:sz w:val="23"/>
          <w:szCs w:val="23"/>
        </w:rPr>
        <w:fldChar w:fldCharType="begin"/>
      </w:r>
      <w:r w:rsidR="006A025D">
        <w:rPr>
          <w:rFonts w:ascii="Garamond" w:hAnsi="Garamond"/>
          <w:sz w:val="23"/>
          <w:szCs w:val="23"/>
        </w:rPr>
        <w:instrText xml:space="preserve"> REF _Ref354133452 \h </w:instrText>
      </w:r>
      <w:r w:rsidR="006A025D">
        <w:rPr>
          <w:rFonts w:ascii="Garamond" w:hAnsi="Garamond"/>
          <w:sz w:val="23"/>
          <w:szCs w:val="23"/>
        </w:rPr>
      </w:r>
      <w:r w:rsidR="006A025D">
        <w:rPr>
          <w:rFonts w:ascii="Garamond" w:hAnsi="Garamond"/>
          <w:sz w:val="23"/>
          <w:szCs w:val="23"/>
        </w:rPr>
        <w:fldChar w:fldCharType="separate"/>
      </w:r>
      <w:r w:rsidR="00451FFF" w:rsidRPr="00FB5EFD">
        <w:rPr>
          <w:rFonts w:ascii="Garamond" w:hAnsi="Garamond"/>
          <w:sz w:val="23"/>
          <w:szCs w:val="23"/>
        </w:rPr>
        <w:t xml:space="preserve">Table </w:t>
      </w:r>
      <w:r w:rsidR="00451FFF">
        <w:rPr>
          <w:rFonts w:ascii="Garamond" w:hAnsi="Garamond"/>
          <w:noProof/>
          <w:sz w:val="23"/>
          <w:szCs w:val="23"/>
        </w:rPr>
        <w:t>E</w:t>
      </w:r>
      <w:r w:rsidR="00451FFF">
        <w:rPr>
          <w:rFonts w:ascii="Garamond" w:hAnsi="Garamond"/>
          <w:sz w:val="23"/>
          <w:szCs w:val="23"/>
        </w:rPr>
        <w:noBreakHyphen/>
      </w:r>
      <w:r w:rsidR="00451FFF">
        <w:rPr>
          <w:rFonts w:ascii="Garamond" w:hAnsi="Garamond"/>
          <w:noProof/>
          <w:sz w:val="23"/>
          <w:szCs w:val="23"/>
        </w:rPr>
        <w:t>1</w:t>
      </w:r>
      <w:r w:rsidR="006A025D">
        <w:rPr>
          <w:rFonts w:ascii="Garamond" w:hAnsi="Garamond"/>
          <w:sz w:val="23"/>
          <w:szCs w:val="23"/>
        </w:rPr>
        <w:fldChar w:fldCharType="end"/>
      </w:r>
      <w:r w:rsidR="006A025D">
        <w:rPr>
          <w:rFonts w:ascii="Garamond" w:hAnsi="Garamond"/>
          <w:sz w:val="23"/>
          <w:szCs w:val="23"/>
        </w:rPr>
        <w:t xml:space="preserve"> </w:t>
      </w:r>
      <w:r>
        <w:rPr>
          <w:rFonts w:ascii="Garamond" w:hAnsi="Garamond"/>
          <w:sz w:val="23"/>
          <w:szCs w:val="23"/>
        </w:rPr>
        <w:t>presents counts for the sample selected by EDC and stratum.</w:t>
      </w:r>
    </w:p>
    <w:p w:rsidR="00A03385" w:rsidRPr="00FB5EFD" w:rsidRDefault="00A03385" w:rsidP="00A03385">
      <w:pPr>
        <w:pStyle w:val="Caption"/>
        <w:keepNext/>
        <w:jc w:val="center"/>
        <w:rPr>
          <w:rFonts w:ascii="Garamond" w:hAnsi="Garamond"/>
          <w:sz w:val="23"/>
          <w:szCs w:val="23"/>
        </w:rPr>
      </w:pPr>
      <w:bookmarkStart w:id="62" w:name="_Ref354133452"/>
      <w:r w:rsidRPr="00FB5EFD">
        <w:rPr>
          <w:rFonts w:ascii="Garamond" w:hAnsi="Garamond"/>
          <w:sz w:val="23"/>
          <w:szCs w:val="23"/>
        </w:rPr>
        <w:lastRenderedPageBreak/>
        <w:t xml:space="preserve">Table </w:t>
      </w:r>
      <w:r>
        <w:rPr>
          <w:rFonts w:ascii="Garamond" w:hAnsi="Garamond"/>
          <w:sz w:val="23"/>
          <w:szCs w:val="23"/>
        </w:rPr>
        <w:fldChar w:fldCharType="begin"/>
      </w:r>
      <w:r>
        <w:rPr>
          <w:rFonts w:ascii="Garamond" w:hAnsi="Garamond"/>
          <w:sz w:val="23"/>
          <w:szCs w:val="23"/>
        </w:rPr>
        <w:instrText xml:space="preserve"> STYLEREF 1 \s </w:instrText>
      </w:r>
      <w:r>
        <w:rPr>
          <w:rFonts w:ascii="Garamond" w:hAnsi="Garamond"/>
          <w:sz w:val="23"/>
          <w:szCs w:val="23"/>
        </w:rPr>
        <w:fldChar w:fldCharType="separate"/>
      </w:r>
      <w:r w:rsidR="00451FFF">
        <w:rPr>
          <w:rFonts w:ascii="Garamond" w:hAnsi="Garamond"/>
          <w:noProof/>
          <w:sz w:val="23"/>
          <w:szCs w:val="23"/>
        </w:rPr>
        <w:t>E</w:t>
      </w:r>
      <w:r>
        <w:rPr>
          <w:rFonts w:ascii="Garamond" w:hAnsi="Garamond"/>
          <w:sz w:val="23"/>
          <w:szCs w:val="23"/>
        </w:rPr>
        <w:fldChar w:fldCharType="end"/>
      </w:r>
      <w:r>
        <w:rPr>
          <w:rFonts w:ascii="Garamond" w:hAnsi="Garamond"/>
          <w:sz w:val="23"/>
          <w:szCs w:val="23"/>
        </w:rPr>
        <w:noBreakHyphen/>
      </w:r>
      <w:r>
        <w:rPr>
          <w:rFonts w:ascii="Garamond" w:hAnsi="Garamond"/>
          <w:sz w:val="23"/>
          <w:szCs w:val="23"/>
        </w:rPr>
        <w:fldChar w:fldCharType="begin"/>
      </w:r>
      <w:r>
        <w:rPr>
          <w:rFonts w:ascii="Garamond" w:hAnsi="Garamond"/>
          <w:sz w:val="23"/>
          <w:szCs w:val="23"/>
        </w:rPr>
        <w:instrText xml:space="preserve"> SEQ Table \* ARABIC \s 1 </w:instrText>
      </w:r>
      <w:r>
        <w:rPr>
          <w:rFonts w:ascii="Garamond" w:hAnsi="Garamond"/>
          <w:sz w:val="23"/>
          <w:szCs w:val="23"/>
        </w:rPr>
        <w:fldChar w:fldCharType="separate"/>
      </w:r>
      <w:r w:rsidR="00451FFF">
        <w:rPr>
          <w:rFonts w:ascii="Garamond" w:hAnsi="Garamond"/>
          <w:noProof/>
          <w:sz w:val="23"/>
          <w:szCs w:val="23"/>
        </w:rPr>
        <w:t>1</w:t>
      </w:r>
      <w:r>
        <w:rPr>
          <w:rFonts w:ascii="Garamond" w:hAnsi="Garamond"/>
          <w:sz w:val="23"/>
          <w:szCs w:val="23"/>
        </w:rPr>
        <w:fldChar w:fldCharType="end"/>
      </w:r>
      <w:bookmarkEnd w:id="62"/>
      <w:r>
        <w:rPr>
          <w:rFonts w:ascii="Garamond" w:hAnsi="Garamond"/>
          <w:sz w:val="23"/>
          <w:szCs w:val="23"/>
        </w:rPr>
        <w:t>: Attribution Survey Sample Design</w:t>
      </w:r>
    </w:p>
    <w:tbl>
      <w:tblPr>
        <w:tblW w:w="7758" w:type="dxa"/>
        <w:jc w:val="center"/>
        <w:tblLook w:val="04A0" w:firstRow="1" w:lastRow="0" w:firstColumn="1" w:lastColumn="0" w:noHBand="0" w:noVBand="1"/>
      </w:tblPr>
      <w:tblGrid>
        <w:gridCol w:w="1493"/>
        <w:gridCol w:w="1410"/>
        <w:gridCol w:w="1211"/>
        <w:gridCol w:w="1410"/>
        <w:gridCol w:w="1200"/>
        <w:gridCol w:w="1034"/>
      </w:tblGrid>
      <w:tr w:rsidR="00A03385" w:rsidRPr="00FB5EFD" w:rsidTr="00FC6E55">
        <w:trPr>
          <w:trHeight w:hRule="exact" w:val="576"/>
          <w:jc w:val="center"/>
        </w:trPr>
        <w:tc>
          <w:tcPr>
            <w:tcW w:w="1493"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sidRPr="00FB5EFD">
              <w:rPr>
                <w:rFonts w:ascii="Garamond" w:eastAsia="Times New Roman" w:hAnsi="Garamond" w:cs="Times New Roman"/>
                <w:b/>
                <w:color w:val="FFFFFF" w:themeColor="background1"/>
                <w:sz w:val="23"/>
                <w:szCs w:val="23"/>
              </w:rPr>
              <w:t>EDC</w:t>
            </w:r>
          </w:p>
        </w:tc>
        <w:tc>
          <w:tcPr>
            <w:tcW w:w="141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sidRPr="00FB5EFD">
              <w:rPr>
                <w:rFonts w:ascii="Garamond" w:eastAsia="Times New Roman" w:hAnsi="Garamond" w:cs="Times New Roman"/>
                <w:b/>
                <w:color w:val="FFFFFF" w:themeColor="background1"/>
                <w:sz w:val="23"/>
                <w:szCs w:val="23"/>
              </w:rPr>
              <w:t xml:space="preserve">Large Commercial </w:t>
            </w:r>
          </w:p>
        </w:tc>
        <w:tc>
          <w:tcPr>
            <w:tcW w:w="1211"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Large Industrial   </w:t>
            </w:r>
          </w:p>
        </w:tc>
        <w:tc>
          <w:tcPr>
            <w:tcW w:w="141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Small Commercial </w:t>
            </w:r>
          </w:p>
        </w:tc>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Small Industrial </w:t>
            </w:r>
          </w:p>
        </w:tc>
        <w:tc>
          <w:tcPr>
            <w:tcW w:w="1034"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sidRPr="00FB5EFD">
              <w:rPr>
                <w:rFonts w:ascii="Garamond" w:eastAsia="Times New Roman" w:hAnsi="Garamond" w:cs="Times New Roman"/>
                <w:b/>
                <w:color w:val="FFFFFF" w:themeColor="background1"/>
                <w:sz w:val="23"/>
                <w:szCs w:val="23"/>
              </w:rPr>
              <w:t>TOTAL</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Duquesne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10</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 xml:space="preserve">Met-Ed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10</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PECO</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18</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PENELEC</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10</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PPL</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6</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19</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Penn Power</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n/a</w:t>
            </w:r>
            <w:r>
              <w:rPr>
                <w:rStyle w:val="FootnoteReference"/>
                <w:rFonts w:ascii="Garamond" w:eastAsia="Times New Roman" w:hAnsi="Garamond" w:cs="Times New Roman"/>
                <w:color w:val="000000"/>
                <w:sz w:val="23"/>
                <w:szCs w:val="23"/>
              </w:rPr>
              <w:footnoteReference w:id="36"/>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10</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West Penn</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10</w:t>
            </w:r>
          </w:p>
        </w:tc>
      </w:tr>
      <w:tr w:rsidR="00A03385" w:rsidRPr="00D05C4D" w:rsidTr="00FC6E55">
        <w:trPr>
          <w:trHeight w:hRule="exact" w:val="288"/>
          <w:jc w:val="center"/>
        </w:trPr>
        <w:tc>
          <w:tcPr>
            <w:tcW w:w="14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TOTAL</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20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16</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25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26</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87</w:t>
            </w:r>
          </w:p>
        </w:tc>
      </w:tr>
    </w:tbl>
    <w:p w:rsidR="00A03385"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Pr>
          <w:rFonts w:ascii="Garamond" w:hAnsi="Garamond"/>
          <w:sz w:val="23"/>
          <w:szCs w:val="23"/>
        </w:rPr>
        <w:t xml:space="preserve">A total of 86 interviews were completed, which provided more responses than necessary to achieve the desired level of precision. There were instances when the populations for one or more subgroups within an EDC were not as large as originally expected, and it was not possible to achieve the sample quota for a particular EDC and customer type. In these cases, the calls were made to customers in other subgroups in efforts to achieve the overall sample quota for each EDC. </w:t>
      </w:r>
      <w:r w:rsidR="006A025D">
        <w:rPr>
          <w:rFonts w:ascii="Garamond" w:hAnsi="Garamond"/>
          <w:sz w:val="23"/>
          <w:szCs w:val="23"/>
        </w:rPr>
        <w:fldChar w:fldCharType="begin"/>
      </w:r>
      <w:r w:rsidR="006A025D">
        <w:rPr>
          <w:rFonts w:ascii="Garamond" w:hAnsi="Garamond"/>
          <w:sz w:val="23"/>
          <w:szCs w:val="23"/>
        </w:rPr>
        <w:instrText xml:space="preserve"> REF _Ref354133467 \h </w:instrText>
      </w:r>
      <w:r w:rsidR="006A025D">
        <w:rPr>
          <w:rFonts w:ascii="Garamond" w:hAnsi="Garamond"/>
          <w:sz w:val="23"/>
          <w:szCs w:val="23"/>
        </w:rPr>
      </w:r>
      <w:r w:rsidR="006A025D">
        <w:rPr>
          <w:rFonts w:ascii="Garamond" w:hAnsi="Garamond"/>
          <w:sz w:val="23"/>
          <w:szCs w:val="23"/>
        </w:rPr>
        <w:fldChar w:fldCharType="separate"/>
      </w:r>
      <w:r w:rsidR="00451FFF" w:rsidRPr="00FB5EFD">
        <w:rPr>
          <w:rFonts w:ascii="Garamond" w:hAnsi="Garamond"/>
          <w:sz w:val="23"/>
          <w:szCs w:val="23"/>
        </w:rPr>
        <w:t xml:space="preserve">Table </w:t>
      </w:r>
      <w:r w:rsidR="00451FFF">
        <w:rPr>
          <w:rFonts w:ascii="Garamond" w:hAnsi="Garamond"/>
          <w:noProof/>
          <w:sz w:val="23"/>
          <w:szCs w:val="23"/>
        </w:rPr>
        <w:t>E</w:t>
      </w:r>
      <w:r w:rsidR="00451FFF">
        <w:rPr>
          <w:rFonts w:ascii="Garamond" w:hAnsi="Garamond"/>
          <w:sz w:val="23"/>
          <w:szCs w:val="23"/>
        </w:rPr>
        <w:noBreakHyphen/>
      </w:r>
      <w:r w:rsidR="00451FFF">
        <w:rPr>
          <w:rFonts w:ascii="Garamond" w:hAnsi="Garamond"/>
          <w:noProof/>
          <w:sz w:val="23"/>
          <w:szCs w:val="23"/>
        </w:rPr>
        <w:t>2</w:t>
      </w:r>
      <w:r w:rsidR="006A025D">
        <w:rPr>
          <w:rFonts w:ascii="Garamond" w:hAnsi="Garamond"/>
          <w:sz w:val="23"/>
          <w:szCs w:val="23"/>
        </w:rPr>
        <w:fldChar w:fldCharType="end"/>
      </w:r>
      <w:r w:rsidR="006A025D">
        <w:rPr>
          <w:rFonts w:ascii="Garamond" w:hAnsi="Garamond"/>
          <w:sz w:val="23"/>
          <w:szCs w:val="23"/>
        </w:rPr>
        <w:t xml:space="preserve"> </w:t>
      </w:r>
      <w:r>
        <w:rPr>
          <w:rFonts w:ascii="Garamond" w:hAnsi="Garamond"/>
          <w:sz w:val="23"/>
          <w:szCs w:val="23"/>
        </w:rPr>
        <w:t xml:space="preserve">presents the sample achieved.  </w:t>
      </w:r>
    </w:p>
    <w:p w:rsidR="00A03385" w:rsidRPr="00643267" w:rsidRDefault="00A03385" w:rsidP="00A03385">
      <w:pPr>
        <w:spacing w:after="0" w:line="240" w:lineRule="auto"/>
        <w:rPr>
          <w:rFonts w:ascii="Garamond" w:hAnsi="Garamond"/>
          <w:sz w:val="23"/>
          <w:szCs w:val="23"/>
        </w:rPr>
      </w:pPr>
    </w:p>
    <w:p w:rsidR="00A03385" w:rsidRPr="00FB5EFD" w:rsidRDefault="00A03385" w:rsidP="00A03385">
      <w:pPr>
        <w:pStyle w:val="Caption"/>
        <w:keepNext/>
        <w:jc w:val="center"/>
        <w:rPr>
          <w:rFonts w:ascii="Garamond" w:hAnsi="Garamond"/>
          <w:sz w:val="23"/>
          <w:szCs w:val="23"/>
        </w:rPr>
      </w:pPr>
      <w:bookmarkStart w:id="63" w:name="_Ref354133467"/>
      <w:r w:rsidRPr="00FB5EFD">
        <w:rPr>
          <w:rFonts w:ascii="Garamond" w:hAnsi="Garamond"/>
          <w:sz w:val="23"/>
          <w:szCs w:val="23"/>
        </w:rPr>
        <w:t xml:space="preserve">Table </w:t>
      </w:r>
      <w:r>
        <w:rPr>
          <w:rFonts w:ascii="Garamond" w:hAnsi="Garamond"/>
          <w:sz w:val="23"/>
          <w:szCs w:val="23"/>
        </w:rPr>
        <w:fldChar w:fldCharType="begin"/>
      </w:r>
      <w:r>
        <w:rPr>
          <w:rFonts w:ascii="Garamond" w:hAnsi="Garamond"/>
          <w:sz w:val="23"/>
          <w:szCs w:val="23"/>
        </w:rPr>
        <w:instrText xml:space="preserve"> STYLEREF 1 \s </w:instrText>
      </w:r>
      <w:r>
        <w:rPr>
          <w:rFonts w:ascii="Garamond" w:hAnsi="Garamond"/>
          <w:sz w:val="23"/>
          <w:szCs w:val="23"/>
        </w:rPr>
        <w:fldChar w:fldCharType="separate"/>
      </w:r>
      <w:r w:rsidR="00451FFF">
        <w:rPr>
          <w:rFonts w:ascii="Garamond" w:hAnsi="Garamond"/>
          <w:noProof/>
          <w:sz w:val="23"/>
          <w:szCs w:val="23"/>
        </w:rPr>
        <w:t>E</w:t>
      </w:r>
      <w:r>
        <w:rPr>
          <w:rFonts w:ascii="Garamond" w:hAnsi="Garamond"/>
          <w:sz w:val="23"/>
          <w:szCs w:val="23"/>
        </w:rPr>
        <w:fldChar w:fldCharType="end"/>
      </w:r>
      <w:r>
        <w:rPr>
          <w:rFonts w:ascii="Garamond" w:hAnsi="Garamond"/>
          <w:sz w:val="23"/>
          <w:szCs w:val="23"/>
        </w:rPr>
        <w:noBreakHyphen/>
      </w:r>
      <w:r>
        <w:rPr>
          <w:rFonts w:ascii="Garamond" w:hAnsi="Garamond"/>
          <w:sz w:val="23"/>
          <w:szCs w:val="23"/>
        </w:rPr>
        <w:fldChar w:fldCharType="begin"/>
      </w:r>
      <w:r>
        <w:rPr>
          <w:rFonts w:ascii="Garamond" w:hAnsi="Garamond"/>
          <w:sz w:val="23"/>
          <w:szCs w:val="23"/>
        </w:rPr>
        <w:instrText xml:space="preserve"> SEQ Table \* ARABIC \s 1 </w:instrText>
      </w:r>
      <w:r>
        <w:rPr>
          <w:rFonts w:ascii="Garamond" w:hAnsi="Garamond"/>
          <w:sz w:val="23"/>
          <w:szCs w:val="23"/>
        </w:rPr>
        <w:fldChar w:fldCharType="separate"/>
      </w:r>
      <w:r w:rsidR="00451FFF">
        <w:rPr>
          <w:rFonts w:ascii="Garamond" w:hAnsi="Garamond"/>
          <w:noProof/>
          <w:sz w:val="23"/>
          <w:szCs w:val="23"/>
        </w:rPr>
        <w:t>2</w:t>
      </w:r>
      <w:r>
        <w:rPr>
          <w:rFonts w:ascii="Garamond" w:hAnsi="Garamond"/>
          <w:sz w:val="23"/>
          <w:szCs w:val="23"/>
        </w:rPr>
        <w:fldChar w:fldCharType="end"/>
      </w:r>
      <w:bookmarkEnd w:id="63"/>
      <w:r w:rsidRPr="00FB5EFD">
        <w:rPr>
          <w:rFonts w:ascii="Garamond" w:hAnsi="Garamond"/>
          <w:sz w:val="23"/>
          <w:szCs w:val="23"/>
        </w:rPr>
        <w:t>:</w:t>
      </w:r>
      <w:r w:rsidR="006A025D">
        <w:rPr>
          <w:rFonts w:ascii="Garamond" w:hAnsi="Garamond"/>
          <w:sz w:val="23"/>
          <w:szCs w:val="23"/>
        </w:rPr>
        <w:t xml:space="preserve"> Attribution Survey</w:t>
      </w:r>
      <w:r w:rsidRPr="00FB5EFD">
        <w:rPr>
          <w:rFonts w:ascii="Garamond" w:hAnsi="Garamond"/>
          <w:sz w:val="23"/>
          <w:szCs w:val="23"/>
        </w:rPr>
        <w:t xml:space="preserve"> Achieved Sample</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410"/>
        <w:gridCol w:w="1187"/>
        <w:gridCol w:w="1410"/>
        <w:gridCol w:w="1187"/>
        <w:gridCol w:w="1070"/>
      </w:tblGrid>
      <w:tr w:rsidR="00A03385" w:rsidRPr="00FB5EFD" w:rsidTr="00FC6E55">
        <w:trPr>
          <w:trHeight w:hRule="exact" w:val="576"/>
          <w:jc w:val="center"/>
        </w:trPr>
        <w:tc>
          <w:tcPr>
            <w:tcW w:w="1493" w:type="dxa"/>
            <w:shd w:val="clear" w:color="auto" w:fill="1F497D" w:themeFill="text2"/>
            <w:noWrap/>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sidRPr="00FB5EFD">
              <w:rPr>
                <w:rFonts w:ascii="Garamond" w:eastAsia="Times New Roman" w:hAnsi="Garamond" w:cs="Times New Roman"/>
                <w:b/>
                <w:color w:val="FFFFFF" w:themeColor="background1"/>
                <w:sz w:val="23"/>
                <w:szCs w:val="23"/>
              </w:rPr>
              <w:t>EDC</w:t>
            </w:r>
          </w:p>
        </w:tc>
        <w:tc>
          <w:tcPr>
            <w:tcW w:w="1410" w:type="dxa"/>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Large Commercial </w:t>
            </w:r>
          </w:p>
        </w:tc>
        <w:tc>
          <w:tcPr>
            <w:tcW w:w="1187" w:type="dxa"/>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Large Industrial   </w:t>
            </w:r>
          </w:p>
        </w:tc>
        <w:tc>
          <w:tcPr>
            <w:tcW w:w="1410" w:type="dxa"/>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Small Commercial </w:t>
            </w:r>
          </w:p>
        </w:tc>
        <w:tc>
          <w:tcPr>
            <w:tcW w:w="1187" w:type="dxa"/>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Pr>
                <w:rFonts w:ascii="Garamond" w:eastAsia="Times New Roman" w:hAnsi="Garamond" w:cs="Times New Roman"/>
                <w:b/>
                <w:color w:val="FFFFFF" w:themeColor="background1"/>
                <w:sz w:val="23"/>
                <w:szCs w:val="23"/>
              </w:rPr>
              <w:t xml:space="preserve">Small Industrial </w:t>
            </w:r>
          </w:p>
        </w:tc>
        <w:tc>
          <w:tcPr>
            <w:tcW w:w="1070" w:type="dxa"/>
            <w:shd w:val="clear" w:color="auto" w:fill="1F497D" w:themeFill="text2"/>
            <w:vAlign w:val="center"/>
            <w:hideMark/>
          </w:tcPr>
          <w:p w:rsidR="00A03385" w:rsidRPr="00FB5EFD" w:rsidRDefault="00A03385" w:rsidP="00FC6E55">
            <w:pPr>
              <w:spacing w:after="0" w:line="240" w:lineRule="auto"/>
              <w:jc w:val="center"/>
              <w:rPr>
                <w:rFonts w:ascii="Garamond" w:eastAsia="Times New Roman" w:hAnsi="Garamond" w:cs="Times New Roman"/>
                <w:b/>
                <w:color w:val="FFFFFF" w:themeColor="background1"/>
                <w:sz w:val="23"/>
                <w:szCs w:val="23"/>
              </w:rPr>
            </w:pPr>
            <w:r w:rsidRPr="00FB5EFD">
              <w:rPr>
                <w:rFonts w:ascii="Garamond" w:eastAsia="Times New Roman" w:hAnsi="Garamond" w:cs="Times New Roman"/>
                <w:b/>
                <w:color w:val="FFFFFF" w:themeColor="background1"/>
                <w:sz w:val="23"/>
                <w:szCs w:val="23"/>
              </w:rPr>
              <w:t>TOTAL</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Duquesne</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9</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 xml:space="preserve">Met-Ed </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7</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15</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PECO</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5</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17</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PENELEC</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2</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3</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11</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16</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PPL</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12</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4</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17</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Penn Power</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n/a</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6</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6</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West Penn</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0 </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6</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color w:val="000000"/>
                <w:sz w:val="23"/>
                <w:szCs w:val="23"/>
              </w:rPr>
            </w:pPr>
            <w:r w:rsidRPr="00FB5EFD">
              <w:rPr>
                <w:rFonts w:ascii="Garamond" w:eastAsia="Times New Roman" w:hAnsi="Garamond" w:cs="Times New Roman"/>
                <w:color w:val="000000"/>
                <w:sz w:val="23"/>
                <w:szCs w:val="23"/>
              </w:rPr>
              <w:t>6</w:t>
            </w:r>
          </w:p>
        </w:tc>
      </w:tr>
      <w:tr w:rsidR="00A03385" w:rsidRPr="00D05C4D" w:rsidTr="00FC6E55">
        <w:trPr>
          <w:trHeight w:hRule="exact" w:val="288"/>
          <w:jc w:val="center"/>
        </w:trPr>
        <w:tc>
          <w:tcPr>
            <w:tcW w:w="1493" w:type="dxa"/>
            <w:shd w:val="clear" w:color="auto" w:fill="auto"/>
            <w:vAlign w:val="bottom"/>
            <w:hideMark/>
          </w:tcPr>
          <w:p w:rsidR="00A03385" w:rsidRPr="00FB5EFD" w:rsidRDefault="00A03385" w:rsidP="00FC6E55">
            <w:pPr>
              <w:spacing w:after="0" w:line="240" w:lineRule="auto"/>
              <w:jc w:val="left"/>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TOTAL</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19</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11</w:t>
            </w:r>
          </w:p>
        </w:tc>
        <w:tc>
          <w:tcPr>
            <w:tcW w:w="141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20</w:t>
            </w:r>
          </w:p>
        </w:tc>
        <w:tc>
          <w:tcPr>
            <w:tcW w:w="1187"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36</w:t>
            </w:r>
          </w:p>
        </w:tc>
        <w:tc>
          <w:tcPr>
            <w:tcW w:w="1070" w:type="dxa"/>
            <w:shd w:val="clear" w:color="auto" w:fill="auto"/>
            <w:vAlign w:val="bottom"/>
            <w:hideMark/>
          </w:tcPr>
          <w:p w:rsidR="00A03385" w:rsidRPr="00FB5EFD" w:rsidRDefault="00A03385" w:rsidP="00FC6E55">
            <w:pPr>
              <w:spacing w:after="0" w:line="240" w:lineRule="auto"/>
              <w:jc w:val="center"/>
              <w:rPr>
                <w:rFonts w:ascii="Garamond" w:eastAsia="Times New Roman" w:hAnsi="Garamond" w:cs="Times New Roman"/>
                <w:b/>
                <w:color w:val="000000"/>
                <w:sz w:val="23"/>
                <w:szCs w:val="23"/>
              </w:rPr>
            </w:pPr>
            <w:r w:rsidRPr="00FB5EFD">
              <w:rPr>
                <w:rFonts w:ascii="Garamond" w:eastAsia="Times New Roman" w:hAnsi="Garamond" w:cs="Times New Roman"/>
                <w:b/>
                <w:color w:val="000000"/>
                <w:sz w:val="23"/>
                <w:szCs w:val="23"/>
              </w:rPr>
              <w:t>86</w:t>
            </w:r>
          </w:p>
        </w:tc>
      </w:tr>
    </w:tbl>
    <w:p w:rsidR="00A03385" w:rsidRPr="00643267"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p>
    <w:p w:rsidR="00A03385" w:rsidRPr="00643267" w:rsidRDefault="00A03385" w:rsidP="00A03385">
      <w:pPr>
        <w:pStyle w:val="Heading2"/>
      </w:pPr>
      <w:bookmarkStart w:id="64" w:name="_Toc355954904"/>
      <w:r w:rsidRPr="00643267">
        <w:t>Survey Scoring Methodology</w:t>
      </w:r>
      <w:r>
        <w:t xml:space="preserve"> &amp; results</w:t>
      </w:r>
      <w:bookmarkEnd w:id="64"/>
    </w:p>
    <w:p w:rsidR="00A03385" w:rsidRDefault="00A03385" w:rsidP="00A03385">
      <w:pPr>
        <w:spacing w:after="0" w:line="240" w:lineRule="auto"/>
        <w:rPr>
          <w:rFonts w:ascii="Garamond" w:hAnsi="Garamond"/>
          <w:sz w:val="23"/>
          <w:szCs w:val="23"/>
        </w:rPr>
      </w:pPr>
      <w:r w:rsidRPr="00643267">
        <w:rPr>
          <w:rFonts w:ascii="Garamond" w:hAnsi="Garamond"/>
          <w:sz w:val="23"/>
          <w:szCs w:val="23"/>
        </w:rPr>
        <w:t xml:space="preserve">The SWE requested a record for each participating customer for each hour during which an Act 129 load reduction </w:t>
      </w:r>
      <w:r>
        <w:rPr>
          <w:rFonts w:ascii="Garamond" w:hAnsi="Garamond"/>
          <w:sz w:val="23"/>
          <w:szCs w:val="23"/>
        </w:rPr>
        <w:t>was</w:t>
      </w:r>
      <w:r w:rsidRPr="00643267">
        <w:rPr>
          <w:rFonts w:ascii="Garamond" w:hAnsi="Garamond"/>
          <w:sz w:val="23"/>
          <w:szCs w:val="23"/>
        </w:rPr>
        <w:t xml:space="preserve"> claimed in the Event Specific Information portion of the SWE Demand Response Data Request. Among the requested information </w:t>
      </w:r>
      <w:r>
        <w:rPr>
          <w:rFonts w:ascii="Garamond" w:hAnsi="Garamond"/>
          <w:sz w:val="23"/>
          <w:szCs w:val="23"/>
        </w:rPr>
        <w:t>wa</w:t>
      </w:r>
      <w:r w:rsidRPr="00643267">
        <w:rPr>
          <w:rFonts w:ascii="Garamond" w:hAnsi="Garamond"/>
          <w:sz w:val="23"/>
          <w:szCs w:val="23"/>
        </w:rPr>
        <w:t xml:space="preserve">s whether the customer was also participating in a PJM </w:t>
      </w:r>
      <w:r w:rsidR="00B82F27">
        <w:rPr>
          <w:rFonts w:ascii="Garamond" w:hAnsi="Garamond"/>
          <w:sz w:val="23"/>
          <w:szCs w:val="23"/>
        </w:rPr>
        <w:t xml:space="preserve">Economic or Emergency </w:t>
      </w:r>
      <w:r w:rsidRPr="00643267">
        <w:rPr>
          <w:rFonts w:ascii="Garamond" w:hAnsi="Garamond"/>
          <w:sz w:val="23"/>
          <w:szCs w:val="23"/>
        </w:rPr>
        <w:t>DR event during the hour. This data w</w:t>
      </w:r>
      <w:r>
        <w:rPr>
          <w:rFonts w:ascii="Garamond" w:hAnsi="Garamond"/>
          <w:sz w:val="23"/>
          <w:szCs w:val="23"/>
        </w:rPr>
        <w:t>as</w:t>
      </w:r>
      <w:r w:rsidRPr="00643267">
        <w:rPr>
          <w:rFonts w:ascii="Garamond" w:hAnsi="Garamond"/>
          <w:sz w:val="23"/>
          <w:szCs w:val="23"/>
        </w:rPr>
        <w:t xml:space="preserve"> used to determine the frequency of overlapping participation in the Act 129 and PJM markets. Overlapping participation for the purposes of this study means that the customer curtailed the same load during the same hour and received an incentive from both revenue streams.</w:t>
      </w:r>
    </w:p>
    <w:p w:rsidR="00A03385" w:rsidRPr="00643267"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643267">
        <w:rPr>
          <w:rFonts w:ascii="Garamond" w:hAnsi="Garamond"/>
          <w:sz w:val="23"/>
          <w:szCs w:val="23"/>
        </w:rPr>
        <w:t>Once instances of overlap</w:t>
      </w:r>
      <w:r>
        <w:rPr>
          <w:rFonts w:ascii="Garamond" w:hAnsi="Garamond"/>
          <w:sz w:val="23"/>
          <w:szCs w:val="23"/>
        </w:rPr>
        <w:t>ping participation</w:t>
      </w:r>
      <w:r w:rsidRPr="00643267">
        <w:rPr>
          <w:rFonts w:ascii="Garamond" w:hAnsi="Garamond"/>
          <w:sz w:val="23"/>
          <w:szCs w:val="23"/>
        </w:rPr>
        <w:t xml:space="preserve"> </w:t>
      </w:r>
      <w:r>
        <w:rPr>
          <w:rFonts w:ascii="Garamond" w:hAnsi="Garamond"/>
          <w:sz w:val="23"/>
          <w:szCs w:val="23"/>
        </w:rPr>
        <w:t>were</w:t>
      </w:r>
      <w:r w:rsidRPr="00643267">
        <w:rPr>
          <w:rFonts w:ascii="Garamond" w:hAnsi="Garamond"/>
          <w:sz w:val="23"/>
          <w:szCs w:val="23"/>
        </w:rPr>
        <w:t xml:space="preserve"> identified, it </w:t>
      </w:r>
      <w:r>
        <w:rPr>
          <w:rFonts w:ascii="Garamond" w:hAnsi="Garamond"/>
          <w:sz w:val="23"/>
          <w:szCs w:val="23"/>
        </w:rPr>
        <w:t>wa</w:t>
      </w:r>
      <w:r w:rsidRPr="00643267">
        <w:rPr>
          <w:rFonts w:ascii="Garamond" w:hAnsi="Garamond"/>
          <w:sz w:val="23"/>
          <w:szCs w:val="23"/>
        </w:rPr>
        <w:t xml:space="preserve">s necessary to allocate benefits to the two programs which incented the customer to reduce load during the event. </w:t>
      </w:r>
      <w:r>
        <w:rPr>
          <w:rFonts w:ascii="Garamond" w:hAnsi="Garamond"/>
          <w:sz w:val="23"/>
          <w:szCs w:val="23"/>
        </w:rPr>
        <w:t>In efforts to obtain information needed to allocate benefits, t</w:t>
      </w:r>
      <w:r w:rsidRPr="00643267">
        <w:rPr>
          <w:rFonts w:ascii="Garamond" w:hAnsi="Garamond"/>
          <w:sz w:val="23"/>
          <w:szCs w:val="23"/>
        </w:rPr>
        <w:t xml:space="preserve">he SWE </w:t>
      </w:r>
      <w:r>
        <w:rPr>
          <w:rFonts w:ascii="Garamond" w:hAnsi="Garamond"/>
          <w:sz w:val="23"/>
          <w:szCs w:val="23"/>
        </w:rPr>
        <w:t>contacted</w:t>
      </w:r>
      <w:r w:rsidRPr="00643267">
        <w:rPr>
          <w:rFonts w:ascii="Garamond" w:hAnsi="Garamond"/>
          <w:sz w:val="23"/>
          <w:szCs w:val="23"/>
        </w:rPr>
        <w:t xml:space="preserve"> participants </w:t>
      </w:r>
      <w:r>
        <w:rPr>
          <w:rFonts w:ascii="Garamond" w:hAnsi="Garamond"/>
          <w:sz w:val="23"/>
          <w:szCs w:val="23"/>
        </w:rPr>
        <w:t xml:space="preserve">to </w:t>
      </w:r>
      <w:r w:rsidRPr="00643267">
        <w:rPr>
          <w:rFonts w:ascii="Garamond" w:hAnsi="Garamond"/>
          <w:sz w:val="23"/>
          <w:szCs w:val="23"/>
        </w:rPr>
        <w:t xml:space="preserve">gain insight into their motivation for participation and </w:t>
      </w:r>
      <w:r>
        <w:rPr>
          <w:rFonts w:ascii="Garamond" w:hAnsi="Garamond"/>
          <w:sz w:val="23"/>
          <w:szCs w:val="23"/>
        </w:rPr>
        <w:t xml:space="preserve">their </w:t>
      </w:r>
      <w:r w:rsidRPr="00643267">
        <w:rPr>
          <w:rFonts w:ascii="Garamond" w:hAnsi="Garamond"/>
          <w:sz w:val="23"/>
          <w:szCs w:val="23"/>
        </w:rPr>
        <w:t>decision</w:t>
      </w:r>
      <w:r>
        <w:rPr>
          <w:rFonts w:ascii="Garamond" w:hAnsi="Garamond"/>
          <w:sz w:val="23"/>
          <w:szCs w:val="23"/>
        </w:rPr>
        <w:t>-</w:t>
      </w:r>
      <w:r w:rsidRPr="00643267">
        <w:rPr>
          <w:rFonts w:ascii="Garamond" w:hAnsi="Garamond"/>
          <w:sz w:val="23"/>
          <w:szCs w:val="23"/>
        </w:rPr>
        <w:t xml:space="preserve">making process. </w:t>
      </w:r>
    </w:p>
    <w:p w:rsidR="00A03385" w:rsidRPr="00643267" w:rsidRDefault="00A03385" w:rsidP="00A03385">
      <w:pPr>
        <w:spacing w:after="0" w:line="240" w:lineRule="auto"/>
        <w:rPr>
          <w:rFonts w:ascii="Garamond" w:hAnsi="Garamond"/>
          <w:sz w:val="23"/>
          <w:szCs w:val="23"/>
        </w:rPr>
      </w:pPr>
    </w:p>
    <w:p w:rsidR="00A03385" w:rsidRDefault="00A03385" w:rsidP="00A03385">
      <w:pPr>
        <w:spacing w:after="120" w:line="240" w:lineRule="auto"/>
        <w:rPr>
          <w:rFonts w:ascii="Garamond" w:hAnsi="Garamond"/>
          <w:sz w:val="23"/>
          <w:szCs w:val="23"/>
        </w:rPr>
      </w:pPr>
      <w:r w:rsidRPr="00643267">
        <w:rPr>
          <w:rFonts w:ascii="Garamond" w:hAnsi="Garamond"/>
          <w:sz w:val="23"/>
          <w:szCs w:val="23"/>
        </w:rPr>
        <w:lastRenderedPageBreak/>
        <w:t>The SWE developed the concept of an Incremental Benefits Ratio to express the allocation of benefits between the two markets when overlapping participation exist</w:t>
      </w:r>
      <w:r>
        <w:rPr>
          <w:rFonts w:ascii="Garamond" w:hAnsi="Garamond"/>
          <w:sz w:val="23"/>
          <w:szCs w:val="23"/>
        </w:rPr>
        <w:t xml:space="preserve">ed. </w:t>
      </w:r>
      <w:r w:rsidRPr="00643267">
        <w:rPr>
          <w:rFonts w:ascii="Garamond" w:hAnsi="Garamond"/>
          <w:sz w:val="23"/>
          <w:szCs w:val="23"/>
        </w:rPr>
        <w:t xml:space="preserve">The Incremental Benefits Ratio is a number between 0 and 1 which represents the percentage of the total energy and capacity benefits that are attributable to the Act 129 program. If the Act 129 program </w:t>
      </w:r>
      <w:r>
        <w:rPr>
          <w:rFonts w:ascii="Garamond" w:hAnsi="Garamond"/>
          <w:sz w:val="23"/>
          <w:szCs w:val="23"/>
        </w:rPr>
        <w:t>wa</w:t>
      </w:r>
      <w:r w:rsidRPr="00643267">
        <w:rPr>
          <w:rFonts w:ascii="Garamond" w:hAnsi="Garamond"/>
          <w:sz w:val="23"/>
          <w:szCs w:val="23"/>
        </w:rPr>
        <w:t xml:space="preserve">s the primary driver of customer participation, the Incremental Benefits Ratio </w:t>
      </w:r>
      <w:r>
        <w:rPr>
          <w:rFonts w:ascii="Garamond" w:hAnsi="Garamond"/>
          <w:sz w:val="23"/>
          <w:szCs w:val="23"/>
        </w:rPr>
        <w:t>is</w:t>
      </w:r>
      <w:r w:rsidRPr="00643267">
        <w:rPr>
          <w:rFonts w:ascii="Garamond" w:hAnsi="Garamond"/>
          <w:sz w:val="23"/>
          <w:szCs w:val="23"/>
        </w:rPr>
        <w:t xml:space="preserve"> close to 1. The following equations w</w:t>
      </w:r>
      <w:r>
        <w:rPr>
          <w:rFonts w:ascii="Garamond" w:hAnsi="Garamond"/>
          <w:sz w:val="23"/>
          <w:szCs w:val="23"/>
        </w:rPr>
        <w:t>ere</w:t>
      </w:r>
      <w:r w:rsidRPr="00643267">
        <w:rPr>
          <w:rFonts w:ascii="Garamond" w:hAnsi="Garamond"/>
          <w:sz w:val="23"/>
          <w:szCs w:val="23"/>
        </w:rPr>
        <w:t xml:space="preserve"> applied to the benefits when overlapping participation </w:t>
      </w:r>
      <w:r>
        <w:rPr>
          <w:rFonts w:ascii="Garamond" w:hAnsi="Garamond"/>
          <w:sz w:val="23"/>
          <w:szCs w:val="23"/>
        </w:rPr>
        <w:t>was</w:t>
      </w:r>
      <w:r w:rsidRPr="00643267">
        <w:rPr>
          <w:rFonts w:ascii="Garamond" w:hAnsi="Garamond"/>
          <w:sz w:val="23"/>
          <w:szCs w:val="23"/>
        </w:rPr>
        <w:t xml:space="preserve"> observed:</w:t>
      </w:r>
    </w:p>
    <w:p w:rsidR="00A03385" w:rsidRPr="00643267" w:rsidRDefault="00A03385" w:rsidP="00A03385">
      <w:pPr>
        <w:spacing w:after="120" w:line="240" w:lineRule="auto"/>
        <w:rPr>
          <w:rFonts w:ascii="Garamond" w:hAnsi="Garamond"/>
          <w:sz w:val="23"/>
          <w:szCs w:val="23"/>
        </w:rPr>
      </w:pPr>
    </w:p>
    <w:p w:rsidR="00A03385" w:rsidRPr="00643267" w:rsidRDefault="00A03385" w:rsidP="00A03385">
      <w:pPr>
        <w:rPr>
          <w:rFonts w:ascii="Garamond" w:hAnsi="Garamond"/>
          <w:b/>
          <w:sz w:val="20"/>
          <w:szCs w:val="23"/>
        </w:rPr>
      </w:pPr>
      <m:oMathPara>
        <m:oMath>
          <m:r>
            <m:rPr>
              <m:sty m:val="bi"/>
            </m:rPr>
            <w:rPr>
              <w:rFonts w:ascii="Cambria Math" w:hAnsi="Cambria Math"/>
              <w:sz w:val="20"/>
              <w:szCs w:val="23"/>
            </w:rPr>
            <m:t>Act</m:t>
          </m:r>
          <m:r>
            <m:rPr>
              <m:sty m:val="bi"/>
            </m:rPr>
            <w:rPr>
              <w:rFonts w:ascii="Cambria Math" w:hAnsi="Garamond"/>
              <w:sz w:val="20"/>
              <w:szCs w:val="23"/>
            </w:rPr>
            <m:t xml:space="preserve"> </m:t>
          </m:r>
          <m:r>
            <m:rPr>
              <m:sty m:val="bi"/>
            </m:rPr>
            <w:rPr>
              <w:rFonts w:ascii="Cambria Math" w:hAnsi="Cambria Math"/>
              <w:sz w:val="20"/>
              <w:szCs w:val="23"/>
            </w:rPr>
            <m:t>129</m:t>
          </m:r>
          <m:r>
            <m:rPr>
              <m:sty m:val="bi"/>
            </m:rPr>
            <w:rPr>
              <w:rFonts w:ascii="Cambria Math" w:hAnsi="Garamond"/>
              <w:sz w:val="20"/>
              <w:szCs w:val="23"/>
            </w:rPr>
            <m:t xml:space="preserve"> </m:t>
          </m:r>
          <m:r>
            <m:rPr>
              <m:sty m:val="bi"/>
            </m:rPr>
            <w:rPr>
              <w:rFonts w:ascii="Cambria Math" w:hAnsi="Cambria Math"/>
              <w:sz w:val="20"/>
              <w:szCs w:val="23"/>
            </w:rPr>
            <m:t>Benefits</m:t>
          </m:r>
          <m:r>
            <m:rPr>
              <m:sty m:val="bi"/>
            </m:rPr>
            <w:rPr>
              <w:rFonts w:ascii="Cambria Math" w:hAnsi="Garamond"/>
              <w:sz w:val="20"/>
              <w:szCs w:val="23"/>
            </w:rPr>
            <m:t>=</m:t>
          </m:r>
          <m:d>
            <m:dPr>
              <m:ctrlPr>
                <w:rPr>
                  <w:rFonts w:ascii="Cambria Math" w:hAnsi="Garamond"/>
                  <w:b/>
                  <w:i/>
                  <w:sz w:val="20"/>
                  <w:szCs w:val="23"/>
                </w:rPr>
              </m:ctrlPr>
            </m:dPr>
            <m:e>
              <m:r>
                <m:rPr>
                  <m:sty m:val="bi"/>
                </m:rPr>
                <w:rPr>
                  <w:rFonts w:ascii="Cambria Math" w:hAnsi="Cambria Math"/>
                  <w:sz w:val="20"/>
                  <w:szCs w:val="23"/>
                </w:rPr>
                <m:t>Total</m:t>
              </m:r>
              <m:r>
                <m:rPr>
                  <m:sty m:val="bi"/>
                </m:rPr>
                <w:rPr>
                  <w:rFonts w:ascii="Cambria Math" w:hAnsi="Garamond"/>
                  <w:sz w:val="20"/>
                  <w:szCs w:val="23"/>
                </w:rPr>
                <m:t xml:space="preserve"> </m:t>
              </m:r>
              <m:r>
                <m:rPr>
                  <m:sty m:val="bi"/>
                </m:rPr>
                <w:rPr>
                  <w:rFonts w:ascii="Cambria Math" w:hAnsi="Cambria Math"/>
                  <w:sz w:val="20"/>
                  <w:szCs w:val="23"/>
                </w:rPr>
                <m:t>Energy</m:t>
              </m:r>
              <m:r>
                <m:rPr>
                  <m:sty m:val="bi"/>
                </m:rPr>
                <w:rPr>
                  <w:rFonts w:ascii="Cambria Math" w:hAnsi="Garamond"/>
                  <w:sz w:val="20"/>
                  <w:szCs w:val="23"/>
                </w:rPr>
                <m:t xml:space="preserve"> </m:t>
              </m:r>
              <m:r>
                <m:rPr>
                  <m:sty m:val="bi"/>
                </m:rPr>
                <w:rPr>
                  <w:rFonts w:ascii="Cambria Math" w:hAnsi="Cambria Math"/>
                  <w:sz w:val="20"/>
                  <w:szCs w:val="23"/>
                </w:rPr>
                <m:t>and</m:t>
              </m:r>
              <m:r>
                <m:rPr>
                  <m:sty m:val="bi"/>
                </m:rPr>
                <w:rPr>
                  <w:rFonts w:ascii="Cambria Math" w:hAnsi="Garamond"/>
                  <w:sz w:val="20"/>
                  <w:szCs w:val="23"/>
                </w:rPr>
                <m:t xml:space="preserve"> </m:t>
              </m:r>
              <m:r>
                <m:rPr>
                  <m:sty m:val="bi"/>
                </m:rPr>
                <w:rPr>
                  <w:rFonts w:ascii="Cambria Math" w:hAnsi="Cambria Math"/>
                  <w:sz w:val="20"/>
                  <w:szCs w:val="23"/>
                </w:rPr>
                <m:t>Capacity</m:t>
              </m:r>
              <m:r>
                <m:rPr>
                  <m:sty m:val="bi"/>
                </m:rPr>
                <w:rPr>
                  <w:rFonts w:ascii="Cambria Math" w:hAnsi="Garamond"/>
                  <w:sz w:val="20"/>
                  <w:szCs w:val="23"/>
                </w:rPr>
                <m:t xml:space="preserve"> </m:t>
              </m:r>
              <m:r>
                <m:rPr>
                  <m:sty m:val="bi"/>
                </m:rPr>
                <w:rPr>
                  <w:rFonts w:ascii="Cambria Math" w:hAnsi="Cambria Math"/>
                  <w:sz w:val="20"/>
                  <w:szCs w:val="23"/>
                </w:rPr>
                <m:t>Benefits</m:t>
              </m:r>
            </m:e>
          </m:d>
          <m:r>
            <m:rPr>
              <m:sty m:val="bi"/>
            </m:rPr>
            <w:rPr>
              <w:rFonts w:ascii="Garamond" w:hAnsi="Cambria Math"/>
              <w:sz w:val="20"/>
              <w:szCs w:val="23"/>
            </w:rPr>
            <m:t>*</m:t>
          </m:r>
          <m:r>
            <m:rPr>
              <m:sty m:val="bi"/>
            </m:rPr>
            <w:rPr>
              <w:rFonts w:ascii="Cambria Math" w:hAnsi="Garamond"/>
              <w:sz w:val="20"/>
              <w:szCs w:val="23"/>
            </w:rPr>
            <m:t>(</m:t>
          </m:r>
          <m:r>
            <m:rPr>
              <m:sty m:val="bi"/>
            </m:rPr>
            <w:rPr>
              <w:rFonts w:ascii="Cambria Math" w:hAnsi="Cambria Math"/>
              <w:sz w:val="20"/>
              <w:szCs w:val="23"/>
            </w:rPr>
            <m:t>Incremental</m:t>
          </m:r>
          <m:r>
            <m:rPr>
              <m:sty m:val="bi"/>
            </m:rPr>
            <w:rPr>
              <w:rFonts w:ascii="Cambria Math" w:hAnsi="Garamond"/>
              <w:sz w:val="20"/>
              <w:szCs w:val="23"/>
            </w:rPr>
            <m:t xml:space="preserve"> </m:t>
          </m:r>
          <m:r>
            <m:rPr>
              <m:sty m:val="bi"/>
            </m:rPr>
            <w:rPr>
              <w:rFonts w:ascii="Cambria Math" w:hAnsi="Cambria Math"/>
              <w:sz w:val="20"/>
              <w:szCs w:val="23"/>
            </w:rPr>
            <m:t>Benefits</m:t>
          </m:r>
          <m:r>
            <m:rPr>
              <m:sty m:val="bi"/>
            </m:rPr>
            <w:rPr>
              <w:rFonts w:ascii="Cambria Math" w:hAnsi="Garamond"/>
              <w:sz w:val="20"/>
              <w:szCs w:val="23"/>
            </w:rPr>
            <m:t xml:space="preserve"> </m:t>
          </m:r>
          <m:r>
            <m:rPr>
              <m:sty m:val="bi"/>
            </m:rPr>
            <w:rPr>
              <w:rFonts w:ascii="Cambria Math" w:hAnsi="Cambria Math"/>
              <w:sz w:val="20"/>
              <w:szCs w:val="23"/>
            </w:rPr>
            <m:t>Ratio</m:t>
          </m:r>
          <m:r>
            <m:rPr>
              <m:sty m:val="bi"/>
            </m:rPr>
            <w:rPr>
              <w:rFonts w:ascii="Cambria Math" w:hAnsi="Garamond"/>
              <w:sz w:val="20"/>
              <w:szCs w:val="23"/>
            </w:rPr>
            <m:t>)</m:t>
          </m:r>
        </m:oMath>
      </m:oMathPara>
    </w:p>
    <w:p w:rsidR="00A03385" w:rsidRPr="00643267" w:rsidRDefault="00A03385" w:rsidP="00A03385">
      <w:pPr>
        <w:rPr>
          <w:rFonts w:ascii="Garamond" w:hAnsi="Garamond"/>
          <w:sz w:val="20"/>
          <w:szCs w:val="23"/>
        </w:rPr>
      </w:pPr>
      <m:oMathPara>
        <m:oMath>
          <m:r>
            <m:rPr>
              <m:sty m:val="bi"/>
            </m:rPr>
            <w:rPr>
              <w:rFonts w:ascii="Cambria Math" w:hAnsi="Cambria Math"/>
              <w:sz w:val="20"/>
              <w:szCs w:val="23"/>
            </w:rPr>
            <m:t>PJM</m:t>
          </m:r>
          <m:r>
            <m:rPr>
              <m:sty m:val="bi"/>
            </m:rPr>
            <w:rPr>
              <w:rFonts w:ascii="Cambria Math" w:hAnsi="Garamond"/>
              <w:sz w:val="20"/>
              <w:szCs w:val="23"/>
            </w:rPr>
            <m:t xml:space="preserve"> </m:t>
          </m:r>
          <m:r>
            <m:rPr>
              <m:sty m:val="bi"/>
            </m:rPr>
            <w:rPr>
              <w:rFonts w:ascii="Cambria Math" w:hAnsi="Cambria Math"/>
              <w:sz w:val="20"/>
              <w:szCs w:val="23"/>
            </w:rPr>
            <m:t>Benefits</m:t>
          </m:r>
          <m:r>
            <m:rPr>
              <m:sty m:val="bi"/>
            </m:rPr>
            <w:rPr>
              <w:rFonts w:ascii="Cambria Math" w:hAnsi="Garamond"/>
              <w:sz w:val="20"/>
              <w:szCs w:val="23"/>
            </w:rPr>
            <m:t>=</m:t>
          </m:r>
          <m:d>
            <m:dPr>
              <m:ctrlPr>
                <w:rPr>
                  <w:rFonts w:ascii="Cambria Math" w:hAnsi="Garamond"/>
                  <w:b/>
                  <w:i/>
                  <w:sz w:val="20"/>
                  <w:szCs w:val="23"/>
                </w:rPr>
              </m:ctrlPr>
            </m:dPr>
            <m:e>
              <m:r>
                <m:rPr>
                  <m:sty m:val="bi"/>
                </m:rPr>
                <w:rPr>
                  <w:rFonts w:ascii="Cambria Math" w:hAnsi="Cambria Math"/>
                  <w:sz w:val="20"/>
                  <w:szCs w:val="23"/>
                </w:rPr>
                <m:t>Total</m:t>
              </m:r>
              <m:r>
                <m:rPr>
                  <m:sty m:val="bi"/>
                </m:rPr>
                <w:rPr>
                  <w:rFonts w:ascii="Cambria Math" w:hAnsi="Garamond"/>
                  <w:sz w:val="20"/>
                  <w:szCs w:val="23"/>
                </w:rPr>
                <m:t xml:space="preserve"> </m:t>
              </m:r>
              <m:r>
                <m:rPr>
                  <m:sty m:val="bi"/>
                </m:rPr>
                <w:rPr>
                  <w:rFonts w:ascii="Cambria Math" w:hAnsi="Cambria Math"/>
                  <w:sz w:val="20"/>
                  <w:szCs w:val="23"/>
                </w:rPr>
                <m:t>Energy</m:t>
              </m:r>
              <m:r>
                <m:rPr>
                  <m:sty m:val="bi"/>
                </m:rPr>
                <w:rPr>
                  <w:rFonts w:ascii="Cambria Math" w:hAnsi="Garamond"/>
                  <w:sz w:val="20"/>
                  <w:szCs w:val="23"/>
                </w:rPr>
                <m:t xml:space="preserve"> </m:t>
              </m:r>
              <m:r>
                <m:rPr>
                  <m:sty m:val="bi"/>
                </m:rPr>
                <w:rPr>
                  <w:rFonts w:ascii="Cambria Math" w:hAnsi="Cambria Math"/>
                  <w:sz w:val="20"/>
                  <w:szCs w:val="23"/>
                </w:rPr>
                <m:t>and</m:t>
              </m:r>
              <m:r>
                <m:rPr>
                  <m:sty m:val="bi"/>
                </m:rPr>
                <w:rPr>
                  <w:rFonts w:ascii="Cambria Math" w:hAnsi="Garamond"/>
                  <w:sz w:val="20"/>
                  <w:szCs w:val="23"/>
                </w:rPr>
                <m:t xml:space="preserve"> </m:t>
              </m:r>
              <m:r>
                <m:rPr>
                  <m:sty m:val="bi"/>
                </m:rPr>
                <w:rPr>
                  <w:rFonts w:ascii="Cambria Math" w:hAnsi="Cambria Math"/>
                  <w:sz w:val="20"/>
                  <w:szCs w:val="23"/>
                </w:rPr>
                <m:t>Capacity</m:t>
              </m:r>
              <m:r>
                <m:rPr>
                  <m:sty m:val="bi"/>
                </m:rPr>
                <w:rPr>
                  <w:rFonts w:ascii="Cambria Math" w:hAnsi="Garamond"/>
                  <w:sz w:val="20"/>
                  <w:szCs w:val="23"/>
                </w:rPr>
                <m:t xml:space="preserve"> </m:t>
              </m:r>
              <m:r>
                <m:rPr>
                  <m:sty m:val="bi"/>
                </m:rPr>
                <w:rPr>
                  <w:rFonts w:ascii="Cambria Math" w:hAnsi="Cambria Math"/>
                  <w:sz w:val="20"/>
                  <w:szCs w:val="23"/>
                </w:rPr>
                <m:t>Benefits</m:t>
              </m:r>
            </m:e>
          </m:d>
          <m:r>
            <m:rPr>
              <m:sty m:val="bi"/>
            </m:rPr>
            <w:rPr>
              <w:rFonts w:ascii="Garamond" w:hAnsi="Cambria Math"/>
              <w:sz w:val="20"/>
              <w:szCs w:val="23"/>
            </w:rPr>
            <m:t>*</m:t>
          </m:r>
          <m:r>
            <m:rPr>
              <m:sty m:val="bi"/>
            </m:rPr>
            <w:rPr>
              <w:rFonts w:ascii="Cambria Math" w:hAnsi="Garamond"/>
              <w:sz w:val="20"/>
              <w:szCs w:val="23"/>
            </w:rPr>
            <m:t>(</m:t>
          </m:r>
          <m:r>
            <m:rPr>
              <m:sty m:val="bi"/>
            </m:rPr>
            <w:rPr>
              <w:rFonts w:ascii="Cambria Math" w:hAnsi="Cambria Math"/>
              <w:sz w:val="20"/>
              <w:szCs w:val="23"/>
            </w:rPr>
            <m:t>1</m:t>
          </m:r>
          <m:r>
            <m:rPr>
              <m:sty m:val="bi"/>
            </m:rPr>
            <w:rPr>
              <w:rFonts w:ascii="Garamond" w:hAnsi="Garamond"/>
              <w:sz w:val="20"/>
              <w:szCs w:val="23"/>
            </w:rPr>
            <m:t>-</m:t>
          </m:r>
          <m:r>
            <m:rPr>
              <m:sty m:val="bi"/>
            </m:rPr>
            <w:rPr>
              <w:rFonts w:ascii="Cambria Math" w:hAnsi="Garamond"/>
              <w:sz w:val="20"/>
              <w:szCs w:val="23"/>
            </w:rPr>
            <m:t xml:space="preserve"> </m:t>
          </m:r>
          <m:r>
            <m:rPr>
              <m:sty m:val="bi"/>
            </m:rPr>
            <w:rPr>
              <w:rFonts w:ascii="Cambria Math" w:hAnsi="Cambria Math"/>
              <w:sz w:val="20"/>
              <w:szCs w:val="23"/>
            </w:rPr>
            <m:t>Incremental</m:t>
          </m:r>
          <m:r>
            <m:rPr>
              <m:sty m:val="bi"/>
            </m:rPr>
            <w:rPr>
              <w:rFonts w:ascii="Cambria Math" w:hAnsi="Garamond"/>
              <w:sz w:val="20"/>
              <w:szCs w:val="23"/>
            </w:rPr>
            <m:t xml:space="preserve"> </m:t>
          </m:r>
          <m:r>
            <m:rPr>
              <m:sty m:val="bi"/>
            </m:rPr>
            <w:rPr>
              <w:rFonts w:ascii="Cambria Math" w:hAnsi="Cambria Math"/>
              <w:sz w:val="20"/>
              <w:szCs w:val="23"/>
            </w:rPr>
            <m:t>Benefits</m:t>
          </m:r>
          <m:r>
            <m:rPr>
              <m:sty m:val="bi"/>
            </m:rPr>
            <w:rPr>
              <w:rFonts w:ascii="Cambria Math" w:hAnsi="Garamond"/>
              <w:sz w:val="20"/>
              <w:szCs w:val="23"/>
            </w:rPr>
            <m:t xml:space="preserve"> </m:t>
          </m:r>
          <m:r>
            <m:rPr>
              <m:sty m:val="bi"/>
            </m:rPr>
            <w:rPr>
              <w:rFonts w:ascii="Cambria Math" w:hAnsi="Cambria Math"/>
              <w:sz w:val="20"/>
              <w:szCs w:val="23"/>
            </w:rPr>
            <m:t>Ratio</m:t>
          </m:r>
          <m:r>
            <m:rPr>
              <m:sty m:val="bi"/>
            </m:rPr>
            <w:rPr>
              <w:rFonts w:ascii="Cambria Math" w:hAnsi="Garamond"/>
              <w:sz w:val="20"/>
              <w:szCs w:val="23"/>
            </w:rPr>
            <m:t>)</m:t>
          </m:r>
        </m:oMath>
      </m:oMathPara>
    </w:p>
    <w:p w:rsidR="00A03385" w:rsidRDefault="00A03385" w:rsidP="00A03385">
      <w:pPr>
        <w:spacing w:after="0" w:line="240" w:lineRule="auto"/>
        <w:rPr>
          <w:rFonts w:ascii="Garamond" w:hAnsi="Garamond"/>
          <w:sz w:val="23"/>
          <w:szCs w:val="23"/>
        </w:rPr>
      </w:pPr>
      <w:r w:rsidRPr="00643267">
        <w:rPr>
          <w:rFonts w:ascii="Garamond" w:hAnsi="Garamond"/>
          <w:sz w:val="23"/>
          <w:szCs w:val="23"/>
        </w:rPr>
        <w:t xml:space="preserve">A survey instrument and associated scoring algorithm were developed to calculate a customer-specific Incremental Benefits Ratio based on responses to questions about motivation, intentions and level of commitment. Surveys </w:t>
      </w:r>
      <w:r>
        <w:rPr>
          <w:rFonts w:ascii="Garamond" w:hAnsi="Garamond"/>
          <w:sz w:val="23"/>
          <w:szCs w:val="23"/>
        </w:rPr>
        <w:t>were</w:t>
      </w:r>
      <w:r w:rsidRPr="00643267">
        <w:rPr>
          <w:rFonts w:ascii="Garamond" w:hAnsi="Garamond"/>
          <w:sz w:val="23"/>
          <w:szCs w:val="23"/>
        </w:rPr>
        <w:t xml:space="preserve"> conducted by the EDC</w:t>
      </w:r>
      <w:r>
        <w:rPr>
          <w:rFonts w:ascii="Garamond" w:hAnsi="Garamond"/>
          <w:sz w:val="23"/>
          <w:szCs w:val="23"/>
        </w:rPr>
        <w:t>s’</w:t>
      </w:r>
      <w:r w:rsidRPr="00643267">
        <w:rPr>
          <w:rFonts w:ascii="Garamond" w:hAnsi="Garamond"/>
          <w:sz w:val="23"/>
          <w:szCs w:val="23"/>
        </w:rPr>
        <w:t xml:space="preserve"> evaluation contractors</w:t>
      </w:r>
      <w:r>
        <w:rPr>
          <w:rStyle w:val="FootnoteReference"/>
          <w:rFonts w:ascii="Garamond" w:hAnsi="Garamond"/>
          <w:sz w:val="23"/>
          <w:szCs w:val="23"/>
        </w:rPr>
        <w:footnoteReference w:id="37"/>
      </w:r>
      <w:r w:rsidRPr="00643267">
        <w:rPr>
          <w:rFonts w:ascii="Garamond" w:hAnsi="Garamond"/>
          <w:sz w:val="23"/>
          <w:szCs w:val="23"/>
        </w:rPr>
        <w:t xml:space="preserve"> on a statewide sample of participants designed by the SWE. The results of these surveys w</w:t>
      </w:r>
      <w:r>
        <w:rPr>
          <w:rFonts w:ascii="Garamond" w:hAnsi="Garamond"/>
          <w:sz w:val="23"/>
          <w:szCs w:val="23"/>
        </w:rPr>
        <w:t>ere</w:t>
      </w:r>
      <w:r w:rsidRPr="00643267">
        <w:rPr>
          <w:rFonts w:ascii="Garamond" w:hAnsi="Garamond"/>
          <w:sz w:val="23"/>
          <w:szCs w:val="23"/>
        </w:rPr>
        <w:t xml:space="preserve"> compiled</w:t>
      </w:r>
      <w:r>
        <w:rPr>
          <w:rFonts w:ascii="Garamond" w:hAnsi="Garamond"/>
          <w:sz w:val="23"/>
          <w:szCs w:val="23"/>
        </w:rPr>
        <w:t>, and</w:t>
      </w:r>
      <w:r w:rsidRPr="00643267">
        <w:rPr>
          <w:rFonts w:ascii="Garamond" w:hAnsi="Garamond"/>
          <w:sz w:val="23"/>
          <w:szCs w:val="23"/>
        </w:rPr>
        <w:t xml:space="preserve"> statewide Incremental Benefits Ratio values </w:t>
      </w:r>
      <w:r>
        <w:rPr>
          <w:rFonts w:ascii="Garamond" w:hAnsi="Garamond"/>
          <w:sz w:val="23"/>
          <w:szCs w:val="23"/>
        </w:rPr>
        <w:t>were computed. These values were provided to SWE team staff that performed the program</w:t>
      </w:r>
      <w:r w:rsidRPr="00643267">
        <w:rPr>
          <w:rFonts w:ascii="Garamond" w:hAnsi="Garamond"/>
          <w:sz w:val="23"/>
          <w:szCs w:val="23"/>
        </w:rPr>
        <w:t xml:space="preserve"> cost-effectiveness testing.</w:t>
      </w:r>
    </w:p>
    <w:p w:rsidR="00A03385" w:rsidRDefault="00A03385" w:rsidP="00A03385">
      <w:pPr>
        <w:spacing w:after="0" w:line="240" w:lineRule="auto"/>
        <w:rPr>
          <w:rFonts w:ascii="Garamond" w:hAnsi="Garamond"/>
          <w:sz w:val="23"/>
          <w:szCs w:val="23"/>
        </w:rPr>
      </w:pPr>
    </w:p>
    <w:p w:rsidR="00A03385" w:rsidRPr="00643267" w:rsidRDefault="00A03385" w:rsidP="00A03385">
      <w:pPr>
        <w:spacing w:after="0" w:line="240" w:lineRule="auto"/>
        <w:rPr>
          <w:rFonts w:ascii="Garamond" w:hAnsi="Garamond"/>
          <w:sz w:val="23"/>
          <w:szCs w:val="23"/>
        </w:rPr>
      </w:pPr>
      <w:r w:rsidRPr="004B1659">
        <w:rPr>
          <w:rFonts w:ascii="Garamond" w:hAnsi="Garamond"/>
          <w:sz w:val="23"/>
          <w:szCs w:val="23"/>
        </w:rPr>
        <w:t>PJM offers customers a variety of opportunities to curtail load in exchange for incentives. The two broad classifications of these opportunities are Emergency (capacity) and Economic (energy). Because of the dissimilar nature of these two types of PJM programs, it was necessary to calculate and apply Incremental Benefits ratios separately when these markets overlapped</w:t>
      </w:r>
      <w:r>
        <w:rPr>
          <w:rFonts w:ascii="Garamond" w:hAnsi="Garamond"/>
          <w:sz w:val="23"/>
          <w:szCs w:val="23"/>
        </w:rPr>
        <w:t xml:space="preserve"> with Act 129 events. </w:t>
      </w:r>
      <w:r w:rsidRPr="004B1659">
        <w:rPr>
          <w:rFonts w:ascii="Garamond" w:hAnsi="Garamond"/>
          <w:sz w:val="23"/>
          <w:szCs w:val="23"/>
        </w:rPr>
        <w:t>The survey instrument was designed to capture any differences in motivation that may have existed for the two PJM markets.</w:t>
      </w:r>
    </w:p>
    <w:p w:rsidR="00A03385" w:rsidRPr="00643267"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643267">
        <w:rPr>
          <w:rFonts w:ascii="Garamond" w:hAnsi="Garamond"/>
          <w:sz w:val="23"/>
          <w:szCs w:val="23"/>
        </w:rPr>
        <w:t xml:space="preserve">The responses </w:t>
      </w:r>
      <w:r>
        <w:rPr>
          <w:rFonts w:ascii="Garamond" w:hAnsi="Garamond"/>
          <w:sz w:val="23"/>
          <w:szCs w:val="23"/>
        </w:rPr>
        <w:t>for</w:t>
      </w:r>
      <w:r w:rsidRPr="00643267">
        <w:rPr>
          <w:rFonts w:ascii="Garamond" w:hAnsi="Garamond"/>
          <w:sz w:val="23"/>
          <w:szCs w:val="23"/>
        </w:rPr>
        <w:t xml:space="preserve"> each participant surveyed w</w:t>
      </w:r>
      <w:r>
        <w:rPr>
          <w:rFonts w:ascii="Garamond" w:hAnsi="Garamond"/>
          <w:sz w:val="23"/>
          <w:szCs w:val="23"/>
        </w:rPr>
        <w:t>ere</w:t>
      </w:r>
      <w:r w:rsidRPr="00643267">
        <w:rPr>
          <w:rFonts w:ascii="Garamond" w:hAnsi="Garamond"/>
          <w:sz w:val="23"/>
          <w:szCs w:val="23"/>
        </w:rPr>
        <w:t xml:space="preserve"> subjected to single scoring system. The product of this scoring system is an estima</w:t>
      </w:r>
      <w:r>
        <w:rPr>
          <w:rFonts w:ascii="Garamond" w:hAnsi="Garamond"/>
          <w:sz w:val="23"/>
          <w:szCs w:val="23"/>
        </w:rPr>
        <w:t>te of the participant’s Incremental Benefits Ratio</w:t>
      </w:r>
      <w:r w:rsidRPr="00643267">
        <w:rPr>
          <w:rFonts w:ascii="Garamond" w:hAnsi="Garamond"/>
          <w:sz w:val="23"/>
          <w:szCs w:val="23"/>
        </w:rPr>
        <w:t>. If the customer participate</w:t>
      </w:r>
      <w:r>
        <w:rPr>
          <w:rFonts w:ascii="Garamond" w:hAnsi="Garamond"/>
          <w:sz w:val="23"/>
          <w:szCs w:val="23"/>
        </w:rPr>
        <w:t>d</w:t>
      </w:r>
      <w:r w:rsidRPr="00643267">
        <w:rPr>
          <w:rFonts w:ascii="Garamond" w:hAnsi="Garamond"/>
          <w:sz w:val="23"/>
          <w:szCs w:val="23"/>
        </w:rPr>
        <w:t xml:space="preserve"> in both the PJM Economic and Emergency markets, those </w:t>
      </w:r>
      <w:r>
        <w:rPr>
          <w:rFonts w:ascii="Garamond" w:hAnsi="Garamond"/>
          <w:sz w:val="23"/>
          <w:szCs w:val="23"/>
        </w:rPr>
        <w:t>Incremental Benefits Ratios were</w:t>
      </w:r>
      <w:r w:rsidRPr="00643267">
        <w:rPr>
          <w:rFonts w:ascii="Garamond" w:hAnsi="Garamond"/>
          <w:sz w:val="23"/>
          <w:szCs w:val="23"/>
        </w:rPr>
        <w:t xml:space="preserve"> assessed separately. The basis of the scoring </w:t>
      </w:r>
      <w:r>
        <w:rPr>
          <w:rFonts w:ascii="Garamond" w:hAnsi="Garamond"/>
          <w:sz w:val="23"/>
          <w:szCs w:val="23"/>
        </w:rPr>
        <w:t>was</w:t>
      </w:r>
      <w:r w:rsidRPr="00643267">
        <w:rPr>
          <w:rFonts w:ascii="Garamond" w:hAnsi="Garamond"/>
          <w:sz w:val="23"/>
          <w:szCs w:val="23"/>
        </w:rPr>
        <w:t xml:space="preserve"> the customer’s stated intention score. The stated intention score </w:t>
      </w:r>
      <w:r>
        <w:rPr>
          <w:rFonts w:ascii="Garamond" w:hAnsi="Garamond"/>
          <w:sz w:val="23"/>
          <w:szCs w:val="23"/>
        </w:rPr>
        <w:t>was</w:t>
      </w:r>
      <w:r w:rsidRPr="00643267">
        <w:rPr>
          <w:rFonts w:ascii="Garamond" w:hAnsi="Garamond"/>
          <w:sz w:val="23"/>
          <w:szCs w:val="23"/>
        </w:rPr>
        <w:t xml:space="preserve"> determined by asking the participant the likelihood that they would have participated in the same amount of load curtailment activities during 2012 if two separate revenue streams had not been available.  The question w</w:t>
      </w:r>
      <w:r>
        <w:rPr>
          <w:rFonts w:ascii="Garamond" w:hAnsi="Garamond"/>
          <w:sz w:val="23"/>
          <w:szCs w:val="23"/>
        </w:rPr>
        <w:t>as</w:t>
      </w:r>
      <w:r w:rsidRPr="00643267">
        <w:rPr>
          <w:rFonts w:ascii="Garamond" w:hAnsi="Garamond"/>
          <w:sz w:val="23"/>
          <w:szCs w:val="23"/>
        </w:rPr>
        <w:t xml:space="preserve"> administered by asking the participant to provide that likelihood using a scale of 0 to 10</w:t>
      </w:r>
      <w:r>
        <w:rPr>
          <w:rFonts w:ascii="Garamond" w:hAnsi="Garamond"/>
          <w:sz w:val="23"/>
          <w:szCs w:val="23"/>
        </w:rPr>
        <w:t>, with 0 being the least likely and 10 being the most likely</w:t>
      </w:r>
      <w:r w:rsidRPr="00643267">
        <w:rPr>
          <w:rFonts w:ascii="Garamond" w:hAnsi="Garamond"/>
          <w:sz w:val="23"/>
          <w:szCs w:val="23"/>
        </w:rPr>
        <w:t>. The response to this question determine</w:t>
      </w:r>
      <w:r>
        <w:rPr>
          <w:rFonts w:ascii="Garamond" w:hAnsi="Garamond"/>
          <w:sz w:val="23"/>
          <w:szCs w:val="23"/>
        </w:rPr>
        <w:t>d</w:t>
      </w:r>
      <w:r w:rsidRPr="00643267">
        <w:rPr>
          <w:rFonts w:ascii="Garamond" w:hAnsi="Garamond"/>
          <w:sz w:val="23"/>
          <w:szCs w:val="23"/>
        </w:rPr>
        <w:t xml:space="preserve"> the customer’s initial </w:t>
      </w:r>
      <w:r>
        <w:rPr>
          <w:rFonts w:ascii="Garamond" w:hAnsi="Garamond"/>
          <w:sz w:val="23"/>
          <w:szCs w:val="23"/>
        </w:rPr>
        <w:t>Incremental Benefits</w:t>
      </w:r>
      <w:r w:rsidRPr="00643267">
        <w:rPr>
          <w:rFonts w:ascii="Garamond" w:hAnsi="Garamond"/>
          <w:sz w:val="23"/>
          <w:szCs w:val="23"/>
        </w:rPr>
        <w:t xml:space="preserve"> ratio</w:t>
      </w:r>
      <w:r>
        <w:rPr>
          <w:rFonts w:ascii="Garamond" w:hAnsi="Garamond"/>
          <w:sz w:val="23"/>
          <w:szCs w:val="23"/>
        </w:rPr>
        <w:t>, which could range</w:t>
      </w:r>
      <w:r w:rsidRPr="00643267">
        <w:rPr>
          <w:rFonts w:ascii="Garamond" w:hAnsi="Garamond"/>
          <w:sz w:val="23"/>
          <w:szCs w:val="23"/>
        </w:rPr>
        <w:t xml:space="preserve"> from 0.0 to 1.0.  For example, if a customer indicate</w:t>
      </w:r>
      <w:r>
        <w:rPr>
          <w:rFonts w:ascii="Garamond" w:hAnsi="Garamond"/>
          <w:sz w:val="23"/>
          <w:szCs w:val="23"/>
        </w:rPr>
        <w:t>d</w:t>
      </w:r>
      <w:r w:rsidRPr="00643267">
        <w:rPr>
          <w:rFonts w:ascii="Garamond" w:hAnsi="Garamond"/>
          <w:sz w:val="23"/>
          <w:szCs w:val="23"/>
        </w:rPr>
        <w:t xml:space="preserve"> that they most likely would not have participated in the same amount of load curtailment activities during 2012 had both revenues streams not been available, the expected response to the question </w:t>
      </w:r>
      <w:r>
        <w:rPr>
          <w:rFonts w:ascii="Garamond" w:hAnsi="Garamond"/>
          <w:sz w:val="23"/>
          <w:szCs w:val="23"/>
        </w:rPr>
        <w:t>might have been</w:t>
      </w:r>
      <w:r w:rsidRPr="00643267">
        <w:rPr>
          <w:rFonts w:ascii="Garamond" w:hAnsi="Garamond"/>
          <w:sz w:val="23"/>
          <w:szCs w:val="23"/>
        </w:rPr>
        <w:t xml:space="preserve"> </w:t>
      </w:r>
      <w:r>
        <w:rPr>
          <w:rFonts w:ascii="Garamond" w:hAnsi="Garamond"/>
          <w:sz w:val="23"/>
          <w:szCs w:val="23"/>
        </w:rPr>
        <w:t>“</w:t>
      </w:r>
      <w:r w:rsidRPr="00643267">
        <w:rPr>
          <w:rFonts w:ascii="Garamond" w:hAnsi="Garamond"/>
          <w:sz w:val="23"/>
          <w:szCs w:val="23"/>
        </w:rPr>
        <w:t>2</w:t>
      </w:r>
      <w:r>
        <w:rPr>
          <w:rFonts w:ascii="Garamond" w:hAnsi="Garamond"/>
          <w:sz w:val="23"/>
          <w:szCs w:val="23"/>
        </w:rPr>
        <w:t>”</w:t>
      </w:r>
      <w:r w:rsidRPr="00643267">
        <w:rPr>
          <w:rFonts w:ascii="Garamond" w:hAnsi="Garamond"/>
          <w:sz w:val="23"/>
          <w:szCs w:val="23"/>
        </w:rPr>
        <w:t xml:space="preserve">.  The initial </w:t>
      </w:r>
      <w:r>
        <w:rPr>
          <w:rFonts w:ascii="Garamond" w:hAnsi="Garamond"/>
          <w:sz w:val="23"/>
          <w:szCs w:val="23"/>
        </w:rPr>
        <w:t>Incremental Benefits</w:t>
      </w:r>
      <w:r w:rsidRPr="00643267">
        <w:rPr>
          <w:rFonts w:ascii="Garamond" w:hAnsi="Garamond"/>
          <w:sz w:val="23"/>
          <w:szCs w:val="23"/>
        </w:rPr>
        <w:t xml:space="preserve"> ratio would be 0.8 (</w:t>
      </w:r>
      <w:r>
        <w:rPr>
          <w:rFonts w:ascii="Garamond" w:hAnsi="Garamond"/>
          <w:sz w:val="23"/>
          <w:szCs w:val="23"/>
        </w:rPr>
        <w:t>(</w:t>
      </w:r>
      <w:r w:rsidRPr="00643267">
        <w:rPr>
          <w:rFonts w:ascii="Garamond" w:hAnsi="Garamond"/>
          <w:sz w:val="23"/>
          <w:szCs w:val="23"/>
        </w:rPr>
        <w:t>10-2</w:t>
      </w:r>
      <w:r>
        <w:rPr>
          <w:rFonts w:ascii="Garamond" w:hAnsi="Garamond"/>
          <w:sz w:val="23"/>
          <w:szCs w:val="23"/>
        </w:rPr>
        <w:t>)</w:t>
      </w:r>
      <w:r w:rsidRPr="00643267">
        <w:rPr>
          <w:rFonts w:ascii="Garamond" w:hAnsi="Garamond"/>
          <w:sz w:val="23"/>
          <w:szCs w:val="23"/>
        </w:rPr>
        <w:t>/10).</w:t>
      </w:r>
    </w:p>
    <w:p w:rsidR="00A03385" w:rsidRPr="00643267"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sidRPr="00643267">
        <w:rPr>
          <w:rFonts w:ascii="Garamond" w:hAnsi="Garamond"/>
          <w:sz w:val="23"/>
          <w:szCs w:val="23"/>
        </w:rPr>
        <w:t>The survey instrument also include</w:t>
      </w:r>
      <w:r>
        <w:rPr>
          <w:rFonts w:ascii="Garamond" w:hAnsi="Garamond"/>
          <w:sz w:val="23"/>
          <w:szCs w:val="23"/>
        </w:rPr>
        <w:t>d</w:t>
      </w:r>
      <w:r w:rsidRPr="00643267">
        <w:rPr>
          <w:rFonts w:ascii="Garamond" w:hAnsi="Garamond"/>
          <w:sz w:val="23"/>
          <w:szCs w:val="23"/>
        </w:rPr>
        <w:t xml:space="preserve"> questions which assess</w:t>
      </w:r>
      <w:r>
        <w:rPr>
          <w:rFonts w:ascii="Garamond" w:hAnsi="Garamond"/>
          <w:sz w:val="23"/>
          <w:szCs w:val="23"/>
        </w:rPr>
        <w:t>ed</w:t>
      </w:r>
      <w:r w:rsidRPr="00643267">
        <w:rPr>
          <w:rFonts w:ascii="Garamond" w:hAnsi="Garamond"/>
          <w:sz w:val="23"/>
          <w:szCs w:val="23"/>
        </w:rPr>
        <w:t xml:space="preserve"> the level of commitment, prior awareness and motivation. The scoring action associated with these questions </w:t>
      </w:r>
      <w:r>
        <w:rPr>
          <w:rFonts w:ascii="Garamond" w:hAnsi="Garamond"/>
          <w:sz w:val="23"/>
          <w:szCs w:val="23"/>
        </w:rPr>
        <w:t>was</w:t>
      </w:r>
      <w:r w:rsidRPr="00643267">
        <w:rPr>
          <w:rFonts w:ascii="Garamond" w:hAnsi="Garamond"/>
          <w:sz w:val="23"/>
          <w:szCs w:val="23"/>
        </w:rPr>
        <w:t xml:space="preserve"> a function of the stated intention score. If a response </w:t>
      </w:r>
      <w:r>
        <w:rPr>
          <w:rFonts w:ascii="Garamond" w:hAnsi="Garamond"/>
          <w:sz w:val="23"/>
          <w:szCs w:val="23"/>
        </w:rPr>
        <w:t>wa</w:t>
      </w:r>
      <w:r w:rsidRPr="00643267">
        <w:rPr>
          <w:rFonts w:ascii="Garamond" w:hAnsi="Garamond"/>
          <w:sz w:val="23"/>
          <w:szCs w:val="23"/>
        </w:rPr>
        <w:t>s consistent with the stated intention score, no action</w:t>
      </w:r>
      <w:r>
        <w:rPr>
          <w:rFonts w:ascii="Garamond" w:hAnsi="Garamond"/>
          <w:sz w:val="23"/>
          <w:szCs w:val="23"/>
        </w:rPr>
        <w:t xml:space="preserve"> was taken</w:t>
      </w:r>
      <w:r w:rsidRPr="00643267">
        <w:rPr>
          <w:rFonts w:ascii="Garamond" w:hAnsi="Garamond"/>
          <w:sz w:val="23"/>
          <w:szCs w:val="23"/>
        </w:rPr>
        <w:t>. However, if a response disagree</w:t>
      </w:r>
      <w:r>
        <w:rPr>
          <w:rFonts w:ascii="Garamond" w:hAnsi="Garamond"/>
          <w:sz w:val="23"/>
          <w:szCs w:val="23"/>
        </w:rPr>
        <w:t>d</w:t>
      </w:r>
      <w:r w:rsidRPr="00643267">
        <w:rPr>
          <w:rFonts w:ascii="Garamond" w:hAnsi="Garamond"/>
          <w:sz w:val="23"/>
          <w:szCs w:val="23"/>
        </w:rPr>
        <w:t xml:space="preserve"> with the stated intention score</w:t>
      </w:r>
      <w:r>
        <w:rPr>
          <w:rFonts w:ascii="Garamond" w:hAnsi="Garamond"/>
          <w:sz w:val="23"/>
          <w:szCs w:val="23"/>
        </w:rPr>
        <w:t>,</w:t>
      </w:r>
      <w:r w:rsidRPr="00643267">
        <w:rPr>
          <w:rFonts w:ascii="Garamond" w:hAnsi="Garamond"/>
          <w:sz w:val="23"/>
          <w:szCs w:val="23"/>
        </w:rPr>
        <w:t xml:space="preserve"> </w:t>
      </w:r>
      <w:r>
        <w:rPr>
          <w:rFonts w:ascii="Garamond" w:hAnsi="Garamond"/>
          <w:sz w:val="23"/>
          <w:szCs w:val="23"/>
        </w:rPr>
        <w:t>the Incremental Benefits Ratio was adjusted up or down</w:t>
      </w:r>
      <w:r w:rsidRPr="00643267">
        <w:rPr>
          <w:rFonts w:ascii="Garamond" w:hAnsi="Garamond"/>
          <w:sz w:val="23"/>
          <w:szCs w:val="23"/>
        </w:rPr>
        <w:t xml:space="preserve">. </w:t>
      </w:r>
      <w:r>
        <w:rPr>
          <w:rFonts w:ascii="Garamond" w:hAnsi="Garamond"/>
          <w:sz w:val="23"/>
          <w:szCs w:val="23"/>
        </w:rPr>
        <w:t>No inconsistencies were identified in the survey responses; therefore, no adjustments were made to the computed Incremental Benefits Ratios.</w:t>
      </w:r>
    </w:p>
    <w:p w:rsidR="00A03385"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Pr>
          <w:rFonts w:ascii="Garamond" w:hAnsi="Garamond"/>
          <w:sz w:val="23"/>
          <w:szCs w:val="23"/>
        </w:rPr>
        <w:t>A</w:t>
      </w:r>
      <w:r w:rsidRPr="00643267">
        <w:rPr>
          <w:rFonts w:ascii="Garamond" w:hAnsi="Garamond"/>
          <w:sz w:val="23"/>
          <w:szCs w:val="23"/>
        </w:rPr>
        <w:t xml:space="preserve"> subset of participants in Act 129 </w:t>
      </w:r>
      <w:r>
        <w:rPr>
          <w:rFonts w:ascii="Garamond" w:hAnsi="Garamond"/>
          <w:sz w:val="23"/>
          <w:szCs w:val="23"/>
        </w:rPr>
        <w:t>LC</w:t>
      </w:r>
      <w:r w:rsidRPr="00643267">
        <w:rPr>
          <w:rFonts w:ascii="Garamond" w:hAnsi="Garamond"/>
          <w:sz w:val="23"/>
          <w:szCs w:val="23"/>
        </w:rPr>
        <w:t xml:space="preserve"> programs participate in both the PJM Economic </w:t>
      </w:r>
      <w:r>
        <w:rPr>
          <w:rFonts w:ascii="Garamond" w:hAnsi="Garamond"/>
          <w:sz w:val="23"/>
          <w:szCs w:val="23"/>
        </w:rPr>
        <w:t>DR</w:t>
      </w:r>
      <w:r w:rsidRPr="00643267">
        <w:rPr>
          <w:rFonts w:ascii="Garamond" w:hAnsi="Garamond"/>
          <w:sz w:val="23"/>
          <w:szCs w:val="23"/>
        </w:rPr>
        <w:t xml:space="preserve"> market and the PJM Emergency market. Surveys conducted with this subset of customers return</w:t>
      </w:r>
      <w:r>
        <w:rPr>
          <w:rFonts w:ascii="Garamond" w:hAnsi="Garamond"/>
          <w:sz w:val="23"/>
          <w:szCs w:val="23"/>
        </w:rPr>
        <w:t>ed</w:t>
      </w:r>
      <w:r w:rsidRPr="00643267">
        <w:rPr>
          <w:rFonts w:ascii="Garamond" w:hAnsi="Garamond"/>
          <w:sz w:val="23"/>
          <w:szCs w:val="23"/>
        </w:rPr>
        <w:t xml:space="preserve"> two separate </w:t>
      </w:r>
      <w:r>
        <w:rPr>
          <w:rFonts w:ascii="Garamond" w:hAnsi="Garamond"/>
          <w:sz w:val="23"/>
          <w:szCs w:val="23"/>
        </w:rPr>
        <w:t>Incremental Benefits ratios</w:t>
      </w:r>
      <w:r w:rsidRPr="00643267">
        <w:rPr>
          <w:rFonts w:ascii="Garamond" w:hAnsi="Garamond"/>
          <w:sz w:val="23"/>
          <w:szCs w:val="23"/>
        </w:rPr>
        <w:t>. Customers who participate</w:t>
      </w:r>
      <w:r>
        <w:rPr>
          <w:rFonts w:ascii="Garamond" w:hAnsi="Garamond"/>
          <w:sz w:val="23"/>
          <w:szCs w:val="23"/>
        </w:rPr>
        <w:t>d</w:t>
      </w:r>
      <w:r w:rsidRPr="00643267">
        <w:rPr>
          <w:rFonts w:ascii="Garamond" w:hAnsi="Garamond"/>
          <w:sz w:val="23"/>
          <w:szCs w:val="23"/>
        </w:rPr>
        <w:t xml:space="preserve"> exclusively in the PJM Economic market or </w:t>
      </w:r>
      <w:r w:rsidRPr="00643267">
        <w:rPr>
          <w:rFonts w:ascii="Garamond" w:hAnsi="Garamond"/>
          <w:sz w:val="23"/>
          <w:szCs w:val="23"/>
        </w:rPr>
        <w:lastRenderedPageBreak/>
        <w:t xml:space="preserve">exclusively in the PJM Emergency DR market </w:t>
      </w:r>
      <w:r>
        <w:rPr>
          <w:rFonts w:ascii="Garamond" w:hAnsi="Garamond"/>
          <w:sz w:val="23"/>
          <w:szCs w:val="23"/>
        </w:rPr>
        <w:t>were</w:t>
      </w:r>
      <w:r w:rsidRPr="00643267">
        <w:rPr>
          <w:rFonts w:ascii="Garamond" w:hAnsi="Garamond"/>
          <w:sz w:val="23"/>
          <w:szCs w:val="23"/>
        </w:rPr>
        <w:t xml:space="preserve"> only relevant to one </w:t>
      </w:r>
      <w:r>
        <w:rPr>
          <w:rFonts w:ascii="Garamond" w:hAnsi="Garamond"/>
          <w:sz w:val="23"/>
          <w:szCs w:val="23"/>
        </w:rPr>
        <w:t>Incremental Benefits R</w:t>
      </w:r>
      <w:r w:rsidRPr="00643267">
        <w:rPr>
          <w:rFonts w:ascii="Garamond" w:hAnsi="Garamond"/>
          <w:sz w:val="23"/>
          <w:szCs w:val="23"/>
        </w:rPr>
        <w:t xml:space="preserve">atio because no overlap </w:t>
      </w:r>
      <w:r>
        <w:rPr>
          <w:rFonts w:ascii="Garamond" w:hAnsi="Garamond"/>
          <w:sz w:val="23"/>
          <w:szCs w:val="23"/>
        </w:rPr>
        <w:t>was</w:t>
      </w:r>
      <w:r w:rsidRPr="00643267">
        <w:rPr>
          <w:rFonts w:ascii="Garamond" w:hAnsi="Garamond"/>
          <w:sz w:val="23"/>
          <w:szCs w:val="23"/>
        </w:rPr>
        <w:t xml:space="preserve"> possible with the PJM market </w:t>
      </w:r>
      <w:r>
        <w:rPr>
          <w:rFonts w:ascii="Garamond" w:hAnsi="Garamond"/>
          <w:sz w:val="23"/>
          <w:szCs w:val="23"/>
        </w:rPr>
        <w:t>in which they were not enrolled</w:t>
      </w:r>
      <w:r w:rsidRPr="00643267">
        <w:rPr>
          <w:rFonts w:ascii="Garamond" w:hAnsi="Garamond"/>
          <w:sz w:val="23"/>
          <w:szCs w:val="23"/>
        </w:rPr>
        <w:t xml:space="preserve">. Once </w:t>
      </w:r>
      <w:r>
        <w:rPr>
          <w:rFonts w:ascii="Garamond" w:hAnsi="Garamond"/>
          <w:sz w:val="23"/>
          <w:szCs w:val="23"/>
        </w:rPr>
        <w:t>the survey was comp</w:t>
      </w:r>
      <w:r w:rsidRPr="00643267">
        <w:rPr>
          <w:rFonts w:ascii="Garamond" w:hAnsi="Garamond"/>
          <w:sz w:val="23"/>
          <w:szCs w:val="23"/>
        </w:rPr>
        <w:t>leted</w:t>
      </w:r>
      <w:r>
        <w:rPr>
          <w:rFonts w:ascii="Garamond" w:hAnsi="Garamond"/>
          <w:sz w:val="23"/>
          <w:szCs w:val="23"/>
        </w:rPr>
        <w:t>, t</w:t>
      </w:r>
      <w:r w:rsidRPr="00643267">
        <w:rPr>
          <w:rFonts w:ascii="Garamond" w:hAnsi="Garamond"/>
          <w:sz w:val="23"/>
          <w:szCs w:val="23"/>
        </w:rPr>
        <w:t xml:space="preserve">wo statewide </w:t>
      </w:r>
      <w:r>
        <w:rPr>
          <w:rFonts w:ascii="Garamond" w:hAnsi="Garamond"/>
          <w:sz w:val="23"/>
          <w:szCs w:val="23"/>
        </w:rPr>
        <w:t>Incremental Benefits Ratios</w:t>
      </w:r>
      <w:r w:rsidRPr="00643267">
        <w:rPr>
          <w:rFonts w:ascii="Garamond" w:hAnsi="Garamond"/>
          <w:sz w:val="23"/>
          <w:szCs w:val="23"/>
        </w:rPr>
        <w:t xml:space="preserve"> w</w:t>
      </w:r>
      <w:r>
        <w:rPr>
          <w:rFonts w:ascii="Garamond" w:hAnsi="Garamond"/>
          <w:sz w:val="23"/>
          <w:szCs w:val="23"/>
        </w:rPr>
        <w:t>ere</w:t>
      </w:r>
      <w:r w:rsidRPr="00643267">
        <w:rPr>
          <w:rFonts w:ascii="Garamond" w:hAnsi="Garamond"/>
          <w:sz w:val="23"/>
          <w:szCs w:val="23"/>
        </w:rPr>
        <w:t xml:space="preserve"> calculated. The Economic </w:t>
      </w:r>
      <w:r>
        <w:rPr>
          <w:rFonts w:ascii="Garamond" w:hAnsi="Garamond"/>
          <w:sz w:val="23"/>
          <w:szCs w:val="23"/>
        </w:rPr>
        <w:t>Incremental Benefits Ratio</w:t>
      </w:r>
      <w:r w:rsidRPr="00643267">
        <w:rPr>
          <w:rFonts w:ascii="Garamond" w:hAnsi="Garamond"/>
          <w:sz w:val="23"/>
          <w:szCs w:val="23"/>
        </w:rPr>
        <w:t xml:space="preserve"> w</w:t>
      </w:r>
      <w:r>
        <w:rPr>
          <w:rFonts w:ascii="Garamond" w:hAnsi="Garamond"/>
          <w:sz w:val="23"/>
          <w:szCs w:val="23"/>
        </w:rPr>
        <w:t>as</w:t>
      </w:r>
      <w:r w:rsidRPr="00643267">
        <w:rPr>
          <w:rFonts w:ascii="Garamond" w:hAnsi="Garamond"/>
          <w:sz w:val="23"/>
          <w:szCs w:val="23"/>
        </w:rPr>
        <w:t xml:space="preserve"> applied to the Act 129 load reductions occurring during an hour for which a customer ha</w:t>
      </w:r>
      <w:r>
        <w:rPr>
          <w:rFonts w:ascii="Garamond" w:hAnsi="Garamond"/>
          <w:sz w:val="23"/>
          <w:szCs w:val="23"/>
        </w:rPr>
        <w:t>d</w:t>
      </w:r>
      <w:r w:rsidRPr="00643267">
        <w:rPr>
          <w:rFonts w:ascii="Garamond" w:hAnsi="Garamond"/>
          <w:sz w:val="23"/>
          <w:szCs w:val="23"/>
        </w:rPr>
        <w:t xml:space="preserve"> also earned a PJM Economic settlement</w:t>
      </w:r>
      <w:r>
        <w:rPr>
          <w:rFonts w:ascii="Garamond" w:hAnsi="Garamond"/>
          <w:sz w:val="23"/>
          <w:szCs w:val="23"/>
        </w:rPr>
        <w:t xml:space="preserve">. </w:t>
      </w:r>
    </w:p>
    <w:p w:rsidR="00A03385" w:rsidRDefault="00A03385" w:rsidP="00A03385">
      <w:pPr>
        <w:spacing w:after="0" w:line="240" w:lineRule="auto"/>
        <w:rPr>
          <w:rFonts w:ascii="Garamond" w:hAnsi="Garamond"/>
          <w:sz w:val="23"/>
          <w:szCs w:val="23"/>
        </w:rPr>
      </w:pPr>
    </w:p>
    <w:p w:rsidR="00A03385" w:rsidRDefault="00A03385" w:rsidP="00A03385">
      <w:pPr>
        <w:spacing w:line="240" w:lineRule="auto"/>
        <w:rPr>
          <w:rFonts w:ascii="Garamond" w:hAnsi="Garamond"/>
          <w:sz w:val="23"/>
          <w:szCs w:val="23"/>
        </w:rPr>
      </w:pPr>
      <w:r>
        <w:rPr>
          <w:rFonts w:ascii="Garamond" w:hAnsi="Garamond"/>
          <w:sz w:val="23"/>
          <w:szCs w:val="23"/>
        </w:rPr>
        <w:t>Two different applications were considered for the</w:t>
      </w:r>
      <w:r w:rsidRPr="00643267">
        <w:rPr>
          <w:rFonts w:ascii="Garamond" w:hAnsi="Garamond"/>
          <w:sz w:val="23"/>
          <w:szCs w:val="23"/>
        </w:rPr>
        <w:t xml:space="preserve"> Emergency </w:t>
      </w:r>
      <w:r>
        <w:rPr>
          <w:rFonts w:ascii="Garamond" w:hAnsi="Garamond"/>
          <w:sz w:val="23"/>
          <w:szCs w:val="23"/>
        </w:rPr>
        <w:t>Incremental Benefits Ratio. The base case scenario</w:t>
      </w:r>
      <w:r w:rsidRPr="00643267">
        <w:rPr>
          <w:rFonts w:ascii="Garamond" w:hAnsi="Garamond"/>
          <w:sz w:val="23"/>
          <w:szCs w:val="23"/>
        </w:rPr>
        <w:t xml:space="preserve"> w</w:t>
      </w:r>
      <w:r>
        <w:rPr>
          <w:rFonts w:ascii="Garamond" w:hAnsi="Garamond"/>
          <w:sz w:val="23"/>
          <w:szCs w:val="23"/>
        </w:rPr>
        <w:t>as</w:t>
      </w:r>
      <w:r w:rsidRPr="00643267">
        <w:rPr>
          <w:rFonts w:ascii="Garamond" w:hAnsi="Garamond"/>
          <w:sz w:val="23"/>
          <w:szCs w:val="23"/>
        </w:rPr>
        <w:t xml:space="preserve"> </w:t>
      </w:r>
      <w:r>
        <w:rPr>
          <w:rFonts w:ascii="Garamond" w:hAnsi="Garamond"/>
          <w:sz w:val="23"/>
          <w:szCs w:val="23"/>
        </w:rPr>
        <w:t>similar to the application of the Economic Incremental Benefits Ratio, in that the ratio</w:t>
      </w:r>
      <w:r w:rsidRPr="00643267">
        <w:rPr>
          <w:rFonts w:ascii="Garamond" w:hAnsi="Garamond"/>
          <w:sz w:val="23"/>
          <w:szCs w:val="23"/>
        </w:rPr>
        <w:t xml:space="preserve"> </w:t>
      </w:r>
      <w:r>
        <w:rPr>
          <w:rFonts w:ascii="Garamond" w:hAnsi="Garamond"/>
          <w:sz w:val="23"/>
          <w:szCs w:val="23"/>
        </w:rPr>
        <w:t xml:space="preserve">was applied </w:t>
      </w:r>
      <w:r w:rsidRPr="00643267">
        <w:rPr>
          <w:rFonts w:ascii="Garamond" w:hAnsi="Garamond"/>
          <w:sz w:val="23"/>
          <w:szCs w:val="23"/>
        </w:rPr>
        <w:t>to the Act 129 load reductions occurring during</w:t>
      </w:r>
      <w:r>
        <w:rPr>
          <w:rFonts w:ascii="Garamond" w:hAnsi="Garamond"/>
          <w:sz w:val="23"/>
          <w:szCs w:val="23"/>
        </w:rPr>
        <w:t xml:space="preserve"> an hour for which a customer curtailed load for the PJM Emergency program. The second scenario produces a much deeper discounting of Act 129 impacts. In 2012, </w:t>
      </w:r>
      <w:r w:rsidRPr="003D0D88">
        <w:rPr>
          <w:rFonts w:ascii="Garamond" w:hAnsi="Garamond"/>
          <w:sz w:val="23"/>
          <w:szCs w:val="23"/>
        </w:rPr>
        <w:t>Pennsylvania DR resources in the PJM Emergency program were dispatched on either one day or not all during the summer of 2012</w:t>
      </w:r>
      <w:r>
        <w:rPr>
          <w:rStyle w:val="FootnoteReference"/>
          <w:rFonts w:ascii="Garamond" w:hAnsi="Garamond"/>
          <w:sz w:val="23"/>
          <w:szCs w:val="23"/>
        </w:rPr>
        <w:footnoteReference w:id="38"/>
      </w:r>
      <w:r w:rsidRPr="003D0D88">
        <w:rPr>
          <w:rFonts w:ascii="Garamond" w:hAnsi="Garamond"/>
          <w:sz w:val="23"/>
          <w:szCs w:val="23"/>
        </w:rPr>
        <w:t xml:space="preserve">. While the observed coincidence of Act 129 and PJM Emergency events was very low in 2012, the dual enrollment of participants was commonplace. The SWE estimates that 55% of the MW enrolled in Act 129 Commercial and Industrial load curtailment programs were also enrolled in the PJM Emergency Load Response program. Because the SWE </w:t>
      </w:r>
      <w:r>
        <w:rPr>
          <w:rFonts w:ascii="Garamond" w:hAnsi="Garamond"/>
          <w:sz w:val="23"/>
          <w:szCs w:val="23"/>
        </w:rPr>
        <w:t>benefit/cost</w:t>
      </w:r>
      <w:r w:rsidRPr="003D0D88">
        <w:rPr>
          <w:rFonts w:ascii="Garamond" w:hAnsi="Garamond"/>
          <w:sz w:val="23"/>
          <w:szCs w:val="23"/>
        </w:rPr>
        <w:t xml:space="preserve"> analysis presented in 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sidRPr="003D0D88">
        <w:rPr>
          <w:rFonts w:ascii="Garamond" w:hAnsi="Garamond"/>
          <w:sz w:val="23"/>
          <w:szCs w:val="23"/>
        </w:rPr>
        <w:t xml:space="preserve"> values Act 129 DR programs as capacity resources, one of the sensitivities considered is to </w:t>
      </w:r>
      <w:r>
        <w:rPr>
          <w:rFonts w:ascii="Garamond" w:hAnsi="Garamond"/>
          <w:sz w:val="23"/>
          <w:szCs w:val="23"/>
        </w:rPr>
        <w:t>discount</w:t>
      </w:r>
      <w:r w:rsidRPr="003D0D88">
        <w:rPr>
          <w:rFonts w:ascii="Garamond" w:hAnsi="Garamond"/>
          <w:sz w:val="23"/>
          <w:szCs w:val="23"/>
        </w:rPr>
        <w:t xml:space="preserve"> any demand reduction achieved by an Act 129 participant enrolled in the PJM Emergency program </w:t>
      </w:r>
      <w:r>
        <w:rPr>
          <w:rFonts w:ascii="Garamond" w:hAnsi="Garamond"/>
          <w:sz w:val="23"/>
          <w:szCs w:val="23"/>
        </w:rPr>
        <w:t xml:space="preserve">regardless of whether the Act 129 event actually coincided with a PJM Emergency dispatch or not. This was </w:t>
      </w:r>
      <w:r w:rsidRPr="003D0D88">
        <w:rPr>
          <w:rFonts w:ascii="Garamond" w:hAnsi="Garamond"/>
          <w:sz w:val="23"/>
          <w:szCs w:val="23"/>
        </w:rPr>
        <w:t xml:space="preserve">based on the </w:t>
      </w:r>
      <w:r>
        <w:rPr>
          <w:rFonts w:ascii="Garamond" w:hAnsi="Garamond"/>
          <w:sz w:val="23"/>
          <w:szCs w:val="23"/>
        </w:rPr>
        <w:t xml:space="preserve">SWE’s belief that </w:t>
      </w:r>
      <w:r w:rsidRPr="003D0D88">
        <w:rPr>
          <w:rFonts w:ascii="Garamond" w:hAnsi="Garamond"/>
          <w:sz w:val="23"/>
          <w:szCs w:val="23"/>
        </w:rPr>
        <w:t xml:space="preserve">a </w:t>
      </w:r>
      <w:r>
        <w:rPr>
          <w:rFonts w:ascii="Garamond" w:hAnsi="Garamond"/>
          <w:sz w:val="23"/>
          <w:szCs w:val="23"/>
        </w:rPr>
        <w:t xml:space="preserve">capacity </w:t>
      </w:r>
      <w:r w:rsidRPr="003D0D88">
        <w:rPr>
          <w:rFonts w:ascii="Garamond" w:hAnsi="Garamond"/>
          <w:sz w:val="23"/>
          <w:szCs w:val="23"/>
        </w:rPr>
        <w:t xml:space="preserve">resource can </w:t>
      </w:r>
      <w:r>
        <w:rPr>
          <w:rFonts w:ascii="Garamond" w:hAnsi="Garamond"/>
          <w:sz w:val="23"/>
          <w:szCs w:val="23"/>
        </w:rPr>
        <w:t>only be committed in one market.</w:t>
      </w:r>
    </w:p>
    <w:p w:rsidR="00A03385" w:rsidRDefault="00A03385" w:rsidP="00A03385">
      <w:pPr>
        <w:spacing w:after="0" w:line="240" w:lineRule="auto"/>
        <w:rPr>
          <w:rFonts w:ascii="Garamond" w:hAnsi="Garamond"/>
          <w:sz w:val="23"/>
          <w:szCs w:val="23"/>
        </w:rPr>
      </w:pPr>
      <w:r>
        <w:rPr>
          <w:rFonts w:ascii="Garamond" w:hAnsi="Garamond"/>
          <w:sz w:val="23"/>
          <w:szCs w:val="23"/>
        </w:rPr>
        <w:t>The Incremental Benefits Rat</w:t>
      </w:r>
      <w:r w:rsidR="006A025D">
        <w:rPr>
          <w:rFonts w:ascii="Garamond" w:hAnsi="Garamond"/>
          <w:sz w:val="23"/>
          <w:szCs w:val="23"/>
        </w:rPr>
        <w:t xml:space="preserve">ios calculated are presented in </w:t>
      </w:r>
      <w:r w:rsidR="006A025D">
        <w:rPr>
          <w:rFonts w:ascii="Garamond" w:hAnsi="Garamond"/>
          <w:sz w:val="23"/>
          <w:szCs w:val="23"/>
        </w:rPr>
        <w:fldChar w:fldCharType="begin"/>
      </w:r>
      <w:r w:rsidR="006A025D">
        <w:rPr>
          <w:rFonts w:ascii="Garamond" w:hAnsi="Garamond"/>
          <w:sz w:val="23"/>
          <w:szCs w:val="23"/>
        </w:rPr>
        <w:instrText xml:space="preserve"> REF _Ref354133403 \h </w:instrText>
      </w:r>
      <w:r w:rsidR="006A025D">
        <w:rPr>
          <w:rFonts w:ascii="Garamond" w:hAnsi="Garamond"/>
          <w:sz w:val="23"/>
          <w:szCs w:val="23"/>
        </w:rPr>
      </w:r>
      <w:r w:rsidR="006A025D">
        <w:rPr>
          <w:rFonts w:ascii="Garamond" w:hAnsi="Garamond"/>
          <w:sz w:val="23"/>
          <w:szCs w:val="23"/>
        </w:rPr>
        <w:fldChar w:fldCharType="separate"/>
      </w:r>
      <w:r w:rsidR="00451FFF" w:rsidRPr="00BC67F5">
        <w:rPr>
          <w:rFonts w:ascii="Garamond" w:hAnsi="Garamond"/>
          <w:sz w:val="23"/>
          <w:szCs w:val="23"/>
        </w:rPr>
        <w:t xml:space="preserve">Table </w:t>
      </w:r>
      <w:r w:rsidR="00451FFF">
        <w:rPr>
          <w:rFonts w:ascii="Garamond" w:hAnsi="Garamond"/>
          <w:noProof/>
          <w:sz w:val="23"/>
          <w:szCs w:val="23"/>
        </w:rPr>
        <w:t>E</w:t>
      </w:r>
      <w:r w:rsidR="00451FFF">
        <w:rPr>
          <w:rFonts w:ascii="Garamond" w:hAnsi="Garamond"/>
          <w:sz w:val="23"/>
          <w:szCs w:val="23"/>
        </w:rPr>
        <w:noBreakHyphen/>
      </w:r>
      <w:r w:rsidR="00451FFF">
        <w:rPr>
          <w:rFonts w:ascii="Garamond" w:hAnsi="Garamond"/>
          <w:noProof/>
          <w:sz w:val="23"/>
          <w:szCs w:val="23"/>
        </w:rPr>
        <w:t>3</w:t>
      </w:r>
      <w:r w:rsidR="006A025D">
        <w:rPr>
          <w:rFonts w:ascii="Garamond" w:hAnsi="Garamond"/>
          <w:sz w:val="23"/>
          <w:szCs w:val="23"/>
        </w:rPr>
        <w:fldChar w:fldCharType="end"/>
      </w:r>
      <w:r w:rsidR="006A025D">
        <w:rPr>
          <w:rFonts w:ascii="Garamond" w:hAnsi="Garamond"/>
          <w:sz w:val="23"/>
          <w:szCs w:val="23"/>
        </w:rPr>
        <w:t>.</w:t>
      </w:r>
    </w:p>
    <w:p w:rsidR="00A03385" w:rsidRDefault="00A03385" w:rsidP="00A03385">
      <w:pPr>
        <w:spacing w:after="0" w:line="240" w:lineRule="auto"/>
        <w:rPr>
          <w:rFonts w:ascii="Garamond" w:hAnsi="Garamond"/>
          <w:sz w:val="23"/>
          <w:szCs w:val="23"/>
        </w:rPr>
      </w:pPr>
    </w:p>
    <w:p w:rsidR="00A03385" w:rsidRPr="00BC67F5" w:rsidRDefault="00A03385" w:rsidP="00A03385">
      <w:pPr>
        <w:pStyle w:val="Caption"/>
        <w:keepNext/>
        <w:jc w:val="center"/>
        <w:rPr>
          <w:rFonts w:ascii="Garamond" w:hAnsi="Garamond"/>
          <w:sz w:val="23"/>
          <w:szCs w:val="23"/>
        </w:rPr>
      </w:pPr>
      <w:bookmarkStart w:id="65" w:name="_Ref354133403"/>
      <w:r w:rsidRPr="00BC67F5">
        <w:rPr>
          <w:rFonts w:ascii="Garamond" w:hAnsi="Garamond"/>
          <w:sz w:val="23"/>
          <w:szCs w:val="23"/>
        </w:rPr>
        <w:t xml:space="preserve">Table </w:t>
      </w:r>
      <w:r>
        <w:rPr>
          <w:rFonts w:ascii="Garamond" w:hAnsi="Garamond"/>
          <w:sz w:val="23"/>
          <w:szCs w:val="23"/>
        </w:rPr>
        <w:fldChar w:fldCharType="begin"/>
      </w:r>
      <w:r>
        <w:rPr>
          <w:rFonts w:ascii="Garamond" w:hAnsi="Garamond"/>
          <w:sz w:val="23"/>
          <w:szCs w:val="23"/>
        </w:rPr>
        <w:instrText xml:space="preserve"> STYLEREF 1 \s </w:instrText>
      </w:r>
      <w:r>
        <w:rPr>
          <w:rFonts w:ascii="Garamond" w:hAnsi="Garamond"/>
          <w:sz w:val="23"/>
          <w:szCs w:val="23"/>
        </w:rPr>
        <w:fldChar w:fldCharType="separate"/>
      </w:r>
      <w:r w:rsidR="00451FFF">
        <w:rPr>
          <w:rFonts w:ascii="Garamond" w:hAnsi="Garamond"/>
          <w:noProof/>
          <w:sz w:val="23"/>
          <w:szCs w:val="23"/>
        </w:rPr>
        <w:t>E</w:t>
      </w:r>
      <w:r>
        <w:rPr>
          <w:rFonts w:ascii="Garamond" w:hAnsi="Garamond"/>
          <w:sz w:val="23"/>
          <w:szCs w:val="23"/>
        </w:rPr>
        <w:fldChar w:fldCharType="end"/>
      </w:r>
      <w:r>
        <w:rPr>
          <w:rFonts w:ascii="Garamond" w:hAnsi="Garamond"/>
          <w:sz w:val="23"/>
          <w:szCs w:val="23"/>
        </w:rPr>
        <w:noBreakHyphen/>
      </w:r>
      <w:r>
        <w:rPr>
          <w:rFonts w:ascii="Garamond" w:hAnsi="Garamond"/>
          <w:sz w:val="23"/>
          <w:szCs w:val="23"/>
        </w:rPr>
        <w:fldChar w:fldCharType="begin"/>
      </w:r>
      <w:r>
        <w:rPr>
          <w:rFonts w:ascii="Garamond" w:hAnsi="Garamond"/>
          <w:sz w:val="23"/>
          <w:szCs w:val="23"/>
        </w:rPr>
        <w:instrText xml:space="preserve"> SEQ Table \* ARABIC \s 1 </w:instrText>
      </w:r>
      <w:r>
        <w:rPr>
          <w:rFonts w:ascii="Garamond" w:hAnsi="Garamond"/>
          <w:sz w:val="23"/>
          <w:szCs w:val="23"/>
        </w:rPr>
        <w:fldChar w:fldCharType="separate"/>
      </w:r>
      <w:r w:rsidR="00451FFF">
        <w:rPr>
          <w:rFonts w:ascii="Garamond" w:hAnsi="Garamond"/>
          <w:noProof/>
          <w:sz w:val="23"/>
          <w:szCs w:val="23"/>
        </w:rPr>
        <w:t>3</w:t>
      </w:r>
      <w:r>
        <w:rPr>
          <w:rFonts w:ascii="Garamond" w:hAnsi="Garamond"/>
          <w:sz w:val="23"/>
          <w:szCs w:val="23"/>
        </w:rPr>
        <w:fldChar w:fldCharType="end"/>
      </w:r>
      <w:bookmarkEnd w:id="65"/>
      <w:r w:rsidRPr="00BC67F5">
        <w:rPr>
          <w:rFonts w:ascii="Garamond" w:hAnsi="Garamond"/>
          <w:sz w:val="23"/>
          <w:szCs w:val="23"/>
        </w:rPr>
        <w:t>: Incremental Benefits Ratios by PJM Program</w:t>
      </w:r>
    </w:p>
    <w:tbl>
      <w:tblPr>
        <w:tblW w:w="4772" w:type="dxa"/>
        <w:jc w:val="center"/>
        <w:tblInd w:w="108" w:type="dxa"/>
        <w:tblLook w:val="04A0" w:firstRow="1" w:lastRow="0" w:firstColumn="1" w:lastColumn="0" w:noHBand="0" w:noVBand="1"/>
      </w:tblPr>
      <w:tblGrid>
        <w:gridCol w:w="3796"/>
        <w:gridCol w:w="976"/>
      </w:tblGrid>
      <w:tr w:rsidR="00A03385" w:rsidRPr="00BC67F5" w:rsidTr="00FC6E55">
        <w:trPr>
          <w:trHeight w:val="300"/>
          <w:jc w:val="center"/>
        </w:trPr>
        <w:tc>
          <w:tcPr>
            <w:tcW w:w="3796"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rsidR="00A03385" w:rsidRPr="00BC67F5" w:rsidRDefault="00A03385" w:rsidP="00FC6E55">
            <w:pPr>
              <w:spacing w:after="0" w:line="240" w:lineRule="auto"/>
              <w:jc w:val="center"/>
              <w:rPr>
                <w:rFonts w:ascii="Garamond" w:eastAsia="Times New Roman" w:hAnsi="Garamond" w:cs="Times New Roman"/>
                <w:b/>
                <w:color w:val="FFFFFF" w:themeColor="background1"/>
                <w:sz w:val="23"/>
                <w:szCs w:val="23"/>
              </w:rPr>
            </w:pPr>
            <w:r w:rsidRPr="00BC67F5">
              <w:rPr>
                <w:rFonts w:ascii="Garamond" w:eastAsia="Times New Roman" w:hAnsi="Garamond" w:cs="Times New Roman"/>
                <w:b/>
                <w:color w:val="FFFFFF" w:themeColor="background1"/>
                <w:sz w:val="23"/>
                <w:szCs w:val="23"/>
              </w:rPr>
              <w:t>Incremental Benefits Ratio</w:t>
            </w:r>
          </w:p>
        </w:tc>
        <w:tc>
          <w:tcPr>
            <w:tcW w:w="976"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rsidR="00A03385" w:rsidRPr="00BC67F5" w:rsidRDefault="00A03385" w:rsidP="00FC6E55">
            <w:pPr>
              <w:spacing w:after="0" w:line="240" w:lineRule="auto"/>
              <w:jc w:val="center"/>
              <w:rPr>
                <w:rFonts w:ascii="Garamond" w:eastAsia="Times New Roman" w:hAnsi="Garamond" w:cs="Times New Roman"/>
                <w:b/>
                <w:color w:val="FFFFFF" w:themeColor="background1"/>
                <w:sz w:val="23"/>
                <w:szCs w:val="23"/>
              </w:rPr>
            </w:pPr>
            <w:r w:rsidRPr="00BC67F5">
              <w:rPr>
                <w:rFonts w:ascii="Garamond" w:eastAsia="Times New Roman" w:hAnsi="Garamond" w:cs="Times New Roman"/>
                <w:b/>
                <w:color w:val="FFFFFF" w:themeColor="background1"/>
                <w:sz w:val="23"/>
                <w:szCs w:val="23"/>
              </w:rPr>
              <w:t>Score</w:t>
            </w:r>
          </w:p>
        </w:tc>
      </w:tr>
      <w:tr w:rsidR="00A03385" w:rsidRPr="00B81B61" w:rsidTr="00FC6E55">
        <w:trPr>
          <w:trHeight w:val="300"/>
          <w:jc w:val="center"/>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385" w:rsidRPr="00BC67F5" w:rsidRDefault="00A03385" w:rsidP="00FC6E55">
            <w:pPr>
              <w:spacing w:after="0" w:line="240" w:lineRule="auto"/>
              <w:jc w:val="left"/>
              <w:rPr>
                <w:rFonts w:ascii="Garamond" w:eastAsia="Times New Roman" w:hAnsi="Garamond" w:cs="Times New Roman"/>
                <w:color w:val="000000"/>
                <w:sz w:val="23"/>
                <w:szCs w:val="23"/>
              </w:rPr>
            </w:pPr>
            <w:r w:rsidRPr="00BC67F5">
              <w:rPr>
                <w:rFonts w:ascii="Garamond" w:eastAsia="Times New Roman" w:hAnsi="Garamond" w:cs="Times New Roman"/>
                <w:color w:val="000000"/>
                <w:sz w:val="23"/>
                <w:szCs w:val="23"/>
              </w:rPr>
              <w:t>Economic Incremental Benefits Ratio</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385" w:rsidRPr="00BC67F5" w:rsidRDefault="00A03385" w:rsidP="00FC6E55">
            <w:pPr>
              <w:spacing w:after="0" w:line="240" w:lineRule="auto"/>
              <w:jc w:val="center"/>
              <w:rPr>
                <w:rFonts w:ascii="Garamond" w:eastAsia="Times New Roman" w:hAnsi="Garamond" w:cs="Times New Roman"/>
                <w:color w:val="000000"/>
                <w:sz w:val="23"/>
                <w:szCs w:val="23"/>
              </w:rPr>
            </w:pPr>
            <w:r w:rsidRPr="00BC67F5">
              <w:rPr>
                <w:rFonts w:ascii="Garamond" w:eastAsia="Times New Roman" w:hAnsi="Garamond" w:cs="Times New Roman"/>
                <w:color w:val="000000"/>
                <w:sz w:val="23"/>
                <w:szCs w:val="23"/>
              </w:rPr>
              <w:t>0.77</w:t>
            </w:r>
          </w:p>
        </w:tc>
      </w:tr>
      <w:tr w:rsidR="00A03385" w:rsidRPr="00B81B61" w:rsidTr="00FC6E55">
        <w:trPr>
          <w:trHeight w:val="300"/>
          <w:jc w:val="center"/>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385" w:rsidRPr="00BC67F5" w:rsidRDefault="00A03385" w:rsidP="00FC6E55">
            <w:pPr>
              <w:spacing w:after="0" w:line="240" w:lineRule="auto"/>
              <w:jc w:val="left"/>
              <w:rPr>
                <w:rFonts w:ascii="Garamond" w:eastAsia="Times New Roman" w:hAnsi="Garamond" w:cs="Times New Roman"/>
                <w:color w:val="000000"/>
                <w:sz w:val="23"/>
                <w:szCs w:val="23"/>
              </w:rPr>
            </w:pPr>
            <w:r w:rsidRPr="00BC67F5">
              <w:rPr>
                <w:rFonts w:ascii="Garamond" w:eastAsia="Times New Roman" w:hAnsi="Garamond" w:cs="Times New Roman"/>
                <w:color w:val="000000"/>
                <w:sz w:val="23"/>
                <w:szCs w:val="23"/>
              </w:rPr>
              <w:t xml:space="preserve">Emergency Incremental Benefits Ratio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385" w:rsidRPr="00BC67F5" w:rsidRDefault="00A03385" w:rsidP="00FC6E55">
            <w:pPr>
              <w:spacing w:after="0" w:line="240" w:lineRule="auto"/>
              <w:jc w:val="center"/>
              <w:rPr>
                <w:rFonts w:ascii="Garamond" w:eastAsia="Times New Roman" w:hAnsi="Garamond" w:cs="Times New Roman"/>
                <w:color w:val="000000"/>
                <w:sz w:val="23"/>
                <w:szCs w:val="23"/>
              </w:rPr>
            </w:pPr>
            <w:r w:rsidRPr="00BC67F5">
              <w:rPr>
                <w:rFonts w:ascii="Garamond" w:eastAsia="Times New Roman" w:hAnsi="Garamond" w:cs="Times New Roman"/>
                <w:color w:val="000000"/>
                <w:sz w:val="23"/>
                <w:szCs w:val="23"/>
              </w:rPr>
              <w:t>0.63</w:t>
            </w:r>
          </w:p>
        </w:tc>
      </w:tr>
      <w:tr w:rsidR="00A03385" w:rsidRPr="00B81B61" w:rsidTr="00FC6E55">
        <w:trPr>
          <w:trHeight w:val="300"/>
          <w:jc w:val="center"/>
        </w:trPr>
        <w:tc>
          <w:tcPr>
            <w:tcW w:w="3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385" w:rsidRPr="00BC67F5" w:rsidRDefault="00A03385" w:rsidP="00FC6E55">
            <w:pPr>
              <w:spacing w:after="0" w:line="240" w:lineRule="auto"/>
              <w:jc w:val="left"/>
              <w:rPr>
                <w:rFonts w:ascii="Garamond" w:eastAsia="Times New Roman" w:hAnsi="Garamond" w:cs="Times New Roman"/>
                <w:b/>
                <w:color w:val="000000"/>
                <w:sz w:val="23"/>
                <w:szCs w:val="23"/>
              </w:rPr>
            </w:pPr>
            <w:r w:rsidRPr="00BC67F5">
              <w:rPr>
                <w:rFonts w:ascii="Garamond" w:eastAsia="Times New Roman" w:hAnsi="Garamond" w:cs="Times New Roman"/>
                <w:b/>
                <w:color w:val="000000"/>
                <w:sz w:val="23"/>
                <w:szCs w:val="23"/>
              </w:rPr>
              <w:t xml:space="preserve">Overall Incremental Benefits Ratio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385" w:rsidRPr="00BC67F5" w:rsidRDefault="00A03385" w:rsidP="00FC6E55">
            <w:pPr>
              <w:spacing w:after="0" w:line="240" w:lineRule="auto"/>
              <w:jc w:val="center"/>
              <w:rPr>
                <w:rFonts w:ascii="Garamond" w:eastAsia="Times New Roman" w:hAnsi="Garamond" w:cs="Times New Roman"/>
                <w:b/>
                <w:color w:val="000000"/>
                <w:sz w:val="23"/>
                <w:szCs w:val="23"/>
              </w:rPr>
            </w:pPr>
            <w:r w:rsidRPr="00BC67F5">
              <w:rPr>
                <w:rFonts w:ascii="Garamond" w:eastAsia="Times New Roman" w:hAnsi="Garamond" w:cs="Times New Roman"/>
                <w:b/>
                <w:color w:val="000000"/>
                <w:sz w:val="23"/>
                <w:szCs w:val="23"/>
              </w:rPr>
              <w:t>0.73</w:t>
            </w:r>
          </w:p>
        </w:tc>
      </w:tr>
    </w:tbl>
    <w:p w:rsidR="00A03385" w:rsidRDefault="00A03385" w:rsidP="00A03385">
      <w:pPr>
        <w:pStyle w:val="Heading1"/>
        <w:numPr>
          <w:ilvl w:val="0"/>
          <w:numId w:val="0"/>
        </w:numPr>
        <w:ind w:left="432"/>
      </w:pPr>
    </w:p>
    <w:p w:rsidR="00A03385" w:rsidRDefault="00A03385" w:rsidP="00A03385">
      <w:pPr>
        <w:spacing w:after="0" w:line="240" w:lineRule="auto"/>
        <w:rPr>
          <w:rFonts w:ascii="Garamond" w:hAnsi="Garamond"/>
          <w:sz w:val="23"/>
          <w:szCs w:val="23"/>
        </w:rPr>
      </w:pPr>
      <w:r>
        <w:rPr>
          <w:rFonts w:ascii="Garamond" w:hAnsi="Garamond"/>
          <w:sz w:val="23"/>
          <w:szCs w:val="23"/>
        </w:rPr>
        <w:t>An Economic Incremental Benefits Ratio of 0.77 means that when Pennsylvania customers participate in both an Act 129 DR event and receive a PJM Economic DR settlement during the same hour, the Act 129 program receives 77% of the benefits. This makes sense relative to the size of the incentive amounts offered by the two markets. The SWE calculated that the average LMP during the top 100 hours across the state was $104.05/MWh</w:t>
      </w:r>
      <w:r w:rsidR="006A1273">
        <w:rPr>
          <w:rStyle w:val="FootnoteReference"/>
          <w:rFonts w:ascii="Garamond" w:hAnsi="Garamond"/>
          <w:sz w:val="23"/>
          <w:szCs w:val="23"/>
        </w:rPr>
        <w:footnoteReference w:id="39"/>
      </w:r>
      <w:r>
        <w:rPr>
          <w:rFonts w:ascii="Garamond" w:hAnsi="Garamond"/>
          <w:sz w:val="23"/>
          <w:szCs w:val="23"/>
        </w:rPr>
        <w:t xml:space="preserve"> during the summer of 2012. EDC program payments ranged from $150/MWh in the FirstEnergy voluntary program to nearly $900/MWh in PECO’s Demand Response Aggregator program. Since survey respondents listed financial incentives as their primary motivation for participation it follows that the program which offered the higher payment was listed as the primary driver of participation.</w:t>
      </w:r>
    </w:p>
    <w:p w:rsidR="00A03385" w:rsidRDefault="00A03385" w:rsidP="00A03385">
      <w:pPr>
        <w:spacing w:after="0" w:line="240" w:lineRule="auto"/>
        <w:rPr>
          <w:rFonts w:ascii="Garamond" w:hAnsi="Garamond"/>
          <w:sz w:val="23"/>
          <w:szCs w:val="23"/>
        </w:rPr>
      </w:pPr>
    </w:p>
    <w:p w:rsidR="00A03385" w:rsidRDefault="00A03385" w:rsidP="00A03385">
      <w:pPr>
        <w:spacing w:after="0" w:line="240" w:lineRule="auto"/>
        <w:rPr>
          <w:rFonts w:ascii="Garamond" w:hAnsi="Garamond"/>
          <w:sz w:val="23"/>
          <w:szCs w:val="23"/>
        </w:rPr>
      </w:pPr>
      <w:r>
        <w:rPr>
          <w:rFonts w:ascii="Garamond" w:hAnsi="Garamond"/>
          <w:sz w:val="23"/>
          <w:szCs w:val="23"/>
        </w:rPr>
        <w:t xml:space="preserve">The Emergency Incremental Benefits Ratio of 0.63 was an interesting research finding. The mandatory nature of PJM Emergency Events along with penalties for non-compliance would indicate that these events would receive even higher attribution scores from customers. There was a significant difference in the responses of PJM veterans and first-timers so the SWE believes that this result is driven by </w:t>
      </w:r>
      <w:r>
        <w:rPr>
          <w:rFonts w:ascii="Garamond" w:hAnsi="Garamond"/>
          <w:sz w:val="23"/>
          <w:szCs w:val="23"/>
        </w:rPr>
        <w:lastRenderedPageBreak/>
        <w:t>customers who would not have signed up for the PJM ELRP in 2012 at all without the extra financial motivation</w:t>
      </w:r>
      <w:r w:rsidR="00C3722F">
        <w:rPr>
          <w:rFonts w:ascii="Garamond" w:hAnsi="Garamond"/>
          <w:sz w:val="23"/>
          <w:szCs w:val="23"/>
        </w:rPr>
        <w:t xml:space="preserve"> provided by the EDC programs. </w:t>
      </w:r>
      <w:r>
        <w:rPr>
          <w:rFonts w:ascii="Garamond" w:hAnsi="Garamond"/>
          <w:sz w:val="23"/>
          <w:szCs w:val="23"/>
        </w:rPr>
        <w:t>The Overall Incremental Benefits Ratio is an average of the scores calculated among the survey sample. This factor is presented for reference only and was not used as an adjustment factor in any of the SWE benefit/cost analysis.</w:t>
      </w:r>
    </w:p>
    <w:p w:rsidR="0086084E" w:rsidRPr="0086084E" w:rsidRDefault="00BF638B" w:rsidP="00BF638B">
      <w:pPr>
        <w:jc w:val="left"/>
      </w:pPr>
      <w:bookmarkStart w:id="66" w:name="_Ref352436367"/>
      <w:bookmarkStart w:id="67" w:name="_Ref352437249"/>
      <w:bookmarkStart w:id="68" w:name="_Ref352441775"/>
      <w:bookmarkStart w:id="69" w:name="_Ref352565127"/>
      <w:bookmarkStart w:id="70" w:name="_Ref352570973"/>
      <w:bookmarkStart w:id="71" w:name="_Ref352572472"/>
      <w:r>
        <w:br w:type="page"/>
      </w:r>
    </w:p>
    <w:p w:rsidR="00FB5EFD" w:rsidRDefault="00FB5EFD" w:rsidP="00FB5EFD">
      <w:pPr>
        <w:pStyle w:val="Heading1"/>
      </w:pPr>
      <w:bookmarkStart w:id="72" w:name="_Ref352604525"/>
      <w:bookmarkStart w:id="73" w:name="_Toc355954905"/>
      <w:r>
        <w:lastRenderedPageBreak/>
        <w:t xml:space="preserve">Cost Effectiveness of </w:t>
      </w:r>
      <w:r w:rsidR="00B461AE">
        <w:t xml:space="preserve">Act 129 </w:t>
      </w:r>
      <w:r>
        <w:t>Demand Response Programs</w:t>
      </w:r>
      <w:bookmarkEnd w:id="66"/>
      <w:bookmarkEnd w:id="67"/>
      <w:bookmarkEnd w:id="68"/>
      <w:bookmarkEnd w:id="69"/>
      <w:bookmarkEnd w:id="70"/>
      <w:bookmarkEnd w:id="71"/>
      <w:bookmarkEnd w:id="72"/>
      <w:bookmarkEnd w:id="73"/>
    </w:p>
    <w:p w:rsidR="00AF25A4" w:rsidRPr="00AF25A4" w:rsidRDefault="00AF25A4" w:rsidP="00AF25A4">
      <w:pPr>
        <w:spacing w:line="240" w:lineRule="auto"/>
        <w:rPr>
          <w:rFonts w:ascii="Garamond" w:hAnsi="Garamond"/>
          <w:sz w:val="23"/>
          <w:szCs w:val="23"/>
        </w:rPr>
      </w:pPr>
      <w:r>
        <w:rPr>
          <w:rFonts w:ascii="Garamond" w:hAnsi="Garamond"/>
          <w:sz w:val="23"/>
          <w:szCs w:val="23"/>
        </w:rPr>
        <w:t xml:space="preserve">A central question of any ratepayer funded DSM program is whether the benefits of the program outweigh the costs of implementing the program. Act 129 programs are evaluated using a Total Resource Cost (TRC) test. The analysis presented in this section of the report examines whether the DR programs implemented by the Pennsylvania EDCs were cost effective as offered in 2012. Because this study </w:t>
      </w:r>
      <w:r w:rsidR="00127430">
        <w:rPr>
          <w:rFonts w:ascii="Garamond" w:hAnsi="Garamond"/>
          <w:sz w:val="23"/>
          <w:szCs w:val="23"/>
        </w:rPr>
        <w:t xml:space="preserve">will be used to </w:t>
      </w:r>
      <w:r>
        <w:rPr>
          <w:rFonts w:ascii="Garamond" w:hAnsi="Garamond"/>
          <w:sz w:val="23"/>
          <w:szCs w:val="23"/>
        </w:rPr>
        <w:t>inform whether DR goals are included in Phase III of Act 129</w:t>
      </w:r>
      <w:r w:rsidR="00127430">
        <w:rPr>
          <w:rFonts w:ascii="Garamond" w:hAnsi="Garamond"/>
          <w:sz w:val="23"/>
          <w:szCs w:val="23"/>
        </w:rPr>
        <w:t xml:space="preserve">, the SWE also used the DR impacts observed in 2012 as </w:t>
      </w:r>
      <w:r w:rsidR="00A7106E">
        <w:rPr>
          <w:rFonts w:ascii="Garamond" w:hAnsi="Garamond"/>
          <w:sz w:val="23"/>
          <w:szCs w:val="23"/>
        </w:rPr>
        <w:t xml:space="preserve">the </w:t>
      </w:r>
      <w:r w:rsidR="00127430">
        <w:rPr>
          <w:rFonts w:ascii="Garamond" w:hAnsi="Garamond"/>
          <w:sz w:val="23"/>
          <w:szCs w:val="23"/>
        </w:rPr>
        <w:t xml:space="preserve">basis for an exploration of the TRC ratios which could be expected </w:t>
      </w:r>
      <w:r w:rsidR="00A7106E">
        <w:rPr>
          <w:rFonts w:ascii="Garamond" w:hAnsi="Garamond"/>
          <w:sz w:val="23"/>
          <w:szCs w:val="23"/>
        </w:rPr>
        <w:t xml:space="preserve">from Act 129 DR programs </w:t>
      </w:r>
      <w:r w:rsidR="00127430">
        <w:rPr>
          <w:rFonts w:ascii="Garamond" w:hAnsi="Garamond"/>
          <w:sz w:val="23"/>
          <w:szCs w:val="23"/>
        </w:rPr>
        <w:t xml:space="preserve">in 2016 and beyond depending on the market conditions in place at that time. These market conditions and assumptions, or sensitivities, </w:t>
      </w:r>
      <w:r w:rsidR="00557CBF">
        <w:rPr>
          <w:rFonts w:ascii="Garamond" w:hAnsi="Garamond"/>
          <w:sz w:val="23"/>
          <w:szCs w:val="23"/>
        </w:rPr>
        <w:t>a</w:t>
      </w:r>
      <w:r w:rsidR="001479D0">
        <w:rPr>
          <w:rFonts w:ascii="Garamond" w:hAnsi="Garamond"/>
          <w:sz w:val="23"/>
          <w:szCs w:val="23"/>
        </w:rPr>
        <w:t xml:space="preserve">re </w:t>
      </w:r>
      <w:r w:rsidR="00127430">
        <w:rPr>
          <w:rFonts w:ascii="Garamond" w:hAnsi="Garamond"/>
          <w:sz w:val="23"/>
          <w:szCs w:val="23"/>
        </w:rPr>
        <w:t xml:space="preserve">introduced in Section </w:t>
      </w:r>
      <w:r w:rsidR="00557CBF">
        <w:rPr>
          <w:rFonts w:ascii="Garamond" w:hAnsi="Garamond"/>
          <w:sz w:val="23"/>
          <w:szCs w:val="23"/>
        </w:rPr>
        <w:fldChar w:fldCharType="begin"/>
      </w:r>
      <w:r w:rsidR="00557CBF">
        <w:rPr>
          <w:rFonts w:ascii="Garamond" w:hAnsi="Garamond"/>
          <w:sz w:val="23"/>
          <w:szCs w:val="23"/>
        </w:rPr>
        <w:instrText xml:space="preserve"> REF _Ref352604525 \r \h </w:instrText>
      </w:r>
      <w:r w:rsidR="00557CBF">
        <w:rPr>
          <w:rFonts w:ascii="Garamond" w:hAnsi="Garamond"/>
          <w:sz w:val="23"/>
          <w:szCs w:val="23"/>
        </w:rPr>
      </w:r>
      <w:r w:rsidR="00557CBF">
        <w:rPr>
          <w:rFonts w:ascii="Garamond" w:hAnsi="Garamond"/>
          <w:sz w:val="23"/>
          <w:szCs w:val="23"/>
        </w:rPr>
        <w:fldChar w:fldCharType="separate"/>
      </w:r>
      <w:r w:rsidR="00451FFF">
        <w:rPr>
          <w:rFonts w:ascii="Garamond" w:hAnsi="Garamond"/>
          <w:sz w:val="23"/>
          <w:szCs w:val="23"/>
        </w:rPr>
        <w:t>F</w:t>
      </w:r>
      <w:r w:rsidR="00557CBF">
        <w:rPr>
          <w:rFonts w:ascii="Garamond" w:hAnsi="Garamond"/>
          <w:sz w:val="23"/>
          <w:szCs w:val="23"/>
        </w:rPr>
        <w:fldChar w:fldCharType="end"/>
      </w:r>
      <w:r w:rsidR="00557CBF">
        <w:rPr>
          <w:rFonts w:ascii="Garamond" w:hAnsi="Garamond"/>
          <w:sz w:val="23"/>
          <w:szCs w:val="23"/>
        </w:rPr>
        <w:t>-</w:t>
      </w:r>
      <w:r w:rsidR="00127430">
        <w:rPr>
          <w:rFonts w:ascii="Garamond" w:hAnsi="Garamond"/>
          <w:sz w:val="23"/>
          <w:szCs w:val="23"/>
        </w:rPr>
        <w:fldChar w:fldCharType="begin"/>
      </w:r>
      <w:r w:rsidR="00127430">
        <w:rPr>
          <w:rFonts w:ascii="Garamond" w:hAnsi="Garamond"/>
          <w:sz w:val="23"/>
          <w:szCs w:val="23"/>
        </w:rPr>
        <w:instrText xml:space="preserve"> REF _Ref352931105 \r \h </w:instrText>
      </w:r>
      <w:r w:rsidR="00127430">
        <w:rPr>
          <w:rFonts w:ascii="Garamond" w:hAnsi="Garamond"/>
          <w:sz w:val="23"/>
          <w:szCs w:val="23"/>
        </w:rPr>
      </w:r>
      <w:r w:rsidR="00127430">
        <w:rPr>
          <w:rFonts w:ascii="Garamond" w:hAnsi="Garamond"/>
          <w:sz w:val="23"/>
          <w:szCs w:val="23"/>
        </w:rPr>
        <w:fldChar w:fldCharType="separate"/>
      </w:r>
      <w:r w:rsidR="00451FFF">
        <w:rPr>
          <w:rFonts w:ascii="Garamond" w:hAnsi="Garamond"/>
          <w:sz w:val="23"/>
          <w:szCs w:val="23"/>
        </w:rPr>
        <w:t>2</w:t>
      </w:r>
      <w:r w:rsidR="00127430">
        <w:rPr>
          <w:rFonts w:ascii="Garamond" w:hAnsi="Garamond"/>
          <w:sz w:val="23"/>
          <w:szCs w:val="23"/>
        </w:rPr>
        <w:fldChar w:fldCharType="end"/>
      </w:r>
      <w:r w:rsidR="00127430">
        <w:rPr>
          <w:rFonts w:ascii="Garamond" w:hAnsi="Garamond"/>
          <w:sz w:val="23"/>
          <w:szCs w:val="23"/>
        </w:rPr>
        <w:t xml:space="preserve">. The effect of these sensitivities on direct load control programs </w:t>
      </w:r>
      <w:r w:rsidR="00557CBF">
        <w:rPr>
          <w:rFonts w:ascii="Garamond" w:hAnsi="Garamond"/>
          <w:sz w:val="23"/>
          <w:szCs w:val="23"/>
        </w:rPr>
        <w:t>a</w:t>
      </w:r>
      <w:r w:rsidR="001479D0">
        <w:rPr>
          <w:rFonts w:ascii="Garamond" w:hAnsi="Garamond"/>
          <w:sz w:val="23"/>
          <w:szCs w:val="23"/>
        </w:rPr>
        <w:t xml:space="preserve">re </w:t>
      </w:r>
      <w:r w:rsidR="00127430">
        <w:rPr>
          <w:rFonts w:ascii="Garamond" w:hAnsi="Garamond"/>
          <w:sz w:val="23"/>
          <w:szCs w:val="23"/>
        </w:rPr>
        <w:t xml:space="preserve">explored in Section </w:t>
      </w:r>
      <w:r w:rsidR="00557CBF">
        <w:rPr>
          <w:rFonts w:ascii="Garamond" w:hAnsi="Garamond"/>
          <w:sz w:val="23"/>
          <w:szCs w:val="23"/>
        </w:rPr>
        <w:fldChar w:fldCharType="begin"/>
      </w:r>
      <w:r w:rsidR="00557CBF">
        <w:rPr>
          <w:rFonts w:ascii="Garamond" w:hAnsi="Garamond"/>
          <w:sz w:val="23"/>
          <w:szCs w:val="23"/>
        </w:rPr>
        <w:instrText xml:space="preserve"> REF _Ref352604525 \r \h </w:instrText>
      </w:r>
      <w:r w:rsidR="00557CBF">
        <w:rPr>
          <w:rFonts w:ascii="Garamond" w:hAnsi="Garamond"/>
          <w:sz w:val="23"/>
          <w:szCs w:val="23"/>
        </w:rPr>
      </w:r>
      <w:r w:rsidR="00557CBF">
        <w:rPr>
          <w:rFonts w:ascii="Garamond" w:hAnsi="Garamond"/>
          <w:sz w:val="23"/>
          <w:szCs w:val="23"/>
        </w:rPr>
        <w:fldChar w:fldCharType="separate"/>
      </w:r>
      <w:r w:rsidR="00451FFF">
        <w:rPr>
          <w:rFonts w:ascii="Garamond" w:hAnsi="Garamond"/>
          <w:sz w:val="23"/>
          <w:szCs w:val="23"/>
        </w:rPr>
        <w:t>F</w:t>
      </w:r>
      <w:r w:rsidR="00557CBF">
        <w:rPr>
          <w:rFonts w:ascii="Garamond" w:hAnsi="Garamond"/>
          <w:sz w:val="23"/>
          <w:szCs w:val="23"/>
        </w:rPr>
        <w:fldChar w:fldCharType="end"/>
      </w:r>
      <w:r w:rsidR="00557CBF">
        <w:rPr>
          <w:rFonts w:ascii="Garamond" w:hAnsi="Garamond"/>
          <w:sz w:val="23"/>
          <w:szCs w:val="23"/>
        </w:rPr>
        <w:t>-</w:t>
      </w:r>
      <w:r w:rsidR="00127430">
        <w:rPr>
          <w:rFonts w:ascii="Garamond" w:hAnsi="Garamond"/>
          <w:sz w:val="23"/>
          <w:szCs w:val="23"/>
        </w:rPr>
        <w:fldChar w:fldCharType="begin"/>
      </w:r>
      <w:r w:rsidR="00127430">
        <w:rPr>
          <w:rFonts w:ascii="Garamond" w:hAnsi="Garamond"/>
          <w:sz w:val="23"/>
          <w:szCs w:val="23"/>
        </w:rPr>
        <w:instrText xml:space="preserve"> REF _Ref352931163 \r \h </w:instrText>
      </w:r>
      <w:r w:rsidR="00127430">
        <w:rPr>
          <w:rFonts w:ascii="Garamond" w:hAnsi="Garamond"/>
          <w:sz w:val="23"/>
          <w:szCs w:val="23"/>
        </w:rPr>
      </w:r>
      <w:r w:rsidR="00127430">
        <w:rPr>
          <w:rFonts w:ascii="Garamond" w:hAnsi="Garamond"/>
          <w:sz w:val="23"/>
          <w:szCs w:val="23"/>
        </w:rPr>
        <w:fldChar w:fldCharType="separate"/>
      </w:r>
      <w:r w:rsidR="00451FFF">
        <w:rPr>
          <w:rFonts w:ascii="Garamond" w:hAnsi="Garamond"/>
          <w:sz w:val="23"/>
          <w:szCs w:val="23"/>
        </w:rPr>
        <w:t>3</w:t>
      </w:r>
      <w:r w:rsidR="00127430">
        <w:rPr>
          <w:rFonts w:ascii="Garamond" w:hAnsi="Garamond"/>
          <w:sz w:val="23"/>
          <w:szCs w:val="23"/>
        </w:rPr>
        <w:fldChar w:fldCharType="end"/>
      </w:r>
      <w:r w:rsidR="00127430">
        <w:rPr>
          <w:rFonts w:ascii="Garamond" w:hAnsi="Garamond"/>
          <w:sz w:val="23"/>
          <w:szCs w:val="23"/>
        </w:rPr>
        <w:t xml:space="preserve"> and the effects on load curtailment programs </w:t>
      </w:r>
      <w:r w:rsidR="00557CBF">
        <w:rPr>
          <w:rFonts w:ascii="Garamond" w:hAnsi="Garamond"/>
          <w:sz w:val="23"/>
          <w:szCs w:val="23"/>
        </w:rPr>
        <w:t>a</w:t>
      </w:r>
      <w:r w:rsidR="001479D0">
        <w:rPr>
          <w:rFonts w:ascii="Garamond" w:hAnsi="Garamond"/>
          <w:sz w:val="23"/>
          <w:szCs w:val="23"/>
        </w:rPr>
        <w:t xml:space="preserve">re </w:t>
      </w:r>
      <w:r w:rsidR="00127430">
        <w:rPr>
          <w:rFonts w:ascii="Garamond" w:hAnsi="Garamond"/>
          <w:sz w:val="23"/>
          <w:szCs w:val="23"/>
        </w:rPr>
        <w:t xml:space="preserve">presented in Section </w:t>
      </w:r>
      <w:r w:rsidR="00557CBF">
        <w:rPr>
          <w:rFonts w:ascii="Garamond" w:hAnsi="Garamond"/>
          <w:sz w:val="23"/>
          <w:szCs w:val="23"/>
        </w:rPr>
        <w:fldChar w:fldCharType="begin"/>
      </w:r>
      <w:r w:rsidR="00557CBF">
        <w:rPr>
          <w:rFonts w:ascii="Garamond" w:hAnsi="Garamond"/>
          <w:sz w:val="23"/>
          <w:szCs w:val="23"/>
        </w:rPr>
        <w:instrText xml:space="preserve"> REF _Ref352604525 \r \h </w:instrText>
      </w:r>
      <w:r w:rsidR="00557CBF">
        <w:rPr>
          <w:rFonts w:ascii="Garamond" w:hAnsi="Garamond"/>
          <w:sz w:val="23"/>
          <w:szCs w:val="23"/>
        </w:rPr>
      </w:r>
      <w:r w:rsidR="00557CBF">
        <w:rPr>
          <w:rFonts w:ascii="Garamond" w:hAnsi="Garamond"/>
          <w:sz w:val="23"/>
          <w:szCs w:val="23"/>
        </w:rPr>
        <w:fldChar w:fldCharType="separate"/>
      </w:r>
      <w:r w:rsidR="00451FFF">
        <w:rPr>
          <w:rFonts w:ascii="Garamond" w:hAnsi="Garamond"/>
          <w:sz w:val="23"/>
          <w:szCs w:val="23"/>
        </w:rPr>
        <w:t>F</w:t>
      </w:r>
      <w:r w:rsidR="00557CBF">
        <w:rPr>
          <w:rFonts w:ascii="Garamond" w:hAnsi="Garamond"/>
          <w:sz w:val="23"/>
          <w:szCs w:val="23"/>
        </w:rPr>
        <w:fldChar w:fldCharType="end"/>
      </w:r>
      <w:r w:rsidR="00557CBF">
        <w:rPr>
          <w:rFonts w:ascii="Garamond" w:hAnsi="Garamond"/>
          <w:sz w:val="23"/>
          <w:szCs w:val="23"/>
        </w:rPr>
        <w:t>-</w:t>
      </w:r>
      <w:r w:rsidR="00127430">
        <w:rPr>
          <w:rFonts w:ascii="Garamond" w:hAnsi="Garamond"/>
          <w:sz w:val="23"/>
          <w:szCs w:val="23"/>
        </w:rPr>
        <w:fldChar w:fldCharType="begin"/>
      </w:r>
      <w:r w:rsidR="00127430">
        <w:rPr>
          <w:rFonts w:ascii="Garamond" w:hAnsi="Garamond"/>
          <w:sz w:val="23"/>
          <w:szCs w:val="23"/>
        </w:rPr>
        <w:instrText xml:space="preserve"> REF _Ref352931197 \r \h </w:instrText>
      </w:r>
      <w:r w:rsidR="00127430">
        <w:rPr>
          <w:rFonts w:ascii="Garamond" w:hAnsi="Garamond"/>
          <w:sz w:val="23"/>
          <w:szCs w:val="23"/>
        </w:rPr>
      </w:r>
      <w:r w:rsidR="00127430">
        <w:rPr>
          <w:rFonts w:ascii="Garamond" w:hAnsi="Garamond"/>
          <w:sz w:val="23"/>
          <w:szCs w:val="23"/>
        </w:rPr>
        <w:fldChar w:fldCharType="separate"/>
      </w:r>
      <w:r w:rsidR="00451FFF">
        <w:rPr>
          <w:rFonts w:ascii="Garamond" w:hAnsi="Garamond"/>
          <w:sz w:val="23"/>
          <w:szCs w:val="23"/>
        </w:rPr>
        <w:t>4</w:t>
      </w:r>
      <w:r w:rsidR="00127430">
        <w:rPr>
          <w:rFonts w:ascii="Garamond" w:hAnsi="Garamond"/>
          <w:sz w:val="23"/>
          <w:szCs w:val="23"/>
        </w:rPr>
        <w:fldChar w:fldCharType="end"/>
      </w:r>
      <w:r w:rsidR="00127430">
        <w:rPr>
          <w:rFonts w:ascii="Garamond" w:hAnsi="Garamond"/>
          <w:sz w:val="23"/>
          <w:szCs w:val="23"/>
        </w:rPr>
        <w:t xml:space="preserve">. The survey results from Section </w:t>
      </w:r>
      <w:r w:rsidR="00127430">
        <w:rPr>
          <w:rFonts w:ascii="Garamond" w:hAnsi="Garamond"/>
          <w:sz w:val="23"/>
          <w:szCs w:val="23"/>
        </w:rPr>
        <w:fldChar w:fldCharType="begin"/>
      </w:r>
      <w:r w:rsidR="00127430">
        <w:rPr>
          <w:rFonts w:ascii="Garamond" w:hAnsi="Garamond"/>
          <w:sz w:val="23"/>
          <w:szCs w:val="23"/>
        </w:rPr>
        <w:instrText xml:space="preserve"> REF _Ref343687753 \r \h </w:instrText>
      </w:r>
      <w:r w:rsidR="00127430">
        <w:rPr>
          <w:rFonts w:ascii="Garamond" w:hAnsi="Garamond"/>
          <w:sz w:val="23"/>
          <w:szCs w:val="23"/>
        </w:rPr>
      </w:r>
      <w:r w:rsidR="00127430">
        <w:rPr>
          <w:rFonts w:ascii="Garamond" w:hAnsi="Garamond"/>
          <w:sz w:val="23"/>
          <w:szCs w:val="23"/>
        </w:rPr>
        <w:fldChar w:fldCharType="separate"/>
      </w:r>
      <w:r w:rsidR="00451FFF">
        <w:rPr>
          <w:rFonts w:ascii="Garamond" w:hAnsi="Garamond"/>
          <w:sz w:val="23"/>
          <w:szCs w:val="23"/>
        </w:rPr>
        <w:t>E</w:t>
      </w:r>
      <w:r w:rsidR="00127430">
        <w:rPr>
          <w:rFonts w:ascii="Garamond" w:hAnsi="Garamond"/>
          <w:sz w:val="23"/>
          <w:szCs w:val="23"/>
        </w:rPr>
        <w:fldChar w:fldCharType="end"/>
      </w:r>
      <w:r w:rsidR="00127430">
        <w:rPr>
          <w:rFonts w:ascii="Garamond" w:hAnsi="Garamond"/>
          <w:sz w:val="23"/>
          <w:szCs w:val="23"/>
        </w:rPr>
        <w:t xml:space="preserve"> were used in the SWE analysis of EDC load curtailment programs so the resulting TRC ratios for these programs “as offered in 2012” will likely be lower than the ratios presented by the EDCs in their Program Year 4 Annual Reports.</w:t>
      </w:r>
    </w:p>
    <w:p w:rsidR="00FB5EFD" w:rsidRPr="003646E8" w:rsidRDefault="00FB5EFD" w:rsidP="00FB5EFD">
      <w:pPr>
        <w:pStyle w:val="Heading2"/>
        <w:numPr>
          <w:ilvl w:val="0"/>
          <w:numId w:val="33"/>
        </w:numPr>
      </w:pPr>
      <w:bookmarkStart w:id="74" w:name="_Toc355954906"/>
      <w:r w:rsidRPr="003646E8">
        <w:t>Methodology, Assumptions, and Data Sources</w:t>
      </w:r>
      <w:bookmarkEnd w:id="74"/>
    </w:p>
    <w:p w:rsidR="00FB5EFD" w:rsidRPr="00872B5F" w:rsidRDefault="00FB5EFD" w:rsidP="00A7106E">
      <w:pPr>
        <w:pStyle w:val="NoSpacing"/>
        <w:rPr>
          <w:rFonts w:ascii="Garamond" w:hAnsi="Garamond"/>
          <w:sz w:val="23"/>
          <w:szCs w:val="23"/>
        </w:rPr>
      </w:pPr>
      <w:r w:rsidRPr="00872B5F">
        <w:rPr>
          <w:rFonts w:ascii="Garamond" w:hAnsi="Garamond"/>
          <w:sz w:val="23"/>
          <w:szCs w:val="23"/>
        </w:rPr>
        <w:t xml:space="preserve">In order to assess the cost effectiveness of </w:t>
      </w:r>
      <w:r w:rsidR="002F1FE0" w:rsidRPr="00872B5F">
        <w:rPr>
          <w:rFonts w:ascii="Garamond" w:hAnsi="Garamond"/>
          <w:sz w:val="23"/>
          <w:szCs w:val="23"/>
        </w:rPr>
        <w:t>Act 129 DR</w:t>
      </w:r>
      <w:r w:rsidRPr="00872B5F">
        <w:rPr>
          <w:rFonts w:ascii="Garamond" w:hAnsi="Garamond"/>
          <w:sz w:val="23"/>
          <w:szCs w:val="23"/>
        </w:rPr>
        <w:t xml:space="preserve"> programs, the SWE </w:t>
      </w:r>
      <w:r w:rsidR="002F1FE0" w:rsidRPr="00872B5F">
        <w:rPr>
          <w:rFonts w:ascii="Garamond" w:hAnsi="Garamond"/>
          <w:sz w:val="23"/>
          <w:szCs w:val="23"/>
        </w:rPr>
        <w:t>performed a</w:t>
      </w:r>
      <w:r w:rsidRPr="00872B5F">
        <w:rPr>
          <w:rFonts w:ascii="Garamond" w:hAnsi="Garamond"/>
          <w:sz w:val="23"/>
          <w:szCs w:val="23"/>
        </w:rPr>
        <w:t xml:space="preserve"> </w:t>
      </w:r>
      <w:r w:rsidR="00AF25A4">
        <w:rPr>
          <w:rFonts w:ascii="Garamond" w:hAnsi="Garamond"/>
          <w:sz w:val="23"/>
          <w:szCs w:val="23"/>
        </w:rPr>
        <w:t>TRC</w:t>
      </w:r>
      <w:r w:rsidR="002F1FE0" w:rsidRPr="00872B5F">
        <w:rPr>
          <w:rFonts w:ascii="Garamond" w:hAnsi="Garamond"/>
          <w:sz w:val="23"/>
          <w:szCs w:val="23"/>
        </w:rPr>
        <w:t xml:space="preserve"> test</w:t>
      </w:r>
      <w:r w:rsidRPr="00872B5F">
        <w:rPr>
          <w:rFonts w:ascii="Garamond" w:hAnsi="Garamond"/>
          <w:sz w:val="23"/>
          <w:szCs w:val="23"/>
        </w:rPr>
        <w:t xml:space="preserve"> for each </w:t>
      </w:r>
      <w:r w:rsidR="002F1FE0" w:rsidRPr="00872B5F">
        <w:rPr>
          <w:rFonts w:ascii="Garamond" w:hAnsi="Garamond"/>
          <w:sz w:val="23"/>
          <w:szCs w:val="23"/>
        </w:rPr>
        <w:t>program that was active during the summer of</w:t>
      </w:r>
      <w:r w:rsidRPr="00872B5F">
        <w:rPr>
          <w:rFonts w:ascii="Garamond" w:hAnsi="Garamond"/>
          <w:sz w:val="23"/>
          <w:szCs w:val="23"/>
        </w:rPr>
        <w:t xml:space="preserve"> 2012.</w:t>
      </w:r>
      <w:r w:rsidR="002F1FE0" w:rsidRPr="00872B5F">
        <w:rPr>
          <w:rFonts w:ascii="Garamond" w:hAnsi="Garamond"/>
          <w:sz w:val="23"/>
          <w:szCs w:val="23"/>
        </w:rPr>
        <w:t xml:space="preserve"> </w:t>
      </w:r>
      <w:r w:rsidRPr="00872B5F">
        <w:rPr>
          <w:rFonts w:ascii="Garamond" w:hAnsi="Garamond"/>
          <w:sz w:val="23"/>
          <w:szCs w:val="23"/>
        </w:rPr>
        <w:t xml:space="preserve">The TRC test accumulates the benefits and costs of a DR program and </w:t>
      </w:r>
      <w:r w:rsidR="002F1FE0" w:rsidRPr="00872B5F">
        <w:rPr>
          <w:rFonts w:ascii="Garamond" w:hAnsi="Garamond"/>
          <w:sz w:val="23"/>
          <w:szCs w:val="23"/>
        </w:rPr>
        <w:t xml:space="preserve">presents the results as a ratio (benefits/costs). A program with a TRC ratio greater than 1.0 is considered “cost-effective” because </w:t>
      </w:r>
      <w:r w:rsidR="00127430">
        <w:rPr>
          <w:rFonts w:ascii="Garamond" w:hAnsi="Garamond"/>
          <w:sz w:val="23"/>
          <w:szCs w:val="23"/>
        </w:rPr>
        <w:t xml:space="preserve">the </w:t>
      </w:r>
      <w:r w:rsidR="002F1FE0" w:rsidRPr="00872B5F">
        <w:rPr>
          <w:rFonts w:ascii="Garamond" w:hAnsi="Garamond"/>
          <w:sz w:val="23"/>
          <w:szCs w:val="23"/>
        </w:rPr>
        <w:t xml:space="preserve">benefits are greater than the costs. </w:t>
      </w:r>
      <w:r w:rsidRPr="00872B5F">
        <w:rPr>
          <w:rFonts w:ascii="Garamond" w:hAnsi="Garamond"/>
          <w:sz w:val="23"/>
          <w:szCs w:val="23"/>
        </w:rPr>
        <w:t>For the base case, the SWE used a single year evaluation of benefits and co</w:t>
      </w:r>
      <w:r w:rsidR="002F1FE0" w:rsidRPr="00872B5F">
        <w:rPr>
          <w:rFonts w:ascii="Garamond" w:hAnsi="Garamond"/>
          <w:sz w:val="23"/>
          <w:szCs w:val="23"/>
        </w:rPr>
        <w:t xml:space="preserve">sts to estimate the TRC ratio. </w:t>
      </w:r>
      <w:r w:rsidRPr="00872B5F">
        <w:rPr>
          <w:rFonts w:ascii="Garamond" w:hAnsi="Garamond"/>
          <w:sz w:val="23"/>
          <w:szCs w:val="23"/>
        </w:rPr>
        <w:t xml:space="preserve">The table below shows the benefits and costs that are </w:t>
      </w:r>
      <w:r w:rsidR="00872B5F" w:rsidRPr="00872B5F">
        <w:rPr>
          <w:rFonts w:ascii="Garamond" w:hAnsi="Garamond"/>
          <w:sz w:val="23"/>
          <w:szCs w:val="23"/>
        </w:rPr>
        <w:t>identified in the SWE analysis.</w:t>
      </w:r>
    </w:p>
    <w:p w:rsidR="00FB5EFD" w:rsidRPr="003A79A5" w:rsidRDefault="00FB5EFD" w:rsidP="00A7106E">
      <w:pPr>
        <w:pStyle w:val="NoSpacing"/>
        <w:rPr>
          <w:b/>
        </w:rPr>
      </w:pPr>
    </w:p>
    <w:p w:rsidR="00872B5F" w:rsidRPr="00872B5F" w:rsidRDefault="00872B5F" w:rsidP="00A7106E">
      <w:pPr>
        <w:pStyle w:val="Caption"/>
        <w:keepNext/>
        <w:jc w:val="center"/>
        <w:rPr>
          <w:rFonts w:ascii="Garamond" w:hAnsi="Garamond"/>
          <w:sz w:val="23"/>
          <w:szCs w:val="23"/>
        </w:rPr>
      </w:pPr>
      <w:r w:rsidRPr="00872B5F">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F</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1</w:t>
      </w:r>
      <w:r w:rsidR="00C01A4C">
        <w:rPr>
          <w:rFonts w:ascii="Garamond" w:hAnsi="Garamond"/>
          <w:sz w:val="23"/>
          <w:szCs w:val="23"/>
        </w:rPr>
        <w:fldChar w:fldCharType="end"/>
      </w:r>
      <w:r w:rsidRPr="00872B5F">
        <w:rPr>
          <w:rFonts w:ascii="Garamond" w:hAnsi="Garamond"/>
          <w:sz w:val="23"/>
          <w:szCs w:val="23"/>
        </w:rPr>
        <w:t>: Benefits and Costs included in the SWE TRC Test</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636"/>
      </w:tblGrid>
      <w:tr w:rsidR="00872B5F" w:rsidRPr="00872B5F" w:rsidTr="00872B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8" w:type="dxa"/>
            <w:shd w:val="clear" w:color="auto" w:fill="1F497D" w:themeFill="text2"/>
          </w:tcPr>
          <w:p w:rsidR="00FB5EFD" w:rsidRPr="00872B5F" w:rsidRDefault="00FB5EFD" w:rsidP="00A7106E">
            <w:pPr>
              <w:pStyle w:val="NoSpacing"/>
              <w:jc w:val="center"/>
              <w:rPr>
                <w:rFonts w:ascii="Garamond" w:hAnsi="Garamond"/>
                <w:sz w:val="23"/>
                <w:szCs w:val="23"/>
              </w:rPr>
            </w:pPr>
            <w:r w:rsidRPr="00872B5F">
              <w:rPr>
                <w:rFonts w:ascii="Garamond" w:hAnsi="Garamond"/>
                <w:sz w:val="23"/>
                <w:szCs w:val="23"/>
              </w:rPr>
              <w:t>Benefits</w:t>
            </w:r>
            <w:r w:rsidR="00EC71FB">
              <w:rPr>
                <w:rFonts w:ascii="Garamond" w:hAnsi="Garamond"/>
                <w:sz w:val="23"/>
                <w:szCs w:val="23"/>
              </w:rPr>
              <w:t>*</w:t>
            </w:r>
          </w:p>
        </w:tc>
        <w:tc>
          <w:tcPr>
            <w:tcW w:w="3636" w:type="dxa"/>
            <w:shd w:val="clear" w:color="auto" w:fill="1F497D" w:themeFill="text2"/>
          </w:tcPr>
          <w:p w:rsidR="00FB5EFD" w:rsidRPr="00872B5F" w:rsidRDefault="00FB5EFD" w:rsidP="00A7106E">
            <w:pPr>
              <w:pStyle w:val="NoSpacing"/>
              <w:jc w:val="center"/>
              <w:cnfStyle w:val="100000000000" w:firstRow="1" w:lastRow="0" w:firstColumn="0" w:lastColumn="0" w:oddVBand="0" w:evenVBand="0" w:oddHBand="0" w:evenHBand="0" w:firstRowFirstColumn="0" w:firstRowLastColumn="0" w:lastRowFirstColumn="0" w:lastRowLastColumn="0"/>
              <w:rPr>
                <w:rFonts w:ascii="Garamond" w:hAnsi="Garamond"/>
                <w:sz w:val="23"/>
                <w:szCs w:val="23"/>
              </w:rPr>
            </w:pPr>
            <w:r w:rsidRPr="00872B5F">
              <w:rPr>
                <w:rFonts w:ascii="Garamond" w:hAnsi="Garamond"/>
                <w:sz w:val="23"/>
                <w:szCs w:val="23"/>
              </w:rPr>
              <w:t>Costs</w:t>
            </w:r>
          </w:p>
        </w:tc>
      </w:tr>
      <w:tr w:rsidR="00FB5EFD" w:rsidTr="00872B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8" w:type="dxa"/>
            <w:tcBorders>
              <w:top w:val="none" w:sz="0" w:space="0" w:color="auto"/>
              <w:left w:val="none" w:sz="0" w:space="0" w:color="auto"/>
              <w:bottom w:val="none" w:sz="0" w:space="0" w:color="auto"/>
            </w:tcBorders>
          </w:tcPr>
          <w:p w:rsidR="00FB5EFD" w:rsidRPr="00872B5F" w:rsidRDefault="00FB5EFD" w:rsidP="00A7106E">
            <w:pPr>
              <w:pStyle w:val="NoSpacing"/>
              <w:rPr>
                <w:rFonts w:ascii="Garamond" w:hAnsi="Garamond"/>
                <w:b w:val="0"/>
                <w:sz w:val="23"/>
                <w:szCs w:val="23"/>
              </w:rPr>
            </w:pPr>
            <w:r w:rsidRPr="00872B5F">
              <w:rPr>
                <w:rFonts w:ascii="Garamond" w:hAnsi="Garamond"/>
                <w:b w:val="0"/>
                <w:sz w:val="23"/>
                <w:szCs w:val="23"/>
              </w:rPr>
              <w:t xml:space="preserve">Avoided </w:t>
            </w:r>
            <w:r w:rsidR="00872B5F">
              <w:rPr>
                <w:rFonts w:ascii="Garamond" w:hAnsi="Garamond"/>
                <w:b w:val="0"/>
                <w:sz w:val="23"/>
                <w:szCs w:val="23"/>
              </w:rPr>
              <w:t xml:space="preserve">Cost of Generation Capacity </w:t>
            </w:r>
          </w:p>
        </w:tc>
        <w:tc>
          <w:tcPr>
            <w:tcW w:w="3636" w:type="dxa"/>
            <w:tcBorders>
              <w:top w:val="none" w:sz="0" w:space="0" w:color="auto"/>
              <w:bottom w:val="none" w:sz="0" w:space="0" w:color="auto"/>
              <w:right w:val="none" w:sz="0" w:space="0" w:color="auto"/>
            </w:tcBorders>
          </w:tcPr>
          <w:p w:rsidR="00FB5EFD" w:rsidRPr="00872B5F" w:rsidRDefault="00FB5EFD" w:rsidP="00A7106E">
            <w:pPr>
              <w:pStyle w:val="NoSpacing"/>
              <w:cnfStyle w:val="000000100000" w:firstRow="0" w:lastRow="0" w:firstColumn="0" w:lastColumn="0" w:oddVBand="0" w:evenVBand="0" w:oddHBand="1" w:evenHBand="0" w:firstRowFirstColumn="0" w:firstRowLastColumn="0" w:lastRowFirstColumn="0" w:lastRowLastColumn="0"/>
              <w:rPr>
                <w:rFonts w:ascii="Garamond" w:hAnsi="Garamond"/>
                <w:sz w:val="23"/>
                <w:szCs w:val="23"/>
              </w:rPr>
            </w:pPr>
            <w:r w:rsidRPr="00872B5F">
              <w:rPr>
                <w:rFonts w:ascii="Garamond" w:hAnsi="Garamond"/>
                <w:sz w:val="23"/>
                <w:szCs w:val="23"/>
              </w:rPr>
              <w:t>Equipment &amp; Installation Costs</w:t>
            </w:r>
          </w:p>
        </w:tc>
      </w:tr>
      <w:tr w:rsidR="00FB5EFD" w:rsidTr="00872B5F">
        <w:trPr>
          <w:jc w:val="center"/>
        </w:trPr>
        <w:tc>
          <w:tcPr>
            <w:cnfStyle w:val="001000000000" w:firstRow="0" w:lastRow="0" w:firstColumn="1" w:lastColumn="0" w:oddVBand="0" w:evenVBand="0" w:oddHBand="0" w:evenHBand="0" w:firstRowFirstColumn="0" w:firstRowLastColumn="0" w:lastRowFirstColumn="0" w:lastRowLastColumn="0"/>
            <w:tcW w:w="5418" w:type="dxa"/>
          </w:tcPr>
          <w:p w:rsidR="00FB5EFD" w:rsidRPr="00872B5F" w:rsidRDefault="00FB5EFD" w:rsidP="00A7106E">
            <w:pPr>
              <w:pStyle w:val="NoSpacing"/>
              <w:rPr>
                <w:rFonts w:ascii="Garamond" w:hAnsi="Garamond"/>
                <w:b w:val="0"/>
                <w:sz w:val="23"/>
                <w:szCs w:val="23"/>
              </w:rPr>
            </w:pPr>
            <w:r w:rsidRPr="00872B5F">
              <w:rPr>
                <w:rFonts w:ascii="Garamond" w:hAnsi="Garamond"/>
                <w:b w:val="0"/>
                <w:sz w:val="23"/>
                <w:szCs w:val="23"/>
              </w:rPr>
              <w:t xml:space="preserve">Avoided </w:t>
            </w:r>
            <w:r w:rsidR="00872B5F">
              <w:rPr>
                <w:rFonts w:ascii="Garamond" w:hAnsi="Garamond"/>
                <w:b w:val="0"/>
                <w:sz w:val="23"/>
                <w:szCs w:val="23"/>
              </w:rPr>
              <w:t xml:space="preserve">Cost of </w:t>
            </w:r>
            <w:r w:rsidRPr="00872B5F">
              <w:rPr>
                <w:rFonts w:ascii="Garamond" w:hAnsi="Garamond"/>
                <w:b w:val="0"/>
                <w:sz w:val="23"/>
                <w:szCs w:val="23"/>
              </w:rPr>
              <w:t>Transmissio</w:t>
            </w:r>
            <w:r w:rsidR="00872B5F">
              <w:rPr>
                <w:rFonts w:ascii="Garamond" w:hAnsi="Garamond"/>
                <w:b w:val="0"/>
                <w:sz w:val="23"/>
                <w:szCs w:val="23"/>
              </w:rPr>
              <w:t xml:space="preserve">n and Distribution Capacity </w:t>
            </w:r>
          </w:p>
        </w:tc>
        <w:tc>
          <w:tcPr>
            <w:tcW w:w="3636" w:type="dxa"/>
          </w:tcPr>
          <w:p w:rsidR="00FB5EFD" w:rsidRPr="00872B5F" w:rsidRDefault="00FB5EFD" w:rsidP="00A7106E">
            <w:pPr>
              <w:pStyle w:val="NoSpacing"/>
              <w:cnfStyle w:val="000000000000" w:firstRow="0" w:lastRow="0" w:firstColumn="0" w:lastColumn="0" w:oddVBand="0" w:evenVBand="0" w:oddHBand="0" w:evenHBand="0" w:firstRowFirstColumn="0" w:firstRowLastColumn="0" w:lastRowFirstColumn="0" w:lastRowLastColumn="0"/>
              <w:rPr>
                <w:rFonts w:ascii="Garamond" w:hAnsi="Garamond"/>
                <w:sz w:val="23"/>
                <w:szCs w:val="23"/>
              </w:rPr>
            </w:pPr>
            <w:r w:rsidRPr="00872B5F">
              <w:rPr>
                <w:rFonts w:ascii="Garamond" w:hAnsi="Garamond"/>
                <w:sz w:val="23"/>
                <w:szCs w:val="23"/>
              </w:rPr>
              <w:t>Program Administrative Costs</w:t>
            </w:r>
          </w:p>
        </w:tc>
      </w:tr>
      <w:tr w:rsidR="00FB5EFD" w:rsidTr="00872B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8" w:type="dxa"/>
            <w:tcBorders>
              <w:top w:val="none" w:sz="0" w:space="0" w:color="auto"/>
              <w:left w:val="none" w:sz="0" w:space="0" w:color="auto"/>
              <w:bottom w:val="none" w:sz="0" w:space="0" w:color="auto"/>
            </w:tcBorders>
          </w:tcPr>
          <w:p w:rsidR="00FB5EFD" w:rsidRPr="00872B5F" w:rsidRDefault="00FB5EFD" w:rsidP="00A7106E">
            <w:pPr>
              <w:pStyle w:val="NoSpacing"/>
              <w:rPr>
                <w:rFonts w:ascii="Garamond" w:hAnsi="Garamond"/>
                <w:b w:val="0"/>
                <w:sz w:val="23"/>
                <w:szCs w:val="23"/>
              </w:rPr>
            </w:pPr>
          </w:p>
        </w:tc>
        <w:tc>
          <w:tcPr>
            <w:tcW w:w="3636" w:type="dxa"/>
            <w:tcBorders>
              <w:top w:val="none" w:sz="0" w:space="0" w:color="auto"/>
              <w:bottom w:val="none" w:sz="0" w:space="0" w:color="auto"/>
              <w:right w:val="none" w:sz="0" w:space="0" w:color="auto"/>
            </w:tcBorders>
          </w:tcPr>
          <w:p w:rsidR="00FB5EFD" w:rsidRPr="00872B5F" w:rsidRDefault="00FB5EFD" w:rsidP="00A7106E">
            <w:pPr>
              <w:pStyle w:val="NoSpacing"/>
              <w:cnfStyle w:val="000000100000" w:firstRow="0" w:lastRow="0" w:firstColumn="0" w:lastColumn="0" w:oddVBand="0" w:evenVBand="0" w:oddHBand="1" w:evenHBand="0" w:firstRowFirstColumn="0" w:firstRowLastColumn="0" w:lastRowFirstColumn="0" w:lastRowLastColumn="0"/>
              <w:rPr>
                <w:rFonts w:ascii="Garamond" w:hAnsi="Garamond"/>
                <w:sz w:val="23"/>
                <w:szCs w:val="23"/>
              </w:rPr>
            </w:pPr>
            <w:r w:rsidRPr="00872B5F">
              <w:rPr>
                <w:rFonts w:ascii="Garamond" w:hAnsi="Garamond"/>
                <w:sz w:val="23"/>
                <w:szCs w:val="23"/>
              </w:rPr>
              <w:t>Marketing Costs</w:t>
            </w:r>
          </w:p>
        </w:tc>
      </w:tr>
      <w:tr w:rsidR="00FB5EFD" w:rsidTr="00872B5F">
        <w:trPr>
          <w:jc w:val="center"/>
        </w:trPr>
        <w:tc>
          <w:tcPr>
            <w:cnfStyle w:val="001000000000" w:firstRow="0" w:lastRow="0" w:firstColumn="1" w:lastColumn="0" w:oddVBand="0" w:evenVBand="0" w:oddHBand="0" w:evenHBand="0" w:firstRowFirstColumn="0" w:firstRowLastColumn="0" w:lastRowFirstColumn="0" w:lastRowLastColumn="0"/>
            <w:tcW w:w="5418" w:type="dxa"/>
          </w:tcPr>
          <w:p w:rsidR="00FB5EFD" w:rsidRPr="00872B5F" w:rsidRDefault="00FB5EFD" w:rsidP="00A7106E">
            <w:pPr>
              <w:pStyle w:val="NoSpacing"/>
              <w:rPr>
                <w:rFonts w:ascii="Garamond" w:hAnsi="Garamond"/>
                <w:b w:val="0"/>
                <w:sz w:val="23"/>
                <w:szCs w:val="23"/>
              </w:rPr>
            </w:pPr>
          </w:p>
        </w:tc>
        <w:tc>
          <w:tcPr>
            <w:tcW w:w="3636" w:type="dxa"/>
          </w:tcPr>
          <w:p w:rsidR="00FB5EFD" w:rsidRPr="00872B5F" w:rsidRDefault="00FB5EFD" w:rsidP="00A7106E">
            <w:pPr>
              <w:pStyle w:val="NoSpacing"/>
              <w:cnfStyle w:val="000000000000" w:firstRow="0" w:lastRow="0" w:firstColumn="0" w:lastColumn="0" w:oddVBand="0" w:evenVBand="0" w:oddHBand="0" w:evenHBand="0" w:firstRowFirstColumn="0" w:firstRowLastColumn="0" w:lastRowFirstColumn="0" w:lastRowLastColumn="0"/>
              <w:rPr>
                <w:rFonts w:ascii="Garamond" w:hAnsi="Garamond"/>
                <w:sz w:val="23"/>
                <w:szCs w:val="23"/>
              </w:rPr>
            </w:pPr>
            <w:r w:rsidRPr="00872B5F">
              <w:rPr>
                <w:rFonts w:ascii="Garamond" w:hAnsi="Garamond"/>
                <w:sz w:val="23"/>
                <w:szCs w:val="23"/>
              </w:rPr>
              <w:t>Evaluation Costs</w:t>
            </w:r>
          </w:p>
        </w:tc>
      </w:tr>
      <w:tr w:rsidR="00FB5EFD" w:rsidTr="00EC71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18" w:type="dxa"/>
            <w:tcBorders>
              <w:top w:val="none" w:sz="0" w:space="0" w:color="auto"/>
              <w:left w:val="none" w:sz="0" w:space="0" w:color="auto"/>
              <w:bottom w:val="single" w:sz="4" w:space="0" w:color="auto"/>
            </w:tcBorders>
          </w:tcPr>
          <w:p w:rsidR="00FB5EFD" w:rsidRPr="00872B5F" w:rsidRDefault="00FB5EFD" w:rsidP="00A7106E">
            <w:pPr>
              <w:pStyle w:val="NoSpacing"/>
              <w:rPr>
                <w:rFonts w:ascii="Garamond" w:hAnsi="Garamond"/>
                <w:b w:val="0"/>
                <w:sz w:val="23"/>
                <w:szCs w:val="23"/>
              </w:rPr>
            </w:pPr>
          </w:p>
        </w:tc>
        <w:tc>
          <w:tcPr>
            <w:tcW w:w="3636" w:type="dxa"/>
            <w:tcBorders>
              <w:top w:val="none" w:sz="0" w:space="0" w:color="auto"/>
              <w:bottom w:val="single" w:sz="4" w:space="0" w:color="auto"/>
              <w:right w:val="none" w:sz="0" w:space="0" w:color="auto"/>
            </w:tcBorders>
          </w:tcPr>
          <w:p w:rsidR="00FB5EFD" w:rsidRPr="00872B5F" w:rsidRDefault="00FB5EFD" w:rsidP="00A7106E">
            <w:pPr>
              <w:pStyle w:val="NoSpacing"/>
              <w:cnfStyle w:val="000000100000" w:firstRow="0" w:lastRow="0" w:firstColumn="0" w:lastColumn="0" w:oddVBand="0" w:evenVBand="0" w:oddHBand="1" w:evenHBand="0" w:firstRowFirstColumn="0" w:firstRowLastColumn="0" w:lastRowFirstColumn="0" w:lastRowLastColumn="0"/>
              <w:rPr>
                <w:rFonts w:ascii="Garamond" w:hAnsi="Garamond"/>
                <w:sz w:val="23"/>
                <w:szCs w:val="23"/>
              </w:rPr>
            </w:pPr>
            <w:r w:rsidRPr="00872B5F">
              <w:rPr>
                <w:rFonts w:ascii="Garamond" w:hAnsi="Garamond"/>
                <w:sz w:val="23"/>
                <w:szCs w:val="23"/>
              </w:rPr>
              <w:t>Incentives Paid to Participants</w:t>
            </w:r>
          </w:p>
        </w:tc>
      </w:tr>
      <w:tr w:rsidR="00EC71FB" w:rsidRPr="00EC71FB" w:rsidTr="00EC71FB">
        <w:trPr>
          <w:jc w:val="center"/>
        </w:trPr>
        <w:tc>
          <w:tcPr>
            <w:cnfStyle w:val="001000000000" w:firstRow="0" w:lastRow="0" w:firstColumn="1" w:lastColumn="0" w:oddVBand="0" w:evenVBand="0" w:oddHBand="0" w:evenHBand="0" w:firstRowFirstColumn="0" w:firstRowLastColumn="0" w:lastRowFirstColumn="0" w:lastRowLastColumn="0"/>
            <w:tcW w:w="9054" w:type="dxa"/>
            <w:gridSpan w:val="2"/>
            <w:shd w:val="clear" w:color="auto" w:fill="1F497D" w:themeFill="text2"/>
          </w:tcPr>
          <w:p w:rsidR="00EC71FB" w:rsidRPr="00EC71FB" w:rsidRDefault="00EC71FB" w:rsidP="00A7106E">
            <w:pPr>
              <w:pStyle w:val="NoSpacing"/>
              <w:rPr>
                <w:rFonts w:ascii="Garamond" w:hAnsi="Garamond"/>
                <w:color w:val="FFFFFF" w:themeColor="background1"/>
                <w:sz w:val="23"/>
                <w:szCs w:val="23"/>
              </w:rPr>
            </w:pPr>
            <w:r>
              <w:rPr>
                <w:rFonts w:ascii="Garamond" w:hAnsi="Garamond"/>
                <w:color w:val="FFFFFF" w:themeColor="background1"/>
                <w:sz w:val="23"/>
                <w:szCs w:val="23"/>
              </w:rPr>
              <w:t xml:space="preserve">* </w:t>
            </w:r>
            <w:r w:rsidRPr="00EC71FB">
              <w:rPr>
                <w:rFonts w:ascii="Garamond" w:hAnsi="Garamond"/>
                <w:b w:val="0"/>
                <w:color w:val="FFFFFF" w:themeColor="background1"/>
                <w:sz w:val="23"/>
                <w:szCs w:val="23"/>
              </w:rPr>
              <w:t xml:space="preserve">Possible </w:t>
            </w:r>
            <w:r>
              <w:rPr>
                <w:rFonts w:ascii="Garamond" w:hAnsi="Garamond"/>
                <w:b w:val="0"/>
                <w:color w:val="FFFFFF" w:themeColor="background1"/>
                <w:sz w:val="23"/>
                <w:szCs w:val="23"/>
              </w:rPr>
              <w:t>b</w:t>
            </w:r>
            <w:r w:rsidRPr="00EC71FB">
              <w:rPr>
                <w:rFonts w:ascii="Garamond" w:hAnsi="Garamond"/>
                <w:b w:val="0"/>
                <w:color w:val="FFFFFF" w:themeColor="background1"/>
                <w:sz w:val="23"/>
                <w:szCs w:val="23"/>
              </w:rPr>
              <w:t>enefits from wholesale price suppression</w:t>
            </w:r>
            <w:r>
              <w:rPr>
                <w:rFonts w:ascii="Garamond" w:hAnsi="Garamond"/>
                <w:color w:val="FFFFFF" w:themeColor="background1"/>
                <w:sz w:val="23"/>
                <w:szCs w:val="23"/>
              </w:rPr>
              <w:t xml:space="preserve"> </w:t>
            </w:r>
            <w:r w:rsidRPr="00EC71FB">
              <w:rPr>
                <w:rFonts w:ascii="Garamond" w:hAnsi="Garamond"/>
                <w:b w:val="0"/>
                <w:color w:val="FFFFFF" w:themeColor="background1"/>
                <w:sz w:val="23"/>
                <w:szCs w:val="23"/>
              </w:rPr>
              <w:t xml:space="preserve">were not </w:t>
            </w:r>
            <w:r w:rsidR="00D2792A">
              <w:rPr>
                <w:rFonts w:ascii="Garamond" w:hAnsi="Garamond"/>
                <w:b w:val="0"/>
                <w:color w:val="FFFFFF" w:themeColor="background1"/>
                <w:sz w:val="23"/>
                <w:szCs w:val="23"/>
              </w:rPr>
              <w:t>quantified</w:t>
            </w:r>
            <w:r w:rsidRPr="00EC71FB">
              <w:rPr>
                <w:rFonts w:ascii="Garamond" w:hAnsi="Garamond"/>
                <w:b w:val="0"/>
                <w:color w:val="FFFFFF" w:themeColor="background1"/>
                <w:sz w:val="23"/>
                <w:szCs w:val="23"/>
              </w:rPr>
              <w:t xml:space="preserve"> in this analysis, </w:t>
            </w:r>
            <w:r w:rsidR="00B36527">
              <w:rPr>
                <w:rFonts w:ascii="Garamond" w:hAnsi="Garamond"/>
                <w:b w:val="0"/>
                <w:color w:val="FFFFFF" w:themeColor="background1"/>
                <w:sz w:val="23"/>
                <w:szCs w:val="23"/>
              </w:rPr>
              <w:t xml:space="preserve">but are discussed in Section </w:t>
            </w:r>
            <w:r w:rsidR="00B36527">
              <w:rPr>
                <w:rFonts w:ascii="Garamond" w:hAnsi="Garamond"/>
                <w:color w:val="FFFFFF" w:themeColor="background1"/>
                <w:sz w:val="23"/>
                <w:szCs w:val="23"/>
              </w:rPr>
              <w:fldChar w:fldCharType="begin"/>
            </w:r>
            <w:r w:rsidR="00B36527">
              <w:rPr>
                <w:rFonts w:ascii="Garamond" w:hAnsi="Garamond"/>
                <w:b w:val="0"/>
                <w:color w:val="FFFFFF" w:themeColor="background1"/>
                <w:sz w:val="23"/>
                <w:szCs w:val="23"/>
              </w:rPr>
              <w:instrText xml:space="preserve"> REF _Ref352662254 \r \h </w:instrText>
            </w:r>
            <w:r w:rsidR="00B36527">
              <w:rPr>
                <w:rFonts w:ascii="Garamond" w:hAnsi="Garamond"/>
                <w:color w:val="FFFFFF" w:themeColor="background1"/>
                <w:sz w:val="23"/>
                <w:szCs w:val="23"/>
              </w:rPr>
            </w:r>
            <w:r w:rsidR="00B36527">
              <w:rPr>
                <w:rFonts w:ascii="Garamond" w:hAnsi="Garamond"/>
                <w:color w:val="FFFFFF" w:themeColor="background1"/>
                <w:sz w:val="23"/>
                <w:szCs w:val="23"/>
              </w:rPr>
              <w:fldChar w:fldCharType="separate"/>
            </w:r>
            <w:r w:rsidR="00451FFF">
              <w:rPr>
                <w:rFonts w:ascii="Garamond" w:hAnsi="Garamond"/>
                <w:b w:val="0"/>
                <w:color w:val="FFFFFF" w:themeColor="background1"/>
                <w:sz w:val="23"/>
                <w:szCs w:val="23"/>
              </w:rPr>
              <w:t>G</w:t>
            </w:r>
            <w:r w:rsidR="00B36527">
              <w:rPr>
                <w:rFonts w:ascii="Garamond" w:hAnsi="Garamond"/>
                <w:color w:val="FFFFFF" w:themeColor="background1"/>
                <w:sz w:val="23"/>
                <w:szCs w:val="23"/>
              </w:rPr>
              <w:fldChar w:fldCharType="end"/>
            </w:r>
          </w:p>
        </w:tc>
      </w:tr>
    </w:tbl>
    <w:p w:rsidR="00FB5EFD" w:rsidRDefault="00FB5EFD" w:rsidP="00A7106E">
      <w:pPr>
        <w:pStyle w:val="NoSpacing"/>
      </w:pPr>
    </w:p>
    <w:p w:rsidR="00FB5EFD" w:rsidRDefault="00FB5EFD" w:rsidP="00A7106E">
      <w:pPr>
        <w:pStyle w:val="NoSpacing"/>
        <w:rPr>
          <w:rFonts w:ascii="Garamond" w:hAnsi="Garamond"/>
          <w:sz w:val="23"/>
          <w:szCs w:val="23"/>
        </w:rPr>
      </w:pPr>
      <w:r w:rsidRPr="00872B5F">
        <w:rPr>
          <w:rFonts w:ascii="Garamond" w:hAnsi="Garamond"/>
          <w:sz w:val="23"/>
          <w:szCs w:val="23"/>
        </w:rPr>
        <w:t xml:space="preserve">Two </w:t>
      </w:r>
      <w:r w:rsidR="001D61BE">
        <w:rPr>
          <w:rFonts w:ascii="Garamond" w:hAnsi="Garamond"/>
          <w:sz w:val="23"/>
          <w:szCs w:val="23"/>
        </w:rPr>
        <w:t xml:space="preserve">general </w:t>
      </w:r>
      <w:r w:rsidRPr="00872B5F">
        <w:rPr>
          <w:rFonts w:ascii="Garamond" w:hAnsi="Garamond"/>
          <w:sz w:val="23"/>
          <w:szCs w:val="23"/>
        </w:rPr>
        <w:t xml:space="preserve">types of programs were </w:t>
      </w:r>
      <w:r w:rsidR="00B875D9">
        <w:rPr>
          <w:rFonts w:ascii="Garamond" w:hAnsi="Garamond"/>
          <w:sz w:val="23"/>
          <w:szCs w:val="23"/>
        </w:rPr>
        <w:t>offered</w:t>
      </w:r>
      <w:r w:rsidRPr="00872B5F">
        <w:rPr>
          <w:rFonts w:ascii="Garamond" w:hAnsi="Garamond"/>
          <w:sz w:val="23"/>
          <w:szCs w:val="23"/>
        </w:rPr>
        <w:t xml:space="preserve"> by the EDCs to meet their Act 129 demand reduction requirement in the summer of 2012: direct </w:t>
      </w:r>
      <w:r w:rsidR="001D61BE">
        <w:rPr>
          <w:rFonts w:ascii="Garamond" w:hAnsi="Garamond"/>
          <w:sz w:val="23"/>
          <w:szCs w:val="23"/>
        </w:rPr>
        <w:t xml:space="preserve">load </w:t>
      </w:r>
      <w:r w:rsidRPr="00872B5F">
        <w:rPr>
          <w:rFonts w:ascii="Garamond" w:hAnsi="Garamond"/>
          <w:sz w:val="23"/>
          <w:szCs w:val="23"/>
        </w:rPr>
        <w:t xml:space="preserve">control </w:t>
      </w:r>
      <w:r w:rsidR="001D61BE">
        <w:rPr>
          <w:rFonts w:ascii="Garamond" w:hAnsi="Garamond"/>
          <w:sz w:val="23"/>
          <w:szCs w:val="23"/>
        </w:rPr>
        <w:t xml:space="preserve">(DLC) </w:t>
      </w:r>
      <w:r w:rsidRPr="00872B5F">
        <w:rPr>
          <w:rFonts w:ascii="Garamond" w:hAnsi="Garamond"/>
          <w:sz w:val="23"/>
          <w:szCs w:val="23"/>
        </w:rPr>
        <w:t xml:space="preserve">programs </w:t>
      </w:r>
      <w:r w:rsidR="00C3722F">
        <w:rPr>
          <w:rFonts w:ascii="Garamond" w:hAnsi="Garamond"/>
          <w:sz w:val="23"/>
          <w:szCs w:val="23"/>
        </w:rPr>
        <w:t>and load curtailment</w:t>
      </w:r>
      <w:r w:rsidR="00D2792A">
        <w:rPr>
          <w:rFonts w:ascii="Garamond" w:hAnsi="Garamond"/>
          <w:sz w:val="23"/>
          <w:szCs w:val="23"/>
        </w:rPr>
        <w:t xml:space="preserve"> programs. </w:t>
      </w:r>
      <w:r w:rsidRPr="00872B5F">
        <w:rPr>
          <w:rFonts w:ascii="Garamond" w:hAnsi="Garamond"/>
          <w:sz w:val="23"/>
          <w:szCs w:val="23"/>
        </w:rPr>
        <w:t xml:space="preserve">Direct </w:t>
      </w:r>
      <w:r w:rsidR="001D61BE">
        <w:rPr>
          <w:rFonts w:ascii="Garamond" w:hAnsi="Garamond"/>
          <w:sz w:val="23"/>
          <w:szCs w:val="23"/>
        </w:rPr>
        <w:t xml:space="preserve">load </w:t>
      </w:r>
      <w:r w:rsidRPr="00872B5F">
        <w:rPr>
          <w:rFonts w:ascii="Garamond" w:hAnsi="Garamond"/>
          <w:sz w:val="23"/>
          <w:szCs w:val="23"/>
        </w:rPr>
        <w:t>control programs involve installation of a controllable thermostat or a control switc</w:t>
      </w:r>
      <w:r w:rsidR="001D61BE">
        <w:rPr>
          <w:rFonts w:ascii="Garamond" w:hAnsi="Garamond"/>
          <w:sz w:val="23"/>
          <w:szCs w:val="23"/>
        </w:rPr>
        <w:t xml:space="preserve">h on an air conditioning unit. </w:t>
      </w:r>
      <w:r w:rsidRPr="00872B5F">
        <w:rPr>
          <w:rFonts w:ascii="Garamond" w:hAnsi="Garamond"/>
          <w:sz w:val="23"/>
          <w:szCs w:val="23"/>
        </w:rPr>
        <w:t>The utility can then either remotely change the temperature set point on the thermostat or cycle the air conditioner on a</w:t>
      </w:r>
      <w:r w:rsidR="001D61BE">
        <w:rPr>
          <w:rFonts w:ascii="Garamond" w:hAnsi="Garamond"/>
          <w:sz w:val="23"/>
          <w:szCs w:val="23"/>
        </w:rPr>
        <w:t xml:space="preserve">nd off during control periods. </w:t>
      </w:r>
      <w:r w:rsidR="00264688">
        <w:rPr>
          <w:rFonts w:ascii="Garamond" w:hAnsi="Garamond"/>
          <w:sz w:val="23"/>
          <w:szCs w:val="23"/>
        </w:rPr>
        <w:t>Load curtailment</w:t>
      </w:r>
      <w:r w:rsidRPr="00872B5F">
        <w:rPr>
          <w:rFonts w:ascii="Garamond" w:hAnsi="Garamond"/>
          <w:sz w:val="23"/>
          <w:szCs w:val="23"/>
        </w:rPr>
        <w:t xml:space="preserve"> programs rely on price or payment incentives for customers to respond to control events however they are able in order </w:t>
      </w:r>
      <w:r w:rsidR="001D61BE">
        <w:rPr>
          <w:rFonts w:ascii="Garamond" w:hAnsi="Garamond"/>
          <w:sz w:val="23"/>
          <w:szCs w:val="23"/>
        </w:rPr>
        <w:t>to reduce loads. In 2012 t</w:t>
      </w:r>
      <w:r w:rsidRPr="00872B5F">
        <w:rPr>
          <w:rFonts w:ascii="Garamond" w:hAnsi="Garamond"/>
          <w:sz w:val="23"/>
          <w:szCs w:val="23"/>
        </w:rPr>
        <w:t xml:space="preserve">he </w:t>
      </w:r>
      <w:r w:rsidR="001D61BE">
        <w:rPr>
          <w:rFonts w:ascii="Garamond" w:hAnsi="Garamond"/>
          <w:sz w:val="23"/>
          <w:szCs w:val="23"/>
        </w:rPr>
        <w:t xml:space="preserve">Pennsylvania </w:t>
      </w:r>
      <w:r w:rsidRPr="00872B5F">
        <w:rPr>
          <w:rFonts w:ascii="Garamond" w:hAnsi="Garamond"/>
          <w:sz w:val="23"/>
          <w:szCs w:val="23"/>
        </w:rPr>
        <w:t xml:space="preserve">EDCs implemented a total of six residential direct control programs, one commercial direct control program, one critical peak rebate program, and eight commercial load </w:t>
      </w:r>
      <w:r w:rsidR="00264688">
        <w:rPr>
          <w:rFonts w:ascii="Garamond" w:hAnsi="Garamond"/>
          <w:sz w:val="23"/>
          <w:szCs w:val="23"/>
        </w:rPr>
        <w:t>curtailment</w:t>
      </w:r>
      <w:r w:rsidRPr="00872B5F">
        <w:rPr>
          <w:rFonts w:ascii="Garamond" w:hAnsi="Garamond"/>
          <w:sz w:val="23"/>
          <w:szCs w:val="23"/>
        </w:rPr>
        <w:t xml:space="preserve"> programs.</w:t>
      </w:r>
    </w:p>
    <w:p w:rsidR="00872B5F" w:rsidRPr="00872B5F" w:rsidRDefault="00872B5F" w:rsidP="00A7106E">
      <w:pPr>
        <w:pStyle w:val="NoSpacing"/>
        <w:rPr>
          <w:rFonts w:ascii="Garamond" w:hAnsi="Garamond"/>
          <w:sz w:val="23"/>
          <w:szCs w:val="23"/>
        </w:rPr>
      </w:pPr>
    </w:p>
    <w:p w:rsidR="0045429B" w:rsidRDefault="00822875" w:rsidP="00A7106E">
      <w:pPr>
        <w:pStyle w:val="NoSpacing"/>
        <w:rPr>
          <w:rFonts w:ascii="Garamond" w:hAnsi="Garamond"/>
          <w:sz w:val="23"/>
          <w:szCs w:val="23"/>
        </w:rPr>
      </w:pPr>
      <w:r>
        <w:rPr>
          <w:rFonts w:ascii="Garamond" w:hAnsi="Garamond"/>
          <w:sz w:val="23"/>
          <w:szCs w:val="23"/>
        </w:rPr>
        <w:t xml:space="preserve">For any given program, the peak demand reduction </w:t>
      </w:r>
      <w:r w:rsidR="00FB5EFD" w:rsidRPr="00F73D1B">
        <w:rPr>
          <w:rFonts w:ascii="Garamond" w:hAnsi="Garamond"/>
          <w:sz w:val="23"/>
          <w:szCs w:val="23"/>
        </w:rPr>
        <w:t xml:space="preserve">was estimated from information provided by the EDCs </w:t>
      </w:r>
      <w:r>
        <w:rPr>
          <w:rFonts w:ascii="Garamond" w:hAnsi="Garamond"/>
          <w:sz w:val="23"/>
          <w:szCs w:val="23"/>
        </w:rPr>
        <w:t xml:space="preserve">specific to their DR programs. </w:t>
      </w:r>
      <w:r w:rsidR="00FB5EFD" w:rsidRPr="00F73D1B">
        <w:rPr>
          <w:rFonts w:ascii="Garamond" w:hAnsi="Garamond"/>
          <w:sz w:val="23"/>
          <w:szCs w:val="23"/>
        </w:rPr>
        <w:t>For direct load control programs, the number of participants and the deemed or estimated kW savings per participant in ea</w:t>
      </w:r>
      <w:r>
        <w:rPr>
          <w:rFonts w:ascii="Garamond" w:hAnsi="Garamond"/>
          <w:sz w:val="23"/>
          <w:szCs w:val="23"/>
        </w:rPr>
        <w:t xml:space="preserve">ch control hour were provided. </w:t>
      </w:r>
      <w:r w:rsidR="00FB5EFD" w:rsidRPr="00F73D1B">
        <w:rPr>
          <w:rFonts w:ascii="Garamond" w:hAnsi="Garamond"/>
          <w:sz w:val="23"/>
          <w:szCs w:val="23"/>
        </w:rPr>
        <w:t xml:space="preserve">For </w:t>
      </w:r>
      <w:r w:rsidR="00264688">
        <w:rPr>
          <w:rFonts w:ascii="Garamond" w:hAnsi="Garamond"/>
          <w:sz w:val="23"/>
          <w:szCs w:val="23"/>
        </w:rPr>
        <w:t xml:space="preserve">load curtailment </w:t>
      </w:r>
      <w:r w:rsidR="00FB5EFD" w:rsidRPr="00F73D1B">
        <w:rPr>
          <w:rFonts w:ascii="Garamond" w:hAnsi="Garamond"/>
          <w:sz w:val="23"/>
          <w:szCs w:val="23"/>
        </w:rPr>
        <w:t xml:space="preserve">programs, </w:t>
      </w:r>
      <w:r>
        <w:rPr>
          <w:rFonts w:ascii="Garamond" w:hAnsi="Garamond"/>
          <w:sz w:val="23"/>
          <w:szCs w:val="23"/>
        </w:rPr>
        <w:t>a separate load</w:t>
      </w:r>
      <w:r w:rsidR="00FB5EFD" w:rsidRPr="00F73D1B">
        <w:rPr>
          <w:rFonts w:ascii="Garamond" w:hAnsi="Garamond"/>
          <w:sz w:val="23"/>
          <w:szCs w:val="23"/>
        </w:rPr>
        <w:t xml:space="preserve"> reduction </w:t>
      </w:r>
      <w:r>
        <w:rPr>
          <w:rFonts w:ascii="Garamond" w:hAnsi="Garamond"/>
          <w:sz w:val="23"/>
          <w:szCs w:val="23"/>
        </w:rPr>
        <w:t xml:space="preserve">estimate </w:t>
      </w:r>
      <w:r w:rsidR="00FB5EFD" w:rsidRPr="00F73D1B">
        <w:rPr>
          <w:rFonts w:ascii="Garamond" w:hAnsi="Garamond"/>
          <w:sz w:val="23"/>
          <w:szCs w:val="23"/>
        </w:rPr>
        <w:t xml:space="preserve">was provided </w:t>
      </w:r>
      <w:r>
        <w:rPr>
          <w:rFonts w:ascii="Garamond" w:hAnsi="Garamond"/>
          <w:sz w:val="23"/>
          <w:szCs w:val="23"/>
        </w:rPr>
        <w:t xml:space="preserve">for each participant for each hour during which they participated in the </w:t>
      </w:r>
      <w:r w:rsidR="00FB5EFD" w:rsidRPr="00F73D1B">
        <w:rPr>
          <w:rFonts w:ascii="Garamond" w:hAnsi="Garamond"/>
          <w:sz w:val="23"/>
          <w:szCs w:val="23"/>
        </w:rPr>
        <w:t>EDC</w:t>
      </w:r>
      <w:r>
        <w:rPr>
          <w:rFonts w:ascii="Garamond" w:hAnsi="Garamond"/>
          <w:sz w:val="23"/>
          <w:szCs w:val="23"/>
        </w:rPr>
        <w:t xml:space="preserve"> program. The program’s peak demand</w:t>
      </w:r>
      <w:r w:rsidR="00FB5EFD" w:rsidRPr="00F73D1B">
        <w:rPr>
          <w:rFonts w:ascii="Garamond" w:hAnsi="Garamond"/>
          <w:sz w:val="23"/>
          <w:szCs w:val="23"/>
        </w:rPr>
        <w:t xml:space="preserve"> redu</w:t>
      </w:r>
      <w:r w:rsidR="0067311D">
        <w:rPr>
          <w:rFonts w:ascii="Garamond" w:hAnsi="Garamond"/>
          <w:sz w:val="23"/>
          <w:szCs w:val="23"/>
        </w:rPr>
        <w:t>ction that was</w:t>
      </w:r>
      <w:r>
        <w:rPr>
          <w:rFonts w:ascii="Garamond" w:hAnsi="Garamond"/>
          <w:sz w:val="23"/>
          <w:szCs w:val="23"/>
        </w:rPr>
        <w:t xml:space="preserve"> used in the benefit cost analysis </w:t>
      </w:r>
      <w:r w:rsidR="00FB5EFD" w:rsidRPr="00F73D1B">
        <w:rPr>
          <w:rFonts w:ascii="Garamond" w:hAnsi="Garamond"/>
          <w:sz w:val="23"/>
          <w:szCs w:val="23"/>
        </w:rPr>
        <w:t>is the average kW reduction across the EDC</w:t>
      </w:r>
      <w:r>
        <w:rPr>
          <w:rFonts w:ascii="Garamond" w:hAnsi="Garamond"/>
          <w:sz w:val="23"/>
          <w:szCs w:val="23"/>
        </w:rPr>
        <w:t xml:space="preserve">’s top 100 peak hours in 2012. </w:t>
      </w:r>
      <w:r w:rsidR="0045429B">
        <w:rPr>
          <w:rFonts w:ascii="Garamond" w:hAnsi="Garamond"/>
          <w:sz w:val="23"/>
          <w:szCs w:val="23"/>
        </w:rPr>
        <w:t xml:space="preserve">The top 100 hours protocol has </w:t>
      </w:r>
      <w:r w:rsidR="0045429B" w:rsidRPr="00F73D1B">
        <w:rPr>
          <w:rFonts w:ascii="Garamond" w:hAnsi="Garamond"/>
          <w:sz w:val="23"/>
          <w:szCs w:val="23"/>
        </w:rPr>
        <w:t xml:space="preserve">a profound impact on the benefit cost assessment </w:t>
      </w:r>
      <w:r w:rsidR="0045429B">
        <w:rPr>
          <w:rFonts w:ascii="Garamond" w:hAnsi="Garamond"/>
          <w:sz w:val="23"/>
          <w:szCs w:val="23"/>
        </w:rPr>
        <w:t>because</w:t>
      </w:r>
      <w:r w:rsidR="0045429B" w:rsidRPr="00F73D1B">
        <w:rPr>
          <w:rFonts w:ascii="Garamond" w:hAnsi="Garamond"/>
          <w:sz w:val="23"/>
          <w:szCs w:val="23"/>
        </w:rPr>
        <w:t xml:space="preserve"> </w:t>
      </w:r>
      <w:r w:rsidR="001479D0">
        <w:rPr>
          <w:rFonts w:ascii="Garamond" w:hAnsi="Garamond"/>
          <w:sz w:val="23"/>
          <w:szCs w:val="23"/>
        </w:rPr>
        <w:t xml:space="preserve">for </w:t>
      </w:r>
      <w:r w:rsidR="0045429B" w:rsidRPr="00F73D1B">
        <w:rPr>
          <w:rFonts w:ascii="Garamond" w:hAnsi="Garamond"/>
          <w:sz w:val="23"/>
          <w:szCs w:val="23"/>
        </w:rPr>
        <w:t xml:space="preserve">any </w:t>
      </w:r>
      <w:r w:rsidR="0045429B">
        <w:rPr>
          <w:rFonts w:ascii="Garamond" w:hAnsi="Garamond"/>
          <w:sz w:val="23"/>
          <w:szCs w:val="23"/>
        </w:rPr>
        <w:lastRenderedPageBreak/>
        <w:t xml:space="preserve">of the </w:t>
      </w:r>
      <w:r w:rsidR="0045429B" w:rsidRPr="00F73D1B">
        <w:rPr>
          <w:rFonts w:ascii="Garamond" w:hAnsi="Garamond"/>
          <w:sz w:val="23"/>
          <w:szCs w:val="23"/>
        </w:rPr>
        <w:t>top 100 hours in which an EDC did not call a control</w:t>
      </w:r>
      <w:r w:rsidR="0045429B">
        <w:rPr>
          <w:rFonts w:ascii="Garamond" w:hAnsi="Garamond"/>
          <w:sz w:val="23"/>
          <w:szCs w:val="23"/>
        </w:rPr>
        <w:t xml:space="preserve"> event, a</w:t>
      </w:r>
      <w:r w:rsidR="0045429B" w:rsidRPr="00F73D1B">
        <w:rPr>
          <w:rFonts w:ascii="Garamond" w:hAnsi="Garamond"/>
          <w:sz w:val="23"/>
          <w:szCs w:val="23"/>
        </w:rPr>
        <w:t xml:space="preserve"> load reduction</w:t>
      </w:r>
      <w:r w:rsidR="0045429B">
        <w:rPr>
          <w:rFonts w:ascii="Garamond" w:hAnsi="Garamond"/>
          <w:sz w:val="23"/>
          <w:szCs w:val="23"/>
        </w:rPr>
        <w:t xml:space="preserve"> of 0 kW</w:t>
      </w:r>
      <w:r w:rsidR="0045429B" w:rsidRPr="00F73D1B">
        <w:rPr>
          <w:rFonts w:ascii="Garamond" w:hAnsi="Garamond"/>
          <w:sz w:val="23"/>
          <w:szCs w:val="23"/>
        </w:rPr>
        <w:t xml:space="preserve"> is averaged into the </w:t>
      </w:r>
      <w:r w:rsidR="0045429B">
        <w:rPr>
          <w:rFonts w:ascii="Garamond" w:hAnsi="Garamond"/>
          <w:sz w:val="23"/>
          <w:szCs w:val="23"/>
        </w:rPr>
        <w:t>program</w:t>
      </w:r>
      <w:r w:rsidR="0045429B" w:rsidRPr="00F73D1B">
        <w:rPr>
          <w:rFonts w:ascii="Garamond" w:hAnsi="Garamond"/>
          <w:sz w:val="23"/>
          <w:szCs w:val="23"/>
        </w:rPr>
        <w:t xml:space="preserve"> savings estimate.</w:t>
      </w:r>
    </w:p>
    <w:p w:rsidR="00FB5EFD" w:rsidRPr="00F73D1B" w:rsidRDefault="00FB5EFD" w:rsidP="00A7106E">
      <w:pPr>
        <w:pStyle w:val="NoSpacing"/>
        <w:rPr>
          <w:rFonts w:ascii="Garamond" w:hAnsi="Garamond"/>
          <w:sz w:val="23"/>
          <w:szCs w:val="23"/>
        </w:rPr>
      </w:pPr>
    </w:p>
    <w:p w:rsidR="00FB5EFD" w:rsidRPr="00F73D1B" w:rsidRDefault="00CD0643" w:rsidP="00A7106E">
      <w:pPr>
        <w:pStyle w:val="NoSpacing"/>
        <w:rPr>
          <w:rFonts w:ascii="Garamond" w:hAnsi="Garamond"/>
          <w:sz w:val="23"/>
          <w:szCs w:val="23"/>
        </w:rPr>
      </w:pPr>
      <w:r>
        <w:rPr>
          <w:rFonts w:ascii="Garamond" w:hAnsi="Garamond"/>
          <w:sz w:val="23"/>
          <w:szCs w:val="23"/>
        </w:rPr>
        <w:t xml:space="preserve">As described in Section </w:t>
      </w:r>
      <w:r>
        <w:rPr>
          <w:rFonts w:ascii="Garamond" w:hAnsi="Garamond"/>
          <w:sz w:val="23"/>
          <w:szCs w:val="23"/>
        </w:rPr>
        <w:fldChar w:fldCharType="begin"/>
      </w:r>
      <w:r>
        <w:rPr>
          <w:rFonts w:ascii="Garamond" w:hAnsi="Garamond"/>
          <w:sz w:val="23"/>
          <w:szCs w:val="23"/>
        </w:rPr>
        <w:instrText xml:space="preserve"> REF _Ref343687753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E</w:t>
      </w:r>
      <w:r>
        <w:rPr>
          <w:rFonts w:ascii="Garamond" w:hAnsi="Garamond"/>
          <w:sz w:val="23"/>
          <w:szCs w:val="23"/>
        </w:rPr>
        <w:fldChar w:fldCharType="end"/>
      </w:r>
      <w:r w:rsidR="00FB5EFD" w:rsidRPr="00F73D1B">
        <w:rPr>
          <w:rFonts w:ascii="Garamond" w:hAnsi="Garamond"/>
          <w:sz w:val="23"/>
          <w:szCs w:val="23"/>
        </w:rPr>
        <w:t xml:space="preserve">, the SWE </w:t>
      </w:r>
      <w:r>
        <w:rPr>
          <w:rFonts w:ascii="Garamond" w:hAnsi="Garamond"/>
          <w:sz w:val="23"/>
          <w:szCs w:val="23"/>
        </w:rPr>
        <w:t>design</w:t>
      </w:r>
      <w:r w:rsidR="00FB5EFD" w:rsidRPr="00F73D1B">
        <w:rPr>
          <w:rFonts w:ascii="Garamond" w:hAnsi="Garamond"/>
          <w:sz w:val="23"/>
          <w:szCs w:val="23"/>
        </w:rPr>
        <w:t>ed a</w:t>
      </w:r>
      <w:r>
        <w:rPr>
          <w:rFonts w:ascii="Garamond" w:hAnsi="Garamond"/>
          <w:sz w:val="23"/>
          <w:szCs w:val="23"/>
        </w:rPr>
        <w:t>n attribution</w:t>
      </w:r>
      <w:r w:rsidR="00FB5EFD" w:rsidRPr="00F73D1B">
        <w:rPr>
          <w:rFonts w:ascii="Garamond" w:hAnsi="Garamond"/>
          <w:sz w:val="23"/>
          <w:szCs w:val="23"/>
        </w:rPr>
        <w:t xml:space="preserve"> survey and scoring methodology to determine </w:t>
      </w:r>
      <w:r w:rsidR="00B875D9">
        <w:rPr>
          <w:rFonts w:ascii="Garamond" w:hAnsi="Garamond"/>
          <w:sz w:val="23"/>
          <w:szCs w:val="23"/>
        </w:rPr>
        <w:t xml:space="preserve">the discounting of the </w:t>
      </w:r>
      <w:r>
        <w:rPr>
          <w:rFonts w:ascii="Garamond" w:hAnsi="Garamond"/>
          <w:sz w:val="23"/>
          <w:szCs w:val="23"/>
        </w:rPr>
        <w:t xml:space="preserve">Act 129 load reductions </w:t>
      </w:r>
      <w:r w:rsidR="00FB5EFD" w:rsidRPr="00F73D1B">
        <w:rPr>
          <w:rFonts w:ascii="Garamond" w:hAnsi="Garamond"/>
          <w:sz w:val="23"/>
          <w:szCs w:val="23"/>
        </w:rPr>
        <w:t>in certain hours to account for overlap</w:t>
      </w:r>
      <w:r>
        <w:rPr>
          <w:rFonts w:ascii="Garamond" w:hAnsi="Garamond"/>
          <w:sz w:val="23"/>
          <w:szCs w:val="23"/>
        </w:rPr>
        <w:t>ping participation in</w:t>
      </w:r>
      <w:r w:rsidR="00FB5EFD" w:rsidRPr="00F73D1B">
        <w:rPr>
          <w:rFonts w:ascii="Garamond" w:hAnsi="Garamond"/>
          <w:sz w:val="23"/>
          <w:szCs w:val="23"/>
        </w:rPr>
        <w:t xml:space="preserve"> PJM Emerg</w:t>
      </w:r>
      <w:r>
        <w:rPr>
          <w:rFonts w:ascii="Garamond" w:hAnsi="Garamond"/>
          <w:sz w:val="23"/>
          <w:szCs w:val="23"/>
        </w:rPr>
        <w:t xml:space="preserve">ency or Economic demand response events. </w:t>
      </w:r>
      <w:r w:rsidR="00FB5EFD" w:rsidRPr="00F73D1B">
        <w:rPr>
          <w:rFonts w:ascii="Garamond" w:hAnsi="Garamond"/>
          <w:sz w:val="23"/>
          <w:szCs w:val="23"/>
        </w:rPr>
        <w:t xml:space="preserve">Participation in the PJM DR programs requires </w:t>
      </w:r>
      <w:r>
        <w:rPr>
          <w:rFonts w:ascii="Garamond" w:hAnsi="Garamond"/>
          <w:sz w:val="23"/>
          <w:szCs w:val="23"/>
        </w:rPr>
        <w:t>a demand reduction of at least 50 kW</w:t>
      </w:r>
      <w:r w:rsidR="00FB5EFD" w:rsidRPr="00F73D1B">
        <w:rPr>
          <w:rFonts w:ascii="Garamond" w:hAnsi="Garamond"/>
          <w:sz w:val="23"/>
          <w:szCs w:val="23"/>
        </w:rPr>
        <w:t xml:space="preserve">, so individual residential customers </w:t>
      </w:r>
      <w:r w:rsidR="00B875D9">
        <w:rPr>
          <w:rFonts w:ascii="Garamond" w:hAnsi="Garamond"/>
          <w:sz w:val="23"/>
          <w:szCs w:val="23"/>
        </w:rPr>
        <w:t>did not participate</w:t>
      </w:r>
      <w:r>
        <w:rPr>
          <w:rFonts w:ascii="Garamond" w:hAnsi="Garamond"/>
          <w:sz w:val="23"/>
          <w:szCs w:val="23"/>
        </w:rPr>
        <w:t xml:space="preserve"> in PJM events. </w:t>
      </w:r>
      <w:r w:rsidR="00B875D9">
        <w:rPr>
          <w:rFonts w:ascii="Garamond" w:hAnsi="Garamond"/>
          <w:sz w:val="23"/>
          <w:szCs w:val="23"/>
        </w:rPr>
        <w:t>It was</w:t>
      </w:r>
      <w:r w:rsidR="00FB5EFD" w:rsidRPr="00F73D1B">
        <w:rPr>
          <w:rFonts w:ascii="Garamond" w:hAnsi="Garamond"/>
          <w:sz w:val="23"/>
          <w:szCs w:val="23"/>
        </w:rPr>
        <w:t xml:space="preserve"> assumed that 100% of residential load reductions </w:t>
      </w:r>
      <w:r>
        <w:rPr>
          <w:rFonts w:ascii="Garamond" w:hAnsi="Garamond"/>
          <w:sz w:val="23"/>
          <w:szCs w:val="23"/>
        </w:rPr>
        <w:t xml:space="preserve">and resulting benefits </w:t>
      </w:r>
      <w:r w:rsidR="00FB5EFD" w:rsidRPr="00F73D1B">
        <w:rPr>
          <w:rFonts w:ascii="Garamond" w:hAnsi="Garamond"/>
          <w:sz w:val="23"/>
          <w:szCs w:val="23"/>
        </w:rPr>
        <w:t>are a</w:t>
      </w:r>
      <w:r>
        <w:rPr>
          <w:rFonts w:ascii="Garamond" w:hAnsi="Garamond"/>
          <w:sz w:val="23"/>
          <w:szCs w:val="23"/>
        </w:rPr>
        <w:t xml:space="preserve">ttributable to the Act 129 programs. </w:t>
      </w:r>
      <w:r w:rsidR="00FB5EFD" w:rsidRPr="00F73D1B">
        <w:rPr>
          <w:rFonts w:ascii="Garamond" w:hAnsi="Garamond"/>
          <w:sz w:val="23"/>
          <w:szCs w:val="23"/>
        </w:rPr>
        <w:t>For commercial</w:t>
      </w:r>
      <w:r w:rsidR="00D45691">
        <w:rPr>
          <w:rFonts w:ascii="Garamond" w:hAnsi="Garamond"/>
          <w:sz w:val="23"/>
          <w:szCs w:val="23"/>
        </w:rPr>
        <w:t xml:space="preserve"> load </w:t>
      </w:r>
      <w:r w:rsidR="00264688">
        <w:rPr>
          <w:rFonts w:ascii="Garamond" w:hAnsi="Garamond"/>
          <w:sz w:val="23"/>
          <w:szCs w:val="23"/>
        </w:rPr>
        <w:t>curtailment</w:t>
      </w:r>
      <w:r w:rsidR="00FB5EFD" w:rsidRPr="00F73D1B">
        <w:rPr>
          <w:rFonts w:ascii="Garamond" w:hAnsi="Garamond"/>
          <w:sz w:val="23"/>
          <w:szCs w:val="23"/>
        </w:rPr>
        <w:t xml:space="preserve"> programs, the reported load reduct</w:t>
      </w:r>
      <w:r>
        <w:rPr>
          <w:rFonts w:ascii="Garamond" w:hAnsi="Garamond"/>
          <w:sz w:val="23"/>
          <w:szCs w:val="23"/>
        </w:rPr>
        <w:t>ions were reduced by the Economic</w:t>
      </w:r>
      <w:r w:rsidR="00FB5EFD" w:rsidRPr="00F73D1B">
        <w:rPr>
          <w:rFonts w:ascii="Garamond" w:hAnsi="Garamond"/>
          <w:sz w:val="23"/>
          <w:szCs w:val="23"/>
        </w:rPr>
        <w:t xml:space="preserve"> and Emergency </w:t>
      </w:r>
      <w:r w:rsidR="004E46A2">
        <w:rPr>
          <w:rFonts w:ascii="Garamond" w:hAnsi="Garamond"/>
          <w:sz w:val="23"/>
          <w:szCs w:val="23"/>
        </w:rPr>
        <w:t>Incremental Benefits Ratios</w:t>
      </w:r>
      <w:r w:rsidR="00FB5EFD" w:rsidRPr="00F73D1B">
        <w:rPr>
          <w:rFonts w:ascii="Garamond" w:hAnsi="Garamond"/>
          <w:sz w:val="23"/>
          <w:szCs w:val="23"/>
        </w:rPr>
        <w:t xml:space="preserve"> (0.77 and 0.63, respectively)</w:t>
      </w:r>
      <w:r w:rsidR="004E46A2">
        <w:rPr>
          <w:rFonts w:ascii="Garamond" w:hAnsi="Garamond"/>
          <w:sz w:val="23"/>
          <w:szCs w:val="23"/>
        </w:rPr>
        <w:t xml:space="preserve"> when customers participated in both an Act 129 event and a PJM event during the same hour</w:t>
      </w:r>
      <w:r w:rsidR="00FB5EFD" w:rsidRPr="00F73D1B">
        <w:rPr>
          <w:rFonts w:ascii="Garamond" w:hAnsi="Garamond"/>
          <w:sz w:val="23"/>
          <w:szCs w:val="23"/>
        </w:rPr>
        <w:t>.</w:t>
      </w:r>
    </w:p>
    <w:p w:rsidR="00FB5EFD" w:rsidRPr="00F73D1B" w:rsidRDefault="00FB5EFD" w:rsidP="00A7106E">
      <w:pPr>
        <w:pStyle w:val="NoSpacing"/>
        <w:rPr>
          <w:rFonts w:ascii="Garamond" w:hAnsi="Garamond"/>
          <w:sz w:val="23"/>
          <w:szCs w:val="23"/>
        </w:rPr>
      </w:pPr>
    </w:p>
    <w:p w:rsidR="00FB5EFD" w:rsidRDefault="00FB5EFD" w:rsidP="00A7106E">
      <w:pPr>
        <w:pStyle w:val="NoSpacing"/>
        <w:rPr>
          <w:rFonts w:ascii="Garamond" w:hAnsi="Garamond"/>
          <w:sz w:val="23"/>
          <w:szCs w:val="23"/>
        </w:rPr>
      </w:pPr>
      <w:r w:rsidRPr="00F73D1B">
        <w:rPr>
          <w:rFonts w:ascii="Garamond" w:hAnsi="Garamond"/>
          <w:sz w:val="23"/>
          <w:szCs w:val="23"/>
        </w:rPr>
        <w:t xml:space="preserve">Across all commercial programs, the </w:t>
      </w:r>
      <w:r w:rsidR="00672C68">
        <w:rPr>
          <w:rFonts w:ascii="Garamond" w:hAnsi="Garamond"/>
          <w:sz w:val="23"/>
          <w:szCs w:val="23"/>
        </w:rPr>
        <w:t xml:space="preserve">total </w:t>
      </w:r>
      <w:r w:rsidRPr="00F73D1B">
        <w:rPr>
          <w:rFonts w:ascii="Garamond" w:hAnsi="Garamond"/>
          <w:sz w:val="23"/>
          <w:szCs w:val="23"/>
        </w:rPr>
        <w:t xml:space="preserve">load reductions were reduced by </w:t>
      </w:r>
      <w:r w:rsidR="00672C68">
        <w:rPr>
          <w:rFonts w:ascii="Garamond" w:hAnsi="Garamond"/>
          <w:sz w:val="23"/>
          <w:szCs w:val="23"/>
        </w:rPr>
        <w:t xml:space="preserve">an average of </w:t>
      </w:r>
      <w:r w:rsidRPr="00F73D1B">
        <w:rPr>
          <w:rFonts w:ascii="Garamond" w:hAnsi="Garamond"/>
          <w:sz w:val="23"/>
          <w:szCs w:val="23"/>
        </w:rPr>
        <w:t>only 8.2%, with a rang</w:t>
      </w:r>
      <w:r w:rsidR="00672C68">
        <w:rPr>
          <w:rFonts w:ascii="Garamond" w:hAnsi="Garamond"/>
          <w:sz w:val="23"/>
          <w:szCs w:val="23"/>
        </w:rPr>
        <w:t xml:space="preserve">e of 0% to 23%. </w:t>
      </w:r>
      <w:r w:rsidRPr="00F73D1B">
        <w:rPr>
          <w:rFonts w:ascii="Garamond" w:hAnsi="Garamond"/>
          <w:sz w:val="23"/>
          <w:szCs w:val="23"/>
        </w:rPr>
        <w:t xml:space="preserve">Because </w:t>
      </w:r>
      <w:r w:rsidR="00672C68">
        <w:rPr>
          <w:rFonts w:ascii="Garamond" w:hAnsi="Garamond"/>
          <w:sz w:val="23"/>
          <w:szCs w:val="23"/>
        </w:rPr>
        <w:t>an EDC’s</w:t>
      </w:r>
      <w:r w:rsidRPr="00F73D1B">
        <w:rPr>
          <w:rFonts w:ascii="Garamond" w:hAnsi="Garamond"/>
          <w:sz w:val="23"/>
          <w:szCs w:val="23"/>
        </w:rPr>
        <w:t xml:space="preserve"> top 100 hours</w:t>
      </w:r>
      <w:r w:rsidR="00672C68">
        <w:rPr>
          <w:rFonts w:ascii="Garamond" w:hAnsi="Garamond"/>
          <w:sz w:val="23"/>
          <w:szCs w:val="23"/>
        </w:rPr>
        <w:t xml:space="preserve"> were not necessarily aligned with periods of need for PJM dispatch</w:t>
      </w:r>
      <w:r w:rsidRPr="00F73D1B">
        <w:rPr>
          <w:rFonts w:ascii="Garamond" w:hAnsi="Garamond"/>
          <w:sz w:val="23"/>
          <w:szCs w:val="23"/>
        </w:rPr>
        <w:t xml:space="preserve">, </w:t>
      </w:r>
      <w:r w:rsidR="00672C68">
        <w:rPr>
          <w:rFonts w:ascii="Garamond" w:hAnsi="Garamond"/>
          <w:sz w:val="23"/>
          <w:szCs w:val="23"/>
        </w:rPr>
        <w:t>a number of Act 129 event</w:t>
      </w:r>
      <w:r w:rsidRPr="00F73D1B">
        <w:rPr>
          <w:rFonts w:ascii="Garamond" w:hAnsi="Garamond"/>
          <w:sz w:val="23"/>
          <w:szCs w:val="23"/>
        </w:rPr>
        <w:t xml:space="preserve"> hours </w:t>
      </w:r>
      <w:r w:rsidR="00672C68">
        <w:rPr>
          <w:rFonts w:ascii="Garamond" w:hAnsi="Garamond"/>
          <w:sz w:val="23"/>
          <w:szCs w:val="23"/>
        </w:rPr>
        <w:t>produced no overlap with either PJM program</w:t>
      </w:r>
      <w:r w:rsidRPr="00F73D1B">
        <w:rPr>
          <w:rFonts w:ascii="Garamond" w:hAnsi="Garamond"/>
          <w:sz w:val="23"/>
          <w:szCs w:val="23"/>
        </w:rPr>
        <w:t>.  I</w:t>
      </w:r>
      <w:r w:rsidR="00672C68">
        <w:rPr>
          <w:rFonts w:ascii="Garamond" w:hAnsi="Garamond"/>
          <w:sz w:val="23"/>
          <w:szCs w:val="23"/>
        </w:rPr>
        <w:t>f EDCs had limited curtailment events</w:t>
      </w:r>
      <w:r w:rsidRPr="00F73D1B">
        <w:rPr>
          <w:rFonts w:ascii="Garamond" w:hAnsi="Garamond"/>
          <w:sz w:val="23"/>
          <w:szCs w:val="23"/>
        </w:rPr>
        <w:t xml:space="preserve"> to a </w:t>
      </w:r>
      <w:r w:rsidR="00672C68">
        <w:rPr>
          <w:rFonts w:ascii="Garamond" w:hAnsi="Garamond"/>
          <w:sz w:val="23"/>
          <w:szCs w:val="23"/>
        </w:rPr>
        <w:t>smaller</w:t>
      </w:r>
      <w:r w:rsidRPr="00F73D1B">
        <w:rPr>
          <w:rFonts w:ascii="Garamond" w:hAnsi="Garamond"/>
          <w:sz w:val="23"/>
          <w:szCs w:val="23"/>
        </w:rPr>
        <w:t xml:space="preserve"> number of critical peak hours, then more overlap with PJM event hours would </w:t>
      </w:r>
      <w:r w:rsidR="00672C68">
        <w:rPr>
          <w:rFonts w:ascii="Garamond" w:hAnsi="Garamond"/>
          <w:sz w:val="23"/>
          <w:szCs w:val="23"/>
        </w:rPr>
        <w:t>be expected</w:t>
      </w:r>
      <w:r w:rsidRPr="00F73D1B">
        <w:rPr>
          <w:rFonts w:ascii="Garamond" w:hAnsi="Garamond"/>
          <w:sz w:val="23"/>
          <w:szCs w:val="23"/>
        </w:rPr>
        <w:t xml:space="preserve"> and the percent reduction in </w:t>
      </w:r>
      <w:r w:rsidR="00C3722F">
        <w:rPr>
          <w:rFonts w:ascii="Garamond" w:hAnsi="Garamond"/>
          <w:sz w:val="23"/>
          <w:szCs w:val="23"/>
        </w:rPr>
        <w:t xml:space="preserve">benefits from </w:t>
      </w:r>
      <w:r w:rsidRPr="00F73D1B">
        <w:rPr>
          <w:rFonts w:ascii="Garamond" w:hAnsi="Garamond"/>
          <w:sz w:val="23"/>
          <w:szCs w:val="23"/>
        </w:rPr>
        <w:t xml:space="preserve">load </w:t>
      </w:r>
      <w:r w:rsidR="00C3722F">
        <w:rPr>
          <w:rFonts w:ascii="Garamond" w:hAnsi="Garamond"/>
          <w:sz w:val="23"/>
          <w:szCs w:val="23"/>
        </w:rPr>
        <w:t xml:space="preserve">reduction </w:t>
      </w:r>
      <w:r w:rsidR="00672C68">
        <w:rPr>
          <w:rFonts w:ascii="Garamond" w:hAnsi="Garamond"/>
          <w:sz w:val="23"/>
          <w:szCs w:val="23"/>
        </w:rPr>
        <w:t>would likely increase</w:t>
      </w:r>
      <w:r w:rsidRPr="00F73D1B">
        <w:rPr>
          <w:rFonts w:ascii="Garamond" w:hAnsi="Garamond"/>
          <w:sz w:val="23"/>
          <w:szCs w:val="23"/>
        </w:rPr>
        <w:t>.</w:t>
      </w:r>
    </w:p>
    <w:p w:rsidR="00B364FB" w:rsidRDefault="00B364FB" w:rsidP="00A7106E">
      <w:pPr>
        <w:pStyle w:val="NoSpacing"/>
        <w:rPr>
          <w:rFonts w:ascii="Garamond" w:hAnsi="Garamond"/>
          <w:sz w:val="23"/>
          <w:szCs w:val="23"/>
        </w:rPr>
      </w:pPr>
    </w:p>
    <w:p w:rsidR="00B364FB" w:rsidRPr="00F73D1B" w:rsidRDefault="00B364FB" w:rsidP="00A7106E">
      <w:pPr>
        <w:spacing w:line="240" w:lineRule="auto"/>
        <w:rPr>
          <w:rFonts w:ascii="Garamond" w:hAnsi="Garamond"/>
          <w:sz w:val="23"/>
          <w:szCs w:val="23"/>
        </w:rPr>
      </w:pPr>
      <w:r w:rsidRPr="00F73D1B">
        <w:rPr>
          <w:rFonts w:ascii="Garamond" w:hAnsi="Garamond"/>
          <w:sz w:val="23"/>
          <w:szCs w:val="23"/>
        </w:rPr>
        <w:t xml:space="preserve">For direct </w:t>
      </w:r>
      <w:r>
        <w:rPr>
          <w:rFonts w:ascii="Garamond" w:hAnsi="Garamond"/>
          <w:sz w:val="23"/>
          <w:szCs w:val="23"/>
        </w:rPr>
        <w:t xml:space="preserve">load </w:t>
      </w:r>
      <w:r w:rsidRPr="00F73D1B">
        <w:rPr>
          <w:rFonts w:ascii="Garamond" w:hAnsi="Garamond"/>
          <w:sz w:val="23"/>
          <w:szCs w:val="23"/>
        </w:rPr>
        <w:t>control programs in which an EDC makes an investment in equipment, it makes sense to analyze the pr</w:t>
      </w:r>
      <w:r>
        <w:rPr>
          <w:rFonts w:ascii="Garamond" w:hAnsi="Garamond"/>
          <w:sz w:val="23"/>
          <w:szCs w:val="23"/>
        </w:rPr>
        <w:t xml:space="preserve">ogram as a multi-year program. </w:t>
      </w:r>
      <w:r w:rsidRPr="00F73D1B">
        <w:rPr>
          <w:rFonts w:ascii="Garamond" w:hAnsi="Garamond"/>
          <w:sz w:val="23"/>
          <w:szCs w:val="23"/>
        </w:rPr>
        <w:t>It typically takes several years to pay back the upfront investment made in equipment, and a DR program is valued as an offset to a peaking resource and should therefore be treated like a resource – a</w:t>
      </w:r>
      <w:r>
        <w:rPr>
          <w:rFonts w:ascii="Garamond" w:hAnsi="Garamond"/>
          <w:sz w:val="23"/>
          <w:szCs w:val="23"/>
        </w:rPr>
        <w:t xml:space="preserve"> long-term capital investment. </w:t>
      </w:r>
      <w:r w:rsidRPr="00F73D1B">
        <w:rPr>
          <w:rFonts w:ascii="Garamond" w:hAnsi="Garamond"/>
          <w:sz w:val="23"/>
          <w:szCs w:val="23"/>
        </w:rPr>
        <w:t xml:space="preserve">Therefore, for direct </w:t>
      </w:r>
      <w:r>
        <w:rPr>
          <w:rFonts w:ascii="Garamond" w:hAnsi="Garamond"/>
          <w:sz w:val="23"/>
          <w:szCs w:val="23"/>
        </w:rPr>
        <w:t xml:space="preserve">load </w:t>
      </w:r>
      <w:r w:rsidRPr="00F73D1B">
        <w:rPr>
          <w:rFonts w:ascii="Garamond" w:hAnsi="Garamond"/>
          <w:sz w:val="23"/>
          <w:szCs w:val="23"/>
        </w:rPr>
        <w:t xml:space="preserve">control programs, the SWE </w:t>
      </w:r>
      <w:r>
        <w:rPr>
          <w:rFonts w:ascii="Garamond" w:hAnsi="Garamond"/>
          <w:sz w:val="23"/>
          <w:szCs w:val="23"/>
        </w:rPr>
        <w:t>ran a</w:t>
      </w:r>
      <w:r w:rsidRPr="00F73D1B">
        <w:rPr>
          <w:rFonts w:ascii="Garamond" w:hAnsi="Garamond"/>
          <w:sz w:val="23"/>
          <w:szCs w:val="23"/>
        </w:rPr>
        <w:t xml:space="preserve"> 10-year program scenario in which initial investments are made in equipment, and then ongoing benefits and ongoing costs (marketing, incentives, and administrative cost</w:t>
      </w:r>
      <w:r>
        <w:rPr>
          <w:rFonts w:ascii="Garamond" w:hAnsi="Garamond"/>
          <w:sz w:val="23"/>
          <w:szCs w:val="23"/>
        </w:rPr>
        <w:t xml:space="preserve">s) are captured over 10 years. </w:t>
      </w:r>
      <w:r w:rsidRPr="00F73D1B">
        <w:rPr>
          <w:rFonts w:ascii="Garamond" w:hAnsi="Garamond"/>
          <w:sz w:val="23"/>
          <w:szCs w:val="23"/>
        </w:rPr>
        <w:t>The multi-year analysis assumes an attrition rate of 3% of customers lost per year.</w:t>
      </w:r>
    </w:p>
    <w:p w:rsidR="00FB5EFD" w:rsidRPr="00F73D1B" w:rsidRDefault="00B364FB" w:rsidP="00A7106E">
      <w:pPr>
        <w:spacing w:line="240" w:lineRule="auto"/>
        <w:rPr>
          <w:rFonts w:ascii="Garamond" w:hAnsi="Garamond"/>
          <w:sz w:val="23"/>
          <w:szCs w:val="23"/>
        </w:rPr>
      </w:pPr>
      <w:r w:rsidRPr="00F73D1B">
        <w:rPr>
          <w:rFonts w:ascii="Garamond" w:hAnsi="Garamond"/>
          <w:sz w:val="23"/>
          <w:szCs w:val="23"/>
        </w:rPr>
        <w:t>For future avoided generation capacity costs</w:t>
      </w:r>
      <w:r w:rsidR="00A7106E">
        <w:rPr>
          <w:rFonts w:ascii="Garamond" w:hAnsi="Garamond"/>
          <w:sz w:val="23"/>
          <w:szCs w:val="23"/>
        </w:rPr>
        <w:t xml:space="preserve"> in the 10-year view of DLC</w:t>
      </w:r>
      <w:r w:rsidRPr="00F73D1B">
        <w:rPr>
          <w:rFonts w:ascii="Garamond" w:hAnsi="Garamond"/>
          <w:sz w:val="23"/>
          <w:szCs w:val="23"/>
        </w:rPr>
        <w:t xml:space="preserve">, the Base Residual Auction results for PJM for 2013-2015 </w:t>
      </w:r>
      <w:r w:rsidR="001479D0">
        <w:rPr>
          <w:rFonts w:ascii="Garamond" w:hAnsi="Garamond"/>
          <w:sz w:val="23"/>
          <w:szCs w:val="23"/>
        </w:rPr>
        <w:t>were</w:t>
      </w:r>
      <w:r w:rsidR="001479D0" w:rsidRPr="00F73D1B">
        <w:rPr>
          <w:rFonts w:ascii="Garamond" w:hAnsi="Garamond"/>
          <w:sz w:val="23"/>
          <w:szCs w:val="23"/>
        </w:rPr>
        <w:t xml:space="preserve"> </w:t>
      </w:r>
      <w:r w:rsidRPr="00F73D1B">
        <w:rPr>
          <w:rFonts w:ascii="Garamond" w:hAnsi="Garamond"/>
          <w:sz w:val="23"/>
          <w:szCs w:val="23"/>
        </w:rPr>
        <w:t>available and were used.  Beyond 2015, the growth rates in avoided capacity costs that the EDCs used in their own benefit cost models f</w:t>
      </w:r>
      <w:r>
        <w:rPr>
          <w:rFonts w:ascii="Garamond" w:hAnsi="Garamond"/>
          <w:sz w:val="23"/>
          <w:szCs w:val="23"/>
        </w:rPr>
        <w:t xml:space="preserve">or energy efficiency programs were used. </w:t>
      </w:r>
      <w:r w:rsidRPr="00F73D1B">
        <w:rPr>
          <w:rFonts w:ascii="Garamond" w:hAnsi="Garamond"/>
          <w:sz w:val="23"/>
          <w:szCs w:val="23"/>
        </w:rPr>
        <w:t>Avoided T&amp;D costs and program administration costs were s</w:t>
      </w:r>
      <w:r>
        <w:rPr>
          <w:rFonts w:ascii="Garamond" w:hAnsi="Garamond"/>
          <w:sz w:val="23"/>
          <w:szCs w:val="23"/>
        </w:rPr>
        <w:t>imply escalated at 3% per year</w:t>
      </w:r>
      <w:r w:rsidR="00E74526">
        <w:rPr>
          <w:rFonts w:ascii="Garamond" w:hAnsi="Garamond"/>
          <w:sz w:val="23"/>
          <w:szCs w:val="23"/>
        </w:rPr>
        <w:t>, to represent costs escalating at or just above the expected rate of inflation</w:t>
      </w:r>
      <w:r w:rsidR="00E74526">
        <w:rPr>
          <w:rStyle w:val="FootnoteReference"/>
          <w:rFonts w:ascii="Garamond" w:hAnsi="Garamond"/>
          <w:sz w:val="23"/>
          <w:szCs w:val="23"/>
        </w:rPr>
        <w:footnoteReference w:id="40"/>
      </w:r>
      <w:r>
        <w:rPr>
          <w:rFonts w:ascii="Garamond" w:hAnsi="Garamond"/>
          <w:sz w:val="23"/>
          <w:szCs w:val="23"/>
        </w:rPr>
        <w:t>.</w:t>
      </w:r>
    </w:p>
    <w:p w:rsidR="00FB5EFD" w:rsidRDefault="00672C68" w:rsidP="00A7106E">
      <w:pPr>
        <w:pStyle w:val="NoSpacing"/>
        <w:rPr>
          <w:rFonts w:ascii="Garamond" w:hAnsi="Garamond"/>
          <w:sz w:val="23"/>
          <w:szCs w:val="23"/>
        </w:rPr>
      </w:pPr>
      <w:r>
        <w:rPr>
          <w:rFonts w:ascii="Garamond" w:hAnsi="Garamond"/>
          <w:sz w:val="23"/>
          <w:szCs w:val="23"/>
        </w:rPr>
        <w:t>Line loss adjustment factors</w:t>
      </w:r>
      <w:r w:rsidR="00FB5EFD" w:rsidRPr="00F73D1B">
        <w:rPr>
          <w:rFonts w:ascii="Garamond" w:hAnsi="Garamond"/>
          <w:sz w:val="23"/>
          <w:szCs w:val="23"/>
        </w:rPr>
        <w:t xml:space="preserve"> </w:t>
      </w:r>
      <w:r w:rsidR="00B875D9">
        <w:rPr>
          <w:rFonts w:ascii="Garamond" w:hAnsi="Garamond"/>
          <w:sz w:val="23"/>
          <w:szCs w:val="23"/>
        </w:rPr>
        <w:t>were provided by the EDCs</w:t>
      </w:r>
      <w:r>
        <w:rPr>
          <w:rFonts w:ascii="Garamond" w:hAnsi="Garamond"/>
          <w:sz w:val="23"/>
          <w:szCs w:val="23"/>
        </w:rPr>
        <w:t xml:space="preserve">, and varied </w:t>
      </w:r>
      <w:r w:rsidR="009462F1">
        <w:rPr>
          <w:rFonts w:ascii="Garamond" w:hAnsi="Garamond"/>
          <w:sz w:val="23"/>
          <w:szCs w:val="23"/>
        </w:rPr>
        <w:t xml:space="preserve">significantly </w:t>
      </w:r>
      <w:r w:rsidR="00B875D9">
        <w:rPr>
          <w:rFonts w:ascii="Garamond" w:hAnsi="Garamond"/>
          <w:sz w:val="23"/>
          <w:szCs w:val="23"/>
        </w:rPr>
        <w:t>across the state</w:t>
      </w:r>
      <w:r>
        <w:rPr>
          <w:rFonts w:ascii="Garamond" w:hAnsi="Garamond"/>
          <w:sz w:val="23"/>
          <w:szCs w:val="23"/>
        </w:rPr>
        <w:t xml:space="preserve">. </w:t>
      </w:r>
      <w:r w:rsidR="00FB5EFD" w:rsidRPr="00F73D1B">
        <w:rPr>
          <w:rFonts w:ascii="Garamond" w:hAnsi="Garamond"/>
          <w:sz w:val="23"/>
          <w:szCs w:val="23"/>
        </w:rPr>
        <w:t xml:space="preserve">Assumed losses </w:t>
      </w:r>
      <w:r w:rsidR="009462F1">
        <w:rPr>
          <w:rFonts w:ascii="Garamond" w:hAnsi="Garamond"/>
          <w:sz w:val="23"/>
          <w:szCs w:val="23"/>
        </w:rPr>
        <w:t>during the top 100</w:t>
      </w:r>
      <w:r w:rsidR="00FB5EFD" w:rsidRPr="00F73D1B">
        <w:rPr>
          <w:rFonts w:ascii="Garamond" w:hAnsi="Garamond"/>
          <w:sz w:val="23"/>
          <w:szCs w:val="23"/>
        </w:rPr>
        <w:t xml:space="preserve"> hours ranged from 4% to 22%.</w:t>
      </w:r>
      <w:r w:rsidR="009462F1">
        <w:rPr>
          <w:rFonts w:ascii="Garamond" w:hAnsi="Garamond"/>
          <w:sz w:val="23"/>
          <w:szCs w:val="23"/>
        </w:rPr>
        <w:t xml:space="preserve"> Line loss adjustment factors were used to gross up demand impacts calculated at the customer level to the impact at the system level.</w:t>
      </w:r>
    </w:p>
    <w:p w:rsidR="00F73D1B" w:rsidRPr="00F73D1B" w:rsidRDefault="00F73D1B" w:rsidP="00A7106E">
      <w:pPr>
        <w:pStyle w:val="NoSpacing"/>
        <w:rPr>
          <w:rFonts w:ascii="Garamond" w:hAnsi="Garamond"/>
          <w:sz w:val="23"/>
          <w:szCs w:val="23"/>
        </w:rPr>
      </w:pPr>
    </w:p>
    <w:p w:rsidR="00C2348A" w:rsidRDefault="002E5111" w:rsidP="00557CBF">
      <w:pPr>
        <w:pStyle w:val="NoSpacing"/>
        <w:rPr>
          <w:rFonts w:ascii="Garamond" w:hAnsi="Garamond"/>
          <w:sz w:val="23"/>
          <w:szCs w:val="23"/>
        </w:rPr>
      </w:pPr>
      <w:r>
        <w:rPr>
          <w:rFonts w:ascii="Garamond" w:hAnsi="Garamond"/>
          <w:sz w:val="23"/>
          <w:szCs w:val="23"/>
        </w:rPr>
        <w:t xml:space="preserve">The </w:t>
      </w:r>
      <w:r w:rsidR="002E5BF5">
        <w:rPr>
          <w:rFonts w:ascii="Garamond" w:hAnsi="Garamond"/>
          <w:sz w:val="23"/>
          <w:szCs w:val="23"/>
        </w:rPr>
        <w:t>benefit/cost</w:t>
      </w:r>
      <w:r>
        <w:rPr>
          <w:rFonts w:ascii="Garamond" w:hAnsi="Garamond"/>
          <w:sz w:val="23"/>
          <w:szCs w:val="23"/>
        </w:rPr>
        <w:t xml:space="preserve"> analyses presented in this report assume</w:t>
      </w:r>
      <w:r w:rsidR="003D2F22">
        <w:rPr>
          <w:rFonts w:ascii="Garamond" w:hAnsi="Garamond"/>
          <w:sz w:val="23"/>
          <w:szCs w:val="23"/>
        </w:rPr>
        <w:t>s</w:t>
      </w:r>
      <w:r>
        <w:rPr>
          <w:rFonts w:ascii="Garamond" w:hAnsi="Garamond"/>
          <w:sz w:val="23"/>
          <w:szCs w:val="23"/>
        </w:rPr>
        <w:t xml:space="preserve"> that Act 129 DR programs are operated to provide a surrogate for capacity. Accordingly, the primary value used in the monetization of program benefits is the avoided cost of generation capacity. </w:t>
      </w:r>
      <w:r w:rsidR="00FB5EFD" w:rsidRPr="00F73D1B">
        <w:rPr>
          <w:rFonts w:ascii="Garamond" w:hAnsi="Garamond"/>
          <w:sz w:val="23"/>
          <w:szCs w:val="23"/>
        </w:rPr>
        <w:t xml:space="preserve">The base case avoided </w:t>
      </w:r>
      <w:r w:rsidR="004139E6">
        <w:rPr>
          <w:rFonts w:ascii="Garamond" w:hAnsi="Garamond"/>
          <w:sz w:val="23"/>
          <w:szCs w:val="23"/>
        </w:rPr>
        <w:t xml:space="preserve">cost of generation capacity </w:t>
      </w:r>
      <w:r w:rsidR="00FB5EFD" w:rsidRPr="00F73D1B">
        <w:rPr>
          <w:rFonts w:ascii="Garamond" w:hAnsi="Garamond"/>
          <w:sz w:val="23"/>
          <w:szCs w:val="23"/>
        </w:rPr>
        <w:t>was based on zonal prices from PJM’s Base Residual Auction</w:t>
      </w:r>
      <w:r w:rsidR="004139E6">
        <w:rPr>
          <w:rFonts w:ascii="Garamond" w:hAnsi="Garamond"/>
          <w:sz w:val="23"/>
          <w:szCs w:val="23"/>
        </w:rPr>
        <w:t xml:space="preserve"> for the 2012/2013 delivery year</w:t>
      </w:r>
      <w:r w:rsidR="00D45691">
        <w:rPr>
          <w:rFonts w:ascii="Garamond" w:hAnsi="Garamond"/>
          <w:sz w:val="23"/>
          <w:szCs w:val="23"/>
        </w:rPr>
        <w:t xml:space="preserve">. </w:t>
      </w:r>
      <w:r w:rsidR="00FB5EFD" w:rsidRPr="00F73D1B">
        <w:rPr>
          <w:rFonts w:ascii="Garamond" w:hAnsi="Garamond"/>
          <w:sz w:val="23"/>
          <w:szCs w:val="23"/>
        </w:rPr>
        <w:t>In 2012, capaci</w:t>
      </w:r>
      <w:r w:rsidR="00956E89">
        <w:rPr>
          <w:rFonts w:ascii="Garamond" w:hAnsi="Garamond"/>
          <w:sz w:val="23"/>
          <w:szCs w:val="23"/>
        </w:rPr>
        <w:t>ty was relatively inexpensive across</w:t>
      </w:r>
      <w:r w:rsidR="00FB5EFD" w:rsidRPr="00F73D1B">
        <w:rPr>
          <w:rFonts w:ascii="Garamond" w:hAnsi="Garamond"/>
          <w:sz w:val="23"/>
          <w:szCs w:val="23"/>
        </w:rPr>
        <w:t xml:space="preserve"> all of PJM, but especially f</w:t>
      </w:r>
      <w:r w:rsidR="00956E89">
        <w:rPr>
          <w:rFonts w:ascii="Garamond" w:hAnsi="Garamond"/>
          <w:sz w:val="23"/>
          <w:szCs w:val="23"/>
        </w:rPr>
        <w:t>or the western part of Pennsylvania</w:t>
      </w:r>
      <w:r w:rsidR="00FB5EFD" w:rsidRPr="00F73D1B">
        <w:rPr>
          <w:rFonts w:ascii="Garamond" w:hAnsi="Garamond"/>
          <w:sz w:val="23"/>
          <w:szCs w:val="23"/>
        </w:rPr>
        <w:t>, as shown in the table below.</w:t>
      </w:r>
      <w:r w:rsidR="00BF638B">
        <w:rPr>
          <w:rFonts w:ascii="Garamond" w:hAnsi="Garamond"/>
          <w:sz w:val="23"/>
          <w:szCs w:val="23"/>
        </w:rPr>
        <w:br w:type="page"/>
      </w:r>
    </w:p>
    <w:p w:rsidR="00C2348A" w:rsidRPr="00956E89" w:rsidRDefault="00C2348A" w:rsidP="00C2348A">
      <w:pPr>
        <w:pStyle w:val="Caption"/>
        <w:keepNext/>
        <w:jc w:val="center"/>
        <w:rPr>
          <w:rFonts w:ascii="Garamond" w:hAnsi="Garamond"/>
          <w:sz w:val="23"/>
          <w:szCs w:val="23"/>
        </w:rPr>
      </w:pPr>
      <w:bookmarkStart w:id="75" w:name="_Ref352933003"/>
      <w:r w:rsidRPr="00956E89">
        <w:rPr>
          <w:rFonts w:ascii="Garamond" w:hAnsi="Garamond"/>
          <w:sz w:val="23"/>
          <w:szCs w:val="23"/>
        </w:rPr>
        <w:lastRenderedPageBreak/>
        <w:t xml:space="preserve">Table </w:t>
      </w:r>
      <w:r>
        <w:rPr>
          <w:rFonts w:ascii="Garamond" w:hAnsi="Garamond"/>
          <w:sz w:val="23"/>
          <w:szCs w:val="23"/>
        </w:rPr>
        <w:fldChar w:fldCharType="begin"/>
      </w:r>
      <w:r>
        <w:rPr>
          <w:rFonts w:ascii="Garamond" w:hAnsi="Garamond"/>
          <w:sz w:val="23"/>
          <w:szCs w:val="23"/>
        </w:rPr>
        <w:instrText xml:space="preserve"> STYLEREF 1 \s </w:instrText>
      </w:r>
      <w:r>
        <w:rPr>
          <w:rFonts w:ascii="Garamond" w:hAnsi="Garamond"/>
          <w:sz w:val="23"/>
          <w:szCs w:val="23"/>
        </w:rPr>
        <w:fldChar w:fldCharType="separate"/>
      </w:r>
      <w:r w:rsidR="00451FFF">
        <w:rPr>
          <w:rFonts w:ascii="Garamond" w:hAnsi="Garamond"/>
          <w:noProof/>
          <w:sz w:val="23"/>
          <w:szCs w:val="23"/>
        </w:rPr>
        <w:t>F</w:t>
      </w:r>
      <w:r>
        <w:rPr>
          <w:rFonts w:ascii="Garamond" w:hAnsi="Garamond"/>
          <w:sz w:val="23"/>
          <w:szCs w:val="23"/>
        </w:rPr>
        <w:fldChar w:fldCharType="end"/>
      </w:r>
      <w:r>
        <w:rPr>
          <w:rFonts w:ascii="Garamond" w:hAnsi="Garamond"/>
          <w:sz w:val="23"/>
          <w:szCs w:val="23"/>
        </w:rPr>
        <w:noBreakHyphen/>
      </w:r>
      <w:r>
        <w:rPr>
          <w:rFonts w:ascii="Garamond" w:hAnsi="Garamond"/>
          <w:sz w:val="23"/>
          <w:szCs w:val="23"/>
        </w:rPr>
        <w:fldChar w:fldCharType="begin"/>
      </w:r>
      <w:r>
        <w:rPr>
          <w:rFonts w:ascii="Garamond" w:hAnsi="Garamond"/>
          <w:sz w:val="23"/>
          <w:szCs w:val="23"/>
        </w:rPr>
        <w:instrText xml:space="preserve"> SEQ Table \* ARABIC \s 1 </w:instrText>
      </w:r>
      <w:r>
        <w:rPr>
          <w:rFonts w:ascii="Garamond" w:hAnsi="Garamond"/>
          <w:sz w:val="23"/>
          <w:szCs w:val="23"/>
        </w:rPr>
        <w:fldChar w:fldCharType="separate"/>
      </w:r>
      <w:r w:rsidR="00451FFF">
        <w:rPr>
          <w:rFonts w:ascii="Garamond" w:hAnsi="Garamond"/>
          <w:noProof/>
          <w:sz w:val="23"/>
          <w:szCs w:val="23"/>
        </w:rPr>
        <w:t>2</w:t>
      </w:r>
      <w:r>
        <w:rPr>
          <w:rFonts w:ascii="Garamond" w:hAnsi="Garamond"/>
          <w:sz w:val="23"/>
          <w:szCs w:val="23"/>
        </w:rPr>
        <w:fldChar w:fldCharType="end"/>
      </w:r>
      <w:bookmarkEnd w:id="75"/>
      <w:r w:rsidRPr="00956E89">
        <w:rPr>
          <w:rFonts w:ascii="Garamond" w:hAnsi="Garamond"/>
          <w:sz w:val="23"/>
          <w:szCs w:val="23"/>
        </w:rPr>
        <w:t>: Assumed Avoided Cost of Generation Capacity – PJM Zonal Prices</w:t>
      </w:r>
    </w:p>
    <w:tbl>
      <w:tblPr>
        <w:tblStyle w:val="TableGrid1"/>
        <w:tblW w:w="0" w:type="auto"/>
        <w:jc w:val="center"/>
        <w:tblLook w:val="04A0" w:firstRow="1" w:lastRow="0" w:firstColumn="1" w:lastColumn="0" w:noHBand="0" w:noVBand="1"/>
      </w:tblPr>
      <w:tblGrid>
        <w:gridCol w:w="1998"/>
        <w:gridCol w:w="2880"/>
      </w:tblGrid>
      <w:tr w:rsidR="00C2348A" w:rsidRPr="00956E89" w:rsidTr="00C2348A">
        <w:trPr>
          <w:jc w:val="center"/>
        </w:trPr>
        <w:tc>
          <w:tcPr>
            <w:tcW w:w="1998" w:type="dxa"/>
            <w:shd w:val="clear" w:color="auto" w:fill="1F497D" w:themeFill="text2"/>
          </w:tcPr>
          <w:p w:rsidR="00C2348A" w:rsidRPr="00956E89" w:rsidRDefault="00C2348A" w:rsidP="00C2348A">
            <w:pPr>
              <w:pStyle w:val="NoSpacing"/>
              <w:jc w:val="center"/>
              <w:rPr>
                <w:rFonts w:ascii="Garamond" w:hAnsi="Garamond"/>
                <w:b/>
                <w:color w:val="FFFFFF" w:themeColor="background1"/>
                <w:sz w:val="23"/>
                <w:szCs w:val="23"/>
              </w:rPr>
            </w:pPr>
            <w:r w:rsidRPr="00956E89">
              <w:rPr>
                <w:rFonts w:ascii="Garamond" w:hAnsi="Garamond"/>
                <w:b/>
                <w:color w:val="FFFFFF" w:themeColor="background1"/>
                <w:sz w:val="23"/>
                <w:szCs w:val="23"/>
              </w:rPr>
              <w:t>EDC</w:t>
            </w:r>
          </w:p>
        </w:tc>
        <w:tc>
          <w:tcPr>
            <w:tcW w:w="2880" w:type="dxa"/>
            <w:shd w:val="clear" w:color="auto" w:fill="1F497D" w:themeFill="text2"/>
          </w:tcPr>
          <w:p w:rsidR="00C2348A" w:rsidRPr="00956E89" w:rsidRDefault="00C2348A" w:rsidP="00C2348A">
            <w:pPr>
              <w:pStyle w:val="NoSpacing"/>
              <w:jc w:val="center"/>
              <w:rPr>
                <w:rFonts w:ascii="Garamond" w:hAnsi="Garamond"/>
                <w:b/>
                <w:color w:val="FFFFFF" w:themeColor="background1"/>
                <w:sz w:val="23"/>
                <w:szCs w:val="23"/>
              </w:rPr>
            </w:pPr>
            <w:r w:rsidRPr="00956E89">
              <w:rPr>
                <w:rFonts w:ascii="Garamond" w:hAnsi="Garamond"/>
                <w:b/>
                <w:color w:val="FFFFFF" w:themeColor="background1"/>
                <w:sz w:val="23"/>
                <w:szCs w:val="23"/>
              </w:rPr>
              <w:t>Avoided Cost ($/kW-Year)</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Duquesne</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$6.11</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West Penn</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$6.11</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Met Ed</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$48.69</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Penelec</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$48.69</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Penn Power</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$48.69</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PECO</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$52.21</w:t>
            </w:r>
          </w:p>
        </w:tc>
      </w:tr>
      <w:tr w:rsidR="00C2348A" w:rsidRPr="00956E89" w:rsidTr="00C2348A">
        <w:trPr>
          <w:jc w:val="center"/>
        </w:trPr>
        <w:tc>
          <w:tcPr>
            <w:tcW w:w="1998"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PPL</w:t>
            </w:r>
          </w:p>
        </w:tc>
        <w:tc>
          <w:tcPr>
            <w:tcW w:w="2880" w:type="dxa"/>
          </w:tcPr>
          <w:p w:rsidR="00C2348A" w:rsidRPr="00956E89" w:rsidRDefault="00C2348A" w:rsidP="00C2348A">
            <w:pPr>
              <w:pStyle w:val="NoSpacing"/>
              <w:jc w:val="center"/>
              <w:rPr>
                <w:rFonts w:ascii="Garamond" w:hAnsi="Garamond"/>
                <w:sz w:val="23"/>
                <w:szCs w:val="23"/>
              </w:rPr>
            </w:pPr>
            <w:r w:rsidRPr="00956E89">
              <w:rPr>
                <w:rFonts w:ascii="Garamond" w:hAnsi="Garamond"/>
                <w:sz w:val="23"/>
                <w:szCs w:val="23"/>
              </w:rPr>
              <w:t>$48.69</w:t>
            </w:r>
          </w:p>
        </w:tc>
      </w:tr>
    </w:tbl>
    <w:p w:rsidR="00FB5EFD" w:rsidRPr="00C2348A" w:rsidRDefault="00FB5EFD" w:rsidP="00A7106E">
      <w:pPr>
        <w:pStyle w:val="NoSpacing"/>
        <w:rPr>
          <w:rFonts w:ascii="Garamond" w:hAnsi="Garamond"/>
          <w:sz w:val="23"/>
          <w:szCs w:val="23"/>
        </w:rPr>
      </w:pPr>
    </w:p>
    <w:p w:rsidR="00FB5EFD" w:rsidRPr="00F73D1B" w:rsidRDefault="00FB5EFD" w:rsidP="00A7106E">
      <w:pPr>
        <w:pStyle w:val="NoSpacing"/>
        <w:rPr>
          <w:rFonts w:ascii="Garamond" w:hAnsi="Garamond"/>
          <w:sz w:val="23"/>
          <w:szCs w:val="23"/>
        </w:rPr>
      </w:pPr>
      <w:r w:rsidRPr="00F73D1B">
        <w:rPr>
          <w:rFonts w:ascii="Garamond" w:hAnsi="Garamond"/>
          <w:sz w:val="23"/>
          <w:szCs w:val="23"/>
        </w:rPr>
        <w:t>Estimation of avoided transmission and distribution (“T&amp;D”) costs is typically more difficult than estima</w:t>
      </w:r>
      <w:r w:rsidR="00956E89">
        <w:rPr>
          <w:rFonts w:ascii="Garamond" w:hAnsi="Garamond"/>
          <w:sz w:val="23"/>
          <w:szCs w:val="23"/>
        </w:rPr>
        <w:t xml:space="preserve">ting avoided generation costs. </w:t>
      </w:r>
      <w:r w:rsidRPr="00F73D1B">
        <w:rPr>
          <w:rFonts w:ascii="Garamond" w:hAnsi="Garamond"/>
          <w:sz w:val="23"/>
          <w:szCs w:val="23"/>
        </w:rPr>
        <w:t>These costs are al</w:t>
      </w:r>
      <w:r w:rsidR="00956E89">
        <w:rPr>
          <w:rFonts w:ascii="Garamond" w:hAnsi="Garamond"/>
          <w:sz w:val="23"/>
          <w:szCs w:val="23"/>
        </w:rPr>
        <w:t>so very specific to each utility’s</w:t>
      </w:r>
      <w:r w:rsidRPr="00F73D1B">
        <w:rPr>
          <w:rFonts w:ascii="Garamond" w:hAnsi="Garamond"/>
          <w:sz w:val="23"/>
          <w:szCs w:val="23"/>
        </w:rPr>
        <w:t xml:space="preserve"> </w:t>
      </w:r>
      <w:r w:rsidR="00956E89">
        <w:rPr>
          <w:rFonts w:ascii="Garamond" w:hAnsi="Garamond"/>
          <w:sz w:val="23"/>
          <w:szCs w:val="23"/>
        </w:rPr>
        <w:t>service territory and distribution system</w:t>
      </w:r>
      <w:r w:rsidRPr="00F73D1B">
        <w:rPr>
          <w:rFonts w:ascii="Garamond" w:hAnsi="Garamond"/>
          <w:sz w:val="23"/>
          <w:szCs w:val="23"/>
        </w:rPr>
        <w:t>. Typically, avoided transmission costs would include the value of deferral of building growth-related transmission facilities (as opposed to facilities built for something other than growth, such as reliability) for a utility that owns and operates its own</w:t>
      </w:r>
      <w:r w:rsidR="00956E89">
        <w:rPr>
          <w:rFonts w:ascii="Garamond" w:hAnsi="Garamond"/>
          <w:sz w:val="23"/>
          <w:szCs w:val="23"/>
        </w:rPr>
        <w:t xml:space="preserve"> transmission system. </w:t>
      </w:r>
      <w:r w:rsidRPr="00F73D1B">
        <w:rPr>
          <w:rFonts w:ascii="Garamond" w:hAnsi="Garamond"/>
          <w:sz w:val="23"/>
          <w:szCs w:val="23"/>
        </w:rPr>
        <w:t>For utilities that purchase transmission services, network transmission service charges may be the avoided cost to the extent demand reductions all</w:t>
      </w:r>
      <w:r w:rsidR="004717BF">
        <w:rPr>
          <w:rFonts w:ascii="Garamond" w:hAnsi="Garamond"/>
          <w:sz w:val="23"/>
          <w:szCs w:val="23"/>
        </w:rPr>
        <w:t xml:space="preserve">ow for reducing those charges. </w:t>
      </w:r>
      <w:r w:rsidRPr="00F73D1B">
        <w:rPr>
          <w:rFonts w:ascii="Garamond" w:hAnsi="Garamond"/>
          <w:sz w:val="23"/>
          <w:szCs w:val="23"/>
        </w:rPr>
        <w:t>Likewise, utilities must identify how reductions in system peak demands would provide a benefit to the distribution system</w:t>
      </w:r>
      <w:r w:rsidR="00956E89">
        <w:rPr>
          <w:rFonts w:ascii="Garamond" w:hAnsi="Garamond"/>
          <w:sz w:val="23"/>
          <w:szCs w:val="23"/>
        </w:rPr>
        <w:t>. D</w:t>
      </w:r>
      <w:r w:rsidRPr="00F73D1B">
        <w:rPr>
          <w:rFonts w:ascii="Garamond" w:hAnsi="Garamond"/>
          <w:sz w:val="23"/>
          <w:szCs w:val="23"/>
        </w:rPr>
        <w:t>elayed construction of a new substation</w:t>
      </w:r>
      <w:r w:rsidR="00956E89">
        <w:rPr>
          <w:rFonts w:ascii="Garamond" w:hAnsi="Garamond"/>
          <w:sz w:val="23"/>
          <w:szCs w:val="23"/>
        </w:rPr>
        <w:t xml:space="preserve"> i</w:t>
      </w:r>
      <w:r w:rsidR="00381127">
        <w:rPr>
          <w:rFonts w:ascii="Garamond" w:hAnsi="Garamond"/>
          <w:sz w:val="23"/>
          <w:szCs w:val="23"/>
        </w:rPr>
        <w:t>s</w:t>
      </w:r>
      <w:r w:rsidR="00956E89">
        <w:rPr>
          <w:rFonts w:ascii="Garamond" w:hAnsi="Garamond"/>
          <w:sz w:val="23"/>
          <w:szCs w:val="23"/>
        </w:rPr>
        <w:t xml:space="preserve"> a common example of distribution benefits produced by DR.</w:t>
      </w:r>
    </w:p>
    <w:p w:rsidR="00A7106E" w:rsidRDefault="00A7106E" w:rsidP="00A7106E">
      <w:pPr>
        <w:pStyle w:val="NoSpacing"/>
        <w:rPr>
          <w:rFonts w:ascii="Garamond" w:hAnsi="Garamond"/>
          <w:sz w:val="23"/>
          <w:szCs w:val="23"/>
        </w:rPr>
      </w:pPr>
    </w:p>
    <w:p w:rsidR="00FB5EFD" w:rsidRPr="00F73D1B" w:rsidRDefault="00FB5EFD" w:rsidP="00A7106E">
      <w:pPr>
        <w:pStyle w:val="NoSpacing"/>
        <w:rPr>
          <w:rFonts w:ascii="Garamond" w:hAnsi="Garamond"/>
          <w:sz w:val="23"/>
          <w:szCs w:val="23"/>
        </w:rPr>
      </w:pPr>
      <w:r w:rsidRPr="00F73D1B">
        <w:rPr>
          <w:rFonts w:ascii="Garamond" w:hAnsi="Garamond"/>
          <w:sz w:val="23"/>
          <w:szCs w:val="23"/>
        </w:rPr>
        <w:t>Because these costs are hard to identify, the SWE has us</w:t>
      </w:r>
      <w:r w:rsidR="00C3722F">
        <w:rPr>
          <w:rFonts w:ascii="Garamond" w:hAnsi="Garamond"/>
          <w:sz w:val="23"/>
          <w:szCs w:val="23"/>
        </w:rPr>
        <w:t>ed a base case value of $25/</w:t>
      </w:r>
      <w:r w:rsidRPr="00F73D1B">
        <w:rPr>
          <w:rFonts w:ascii="Garamond" w:hAnsi="Garamond"/>
          <w:sz w:val="23"/>
          <w:szCs w:val="23"/>
        </w:rPr>
        <w:t>kW-year savings for avoided T&amp;D c</w:t>
      </w:r>
      <w:r w:rsidR="00956E89">
        <w:rPr>
          <w:rFonts w:ascii="Garamond" w:hAnsi="Garamond"/>
          <w:sz w:val="23"/>
          <w:szCs w:val="23"/>
        </w:rPr>
        <w:t xml:space="preserve">osts. </w:t>
      </w:r>
      <w:r w:rsidRPr="00F73D1B">
        <w:rPr>
          <w:rFonts w:ascii="Garamond" w:hAnsi="Garamond"/>
          <w:sz w:val="23"/>
          <w:szCs w:val="23"/>
        </w:rPr>
        <w:t>This avoided cost is simply the mi</w:t>
      </w:r>
      <w:r w:rsidR="00956E89">
        <w:rPr>
          <w:rFonts w:ascii="Garamond" w:hAnsi="Garamond"/>
          <w:sz w:val="23"/>
          <w:szCs w:val="23"/>
        </w:rPr>
        <w:t>d-point in the range of costs that were</w:t>
      </w:r>
      <w:r w:rsidRPr="00F73D1B">
        <w:rPr>
          <w:rFonts w:ascii="Garamond" w:hAnsi="Garamond"/>
          <w:sz w:val="23"/>
          <w:szCs w:val="23"/>
        </w:rPr>
        <w:t xml:space="preserve"> selected </w:t>
      </w:r>
      <w:r w:rsidR="00956E89">
        <w:rPr>
          <w:rFonts w:ascii="Garamond" w:hAnsi="Garamond"/>
          <w:sz w:val="23"/>
          <w:szCs w:val="23"/>
        </w:rPr>
        <w:t>as the low and high case in the TRC sensitivity analysis</w:t>
      </w:r>
      <w:r w:rsidR="004717BF">
        <w:rPr>
          <w:rFonts w:ascii="Garamond" w:hAnsi="Garamond"/>
          <w:sz w:val="23"/>
          <w:szCs w:val="23"/>
        </w:rPr>
        <w:t xml:space="preserve"> and may overstate or understate the actual benefits for a given EDC.</w:t>
      </w:r>
    </w:p>
    <w:p w:rsidR="00FB5EFD" w:rsidRDefault="00FB5EFD" w:rsidP="00A7106E">
      <w:pPr>
        <w:pStyle w:val="NoSpacing"/>
      </w:pPr>
    </w:p>
    <w:p w:rsidR="00FB5EFD" w:rsidRPr="00F73D1B" w:rsidRDefault="00FB5EFD" w:rsidP="00A7106E">
      <w:pPr>
        <w:pStyle w:val="NoSpacing"/>
        <w:rPr>
          <w:rFonts w:ascii="Garamond" w:hAnsi="Garamond"/>
          <w:sz w:val="23"/>
          <w:szCs w:val="23"/>
        </w:rPr>
      </w:pPr>
      <w:r w:rsidRPr="00F73D1B">
        <w:rPr>
          <w:rFonts w:ascii="Garamond" w:hAnsi="Garamond"/>
          <w:sz w:val="23"/>
          <w:szCs w:val="23"/>
        </w:rPr>
        <w:t>Program cost</w:t>
      </w:r>
      <w:r w:rsidR="00956E89">
        <w:rPr>
          <w:rFonts w:ascii="Garamond" w:hAnsi="Garamond"/>
          <w:sz w:val="23"/>
          <w:szCs w:val="23"/>
        </w:rPr>
        <w:t xml:space="preserve">s were obtained from the EDCs. </w:t>
      </w:r>
      <w:r w:rsidRPr="00F73D1B">
        <w:rPr>
          <w:rFonts w:ascii="Garamond" w:hAnsi="Garamond"/>
          <w:sz w:val="23"/>
          <w:szCs w:val="23"/>
        </w:rPr>
        <w:t xml:space="preserve">The costs include </w:t>
      </w:r>
      <w:r w:rsidR="00956E89">
        <w:rPr>
          <w:rFonts w:ascii="Garamond" w:hAnsi="Garamond"/>
          <w:sz w:val="23"/>
          <w:szCs w:val="23"/>
        </w:rPr>
        <w:t>operating expenses</w:t>
      </w:r>
      <w:r w:rsidRPr="00F73D1B">
        <w:rPr>
          <w:rFonts w:ascii="Garamond" w:hAnsi="Garamond"/>
          <w:sz w:val="23"/>
          <w:szCs w:val="23"/>
        </w:rPr>
        <w:t xml:space="preserve"> for t</w:t>
      </w:r>
      <w:r w:rsidR="00956E89">
        <w:rPr>
          <w:rFonts w:ascii="Garamond" w:hAnsi="Garamond"/>
          <w:sz w:val="23"/>
          <w:szCs w:val="23"/>
        </w:rPr>
        <w:t xml:space="preserve">he EDC to run its programs, evaluation expenses, and </w:t>
      </w:r>
      <w:r w:rsidRPr="00F73D1B">
        <w:rPr>
          <w:rFonts w:ascii="Garamond" w:hAnsi="Garamond"/>
          <w:sz w:val="23"/>
          <w:szCs w:val="23"/>
        </w:rPr>
        <w:t>money paid to CSPs o</w:t>
      </w:r>
      <w:r w:rsidR="004717BF">
        <w:rPr>
          <w:rFonts w:ascii="Garamond" w:hAnsi="Garamond"/>
          <w:sz w:val="23"/>
          <w:szCs w:val="23"/>
        </w:rPr>
        <w:t xml:space="preserve">r demand response aggregators. </w:t>
      </w:r>
      <w:r w:rsidRPr="00F73D1B">
        <w:rPr>
          <w:rFonts w:ascii="Garamond" w:hAnsi="Garamond"/>
          <w:sz w:val="23"/>
          <w:szCs w:val="23"/>
        </w:rPr>
        <w:t>The incentives paid to customers we</w:t>
      </w:r>
      <w:r w:rsidR="00F73D1B" w:rsidRPr="00F73D1B">
        <w:rPr>
          <w:rFonts w:ascii="Garamond" w:hAnsi="Garamond"/>
          <w:sz w:val="23"/>
          <w:szCs w:val="23"/>
        </w:rPr>
        <w:t>re also obtained from the EDCs.</w:t>
      </w:r>
    </w:p>
    <w:p w:rsidR="00F73D1B" w:rsidRDefault="00F73D1B" w:rsidP="00F73D1B">
      <w:pPr>
        <w:pStyle w:val="NoSpacing"/>
      </w:pPr>
    </w:p>
    <w:p w:rsidR="00FB5EFD" w:rsidRDefault="00FB5EFD" w:rsidP="00FB5EFD">
      <w:pPr>
        <w:pStyle w:val="Heading2"/>
        <w:ind w:left="360" w:hanging="360"/>
      </w:pPr>
      <w:bookmarkStart w:id="76" w:name="_Ref352931105"/>
      <w:bookmarkStart w:id="77" w:name="_Ref352937460"/>
      <w:bookmarkStart w:id="78" w:name="_Ref352937476"/>
      <w:bookmarkStart w:id="79" w:name="_Ref352937648"/>
      <w:bookmarkStart w:id="80" w:name="_Ref352938207"/>
      <w:bookmarkStart w:id="81" w:name="_Ref352938528"/>
      <w:bookmarkStart w:id="82" w:name="_Ref352938717"/>
      <w:bookmarkStart w:id="83" w:name="_Ref352938776"/>
      <w:bookmarkStart w:id="84" w:name="_Ref352938946"/>
      <w:bookmarkStart w:id="85" w:name="_Toc355954907"/>
      <w:r>
        <w:t>S</w:t>
      </w:r>
      <w:r w:rsidR="008C0A96">
        <w:t>ensitivit</w:t>
      </w:r>
      <w:r w:rsidR="003D2F22">
        <w:t>y Analysis</w:t>
      </w:r>
      <w:bookmarkEnd w:id="76"/>
      <w:bookmarkEnd w:id="77"/>
      <w:bookmarkEnd w:id="78"/>
      <w:bookmarkEnd w:id="79"/>
      <w:bookmarkEnd w:id="80"/>
      <w:bookmarkEnd w:id="81"/>
      <w:bookmarkEnd w:id="82"/>
      <w:bookmarkEnd w:id="83"/>
      <w:bookmarkEnd w:id="84"/>
      <w:bookmarkEnd w:id="85"/>
    </w:p>
    <w:p w:rsidR="005C4836" w:rsidRPr="00F73D1B" w:rsidRDefault="00FB5EFD" w:rsidP="00F73D1B">
      <w:pPr>
        <w:spacing w:line="240" w:lineRule="auto"/>
        <w:rPr>
          <w:rFonts w:ascii="Garamond" w:hAnsi="Garamond"/>
          <w:sz w:val="23"/>
          <w:szCs w:val="23"/>
        </w:rPr>
      </w:pPr>
      <w:r w:rsidRPr="00F73D1B">
        <w:rPr>
          <w:rFonts w:ascii="Garamond" w:hAnsi="Garamond"/>
          <w:sz w:val="23"/>
          <w:szCs w:val="23"/>
        </w:rPr>
        <w:t xml:space="preserve">A single, historical benefit cost ratio </w:t>
      </w:r>
      <w:r w:rsidR="004717BF">
        <w:rPr>
          <w:rFonts w:ascii="Garamond" w:hAnsi="Garamond"/>
          <w:sz w:val="23"/>
          <w:szCs w:val="23"/>
        </w:rPr>
        <w:t xml:space="preserve">from the 2012 DR season </w:t>
      </w:r>
      <w:r w:rsidR="00A7106E">
        <w:rPr>
          <w:rFonts w:ascii="Garamond" w:hAnsi="Garamond"/>
          <w:sz w:val="23"/>
          <w:szCs w:val="23"/>
        </w:rPr>
        <w:t xml:space="preserve">has limited value </w:t>
      </w:r>
      <w:r w:rsidRPr="00F73D1B">
        <w:rPr>
          <w:rFonts w:ascii="Garamond" w:hAnsi="Garamond"/>
          <w:sz w:val="23"/>
          <w:szCs w:val="23"/>
        </w:rPr>
        <w:t xml:space="preserve">for making </w:t>
      </w:r>
      <w:r w:rsidR="00956E89">
        <w:rPr>
          <w:rFonts w:ascii="Garamond" w:hAnsi="Garamond"/>
          <w:sz w:val="23"/>
          <w:szCs w:val="23"/>
        </w:rPr>
        <w:t>a</w:t>
      </w:r>
      <w:r w:rsidRPr="00F73D1B">
        <w:rPr>
          <w:rFonts w:ascii="Garamond" w:hAnsi="Garamond"/>
          <w:sz w:val="23"/>
          <w:szCs w:val="23"/>
        </w:rPr>
        <w:t xml:space="preserve"> decision about whether to contin</w:t>
      </w:r>
      <w:r w:rsidR="00956E89">
        <w:rPr>
          <w:rFonts w:ascii="Garamond" w:hAnsi="Garamond"/>
          <w:sz w:val="23"/>
          <w:szCs w:val="23"/>
        </w:rPr>
        <w:t xml:space="preserve">ue DR in Phase III of Act 129. </w:t>
      </w:r>
      <w:r w:rsidRPr="00F73D1B">
        <w:rPr>
          <w:rFonts w:ascii="Garamond" w:hAnsi="Garamond"/>
          <w:sz w:val="23"/>
          <w:szCs w:val="23"/>
        </w:rPr>
        <w:t xml:space="preserve">Therefore, the SWE </w:t>
      </w:r>
      <w:r w:rsidR="003D2F22">
        <w:rPr>
          <w:rFonts w:ascii="Garamond" w:hAnsi="Garamond"/>
          <w:sz w:val="23"/>
          <w:szCs w:val="23"/>
        </w:rPr>
        <w:t xml:space="preserve">conducted a sensitivity analysis to </w:t>
      </w:r>
      <w:r w:rsidRPr="00F73D1B">
        <w:rPr>
          <w:rFonts w:ascii="Garamond" w:hAnsi="Garamond"/>
          <w:sz w:val="23"/>
          <w:szCs w:val="23"/>
        </w:rPr>
        <w:t xml:space="preserve">demonstrate how TRC results can change </w:t>
      </w:r>
      <w:r w:rsidR="008C0A96">
        <w:rPr>
          <w:rFonts w:ascii="Garamond" w:hAnsi="Garamond"/>
          <w:sz w:val="23"/>
          <w:szCs w:val="23"/>
        </w:rPr>
        <w:t>based on</w:t>
      </w:r>
      <w:r w:rsidRPr="00F73D1B">
        <w:rPr>
          <w:rFonts w:ascii="Garamond" w:hAnsi="Garamond"/>
          <w:sz w:val="23"/>
          <w:szCs w:val="23"/>
        </w:rPr>
        <w:t xml:space="preserve"> a variety of conditions</w:t>
      </w:r>
      <w:r w:rsidR="008C0A96">
        <w:rPr>
          <w:rFonts w:ascii="Garamond" w:hAnsi="Garamond"/>
          <w:sz w:val="23"/>
          <w:szCs w:val="23"/>
        </w:rPr>
        <w:t xml:space="preserve"> and assumptions. </w:t>
      </w:r>
      <w:r w:rsidR="004717BF">
        <w:rPr>
          <w:rFonts w:ascii="Garamond" w:hAnsi="Garamond"/>
          <w:sz w:val="23"/>
          <w:szCs w:val="23"/>
        </w:rPr>
        <w:t>After establishing the “base case”</w:t>
      </w:r>
      <w:r w:rsidR="00297FB0">
        <w:rPr>
          <w:rFonts w:ascii="Garamond" w:hAnsi="Garamond"/>
          <w:sz w:val="23"/>
          <w:szCs w:val="23"/>
        </w:rPr>
        <w:t>, or the benefit cost model</w:t>
      </w:r>
      <w:r w:rsidR="004717BF">
        <w:rPr>
          <w:rFonts w:ascii="Garamond" w:hAnsi="Garamond"/>
          <w:sz w:val="23"/>
          <w:szCs w:val="23"/>
        </w:rPr>
        <w:t xml:space="preserve"> of the programs</w:t>
      </w:r>
      <w:r w:rsidR="00297FB0">
        <w:rPr>
          <w:rFonts w:ascii="Garamond" w:hAnsi="Garamond"/>
          <w:sz w:val="23"/>
          <w:szCs w:val="23"/>
        </w:rPr>
        <w:t xml:space="preserve"> as offered in 2012, the SWE modified a single assumption at a time to determ</w:t>
      </w:r>
      <w:r w:rsidR="00A7106E">
        <w:rPr>
          <w:rFonts w:ascii="Garamond" w:hAnsi="Garamond"/>
          <w:sz w:val="23"/>
          <w:szCs w:val="23"/>
        </w:rPr>
        <w:t xml:space="preserve">ine the relative impact of each </w:t>
      </w:r>
      <w:r w:rsidR="009F209A">
        <w:rPr>
          <w:rFonts w:ascii="Garamond" w:hAnsi="Garamond"/>
          <w:sz w:val="23"/>
          <w:szCs w:val="23"/>
        </w:rPr>
        <w:t xml:space="preserve">of the </w:t>
      </w:r>
      <w:r w:rsidR="00711404">
        <w:rPr>
          <w:rFonts w:ascii="Garamond" w:hAnsi="Garamond"/>
          <w:sz w:val="23"/>
          <w:szCs w:val="23"/>
        </w:rPr>
        <w:t>se</w:t>
      </w:r>
      <w:r w:rsidR="009F209A">
        <w:rPr>
          <w:rFonts w:ascii="Garamond" w:hAnsi="Garamond"/>
          <w:sz w:val="23"/>
          <w:szCs w:val="23"/>
        </w:rPr>
        <w:t>nsitivities</w:t>
      </w:r>
      <w:r w:rsidR="00297FB0">
        <w:rPr>
          <w:rFonts w:ascii="Garamond" w:hAnsi="Garamond"/>
          <w:sz w:val="23"/>
          <w:szCs w:val="23"/>
        </w:rPr>
        <w:t xml:space="preserve"> on the expected cost effectiveness of the program</w:t>
      </w:r>
      <w:r w:rsidR="00711404">
        <w:rPr>
          <w:rFonts w:ascii="Garamond" w:hAnsi="Garamond"/>
          <w:sz w:val="23"/>
          <w:szCs w:val="23"/>
        </w:rPr>
        <w:t>s</w:t>
      </w:r>
      <w:r w:rsidR="00297FB0">
        <w:rPr>
          <w:rFonts w:ascii="Garamond" w:hAnsi="Garamond"/>
          <w:sz w:val="23"/>
          <w:szCs w:val="23"/>
        </w:rPr>
        <w:t>. When analyzing each of the</w:t>
      </w:r>
      <w:r w:rsidRPr="00F73D1B">
        <w:rPr>
          <w:rFonts w:ascii="Garamond" w:hAnsi="Garamond"/>
          <w:sz w:val="23"/>
          <w:szCs w:val="23"/>
        </w:rPr>
        <w:t xml:space="preserve"> scenarios described</w:t>
      </w:r>
      <w:r w:rsidR="003D2F22">
        <w:rPr>
          <w:rFonts w:ascii="Garamond" w:hAnsi="Garamond"/>
          <w:sz w:val="23"/>
          <w:szCs w:val="23"/>
        </w:rPr>
        <w:t xml:space="preserve"> below</w:t>
      </w:r>
      <w:r w:rsidRPr="00F73D1B">
        <w:rPr>
          <w:rFonts w:ascii="Garamond" w:hAnsi="Garamond"/>
          <w:sz w:val="23"/>
          <w:szCs w:val="23"/>
        </w:rPr>
        <w:t xml:space="preserve">, all other assumptions are held at the base case level, so that only one assumption is changed in </w:t>
      </w:r>
      <w:r w:rsidR="00297FB0">
        <w:rPr>
          <w:rFonts w:ascii="Garamond" w:hAnsi="Garamond"/>
          <w:sz w:val="23"/>
          <w:szCs w:val="23"/>
        </w:rPr>
        <w:t>the benefit cost model</w:t>
      </w:r>
      <w:r w:rsidRPr="00F73D1B">
        <w:rPr>
          <w:rFonts w:ascii="Garamond" w:hAnsi="Garamond"/>
          <w:sz w:val="23"/>
          <w:szCs w:val="23"/>
        </w:rPr>
        <w:t>.</w:t>
      </w:r>
      <w:r w:rsidR="009F209A">
        <w:rPr>
          <w:rFonts w:ascii="Garamond" w:hAnsi="Garamond"/>
          <w:sz w:val="23"/>
          <w:szCs w:val="23"/>
        </w:rPr>
        <w:t xml:space="preserve"> The SWE also developed “best case” and “worst case” scenarios to examine the highest and lowest </w:t>
      </w:r>
      <w:r w:rsidR="001754FB">
        <w:rPr>
          <w:rFonts w:ascii="Garamond" w:hAnsi="Garamond"/>
          <w:sz w:val="23"/>
          <w:szCs w:val="23"/>
        </w:rPr>
        <w:t xml:space="preserve">possible </w:t>
      </w:r>
      <w:r w:rsidR="009F209A">
        <w:rPr>
          <w:rFonts w:ascii="Garamond" w:hAnsi="Garamond"/>
          <w:sz w:val="23"/>
          <w:szCs w:val="23"/>
        </w:rPr>
        <w:t xml:space="preserve">TRC ratios that could be expected from DLC and load curtailment programs based on the various sensitivities. </w:t>
      </w:r>
      <w:r w:rsidR="00B64D5D" w:rsidRPr="00F73D1B">
        <w:rPr>
          <w:rFonts w:ascii="Garamond" w:hAnsi="Garamond"/>
          <w:sz w:val="23"/>
          <w:szCs w:val="23"/>
        </w:rPr>
        <w:t xml:space="preserve">The base case </w:t>
      </w:r>
      <w:r w:rsidR="00B64D5D">
        <w:rPr>
          <w:rFonts w:ascii="Garamond" w:hAnsi="Garamond"/>
          <w:sz w:val="23"/>
          <w:szCs w:val="23"/>
        </w:rPr>
        <w:t>results and results of various sensitivities are</w:t>
      </w:r>
      <w:r w:rsidR="00B64D5D" w:rsidRPr="00F73D1B">
        <w:rPr>
          <w:rFonts w:ascii="Garamond" w:hAnsi="Garamond"/>
          <w:sz w:val="23"/>
          <w:szCs w:val="23"/>
        </w:rPr>
        <w:t xml:space="preserve"> provided in </w:t>
      </w:r>
      <w:r w:rsidR="00B64D5D">
        <w:rPr>
          <w:rFonts w:ascii="Garamond" w:hAnsi="Garamond"/>
          <w:sz w:val="23"/>
          <w:szCs w:val="23"/>
        </w:rPr>
        <w:t xml:space="preserve">Section </w:t>
      </w:r>
      <w:r w:rsidR="00B64D5D">
        <w:rPr>
          <w:rFonts w:ascii="Garamond" w:hAnsi="Garamond"/>
          <w:sz w:val="23"/>
          <w:szCs w:val="23"/>
        </w:rPr>
        <w:fldChar w:fldCharType="begin"/>
      </w:r>
      <w:r w:rsidR="00B64D5D">
        <w:rPr>
          <w:rFonts w:ascii="Garamond" w:hAnsi="Garamond"/>
          <w:sz w:val="23"/>
          <w:szCs w:val="23"/>
        </w:rPr>
        <w:instrText xml:space="preserve"> REF _Ref352604525 \r \h </w:instrText>
      </w:r>
      <w:r w:rsidR="00B64D5D">
        <w:rPr>
          <w:rFonts w:ascii="Garamond" w:hAnsi="Garamond"/>
          <w:sz w:val="23"/>
          <w:szCs w:val="23"/>
        </w:rPr>
      </w:r>
      <w:r w:rsidR="00B64D5D">
        <w:rPr>
          <w:rFonts w:ascii="Garamond" w:hAnsi="Garamond"/>
          <w:sz w:val="23"/>
          <w:szCs w:val="23"/>
        </w:rPr>
        <w:fldChar w:fldCharType="separate"/>
      </w:r>
      <w:r w:rsidR="00451FFF">
        <w:rPr>
          <w:rFonts w:ascii="Garamond" w:hAnsi="Garamond"/>
          <w:sz w:val="23"/>
          <w:szCs w:val="23"/>
        </w:rPr>
        <w:t>F</w:t>
      </w:r>
      <w:r w:rsidR="00B64D5D">
        <w:rPr>
          <w:rFonts w:ascii="Garamond" w:hAnsi="Garamond"/>
          <w:sz w:val="23"/>
          <w:szCs w:val="23"/>
        </w:rPr>
        <w:fldChar w:fldCharType="end"/>
      </w:r>
      <w:r w:rsidR="00B64D5D">
        <w:rPr>
          <w:rFonts w:ascii="Garamond" w:hAnsi="Garamond"/>
          <w:sz w:val="23"/>
          <w:szCs w:val="23"/>
        </w:rPr>
        <w:t>-</w:t>
      </w:r>
      <w:r w:rsidR="00B64D5D">
        <w:rPr>
          <w:rFonts w:ascii="Garamond" w:hAnsi="Garamond"/>
          <w:sz w:val="23"/>
          <w:szCs w:val="23"/>
        </w:rPr>
        <w:fldChar w:fldCharType="begin"/>
      </w:r>
      <w:r w:rsidR="00B64D5D">
        <w:rPr>
          <w:rFonts w:ascii="Garamond" w:hAnsi="Garamond"/>
          <w:sz w:val="23"/>
          <w:szCs w:val="23"/>
        </w:rPr>
        <w:instrText xml:space="preserve"> REF _Ref352936443 \r \h </w:instrText>
      </w:r>
      <w:r w:rsidR="00B64D5D">
        <w:rPr>
          <w:rFonts w:ascii="Garamond" w:hAnsi="Garamond"/>
          <w:sz w:val="23"/>
          <w:szCs w:val="23"/>
        </w:rPr>
      </w:r>
      <w:r w:rsidR="00B64D5D">
        <w:rPr>
          <w:rFonts w:ascii="Garamond" w:hAnsi="Garamond"/>
          <w:sz w:val="23"/>
          <w:szCs w:val="23"/>
        </w:rPr>
        <w:fldChar w:fldCharType="separate"/>
      </w:r>
      <w:r w:rsidR="00451FFF">
        <w:rPr>
          <w:rFonts w:ascii="Garamond" w:hAnsi="Garamond"/>
          <w:sz w:val="23"/>
          <w:szCs w:val="23"/>
        </w:rPr>
        <w:t>3</w:t>
      </w:r>
      <w:r w:rsidR="00B64D5D">
        <w:rPr>
          <w:rFonts w:ascii="Garamond" w:hAnsi="Garamond"/>
          <w:sz w:val="23"/>
          <w:szCs w:val="23"/>
        </w:rPr>
        <w:fldChar w:fldCharType="end"/>
      </w:r>
      <w:r w:rsidR="00B64D5D">
        <w:rPr>
          <w:rFonts w:ascii="Garamond" w:hAnsi="Garamond"/>
          <w:sz w:val="23"/>
          <w:szCs w:val="23"/>
        </w:rPr>
        <w:t xml:space="preserve"> for direct load control programs and Section </w:t>
      </w:r>
      <w:r w:rsidR="00B64D5D">
        <w:rPr>
          <w:rFonts w:ascii="Garamond" w:hAnsi="Garamond"/>
          <w:sz w:val="23"/>
          <w:szCs w:val="23"/>
        </w:rPr>
        <w:fldChar w:fldCharType="begin"/>
      </w:r>
      <w:r w:rsidR="00B64D5D">
        <w:rPr>
          <w:rFonts w:ascii="Garamond" w:hAnsi="Garamond"/>
          <w:sz w:val="23"/>
          <w:szCs w:val="23"/>
        </w:rPr>
        <w:instrText xml:space="preserve"> REF _Ref352604525 \r \h </w:instrText>
      </w:r>
      <w:r w:rsidR="00B64D5D">
        <w:rPr>
          <w:rFonts w:ascii="Garamond" w:hAnsi="Garamond"/>
          <w:sz w:val="23"/>
          <w:szCs w:val="23"/>
        </w:rPr>
      </w:r>
      <w:r w:rsidR="00B64D5D">
        <w:rPr>
          <w:rFonts w:ascii="Garamond" w:hAnsi="Garamond"/>
          <w:sz w:val="23"/>
          <w:szCs w:val="23"/>
        </w:rPr>
        <w:fldChar w:fldCharType="separate"/>
      </w:r>
      <w:r w:rsidR="00451FFF">
        <w:rPr>
          <w:rFonts w:ascii="Garamond" w:hAnsi="Garamond"/>
          <w:sz w:val="23"/>
          <w:szCs w:val="23"/>
        </w:rPr>
        <w:t>F</w:t>
      </w:r>
      <w:r w:rsidR="00B64D5D">
        <w:rPr>
          <w:rFonts w:ascii="Garamond" w:hAnsi="Garamond"/>
          <w:sz w:val="23"/>
          <w:szCs w:val="23"/>
        </w:rPr>
        <w:fldChar w:fldCharType="end"/>
      </w:r>
      <w:r w:rsidR="00B64D5D">
        <w:rPr>
          <w:rFonts w:ascii="Garamond" w:hAnsi="Garamond"/>
          <w:sz w:val="23"/>
          <w:szCs w:val="23"/>
        </w:rPr>
        <w:t>-</w:t>
      </w:r>
      <w:r w:rsidR="00B64D5D">
        <w:rPr>
          <w:rFonts w:ascii="Garamond" w:hAnsi="Garamond"/>
          <w:sz w:val="23"/>
          <w:szCs w:val="23"/>
        </w:rPr>
        <w:fldChar w:fldCharType="begin"/>
      </w:r>
      <w:r w:rsidR="00B64D5D">
        <w:rPr>
          <w:rFonts w:ascii="Garamond" w:hAnsi="Garamond"/>
          <w:sz w:val="23"/>
          <w:szCs w:val="23"/>
        </w:rPr>
        <w:instrText xml:space="preserve"> REF _Ref352936467 \r \h </w:instrText>
      </w:r>
      <w:r w:rsidR="00B64D5D">
        <w:rPr>
          <w:rFonts w:ascii="Garamond" w:hAnsi="Garamond"/>
          <w:sz w:val="23"/>
          <w:szCs w:val="23"/>
        </w:rPr>
      </w:r>
      <w:r w:rsidR="00B64D5D">
        <w:rPr>
          <w:rFonts w:ascii="Garamond" w:hAnsi="Garamond"/>
          <w:sz w:val="23"/>
          <w:szCs w:val="23"/>
        </w:rPr>
        <w:fldChar w:fldCharType="separate"/>
      </w:r>
      <w:r w:rsidR="00451FFF">
        <w:rPr>
          <w:rFonts w:ascii="Garamond" w:hAnsi="Garamond"/>
          <w:sz w:val="23"/>
          <w:szCs w:val="23"/>
        </w:rPr>
        <w:t>4</w:t>
      </w:r>
      <w:r w:rsidR="00B64D5D">
        <w:rPr>
          <w:rFonts w:ascii="Garamond" w:hAnsi="Garamond"/>
          <w:sz w:val="23"/>
          <w:szCs w:val="23"/>
        </w:rPr>
        <w:fldChar w:fldCharType="end"/>
      </w:r>
      <w:r w:rsidR="00B64D5D">
        <w:rPr>
          <w:rFonts w:ascii="Garamond" w:hAnsi="Garamond"/>
          <w:sz w:val="23"/>
          <w:szCs w:val="23"/>
        </w:rPr>
        <w:t xml:space="preserve"> for load curtailment programs.</w:t>
      </w:r>
    </w:p>
    <w:p w:rsidR="00FB5EFD" w:rsidRPr="00F73D1B" w:rsidRDefault="00FB5EFD" w:rsidP="00F73D1B">
      <w:pPr>
        <w:pStyle w:val="Heading3"/>
        <w:numPr>
          <w:ilvl w:val="0"/>
          <w:numId w:val="36"/>
        </w:numPr>
      </w:pPr>
      <w:bookmarkStart w:id="86" w:name="_Ref352938209"/>
      <w:bookmarkStart w:id="87" w:name="_Toc355954908"/>
      <w:r w:rsidRPr="00F73D1B">
        <w:t xml:space="preserve">Generation Cost </w:t>
      </w:r>
      <w:r w:rsidR="006536B9">
        <w:t>Variation</w:t>
      </w:r>
      <w:bookmarkEnd w:id="86"/>
      <w:bookmarkEnd w:id="87"/>
    </w:p>
    <w:p w:rsidR="00FB5EFD" w:rsidRDefault="00297FB0" w:rsidP="00F73D1B">
      <w:pPr>
        <w:spacing w:line="240" w:lineRule="auto"/>
        <w:rPr>
          <w:rFonts w:ascii="Garamond" w:hAnsi="Garamond"/>
          <w:sz w:val="23"/>
          <w:szCs w:val="23"/>
        </w:rPr>
      </w:pPr>
      <w:r>
        <w:rPr>
          <w:rFonts w:ascii="Garamond" w:hAnsi="Garamond"/>
          <w:sz w:val="23"/>
          <w:szCs w:val="23"/>
        </w:rPr>
        <w:t>The base cas</w:t>
      </w:r>
      <w:r w:rsidR="001754FB">
        <w:rPr>
          <w:rFonts w:ascii="Garamond" w:hAnsi="Garamond"/>
          <w:sz w:val="23"/>
          <w:szCs w:val="23"/>
        </w:rPr>
        <w:t>e values for this sensitivity we</w:t>
      </w:r>
      <w:r>
        <w:rPr>
          <w:rFonts w:ascii="Garamond" w:hAnsi="Garamond"/>
          <w:sz w:val="23"/>
          <w:szCs w:val="23"/>
        </w:rPr>
        <w:t xml:space="preserve">re shown in </w:t>
      </w:r>
      <w:r>
        <w:rPr>
          <w:rFonts w:ascii="Garamond" w:hAnsi="Garamond"/>
          <w:sz w:val="23"/>
          <w:szCs w:val="23"/>
        </w:rPr>
        <w:fldChar w:fldCharType="begin"/>
      </w:r>
      <w:r>
        <w:rPr>
          <w:rFonts w:ascii="Garamond" w:hAnsi="Garamond"/>
          <w:sz w:val="23"/>
          <w:szCs w:val="23"/>
        </w:rPr>
        <w:instrText xml:space="preserve"> REF _Ref352933003 \h </w:instrText>
      </w:r>
      <w:r>
        <w:rPr>
          <w:rFonts w:ascii="Garamond" w:hAnsi="Garamond"/>
          <w:sz w:val="23"/>
          <w:szCs w:val="23"/>
        </w:rPr>
      </w:r>
      <w:r>
        <w:rPr>
          <w:rFonts w:ascii="Garamond" w:hAnsi="Garamond"/>
          <w:sz w:val="23"/>
          <w:szCs w:val="23"/>
        </w:rPr>
        <w:fldChar w:fldCharType="separate"/>
      </w:r>
      <w:r w:rsidR="00451FFF" w:rsidRPr="00956E89">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2</w:t>
      </w:r>
      <w:r>
        <w:rPr>
          <w:rFonts w:ascii="Garamond" w:hAnsi="Garamond"/>
          <w:sz w:val="23"/>
          <w:szCs w:val="23"/>
        </w:rPr>
        <w:fldChar w:fldCharType="end"/>
      </w:r>
      <w:r>
        <w:rPr>
          <w:rFonts w:ascii="Garamond" w:hAnsi="Garamond"/>
          <w:sz w:val="23"/>
          <w:szCs w:val="23"/>
        </w:rPr>
        <w:t>. However, t</w:t>
      </w:r>
      <w:r w:rsidR="008C0A96">
        <w:rPr>
          <w:rFonts w:ascii="Garamond" w:hAnsi="Garamond"/>
          <w:sz w:val="23"/>
          <w:szCs w:val="23"/>
        </w:rPr>
        <w:t>he a</w:t>
      </w:r>
      <w:r w:rsidR="00FB5EFD" w:rsidRPr="00F73D1B">
        <w:rPr>
          <w:rFonts w:ascii="Garamond" w:hAnsi="Garamond"/>
          <w:sz w:val="23"/>
          <w:szCs w:val="23"/>
        </w:rPr>
        <w:t xml:space="preserve">voided </w:t>
      </w:r>
      <w:r w:rsidR="008C0A96">
        <w:rPr>
          <w:rFonts w:ascii="Garamond" w:hAnsi="Garamond"/>
          <w:sz w:val="23"/>
          <w:szCs w:val="23"/>
        </w:rPr>
        <w:t xml:space="preserve">cost of </w:t>
      </w:r>
      <w:r w:rsidR="00FB5EFD" w:rsidRPr="00F73D1B">
        <w:rPr>
          <w:rFonts w:ascii="Garamond" w:hAnsi="Garamond"/>
          <w:sz w:val="23"/>
          <w:szCs w:val="23"/>
        </w:rPr>
        <w:t xml:space="preserve">generation capacity </w:t>
      </w:r>
      <w:r w:rsidR="008C0A96">
        <w:rPr>
          <w:rFonts w:ascii="Garamond" w:hAnsi="Garamond"/>
          <w:sz w:val="23"/>
          <w:szCs w:val="23"/>
        </w:rPr>
        <w:t>changes annually</w:t>
      </w:r>
      <w:r w:rsidR="00FB5EFD" w:rsidRPr="00F73D1B">
        <w:rPr>
          <w:rFonts w:ascii="Garamond" w:hAnsi="Garamond"/>
          <w:sz w:val="23"/>
          <w:szCs w:val="23"/>
        </w:rPr>
        <w:t xml:space="preserve"> in </w:t>
      </w:r>
      <w:r w:rsidRPr="00F73D1B">
        <w:rPr>
          <w:rFonts w:ascii="Garamond" w:hAnsi="Garamond"/>
          <w:sz w:val="23"/>
          <w:szCs w:val="23"/>
        </w:rPr>
        <w:t>PJM</w:t>
      </w:r>
      <w:r w:rsidR="00FB5EFD" w:rsidRPr="00F73D1B">
        <w:rPr>
          <w:rFonts w:ascii="Garamond" w:hAnsi="Garamond"/>
          <w:sz w:val="23"/>
          <w:szCs w:val="23"/>
        </w:rPr>
        <w:t xml:space="preserve"> and can potentially vary significantly</w:t>
      </w:r>
      <w:r>
        <w:rPr>
          <w:rFonts w:ascii="Garamond" w:hAnsi="Garamond"/>
          <w:sz w:val="23"/>
          <w:szCs w:val="23"/>
        </w:rPr>
        <w:t xml:space="preserve"> from year to year. </w:t>
      </w:r>
      <w:r w:rsidR="00FB5EFD" w:rsidRPr="00F73D1B">
        <w:rPr>
          <w:rFonts w:ascii="Garamond" w:hAnsi="Garamond"/>
          <w:sz w:val="23"/>
          <w:szCs w:val="23"/>
        </w:rPr>
        <w:t xml:space="preserve">In PJM’s zonal capacity prices for 2012 through 2015, prices range from $6.11 to $89.46.  Therefore, to capture the potential for such a wide range of avoided generation capacity costs, the SWE conducted </w:t>
      </w:r>
      <w:r w:rsidR="006536B9">
        <w:rPr>
          <w:rFonts w:ascii="Garamond" w:hAnsi="Garamond"/>
          <w:sz w:val="23"/>
          <w:szCs w:val="23"/>
        </w:rPr>
        <w:t>a sensitivity analysis</w:t>
      </w:r>
      <w:r w:rsidR="006536B9" w:rsidRPr="00F73D1B">
        <w:rPr>
          <w:rFonts w:ascii="Garamond" w:hAnsi="Garamond"/>
          <w:sz w:val="23"/>
          <w:szCs w:val="23"/>
        </w:rPr>
        <w:t xml:space="preserve"> </w:t>
      </w:r>
      <w:r w:rsidR="00FB5EFD" w:rsidRPr="00F73D1B">
        <w:rPr>
          <w:rFonts w:ascii="Garamond" w:hAnsi="Garamond"/>
          <w:sz w:val="23"/>
          <w:szCs w:val="23"/>
        </w:rPr>
        <w:t>with avoided capacity costs of $6 per k</w:t>
      </w:r>
      <w:r w:rsidR="008C0A96">
        <w:rPr>
          <w:rFonts w:ascii="Garamond" w:hAnsi="Garamond"/>
          <w:sz w:val="23"/>
          <w:szCs w:val="23"/>
        </w:rPr>
        <w:t xml:space="preserve">W-year and $90 per kW-year. </w:t>
      </w:r>
      <w:r w:rsidR="00FB5EFD" w:rsidRPr="00F73D1B">
        <w:rPr>
          <w:rFonts w:ascii="Garamond" w:hAnsi="Garamond"/>
          <w:sz w:val="23"/>
          <w:szCs w:val="23"/>
        </w:rPr>
        <w:t>As capacity tightens in a given region, prices would be expected to approach the high end of this range.</w:t>
      </w:r>
      <w:r w:rsidR="008C0A96">
        <w:rPr>
          <w:rFonts w:ascii="Garamond" w:hAnsi="Garamond"/>
          <w:sz w:val="23"/>
          <w:szCs w:val="23"/>
        </w:rPr>
        <w:t xml:space="preserve"> As coal generation resources are retired in favor of natural gas turbines, the value of generation capacity will </w:t>
      </w:r>
      <w:r w:rsidR="008C0A96">
        <w:rPr>
          <w:rFonts w:ascii="Garamond" w:hAnsi="Garamond"/>
          <w:sz w:val="23"/>
          <w:szCs w:val="23"/>
        </w:rPr>
        <w:lastRenderedPageBreak/>
        <w:t>become increasingly dependent on the market price of natural gas</w:t>
      </w:r>
      <w:r w:rsidR="00B82F27">
        <w:rPr>
          <w:rFonts w:ascii="Garamond" w:hAnsi="Garamond"/>
          <w:sz w:val="23"/>
          <w:szCs w:val="23"/>
        </w:rPr>
        <w:t xml:space="preserve"> and the capital cost of new natural gas units</w:t>
      </w:r>
      <w:r w:rsidR="008C0A96">
        <w:rPr>
          <w:rFonts w:ascii="Garamond" w:hAnsi="Garamond"/>
          <w:sz w:val="23"/>
          <w:szCs w:val="23"/>
        </w:rPr>
        <w:t>.</w:t>
      </w:r>
    </w:p>
    <w:p w:rsidR="005C4836" w:rsidRPr="00F73D1B" w:rsidRDefault="005C4836" w:rsidP="00F73D1B">
      <w:pPr>
        <w:spacing w:line="240" w:lineRule="auto"/>
        <w:rPr>
          <w:rFonts w:ascii="Garamond" w:hAnsi="Garamond"/>
          <w:sz w:val="23"/>
          <w:szCs w:val="23"/>
        </w:rPr>
      </w:pPr>
      <w:r>
        <w:rPr>
          <w:rFonts w:ascii="Garamond" w:hAnsi="Garamond"/>
          <w:sz w:val="23"/>
          <w:szCs w:val="23"/>
        </w:rPr>
        <w:t xml:space="preserve">The impact of varying the avoided cost of generation capacity on program TRC ratios are presented for DLC programs in </w:t>
      </w:r>
      <w:r>
        <w:rPr>
          <w:rFonts w:ascii="Garamond" w:hAnsi="Garamond"/>
          <w:sz w:val="23"/>
          <w:szCs w:val="23"/>
        </w:rPr>
        <w:fldChar w:fldCharType="begin"/>
      </w:r>
      <w:r>
        <w:rPr>
          <w:rFonts w:ascii="Garamond" w:hAnsi="Garamond"/>
          <w:sz w:val="23"/>
          <w:szCs w:val="23"/>
        </w:rPr>
        <w:instrText xml:space="preserve"> REF _Ref352933693 \h </w:instrText>
      </w:r>
      <w:r>
        <w:rPr>
          <w:rFonts w:ascii="Garamond" w:hAnsi="Garamond"/>
          <w:sz w:val="23"/>
          <w:szCs w:val="23"/>
        </w:rPr>
      </w:r>
      <w:r>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1</w:t>
      </w:r>
      <w:r>
        <w:rPr>
          <w:rFonts w:ascii="Garamond" w:hAnsi="Garamond"/>
          <w:sz w:val="23"/>
          <w:szCs w:val="23"/>
        </w:rPr>
        <w:fldChar w:fldCharType="end"/>
      </w:r>
      <w:r>
        <w:rPr>
          <w:rFonts w:ascii="Garamond" w:hAnsi="Garamond"/>
          <w:sz w:val="23"/>
          <w:szCs w:val="23"/>
        </w:rPr>
        <w:t xml:space="preserve"> and for load curtailment programs in </w:t>
      </w:r>
      <w:r>
        <w:rPr>
          <w:rFonts w:ascii="Garamond" w:hAnsi="Garamond"/>
          <w:sz w:val="23"/>
          <w:szCs w:val="23"/>
        </w:rPr>
        <w:fldChar w:fldCharType="begin"/>
      </w:r>
      <w:r>
        <w:rPr>
          <w:rFonts w:ascii="Garamond" w:hAnsi="Garamond"/>
          <w:sz w:val="23"/>
          <w:szCs w:val="23"/>
        </w:rPr>
        <w:instrText xml:space="preserve"> REF _Ref352341682 \h </w:instrText>
      </w:r>
      <w:r>
        <w:rPr>
          <w:rFonts w:ascii="Garamond" w:hAnsi="Garamond"/>
          <w:sz w:val="23"/>
          <w:szCs w:val="23"/>
        </w:rPr>
      </w:r>
      <w:r>
        <w:rPr>
          <w:rFonts w:ascii="Garamond" w:hAnsi="Garamond"/>
          <w:sz w:val="23"/>
          <w:szCs w:val="23"/>
        </w:rPr>
        <w:fldChar w:fldCharType="separate"/>
      </w:r>
      <w:r w:rsidR="00451FFF" w:rsidRPr="004F4566">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7</w:t>
      </w:r>
      <w:r>
        <w:rPr>
          <w:rFonts w:ascii="Garamond" w:hAnsi="Garamond"/>
          <w:sz w:val="23"/>
          <w:szCs w:val="23"/>
        </w:rPr>
        <w:fldChar w:fldCharType="end"/>
      </w:r>
      <w:r>
        <w:rPr>
          <w:rFonts w:ascii="Garamond" w:hAnsi="Garamond"/>
          <w:sz w:val="23"/>
          <w:szCs w:val="23"/>
        </w:rPr>
        <w:t xml:space="preserve">. </w:t>
      </w:r>
    </w:p>
    <w:p w:rsidR="00FB5EFD" w:rsidRPr="00F73D1B" w:rsidRDefault="00FB5EFD" w:rsidP="00FB5EFD">
      <w:pPr>
        <w:pStyle w:val="Heading3"/>
      </w:pPr>
      <w:bookmarkStart w:id="88" w:name="_Ref352938529"/>
      <w:bookmarkStart w:id="89" w:name="_Toc355954909"/>
      <w:r w:rsidRPr="00F73D1B">
        <w:t xml:space="preserve">T&amp;D Cost </w:t>
      </w:r>
      <w:r w:rsidR="006536B9">
        <w:t>Variation</w:t>
      </w:r>
      <w:bookmarkEnd w:id="88"/>
      <w:bookmarkEnd w:id="89"/>
    </w:p>
    <w:p w:rsidR="00FB5EFD" w:rsidRDefault="00FB5EFD" w:rsidP="00F73D1B">
      <w:pPr>
        <w:spacing w:line="240" w:lineRule="auto"/>
        <w:rPr>
          <w:rFonts w:ascii="Garamond" w:hAnsi="Garamond"/>
          <w:sz w:val="23"/>
          <w:szCs w:val="23"/>
        </w:rPr>
      </w:pPr>
      <w:r w:rsidRPr="00F73D1B">
        <w:rPr>
          <w:rFonts w:ascii="Garamond" w:hAnsi="Garamond"/>
          <w:sz w:val="23"/>
          <w:szCs w:val="23"/>
        </w:rPr>
        <w:t>As described earlier, estimating avoided T&amp;D costs can be chal</w:t>
      </w:r>
      <w:r w:rsidR="008C0A96">
        <w:rPr>
          <w:rFonts w:ascii="Garamond" w:hAnsi="Garamond"/>
          <w:sz w:val="23"/>
          <w:szCs w:val="23"/>
        </w:rPr>
        <w:t xml:space="preserve">lenging. </w:t>
      </w:r>
      <w:r w:rsidRPr="00F73D1B">
        <w:rPr>
          <w:rFonts w:ascii="Garamond" w:hAnsi="Garamond"/>
          <w:sz w:val="23"/>
          <w:szCs w:val="23"/>
        </w:rPr>
        <w:t>Some utilities, in order to develop a conservative TRC analysis, might assign no additional benefit for T&amp;D savings.  On the high end, it has been SWE’s experience that avoided T&amp;D costs typically do not exceed $50 per kW-year.  Therefore, the s</w:t>
      </w:r>
      <w:r w:rsidR="008C0A96">
        <w:rPr>
          <w:rFonts w:ascii="Garamond" w:hAnsi="Garamond"/>
          <w:sz w:val="23"/>
          <w:szCs w:val="23"/>
        </w:rPr>
        <w:t>ensitivity analysis</w:t>
      </w:r>
      <w:r w:rsidRPr="00F73D1B">
        <w:rPr>
          <w:rFonts w:ascii="Garamond" w:hAnsi="Garamond"/>
          <w:sz w:val="23"/>
          <w:szCs w:val="23"/>
        </w:rPr>
        <w:t xml:space="preserve"> include</w:t>
      </w:r>
      <w:r w:rsidR="008C0A96">
        <w:rPr>
          <w:rFonts w:ascii="Garamond" w:hAnsi="Garamond"/>
          <w:sz w:val="23"/>
          <w:szCs w:val="23"/>
        </w:rPr>
        <w:t xml:space="preserve">s a </w:t>
      </w:r>
      <w:r w:rsidR="00297FB0">
        <w:rPr>
          <w:rFonts w:ascii="Garamond" w:hAnsi="Garamond"/>
          <w:sz w:val="23"/>
          <w:szCs w:val="23"/>
        </w:rPr>
        <w:t xml:space="preserve">base case of $25/kW-year, a low case of </w:t>
      </w:r>
      <w:r w:rsidR="008C0A96">
        <w:rPr>
          <w:rFonts w:ascii="Garamond" w:hAnsi="Garamond"/>
          <w:sz w:val="23"/>
          <w:szCs w:val="23"/>
        </w:rPr>
        <w:t>$0</w:t>
      </w:r>
      <w:r w:rsidR="00297FB0">
        <w:rPr>
          <w:rFonts w:ascii="Garamond" w:hAnsi="Garamond"/>
          <w:sz w:val="23"/>
          <w:szCs w:val="23"/>
        </w:rPr>
        <w:t>/kW-year and a</w:t>
      </w:r>
      <w:r w:rsidR="008C0A96">
        <w:rPr>
          <w:rFonts w:ascii="Garamond" w:hAnsi="Garamond"/>
          <w:sz w:val="23"/>
          <w:szCs w:val="23"/>
        </w:rPr>
        <w:t xml:space="preserve"> </w:t>
      </w:r>
      <w:r w:rsidR="00297FB0">
        <w:rPr>
          <w:rFonts w:ascii="Garamond" w:hAnsi="Garamond"/>
          <w:sz w:val="23"/>
          <w:szCs w:val="23"/>
        </w:rPr>
        <w:t xml:space="preserve">high case of </w:t>
      </w:r>
      <w:r w:rsidR="008C0A96">
        <w:rPr>
          <w:rFonts w:ascii="Garamond" w:hAnsi="Garamond"/>
          <w:sz w:val="23"/>
          <w:szCs w:val="23"/>
        </w:rPr>
        <w:t>$50</w:t>
      </w:r>
      <w:r w:rsidR="00297FB0">
        <w:rPr>
          <w:rFonts w:ascii="Garamond" w:hAnsi="Garamond"/>
          <w:sz w:val="23"/>
          <w:szCs w:val="23"/>
        </w:rPr>
        <w:t>/kW-year</w:t>
      </w:r>
      <w:r w:rsidR="008C0A96">
        <w:rPr>
          <w:rFonts w:ascii="Garamond" w:hAnsi="Garamond"/>
          <w:sz w:val="23"/>
          <w:szCs w:val="23"/>
        </w:rPr>
        <w:t xml:space="preserve">. </w:t>
      </w:r>
    </w:p>
    <w:p w:rsidR="005C4836" w:rsidRPr="00F73D1B" w:rsidRDefault="005C4836" w:rsidP="00F73D1B">
      <w:pPr>
        <w:spacing w:line="240" w:lineRule="auto"/>
        <w:rPr>
          <w:rFonts w:ascii="Garamond" w:hAnsi="Garamond"/>
          <w:sz w:val="23"/>
          <w:szCs w:val="23"/>
        </w:rPr>
      </w:pPr>
      <w:r>
        <w:rPr>
          <w:rFonts w:ascii="Garamond" w:hAnsi="Garamond"/>
          <w:sz w:val="23"/>
          <w:szCs w:val="23"/>
        </w:rPr>
        <w:t xml:space="preserve">The impact of varying the value of avoided transmission and distribution benefits are presented for DLC programs in </w:t>
      </w:r>
      <w:r>
        <w:rPr>
          <w:rFonts w:ascii="Garamond" w:hAnsi="Garamond"/>
          <w:sz w:val="23"/>
          <w:szCs w:val="23"/>
        </w:rPr>
        <w:fldChar w:fldCharType="begin"/>
      </w:r>
      <w:r>
        <w:rPr>
          <w:rFonts w:ascii="Garamond" w:hAnsi="Garamond"/>
          <w:sz w:val="23"/>
          <w:szCs w:val="23"/>
        </w:rPr>
        <w:instrText xml:space="preserve"> REF _Ref352933897 \h </w:instrText>
      </w:r>
      <w:r>
        <w:rPr>
          <w:rFonts w:ascii="Garamond" w:hAnsi="Garamond"/>
          <w:sz w:val="23"/>
          <w:szCs w:val="23"/>
        </w:rPr>
      </w:r>
      <w:r>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2</w:t>
      </w:r>
      <w:r>
        <w:rPr>
          <w:rFonts w:ascii="Garamond" w:hAnsi="Garamond"/>
          <w:sz w:val="23"/>
          <w:szCs w:val="23"/>
        </w:rPr>
        <w:fldChar w:fldCharType="end"/>
      </w:r>
      <w:r>
        <w:rPr>
          <w:rFonts w:ascii="Garamond" w:hAnsi="Garamond"/>
          <w:sz w:val="23"/>
          <w:szCs w:val="23"/>
        </w:rPr>
        <w:t xml:space="preserve"> and for load curtailment</w:t>
      </w:r>
      <w:r w:rsidR="00435AF5">
        <w:rPr>
          <w:rFonts w:ascii="Garamond" w:hAnsi="Garamond"/>
          <w:sz w:val="23"/>
          <w:szCs w:val="23"/>
        </w:rPr>
        <w:t xml:space="preserve"> in </w:t>
      </w:r>
      <w:r w:rsidR="00435AF5">
        <w:rPr>
          <w:rFonts w:ascii="Garamond" w:hAnsi="Garamond"/>
          <w:sz w:val="23"/>
          <w:szCs w:val="23"/>
        </w:rPr>
        <w:fldChar w:fldCharType="begin"/>
      </w:r>
      <w:r w:rsidR="00435AF5">
        <w:rPr>
          <w:rFonts w:ascii="Garamond" w:hAnsi="Garamond"/>
          <w:sz w:val="23"/>
          <w:szCs w:val="23"/>
        </w:rPr>
        <w:instrText xml:space="preserve"> REF _Ref352935249 \h </w:instrText>
      </w:r>
      <w:r w:rsidR="00435AF5">
        <w:rPr>
          <w:rFonts w:ascii="Garamond" w:hAnsi="Garamond"/>
          <w:sz w:val="23"/>
          <w:szCs w:val="23"/>
        </w:rPr>
      </w:r>
      <w:r w:rsidR="00435AF5">
        <w:rPr>
          <w:rFonts w:ascii="Garamond" w:hAnsi="Garamond"/>
          <w:sz w:val="23"/>
          <w:szCs w:val="23"/>
        </w:rPr>
        <w:fldChar w:fldCharType="separate"/>
      </w:r>
      <w:r w:rsidR="00451FFF" w:rsidRPr="00DA306A">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8</w:t>
      </w:r>
      <w:r w:rsidR="00435AF5">
        <w:rPr>
          <w:rFonts w:ascii="Garamond" w:hAnsi="Garamond"/>
          <w:sz w:val="23"/>
          <w:szCs w:val="23"/>
        </w:rPr>
        <w:fldChar w:fldCharType="end"/>
      </w:r>
      <w:r w:rsidR="00435AF5">
        <w:rPr>
          <w:rFonts w:ascii="Garamond" w:hAnsi="Garamond"/>
          <w:sz w:val="23"/>
          <w:szCs w:val="23"/>
        </w:rPr>
        <w:t>.</w:t>
      </w:r>
    </w:p>
    <w:p w:rsidR="00FB5EFD" w:rsidRPr="00F73D1B" w:rsidRDefault="00FB5EFD" w:rsidP="00FB5EFD">
      <w:pPr>
        <w:pStyle w:val="Heading3"/>
      </w:pPr>
      <w:bookmarkStart w:id="90" w:name="_Ref352937464"/>
      <w:bookmarkStart w:id="91" w:name="_Ref352938719"/>
      <w:bookmarkStart w:id="92" w:name="_Toc355954910"/>
      <w:r w:rsidRPr="00F73D1B">
        <w:t>Reduced Incentive Cost</w:t>
      </w:r>
      <w:bookmarkEnd w:id="90"/>
      <w:bookmarkEnd w:id="91"/>
      <w:bookmarkEnd w:id="92"/>
    </w:p>
    <w:p w:rsidR="00FB5EFD" w:rsidRDefault="00FB5EFD" w:rsidP="00F73D1B">
      <w:pPr>
        <w:spacing w:line="240" w:lineRule="auto"/>
        <w:rPr>
          <w:rFonts w:ascii="Garamond" w:hAnsi="Garamond"/>
          <w:sz w:val="23"/>
          <w:szCs w:val="23"/>
        </w:rPr>
      </w:pPr>
      <w:r w:rsidRPr="00F73D1B">
        <w:rPr>
          <w:rFonts w:ascii="Garamond" w:hAnsi="Garamond"/>
          <w:sz w:val="23"/>
          <w:szCs w:val="23"/>
        </w:rPr>
        <w:t xml:space="preserve">Including incentives </w:t>
      </w:r>
      <w:r w:rsidR="00EE4B82">
        <w:rPr>
          <w:rFonts w:ascii="Garamond" w:hAnsi="Garamond"/>
          <w:sz w:val="23"/>
          <w:szCs w:val="23"/>
        </w:rPr>
        <w:t xml:space="preserve">as a cost </w:t>
      </w:r>
      <w:r w:rsidRPr="00F73D1B">
        <w:rPr>
          <w:rFonts w:ascii="Garamond" w:hAnsi="Garamond"/>
          <w:sz w:val="23"/>
          <w:szCs w:val="23"/>
        </w:rPr>
        <w:t xml:space="preserve">in the TRC test makes an implicit assumption that the incentive represents the economic value the participant puts on the discomfort or qualitative costs they incur </w:t>
      </w:r>
      <w:r w:rsidR="00EE4B82">
        <w:rPr>
          <w:rFonts w:ascii="Garamond" w:hAnsi="Garamond"/>
          <w:sz w:val="23"/>
          <w:szCs w:val="23"/>
        </w:rPr>
        <w:t xml:space="preserve">to participate in the program. </w:t>
      </w:r>
      <w:r w:rsidRPr="00F73D1B">
        <w:rPr>
          <w:rFonts w:ascii="Garamond" w:hAnsi="Garamond"/>
          <w:sz w:val="23"/>
          <w:szCs w:val="23"/>
        </w:rPr>
        <w:t xml:space="preserve">Therefore, the incentive becomes </w:t>
      </w:r>
      <w:r w:rsidR="00297FB0">
        <w:rPr>
          <w:rFonts w:ascii="Garamond" w:hAnsi="Garamond"/>
          <w:sz w:val="23"/>
          <w:szCs w:val="23"/>
        </w:rPr>
        <w:t xml:space="preserve">a proxy for participant costs. The base case TRC analysis presented in the report considers 100% of customer incentives as program costs as directed by the 2011 TRC Order. </w:t>
      </w:r>
      <w:r w:rsidRPr="00F73D1B">
        <w:rPr>
          <w:rFonts w:ascii="Garamond" w:hAnsi="Garamond"/>
          <w:sz w:val="23"/>
          <w:szCs w:val="23"/>
        </w:rPr>
        <w:t>In California, the standard practice is to use 75% of the incentives in the TRC test.  Therefore, the SWE has run such a scenario to discount the amount of incentive cost included in the TRC</w:t>
      </w:r>
      <w:r w:rsidR="00297FB0">
        <w:rPr>
          <w:rFonts w:ascii="Garamond" w:hAnsi="Garamond"/>
          <w:sz w:val="23"/>
          <w:szCs w:val="23"/>
        </w:rPr>
        <w:t xml:space="preserve"> costs</w:t>
      </w:r>
      <w:r w:rsidRPr="00F73D1B">
        <w:rPr>
          <w:rFonts w:ascii="Garamond" w:hAnsi="Garamond"/>
          <w:sz w:val="23"/>
          <w:szCs w:val="23"/>
        </w:rPr>
        <w:t>.</w:t>
      </w:r>
      <w:r w:rsidR="00D45691">
        <w:rPr>
          <w:rFonts w:ascii="Garamond" w:hAnsi="Garamond"/>
          <w:sz w:val="23"/>
          <w:szCs w:val="23"/>
        </w:rPr>
        <w:t xml:space="preserve"> One source of uncertainty surrounding this sensitivity is the distribution of EDC incentive payments between CSPs and program part</w:t>
      </w:r>
      <w:r w:rsidR="00982F43">
        <w:rPr>
          <w:rFonts w:ascii="Garamond" w:hAnsi="Garamond"/>
          <w:sz w:val="23"/>
          <w:szCs w:val="23"/>
        </w:rPr>
        <w:t>icipants. The SWE considered the entire incentive amount paid to CSPs subject to this sensitivity although CSPs are assumed to have retained a percentage of these payments in exchange for their services.</w:t>
      </w:r>
      <w:r w:rsidR="00297FB0">
        <w:rPr>
          <w:rFonts w:ascii="Garamond" w:hAnsi="Garamond"/>
          <w:sz w:val="23"/>
          <w:szCs w:val="23"/>
        </w:rPr>
        <w:t xml:space="preserve"> This sensitivity has a much greater impact on the perceived cost effectiveness of load curtailment programs compared to </w:t>
      </w:r>
      <w:r w:rsidR="005C4836">
        <w:rPr>
          <w:rFonts w:ascii="Garamond" w:hAnsi="Garamond"/>
          <w:sz w:val="23"/>
          <w:szCs w:val="23"/>
        </w:rPr>
        <w:t>DLC programs because incentives represent a much larger portion of the total program costs in load curtailment.</w:t>
      </w:r>
    </w:p>
    <w:p w:rsidR="00435AF5" w:rsidRPr="00F73D1B" w:rsidRDefault="00435AF5" w:rsidP="00F73D1B">
      <w:pPr>
        <w:spacing w:line="240" w:lineRule="auto"/>
        <w:rPr>
          <w:rFonts w:ascii="Garamond" w:hAnsi="Garamond"/>
          <w:sz w:val="23"/>
          <w:szCs w:val="23"/>
        </w:rPr>
      </w:pPr>
      <w:r>
        <w:rPr>
          <w:rFonts w:ascii="Garamond" w:hAnsi="Garamond"/>
          <w:sz w:val="23"/>
          <w:szCs w:val="23"/>
        </w:rPr>
        <w:t xml:space="preserve">The impact of varying the percentage of customer incentives included as costs in the TRC ratio are shown for DLC programs in </w:t>
      </w:r>
      <w:r>
        <w:rPr>
          <w:rFonts w:ascii="Garamond" w:hAnsi="Garamond"/>
          <w:sz w:val="23"/>
          <w:szCs w:val="23"/>
        </w:rPr>
        <w:fldChar w:fldCharType="begin"/>
      </w:r>
      <w:r>
        <w:rPr>
          <w:rFonts w:ascii="Garamond" w:hAnsi="Garamond"/>
          <w:sz w:val="23"/>
          <w:szCs w:val="23"/>
        </w:rPr>
        <w:instrText xml:space="preserve"> REF _Ref352935646 \h </w:instrText>
      </w:r>
      <w:r>
        <w:rPr>
          <w:rFonts w:ascii="Garamond" w:hAnsi="Garamond"/>
          <w:sz w:val="23"/>
          <w:szCs w:val="23"/>
        </w:rPr>
      </w:r>
      <w:r>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Pr>
          <w:rFonts w:ascii="Garamond" w:hAnsi="Garamond"/>
          <w:sz w:val="23"/>
          <w:szCs w:val="23"/>
        </w:rPr>
        <w:fldChar w:fldCharType="end"/>
      </w:r>
      <w:r>
        <w:rPr>
          <w:rFonts w:ascii="Garamond" w:hAnsi="Garamond"/>
          <w:sz w:val="23"/>
          <w:szCs w:val="23"/>
        </w:rPr>
        <w:t xml:space="preserve"> and for load curtailment programs in </w:t>
      </w:r>
      <w:r w:rsidRPr="00435AF5">
        <w:rPr>
          <w:rFonts w:ascii="Garamond" w:hAnsi="Garamond"/>
          <w:sz w:val="23"/>
          <w:szCs w:val="23"/>
        </w:rPr>
        <w:fldChar w:fldCharType="begin"/>
      </w:r>
      <w:r w:rsidRPr="00435AF5">
        <w:rPr>
          <w:rFonts w:ascii="Garamond" w:hAnsi="Garamond"/>
          <w:sz w:val="23"/>
          <w:szCs w:val="23"/>
        </w:rPr>
        <w:instrText xml:space="preserve"> REF _Ref352935663 \h </w:instrText>
      </w:r>
      <w:r>
        <w:rPr>
          <w:rFonts w:ascii="Garamond" w:hAnsi="Garamond"/>
          <w:sz w:val="23"/>
          <w:szCs w:val="23"/>
        </w:rPr>
        <w:instrText xml:space="preserve"> \* MERGEFORMAT </w:instrText>
      </w:r>
      <w:r w:rsidRPr="00435AF5">
        <w:rPr>
          <w:rFonts w:ascii="Garamond" w:hAnsi="Garamond"/>
          <w:sz w:val="23"/>
          <w:szCs w:val="23"/>
        </w:rPr>
      </w:r>
      <w:r w:rsidRPr="00435AF5">
        <w:rPr>
          <w:rFonts w:ascii="Garamond" w:hAnsi="Garamond"/>
          <w:sz w:val="23"/>
          <w:szCs w:val="23"/>
        </w:rPr>
        <w:fldChar w:fldCharType="separate"/>
      </w:r>
      <w:r w:rsidR="00451FFF" w:rsidRPr="00435AF5">
        <w:rPr>
          <w:rFonts w:ascii="Garamond" w:hAnsi="Garamond"/>
          <w:sz w:val="23"/>
          <w:szCs w:val="23"/>
        </w:rPr>
        <w:t xml:space="preserve">Figure </w:t>
      </w:r>
      <w:r w:rsidR="00451FFF">
        <w:rPr>
          <w:rFonts w:ascii="Garamond" w:hAnsi="Garamond"/>
          <w:noProof/>
          <w:sz w:val="23"/>
          <w:szCs w:val="23"/>
        </w:rPr>
        <w:t>F</w:t>
      </w:r>
      <w:r w:rsidR="00451FFF" w:rsidRPr="00435AF5">
        <w:rPr>
          <w:rFonts w:ascii="Garamond" w:hAnsi="Garamond"/>
          <w:noProof/>
          <w:sz w:val="23"/>
          <w:szCs w:val="23"/>
        </w:rPr>
        <w:noBreakHyphen/>
      </w:r>
      <w:r w:rsidR="00451FFF">
        <w:rPr>
          <w:rFonts w:ascii="Garamond" w:hAnsi="Garamond"/>
          <w:noProof/>
          <w:sz w:val="23"/>
          <w:szCs w:val="23"/>
        </w:rPr>
        <w:t>9</w:t>
      </w:r>
      <w:r w:rsidRPr="00435AF5">
        <w:rPr>
          <w:rFonts w:ascii="Garamond" w:hAnsi="Garamond"/>
          <w:sz w:val="23"/>
          <w:szCs w:val="23"/>
        </w:rPr>
        <w:fldChar w:fldCharType="end"/>
      </w:r>
      <w:r>
        <w:rPr>
          <w:rFonts w:ascii="Garamond" w:hAnsi="Garamond"/>
          <w:sz w:val="23"/>
          <w:szCs w:val="23"/>
        </w:rPr>
        <w:t>.</w:t>
      </w:r>
    </w:p>
    <w:p w:rsidR="00FB5EFD" w:rsidRPr="00F73D1B" w:rsidRDefault="00FB5EFD" w:rsidP="00FB5EFD">
      <w:pPr>
        <w:pStyle w:val="Heading3"/>
      </w:pPr>
      <w:bookmarkStart w:id="93" w:name="_Ref352937649"/>
      <w:bookmarkStart w:id="94" w:name="_Toc355954911"/>
      <w:r w:rsidRPr="00F73D1B">
        <w:t xml:space="preserve">Line Loss </w:t>
      </w:r>
      <w:r w:rsidR="006536B9">
        <w:t>Values</w:t>
      </w:r>
      <w:bookmarkEnd w:id="93"/>
      <w:bookmarkEnd w:id="94"/>
    </w:p>
    <w:p w:rsidR="00FB5EFD" w:rsidRDefault="00FB5EFD" w:rsidP="00F73D1B">
      <w:pPr>
        <w:spacing w:line="240" w:lineRule="auto"/>
        <w:rPr>
          <w:rFonts w:ascii="Garamond" w:hAnsi="Garamond"/>
          <w:sz w:val="23"/>
          <w:szCs w:val="23"/>
        </w:rPr>
      </w:pPr>
      <w:r w:rsidRPr="00F73D1B">
        <w:rPr>
          <w:rFonts w:ascii="Garamond" w:hAnsi="Garamond"/>
          <w:sz w:val="23"/>
          <w:szCs w:val="23"/>
        </w:rPr>
        <w:t xml:space="preserve">As described above, the </w:t>
      </w:r>
      <w:r w:rsidR="00EE4B82">
        <w:rPr>
          <w:rFonts w:ascii="Garamond" w:hAnsi="Garamond"/>
          <w:sz w:val="23"/>
          <w:szCs w:val="23"/>
        </w:rPr>
        <w:t>amount of transmission and distribution losses</w:t>
      </w:r>
      <w:r w:rsidRPr="00F73D1B">
        <w:rPr>
          <w:rFonts w:ascii="Garamond" w:hAnsi="Garamond"/>
          <w:sz w:val="23"/>
          <w:szCs w:val="23"/>
        </w:rPr>
        <w:t xml:space="preserve"> </w:t>
      </w:r>
      <w:r w:rsidR="00EE4B82">
        <w:rPr>
          <w:rFonts w:ascii="Garamond" w:hAnsi="Garamond"/>
          <w:sz w:val="23"/>
          <w:szCs w:val="23"/>
        </w:rPr>
        <w:t xml:space="preserve">which occurs during the top 100 hours </w:t>
      </w:r>
      <w:r w:rsidRPr="00F73D1B">
        <w:rPr>
          <w:rFonts w:ascii="Garamond" w:hAnsi="Garamond"/>
          <w:sz w:val="23"/>
          <w:szCs w:val="23"/>
        </w:rPr>
        <w:t>varies significantly</w:t>
      </w:r>
      <w:r w:rsidR="00EE4B82">
        <w:rPr>
          <w:rFonts w:ascii="Garamond" w:hAnsi="Garamond"/>
          <w:sz w:val="23"/>
          <w:szCs w:val="23"/>
        </w:rPr>
        <w:t xml:space="preserve"> across the state. </w:t>
      </w:r>
      <w:r w:rsidR="005C4836">
        <w:rPr>
          <w:rFonts w:ascii="Garamond" w:hAnsi="Garamond"/>
          <w:sz w:val="23"/>
          <w:szCs w:val="23"/>
        </w:rPr>
        <w:t xml:space="preserve">The base case scenario considered by the SWE was to utilize the line loss adjustment factor provided by each EDC for their top 100 hours of 2012. </w:t>
      </w:r>
      <w:r w:rsidR="005C4836" w:rsidRPr="00F73D1B">
        <w:rPr>
          <w:rFonts w:ascii="Garamond" w:hAnsi="Garamond"/>
          <w:sz w:val="23"/>
          <w:szCs w:val="23"/>
        </w:rPr>
        <w:t>The</w:t>
      </w:r>
      <w:r w:rsidR="005C4836">
        <w:rPr>
          <w:rFonts w:ascii="Garamond" w:hAnsi="Garamond"/>
          <w:sz w:val="23"/>
          <w:szCs w:val="23"/>
        </w:rPr>
        <w:t xml:space="preserve"> SWE also considered a low-case scenario of</w:t>
      </w:r>
      <w:r w:rsidR="005C4836" w:rsidRPr="00F73D1B">
        <w:rPr>
          <w:rFonts w:ascii="Garamond" w:hAnsi="Garamond"/>
          <w:sz w:val="23"/>
          <w:szCs w:val="23"/>
        </w:rPr>
        <w:t xml:space="preserve"> 4% and</w:t>
      </w:r>
      <w:r w:rsidR="005C4836">
        <w:rPr>
          <w:rFonts w:ascii="Garamond" w:hAnsi="Garamond"/>
          <w:sz w:val="23"/>
          <w:szCs w:val="23"/>
        </w:rPr>
        <w:t xml:space="preserve"> a high-case scenario of</w:t>
      </w:r>
      <w:r w:rsidR="005C4836" w:rsidRPr="00F73D1B">
        <w:rPr>
          <w:rFonts w:ascii="Garamond" w:hAnsi="Garamond"/>
          <w:sz w:val="23"/>
          <w:szCs w:val="23"/>
        </w:rPr>
        <w:t xml:space="preserve"> 25%.</w:t>
      </w:r>
      <w:r w:rsidR="005C4836">
        <w:rPr>
          <w:rFonts w:ascii="Garamond" w:hAnsi="Garamond"/>
          <w:sz w:val="23"/>
          <w:szCs w:val="23"/>
        </w:rPr>
        <w:t xml:space="preserve"> </w:t>
      </w:r>
      <w:r w:rsidR="006E0CE1">
        <w:rPr>
          <w:rFonts w:ascii="Garamond" w:hAnsi="Garamond"/>
          <w:sz w:val="23"/>
          <w:szCs w:val="23"/>
        </w:rPr>
        <w:t xml:space="preserve">Losses are proportionate to load, so it is important to note that if the top 100 hours protocol is abandoned and a smaller subset of hours is used to assess peak demand reductions in future phases of Act 129, line loss factors would likely increase. </w:t>
      </w:r>
    </w:p>
    <w:p w:rsidR="00435AF5" w:rsidRPr="00F73D1B" w:rsidRDefault="00435AF5" w:rsidP="00F73D1B">
      <w:pPr>
        <w:spacing w:line="240" w:lineRule="auto"/>
        <w:rPr>
          <w:rFonts w:ascii="Garamond" w:hAnsi="Garamond"/>
          <w:sz w:val="23"/>
          <w:szCs w:val="23"/>
        </w:rPr>
      </w:pPr>
      <w:r>
        <w:rPr>
          <w:rFonts w:ascii="Garamond" w:hAnsi="Garamond"/>
          <w:sz w:val="23"/>
          <w:szCs w:val="23"/>
        </w:rPr>
        <w:t xml:space="preserve">The impact of </w:t>
      </w:r>
      <w:r w:rsidR="00B364FB">
        <w:rPr>
          <w:rFonts w:ascii="Garamond" w:hAnsi="Garamond"/>
          <w:sz w:val="23"/>
          <w:szCs w:val="23"/>
        </w:rPr>
        <w:t xml:space="preserve">varying the line loss adjustment factor on TRC ratios are shown for DLC in </w:t>
      </w:r>
      <w:r w:rsidR="00B364FB">
        <w:rPr>
          <w:rFonts w:ascii="Garamond" w:hAnsi="Garamond"/>
          <w:sz w:val="23"/>
          <w:szCs w:val="23"/>
        </w:rPr>
        <w:fldChar w:fldCharType="begin"/>
      </w:r>
      <w:r w:rsidR="00B364FB">
        <w:rPr>
          <w:rFonts w:ascii="Garamond" w:hAnsi="Garamond"/>
          <w:sz w:val="23"/>
          <w:szCs w:val="23"/>
        </w:rPr>
        <w:instrText xml:space="preserve"> REF _Ref352935912 \h </w:instrText>
      </w:r>
      <w:r w:rsidR="00B364FB">
        <w:rPr>
          <w:rFonts w:ascii="Garamond" w:hAnsi="Garamond"/>
          <w:sz w:val="23"/>
          <w:szCs w:val="23"/>
        </w:rPr>
      </w:r>
      <w:r w:rsidR="00B364FB">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4</w:t>
      </w:r>
      <w:r w:rsidR="00B364FB">
        <w:rPr>
          <w:rFonts w:ascii="Garamond" w:hAnsi="Garamond"/>
          <w:sz w:val="23"/>
          <w:szCs w:val="23"/>
        </w:rPr>
        <w:fldChar w:fldCharType="end"/>
      </w:r>
      <w:r w:rsidR="00B364FB">
        <w:rPr>
          <w:rFonts w:ascii="Garamond" w:hAnsi="Garamond"/>
          <w:sz w:val="23"/>
          <w:szCs w:val="23"/>
        </w:rPr>
        <w:t xml:space="preserve"> and for load curtailment in </w:t>
      </w:r>
      <w:r w:rsidR="00B364FB">
        <w:rPr>
          <w:rFonts w:ascii="Garamond" w:hAnsi="Garamond"/>
          <w:sz w:val="23"/>
          <w:szCs w:val="23"/>
        </w:rPr>
        <w:fldChar w:fldCharType="begin"/>
      </w:r>
      <w:r w:rsidR="00B364FB">
        <w:rPr>
          <w:rFonts w:ascii="Garamond" w:hAnsi="Garamond"/>
          <w:sz w:val="23"/>
          <w:szCs w:val="23"/>
        </w:rPr>
        <w:instrText xml:space="preserve"> REF _Ref352935925 \h </w:instrText>
      </w:r>
      <w:r w:rsidR="00B364FB">
        <w:rPr>
          <w:rFonts w:ascii="Garamond" w:hAnsi="Garamond"/>
          <w:sz w:val="23"/>
          <w:szCs w:val="23"/>
        </w:rPr>
      </w:r>
      <w:r w:rsidR="00B364FB">
        <w:rPr>
          <w:rFonts w:ascii="Garamond" w:hAnsi="Garamond"/>
          <w:sz w:val="23"/>
          <w:szCs w:val="23"/>
        </w:rPr>
        <w:fldChar w:fldCharType="separate"/>
      </w:r>
      <w:r w:rsidR="00451FFF" w:rsidRPr="00182255">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10</w:t>
      </w:r>
      <w:r w:rsidR="00B364FB">
        <w:rPr>
          <w:rFonts w:ascii="Garamond" w:hAnsi="Garamond"/>
          <w:sz w:val="23"/>
          <w:szCs w:val="23"/>
        </w:rPr>
        <w:fldChar w:fldCharType="end"/>
      </w:r>
      <w:r w:rsidR="00B364FB">
        <w:rPr>
          <w:rFonts w:ascii="Garamond" w:hAnsi="Garamond"/>
          <w:sz w:val="23"/>
          <w:szCs w:val="23"/>
        </w:rPr>
        <w:t>.</w:t>
      </w:r>
    </w:p>
    <w:p w:rsidR="00FB5EFD" w:rsidRDefault="00FB5EFD" w:rsidP="00FB5EFD">
      <w:pPr>
        <w:pStyle w:val="Heading3"/>
      </w:pPr>
      <w:bookmarkStart w:id="95" w:name="_Ref352937479"/>
      <w:bookmarkStart w:id="96" w:name="_Toc355954912"/>
      <w:r>
        <w:t>Full Load Reduction</w:t>
      </w:r>
      <w:bookmarkEnd w:id="95"/>
      <w:bookmarkEnd w:id="96"/>
    </w:p>
    <w:p w:rsidR="00FB5EFD" w:rsidRDefault="00FB5EFD" w:rsidP="00F73D1B">
      <w:pPr>
        <w:spacing w:line="240" w:lineRule="auto"/>
        <w:rPr>
          <w:rFonts w:ascii="Garamond" w:hAnsi="Garamond"/>
          <w:sz w:val="23"/>
          <w:szCs w:val="23"/>
        </w:rPr>
      </w:pPr>
      <w:r w:rsidRPr="00F73D1B">
        <w:rPr>
          <w:rFonts w:ascii="Garamond" w:hAnsi="Garamond"/>
          <w:sz w:val="23"/>
          <w:szCs w:val="23"/>
        </w:rPr>
        <w:t xml:space="preserve">To </w:t>
      </w:r>
      <w:r w:rsidR="00193D88">
        <w:rPr>
          <w:rFonts w:ascii="Garamond" w:hAnsi="Garamond"/>
          <w:sz w:val="23"/>
          <w:szCs w:val="23"/>
        </w:rPr>
        <w:t>the extent that EDCs did not call</w:t>
      </w:r>
      <w:r w:rsidRPr="00F73D1B">
        <w:rPr>
          <w:rFonts w:ascii="Garamond" w:hAnsi="Garamond"/>
          <w:sz w:val="23"/>
          <w:szCs w:val="23"/>
        </w:rPr>
        <w:t xml:space="preserve"> direct load control </w:t>
      </w:r>
      <w:r w:rsidR="00193D88">
        <w:rPr>
          <w:rFonts w:ascii="Garamond" w:hAnsi="Garamond"/>
          <w:sz w:val="23"/>
          <w:szCs w:val="23"/>
        </w:rPr>
        <w:t>events during each of the top 100 hours,</w:t>
      </w:r>
      <w:r w:rsidRPr="00F73D1B">
        <w:rPr>
          <w:rFonts w:ascii="Garamond" w:hAnsi="Garamond"/>
          <w:sz w:val="23"/>
          <w:szCs w:val="23"/>
        </w:rPr>
        <w:t xml:space="preserve"> the </w:t>
      </w:r>
      <w:r w:rsidR="00193D88">
        <w:rPr>
          <w:rFonts w:ascii="Garamond" w:hAnsi="Garamond"/>
          <w:sz w:val="23"/>
          <w:szCs w:val="23"/>
        </w:rPr>
        <w:t>peak demand</w:t>
      </w:r>
      <w:r w:rsidRPr="00F73D1B">
        <w:rPr>
          <w:rFonts w:ascii="Garamond" w:hAnsi="Garamond"/>
          <w:sz w:val="23"/>
          <w:szCs w:val="23"/>
        </w:rPr>
        <w:t xml:space="preserve"> impact </w:t>
      </w:r>
      <w:r w:rsidR="00193D88">
        <w:rPr>
          <w:rFonts w:ascii="Garamond" w:hAnsi="Garamond"/>
          <w:sz w:val="23"/>
          <w:szCs w:val="23"/>
        </w:rPr>
        <w:t xml:space="preserve">of the program </w:t>
      </w:r>
      <w:r w:rsidRPr="00F73D1B">
        <w:rPr>
          <w:rFonts w:ascii="Garamond" w:hAnsi="Garamond"/>
          <w:sz w:val="23"/>
          <w:szCs w:val="23"/>
        </w:rPr>
        <w:t xml:space="preserve">is reduced because </w:t>
      </w:r>
      <w:r w:rsidR="00193D88">
        <w:rPr>
          <w:rFonts w:ascii="Garamond" w:hAnsi="Garamond"/>
          <w:sz w:val="23"/>
          <w:szCs w:val="23"/>
        </w:rPr>
        <w:t xml:space="preserve">a </w:t>
      </w:r>
      <w:r w:rsidRPr="00F73D1B">
        <w:rPr>
          <w:rFonts w:ascii="Garamond" w:hAnsi="Garamond"/>
          <w:sz w:val="23"/>
          <w:szCs w:val="23"/>
        </w:rPr>
        <w:t xml:space="preserve">0 kW </w:t>
      </w:r>
      <w:r w:rsidR="00193D88">
        <w:rPr>
          <w:rFonts w:ascii="Garamond" w:hAnsi="Garamond"/>
          <w:sz w:val="23"/>
          <w:szCs w:val="23"/>
        </w:rPr>
        <w:t xml:space="preserve">load </w:t>
      </w:r>
      <w:r w:rsidR="001754FB">
        <w:rPr>
          <w:rFonts w:ascii="Garamond" w:hAnsi="Garamond"/>
          <w:sz w:val="23"/>
          <w:szCs w:val="23"/>
        </w:rPr>
        <w:t>reduction</w:t>
      </w:r>
      <w:r w:rsidRPr="00F73D1B">
        <w:rPr>
          <w:rFonts w:ascii="Garamond" w:hAnsi="Garamond"/>
          <w:sz w:val="23"/>
          <w:szCs w:val="23"/>
        </w:rPr>
        <w:t xml:space="preserve"> </w:t>
      </w:r>
      <w:r w:rsidR="00193D88">
        <w:rPr>
          <w:rFonts w:ascii="Garamond" w:hAnsi="Garamond"/>
          <w:sz w:val="23"/>
          <w:szCs w:val="23"/>
        </w:rPr>
        <w:t xml:space="preserve">is averaged </w:t>
      </w:r>
      <w:r w:rsidRPr="00F73D1B">
        <w:rPr>
          <w:rFonts w:ascii="Garamond" w:hAnsi="Garamond"/>
          <w:sz w:val="23"/>
          <w:szCs w:val="23"/>
        </w:rPr>
        <w:t xml:space="preserve">in </w:t>
      </w:r>
      <w:r w:rsidR="00193D88">
        <w:rPr>
          <w:rFonts w:ascii="Garamond" w:hAnsi="Garamond"/>
          <w:sz w:val="23"/>
          <w:szCs w:val="23"/>
        </w:rPr>
        <w:t xml:space="preserve">for those hours. </w:t>
      </w:r>
      <w:r w:rsidRPr="00F73D1B">
        <w:rPr>
          <w:rFonts w:ascii="Garamond" w:hAnsi="Garamond"/>
          <w:sz w:val="23"/>
          <w:szCs w:val="23"/>
        </w:rPr>
        <w:t xml:space="preserve">To better assess the value of the amount of load the utility has under control, the SWE </w:t>
      </w:r>
      <w:r w:rsidR="006536B9">
        <w:rPr>
          <w:rFonts w:ascii="Garamond" w:hAnsi="Garamond"/>
          <w:sz w:val="23"/>
          <w:szCs w:val="23"/>
        </w:rPr>
        <w:t xml:space="preserve">team </w:t>
      </w:r>
      <w:r w:rsidRPr="00F73D1B">
        <w:rPr>
          <w:rFonts w:ascii="Garamond" w:hAnsi="Garamond"/>
          <w:sz w:val="23"/>
          <w:szCs w:val="23"/>
        </w:rPr>
        <w:t>ran a scenario for direct load control programs that assigned the full potential load r</w:t>
      </w:r>
      <w:r w:rsidR="00193D88">
        <w:rPr>
          <w:rFonts w:ascii="Garamond" w:hAnsi="Garamond"/>
          <w:sz w:val="23"/>
          <w:szCs w:val="23"/>
        </w:rPr>
        <w:t xml:space="preserve">eduction available to the EDC. </w:t>
      </w:r>
      <w:r w:rsidRPr="00F73D1B">
        <w:rPr>
          <w:rFonts w:ascii="Garamond" w:hAnsi="Garamond"/>
          <w:sz w:val="23"/>
          <w:szCs w:val="23"/>
        </w:rPr>
        <w:t>This full load is simply the avoided load per switch times the number of switches installed.</w:t>
      </w:r>
      <w:r w:rsidR="001754FB">
        <w:rPr>
          <w:rFonts w:ascii="Garamond" w:hAnsi="Garamond"/>
          <w:sz w:val="23"/>
          <w:szCs w:val="23"/>
        </w:rPr>
        <w:t xml:space="preserve"> This</w:t>
      </w:r>
      <w:r w:rsidR="00193D88">
        <w:rPr>
          <w:rFonts w:ascii="Garamond" w:hAnsi="Garamond"/>
          <w:sz w:val="23"/>
          <w:szCs w:val="23"/>
        </w:rPr>
        <w:t xml:space="preserve"> </w:t>
      </w:r>
      <w:r w:rsidR="00193D88">
        <w:rPr>
          <w:rFonts w:ascii="Garamond" w:hAnsi="Garamond"/>
          <w:sz w:val="23"/>
          <w:szCs w:val="23"/>
        </w:rPr>
        <w:lastRenderedPageBreak/>
        <w:t>approach is consistent with how DLC programs are valued in other states and ISOs and how a DLC program would likely be administered in future phases of Act 129.</w:t>
      </w:r>
    </w:p>
    <w:p w:rsidR="00B364FB" w:rsidRPr="00F73D1B" w:rsidRDefault="00B364FB" w:rsidP="00F73D1B">
      <w:pPr>
        <w:spacing w:line="240" w:lineRule="auto"/>
        <w:rPr>
          <w:rFonts w:ascii="Garamond" w:hAnsi="Garamond"/>
          <w:sz w:val="23"/>
          <w:szCs w:val="23"/>
        </w:rPr>
      </w:pPr>
      <w:r>
        <w:rPr>
          <w:rFonts w:ascii="Garamond" w:hAnsi="Garamond"/>
          <w:sz w:val="23"/>
          <w:szCs w:val="23"/>
        </w:rPr>
        <w:t xml:space="preserve">This sensitivity was only considered for direct load control programs and the estimated impact on a program’s TRC ratio is shown in </w:t>
      </w:r>
      <w:r>
        <w:rPr>
          <w:rFonts w:ascii="Garamond" w:hAnsi="Garamond"/>
          <w:sz w:val="23"/>
          <w:szCs w:val="23"/>
        </w:rPr>
        <w:fldChar w:fldCharType="begin"/>
      </w:r>
      <w:r>
        <w:rPr>
          <w:rFonts w:ascii="Garamond" w:hAnsi="Garamond"/>
          <w:sz w:val="23"/>
          <w:szCs w:val="23"/>
        </w:rPr>
        <w:instrText xml:space="preserve"> REF _Ref352935646 \h </w:instrText>
      </w:r>
      <w:r>
        <w:rPr>
          <w:rFonts w:ascii="Garamond" w:hAnsi="Garamond"/>
          <w:sz w:val="23"/>
          <w:szCs w:val="23"/>
        </w:rPr>
      </w:r>
      <w:r>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Pr>
          <w:rFonts w:ascii="Garamond" w:hAnsi="Garamond"/>
          <w:sz w:val="23"/>
          <w:szCs w:val="23"/>
        </w:rPr>
        <w:fldChar w:fldCharType="end"/>
      </w:r>
      <w:r>
        <w:rPr>
          <w:rFonts w:ascii="Garamond" w:hAnsi="Garamond"/>
          <w:sz w:val="23"/>
          <w:szCs w:val="23"/>
        </w:rPr>
        <w:t>.</w:t>
      </w:r>
    </w:p>
    <w:p w:rsidR="002E5111" w:rsidRDefault="002E5111" w:rsidP="002E5111">
      <w:pPr>
        <w:pStyle w:val="Heading3"/>
      </w:pPr>
      <w:bookmarkStart w:id="97" w:name="_Ref352938949"/>
      <w:bookmarkStart w:id="98" w:name="_Toc355954913"/>
      <w:r>
        <w:t>Dual Enrollment</w:t>
      </w:r>
      <w:bookmarkEnd w:id="97"/>
      <w:bookmarkEnd w:id="98"/>
      <w:r>
        <w:t xml:space="preserve"> </w:t>
      </w:r>
    </w:p>
    <w:p w:rsidR="00B364FB" w:rsidRDefault="002E5111" w:rsidP="00F73D1B">
      <w:pPr>
        <w:spacing w:line="240" w:lineRule="auto"/>
        <w:rPr>
          <w:rFonts w:ascii="Garamond" w:hAnsi="Garamond"/>
          <w:sz w:val="23"/>
          <w:szCs w:val="23"/>
        </w:rPr>
      </w:pPr>
      <w:r>
        <w:rPr>
          <w:rFonts w:ascii="Garamond" w:hAnsi="Garamond"/>
          <w:sz w:val="23"/>
          <w:szCs w:val="23"/>
        </w:rPr>
        <w:t xml:space="preserve">The dual enrollment sensitivity </w:t>
      </w:r>
      <w:r w:rsidR="00AC15D8">
        <w:rPr>
          <w:rFonts w:ascii="Garamond" w:hAnsi="Garamond"/>
          <w:sz w:val="23"/>
          <w:szCs w:val="23"/>
        </w:rPr>
        <w:t xml:space="preserve">was only considered for non-residential Act 129 programs. </w:t>
      </w:r>
      <w:r w:rsidRPr="002E5111">
        <w:rPr>
          <w:rFonts w:ascii="Garamond" w:hAnsi="Garamond"/>
          <w:sz w:val="23"/>
          <w:szCs w:val="23"/>
        </w:rPr>
        <w:t xml:space="preserve">As part of the PJM Interconnection, Pennsylvania electric customers are eligible to participate as DR resources in the PJM capacity or energy markets. A significant number of commercial and industrial participants in Act 129 DR programs were also enrolled in the PJM markets in 2012. Section </w:t>
      </w:r>
      <w:r w:rsidRPr="002E5111">
        <w:rPr>
          <w:rFonts w:ascii="Garamond" w:hAnsi="Garamond"/>
          <w:sz w:val="23"/>
          <w:szCs w:val="23"/>
        </w:rPr>
        <w:fldChar w:fldCharType="begin"/>
      </w:r>
      <w:r w:rsidRPr="002E5111">
        <w:rPr>
          <w:rFonts w:ascii="Garamond" w:hAnsi="Garamond"/>
          <w:sz w:val="23"/>
          <w:szCs w:val="23"/>
        </w:rPr>
        <w:instrText xml:space="preserve"> REF _Ref343687753 \r \h  \* MERGEFORMAT </w:instrText>
      </w:r>
      <w:r w:rsidRPr="002E5111">
        <w:rPr>
          <w:rFonts w:ascii="Garamond" w:hAnsi="Garamond"/>
          <w:sz w:val="23"/>
          <w:szCs w:val="23"/>
        </w:rPr>
      </w:r>
      <w:r w:rsidRPr="002E5111">
        <w:rPr>
          <w:rFonts w:ascii="Garamond" w:hAnsi="Garamond"/>
          <w:sz w:val="23"/>
          <w:szCs w:val="23"/>
        </w:rPr>
        <w:fldChar w:fldCharType="separate"/>
      </w:r>
      <w:r w:rsidR="00451FFF">
        <w:rPr>
          <w:rFonts w:ascii="Garamond" w:hAnsi="Garamond"/>
          <w:sz w:val="23"/>
          <w:szCs w:val="23"/>
        </w:rPr>
        <w:t>E</w:t>
      </w:r>
      <w:r w:rsidRPr="002E5111">
        <w:rPr>
          <w:rFonts w:ascii="Garamond" w:hAnsi="Garamond"/>
          <w:sz w:val="23"/>
          <w:szCs w:val="23"/>
        </w:rPr>
        <w:fldChar w:fldCharType="end"/>
      </w:r>
      <w:r>
        <w:rPr>
          <w:rFonts w:ascii="Garamond" w:hAnsi="Garamond"/>
          <w:sz w:val="23"/>
          <w:szCs w:val="23"/>
        </w:rPr>
        <w:t xml:space="preserve"> of the report </w:t>
      </w:r>
      <w:r w:rsidR="00AC15D8">
        <w:rPr>
          <w:rFonts w:ascii="Garamond" w:hAnsi="Garamond"/>
          <w:sz w:val="23"/>
          <w:szCs w:val="23"/>
        </w:rPr>
        <w:t xml:space="preserve">introduced the concept of an Incremental Benefits Ratio and </w:t>
      </w:r>
      <w:r>
        <w:rPr>
          <w:rFonts w:ascii="Garamond" w:hAnsi="Garamond"/>
          <w:sz w:val="23"/>
          <w:szCs w:val="23"/>
        </w:rPr>
        <w:t>presented the methodology</w:t>
      </w:r>
      <w:r w:rsidRPr="002E5111">
        <w:rPr>
          <w:rFonts w:ascii="Garamond" w:hAnsi="Garamond"/>
          <w:sz w:val="23"/>
          <w:szCs w:val="23"/>
        </w:rPr>
        <w:t xml:space="preserve"> that the SWE used to examine dual participation of DR resources in the Act 129 and PJM programs. Overlapping </w:t>
      </w:r>
      <w:r w:rsidR="00AC15D8">
        <w:rPr>
          <w:rFonts w:ascii="Garamond" w:hAnsi="Garamond"/>
          <w:sz w:val="23"/>
          <w:szCs w:val="23"/>
        </w:rPr>
        <w:t>curtailment</w:t>
      </w:r>
      <w:r w:rsidRPr="002E5111">
        <w:rPr>
          <w:rFonts w:ascii="Garamond" w:hAnsi="Garamond"/>
          <w:sz w:val="23"/>
          <w:szCs w:val="23"/>
        </w:rPr>
        <w:t xml:space="preserve"> in Act 129 and PJM </w:t>
      </w:r>
      <w:r w:rsidR="00AC15D8">
        <w:rPr>
          <w:rFonts w:ascii="Garamond" w:hAnsi="Garamond"/>
          <w:sz w:val="23"/>
          <w:szCs w:val="23"/>
        </w:rPr>
        <w:t xml:space="preserve">Emergency </w:t>
      </w:r>
      <w:r w:rsidRPr="002E5111">
        <w:rPr>
          <w:rFonts w:ascii="Garamond" w:hAnsi="Garamond"/>
          <w:sz w:val="23"/>
          <w:szCs w:val="23"/>
        </w:rPr>
        <w:t>events was infrequent in 2012</w:t>
      </w:r>
      <w:r w:rsidR="00AC15D8">
        <w:rPr>
          <w:rFonts w:ascii="Garamond" w:hAnsi="Garamond"/>
          <w:sz w:val="23"/>
          <w:szCs w:val="23"/>
        </w:rPr>
        <w:t xml:space="preserve"> because PJM Emergency Load Response activity was only initiated on July 18</w:t>
      </w:r>
      <w:r w:rsidR="00AC15D8" w:rsidRPr="00AC15D8">
        <w:rPr>
          <w:rFonts w:ascii="Garamond" w:hAnsi="Garamond"/>
          <w:sz w:val="23"/>
          <w:szCs w:val="23"/>
          <w:vertAlign w:val="superscript"/>
        </w:rPr>
        <w:t>th</w:t>
      </w:r>
      <w:r w:rsidR="00AC15D8">
        <w:rPr>
          <w:rFonts w:ascii="Garamond" w:hAnsi="Garamond"/>
          <w:sz w:val="23"/>
          <w:szCs w:val="23"/>
        </w:rPr>
        <w:t>. In the base case, the Emergency Incremental Benefits Ratio was applied only to Act 129 impacts t</w:t>
      </w:r>
      <w:r w:rsidR="00345D26">
        <w:rPr>
          <w:rFonts w:ascii="Garamond" w:hAnsi="Garamond"/>
          <w:sz w:val="23"/>
          <w:szCs w:val="23"/>
        </w:rPr>
        <w:t>hat coincided with this event. The dual enrollment sensitivity applies the Emergency Incremental Benefits Ratio to all load reductions recorded by participants enrolled in the PJM Emergency Load Response Program. Approximately half of the statewide impacts from load curtailment programs in 2012 and p</w:t>
      </w:r>
      <w:r w:rsidRPr="002E5111">
        <w:rPr>
          <w:rFonts w:ascii="Garamond" w:hAnsi="Garamond"/>
          <w:sz w:val="23"/>
          <w:szCs w:val="23"/>
        </w:rPr>
        <w:t xml:space="preserve">articipant survey responses indicated that Act 129 programs should be allocated </w:t>
      </w:r>
      <w:r w:rsidR="00345D26">
        <w:rPr>
          <w:rFonts w:ascii="Garamond" w:hAnsi="Garamond"/>
          <w:sz w:val="23"/>
          <w:szCs w:val="23"/>
        </w:rPr>
        <w:t>63</w:t>
      </w:r>
      <w:r w:rsidRPr="002E5111">
        <w:rPr>
          <w:rFonts w:ascii="Garamond" w:hAnsi="Garamond"/>
          <w:sz w:val="23"/>
          <w:szCs w:val="23"/>
        </w:rPr>
        <w:t xml:space="preserve">% of the benefits when overlapping </w:t>
      </w:r>
      <w:r w:rsidR="00345D26">
        <w:rPr>
          <w:rFonts w:ascii="Garamond" w:hAnsi="Garamond"/>
          <w:sz w:val="23"/>
          <w:szCs w:val="23"/>
        </w:rPr>
        <w:t>participation</w:t>
      </w:r>
      <w:r w:rsidRPr="002E5111">
        <w:rPr>
          <w:rFonts w:ascii="Garamond" w:hAnsi="Garamond"/>
          <w:sz w:val="23"/>
          <w:szCs w:val="23"/>
        </w:rPr>
        <w:t xml:space="preserve"> is observed. As a result, the statewide DR benefits were reduced by </w:t>
      </w:r>
      <w:r w:rsidR="00345D26">
        <w:rPr>
          <w:rFonts w:ascii="Garamond" w:hAnsi="Garamond"/>
          <w:sz w:val="23"/>
          <w:szCs w:val="23"/>
        </w:rPr>
        <w:t>16.7</w:t>
      </w:r>
      <w:r w:rsidRPr="002E5111">
        <w:rPr>
          <w:rFonts w:ascii="Garamond" w:hAnsi="Garamond"/>
          <w:sz w:val="23"/>
          <w:szCs w:val="23"/>
        </w:rPr>
        <w:t xml:space="preserve">% in the </w:t>
      </w:r>
      <w:r w:rsidR="00345D26">
        <w:rPr>
          <w:rFonts w:ascii="Garamond" w:hAnsi="Garamond"/>
          <w:sz w:val="23"/>
          <w:szCs w:val="23"/>
        </w:rPr>
        <w:t>dual enrollment case compared to 8.2% in the SWE base case.</w:t>
      </w:r>
      <w:r w:rsidR="00AD036E">
        <w:rPr>
          <w:rFonts w:ascii="Garamond" w:hAnsi="Garamond"/>
          <w:sz w:val="23"/>
          <w:szCs w:val="23"/>
        </w:rPr>
        <w:t xml:space="preserve"> </w:t>
      </w:r>
      <w:r w:rsidR="00C224C4">
        <w:rPr>
          <w:rFonts w:ascii="Garamond" w:hAnsi="Garamond"/>
          <w:sz w:val="23"/>
          <w:szCs w:val="23"/>
        </w:rPr>
        <w:t xml:space="preserve">The estimated impact of this sensitivity on program TRC is presented in </w:t>
      </w:r>
      <w:r w:rsidR="00C224C4">
        <w:rPr>
          <w:rFonts w:ascii="Garamond" w:hAnsi="Garamond"/>
          <w:sz w:val="23"/>
          <w:szCs w:val="23"/>
        </w:rPr>
        <w:fldChar w:fldCharType="begin"/>
      </w:r>
      <w:r w:rsidR="00C224C4">
        <w:rPr>
          <w:rFonts w:ascii="Garamond" w:hAnsi="Garamond"/>
          <w:sz w:val="23"/>
          <w:szCs w:val="23"/>
        </w:rPr>
        <w:instrText xml:space="preserve"> REF _Ref352602380 \h </w:instrText>
      </w:r>
      <w:r w:rsidR="00C224C4">
        <w:rPr>
          <w:rFonts w:ascii="Garamond" w:hAnsi="Garamond"/>
          <w:sz w:val="23"/>
          <w:szCs w:val="23"/>
        </w:rPr>
      </w:r>
      <w:r w:rsidR="00C224C4">
        <w:rPr>
          <w:rFonts w:ascii="Garamond" w:hAnsi="Garamond"/>
          <w:sz w:val="23"/>
          <w:szCs w:val="23"/>
        </w:rPr>
        <w:fldChar w:fldCharType="separate"/>
      </w:r>
      <w:r w:rsidR="00451FFF" w:rsidRPr="00F45397">
        <w:rPr>
          <w:rFonts w:ascii="Garamond" w:hAnsi="Garamond"/>
          <w:sz w:val="23"/>
          <w:szCs w:val="23"/>
        </w:rPr>
        <w:t xml:space="preserve">Figure </w:t>
      </w:r>
      <w:r w:rsidR="00451FFF">
        <w:rPr>
          <w:rFonts w:ascii="Garamond" w:hAnsi="Garamond"/>
          <w:noProof/>
          <w:sz w:val="23"/>
          <w:szCs w:val="23"/>
        </w:rPr>
        <w:t>F</w:t>
      </w:r>
      <w:r w:rsidR="00451FFF" w:rsidRPr="00F45397">
        <w:rPr>
          <w:rFonts w:ascii="Garamond" w:hAnsi="Garamond"/>
          <w:sz w:val="23"/>
          <w:szCs w:val="23"/>
        </w:rPr>
        <w:noBreakHyphen/>
      </w:r>
      <w:r w:rsidR="00451FFF">
        <w:rPr>
          <w:rFonts w:ascii="Garamond" w:hAnsi="Garamond"/>
          <w:noProof/>
          <w:sz w:val="23"/>
          <w:szCs w:val="23"/>
        </w:rPr>
        <w:t>11</w:t>
      </w:r>
      <w:r w:rsidR="00C224C4">
        <w:rPr>
          <w:rFonts w:ascii="Garamond" w:hAnsi="Garamond"/>
          <w:sz w:val="23"/>
          <w:szCs w:val="23"/>
        </w:rPr>
        <w:fldChar w:fldCharType="end"/>
      </w:r>
      <w:r w:rsidR="00C224C4">
        <w:rPr>
          <w:rFonts w:ascii="Garamond" w:hAnsi="Garamond"/>
          <w:sz w:val="23"/>
          <w:szCs w:val="23"/>
        </w:rPr>
        <w:t>.</w:t>
      </w:r>
    </w:p>
    <w:p w:rsidR="00E74526" w:rsidRDefault="00E74526" w:rsidP="00A03385">
      <w:pPr>
        <w:pStyle w:val="Heading3"/>
      </w:pPr>
      <w:bookmarkStart w:id="99" w:name="_Toc355954914"/>
      <w:r>
        <w:t>Best and Worst Case Scenarios</w:t>
      </w:r>
      <w:bookmarkEnd w:id="99"/>
    </w:p>
    <w:p w:rsidR="00E74526" w:rsidRPr="00C2348A" w:rsidRDefault="00E74526" w:rsidP="00C2348A">
      <w:pPr>
        <w:spacing w:line="240" w:lineRule="auto"/>
        <w:rPr>
          <w:rFonts w:ascii="Garamond" w:hAnsi="Garamond"/>
          <w:sz w:val="23"/>
          <w:szCs w:val="23"/>
        </w:rPr>
      </w:pPr>
      <w:r w:rsidRPr="00C2348A">
        <w:rPr>
          <w:rFonts w:ascii="Garamond" w:hAnsi="Garamond"/>
          <w:sz w:val="23"/>
          <w:szCs w:val="23"/>
        </w:rPr>
        <w:t xml:space="preserve">The best case scenario models the highest benefits assumptions and the lowest cost assumptions to </w:t>
      </w:r>
      <w:r w:rsidR="00C2348A">
        <w:rPr>
          <w:rFonts w:ascii="Garamond" w:hAnsi="Garamond"/>
          <w:sz w:val="23"/>
          <w:szCs w:val="23"/>
        </w:rPr>
        <w:t xml:space="preserve">produce the best case TRC ratio. </w:t>
      </w:r>
      <w:r w:rsidRPr="00C2348A">
        <w:rPr>
          <w:rFonts w:ascii="Garamond" w:hAnsi="Garamond"/>
          <w:sz w:val="23"/>
          <w:szCs w:val="23"/>
        </w:rPr>
        <w:t>The benefits include the high avoided generation capacity cost and the high avoid</w:t>
      </w:r>
      <w:r w:rsidR="00C2348A">
        <w:rPr>
          <w:rFonts w:ascii="Garamond" w:hAnsi="Garamond"/>
          <w:sz w:val="23"/>
          <w:szCs w:val="23"/>
        </w:rPr>
        <w:t xml:space="preserve">ed transmission and distribution capacity cost. </w:t>
      </w:r>
      <w:r w:rsidRPr="00C2348A">
        <w:rPr>
          <w:rFonts w:ascii="Garamond" w:hAnsi="Garamond"/>
          <w:sz w:val="23"/>
          <w:szCs w:val="23"/>
        </w:rPr>
        <w:t>The lowest costs were determined to be the lowest costs incurred by any one of the EDC’s programs on a per unit basis (per kW for load curtailment and per sw</w:t>
      </w:r>
      <w:r w:rsidR="00C2348A">
        <w:rPr>
          <w:rFonts w:ascii="Garamond" w:hAnsi="Garamond"/>
          <w:sz w:val="23"/>
          <w:szCs w:val="23"/>
        </w:rPr>
        <w:t>itch for direct load control). For the best case scenario, only 75% of the customer incentive amount is included as a program cost to</w:t>
      </w:r>
      <w:r w:rsidRPr="00C2348A">
        <w:rPr>
          <w:rFonts w:ascii="Garamond" w:hAnsi="Garamond"/>
          <w:sz w:val="23"/>
          <w:szCs w:val="23"/>
        </w:rPr>
        <w:t xml:space="preserve"> be consistent with the California standard</w:t>
      </w:r>
      <w:r w:rsidR="00C2348A">
        <w:rPr>
          <w:rFonts w:ascii="Garamond" w:hAnsi="Garamond"/>
          <w:sz w:val="23"/>
          <w:szCs w:val="23"/>
        </w:rPr>
        <w:t xml:space="preserve"> practice</w:t>
      </w:r>
      <w:r w:rsidRPr="00C2348A">
        <w:rPr>
          <w:rFonts w:ascii="Garamond" w:hAnsi="Garamond"/>
          <w:sz w:val="23"/>
          <w:szCs w:val="23"/>
        </w:rPr>
        <w:t>.</w:t>
      </w:r>
      <w:r w:rsidR="006A025D">
        <w:rPr>
          <w:rFonts w:ascii="Garamond" w:hAnsi="Garamond"/>
          <w:sz w:val="23"/>
          <w:szCs w:val="23"/>
        </w:rPr>
        <w:t xml:space="preserve"> </w:t>
      </w:r>
      <w:r w:rsidR="002420EA">
        <w:rPr>
          <w:rFonts w:ascii="Garamond" w:hAnsi="Garamond"/>
          <w:sz w:val="23"/>
          <w:szCs w:val="23"/>
        </w:rPr>
        <w:t xml:space="preserve">California adopted this protocol under the assumption that the benefits to participants must be greater than the costs or else they would not participate. </w:t>
      </w:r>
      <w:r w:rsidR="008F3EE5">
        <w:rPr>
          <w:rFonts w:ascii="Garamond" w:hAnsi="Garamond"/>
          <w:sz w:val="23"/>
          <w:szCs w:val="23"/>
        </w:rPr>
        <w:t xml:space="preserve">The SWE’s analysis determined that an Act 129 DLC program could produce a TRC ratio as high as 1.24 and an Act 129 load curtailment program could produce a TRC ratio as high as 4.80 with the right combination of market conditions and policy decisions. </w:t>
      </w:r>
    </w:p>
    <w:p w:rsidR="00E74526" w:rsidRDefault="00E74526" w:rsidP="00C2348A">
      <w:pPr>
        <w:spacing w:line="240" w:lineRule="auto"/>
        <w:rPr>
          <w:rFonts w:ascii="Garamond" w:hAnsi="Garamond"/>
          <w:sz w:val="23"/>
          <w:szCs w:val="23"/>
        </w:rPr>
      </w:pPr>
      <w:r w:rsidRPr="00C2348A">
        <w:rPr>
          <w:rFonts w:ascii="Garamond" w:hAnsi="Garamond"/>
          <w:sz w:val="23"/>
          <w:szCs w:val="23"/>
        </w:rPr>
        <w:t>The worst case scenario models the lowest benefits assumptions and the highest cost assumptions to p</w:t>
      </w:r>
      <w:r w:rsidR="00C2348A">
        <w:rPr>
          <w:rFonts w:ascii="Garamond" w:hAnsi="Garamond"/>
          <w:sz w:val="23"/>
          <w:szCs w:val="23"/>
        </w:rPr>
        <w:t xml:space="preserve">roduce a worst case TRC ratio. </w:t>
      </w:r>
      <w:r w:rsidRPr="00C2348A">
        <w:rPr>
          <w:rFonts w:ascii="Garamond" w:hAnsi="Garamond"/>
          <w:sz w:val="23"/>
          <w:szCs w:val="23"/>
        </w:rPr>
        <w:t xml:space="preserve">The benefits include the low avoided generation capacity cost and no avoided transmission </w:t>
      </w:r>
      <w:r w:rsidR="00C2348A">
        <w:rPr>
          <w:rFonts w:ascii="Garamond" w:hAnsi="Garamond"/>
          <w:sz w:val="23"/>
          <w:szCs w:val="23"/>
        </w:rPr>
        <w:t xml:space="preserve">and distribution </w:t>
      </w:r>
      <w:r w:rsidRPr="00C2348A">
        <w:rPr>
          <w:rFonts w:ascii="Garamond" w:hAnsi="Garamond"/>
          <w:sz w:val="23"/>
          <w:szCs w:val="23"/>
        </w:rPr>
        <w:t>capacity cost.  The highest costs were determined to be the highest costs incurred by any one of the EDC’</w:t>
      </w:r>
      <w:r w:rsidR="00C2348A">
        <w:rPr>
          <w:rFonts w:ascii="Garamond" w:hAnsi="Garamond"/>
          <w:sz w:val="23"/>
          <w:szCs w:val="23"/>
        </w:rPr>
        <w:t xml:space="preserve">s programs on a per unit basis </w:t>
      </w:r>
      <w:r w:rsidRPr="00C2348A">
        <w:rPr>
          <w:rFonts w:ascii="Garamond" w:hAnsi="Garamond"/>
          <w:sz w:val="23"/>
          <w:szCs w:val="23"/>
        </w:rPr>
        <w:t>per kW for load curtailment and per</w:t>
      </w:r>
      <w:r w:rsidR="00C2348A">
        <w:rPr>
          <w:rFonts w:ascii="Garamond" w:hAnsi="Garamond"/>
          <w:sz w:val="23"/>
          <w:szCs w:val="23"/>
        </w:rPr>
        <w:t xml:space="preserve"> switch for direct load control</w:t>
      </w:r>
      <w:r w:rsidRPr="00C2348A">
        <w:rPr>
          <w:rFonts w:ascii="Garamond" w:hAnsi="Garamond"/>
          <w:sz w:val="23"/>
          <w:szCs w:val="23"/>
        </w:rPr>
        <w:t>.</w:t>
      </w:r>
      <w:r w:rsidR="006A025D">
        <w:rPr>
          <w:rFonts w:ascii="Garamond" w:hAnsi="Garamond"/>
          <w:sz w:val="23"/>
          <w:szCs w:val="23"/>
        </w:rPr>
        <w:t xml:space="preserve"> </w:t>
      </w:r>
      <w:r w:rsidR="008F3EE5">
        <w:rPr>
          <w:rFonts w:ascii="Garamond" w:hAnsi="Garamond"/>
          <w:sz w:val="23"/>
          <w:szCs w:val="23"/>
        </w:rPr>
        <w:t xml:space="preserve">The worst case scenario for DLC was a TRC ratio of 0.01 and the worst case for load curtailment was a TRC ratio of 0.02. </w:t>
      </w:r>
      <w:r w:rsidR="006A025D">
        <w:rPr>
          <w:rFonts w:ascii="Garamond" w:hAnsi="Garamond"/>
          <w:sz w:val="23"/>
          <w:szCs w:val="23"/>
        </w:rPr>
        <w:t xml:space="preserve">Best and worst case scenarios for direct load control programs are presented in </w:t>
      </w:r>
      <w:r w:rsidR="006A025D">
        <w:rPr>
          <w:rFonts w:ascii="Garamond" w:hAnsi="Garamond"/>
          <w:sz w:val="23"/>
          <w:szCs w:val="23"/>
        </w:rPr>
        <w:fldChar w:fldCharType="begin"/>
      </w:r>
      <w:r w:rsidR="006A025D">
        <w:rPr>
          <w:rFonts w:ascii="Garamond" w:hAnsi="Garamond"/>
          <w:sz w:val="23"/>
          <w:szCs w:val="23"/>
        </w:rPr>
        <w:instrText xml:space="preserve"> REF _Ref354132802 \h </w:instrText>
      </w:r>
      <w:r w:rsidR="006A025D">
        <w:rPr>
          <w:rFonts w:ascii="Garamond" w:hAnsi="Garamond"/>
          <w:sz w:val="23"/>
          <w:szCs w:val="23"/>
        </w:rPr>
      </w:r>
      <w:r w:rsidR="006A025D">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5</w:t>
      </w:r>
      <w:r w:rsidR="006A025D">
        <w:rPr>
          <w:rFonts w:ascii="Garamond" w:hAnsi="Garamond"/>
          <w:sz w:val="23"/>
          <w:szCs w:val="23"/>
        </w:rPr>
        <w:fldChar w:fldCharType="end"/>
      </w:r>
      <w:r w:rsidR="006A025D">
        <w:rPr>
          <w:rFonts w:ascii="Garamond" w:hAnsi="Garamond"/>
          <w:sz w:val="23"/>
          <w:szCs w:val="23"/>
        </w:rPr>
        <w:t xml:space="preserve">. Best and worst case scenarios for load curtailment programs are presented in </w:t>
      </w:r>
      <w:r w:rsidR="006A025D">
        <w:rPr>
          <w:rFonts w:ascii="Garamond" w:hAnsi="Garamond"/>
          <w:sz w:val="23"/>
          <w:szCs w:val="23"/>
        </w:rPr>
        <w:fldChar w:fldCharType="begin"/>
      </w:r>
      <w:r w:rsidR="006A025D">
        <w:rPr>
          <w:rFonts w:ascii="Garamond" w:hAnsi="Garamond"/>
          <w:sz w:val="23"/>
          <w:szCs w:val="23"/>
        </w:rPr>
        <w:instrText xml:space="preserve"> REF _Ref354133249 \h </w:instrText>
      </w:r>
      <w:r w:rsidR="006A025D">
        <w:rPr>
          <w:rFonts w:ascii="Garamond" w:hAnsi="Garamond"/>
          <w:sz w:val="23"/>
          <w:szCs w:val="23"/>
        </w:rPr>
      </w:r>
      <w:r w:rsidR="006A025D">
        <w:rPr>
          <w:rFonts w:ascii="Garamond" w:hAnsi="Garamond"/>
          <w:sz w:val="23"/>
          <w:szCs w:val="23"/>
        </w:rPr>
        <w:fldChar w:fldCharType="separate"/>
      </w:r>
      <w:r w:rsidR="00451FFF" w:rsidRPr="00F45397">
        <w:rPr>
          <w:rFonts w:ascii="Garamond" w:hAnsi="Garamond"/>
          <w:sz w:val="23"/>
          <w:szCs w:val="23"/>
        </w:rPr>
        <w:t xml:space="preserve">Figure </w:t>
      </w:r>
      <w:r w:rsidR="00451FFF">
        <w:rPr>
          <w:rFonts w:ascii="Garamond" w:hAnsi="Garamond"/>
          <w:noProof/>
          <w:sz w:val="23"/>
          <w:szCs w:val="23"/>
        </w:rPr>
        <w:t>F</w:t>
      </w:r>
      <w:r w:rsidR="00451FFF" w:rsidRPr="00F45397">
        <w:rPr>
          <w:rFonts w:ascii="Garamond" w:hAnsi="Garamond"/>
          <w:sz w:val="23"/>
          <w:szCs w:val="23"/>
        </w:rPr>
        <w:noBreakHyphen/>
      </w:r>
      <w:r w:rsidR="00451FFF">
        <w:rPr>
          <w:rFonts w:ascii="Garamond" w:hAnsi="Garamond"/>
          <w:noProof/>
          <w:sz w:val="23"/>
          <w:szCs w:val="23"/>
        </w:rPr>
        <w:t>12</w:t>
      </w:r>
      <w:r w:rsidR="006A025D">
        <w:rPr>
          <w:rFonts w:ascii="Garamond" w:hAnsi="Garamond"/>
          <w:sz w:val="23"/>
          <w:szCs w:val="23"/>
        </w:rPr>
        <w:fldChar w:fldCharType="end"/>
      </w:r>
      <w:r w:rsidR="006A025D">
        <w:rPr>
          <w:rFonts w:ascii="Garamond" w:hAnsi="Garamond"/>
          <w:sz w:val="23"/>
          <w:szCs w:val="23"/>
        </w:rPr>
        <w:t>.</w:t>
      </w:r>
    </w:p>
    <w:p w:rsidR="00C2348A" w:rsidRPr="00C2348A" w:rsidRDefault="00C2348A" w:rsidP="00C2348A">
      <w:pPr>
        <w:spacing w:line="240" w:lineRule="auto"/>
        <w:rPr>
          <w:rFonts w:ascii="Garamond" w:hAnsi="Garamond"/>
          <w:sz w:val="23"/>
          <w:szCs w:val="23"/>
        </w:rPr>
      </w:pPr>
      <w:r w:rsidRPr="00F73D1B">
        <w:rPr>
          <w:rFonts w:ascii="Garamond" w:hAnsi="Garamond"/>
          <w:sz w:val="23"/>
          <w:szCs w:val="23"/>
        </w:rPr>
        <w:t xml:space="preserve">The above described scenarios provide a range of TRC results to help demonstrate the sensitivity of the benefit cost ratios to various assumptions.  The base case </w:t>
      </w:r>
      <w:r>
        <w:rPr>
          <w:rFonts w:ascii="Garamond" w:hAnsi="Garamond"/>
          <w:sz w:val="23"/>
          <w:szCs w:val="23"/>
        </w:rPr>
        <w:t>results and results of various sensitivities are</w:t>
      </w:r>
      <w:r w:rsidRPr="00F73D1B">
        <w:rPr>
          <w:rFonts w:ascii="Garamond" w:hAnsi="Garamond"/>
          <w:sz w:val="23"/>
          <w:szCs w:val="23"/>
        </w:rPr>
        <w:t xml:space="preserve"> provided in </w:t>
      </w:r>
      <w:r>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Pr>
          <w:rFonts w:ascii="Garamond" w:hAnsi="Garamond"/>
          <w:sz w:val="23"/>
          <w:szCs w:val="23"/>
        </w:rPr>
        <w:t>-</w:t>
      </w:r>
      <w:r>
        <w:rPr>
          <w:rFonts w:ascii="Garamond" w:hAnsi="Garamond"/>
          <w:sz w:val="23"/>
          <w:szCs w:val="23"/>
        </w:rPr>
        <w:fldChar w:fldCharType="begin"/>
      </w:r>
      <w:r>
        <w:rPr>
          <w:rFonts w:ascii="Garamond" w:hAnsi="Garamond"/>
          <w:sz w:val="23"/>
          <w:szCs w:val="23"/>
        </w:rPr>
        <w:instrText xml:space="preserve"> REF _Ref352936443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3</w:t>
      </w:r>
      <w:r>
        <w:rPr>
          <w:rFonts w:ascii="Garamond" w:hAnsi="Garamond"/>
          <w:sz w:val="23"/>
          <w:szCs w:val="23"/>
        </w:rPr>
        <w:fldChar w:fldCharType="end"/>
      </w:r>
      <w:r>
        <w:rPr>
          <w:rFonts w:ascii="Garamond" w:hAnsi="Garamond"/>
          <w:sz w:val="23"/>
          <w:szCs w:val="23"/>
        </w:rPr>
        <w:t xml:space="preserve"> for direct load control programs and 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Pr>
          <w:rFonts w:ascii="Garamond" w:hAnsi="Garamond"/>
          <w:sz w:val="23"/>
          <w:szCs w:val="23"/>
        </w:rPr>
        <w:t>-</w:t>
      </w:r>
      <w:r>
        <w:rPr>
          <w:rFonts w:ascii="Garamond" w:hAnsi="Garamond"/>
          <w:sz w:val="23"/>
          <w:szCs w:val="23"/>
        </w:rPr>
        <w:fldChar w:fldCharType="begin"/>
      </w:r>
      <w:r>
        <w:rPr>
          <w:rFonts w:ascii="Garamond" w:hAnsi="Garamond"/>
          <w:sz w:val="23"/>
          <w:szCs w:val="23"/>
        </w:rPr>
        <w:instrText xml:space="preserve"> REF _Ref352936467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4</w:t>
      </w:r>
      <w:r>
        <w:rPr>
          <w:rFonts w:ascii="Garamond" w:hAnsi="Garamond"/>
          <w:sz w:val="23"/>
          <w:szCs w:val="23"/>
        </w:rPr>
        <w:fldChar w:fldCharType="end"/>
      </w:r>
      <w:r>
        <w:rPr>
          <w:rFonts w:ascii="Garamond" w:hAnsi="Garamond"/>
          <w:sz w:val="23"/>
          <w:szCs w:val="23"/>
        </w:rPr>
        <w:t xml:space="preserve"> for load curtailment programs.</w:t>
      </w:r>
    </w:p>
    <w:p w:rsidR="00FB5EFD" w:rsidRDefault="00FB5EFD" w:rsidP="00FB5EFD">
      <w:pPr>
        <w:pStyle w:val="Heading2"/>
        <w:ind w:left="360" w:hanging="360"/>
      </w:pPr>
      <w:bookmarkStart w:id="100" w:name="_Ref352931163"/>
      <w:bookmarkStart w:id="101" w:name="_Ref352936443"/>
      <w:bookmarkStart w:id="102" w:name="_Toc355954915"/>
      <w:r>
        <w:t>Cost Effectiveness of Direct Load Control Programs</w:t>
      </w:r>
      <w:bookmarkEnd w:id="100"/>
      <w:bookmarkEnd w:id="101"/>
      <w:bookmarkEnd w:id="102"/>
    </w:p>
    <w:p w:rsidR="0045429B" w:rsidRDefault="00FB5EFD" w:rsidP="0045429B">
      <w:pPr>
        <w:pStyle w:val="NoSpacing"/>
        <w:rPr>
          <w:rFonts w:ascii="Garamond" w:hAnsi="Garamond"/>
          <w:sz w:val="23"/>
          <w:szCs w:val="23"/>
        </w:rPr>
      </w:pPr>
      <w:r w:rsidRPr="00F73D1B">
        <w:rPr>
          <w:rFonts w:ascii="Garamond" w:hAnsi="Garamond"/>
          <w:sz w:val="23"/>
          <w:szCs w:val="23"/>
        </w:rPr>
        <w:t xml:space="preserve">The SWE calculated base case TRC ratios for </w:t>
      </w:r>
      <w:r w:rsidR="00F54F4C">
        <w:rPr>
          <w:rFonts w:ascii="Garamond" w:hAnsi="Garamond"/>
          <w:sz w:val="23"/>
          <w:szCs w:val="23"/>
        </w:rPr>
        <w:t xml:space="preserve">the </w:t>
      </w:r>
      <w:r w:rsidRPr="00F73D1B">
        <w:rPr>
          <w:rFonts w:ascii="Garamond" w:hAnsi="Garamond"/>
          <w:sz w:val="23"/>
          <w:szCs w:val="23"/>
        </w:rPr>
        <w:t>seven direct load control programs (six re</w:t>
      </w:r>
      <w:r w:rsidR="00C224C4">
        <w:rPr>
          <w:rFonts w:ascii="Garamond" w:hAnsi="Garamond"/>
          <w:sz w:val="23"/>
          <w:szCs w:val="23"/>
        </w:rPr>
        <w:t xml:space="preserve">sidential and one commercial). </w:t>
      </w:r>
      <w:r w:rsidR="000324E1" w:rsidRPr="00F73D1B">
        <w:rPr>
          <w:rFonts w:ascii="Garamond" w:hAnsi="Garamond"/>
          <w:sz w:val="23"/>
          <w:szCs w:val="23"/>
        </w:rPr>
        <w:t xml:space="preserve">Over 165,000 participants were enrolled in direct </w:t>
      </w:r>
      <w:r w:rsidR="00C224C4">
        <w:rPr>
          <w:rFonts w:ascii="Garamond" w:hAnsi="Garamond"/>
          <w:sz w:val="23"/>
          <w:szCs w:val="23"/>
        </w:rPr>
        <w:t xml:space="preserve">load </w:t>
      </w:r>
      <w:r w:rsidR="000324E1" w:rsidRPr="00F73D1B">
        <w:rPr>
          <w:rFonts w:ascii="Garamond" w:hAnsi="Garamond"/>
          <w:sz w:val="23"/>
          <w:szCs w:val="23"/>
        </w:rPr>
        <w:t xml:space="preserve">control programs, </w:t>
      </w:r>
      <w:r w:rsidR="000324E1">
        <w:rPr>
          <w:rFonts w:ascii="Garamond" w:hAnsi="Garamond"/>
          <w:sz w:val="23"/>
          <w:szCs w:val="23"/>
        </w:rPr>
        <w:t>and these programs delivered</w:t>
      </w:r>
      <w:r w:rsidR="000324E1" w:rsidRPr="00F73D1B">
        <w:rPr>
          <w:rFonts w:ascii="Garamond" w:hAnsi="Garamond"/>
          <w:sz w:val="23"/>
          <w:szCs w:val="23"/>
        </w:rPr>
        <w:t xml:space="preserve"> an average </w:t>
      </w:r>
      <w:r w:rsidR="000324E1">
        <w:rPr>
          <w:rFonts w:ascii="Garamond" w:hAnsi="Garamond"/>
          <w:sz w:val="23"/>
          <w:szCs w:val="23"/>
        </w:rPr>
        <w:t>load reduction of 88 MW during</w:t>
      </w:r>
      <w:r w:rsidR="000324E1" w:rsidRPr="00F73D1B">
        <w:rPr>
          <w:rFonts w:ascii="Garamond" w:hAnsi="Garamond"/>
          <w:sz w:val="23"/>
          <w:szCs w:val="23"/>
        </w:rPr>
        <w:t xml:space="preserve"> the top 100 hours</w:t>
      </w:r>
      <w:r w:rsidR="000324E1">
        <w:rPr>
          <w:rFonts w:ascii="Garamond" w:hAnsi="Garamond"/>
          <w:sz w:val="23"/>
          <w:szCs w:val="23"/>
        </w:rPr>
        <w:t xml:space="preserve"> of 2012. </w:t>
      </w:r>
      <w:r w:rsidR="0045429B">
        <w:rPr>
          <w:rFonts w:ascii="Garamond" w:hAnsi="Garamond"/>
          <w:sz w:val="23"/>
          <w:szCs w:val="23"/>
        </w:rPr>
        <w:fldChar w:fldCharType="begin"/>
      </w:r>
      <w:r w:rsidR="0045429B">
        <w:rPr>
          <w:rFonts w:ascii="Garamond" w:hAnsi="Garamond"/>
          <w:sz w:val="23"/>
          <w:szCs w:val="23"/>
        </w:rPr>
        <w:instrText xml:space="preserve"> REF _Ref352319307 \h </w:instrText>
      </w:r>
      <w:r w:rsidR="0045429B">
        <w:rPr>
          <w:rFonts w:ascii="Garamond" w:hAnsi="Garamond"/>
          <w:sz w:val="23"/>
          <w:szCs w:val="23"/>
        </w:rPr>
      </w:r>
      <w:r w:rsidR="0045429B">
        <w:rPr>
          <w:rFonts w:ascii="Garamond" w:hAnsi="Garamond"/>
          <w:sz w:val="23"/>
          <w:szCs w:val="23"/>
        </w:rPr>
        <w:fldChar w:fldCharType="separate"/>
      </w:r>
      <w:r w:rsidR="00451FFF" w:rsidRPr="002B3C2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sidR="0045429B">
        <w:rPr>
          <w:rFonts w:ascii="Garamond" w:hAnsi="Garamond"/>
          <w:sz w:val="23"/>
          <w:szCs w:val="23"/>
        </w:rPr>
        <w:fldChar w:fldCharType="end"/>
      </w:r>
      <w:r w:rsidR="0045429B">
        <w:rPr>
          <w:rFonts w:ascii="Garamond" w:hAnsi="Garamond"/>
          <w:sz w:val="23"/>
          <w:szCs w:val="23"/>
        </w:rPr>
        <w:t xml:space="preserve"> </w:t>
      </w:r>
      <w:r w:rsidR="0045429B">
        <w:rPr>
          <w:rFonts w:ascii="Garamond" w:hAnsi="Garamond"/>
          <w:sz w:val="23"/>
          <w:szCs w:val="23"/>
        </w:rPr>
        <w:lastRenderedPageBreak/>
        <w:t xml:space="preserve">provides the per-unit (switch or thermostat) demand impact achieved by the EDC DLC programs in 2012 when events were called. EDCs called curtailment events during approximately 40-60 of the top 100 hours and the average impact of these programs during the top 100 hours are </w:t>
      </w:r>
      <w:r w:rsidR="00C224C4">
        <w:rPr>
          <w:rFonts w:ascii="Garamond" w:hAnsi="Garamond"/>
          <w:sz w:val="23"/>
          <w:szCs w:val="23"/>
        </w:rPr>
        <w:t xml:space="preserve">also shown in </w:t>
      </w:r>
      <w:r w:rsidR="00C224C4">
        <w:rPr>
          <w:rFonts w:ascii="Garamond" w:hAnsi="Garamond"/>
          <w:sz w:val="23"/>
          <w:szCs w:val="23"/>
        </w:rPr>
        <w:fldChar w:fldCharType="begin"/>
      </w:r>
      <w:r w:rsidR="00C224C4">
        <w:rPr>
          <w:rFonts w:ascii="Garamond" w:hAnsi="Garamond"/>
          <w:sz w:val="23"/>
          <w:szCs w:val="23"/>
        </w:rPr>
        <w:instrText xml:space="preserve"> REF _Ref352319307 \h </w:instrText>
      </w:r>
      <w:r w:rsidR="00C224C4">
        <w:rPr>
          <w:rFonts w:ascii="Garamond" w:hAnsi="Garamond"/>
          <w:sz w:val="23"/>
          <w:szCs w:val="23"/>
        </w:rPr>
      </w:r>
      <w:r w:rsidR="00C224C4">
        <w:rPr>
          <w:rFonts w:ascii="Garamond" w:hAnsi="Garamond"/>
          <w:sz w:val="23"/>
          <w:szCs w:val="23"/>
        </w:rPr>
        <w:fldChar w:fldCharType="separate"/>
      </w:r>
      <w:r w:rsidR="00451FFF" w:rsidRPr="002B3C2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sidR="00C224C4">
        <w:rPr>
          <w:rFonts w:ascii="Garamond" w:hAnsi="Garamond"/>
          <w:sz w:val="23"/>
          <w:szCs w:val="23"/>
        </w:rPr>
        <w:fldChar w:fldCharType="end"/>
      </w:r>
      <w:r w:rsidR="0045429B">
        <w:rPr>
          <w:rFonts w:ascii="Garamond" w:hAnsi="Garamond"/>
          <w:sz w:val="23"/>
          <w:szCs w:val="23"/>
        </w:rPr>
        <w:t>. The difference between these two values highlights the effect of the top 100 hours protocol on the achieved peak demand impact.</w:t>
      </w:r>
    </w:p>
    <w:p w:rsidR="004E7E80" w:rsidRDefault="004E7E80" w:rsidP="0045429B">
      <w:pPr>
        <w:pStyle w:val="NoSpacing"/>
        <w:rPr>
          <w:rFonts w:ascii="Garamond" w:hAnsi="Garamond"/>
          <w:sz w:val="23"/>
          <w:szCs w:val="23"/>
        </w:rPr>
      </w:pPr>
    </w:p>
    <w:p w:rsidR="0045429B" w:rsidRPr="002B3C24" w:rsidRDefault="0045429B" w:rsidP="0045429B">
      <w:pPr>
        <w:pStyle w:val="Caption"/>
        <w:keepNext/>
        <w:jc w:val="center"/>
        <w:rPr>
          <w:rFonts w:ascii="Garamond" w:hAnsi="Garamond"/>
          <w:sz w:val="23"/>
          <w:szCs w:val="23"/>
        </w:rPr>
      </w:pPr>
      <w:bookmarkStart w:id="103" w:name="_Ref352319307"/>
      <w:r w:rsidRPr="002B3C24">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F</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3</w:t>
      </w:r>
      <w:r w:rsidR="00C01A4C">
        <w:rPr>
          <w:rFonts w:ascii="Garamond" w:hAnsi="Garamond"/>
          <w:sz w:val="23"/>
          <w:szCs w:val="23"/>
        </w:rPr>
        <w:fldChar w:fldCharType="end"/>
      </w:r>
      <w:bookmarkEnd w:id="103"/>
      <w:r w:rsidRPr="002B3C24">
        <w:rPr>
          <w:rFonts w:ascii="Garamond" w:hAnsi="Garamond"/>
          <w:sz w:val="23"/>
          <w:szCs w:val="23"/>
        </w:rPr>
        <w:t>: Per Unit Impacts from Act 129 DLC Programs at the Meter Level</w:t>
      </w:r>
    </w:p>
    <w:tbl>
      <w:tblPr>
        <w:tblStyle w:val="TableGrid"/>
        <w:tblW w:w="0" w:type="auto"/>
        <w:jc w:val="center"/>
        <w:tblLook w:val="04A0" w:firstRow="1" w:lastRow="0" w:firstColumn="1" w:lastColumn="0" w:noHBand="0" w:noVBand="1"/>
      </w:tblPr>
      <w:tblGrid>
        <w:gridCol w:w="3078"/>
        <w:gridCol w:w="2610"/>
        <w:gridCol w:w="3060"/>
      </w:tblGrid>
      <w:tr w:rsidR="0045429B" w:rsidRPr="00F75A09" w:rsidTr="0045429B">
        <w:trPr>
          <w:trHeight w:val="300"/>
          <w:jc w:val="center"/>
        </w:trPr>
        <w:tc>
          <w:tcPr>
            <w:tcW w:w="3078" w:type="dxa"/>
            <w:shd w:val="clear" w:color="auto" w:fill="1F497D" w:themeFill="text2"/>
            <w:noWrap/>
            <w:vAlign w:val="center"/>
            <w:hideMark/>
          </w:tcPr>
          <w:p w:rsidR="0045429B" w:rsidRPr="00F75A09" w:rsidRDefault="0045429B" w:rsidP="0045429B">
            <w:pPr>
              <w:jc w:val="center"/>
              <w:rPr>
                <w:rFonts w:ascii="Calibri" w:eastAsia="Times New Roman" w:hAnsi="Calibri" w:cs="Calibri"/>
                <w:b/>
                <w:bCs/>
                <w:color w:val="FFFFFF"/>
              </w:rPr>
            </w:pPr>
            <w:r w:rsidRPr="00F75A09">
              <w:rPr>
                <w:rFonts w:ascii="Calibri" w:eastAsia="Times New Roman" w:hAnsi="Calibri" w:cs="Calibri"/>
                <w:b/>
                <w:bCs/>
                <w:color w:val="FFFFFF"/>
              </w:rPr>
              <w:t>EDC Program</w:t>
            </w:r>
          </w:p>
        </w:tc>
        <w:tc>
          <w:tcPr>
            <w:tcW w:w="2610" w:type="dxa"/>
            <w:shd w:val="clear" w:color="auto" w:fill="1F497D" w:themeFill="text2"/>
            <w:noWrap/>
            <w:vAlign w:val="center"/>
            <w:hideMark/>
          </w:tcPr>
          <w:p w:rsidR="0045429B" w:rsidRPr="00F75A09" w:rsidRDefault="0045429B" w:rsidP="0045429B">
            <w:pPr>
              <w:jc w:val="center"/>
              <w:rPr>
                <w:rFonts w:ascii="Calibri" w:eastAsia="Times New Roman" w:hAnsi="Calibri" w:cs="Calibri"/>
                <w:b/>
                <w:bCs/>
                <w:color w:val="FFFFFF"/>
              </w:rPr>
            </w:pPr>
            <w:r w:rsidRPr="00F75A09">
              <w:rPr>
                <w:rFonts w:ascii="Calibri" w:eastAsia="Times New Roman" w:hAnsi="Calibri" w:cs="Calibri"/>
                <w:b/>
                <w:bCs/>
                <w:color w:val="FFFFFF"/>
              </w:rPr>
              <w:t xml:space="preserve">Per Unit </w:t>
            </w:r>
            <w:r>
              <w:rPr>
                <w:rFonts w:ascii="Calibri" w:eastAsia="Times New Roman" w:hAnsi="Calibri" w:cs="Calibri"/>
                <w:b/>
                <w:bCs/>
                <w:color w:val="FFFFFF"/>
              </w:rPr>
              <w:t>Impact During Events</w:t>
            </w:r>
            <w:r w:rsidR="004E7E80">
              <w:rPr>
                <w:rFonts w:ascii="Calibri" w:eastAsia="Times New Roman" w:hAnsi="Calibri" w:cs="Calibri"/>
                <w:b/>
                <w:bCs/>
                <w:color w:val="FFFFFF"/>
              </w:rPr>
              <w:t xml:space="preserve"> (kW)</w:t>
            </w:r>
          </w:p>
        </w:tc>
        <w:tc>
          <w:tcPr>
            <w:tcW w:w="3060" w:type="dxa"/>
            <w:shd w:val="clear" w:color="auto" w:fill="1F497D" w:themeFill="text2"/>
            <w:noWrap/>
            <w:vAlign w:val="center"/>
            <w:hideMark/>
          </w:tcPr>
          <w:p w:rsidR="0045429B" w:rsidRPr="00F75A09" w:rsidRDefault="0045429B" w:rsidP="0045429B">
            <w:pPr>
              <w:jc w:val="center"/>
              <w:rPr>
                <w:rFonts w:ascii="Calibri" w:eastAsia="Times New Roman" w:hAnsi="Calibri" w:cs="Calibri"/>
                <w:b/>
                <w:bCs/>
                <w:color w:val="FFFFFF"/>
              </w:rPr>
            </w:pPr>
            <w:r>
              <w:rPr>
                <w:rFonts w:ascii="Calibri" w:eastAsia="Times New Roman" w:hAnsi="Calibri" w:cs="Calibri"/>
                <w:b/>
                <w:bCs/>
                <w:color w:val="FFFFFF"/>
              </w:rPr>
              <w:t xml:space="preserve">Average </w:t>
            </w:r>
            <w:r w:rsidRPr="00F75A09">
              <w:rPr>
                <w:rFonts w:ascii="Calibri" w:eastAsia="Times New Roman" w:hAnsi="Calibri" w:cs="Calibri"/>
                <w:b/>
                <w:bCs/>
                <w:color w:val="FFFFFF"/>
              </w:rPr>
              <w:t xml:space="preserve">Per Unit Impact </w:t>
            </w:r>
            <w:r>
              <w:rPr>
                <w:rFonts w:ascii="Calibri" w:eastAsia="Times New Roman" w:hAnsi="Calibri" w:cs="Calibri"/>
                <w:b/>
                <w:bCs/>
                <w:color w:val="FFFFFF"/>
              </w:rPr>
              <w:t xml:space="preserve">During the </w:t>
            </w:r>
            <w:r w:rsidRPr="00F75A09">
              <w:rPr>
                <w:rFonts w:ascii="Calibri" w:eastAsia="Times New Roman" w:hAnsi="Calibri" w:cs="Calibri"/>
                <w:b/>
                <w:bCs/>
                <w:color w:val="FFFFFF"/>
              </w:rPr>
              <w:t>Top 100 Hours</w:t>
            </w:r>
            <w:r w:rsidR="004E7E80">
              <w:rPr>
                <w:rFonts w:ascii="Calibri" w:eastAsia="Times New Roman" w:hAnsi="Calibri" w:cs="Calibri"/>
                <w:b/>
                <w:bCs/>
                <w:color w:val="FFFFFF"/>
              </w:rPr>
              <w:t xml:space="preserve"> (kW)</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PECO Residential Smart Saver</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0.84</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0.48</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PECO Commercial Smart Saver</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0.69</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0.35</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PPL Direct Load Control</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0.59</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0.41</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Duquesne Direct Load Control</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0.76</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0.29</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Met Ed IDER</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0.73</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0.40</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Penelec Direct Load Control</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0.60</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0.44</w:t>
            </w:r>
          </w:p>
        </w:tc>
      </w:tr>
      <w:tr w:rsidR="0045429B" w:rsidRPr="00F75A09" w:rsidTr="0045429B">
        <w:trPr>
          <w:trHeight w:val="300"/>
          <w:jc w:val="center"/>
        </w:trPr>
        <w:tc>
          <w:tcPr>
            <w:tcW w:w="3078" w:type="dxa"/>
            <w:noWrap/>
            <w:hideMark/>
          </w:tcPr>
          <w:p w:rsidR="0045429B" w:rsidRPr="00F75A09" w:rsidRDefault="0045429B" w:rsidP="0045429B">
            <w:pPr>
              <w:jc w:val="left"/>
              <w:rPr>
                <w:rFonts w:ascii="Calibri" w:eastAsia="Times New Roman" w:hAnsi="Calibri" w:cs="Calibri"/>
                <w:color w:val="000000"/>
              </w:rPr>
            </w:pPr>
            <w:r w:rsidRPr="00F75A09">
              <w:rPr>
                <w:rFonts w:ascii="Calibri" w:eastAsia="Times New Roman" w:hAnsi="Calibri" w:cs="Calibri"/>
                <w:color w:val="000000"/>
              </w:rPr>
              <w:t>Penn Power Direct Load Control</w:t>
            </w:r>
          </w:p>
        </w:tc>
        <w:tc>
          <w:tcPr>
            <w:tcW w:w="261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0.68</w:t>
            </w:r>
          </w:p>
        </w:tc>
        <w:tc>
          <w:tcPr>
            <w:tcW w:w="3060" w:type="dxa"/>
            <w:noWrap/>
            <w:hideMark/>
          </w:tcPr>
          <w:p w:rsidR="0045429B" w:rsidRPr="00F75A09" w:rsidRDefault="0045429B" w:rsidP="0045429B">
            <w:pPr>
              <w:jc w:val="center"/>
              <w:rPr>
                <w:rFonts w:ascii="Calibri" w:eastAsia="Times New Roman" w:hAnsi="Calibri" w:cs="Calibri"/>
                <w:color w:val="000000"/>
              </w:rPr>
            </w:pPr>
            <w:r w:rsidRPr="00F75A09">
              <w:rPr>
                <w:rFonts w:ascii="Calibri" w:eastAsia="Times New Roman" w:hAnsi="Calibri" w:cs="Calibri"/>
                <w:color w:val="000000"/>
              </w:rPr>
              <w:t>0.39</w:t>
            </w:r>
          </w:p>
        </w:tc>
      </w:tr>
    </w:tbl>
    <w:p w:rsidR="0045429B" w:rsidRPr="00F73D1B" w:rsidRDefault="0045429B" w:rsidP="0045429B">
      <w:pPr>
        <w:pStyle w:val="NoSpacing"/>
        <w:rPr>
          <w:rFonts w:ascii="Garamond" w:hAnsi="Garamond"/>
          <w:sz w:val="23"/>
          <w:szCs w:val="23"/>
        </w:rPr>
      </w:pPr>
    </w:p>
    <w:p w:rsidR="004A4A28" w:rsidRDefault="00D3170A" w:rsidP="00F73D1B">
      <w:pPr>
        <w:spacing w:line="240" w:lineRule="auto"/>
        <w:rPr>
          <w:rFonts w:ascii="Garamond" w:hAnsi="Garamond"/>
          <w:sz w:val="23"/>
          <w:szCs w:val="23"/>
        </w:rPr>
      </w:pPr>
      <w:r>
        <w:rPr>
          <w:rFonts w:ascii="Garamond" w:hAnsi="Garamond"/>
          <w:sz w:val="23"/>
          <w:szCs w:val="23"/>
        </w:rPr>
        <w:t xml:space="preserve">Using </w:t>
      </w:r>
      <w:r w:rsidR="00C224C4">
        <w:rPr>
          <w:rFonts w:ascii="Garamond" w:hAnsi="Garamond"/>
          <w:sz w:val="23"/>
          <w:szCs w:val="23"/>
        </w:rPr>
        <w:t>a single-year benefit/cost model</w:t>
      </w:r>
      <w:r>
        <w:rPr>
          <w:rFonts w:ascii="Garamond" w:hAnsi="Garamond"/>
          <w:sz w:val="23"/>
          <w:szCs w:val="23"/>
        </w:rPr>
        <w:t>, none of the programs</w:t>
      </w:r>
      <w:r w:rsidR="00FB5EFD" w:rsidRPr="00F73D1B">
        <w:rPr>
          <w:rFonts w:ascii="Garamond" w:hAnsi="Garamond"/>
          <w:sz w:val="23"/>
          <w:szCs w:val="23"/>
        </w:rPr>
        <w:t xml:space="preserve"> were cost effective in 2012, with a combined program TRC rati</w:t>
      </w:r>
      <w:r w:rsidR="000324E1">
        <w:rPr>
          <w:rFonts w:ascii="Garamond" w:hAnsi="Garamond"/>
          <w:sz w:val="23"/>
          <w:szCs w:val="23"/>
        </w:rPr>
        <w:t xml:space="preserve">o of 0.12. </w:t>
      </w:r>
      <w:r>
        <w:rPr>
          <w:rFonts w:ascii="Garamond" w:hAnsi="Garamond"/>
          <w:sz w:val="23"/>
          <w:szCs w:val="23"/>
        </w:rPr>
        <w:t>Individual EDC</w:t>
      </w:r>
      <w:r w:rsidR="000324E1">
        <w:rPr>
          <w:rFonts w:ascii="Garamond" w:hAnsi="Garamond"/>
          <w:sz w:val="23"/>
          <w:szCs w:val="23"/>
        </w:rPr>
        <w:t xml:space="preserve"> program</w:t>
      </w:r>
      <w:r w:rsidR="00FB5EFD" w:rsidRPr="00F73D1B">
        <w:rPr>
          <w:rFonts w:ascii="Garamond" w:hAnsi="Garamond"/>
          <w:sz w:val="23"/>
          <w:szCs w:val="23"/>
        </w:rPr>
        <w:t xml:space="preserve"> </w:t>
      </w:r>
      <w:r w:rsidR="000324E1">
        <w:rPr>
          <w:rFonts w:ascii="Garamond" w:hAnsi="Garamond"/>
          <w:sz w:val="23"/>
          <w:szCs w:val="23"/>
        </w:rPr>
        <w:t>TRC ratios ranged from 0.04</w:t>
      </w:r>
      <w:r w:rsidR="0045429B">
        <w:rPr>
          <w:rFonts w:ascii="Garamond" w:hAnsi="Garamond"/>
          <w:sz w:val="23"/>
          <w:szCs w:val="23"/>
        </w:rPr>
        <w:t xml:space="preserve"> for Duquesne’s DLC program </w:t>
      </w:r>
      <w:r w:rsidR="000324E1">
        <w:rPr>
          <w:rFonts w:ascii="Garamond" w:hAnsi="Garamond"/>
          <w:sz w:val="23"/>
          <w:szCs w:val="23"/>
        </w:rPr>
        <w:t>to 0.14</w:t>
      </w:r>
      <w:r w:rsidR="0045429B">
        <w:rPr>
          <w:rFonts w:ascii="Garamond" w:hAnsi="Garamond"/>
          <w:sz w:val="23"/>
          <w:szCs w:val="23"/>
        </w:rPr>
        <w:t xml:space="preserve"> for PECO’s Residential Smart Saver program</w:t>
      </w:r>
      <w:r w:rsidR="000324E1">
        <w:rPr>
          <w:rFonts w:ascii="Garamond" w:hAnsi="Garamond"/>
          <w:sz w:val="23"/>
          <w:szCs w:val="23"/>
        </w:rPr>
        <w:t xml:space="preserve">. </w:t>
      </w:r>
      <w:r w:rsidR="004A4A28">
        <w:rPr>
          <w:rFonts w:ascii="Garamond" w:hAnsi="Garamond"/>
          <w:sz w:val="23"/>
          <w:szCs w:val="23"/>
        </w:rPr>
        <w:t xml:space="preserve">Differences between program TRC ratios were driven primarily by the avoided cost of generation capacity in the EDC service territory and the number of top 100 hours during which the DLC population was dispatched. Notice in </w:t>
      </w:r>
      <w:r w:rsidR="004A4A28">
        <w:rPr>
          <w:rFonts w:ascii="Garamond" w:hAnsi="Garamond"/>
          <w:sz w:val="23"/>
          <w:szCs w:val="23"/>
        </w:rPr>
        <w:fldChar w:fldCharType="begin"/>
      </w:r>
      <w:r w:rsidR="004A4A28">
        <w:rPr>
          <w:rFonts w:ascii="Garamond" w:hAnsi="Garamond"/>
          <w:sz w:val="23"/>
          <w:szCs w:val="23"/>
        </w:rPr>
        <w:instrText xml:space="preserve"> REF _Ref352319307 \h </w:instrText>
      </w:r>
      <w:r w:rsidR="004A4A28">
        <w:rPr>
          <w:rFonts w:ascii="Garamond" w:hAnsi="Garamond"/>
          <w:sz w:val="23"/>
          <w:szCs w:val="23"/>
        </w:rPr>
      </w:r>
      <w:r w:rsidR="004A4A28">
        <w:rPr>
          <w:rFonts w:ascii="Garamond" w:hAnsi="Garamond"/>
          <w:sz w:val="23"/>
          <w:szCs w:val="23"/>
        </w:rPr>
        <w:fldChar w:fldCharType="separate"/>
      </w:r>
      <w:r w:rsidR="00451FFF" w:rsidRPr="002B3C2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sidR="004A4A28">
        <w:rPr>
          <w:rFonts w:ascii="Garamond" w:hAnsi="Garamond"/>
          <w:sz w:val="23"/>
          <w:szCs w:val="23"/>
        </w:rPr>
        <w:fldChar w:fldCharType="end"/>
      </w:r>
      <w:r w:rsidR="004A4A28">
        <w:rPr>
          <w:rFonts w:ascii="Garamond" w:hAnsi="Garamond"/>
          <w:sz w:val="23"/>
          <w:szCs w:val="23"/>
        </w:rPr>
        <w:t xml:space="preserve"> that the difference in the achieved load reduction during events is only slightly higher in </w:t>
      </w:r>
      <w:r w:rsidR="00641D50">
        <w:rPr>
          <w:rFonts w:ascii="Garamond" w:hAnsi="Garamond"/>
          <w:sz w:val="23"/>
          <w:szCs w:val="23"/>
        </w:rPr>
        <w:t xml:space="preserve">the </w:t>
      </w:r>
      <w:r w:rsidR="004A4A28">
        <w:rPr>
          <w:rFonts w:ascii="Garamond" w:hAnsi="Garamond"/>
          <w:sz w:val="23"/>
          <w:szCs w:val="23"/>
        </w:rPr>
        <w:t>PECO program than the Duquesne program (0.84 kW compared to 0.76 kW)</w:t>
      </w:r>
      <w:r w:rsidR="00641D50">
        <w:rPr>
          <w:rFonts w:ascii="Garamond" w:hAnsi="Garamond"/>
          <w:sz w:val="23"/>
          <w:szCs w:val="23"/>
        </w:rPr>
        <w:t>.</w:t>
      </w:r>
      <w:r w:rsidR="004A4A28">
        <w:rPr>
          <w:rFonts w:ascii="Garamond" w:hAnsi="Garamond"/>
          <w:sz w:val="23"/>
          <w:szCs w:val="23"/>
        </w:rPr>
        <w:t xml:space="preserve"> </w:t>
      </w:r>
      <w:r w:rsidR="00641D50">
        <w:rPr>
          <w:rFonts w:ascii="Garamond" w:hAnsi="Garamond"/>
          <w:sz w:val="23"/>
          <w:szCs w:val="23"/>
        </w:rPr>
        <w:t>T</w:t>
      </w:r>
      <w:r w:rsidR="004A4A28">
        <w:rPr>
          <w:rFonts w:ascii="Garamond" w:hAnsi="Garamond"/>
          <w:sz w:val="23"/>
          <w:szCs w:val="23"/>
        </w:rPr>
        <w:t>he average impact</w:t>
      </w:r>
      <w:r w:rsidR="00641D50">
        <w:rPr>
          <w:rFonts w:ascii="Garamond" w:hAnsi="Garamond"/>
          <w:sz w:val="23"/>
          <w:szCs w:val="23"/>
        </w:rPr>
        <w:t>, however,</w:t>
      </w:r>
      <w:r w:rsidR="004A4A28">
        <w:rPr>
          <w:rFonts w:ascii="Garamond" w:hAnsi="Garamond"/>
          <w:sz w:val="23"/>
          <w:szCs w:val="23"/>
        </w:rPr>
        <w:t xml:space="preserve"> during the top 100 hours is much greater (0.48 kW compared to 0.29 kW) because Duquesne called fewer </w:t>
      </w:r>
      <w:r w:rsidR="00057EAC">
        <w:rPr>
          <w:rFonts w:ascii="Garamond" w:hAnsi="Garamond"/>
          <w:sz w:val="23"/>
          <w:szCs w:val="23"/>
        </w:rPr>
        <w:t xml:space="preserve">events during the top 100 hours. The avoided cost of generation capacity </w:t>
      </w:r>
      <w:r w:rsidR="00296AB0">
        <w:rPr>
          <w:rFonts w:ascii="Garamond" w:hAnsi="Garamond"/>
          <w:sz w:val="23"/>
          <w:szCs w:val="23"/>
        </w:rPr>
        <w:t>was</w:t>
      </w:r>
      <w:r w:rsidR="00057EAC">
        <w:rPr>
          <w:rFonts w:ascii="Garamond" w:hAnsi="Garamond"/>
          <w:sz w:val="23"/>
          <w:szCs w:val="23"/>
        </w:rPr>
        <w:t xml:space="preserve"> also much lower in </w:t>
      </w:r>
      <w:r w:rsidR="00641D50">
        <w:rPr>
          <w:rFonts w:ascii="Garamond" w:hAnsi="Garamond"/>
          <w:sz w:val="23"/>
          <w:szCs w:val="23"/>
        </w:rPr>
        <w:t xml:space="preserve">the </w:t>
      </w:r>
      <w:r w:rsidR="00057EAC">
        <w:rPr>
          <w:rFonts w:ascii="Garamond" w:hAnsi="Garamond"/>
          <w:sz w:val="23"/>
          <w:szCs w:val="23"/>
        </w:rPr>
        <w:t xml:space="preserve">Duquesne service territory than in </w:t>
      </w:r>
      <w:r w:rsidR="00641D50">
        <w:rPr>
          <w:rFonts w:ascii="Garamond" w:hAnsi="Garamond"/>
          <w:sz w:val="23"/>
          <w:szCs w:val="23"/>
        </w:rPr>
        <w:t xml:space="preserve">the </w:t>
      </w:r>
      <w:r w:rsidR="00057EAC">
        <w:rPr>
          <w:rFonts w:ascii="Garamond" w:hAnsi="Garamond"/>
          <w:sz w:val="23"/>
          <w:szCs w:val="23"/>
        </w:rPr>
        <w:t>PECO service territory. These differences were somewhat offset by the difference in customer incentives between the two programs. PECO paid participants $120 for participating in the summer 2012 DR season, while Duquesne paid $32.</w:t>
      </w:r>
    </w:p>
    <w:p w:rsidR="00FB5EFD" w:rsidRPr="00F73D1B" w:rsidRDefault="000324E1" w:rsidP="00F73D1B">
      <w:pPr>
        <w:spacing w:line="240" w:lineRule="auto"/>
        <w:rPr>
          <w:rFonts w:ascii="Garamond" w:hAnsi="Garamond"/>
          <w:sz w:val="23"/>
          <w:szCs w:val="23"/>
        </w:rPr>
      </w:pPr>
      <w:r>
        <w:rPr>
          <w:rFonts w:ascii="Garamond" w:hAnsi="Garamond"/>
          <w:sz w:val="23"/>
          <w:szCs w:val="23"/>
        </w:rPr>
        <w:t>Line loss adjustments accounted for</w:t>
      </w:r>
      <w:r w:rsidR="00FB5EFD" w:rsidRPr="00F73D1B">
        <w:rPr>
          <w:rFonts w:ascii="Garamond" w:hAnsi="Garamond"/>
          <w:sz w:val="23"/>
          <w:szCs w:val="23"/>
        </w:rPr>
        <w:t xml:space="preserve"> 16.8%</w:t>
      </w:r>
      <w:r>
        <w:rPr>
          <w:rFonts w:ascii="Garamond" w:hAnsi="Garamond"/>
          <w:sz w:val="23"/>
          <w:szCs w:val="23"/>
        </w:rPr>
        <w:t xml:space="preserve"> of the 88 MW impact from </w:t>
      </w:r>
      <w:r w:rsidR="007C5A2B">
        <w:rPr>
          <w:rFonts w:ascii="Garamond" w:hAnsi="Garamond"/>
          <w:sz w:val="23"/>
          <w:szCs w:val="23"/>
        </w:rPr>
        <w:t xml:space="preserve">Act 129 </w:t>
      </w:r>
      <w:r>
        <w:rPr>
          <w:rFonts w:ascii="Garamond" w:hAnsi="Garamond"/>
          <w:sz w:val="23"/>
          <w:szCs w:val="23"/>
        </w:rPr>
        <w:t xml:space="preserve">DLC. </w:t>
      </w:r>
      <w:r w:rsidR="00FB5EFD" w:rsidRPr="00F73D1B">
        <w:rPr>
          <w:rFonts w:ascii="Garamond" w:hAnsi="Garamond"/>
          <w:sz w:val="23"/>
          <w:szCs w:val="23"/>
        </w:rPr>
        <w:t>Average benefits equaled $50.58 per kW for avoided generation capacit</w:t>
      </w:r>
      <w:r>
        <w:rPr>
          <w:rFonts w:ascii="Garamond" w:hAnsi="Garamond"/>
          <w:sz w:val="23"/>
          <w:szCs w:val="23"/>
        </w:rPr>
        <w:t xml:space="preserve">y, or a total of $4.4 million. </w:t>
      </w:r>
      <w:r w:rsidR="00FB5EFD" w:rsidRPr="00F73D1B">
        <w:rPr>
          <w:rFonts w:ascii="Garamond" w:hAnsi="Garamond"/>
          <w:sz w:val="23"/>
          <w:szCs w:val="23"/>
        </w:rPr>
        <w:t>Benefits included an additional $2.2 million in avoided T&amp;D benefits.  These $6.6 million in benefits were attained against $57.1 million in program costs and incentives in 2012.</w:t>
      </w:r>
    </w:p>
    <w:p w:rsidR="00A7106E" w:rsidRDefault="00641D50" w:rsidP="00F73D1B">
      <w:pPr>
        <w:spacing w:line="240" w:lineRule="auto"/>
        <w:rPr>
          <w:rFonts w:ascii="Garamond" w:hAnsi="Garamond"/>
          <w:sz w:val="23"/>
          <w:szCs w:val="23"/>
        </w:rPr>
      </w:pPr>
      <w:r>
        <w:rPr>
          <w:rFonts w:ascii="Garamond" w:hAnsi="Garamond"/>
          <w:sz w:val="23"/>
          <w:szCs w:val="23"/>
        </w:rPr>
        <w:t>Programmatic investments for a DLC program</w:t>
      </w:r>
      <w:r w:rsidR="000324E1">
        <w:rPr>
          <w:rFonts w:ascii="Garamond" w:hAnsi="Garamond"/>
          <w:sz w:val="23"/>
          <w:szCs w:val="23"/>
        </w:rPr>
        <w:t xml:space="preserve"> </w:t>
      </w:r>
      <w:r>
        <w:rPr>
          <w:rFonts w:ascii="Garamond" w:hAnsi="Garamond"/>
          <w:sz w:val="23"/>
          <w:szCs w:val="23"/>
        </w:rPr>
        <w:t>are</w:t>
      </w:r>
      <w:r w:rsidR="000324E1">
        <w:rPr>
          <w:rFonts w:ascii="Garamond" w:hAnsi="Garamond"/>
          <w:sz w:val="23"/>
          <w:szCs w:val="23"/>
        </w:rPr>
        <w:t xml:space="preserve"> typically </w:t>
      </w:r>
      <w:r w:rsidR="00596234">
        <w:rPr>
          <w:rFonts w:ascii="Garamond" w:hAnsi="Garamond"/>
          <w:sz w:val="23"/>
          <w:szCs w:val="23"/>
        </w:rPr>
        <w:t xml:space="preserve">very front-loaded. Equipment purchases and installation fees account for the majority of program spending. Once this infrastructure is in place, the program’s expenses are customer incentives and administrative costs. The typical useful life of a direct load control switch is 8 to 10 years, so the SWE considered </w:t>
      </w:r>
      <w:r w:rsidR="00C224C4">
        <w:rPr>
          <w:rFonts w:ascii="Garamond" w:hAnsi="Garamond"/>
          <w:sz w:val="23"/>
          <w:szCs w:val="23"/>
        </w:rPr>
        <w:t xml:space="preserve">program cost-effectiveness </w:t>
      </w:r>
      <w:r>
        <w:rPr>
          <w:rFonts w:ascii="Garamond" w:hAnsi="Garamond"/>
          <w:sz w:val="23"/>
          <w:szCs w:val="23"/>
        </w:rPr>
        <w:t>over a</w:t>
      </w:r>
      <w:r w:rsidR="00FB5EFD" w:rsidRPr="00F73D1B">
        <w:rPr>
          <w:rFonts w:ascii="Garamond" w:hAnsi="Garamond"/>
          <w:sz w:val="23"/>
          <w:szCs w:val="23"/>
        </w:rPr>
        <w:t xml:space="preserve"> 10-year </w:t>
      </w:r>
      <w:r>
        <w:rPr>
          <w:rFonts w:ascii="Garamond" w:hAnsi="Garamond"/>
          <w:sz w:val="23"/>
          <w:szCs w:val="23"/>
        </w:rPr>
        <w:t>life-time</w:t>
      </w:r>
      <w:r w:rsidR="00FB5EFD" w:rsidRPr="00F73D1B">
        <w:rPr>
          <w:rFonts w:ascii="Garamond" w:hAnsi="Garamond"/>
          <w:sz w:val="23"/>
          <w:szCs w:val="23"/>
        </w:rPr>
        <w:t>, with 3% customer attrition per year and escalation of benef</w:t>
      </w:r>
      <w:r w:rsidR="00596234">
        <w:rPr>
          <w:rFonts w:ascii="Garamond" w:hAnsi="Garamond"/>
          <w:sz w:val="23"/>
          <w:szCs w:val="23"/>
        </w:rPr>
        <w:t xml:space="preserve">its and ongoing program costs. </w:t>
      </w:r>
      <w:r w:rsidR="00FB5EFD" w:rsidRPr="00F73D1B">
        <w:rPr>
          <w:rFonts w:ascii="Garamond" w:hAnsi="Garamond"/>
          <w:sz w:val="23"/>
          <w:szCs w:val="23"/>
        </w:rPr>
        <w:t xml:space="preserve">The 10-year case nearly triples the value of the TRC ratio, from 0.12 to 0.33.  However, </w:t>
      </w:r>
      <w:r>
        <w:rPr>
          <w:rFonts w:ascii="Garamond" w:hAnsi="Garamond"/>
          <w:sz w:val="23"/>
          <w:szCs w:val="23"/>
        </w:rPr>
        <w:t>DLC</w:t>
      </w:r>
      <w:r w:rsidR="00FB5EFD" w:rsidRPr="00F73D1B">
        <w:rPr>
          <w:rFonts w:ascii="Garamond" w:hAnsi="Garamond"/>
          <w:sz w:val="23"/>
          <w:szCs w:val="23"/>
        </w:rPr>
        <w:t xml:space="preserve"> </w:t>
      </w:r>
      <w:r>
        <w:rPr>
          <w:rFonts w:ascii="Garamond" w:hAnsi="Garamond"/>
          <w:sz w:val="23"/>
          <w:szCs w:val="23"/>
        </w:rPr>
        <w:t xml:space="preserve">is </w:t>
      </w:r>
      <w:r w:rsidR="00FB5EFD" w:rsidRPr="00F73D1B">
        <w:rPr>
          <w:rFonts w:ascii="Garamond" w:hAnsi="Garamond"/>
          <w:sz w:val="23"/>
          <w:szCs w:val="23"/>
        </w:rPr>
        <w:t>still not a c</w:t>
      </w:r>
      <w:r w:rsidR="007C5A2B">
        <w:rPr>
          <w:rFonts w:ascii="Garamond" w:hAnsi="Garamond"/>
          <w:sz w:val="23"/>
          <w:szCs w:val="23"/>
        </w:rPr>
        <w:t xml:space="preserve">ost effective </w:t>
      </w:r>
      <w:r>
        <w:rPr>
          <w:rFonts w:ascii="Garamond" w:hAnsi="Garamond"/>
          <w:sz w:val="23"/>
          <w:szCs w:val="23"/>
        </w:rPr>
        <w:t xml:space="preserve">program </w:t>
      </w:r>
      <w:r w:rsidR="007C5A2B">
        <w:rPr>
          <w:rFonts w:ascii="Garamond" w:hAnsi="Garamond"/>
          <w:sz w:val="23"/>
          <w:szCs w:val="23"/>
        </w:rPr>
        <w:t>when the other base case assumptions are held constant. For each of the</w:t>
      </w:r>
      <w:r w:rsidR="00FB5EFD" w:rsidRPr="00F73D1B">
        <w:rPr>
          <w:rFonts w:ascii="Garamond" w:hAnsi="Garamond"/>
          <w:sz w:val="23"/>
          <w:szCs w:val="23"/>
        </w:rPr>
        <w:t xml:space="preserve"> remaining scenarios discussed in this section of the report, the 10-year program life is </w:t>
      </w:r>
      <w:r>
        <w:rPr>
          <w:rFonts w:ascii="Garamond" w:hAnsi="Garamond"/>
          <w:sz w:val="23"/>
          <w:szCs w:val="23"/>
        </w:rPr>
        <w:t>held constant</w:t>
      </w:r>
      <w:r w:rsidR="00A7106E">
        <w:rPr>
          <w:rFonts w:ascii="Garamond" w:hAnsi="Garamond"/>
          <w:sz w:val="23"/>
          <w:szCs w:val="23"/>
        </w:rPr>
        <w:t>.</w:t>
      </w:r>
    </w:p>
    <w:p w:rsidR="00FB5EFD" w:rsidRPr="00F73D1B" w:rsidRDefault="00FB5EFD" w:rsidP="00F73D1B">
      <w:pPr>
        <w:spacing w:line="240" w:lineRule="auto"/>
        <w:rPr>
          <w:rFonts w:ascii="Garamond" w:hAnsi="Garamond"/>
          <w:sz w:val="23"/>
          <w:szCs w:val="23"/>
        </w:rPr>
      </w:pPr>
      <w:r w:rsidRPr="00F73D1B">
        <w:rPr>
          <w:rFonts w:ascii="Garamond" w:hAnsi="Garamond"/>
          <w:sz w:val="23"/>
          <w:szCs w:val="23"/>
        </w:rPr>
        <w:t xml:space="preserve">The </w:t>
      </w:r>
      <w:r w:rsidR="007C5A2B">
        <w:rPr>
          <w:rFonts w:ascii="Garamond" w:hAnsi="Garamond"/>
          <w:sz w:val="23"/>
          <w:szCs w:val="23"/>
        </w:rPr>
        <w:t xml:space="preserve">Act 129 DLC </w:t>
      </w:r>
      <w:r w:rsidRPr="00F73D1B">
        <w:rPr>
          <w:rFonts w:ascii="Garamond" w:hAnsi="Garamond"/>
          <w:sz w:val="23"/>
          <w:szCs w:val="23"/>
        </w:rPr>
        <w:t>programs remain below a 1.0 TRC ratio across the spectrum of av</w:t>
      </w:r>
      <w:r w:rsidR="007C5A2B">
        <w:rPr>
          <w:rFonts w:ascii="Garamond" w:hAnsi="Garamond"/>
          <w:sz w:val="23"/>
          <w:szCs w:val="23"/>
        </w:rPr>
        <w:t>oided generation costs tested</w:t>
      </w:r>
      <w:r w:rsidR="00C224C4">
        <w:rPr>
          <w:rFonts w:ascii="Garamond" w:hAnsi="Garamond"/>
          <w:sz w:val="23"/>
          <w:szCs w:val="23"/>
        </w:rPr>
        <w:t xml:space="preserve"> in the Generation Cost Variation sensitivity analysis</w:t>
      </w:r>
      <w:r w:rsidR="007C5A2B">
        <w:rPr>
          <w:rFonts w:ascii="Garamond" w:hAnsi="Garamond"/>
          <w:sz w:val="23"/>
          <w:szCs w:val="23"/>
        </w:rPr>
        <w:t xml:space="preserve">. </w:t>
      </w:r>
      <w:r w:rsidR="004D18E6">
        <w:rPr>
          <w:rFonts w:ascii="Garamond" w:hAnsi="Garamond"/>
          <w:sz w:val="23"/>
          <w:szCs w:val="23"/>
        </w:rPr>
        <w:t xml:space="preserve">From the left to right in </w:t>
      </w:r>
      <w:r w:rsidR="004D18E6">
        <w:rPr>
          <w:rFonts w:ascii="Garamond" w:hAnsi="Garamond"/>
          <w:sz w:val="23"/>
          <w:szCs w:val="23"/>
        </w:rPr>
        <w:fldChar w:fldCharType="begin"/>
      </w:r>
      <w:r w:rsidR="004D18E6">
        <w:rPr>
          <w:rFonts w:ascii="Garamond" w:hAnsi="Garamond"/>
          <w:sz w:val="23"/>
          <w:szCs w:val="23"/>
        </w:rPr>
        <w:instrText xml:space="preserve"> REF _Ref352933693 \h </w:instrText>
      </w:r>
      <w:r w:rsidR="004D18E6">
        <w:rPr>
          <w:rFonts w:ascii="Garamond" w:hAnsi="Garamond"/>
          <w:sz w:val="23"/>
          <w:szCs w:val="23"/>
        </w:rPr>
      </w:r>
      <w:r w:rsidR="004D18E6">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1</w:t>
      </w:r>
      <w:r w:rsidR="004D18E6">
        <w:rPr>
          <w:rFonts w:ascii="Garamond" w:hAnsi="Garamond"/>
          <w:sz w:val="23"/>
          <w:szCs w:val="23"/>
        </w:rPr>
        <w:fldChar w:fldCharType="end"/>
      </w:r>
      <w:r w:rsidR="004D18E6">
        <w:rPr>
          <w:rFonts w:ascii="Garamond" w:hAnsi="Garamond"/>
          <w:sz w:val="23"/>
          <w:szCs w:val="23"/>
        </w:rPr>
        <w:t xml:space="preserve">, the blue dots represent the low-case, base-case and high-case from the SWE sensitivity analysis. </w:t>
      </w:r>
      <w:r w:rsidRPr="00F73D1B">
        <w:rPr>
          <w:rFonts w:ascii="Garamond" w:hAnsi="Garamond"/>
          <w:sz w:val="23"/>
          <w:szCs w:val="23"/>
        </w:rPr>
        <w:t xml:space="preserve">Given all other base case assumptions, the </w:t>
      </w:r>
      <w:r w:rsidR="007C5A2B">
        <w:rPr>
          <w:rFonts w:ascii="Garamond" w:hAnsi="Garamond"/>
          <w:sz w:val="23"/>
          <w:szCs w:val="23"/>
        </w:rPr>
        <w:t xml:space="preserve">average </w:t>
      </w:r>
      <w:r w:rsidRPr="00F73D1B">
        <w:rPr>
          <w:rFonts w:ascii="Garamond" w:hAnsi="Garamond"/>
          <w:sz w:val="23"/>
          <w:szCs w:val="23"/>
        </w:rPr>
        <w:t xml:space="preserve">avoided </w:t>
      </w:r>
      <w:r w:rsidR="00596234">
        <w:rPr>
          <w:rFonts w:ascii="Garamond" w:hAnsi="Garamond"/>
          <w:sz w:val="23"/>
          <w:szCs w:val="23"/>
        </w:rPr>
        <w:t xml:space="preserve">cost of </w:t>
      </w:r>
      <w:r w:rsidRPr="00F73D1B">
        <w:rPr>
          <w:rFonts w:ascii="Garamond" w:hAnsi="Garamond"/>
          <w:sz w:val="23"/>
          <w:szCs w:val="23"/>
        </w:rPr>
        <w:t>generation capacity would have to be $233</w:t>
      </w:r>
      <w:r w:rsidR="00596234">
        <w:rPr>
          <w:rFonts w:ascii="Garamond" w:hAnsi="Garamond"/>
          <w:sz w:val="23"/>
          <w:szCs w:val="23"/>
        </w:rPr>
        <w:t xml:space="preserve"> per kW-year</w:t>
      </w:r>
      <w:r w:rsidRPr="00F73D1B">
        <w:rPr>
          <w:rFonts w:ascii="Garamond" w:hAnsi="Garamond"/>
          <w:sz w:val="23"/>
          <w:szCs w:val="23"/>
        </w:rPr>
        <w:t xml:space="preserve"> for </w:t>
      </w:r>
      <w:r w:rsidR="00596234">
        <w:rPr>
          <w:rFonts w:ascii="Garamond" w:hAnsi="Garamond"/>
          <w:sz w:val="23"/>
          <w:szCs w:val="23"/>
        </w:rPr>
        <w:t>DLC program benefits to outweigh costs</w:t>
      </w:r>
      <w:r w:rsidR="00726E7F">
        <w:rPr>
          <w:rFonts w:ascii="Garamond" w:hAnsi="Garamond"/>
          <w:sz w:val="23"/>
          <w:szCs w:val="23"/>
        </w:rPr>
        <w:t xml:space="preserve">. </w:t>
      </w:r>
      <w:r w:rsidR="00C224C4">
        <w:rPr>
          <w:rFonts w:ascii="Garamond" w:hAnsi="Garamond"/>
          <w:sz w:val="23"/>
          <w:szCs w:val="23"/>
        </w:rPr>
        <w:t xml:space="preserve">This is displayed as the “Break Even Price” in </w:t>
      </w:r>
      <w:r w:rsidR="00C224C4">
        <w:rPr>
          <w:rFonts w:ascii="Garamond" w:hAnsi="Garamond"/>
          <w:sz w:val="23"/>
          <w:szCs w:val="23"/>
        </w:rPr>
        <w:fldChar w:fldCharType="begin"/>
      </w:r>
      <w:r w:rsidR="00C224C4">
        <w:rPr>
          <w:rFonts w:ascii="Garamond" w:hAnsi="Garamond"/>
          <w:sz w:val="23"/>
          <w:szCs w:val="23"/>
        </w:rPr>
        <w:instrText xml:space="preserve"> REF _Ref352933693 \h </w:instrText>
      </w:r>
      <w:r w:rsidR="00C224C4">
        <w:rPr>
          <w:rFonts w:ascii="Garamond" w:hAnsi="Garamond"/>
          <w:sz w:val="23"/>
          <w:szCs w:val="23"/>
        </w:rPr>
      </w:r>
      <w:r w:rsidR="00C224C4">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1</w:t>
      </w:r>
      <w:r w:rsidR="00C224C4">
        <w:rPr>
          <w:rFonts w:ascii="Garamond" w:hAnsi="Garamond"/>
          <w:sz w:val="23"/>
          <w:szCs w:val="23"/>
        </w:rPr>
        <w:fldChar w:fldCharType="end"/>
      </w:r>
      <w:r w:rsidR="00C224C4">
        <w:rPr>
          <w:rFonts w:ascii="Garamond" w:hAnsi="Garamond"/>
          <w:sz w:val="23"/>
          <w:szCs w:val="23"/>
        </w:rPr>
        <w:t xml:space="preserve"> and represents the avoided cost of generation capacity that would be needed to result in a </w:t>
      </w:r>
      <w:r w:rsidR="00C224C4">
        <w:rPr>
          <w:rFonts w:ascii="Garamond" w:hAnsi="Garamond"/>
          <w:sz w:val="23"/>
          <w:szCs w:val="23"/>
        </w:rPr>
        <w:lastRenderedPageBreak/>
        <w:t xml:space="preserve">TRC ratio of 1.0. </w:t>
      </w:r>
      <w:r w:rsidR="007C5A2B">
        <w:rPr>
          <w:rFonts w:ascii="Garamond" w:hAnsi="Garamond"/>
          <w:sz w:val="23"/>
          <w:szCs w:val="23"/>
        </w:rPr>
        <w:t>Increases in generation</w:t>
      </w:r>
      <w:r w:rsidRPr="00F73D1B">
        <w:rPr>
          <w:rFonts w:ascii="Garamond" w:hAnsi="Garamond"/>
          <w:sz w:val="23"/>
          <w:szCs w:val="23"/>
        </w:rPr>
        <w:t xml:space="preserve"> capacity costs alone </w:t>
      </w:r>
      <w:r w:rsidR="007C5A2B">
        <w:rPr>
          <w:rFonts w:ascii="Garamond" w:hAnsi="Garamond"/>
          <w:sz w:val="23"/>
          <w:szCs w:val="23"/>
        </w:rPr>
        <w:t xml:space="preserve">are unlikely be sufficiently high </w:t>
      </w:r>
      <w:r w:rsidRPr="00F73D1B">
        <w:rPr>
          <w:rFonts w:ascii="Garamond" w:hAnsi="Garamond"/>
          <w:sz w:val="23"/>
          <w:szCs w:val="23"/>
        </w:rPr>
        <w:t>to produce reasonable T</w:t>
      </w:r>
      <w:r w:rsidR="00726E7F">
        <w:rPr>
          <w:rFonts w:ascii="Garamond" w:hAnsi="Garamond"/>
          <w:sz w:val="23"/>
          <w:szCs w:val="23"/>
        </w:rPr>
        <w:t xml:space="preserve">RC results for direct </w:t>
      </w:r>
      <w:r w:rsidR="007C5A2B">
        <w:rPr>
          <w:rFonts w:ascii="Garamond" w:hAnsi="Garamond"/>
          <w:sz w:val="23"/>
          <w:szCs w:val="23"/>
        </w:rPr>
        <w:t xml:space="preserve">load </w:t>
      </w:r>
      <w:r w:rsidR="00726E7F">
        <w:rPr>
          <w:rFonts w:ascii="Garamond" w:hAnsi="Garamond"/>
          <w:sz w:val="23"/>
          <w:szCs w:val="23"/>
        </w:rPr>
        <w:t xml:space="preserve">control. </w:t>
      </w:r>
    </w:p>
    <w:p w:rsidR="00A325BD" w:rsidRPr="00A325BD" w:rsidRDefault="00A325BD" w:rsidP="00A325BD">
      <w:pPr>
        <w:pStyle w:val="Caption"/>
        <w:keepNext/>
        <w:jc w:val="center"/>
        <w:rPr>
          <w:rFonts w:ascii="Garamond" w:hAnsi="Garamond"/>
          <w:sz w:val="23"/>
          <w:szCs w:val="23"/>
        </w:rPr>
      </w:pPr>
      <w:bookmarkStart w:id="104" w:name="_Ref352933693"/>
      <w:r w:rsidRPr="00A325BD">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1</w:t>
      </w:r>
      <w:r w:rsidR="00F45397">
        <w:rPr>
          <w:rFonts w:ascii="Garamond" w:hAnsi="Garamond"/>
          <w:sz w:val="23"/>
          <w:szCs w:val="23"/>
        </w:rPr>
        <w:fldChar w:fldCharType="end"/>
      </w:r>
      <w:bookmarkEnd w:id="104"/>
      <w:r w:rsidRPr="00A325BD">
        <w:rPr>
          <w:rFonts w:ascii="Garamond" w:hAnsi="Garamond"/>
          <w:sz w:val="23"/>
          <w:szCs w:val="23"/>
        </w:rPr>
        <w:t xml:space="preserve">: Avoided Generation Cost Scenarios – All </w:t>
      </w:r>
      <w:r w:rsidR="00E74526">
        <w:rPr>
          <w:rFonts w:ascii="Garamond" w:hAnsi="Garamond"/>
          <w:sz w:val="23"/>
          <w:szCs w:val="23"/>
        </w:rPr>
        <w:t xml:space="preserve">DLC </w:t>
      </w:r>
      <w:r w:rsidRPr="00A325BD">
        <w:rPr>
          <w:rFonts w:ascii="Garamond" w:hAnsi="Garamond"/>
          <w:sz w:val="23"/>
          <w:szCs w:val="23"/>
        </w:rPr>
        <w:t>Programs Combined</w:t>
      </w:r>
    </w:p>
    <w:p w:rsidR="00FB5EFD" w:rsidRDefault="00FB5EFD" w:rsidP="00F73D1B">
      <w:pPr>
        <w:jc w:val="center"/>
      </w:pPr>
      <w:r w:rsidRPr="00997052">
        <w:rPr>
          <w:noProof/>
        </w:rPr>
        <w:drawing>
          <wp:inline distT="0" distB="0" distL="0" distR="0" wp14:anchorId="6FAE9381" wp14:editId="175DBC12">
            <wp:extent cx="4897755" cy="29178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4897755" cy="2917825"/>
                    </a:xfrm>
                    <a:prstGeom prst="rect">
                      <a:avLst/>
                    </a:prstGeom>
                    <a:noFill/>
                    <a:ln w="9525">
                      <a:noFill/>
                      <a:miter lim="800000"/>
                      <a:headEnd/>
                      <a:tailEnd/>
                    </a:ln>
                  </pic:spPr>
                </pic:pic>
              </a:graphicData>
            </a:graphic>
          </wp:inline>
        </w:drawing>
      </w:r>
    </w:p>
    <w:p w:rsidR="004D18E6" w:rsidRPr="004D18E6" w:rsidRDefault="004D18E6" w:rsidP="004D18E6">
      <w:pPr>
        <w:spacing w:line="240" w:lineRule="auto"/>
        <w:rPr>
          <w:rFonts w:ascii="Garamond" w:hAnsi="Garamond"/>
          <w:sz w:val="23"/>
          <w:szCs w:val="23"/>
        </w:rPr>
      </w:pPr>
      <w:r>
        <w:rPr>
          <w:rFonts w:ascii="Garamond" w:hAnsi="Garamond"/>
          <w:sz w:val="23"/>
          <w:szCs w:val="23"/>
        </w:rPr>
        <w:fldChar w:fldCharType="begin"/>
      </w:r>
      <w:r>
        <w:rPr>
          <w:rFonts w:ascii="Garamond" w:hAnsi="Garamond"/>
          <w:sz w:val="23"/>
          <w:szCs w:val="23"/>
        </w:rPr>
        <w:instrText xml:space="preserve"> REF _Ref352933897 \h </w:instrText>
      </w:r>
      <w:r>
        <w:rPr>
          <w:rFonts w:ascii="Garamond" w:hAnsi="Garamond"/>
          <w:sz w:val="23"/>
          <w:szCs w:val="23"/>
        </w:rPr>
      </w:r>
      <w:r>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2</w:t>
      </w:r>
      <w:r>
        <w:rPr>
          <w:rFonts w:ascii="Garamond" w:hAnsi="Garamond"/>
          <w:sz w:val="23"/>
          <w:szCs w:val="23"/>
        </w:rPr>
        <w:fldChar w:fldCharType="end"/>
      </w:r>
      <w:r>
        <w:rPr>
          <w:rFonts w:ascii="Garamond" w:hAnsi="Garamond"/>
          <w:sz w:val="23"/>
          <w:szCs w:val="23"/>
        </w:rPr>
        <w:t xml:space="preserve"> shows that </w:t>
      </w:r>
      <w:r w:rsidRPr="00F73D1B">
        <w:rPr>
          <w:rFonts w:ascii="Garamond" w:hAnsi="Garamond"/>
          <w:sz w:val="23"/>
          <w:szCs w:val="23"/>
        </w:rPr>
        <w:t>v</w:t>
      </w:r>
      <w:r>
        <w:rPr>
          <w:rFonts w:ascii="Garamond" w:hAnsi="Garamond"/>
          <w:sz w:val="23"/>
          <w:szCs w:val="23"/>
        </w:rPr>
        <w:t>arying the avoided T&amp;D benefits assigned to DR impacts has a marginal effect on program cost effectiveness. Even at the high case of $50/kW-year the estimated statewide TRC ratio fails to reach 0.5.</w:t>
      </w:r>
    </w:p>
    <w:p w:rsidR="00A325BD" w:rsidRPr="00A325BD" w:rsidRDefault="00A325BD" w:rsidP="00A325BD">
      <w:pPr>
        <w:pStyle w:val="Caption"/>
        <w:keepNext/>
        <w:jc w:val="center"/>
        <w:rPr>
          <w:rFonts w:ascii="Garamond" w:hAnsi="Garamond"/>
          <w:sz w:val="23"/>
          <w:szCs w:val="23"/>
        </w:rPr>
      </w:pPr>
      <w:bookmarkStart w:id="105" w:name="_Ref352933897"/>
      <w:r w:rsidRPr="00A325BD">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2</w:t>
      </w:r>
      <w:r w:rsidR="00F45397">
        <w:rPr>
          <w:rFonts w:ascii="Garamond" w:hAnsi="Garamond"/>
          <w:sz w:val="23"/>
          <w:szCs w:val="23"/>
        </w:rPr>
        <w:fldChar w:fldCharType="end"/>
      </w:r>
      <w:bookmarkEnd w:id="105"/>
      <w:r w:rsidRPr="00A325BD">
        <w:rPr>
          <w:rFonts w:ascii="Garamond" w:hAnsi="Garamond"/>
          <w:sz w:val="23"/>
          <w:szCs w:val="23"/>
        </w:rPr>
        <w:t xml:space="preserve">: Avoided T&amp;D Cost Scenarios – All </w:t>
      </w:r>
      <w:r w:rsidR="00E74526">
        <w:rPr>
          <w:rFonts w:ascii="Garamond" w:hAnsi="Garamond"/>
          <w:sz w:val="23"/>
          <w:szCs w:val="23"/>
        </w:rPr>
        <w:t xml:space="preserve">DLC </w:t>
      </w:r>
      <w:r w:rsidRPr="00A325BD">
        <w:rPr>
          <w:rFonts w:ascii="Garamond" w:hAnsi="Garamond"/>
          <w:sz w:val="23"/>
          <w:szCs w:val="23"/>
        </w:rPr>
        <w:t>Programs Combined</w:t>
      </w:r>
    </w:p>
    <w:p w:rsidR="00FB5EFD" w:rsidRDefault="00FB5EFD" w:rsidP="00F73D1B">
      <w:pPr>
        <w:jc w:val="center"/>
      </w:pPr>
      <w:r w:rsidRPr="00997052">
        <w:rPr>
          <w:noProof/>
        </w:rPr>
        <w:drawing>
          <wp:inline distT="0" distB="0" distL="0" distR="0" wp14:anchorId="0204A9ED" wp14:editId="07F7A319">
            <wp:extent cx="4897755" cy="2886075"/>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4897755" cy="2886075"/>
                    </a:xfrm>
                    <a:prstGeom prst="rect">
                      <a:avLst/>
                    </a:prstGeom>
                    <a:noFill/>
                    <a:ln w="9525">
                      <a:noFill/>
                      <a:miter lim="800000"/>
                      <a:headEnd/>
                      <a:tailEnd/>
                    </a:ln>
                  </pic:spPr>
                </pic:pic>
              </a:graphicData>
            </a:graphic>
          </wp:inline>
        </w:drawing>
      </w:r>
    </w:p>
    <w:p w:rsidR="00D05FC1" w:rsidRPr="00F73D1B" w:rsidRDefault="00FB5EFD" w:rsidP="00F73D1B">
      <w:pPr>
        <w:spacing w:line="240" w:lineRule="auto"/>
        <w:rPr>
          <w:rFonts w:ascii="Garamond" w:hAnsi="Garamond"/>
          <w:sz w:val="23"/>
          <w:szCs w:val="23"/>
        </w:rPr>
      </w:pPr>
      <w:r w:rsidRPr="00F73D1B">
        <w:rPr>
          <w:rFonts w:ascii="Garamond" w:hAnsi="Garamond"/>
          <w:sz w:val="23"/>
          <w:szCs w:val="23"/>
        </w:rPr>
        <w:t xml:space="preserve">Two </w:t>
      </w:r>
      <w:r w:rsidR="00135E81">
        <w:rPr>
          <w:rFonts w:ascii="Garamond" w:hAnsi="Garamond"/>
          <w:sz w:val="23"/>
          <w:szCs w:val="23"/>
        </w:rPr>
        <w:t>additional</w:t>
      </w:r>
      <w:r w:rsidRPr="00F73D1B">
        <w:rPr>
          <w:rFonts w:ascii="Garamond" w:hAnsi="Garamond"/>
          <w:sz w:val="23"/>
          <w:szCs w:val="23"/>
        </w:rPr>
        <w:t xml:space="preserve"> scenarios that </w:t>
      </w:r>
      <w:r w:rsidR="00135E81">
        <w:rPr>
          <w:rFonts w:ascii="Garamond" w:hAnsi="Garamond"/>
          <w:sz w:val="23"/>
          <w:szCs w:val="23"/>
        </w:rPr>
        <w:t>produce a more favorable statewide</w:t>
      </w:r>
      <w:r w:rsidRPr="00F73D1B">
        <w:rPr>
          <w:rFonts w:ascii="Garamond" w:hAnsi="Garamond"/>
          <w:sz w:val="23"/>
          <w:szCs w:val="23"/>
        </w:rPr>
        <w:t xml:space="preserve"> TRC ratio are</w:t>
      </w:r>
      <w:r w:rsidR="004D18E6">
        <w:rPr>
          <w:rFonts w:ascii="Garamond" w:hAnsi="Garamond"/>
          <w:sz w:val="23"/>
          <w:szCs w:val="23"/>
        </w:rPr>
        <w:t xml:space="preserve"> the Reduced Incentive Cost and Full Load Reduction scenarios introduced in Sections </w:t>
      </w:r>
      <w:r w:rsidR="004D18E6">
        <w:rPr>
          <w:rFonts w:ascii="Garamond" w:hAnsi="Garamond"/>
          <w:sz w:val="23"/>
          <w:szCs w:val="23"/>
        </w:rPr>
        <w:fldChar w:fldCharType="begin"/>
      </w:r>
      <w:r w:rsidR="004D18E6">
        <w:rPr>
          <w:rFonts w:ascii="Garamond" w:hAnsi="Garamond"/>
          <w:sz w:val="23"/>
          <w:szCs w:val="23"/>
        </w:rPr>
        <w:instrText xml:space="preserve"> REF _Ref352937460 \r \h </w:instrText>
      </w:r>
      <w:r w:rsidR="004D18E6">
        <w:rPr>
          <w:rFonts w:ascii="Garamond" w:hAnsi="Garamond"/>
          <w:sz w:val="23"/>
          <w:szCs w:val="23"/>
        </w:rPr>
      </w:r>
      <w:r w:rsidR="004D18E6">
        <w:rPr>
          <w:rFonts w:ascii="Garamond" w:hAnsi="Garamond"/>
          <w:sz w:val="23"/>
          <w:szCs w:val="23"/>
        </w:rPr>
        <w:fldChar w:fldCharType="separate"/>
      </w:r>
      <w:r w:rsidR="00451FFF">
        <w:rPr>
          <w:rFonts w:ascii="Garamond" w:hAnsi="Garamond"/>
          <w:sz w:val="23"/>
          <w:szCs w:val="23"/>
        </w:rPr>
        <w:t>2</w:t>
      </w:r>
      <w:r w:rsidR="004D18E6">
        <w:rPr>
          <w:rFonts w:ascii="Garamond" w:hAnsi="Garamond"/>
          <w:sz w:val="23"/>
          <w:szCs w:val="23"/>
        </w:rPr>
        <w:fldChar w:fldCharType="end"/>
      </w:r>
      <w:r w:rsidR="004D18E6">
        <w:rPr>
          <w:rFonts w:ascii="Garamond" w:hAnsi="Garamond"/>
          <w:sz w:val="23"/>
          <w:szCs w:val="23"/>
        </w:rPr>
        <w:fldChar w:fldCharType="begin"/>
      </w:r>
      <w:r w:rsidR="004D18E6">
        <w:rPr>
          <w:rFonts w:ascii="Garamond" w:hAnsi="Garamond"/>
          <w:sz w:val="23"/>
          <w:szCs w:val="23"/>
        </w:rPr>
        <w:instrText xml:space="preserve"> REF _Ref352937464 \r \h </w:instrText>
      </w:r>
      <w:r w:rsidR="004D18E6">
        <w:rPr>
          <w:rFonts w:ascii="Garamond" w:hAnsi="Garamond"/>
          <w:sz w:val="23"/>
          <w:szCs w:val="23"/>
        </w:rPr>
      </w:r>
      <w:r w:rsidR="004D18E6">
        <w:rPr>
          <w:rFonts w:ascii="Garamond" w:hAnsi="Garamond"/>
          <w:sz w:val="23"/>
          <w:szCs w:val="23"/>
        </w:rPr>
        <w:fldChar w:fldCharType="separate"/>
      </w:r>
      <w:r w:rsidR="00451FFF">
        <w:rPr>
          <w:rFonts w:ascii="Garamond" w:hAnsi="Garamond"/>
          <w:sz w:val="23"/>
          <w:szCs w:val="23"/>
        </w:rPr>
        <w:t>c</w:t>
      </w:r>
      <w:r w:rsidR="004D18E6">
        <w:rPr>
          <w:rFonts w:ascii="Garamond" w:hAnsi="Garamond"/>
          <w:sz w:val="23"/>
          <w:szCs w:val="23"/>
        </w:rPr>
        <w:fldChar w:fldCharType="end"/>
      </w:r>
      <w:r w:rsidR="004D18E6">
        <w:rPr>
          <w:rFonts w:ascii="Garamond" w:hAnsi="Garamond"/>
          <w:sz w:val="23"/>
          <w:szCs w:val="23"/>
        </w:rPr>
        <w:t xml:space="preserve"> and </w:t>
      </w:r>
      <w:r w:rsidR="004D18E6">
        <w:rPr>
          <w:rFonts w:ascii="Garamond" w:hAnsi="Garamond"/>
          <w:sz w:val="23"/>
          <w:szCs w:val="23"/>
        </w:rPr>
        <w:fldChar w:fldCharType="begin"/>
      </w:r>
      <w:r w:rsidR="004D18E6">
        <w:rPr>
          <w:rFonts w:ascii="Garamond" w:hAnsi="Garamond"/>
          <w:sz w:val="23"/>
          <w:szCs w:val="23"/>
        </w:rPr>
        <w:instrText xml:space="preserve"> REF _Ref352937476 \r \h </w:instrText>
      </w:r>
      <w:r w:rsidR="004D18E6">
        <w:rPr>
          <w:rFonts w:ascii="Garamond" w:hAnsi="Garamond"/>
          <w:sz w:val="23"/>
          <w:szCs w:val="23"/>
        </w:rPr>
      </w:r>
      <w:r w:rsidR="004D18E6">
        <w:rPr>
          <w:rFonts w:ascii="Garamond" w:hAnsi="Garamond"/>
          <w:sz w:val="23"/>
          <w:szCs w:val="23"/>
        </w:rPr>
        <w:fldChar w:fldCharType="separate"/>
      </w:r>
      <w:r w:rsidR="00451FFF">
        <w:rPr>
          <w:rFonts w:ascii="Garamond" w:hAnsi="Garamond"/>
          <w:sz w:val="23"/>
          <w:szCs w:val="23"/>
        </w:rPr>
        <w:t>2</w:t>
      </w:r>
      <w:r w:rsidR="004D18E6">
        <w:rPr>
          <w:rFonts w:ascii="Garamond" w:hAnsi="Garamond"/>
          <w:sz w:val="23"/>
          <w:szCs w:val="23"/>
        </w:rPr>
        <w:fldChar w:fldCharType="end"/>
      </w:r>
      <w:r w:rsidR="004D18E6">
        <w:rPr>
          <w:rFonts w:ascii="Garamond" w:hAnsi="Garamond"/>
          <w:sz w:val="23"/>
          <w:szCs w:val="23"/>
        </w:rPr>
        <w:fldChar w:fldCharType="begin"/>
      </w:r>
      <w:r w:rsidR="004D18E6">
        <w:rPr>
          <w:rFonts w:ascii="Garamond" w:hAnsi="Garamond"/>
          <w:sz w:val="23"/>
          <w:szCs w:val="23"/>
        </w:rPr>
        <w:instrText xml:space="preserve"> REF _Ref352937479 \r \h </w:instrText>
      </w:r>
      <w:r w:rsidR="004D18E6">
        <w:rPr>
          <w:rFonts w:ascii="Garamond" w:hAnsi="Garamond"/>
          <w:sz w:val="23"/>
          <w:szCs w:val="23"/>
        </w:rPr>
      </w:r>
      <w:r w:rsidR="004D18E6">
        <w:rPr>
          <w:rFonts w:ascii="Garamond" w:hAnsi="Garamond"/>
          <w:sz w:val="23"/>
          <w:szCs w:val="23"/>
        </w:rPr>
        <w:fldChar w:fldCharType="separate"/>
      </w:r>
      <w:r w:rsidR="00451FFF">
        <w:rPr>
          <w:rFonts w:ascii="Garamond" w:hAnsi="Garamond"/>
          <w:sz w:val="23"/>
          <w:szCs w:val="23"/>
        </w:rPr>
        <w:t>e</w:t>
      </w:r>
      <w:r w:rsidR="004D18E6">
        <w:rPr>
          <w:rFonts w:ascii="Garamond" w:hAnsi="Garamond"/>
          <w:sz w:val="23"/>
          <w:szCs w:val="23"/>
        </w:rPr>
        <w:fldChar w:fldCharType="end"/>
      </w:r>
      <w:r w:rsidR="00135E81">
        <w:rPr>
          <w:rFonts w:ascii="Garamond" w:hAnsi="Garamond"/>
          <w:sz w:val="23"/>
          <w:szCs w:val="23"/>
        </w:rPr>
        <w:t xml:space="preserve">. </w:t>
      </w:r>
      <w:r w:rsidR="004D18E6">
        <w:rPr>
          <w:rFonts w:ascii="Garamond" w:hAnsi="Garamond"/>
          <w:sz w:val="23"/>
          <w:szCs w:val="23"/>
        </w:rPr>
        <w:t>The Full Load Reduction scenario</w:t>
      </w:r>
      <w:r w:rsidRPr="00F73D1B">
        <w:rPr>
          <w:rFonts w:ascii="Garamond" w:hAnsi="Garamond"/>
          <w:sz w:val="23"/>
          <w:szCs w:val="23"/>
        </w:rPr>
        <w:t xml:space="preserve"> takes the number of devices times the average kW savings per device as the </w:t>
      </w:r>
      <w:r w:rsidR="00726E7F">
        <w:rPr>
          <w:rFonts w:ascii="Garamond" w:hAnsi="Garamond"/>
          <w:sz w:val="23"/>
          <w:szCs w:val="23"/>
        </w:rPr>
        <w:t xml:space="preserve">program </w:t>
      </w:r>
      <w:r w:rsidRPr="00F73D1B">
        <w:rPr>
          <w:rFonts w:ascii="Garamond" w:hAnsi="Garamond"/>
          <w:sz w:val="23"/>
          <w:szCs w:val="23"/>
        </w:rPr>
        <w:t>demand savings, as opposed to allowing the averaging effects of non-control top 10</w:t>
      </w:r>
      <w:r w:rsidR="00726E7F">
        <w:rPr>
          <w:rFonts w:ascii="Garamond" w:hAnsi="Garamond"/>
          <w:sz w:val="23"/>
          <w:szCs w:val="23"/>
        </w:rPr>
        <w:t xml:space="preserve">0 hours to reduce the benefit. </w:t>
      </w:r>
      <w:r w:rsidR="00135E81">
        <w:rPr>
          <w:rFonts w:ascii="Garamond" w:hAnsi="Garamond"/>
          <w:sz w:val="23"/>
          <w:szCs w:val="23"/>
        </w:rPr>
        <w:lastRenderedPageBreak/>
        <w:t xml:space="preserve">These values were compared for each program in </w:t>
      </w:r>
      <w:r w:rsidR="00135E81">
        <w:rPr>
          <w:rFonts w:ascii="Garamond" w:hAnsi="Garamond"/>
          <w:sz w:val="23"/>
          <w:szCs w:val="23"/>
        </w:rPr>
        <w:fldChar w:fldCharType="begin"/>
      </w:r>
      <w:r w:rsidR="00135E81">
        <w:rPr>
          <w:rFonts w:ascii="Garamond" w:hAnsi="Garamond"/>
          <w:sz w:val="23"/>
          <w:szCs w:val="23"/>
        </w:rPr>
        <w:instrText xml:space="preserve"> REF _Ref352319307 \h </w:instrText>
      </w:r>
      <w:r w:rsidR="00135E81">
        <w:rPr>
          <w:rFonts w:ascii="Garamond" w:hAnsi="Garamond"/>
          <w:sz w:val="23"/>
          <w:szCs w:val="23"/>
        </w:rPr>
      </w:r>
      <w:r w:rsidR="00135E81">
        <w:rPr>
          <w:rFonts w:ascii="Garamond" w:hAnsi="Garamond"/>
          <w:sz w:val="23"/>
          <w:szCs w:val="23"/>
        </w:rPr>
        <w:fldChar w:fldCharType="separate"/>
      </w:r>
      <w:r w:rsidR="00451FFF" w:rsidRPr="002B3C2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sidR="00135E81">
        <w:rPr>
          <w:rFonts w:ascii="Garamond" w:hAnsi="Garamond"/>
          <w:sz w:val="23"/>
          <w:szCs w:val="23"/>
        </w:rPr>
        <w:fldChar w:fldCharType="end"/>
      </w:r>
      <w:r w:rsidR="00135E81">
        <w:rPr>
          <w:rFonts w:ascii="Garamond" w:hAnsi="Garamond"/>
          <w:sz w:val="23"/>
          <w:szCs w:val="23"/>
        </w:rPr>
        <w:t xml:space="preserve">. </w:t>
      </w:r>
      <w:r w:rsidR="00E456E4">
        <w:rPr>
          <w:rFonts w:ascii="Garamond" w:hAnsi="Garamond"/>
          <w:sz w:val="23"/>
          <w:szCs w:val="23"/>
        </w:rPr>
        <w:t>The SWE believes that the full reduction case is the correct way to view a DLC program</w:t>
      </w:r>
      <w:r w:rsidR="00135E81">
        <w:rPr>
          <w:rFonts w:ascii="Garamond" w:hAnsi="Garamond"/>
          <w:sz w:val="23"/>
          <w:szCs w:val="23"/>
        </w:rPr>
        <w:t xml:space="preserve"> because the value of a DR program lies in an EDC having load under control if needed</w:t>
      </w:r>
      <w:r w:rsidR="00E456E4">
        <w:rPr>
          <w:rFonts w:ascii="Garamond" w:hAnsi="Garamond"/>
          <w:sz w:val="23"/>
          <w:szCs w:val="23"/>
        </w:rPr>
        <w:t xml:space="preserve">. </w:t>
      </w:r>
      <w:r w:rsidR="00135E81">
        <w:rPr>
          <w:rFonts w:ascii="Garamond" w:hAnsi="Garamond"/>
          <w:sz w:val="23"/>
          <w:szCs w:val="23"/>
        </w:rPr>
        <w:t xml:space="preserve">As shown in </w:t>
      </w:r>
      <w:r w:rsidR="00135E81">
        <w:rPr>
          <w:rFonts w:ascii="Garamond" w:hAnsi="Garamond"/>
          <w:sz w:val="23"/>
          <w:szCs w:val="23"/>
        </w:rPr>
        <w:fldChar w:fldCharType="begin"/>
      </w:r>
      <w:r w:rsidR="00135E81">
        <w:rPr>
          <w:rFonts w:ascii="Garamond" w:hAnsi="Garamond"/>
          <w:sz w:val="23"/>
          <w:szCs w:val="23"/>
        </w:rPr>
        <w:instrText xml:space="preserve"> REF _Ref352319307 \h </w:instrText>
      </w:r>
      <w:r w:rsidR="00135E81">
        <w:rPr>
          <w:rFonts w:ascii="Garamond" w:hAnsi="Garamond"/>
          <w:sz w:val="23"/>
          <w:szCs w:val="23"/>
        </w:rPr>
      </w:r>
      <w:r w:rsidR="00135E81">
        <w:rPr>
          <w:rFonts w:ascii="Garamond" w:hAnsi="Garamond"/>
          <w:sz w:val="23"/>
          <w:szCs w:val="23"/>
        </w:rPr>
        <w:fldChar w:fldCharType="separate"/>
      </w:r>
      <w:r w:rsidR="00451FFF" w:rsidRPr="002B3C2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3</w:t>
      </w:r>
      <w:r w:rsidR="00135E81">
        <w:rPr>
          <w:rFonts w:ascii="Garamond" w:hAnsi="Garamond"/>
          <w:sz w:val="23"/>
          <w:szCs w:val="23"/>
        </w:rPr>
        <w:fldChar w:fldCharType="end"/>
      </w:r>
      <w:r w:rsidR="00135E81">
        <w:rPr>
          <w:rFonts w:ascii="Garamond" w:hAnsi="Garamond"/>
          <w:sz w:val="23"/>
          <w:szCs w:val="23"/>
        </w:rPr>
        <w:t>, b</w:t>
      </w:r>
      <w:r w:rsidR="00E456E4">
        <w:rPr>
          <w:rFonts w:ascii="Garamond" w:hAnsi="Garamond"/>
          <w:sz w:val="23"/>
          <w:szCs w:val="23"/>
        </w:rPr>
        <w:t>oth of these sensitivities improve TRC ratios, but ne</w:t>
      </w:r>
      <w:r w:rsidRPr="00F73D1B">
        <w:rPr>
          <w:rFonts w:ascii="Garamond" w:hAnsi="Garamond"/>
          <w:sz w:val="23"/>
          <w:szCs w:val="23"/>
        </w:rPr>
        <w:t>ither</w:t>
      </w:r>
      <w:r w:rsidR="00E456E4">
        <w:rPr>
          <w:rFonts w:ascii="Garamond" w:hAnsi="Garamond"/>
          <w:sz w:val="23"/>
          <w:szCs w:val="23"/>
        </w:rPr>
        <w:t xml:space="preserve"> adjustment</w:t>
      </w:r>
      <w:r w:rsidRPr="00F73D1B">
        <w:rPr>
          <w:rFonts w:ascii="Garamond" w:hAnsi="Garamond"/>
          <w:sz w:val="23"/>
          <w:szCs w:val="23"/>
        </w:rPr>
        <w:t xml:space="preserve"> in isolation produce</w:t>
      </w:r>
      <w:r w:rsidR="00E456E4">
        <w:rPr>
          <w:rFonts w:ascii="Garamond" w:hAnsi="Garamond"/>
          <w:sz w:val="23"/>
          <w:szCs w:val="23"/>
        </w:rPr>
        <w:t xml:space="preserve">s a cost effective result. </w:t>
      </w:r>
      <w:r w:rsidR="008B3D77">
        <w:rPr>
          <w:rFonts w:ascii="Garamond" w:hAnsi="Garamond"/>
          <w:sz w:val="23"/>
          <w:szCs w:val="23"/>
        </w:rPr>
        <w:t>The 75% incentive protocol has a limited effect on the TRC ratio for DLC because a large share of program costs is equipment purchase and installation rather than customer incentives.</w:t>
      </w:r>
    </w:p>
    <w:p w:rsidR="00A325BD" w:rsidRPr="00A325BD" w:rsidRDefault="00A325BD" w:rsidP="00A325BD">
      <w:pPr>
        <w:pStyle w:val="Caption"/>
        <w:keepNext/>
        <w:jc w:val="center"/>
        <w:rPr>
          <w:rFonts w:ascii="Garamond" w:hAnsi="Garamond"/>
          <w:sz w:val="23"/>
          <w:szCs w:val="23"/>
        </w:rPr>
      </w:pPr>
      <w:bookmarkStart w:id="106" w:name="_Ref352935646"/>
      <w:r w:rsidRPr="00A325BD">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3</w:t>
      </w:r>
      <w:r w:rsidR="00F45397">
        <w:rPr>
          <w:rFonts w:ascii="Garamond" w:hAnsi="Garamond"/>
          <w:sz w:val="23"/>
          <w:szCs w:val="23"/>
        </w:rPr>
        <w:fldChar w:fldCharType="end"/>
      </w:r>
      <w:bookmarkEnd w:id="106"/>
      <w:r w:rsidRPr="00A325BD">
        <w:rPr>
          <w:rFonts w:ascii="Garamond" w:hAnsi="Garamond"/>
          <w:sz w:val="23"/>
          <w:szCs w:val="23"/>
        </w:rPr>
        <w:t xml:space="preserve">: 75% Incentive and Full Load Reduction Cases – All </w:t>
      </w:r>
      <w:r w:rsidR="00E74526">
        <w:rPr>
          <w:rFonts w:ascii="Garamond" w:hAnsi="Garamond"/>
          <w:sz w:val="23"/>
          <w:szCs w:val="23"/>
        </w:rPr>
        <w:t xml:space="preserve">DLC </w:t>
      </w:r>
      <w:r w:rsidRPr="00A325BD">
        <w:rPr>
          <w:rFonts w:ascii="Garamond" w:hAnsi="Garamond"/>
          <w:sz w:val="23"/>
          <w:szCs w:val="23"/>
        </w:rPr>
        <w:t>Programs Combined</w:t>
      </w:r>
    </w:p>
    <w:p w:rsidR="00FB5EFD" w:rsidRDefault="00FB5EFD" w:rsidP="00F73D1B">
      <w:pPr>
        <w:jc w:val="center"/>
      </w:pPr>
      <w:r w:rsidRPr="004E7D7D">
        <w:rPr>
          <w:noProof/>
        </w:rPr>
        <w:drawing>
          <wp:inline distT="0" distB="0" distL="0" distR="0" wp14:anchorId="423899D3" wp14:editId="107216C7">
            <wp:extent cx="4897755" cy="2894330"/>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4897755" cy="2894330"/>
                    </a:xfrm>
                    <a:prstGeom prst="rect">
                      <a:avLst/>
                    </a:prstGeom>
                    <a:noFill/>
                    <a:ln w="9525">
                      <a:noFill/>
                      <a:miter lim="800000"/>
                      <a:headEnd/>
                      <a:tailEnd/>
                    </a:ln>
                  </pic:spPr>
                </pic:pic>
              </a:graphicData>
            </a:graphic>
          </wp:inline>
        </w:drawing>
      </w:r>
    </w:p>
    <w:p w:rsidR="00FB5EFD" w:rsidRPr="00F73D1B" w:rsidRDefault="004D18E6" w:rsidP="00F73D1B">
      <w:pPr>
        <w:spacing w:line="240" w:lineRule="auto"/>
        <w:rPr>
          <w:rFonts w:ascii="Garamond" w:hAnsi="Garamond"/>
        </w:rPr>
      </w:pPr>
      <w:r>
        <w:rPr>
          <w:rFonts w:ascii="Garamond" w:hAnsi="Garamond"/>
        </w:rPr>
        <w:t xml:space="preserve">The results of the line loss factor sensitivity that was introduced in Section </w:t>
      </w:r>
      <w:r>
        <w:rPr>
          <w:rFonts w:ascii="Garamond" w:hAnsi="Garamond"/>
        </w:rPr>
        <w:fldChar w:fldCharType="begin"/>
      </w:r>
      <w:r>
        <w:rPr>
          <w:rFonts w:ascii="Garamond" w:hAnsi="Garamond"/>
        </w:rPr>
        <w:instrText xml:space="preserve"> REF _Ref352937648 \r \h </w:instrText>
      </w:r>
      <w:r>
        <w:rPr>
          <w:rFonts w:ascii="Garamond" w:hAnsi="Garamond"/>
        </w:rPr>
      </w:r>
      <w:r>
        <w:rPr>
          <w:rFonts w:ascii="Garamond" w:hAnsi="Garamond"/>
        </w:rPr>
        <w:fldChar w:fldCharType="separate"/>
      </w:r>
      <w:r w:rsidR="00451FFF">
        <w:rPr>
          <w:rFonts w:ascii="Garamond" w:hAnsi="Garamond"/>
        </w:rPr>
        <w:t>2</w:t>
      </w:r>
      <w:r>
        <w:rPr>
          <w:rFonts w:ascii="Garamond" w:hAnsi="Garamond"/>
        </w:rPr>
        <w:fldChar w:fldCharType="end"/>
      </w:r>
      <w:r>
        <w:rPr>
          <w:rFonts w:ascii="Garamond" w:hAnsi="Garamond"/>
        </w:rPr>
        <w:fldChar w:fldCharType="begin"/>
      </w:r>
      <w:r>
        <w:rPr>
          <w:rFonts w:ascii="Garamond" w:hAnsi="Garamond"/>
        </w:rPr>
        <w:instrText xml:space="preserve"> REF _Ref352937649 \r \h </w:instrText>
      </w:r>
      <w:r>
        <w:rPr>
          <w:rFonts w:ascii="Garamond" w:hAnsi="Garamond"/>
        </w:rPr>
      </w:r>
      <w:r>
        <w:rPr>
          <w:rFonts w:ascii="Garamond" w:hAnsi="Garamond"/>
        </w:rPr>
        <w:fldChar w:fldCharType="separate"/>
      </w:r>
      <w:r w:rsidR="00451FFF">
        <w:rPr>
          <w:rFonts w:ascii="Garamond" w:hAnsi="Garamond"/>
        </w:rPr>
        <w:t>d</w:t>
      </w:r>
      <w:r>
        <w:rPr>
          <w:rFonts w:ascii="Garamond" w:hAnsi="Garamond"/>
        </w:rPr>
        <w:fldChar w:fldCharType="end"/>
      </w:r>
      <w:r>
        <w:rPr>
          <w:rFonts w:ascii="Garamond" w:hAnsi="Garamond"/>
        </w:rPr>
        <w:t xml:space="preserve"> are presented in </w:t>
      </w:r>
      <w:r>
        <w:rPr>
          <w:rFonts w:ascii="Garamond" w:hAnsi="Garamond"/>
        </w:rPr>
        <w:fldChar w:fldCharType="begin"/>
      </w:r>
      <w:r>
        <w:rPr>
          <w:rFonts w:ascii="Garamond" w:hAnsi="Garamond"/>
        </w:rPr>
        <w:instrText xml:space="preserve"> REF _Ref352935912 \h </w:instrText>
      </w:r>
      <w:r>
        <w:rPr>
          <w:rFonts w:ascii="Garamond" w:hAnsi="Garamond"/>
        </w:rPr>
      </w:r>
      <w:r>
        <w:rPr>
          <w:rFonts w:ascii="Garamond" w:hAnsi="Garamond"/>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4</w:t>
      </w:r>
      <w:r>
        <w:rPr>
          <w:rFonts w:ascii="Garamond" w:hAnsi="Garamond"/>
        </w:rPr>
        <w:fldChar w:fldCharType="end"/>
      </w:r>
      <w:r>
        <w:rPr>
          <w:rFonts w:ascii="Garamond" w:hAnsi="Garamond"/>
        </w:rPr>
        <w:t xml:space="preserve">. </w:t>
      </w:r>
      <w:r w:rsidR="00FB5EFD" w:rsidRPr="00F73D1B">
        <w:rPr>
          <w:rFonts w:ascii="Garamond" w:hAnsi="Garamond"/>
        </w:rPr>
        <w:t>As with the other scenarios, the li</w:t>
      </w:r>
      <w:r w:rsidR="00A325BD">
        <w:rPr>
          <w:rFonts w:ascii="Garamond" w:hAnsi="Garamond"/>
        </w:rPr>
        <w:t>ne loss assumption used to gross up customer savings at the meter to the system</w:t>
      </w:r>
      <w:r w:rsidR="00FB5EFD" w:rsidRPr="00F73D1B">
        <w:rPr>
          <w:rFonts w:ascii="Garamond" w:hAnsi="Garamond"/>
        </w:rPr>
        <w:t xml:space="preserve"> </w:t>
      </w:r>
      <w:r w:rsidR="0071253A">
        <w:rPr>
          <w:rFonts w:ascii="Garamond" w:hAnsi="Garamond"/>
        </w:rPr>
        <w:t xml:space="preserve">level </w:t>
      </w:r>
      <w:r w:rsidR="00FB5EFD" w:rsidRPr="00F73D1B">
        <w:rPr>
          <w:rFonts w:ascii="Garamond" w:hAnsi="Garamond"/>
        </w:rPr>
        <w:t xml:space="preserve">have a small effect on the TRC ratios, but not enough in and of themselves to produce a cost effective </w:t>
      </w:r>
      <w:r>
        <w:rPr>
          <w:rFonts w:ascii="Garamond" w:hAnsi="Garamond"/>
        </w:rPr>
        <w:t xml:space="preserve">direct load control </w:t>
      </w:r>
      <w:r w:rsidR="00FB5EFD" w:rsidRPr="00F73D1B">
        <w:rPr>
          <w:rFonts w:ascii="Garamond" w:hAnsi="Garamond"/>
        </w:rPr>
        <w:t>program.</w:t>
      </w:r>
    </w:p>
    <w:p w:rsidR="00A325BD" w:rsidRPr="00A325BD" w:rsidRDefault="00A325BD" w:rsidP="00A325BD">
      <w:pPr>
        <w:pStyle w:val="Caption"/>
        <w:keepNext/>
        <w:jc w:val="center"/>
        <w:rPr>
          <w:rFonts w:ascii="Garamond" w:hAnsi="Garamond"/>
          <w:sz w:val="23"/>
          <w:szCs w:val="23"/>
        </w:rPr>
      </w:pPr>
      <w:bookmarkStart w:id="107" w:name="_Ref352935912"/>
      <w:r w:rsidRPr="00A325BD">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4</w:t>
      </w:r>
      <w:r w:rsidR="00F45397">
        <w:rPr>
          <w:rFonts w:ascii="Garamond" w:hAnsi="Garamond"/>
          <w:sz w:val="23"/>
          <w:szCs w:val="23"/>
        </w:rPr>
        <w:fldChar w:fldCharType="end"/>
      </w:r>
      <w:bookmarkEnd w:id="107"/>
      <w:r w:rsidRPr="00A325BD">
        <w:rPr>
          <w:rFonts w:ascii="Garamond" w:hAnsi="Garamond"/>
          <w:sz w:val="23"/>
          <w:szCs w:val="23"/>
        </w:rPr>
        <w:t xml:space="preserve">: Line Loss Factor Scenarios – All </w:t>
      </w:r>
      <w:r w:rsidR="00E74526">
        <w:rPr>
          <w:rFonts w:ascii="Garamond" w:hAnsi="Garamond"/>
          <w:sz w:val="23"/>
          <w:szCs w:val="23"/>
        </w:rPr>
        <w:t xml:space="preserve">DLC </w:t>
      </w:r>
      <w:r w:rsidRPr="00A325BD">
        <w:rPr>
          <w:rFonts w:ascii="Garamond" w:hAnsi="Garamond"/>
          <w:sz w:val="23"/>
          <w:szCs w:val="23"/>
        </w:rPr>
        <w:t>Programs Combined</w:t>
      </w:r>
    </w:p>
    <w:p w:rsidR="00FB5EFD" w:rsidRDefault="00FB5EFD" w:rsidP="00F73D1B">
      <w:pPr>
        <w:jc w:val="center"/>
      </w:pPr>
      <w:r w:rsidRPr="004E7D7D">
        <w:rPr>
          <w:noProof/>
        </w:rPr>
        <w:drawing>
          <wp:inline distT="0" distB="0" distL="0" distR="0" wp14:anchorId="03E08067" wp14:editId="56AA940F">
            <wp:extent cx="4897755" cy="289433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4897755" cy="2894330"/>
                    </a:xfrm>
                    <a:prstGeom prst="rect">
                      <a:avLst/>
                    </a:prstGeom>
                    <a:noFill/>
                    <a:ln w="9525">
                      <a:noFill/>
                      <a:miter lim="800000"/>
                      <a:headEnd/>
                      <a:tailEnd/>
                    </a:ln>
                  </pic:spPr>
                </pic:pic>
              </a:graphicData>
            </a:graphic>
          </wp:inline>
        </w:drawing>
      </w:r>
    </w:p>
    <w:p w:rsidR="006C6BA6" w:rsidRDefault="004E7E80" w:rsidP="00F73D1B">
      <w:pPr>
        <w:spacing w:line="240" w:lineRule="auto"/>
        <w:rPr>
          <w:rFonts w:ascii="Garamond" w:hAnsi="Garamond"/>
          <w:sz w:val="23"/>
          <w:szCs w:val="23"/>
        </w:rPr>
      </w:pPr>
      <w:r>
        <w:rPr>
          <w:rFonts w:ascii="Garamond" w:hAnsi="Garamond"/>
          <w:sz w:val="23"/>
          <w:szCs w:val="23"/>
        </w:rPr>
        <w:lastRenderedPageBreak/>
        <w:t>The best case and worst</w:t>
      </w:r>
      <w:r w:rsidR="006C6BA6">
        <w:rPr>
          <w:rFonts w:ascii="Garamond" w:hAnsi="Garamond"/>
          <w:sz w:val="23"/>
          <w:szCs w:val="23"/>
        </w:rPr>
        <w:t xml:space="preserve"> case s</w:t>
      </w:r>
      <w:r w:rsidR="00C2348A">
        <w:rPr>
          <w:rFonts w:ascii="Garamond" w:hAnsi="Garamond"/>
          <w:sz w:val="23"/>
          <w:szCs w:val="23"/>
        </w:rPr>
        <w:t>cenarios described in Section 2g</w:t>
      </w:r>
      <w:r w:rsidR="006C6BA6">
        <w:rPr>
          <w:rFonts w:ascii="Garamond" w:hAnsi="Garamond"/>
          <w:sz w:val="23"/>
          <w:szCs w:val="23"/>
        </w:rPr>
        <w:t xml:space="preserve"> </w:t>
      </w:r>
      <w:r w:rsidR="00C2348A">
        <w:rPr>
          <w:rFonts w:ascii="Garamond" w:hAnsi="Garamond"/>
          <w:sz w:val="23"/>
          <w:szCs w:val="23"/>
        </w:rPr>
        <w:t>are</w:t>
      </w:r>
      <w:r w:rsidR="006C6BA6">
        <w:rPr>
          <w:rFonts w:ascii="Garamond" w:hAnsi="Garamond"/>
          <w:sz w:val="23"/>
          <w:szCs w:val="23"/>
        </w:rPr>
        <w:t xml:space="preserve"> presented in </w:t>
      </w:r>
      <w:r w:rsidR="00C2348A">
        <w:rPr>
          <w:rFonts w:ascii="Garamond" w:hAnsi="Garamond"/>
          <w:sz w:val="23"/>
          <w:szCs w:val="23"/>
        </w:rPr>
        <w:fldChar w:fldCharType="begin"/>
      </w:r>
      <w:r w:rsidR="00C2348A">
        <w:rPr>
          <w:rFonts w:ascii="Garamond" w:hAnsi="Garamond"/>
          <w:sz w:val="23"/>
          <w:szCs w:val="23"/>
        </w:rPr>
        <w:instrText xml:space="preserve"> REF _Ref354132802 \h </w:instrText>
      </w:r>
      <w:r w:rsidR="00C2348A">
        <w:rPr>
          <w:rFonts w:ascii="Garamond" w:hAnsi="Garamond"/>
          <w:sz w:val="23"/>
          <w:szCs w:val="23"/>
        </w:rPr>
      </w:r>
      <w:r w:rsidR="00C2348A">
        <w:rPr>
          <w:rFonts w:ascii="Garamond" w:hAnsi="Garamond"/>
          <w:sz w:val="23"/>
          <w:szCs w:val="23"/>
        </w:rPr>
        <w:fldChar w:fldCharType="separate"/>
      </w:r>
      <w:r w:rsidR="00451FFF" w:rsidRPr="00A325BD">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5</w:t>
      </w:r>
      <w:r w:rsidR="00C2348A">
        <w:rPr>
          <w:rFonts w:ascii="Garamond" w:hAnsi="Garamond"/>
          <w:sz w:val="23"/>
          <w:szCs w:val="23"/>
        </w:rPr>
        <w:fldChar w:fldCharType="end"/>
      </w:r>
      <w:r w:rsidR="00C2348A">
        <w:rPr>
          <w:rFonts w:ascii="Garamond" w:hAnsi="Garamond"/>
          <w:sz w:val="23"/>
          <w:szCs w:val="23"/>
        </w:rPr>
        <w:t xml:space="preserve"> for EDC direct load control programs. </w:t>
      </w:r>
      <w:r w:rsidR="006C6BA6">
        <w:rPr>
          <w:rFonts w:ascii="Garamond" w:hAnsi="Garamond"/>
          <w:sz w:val="23"/>
          <w:szCs w:val="23"/>
        </w:rPr>
        <w:t xml:space="preserve">These scenarios represent the full range of potential TRC ratios for the direct </w:t>
      </w:r>
      <w:r w:rsidR="00C2348A">
        <w:rPr>
          <w:rFonts w:ascii="Garamond" w:hAnsi="Garamond"/>
          <w:sz w:val="23"/>
          <w:szCs w:val="23"/>
        </w:rPr>
        <w:t xml:space="preserve">load control programs. </w:t>
      </w:r>
      <w:r w:rsidR="004E1CEB">
        <w:rPr>
          <w:rFonts w:ascii="Garamond" w:hAnsi="Garamond"/>
          <w:sz w:val="23"/>
          <w:szCs w:val="23"/>
        </w:rPr>
        <w:t xml:space="preserve">TRC ratios could be as low as 0.01 and as high as 1.24. </w:t>
      </w:r>
      <w:r w:rsidR="00C2348A">
        <w:rPr>
          <w:rFonts w:ascii="Garamond" w:hAnsi="Garamond"/>
          <w:sz w:val="23"/>
          <w:szCs w:val="23"/>
        </w:rPr>
        <w:t>These progr</w:t>
      </w:r>
      <w:r w:rsidR="006A025D">
        <w:rPr>
          <w:rFonts w:ascii="Garamond" w:hAnsi="Garamond"/>
          <w:sz w:val="23"/>
          <w:szCs w:val="23"/>
        </w:rPr>
        <w:t>ams can be cost effective over the full program life cycle with the right combination of market conditions, policy assumptions and implementation costs</w:t>
      </w:r>
      <w:r w:rsidR="006C6BA6">
        <w:rPr>
          <w:rFonts w:ascii="Garamond" w:hAnsi="Garamond"/>
          <w:sz w:val="23"/>
          <w:szCs w:val="23"/>
        </w:rPr>
        <w:t>.</w:t>
      </w:r>
    </w:p>
    <w:p w:rsidR="006C6BA6" w:rsidRPr="00A325BD" w:rsidRDefault="006C6BA6" w:rsidP="006C6BA6">
      <w:pPr>
        <w:pStyle w:val="Caption"/>
        <w:keepNext/>
        <w:jc w:val="center"/>
        <w:rPr>
          <w:rFonts w:ascii="Garamond" w:hAnsi="Garamond"/>
          <w:sz w:val="23"/>
          <w:szCs w:val="23"/>
        </w:rPr>
      </w:pPr>
      <w:bookmarkStart w:id="108" w:name="_Ref354132802"/>
      <w:r w:rsidRPr="00A325BD">
        <w:rPr>
          <w:rFonts w:ascii="Garamond" w:hAnsi="Garamond"/>
          <w:sz w:val="23"/>
          <w:szCs w:val="23"/>
        </w:rPr>
        <w:t xml:space="preserve">Figure </w:t>
      </w:r>
      <w:r>
        <w:rPr>
          <w:rFonts w:ascii="Garamond" w:hAnsi="Garamond"/>
          <w:sz w:val="23"/>
          <w:szCs w:val="23"/>
        </w:rPr>
        <w:fldChar w:fldCharType="begin"/>
      </w:r>
      <w:r>
        <w:rPr>
          <w:rFonts w:ascii="Garamond" w:hAnsi="Garamond"/>
          <w:sz w:val="23"/>
          <w:szCs w:val="23"/>
        </w:rPr>
        <w:instrText xml:space="preserve"> STYLEREF 1 \s </w:instrText>
      </w:r>
      <w:r>
        <w:rPr>
          <w:rFonts w:ascii="Garamond" w:hAnsi="Garamond"/>
          <w:sz w:val="23"/>
          <w:szCs w:val="23"/>
        </w:rPr>
        <w:fldChar w:fldCharType="separate"/>
      </w:r>
      <w:r w:rsidR="00451FFF">
        <w:rPr>
          <w:rFonts w:ascii="Garamond" w:hAnsi="Garamond"/>
          <w:noProof/>
          <w:sz w:val="23"/>
          <w:szCs w:val="23"/>
        </w:rPr>
        <w:t>F</w:t>
      </w:r>
      <w:r>
        <w:rPr>
          <w:rFonts w:ascii="Garamond" w:hAnsi="Garamond"/>
          <w:sz w:val="23"/>
          <w:szCs w:val="23"/>
        </w:rPr>
        <w:fldChar w:fldCharType="end"/>
      </w:r>
      <w:r>
        <w:rPr>
          <w:rFonts w:ascii="Garamond" w:hAnsi="Garamond"/>
          <w:sz w:val="23"/>
          <w:szCs w:val="23"/>
        </w:rPr>
        <w:noBreakHyphen/>
      </w:r>
      <w:r>
        <w:rPr>
          <w:rFonts w:ascii="Garamond" w:hAnsi="Garamond"/>
          <w:sz w:val="23"/>
          <w:szCs w:val="23"/>
        </w:rPr>
        <w:fldChar w:fldCharType="begin"/>
      </w:r>
      <w:r>
        <w:rPr>
          <w:rFonts w:ascii="Garamond" w:hAnsi="Garamond"/>
          <w:sz w:val="23"/>
          <w:szCs w:val="23"/>
        </w:rPr>
        <w:instrText xml:space="preserve"> SEQ Figure \* ARABIC \s 1 </w:instrText>
      </w:r>
      <w:r>
        <w:rPr>
          <w:rFonts w:ascii="Garamond" w:hAnsi="Garamond"/>
          <w:sz w:val="23"/>
          <w:szCs w:val="23"/>
        </w:rPr>
        <w:fldChar w:fldCharType="separate"/>
      </w:r>
      <w:r w:rsidR="00451FFF">
        <w:rPr>
          <w:rFonts w:ascii="Garamond" w:hAnsi="Garamond"/>
          <w:noProof/>
          <w:sz w:val="23"/>
          <w:szCs w:val="23"/>
        </w:rPr>
        <w:t>5</w:t>
      </w:r>
      <w:r>
        <w:rPr>
          <w:rFonts w:ascii="Garamond" w:hAnsi="Garamond"/>
          <w:sz w:val="23"/>
          <w:szCs w:val="23"/>
        </w:rPr>
        <w:fldChar w:fldCharType="end"/>
      </w:r>
      <w:bookmarkEnd w:id="108"/>
      <w:r w:rsidRPr="00A325BD">
        <w:rPr>
          <w:rFonts w:ascii="Garamond" w:hAnsi="Garamond"/>
          <w:sz w:val="23"/>
          <w:szCs w:val="23"/>
        </w:rPr>
        <w:t xml:space="preserve">: </w:t>
      </w:r>
      <w:r>
        <w:rPr>
          <w:rFonts w:ascii="Garamond" w:hAnsi="Garamond"/>
          <w:sz w:val="23"/>
          <w:szCs w:val="23"/>
        </w:rPr>
        <w:t>Worst &amp; Best Case Scenarios</w:t>
      </w:r>
      <w:r w:rsidRPr="00A325BD">
        <w:rPr>
          <w:rFonts w:ascii="Garamond" w:hAnsi="Garamond"/>
          <w:sz w:val="23"/>
          <w:szCs w:val="23"/>
        </w:rPr>
        <w:t xml:space="preserve"> – All </w:t>
      </w:r>
      <w:r>
        <w:rPr>
          <w:rFonts w:ascii="Garamond" w:hAnsi="Garamond"/>
          <w:sz w:val="23"/>
          <w:szCs w:val="23"/>
        </w:rPr>
        <w:t xml:space="preserve">DLC </w:t>
      </w:r>
      <w:r w:rsidRPr="00A325BD">
        <w:rPr>
          <w:rFonts w:ascii="Garamond" w:hAnsi="Garamond"/>
          <w:sz w:val="23"/>
          <w:szCs w:val="23"/>
        </w:rPr>
        <w:t>Programs Combined</w:t>
      </w:r>
    </w:p>
    <w:p w:rsidR="006C6BA6" w:rsidRDefault="006C6BA6" w:rsidP="00C2348A">
      <w:pPr>
        <w:spacing w:line="240" w:lineRule="auto"/>
        <w:jc w:val="center"/>
        <w:rPr>
          <w:rFonts w:ascii="Garamond" w:hAnsi="Garamond"/>
          <w:sz w:val="23"/>
          <w:szCs w:val="23"/>
        </w:rPr>
      </w:pPr>
      <w:r w:rsidRPr="006C6BA6">
        <w:rPr>
          <w:noProof/>
        </w:rPr>
        <w:drawing>
          <wp:inline distT="0" distB="0" distL="0" distR="0" wp14:anchorId="68FED678" wp14:editId="13769D54">
            <wp:extent cx="4886325" cy="2876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6325" cy="2876550"/>
                    </a:xfrm>
                    <a:prstGeom prst="rect">
                      <a:avLst/>
                    </a:prstGeom>
                    <a:noFill/>
                    <a:ln>
                      <a:noFill/>
                    </a:ln>
                  </pic:spPr>
                </pic:pic>
              </a:graphicData>
            </a:graphic>
          </wp:inline>
        </w:drawing>
      </w:r>
    </w:p>
    <w:p w:rsidR="00D05FC1" w:rsidRPr="00872B5F" w:rsidRDefault="00D05FC1" w:rsidP="00D05FC1">
      <w:pPr>
        <w:spacing w:line="240" w:lineRule="auto"/>
        <w:rPr>
          <w:rFonts w:ascii="Garamond" w:hAnsi="Garamond"/>
          <w:sz w:val="23"/>
          <w:szCs w:val="23"/>
        </w:rPr>
      </w:pPr>
      <w:r>
        <w:rPr>
          <w:rFonts w:ascii="Garamond" w:hAnsi="Garamond"/>
          <w:sz w:val="23"/>
          <w:szCs w:val="23"/>
        </w:rPr>
        <w:t xml:space="preserve">The DLC benefit cost scenarios presented thus far in this section have considered the entire life cycle of a program and whether the lifetime program benefits will surpass the lifetime program costs. The SWE believes that a somewhat different question </w:t>
      </w:r>
      <w:r w:rsidR="00746B72">
        <w:rPr>
          <w:rFonts w:ascii="Garamond" w:hAnsi="Garamond"/>
          <w:sz w:val="23"/>
          <w:szCs w:val="23"/>
        </w:rPr>
        <w:t>will be raised</w:t>
      </w:r>
      <w:r>
        <w:rPr>
          <w:rFonts w:ascii="Garamond" w:hAnsi="Garamond"/>
          <w:sz w:val="23"/>
          <w:szCs w:val="23"/>
        </w:rPr>
        <w:t xml:space="preserve"> in Pennsylvania given the capital investment </w:t>
      </w:r>
      <w:r w:rsidR="00746B72">
        <w:rPr>
          <w:rFonts w:ascii="Garamond" w:hAnsi="Garamond"/>
          <w:sz w:val="23"/>
          <w:szCs w:val="23"/>
        </w:rPr>
        <w:t xml:space="preserve">the </w:t>
      </w:r>
      <w:r>
        <w:rPr>
          <w:rFonts w:ascii="Garamond" w:hAnsi="Garamond"/>
          <w:sz w:val="23"/>
          <w:szCs w:val="23"/>
        </w:rPr>
        <w:t xml:space="preserve">EDCs have made in direct load control equipment during Phase I of Act 129. </w:t>
      </w:r>
      <w:r w:rsidR="001B3989">
        <w:rPr>
          <w:rFonts w:ascii="Garamond" w:hAnsi="Garamond"/>
          <w:sz w:val="23"/>
          <w:szCs w:val="23"/>
        </w:rPr>
        <w:t>EDCs</w:t>
      </w:r>
      <w:r w:rsidRPr="00872B5F">
        <w:rPr>
          <w:rFonts w:ascii="Garamond" w:hAnsi="Garamond"/>
          <w:sz w:val="23"/>
          <w:szCs w:val="23"/>
        </w:rPr>
        <w:t xml:space="preserve"> can </w:t>
      </w:r>
      <w:r>
        <w:rPr>
          <w:rFonts w:ascii="Garamond" w:hAnsi="Garamond"/>
          <w:sz w:val="23"/>
          <w:szCs w:val="23"/>
        </w:rPr>
        <w:t>consider</w:t>
      </w:r>
      <w:r w:rsidRPr="00872B5F">
        <w:rPr>
          <w:rFonts w:ascii="Garamond" w:hAnsi="Garamond"/>
          <w:sz w:val="23"/>
          <w:szCs w:val="23"/>
        </w:rPr>
        <w:t xml:space="preserve"> the </w:t>
      </w:r>
      <w:r>
        <w:rPr>
          <w:rFonts w:ascii="Garamond" w:hAnsi="Garamond"/>
          <w:sz w:val="23"/>
          <w:szCs w:val="23"/>
        </w:rPr>
        <w:t xml:space="preserve">Phase I </w:t>
      </w:r>
      <w:r w:rsidRPr="00872B5F">
        <w:rPr>
          <w:rFonts w:ascii="Garamond" w:hAnsi="Garamond"/>
          <w:sz w:val="23"/>
          <w:szCs w:val="23"/>
        </w:rPr>
        <w:t>investmen</w:t>
      </w:r>
      <w:r w:rsidR="004F551C">
        <w:rPr>
          <w:rFonts w:ascii="Garamond" w:hAnsi="Garamond"/>
          <w:sz w:val="23"/>
          <w:szCs w:val="23"/>
        </w:rPr>
        <w:t xml:space="preserve">t in </w:t>
      </w:r>
      <w:r w:rsidR="00746B72">
        <w:rPr>
          <w:rFonts w:ascii="Garamond" w:hAnsi="Garamond"/>
          <w:sz w:val="23"/>
          <w:szCs w:val="23"/>
        </w:rPr>
        <w:t xml:space="preserve">DLC </w:t>
      </w:r>
      <w:r w:rsidR="004F551C">
        <w:rPr>
          <w:rFonts w:ascii="Garamond" w:hAnsi="Garamond"/>
          <w:sz w:val="23"/>
          <w:szCs w:val="23"/>
        </w:rPr>
        <w:t>equipment as a sunk cost, in that the</w:t>
      </w:r>
      <w:r w:rsidRPr="00872B5F">
        <w:rPr>
          <w:rFonts w:ascii="Garamond" w:hAnsi="Garamond"/>
          <w:sz w:val="23"/>
          <w:szCs w:val="23"/>
        </w:rPr>
        <w:t xml:space="preserve"> cost has already been incurred in order to meet the requirements of the Act 129 mandate</w:t>
      </w:r>
      <w:r w:rsidR="004F551C">
        <w:rPr>
          <w:rFonts w:ascii="Garamond" w:hAnsi="Garamond"/>
          <w:sz w:val="23"/>
          <w:szCs w:val="23"/>
        </w:rPr>
        <w:t xml:space="preserve">. Therefore, </w:t>
      </w:r>
      <w:r w:rsidR="001B3989">
        <w:rPr>
          <w:rFonts w:ascii="Garamond" w:hAnsi="Garamond"/>
          <w:sz w:val="23"/>
          <w:szCs w:val="23"/>
        </w:rPr>
        <w:t>the question becomes – is it cost effective to continue a direct load control program given the investment in infrastructure which has been made to date? T</w:t>
      </w:r>
      <w:r w:rsidRPr="00872B5F">
        <w:rPr>
          <w:rFonts w:ascii="Garamond" w:hAnsi="Garamond"/>
          <w:sz w:val="23"/>
          <w:szCs w:val="23"/>
        </w:rPr>
        <w:t xml:space="preserve">he decision to continue to operate </w:t>
      </w:r>
      <w:r w:rsidR="001B3989">
        <w:rPr>
          <w:rFonts w:ascii="Garamond" w:hAnsi="Garamond"/>
          <w:sz w:val="23"/>
          <w:szCs w:val="23"/>
        </w:rPr>
        <w:t xml:space="preserve">a program, </w:t>
      </w:r>
      <w:r w:rsidRPr="00872B5F">
        <w:rPr>
          <w:rFonts w:ascii="Garamond" w:hAnsi="Garamond"/>
          <w:sz w:val="23"/>
          <w:szCs w:val="23"/>
        </w:rPr>
        <w:t>from a cost effectiveness perspective</w:t>
      </w:r>
      <w:r w:rsidR="001B3989">
        <w:rPr>
          <w:rFonts w:ascii="Garamond" w:hAnsi="Garamond"/>
          <w:sz w:val="23"/>
          <w:szCs w:val="23"/>
        </w:rPr>
        <w:t>,</w:t>
      </w:r>
      <w:r w:rsidRPr="00872B5F">
        <w:rPr>
          <w:rFonts w:ascii="Garamond" w:hAnsi="Garamond"/>
          <w:sz w:val="23"/>
          <w:szCs w:val="23"/>
        </w:rPr>
        <w:t xml:space="preserve"> becomes whether or not the utility can achieve a net benefit relative to ongoing </w:t>
      </w:r>
      <w:r w:rsidR="004F551C">
        <w:rPr>
          <w:rFonts w:ascii="Garamond" w:hAnsi="Garamond"/>
          <w:sz w:val="23"/>
          <w:szCs w:val="23"/>
        </w:rPr>
        <w:t xml:space="preserve">program costs in future years. </w:t>
      </w:r>
      <w:r w:rsidRPr="00872B5F">
        <w:rPr>
          <w:rFonts w:ascii="Garamond" w:hAnsi="Garamond"/>
          <w:sz w:val="23"/>
          <w:szCs w:val="23"/>
        </w:rPr>
        <w:t>Assuming the avoided generatio</w:t>
      </w:r>
      <w:r w:rsidR="001B3989">
        <w:rPr>
          <w:rFonts w:ascii="Garamond" w:hAnsi="Garamond"/>
          <w:sz w:val="23"/>
          <w:szCs w:val="23"/>
        </w:rPr>
        <w:t>n and T&amp;D capacity costs are $75 and $25</w:t>
      </w:r>
      <w:r w:rsidRPr="00872B5F">
        <w:rPr>
          <w:rFonts w:ascii="Garamond" w:hAnsi="Garamond"/>
          <w:sz w:val="23"/>
          <w:szCs w:val="23"/>
        </w:rPr>
        <w:t xml:space="preserve"> per kW-year, respectively, the decision to continue to run a direct control program once the switches are paid for and installed is whether the incentives and administra</w:t>
      </w:r>
      <w:r w:rsidR="001B3989">
        <w:rPr>
          <w:rFonts w:ascii="Garamond" w:hAnsi="Garamond"/>
          <w:sz w:val="23"/>
          <w:szCs w:val="23"/>
        </w:rPr>
        <w:t>tive costs can be kept below $10</w:t>
      </w:r>
      <w:r w:rsidRPr="00872B5F">
        <w:rPr>
          <w:rFonts w:ascii="Garamond" w:hAnsi="Garamond"/>
          <w:sz w:val="23"/>
          <w:szCs w:val="23"/>
        </w:rPr>
        <w:t xml:space="preserve">0 per kW per year.  If so, the program would </w:t>
      </w:r>
      <w:r w:rsidR="00746B72">
        <w:rPr>
          <w:rFonts w:ascii="Garamond" w:hAnsi="Garamond"/>
          <w:sz w:val="23"/>
          <w:szCs w:val="23"/>
        </w:rPr>
        <w:t>return</w:t>
      </w:r>
      <w:r w:rsidRPr="00872B5F">
        <w:rPr>
          <w:rFonts w:ascii="Garamond" w:hAnsi="Garamond"/>
          <w:sz w:val="23"/>
          <w:szCs w:val="23"/>
        </w:rPr>
        <w:t xml:space="preserve"> a net benefit and </w:t>
      </w:r>
      <w:r w:rsidR="00746B72">
        <w:rPr>
          <w:rFonts w:ascii="Garamond" w:hAnsi="Garamond"/>
          <w:sz w:val="23"/>
          <w:szCs w:val="23"/>
        </w:rPr>
        <w:t>can be</w:t>
      </w:r>
      <w:r w:rsidRPr="00872B5F">
        <w:rPr>
          <w:rFonts w:ascii="Garamond" w:hAnsi="Garamond"/>
          <w:sz w:val="23"/>
          <w:szCs w:val="23"/>
        </w:rPr>
        <w:t xml:space="preserve"> continue</w:t>
      </w:r>
      <w:r w:rsidR="00746B72">
        <w:rPr>
          <w:rFonts w:ascii="Garamond" w:hAnsi="Garamond"/>
          <w:sz w:val="23"/>
          <w:szCs w:val="23"/>
        </w:rPr>
        <w:t>d</w:t>
      </w:r>
      <w:r w:rsidRPr="00872B5F">
        <w:rPr>
          <w:rFonts w:ascii="Garamond" w:hAnsi="Garamond"/>
          <w:sz w:val="23"/>
          <w:szCs w:val="23"/>
        </w:rPr>
        <w:t xml:space="preserve"> </w:t>
      </w:r>
      <w:r w:rsidR="00746B72">
        <w:rPr>
          <w:rFonts w:ascii="Garamond" w:hAnsi="Garamond"/>
          <w:sz w:val="23"/>
          <w:szCs w:val="23"/>
        </w:rPr>
        <w:t xml:space="preserve">in </w:t>
      </w:r>
      <w:r w:rsidRPr="00872B5F">
        <w:rPr>
          <w:rFonts w:ascii="Garamond" w:hAnsi="Garamond"/>
          <w:sz w:val="23"/>
          <w:szCs w:val="23"/>
        </w:rPr>
        <w:t>the future.</w:t>
      </w:r>
      <w:r w:rsidR="004F551C">
        <w:rPr>
          <w:rFonts w:ascii="Garamond" w:hAnsi="Garamond"/>
          <w:sz w:val="23"/>
          <w:szCs w:val="23"/>
        </w:rPr>
        <w:t xml:space="preserve"> </w:t>
      </w:r>
      <w:r w:rsidR="004F551C">
        <w:rPr>
          <w:rFonts w:ascii="Garamond" w:hAnsi="Garamond"/>
          <w:sz w:val="23"/>
          <w:szCs w:val="23"/>
        </w:rPr>
        <w:fldChar w:fldCharType="begin"/>
      </w:r>
      <w:r w:rsidR="004F551C">
        <w:rPr>
          <w:rFonts w:ascii="Garamond" w:hAnsi="Garamond"/>
          <w:sz w:val="23"/>
          <w:szCs w:val="23"/>
        </w:rPr>
        <w:instrText xml:space="preserve"> REF _Ref352430417 \h </w:instrText>
      </w:r>
      <w:r w:rsidR="004F551C">
        <w:rPr>
          <w:rFonts w:ascii="Garamond" w:hAnsi="Garamond"/>
          <w:sz w:val="23"/>
          <w:szCs w:val="23"/>
        </w:rPr>
      </w:r>
      <w:r w:rsidR="004F551C">
        <w:rPr>
          <w:rFonts w:ascii="Garamond" w:hAnsi="Garamond"/>
          <w:sz w:val="23"/>
          <w:szCs w:val="23"/>
        </w:rPr>
        <w:fldChar w:fldCharType="separate"/>
      </w:r>
      <w:r w:rsidR="00451FFF" w:rsidRPr="004F551C">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6</w:t>
      </w:r>
      <w:r w:rsidR="004F551C">
        <w:rPr>
          <w:rFonts w:ascii="Garamond" w:hAnsi="Garamond"/>
          <w:sz w:val="23"/>
          <w:szCs w:val="23"/>
        </w:rPr>
        <w:fldChar w:fldCharType="end"/>
      </w:r>
      <w:r w:rsidR="004F551C">
        <w:rPr>
          <w:rFonts w:ascii="Garamond" w:hAnsi="Garamond"/>
          <w:sz w:val="23"/>
          <w:szCs w:val="23"/>
        </w:rPr>
        <w:t xml:space="preserve"> presents the situation graphically.</w:t>
      </w:r>
    </w:p>
    <w:p w:rsidR="004F551C" w:rsidRPr="004F551C" w:rsidRDefault="004F551C" w:rsidP="004F551C">
      <w:pPr>
        <w:pStyle w:val="Caption"/>
        <w:keepNext/>
        <w:jc w:val="center"/>
        <w:rPr>
          <w:rFonts w:ascii="Garamond" w:hAnsi="Garamond"/>
          <w:sz w:val="23"/>
          <w:szCs w:val="23"/>
        </w:rPr>
      </w:pPr>
      <w:bookmarkStart w:id="109" w:name="_Ref352430417"/>
      <w:r w:rsidRPr="004F551C">
        <w:rPr>
          <w:rFonts w:ascii="Garamond" w:hAnsi="Garamond"/>
          <w:sz w:val="23"/>
          <w:szCs w:val="23"/>
        </w:rPr>
        <w:lastRenderedPageBreak/>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6</w:t>
      </w:r>
      <w:r w:rsidR="00F45397">
        <w:rPr>
          <w:rFonts w:ascii="Garamond" w:hAnsi="Garamond"/>
          <w:sz w:val="23"/>
          <w:szCs w:val="23"/>
        </w:rPr>
        <w:fldChar w:fldCharType="end"/>
      </w:r>
      <w:bookmarkEnd w:id="109"/>
      <w:r w:rsidRPr="004F551C">
        <w:rPr>
          <w:rFonts w:ascii="Garamond" w:hAnsi="Garamond"/>
          <w:sz w:val="23"/>
          <w:szCs w:val="23"/>
        </w:rPr>
        <w:t>: 10-Year Financials of a Direct Load Control Program</w:t>
      </w:r>
    </w:p>
    <w:p w:rsidR="00D05FC1" w:rsidRDefault="00D73082" w:rsidP="004F551C">
      <w:pPr>
        <w:spacing w:line="240" w:lineRule="auto"/>
        <w:jc w:val="center"/>
        <w:rPr>
          <w:rFonts w:ascii="Garamond" w:hAnsi="Garamond"/>
          <w:sz w:val="23"/>
          <w:szCs w:val="23"/>
        </w:rPr>
      </w:pPr>
      <w:r>
        <w:rPr>
          <w:rFonts w:ascii="Garamond" w:hAnsi="Garamond"/>
          <w:noProof/>
          <w:sz w:val="23"/>
          <w:szCs w:val="23"/>
        </w:rPr>
        <w:drawing>
          <wp:inline distT="0" distB="0" distL="0" distR="0" wp14:anchorId="487E49ED" wp14:editId="2FE6DB98">
            <wp:extent cx="5239909" cy="264895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41703" cy="2649865"/>
                    </a:xfrm>
                    <a:prstGeom prst="rect">
                      <a:avLst/>
                    </a:prstGeom>
                    <a:noFill/>
                  </pic:spPr>
                </pic:pic>
              </a:graphicData>
            </a:graphic>
          </wp:inline>
        </w:drawing>
      </w:r>
    </w:p>
    <w:p w:rsidR="00D05FC1" w:rsidRDefault="004F551C" w:rsidP="00F73D1B">
      <w:pPr>
        <w:spacing w:line="240" w:lineRule="auto"/>
        <w:rPr>
          <w:rFonts w:ascii="Garamond" w:hAnsi="Garamond"/>
          <w:sz w:val="23"/>
          <w:szCs w:val="23"/>
        </w:rPr>
      </w:pPr>
      <w:r>
        <w:rPr>
          <w:rFonts w:ascii="Garamond" w:hAnsi="Garamond"/>
          <w:sz w:val="23"/>
          <w:szCs w:val="23"/>
        </w:rPr>
        <w:t>For reasons discussed previously, the program costs (blue line) were significantly higher than the program benefits (</w:t>
      </w:r>
      <w:r w:rsidR="00B45D7C">
        <w:rPr>
          <w:rFonts w:ascii="Garamond" w:hAnsi="Garamond"/>
          <w:sz w:val="23"/>
          <w:szCs w:val="23"/>
        </w:rPr>
        <w:t xml:space="preserve">red line) in 2012. However, in each subsequent year of the program the program TRC ratio </w:t>
      </w:r>
      <w:r w:rsidR="00746B72">
        <w:rPr>
          <w:rFonts w:ascii="Garamond" w:hAnsi="Garamond"/>
          <w:sz w:val="23"/>
          <w:szCs w:val="23"/>
        </w:rPr>
        <w:t>is substantially</w:t>
      </w:r>
      <w:r w:rsidR="00B45D7C">
        <w:rPr>
          <w:rFonts w:ascii="Garamond" w:hAnsi="Garamond"/>
          <w:sz w:val="23"/>
          <w:szCs w:val="23"/>
        </w:rPr>
        <w:t xml:space="preserve"> above 1.0. The SWE believes that, while it was likely not cost effective to implement </w:t>
      </w:r>
      <w:r w:rsidR="00746B72">
        <w:rPr>
          <w:rFonts w:ascii="Garamond" w:hAnsi="Garamond"/>
          <w:sz w:val="23"/>
          <w:szCs w:val="23"/>
        </w:rPr>
        <w:t xml:space="preserve">the </w:t>
      </w:r>
      <w:r w:rsidR="00B45D7C">
        <w:rPr>
          <w:rFonts w:ascii="Garamond" w:hAnsi="Garamond"/>
          <w:sz w:val="23"/>
          <w:szCs w:val="23"/>
        </w:rPr>
        <w:t xml:space="preserve">Act 129 direct load control programs </w:t>
      </w:r>
      <w:r w:rsidR="00746B72">
        <w:rPr>
          <w:rFonts w:ascii="Garamond" w:hAnsi="Garamond"/>
          <w:sz w:val="23"/>
          <w:szCs w:val="23"/>
        </w:rPr>
        <w:t>in the inception years</w:t>
      </w:r>
      <w:r w:rsidR="00B97DB9">
        <w:rPr>
          <w:rFonts w:ascii="Garamond" w:hAnsi="Garamond"/>
          <w:sz w:val="23"/>
          <w:szCs w:val="23"/>
        </w:rPr>
        <w:t>, or even over the full life cycle of the program,</w:t>
      </w:r>
      <w:r w:rsidR="00746B72">
        <w:rPr>
          <w:rFonts w:ascii="Garamond" w:hAnsi="Garamond"/>
          <w:sz w:val="23"/>
          <w:szCs w:val="23"/>
        </w:rPr>
        <w:t xml:space="preserve"> </w:t>
      </w:r>
      <w:r w:rsidR="00B45D7C">
        <w:rPr>
          <w:rFonts w:ascii="Garamond" w:hAnsi="Garamond"/>
          <w:sz w:val="23"/>
          <w:szCs w:val="23"/>
        </w:rPr>
        <w:t xml:space="preserve">it may be cost effective to continue them. </w:t>
      </w:r>
    </w:p>
    <w:p w:rsidR="00B45D7C" w:rsidRDefault="00B45D7C" w:rsidP="00F73D1B">
      <w:pPr>
        <w:spacing w:line="240" w:lineRule="auto"/>
        <w:rPr>
          <w:rFonts w:ascii="Garamond" w:hAnsi="Garamond"/>
          <w:sz w:val="23"/>
          <w:szCs w:val="23"/>
        </w:rPr>
      </w:pPr>
      <w:r>
        <w:rPr>
          <w:rFonts w:ascii="Garamond" w:hAnsi="Garamond"/>
          <w:sz w:val="23"/>
          <w:szCs w:val="23"/>
        </w:rPr>
        <w:t xml:space="preserve">An important consideration in whether or not an EDC continues, or restarts, a direct load control program in future phases of Act 129 is the </w:t>
      </w:r>
      <w:r w:rsidR="00FC3A29">
        <w:rPr>
          <w:rFonts w:ascii="Garamond" w:hAnsi="Garamond"/>
          <w:sz w:val="23"/>
          <w:szCs w:val="23"/>
        </w:rPr>
        <w:t xml:space="preserve">resource acquisition strategy that was used during Phase I of Act 129. PECO opted to purchase </w:t>
      </w:r>
      <w:r w:rsidR="00B97DB9">
        <w:rPr>
          <w:rFonts w:ascii="Garamond" w:hAnsi="Garamond"/>
          <w:sz w:val="23"/>
          <w:szCs w:val="23"/>
        </w:rPr>
        <w:t xml:space="preserve">and keep ownership of the </w:t>
      </w:r>
      <w:r w:rsidR="00FC3A29">
        <w:rPr>
          <w:rFonts w:ascii="Garamond" w:hAnsi="Garamond"/>
          <w:sz w:val="23"/>
          <w:szCs w:val="23"/>
        </w:rPr>
        <w:t xml:space="preserve">load control equipment installed in its service territory. Consequently, PECO’s capital cost to continue its program would be relatively low compared to an EDC such as PPL who chose to lease its direct load control equipment from a CSP for the summer of 2012. For PPL, implementing DLC in </w:t>
      </w:r>
      <w:r w:rsidR="009E5329">
        <w:rPr>
          <w:rFonts w:ascii="Garamond" w:hAnsi="Garamond"/>
          <w:sz w:val="23"/>
          <w:szCs w:val="23"/>
        </w:rPr>
        <w:t>a future phase</w:t>
      </w:r>
      <w:r w:rsidR="00FC3A29">
        <w:rPr>
          <w:rFonts w:ascii="Garamond" w:hAnsi="Garamond"/>
          <w:sz w:val="23"/>
          <w:szCs w:val="23"/>
        </w:rPr>
        <w:t xml:space="preserve"> of Act 129 would require much of the same high upfront costs that were experienced in 2012.</w:t>
      </w:r>
    </w:p>
    <w:p w:rsidR="00BF638B" w:rsidRDefault="0056577A" w:rsidP="00B36527">
      <w:pPr>
        <w:spacing w:line="240" w:lineRule="auto"/>
        <w:rPr>
          <w:rFonts w:ascii="Garamond" w:hAnsi="Garamond"/>
          <w:sz w:val="23"/>
          <w:szCs w:val="23"/>
        </w:rPr>
      </w:pPr>
      <w:r>
        <w:rPr>
          <w:rFonts w:ascii="Garamond" w:hAnsi="Garamond"/>
          <w:sz w:val="23"/>
          <w:szCs w:val="23"/>
        </w:rPr>
        <w:t xml:space="preserve">If </w:t>
      </w:r>
      <w:r w:rsidR="00C07E82">
        <w:rPr>
          <w:rFonts w:ascii="Garamond" w:hAnsi="Garamond"/>
          <w:sz w:val="23"/>
          <w:szCs w:val="23"/>
        </w:rPr>
        <w:t xml:space="preserve">the Commission makes a </w:t>
      </w:r>
      <w:r>
        <w:rPr>
          <w:rFonts w:ascii="Garamond" w:hAnsi="Garamond"/>
          <w:sz w:val="23"/>
          <w:szCs w:val="23"/>
        </w:rPr>
        <w:t xml:space="preserve">decision to continue a DLC program, the primary program expense </w:t>
      </w:r>
      <w:r w:rsidR="00C07E82">
        <w:rPr>
          <w:rFonts w:ascii="Garamond" w:hAnsi="Garamond"/>
          <w:sz w:val="23"/>
          <w:szCs w:val="23"/>
        </w:rPr>
        <w:t>would be</w:t>
      </w:r>
      <w:r>
        <w:rPr>
          <w:rFonts w:ascii="Garamond" w:hAnsi="Garamond"/>
          <w:sz w:val="23"/>
          <w:szCs w:val="23"/>
        </w:rPr>
        <w:t xml:space="preserve"> customer incentives. </w:t>
      </w:r>
      <w:r w:rsidR="009E5329" w:rsidRPr="00872B5F">
        <w:rPr>
          <w:rFonts w:ascii="Garamond" w:hAnsi="Garamond"/>
          <w:sz w:val="23"/>
          <w:szCs w:val="23"/>
        </w:rPr>
        <w:t>It is the SWE’s assessment tha</w:t>
      </w:r>
      <w:r>
        <w:rPr>
          <w:rFonts w:ascii="Garamond" w:hAnsi="Garamond"/>
          <w:sz w:val="23"/>
          <w:szCs w:val="23"/>
        </w:rPr>
        <w:t>t DLC</w:t>
      </w:r>
      <w:r w:rsidR="009E5329" w:rsidRPr="00872B5F">
        <w:rPr>
          <w:rFonts w:ascii="Garamond" w:hAnsi="Garamond"/>
          <w:sz w:val="23"/>
          <w:szCs w:val="23"/>
        </w:rPr>
        <w:t xml:space="preserve"> </w:t>
      </w:r>
      <w:r>
        <w:rPr>
          <w:rFonts w:ascii="Garamond" w:hAnsi="Garamond"/>
          <w:sz w:val="23"/>
          <w:szCs w:val="23"/>
        </w:rPr>
        <w:t xml:space="preserve">program incentives paid by the </w:t>
      </w:r>
      <w:r w:rsidR="007E40FF">
        <w:rPr>
          <w:rFonts w:ascii="Garamond" w:hAnsi="Garamond"/>
          <w:sz w:val="23"/>
          <w:szCs w:val="23"/>
        </w:rPr>
        <w:t xml:space="preserve">some of the </w:t>
      </w:r>
      <w:r>
        <w:rPr>
          <w:rFonts w:ascii="Garamond" w:hAnsi="Garamond"/>
          <w:sz w:val="23"/>
          <w:szCs w:val="23"/>
        </w:rPr>
        <w:t>Pennsylvania</w:t>
      </w:r>
      <w:r w:rsidR="009E5329" w:rsidRPr="00872B5F">
        <w:rPr>
          <w:rFonts w:ascii="Garamond" w:hAnsi="Garamond"/>
          <w:sz w:val="23"/>
          <w:szCs w:val="23"/>
        </w:rPr>
        <w:t xml:space="preserve"> EDCs were higher than </w:t>
      </w:r>
      <w:r>
        <w:rPr>
          <w:rFonts w:ascii="Garamond" w:hAnsi="Garamond"/>
          <w:sz w:val="23"/>
          <w:szCs w:val="23"/>
        </w:rPr>
        <w:t>what is</w:t>
      </w:r>
      <w:r w:rsidR="009E5329" w:rsidRPr="00872B5F">
        <w:rPr>
          <w:rFonts w:ascii="Garamond" w:hAnsi="Garamond"/>
          <w:sz w:val="23"/>
          <w:szCs w:val="23"/>
        </w:rPr>
        <w:t xml:space="preserve"> typically seen for a DR program not designed to meet mandated </w:t>
      </w:r>
      <w:r w:rsidR="009E5329">
        <w:rPr>
          <w:rFonts w:ascii="Garamond" w:hAnsi="Garamond"/>
          <w:sz w:val="23"/>
          <w:szCs w:val="23"/>
        </w:rPr>
        <w:t xml:space="preserve">demand reduction requirements. </w:t>
      </w:r>
      <w:r w:rsidR="009E5329" w:rsidRPr="00872B5F">
        <w:rPr>
          <w:rFonts w:ascii="Garamond" w:hAnsi="Garamond"/>
          <w:sz w:val="23"/>
          <w:szCs w:val="23"/>
        </w:rPr>
        <w:t>It</w:t>
      </w:r>
      <w:r>
        <w:rPr>
          <w:rFonts w:ascii="Garamond" w:hAnsi="Garamond"/>
          <w:sz w:val="23"/>
          <w:szCs w:val="23"/>
        </w:rPr>
        <w:t xml:space="preserve"> is likely that the higher incentive amounts were</w:t>
      </w:r>
      <w:r w:rsidR="009E5329" w:rsidRPr="00872B5F">
        <w:rPr>
          <w:rFonts w:ascii="Garamond" w:hAnsi="Garamond"/>
          <w:sz w:val="23"/>
          <w:szCs w:val="23"/>
        </w:rPr>
        <w:t xml:space="preserve"> driven by the </w:t>
      </w:r>
      <w:r>
        <w:rPr>
          <w:rFonts w:ascii="Garamond" w:hAnsi="Garamond"/>
          <w:sz w:val="23"/>
          <w:szCs w:val="23"/>
        </w:rPr>
        <w:t>sheer number of possible curtailments needed</w:t>
      </w:r>
      <w:r w:rsidR="009E5329" w:rsidRPr="00872B5F">
        <w:rPr>
          <w:rFonts w:ascii="Garamond" w:hAnsi="Garamond"/>
          <w:sz w:val="23"/>
          <w:szCs w:val="23"/>
        </w:rPr>
        <w:t xml:space="preserve"> to successfully reduce demand in 100 hours and the fact that EDCs were willing to spend more to ensure avoidance of penalties for not meeting the Act 129 mandate.</w:t>
      </w:r>
      <w:r w:rsidR="007E40FF">
        <w:rPr>
          <w:rFonts w:ascii="Garamond" w:hAnsi="Garamond"/>
          <w:sz w:val="23"/>
          <w:szCs w:val="23"/>
        </w:rPr>
        <w:t xml:space="preserve"> </w:t>
      </w:r>
      <w:r w:rsidR="009E5329" w:rsidRPr="00872B5F">
        <w:rPr>
          <w:rFonts w:ascii="Garamond" w:hAnsi="Garamond"/>
          <w:sz w:val="23"/>
          <w:szCs w:val="23"/>
        </w:rPr>
        <w:t>Incentives that the EDCs paid in order to attract enough participation in their programs were also higher than is typical for such programs, due to the extensive number of hours of control in 2012 required to</w:t>
      </w:r>
      <w:r w:rsidR="009E5329">
        <w:rPr>
          <w:rFonts w:ascii="Garamond" w:hAnsi="Garamond"/>
          <w:sz w:val="23"/>
          <w:szCs w:val="23"/>
        </w:rPr>
        <w:t xml:space="preserve"> meet the Act 129 requirement. </w:t>
      </w:r>
      <w:r w:rsidR="009E5329">
        <w:rPr>
          <w:rFonts w:ascii="Garamond" w:hAnsi="Garamond"/>
          <w:sz w:val="23"/>
          <w:szCs w:val="23"/>
        </w:rPr>
        <w:fldChar w:fldCharType="begin"/>
      </w:r>
      <w:r w:rsidR="009E5329">
        <w:rPr>
          <w:rFonts w:ascii="Garamond" w:hAnsi="Garamond"/>
          <w:sz w:val="23"/>
          <w:szCs w:val="23"/>
        </w:rPr>
        <w:instrText xml:space="preserve"> REF _Ref352345898 \h </w:instrText>
      </w:r>
      <w:r w:rsidR="009E5329">
        <w:rPr>
          <w:rFonts w:ascii="Garamond" w:hAnsi="Garamond"/>
          <w:sz w:val="23"/>
          <w:szCs w:val="23"/>
        </w:rPr>
      </w:r>
      <w:r w:rsidR="009E5329">
        <w:rPr>
          <w:rFonts w:ascii="Garamond" w:hAnsi="Garamond"/>
          <w:sz w:val="23"/>
          <w:szCs w:val="23"/>
        </w:rPr>
        <w:fldChar w:fldCharType="separate"/>
      </w:r>
      <w:r w:rsidR="00451FFF" w:rsidRPr="0079378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4</w:t>
      </w:r>
      <w:r w:rsidR="009E5329">
        <w:rPr>
          <w:rFonts w:ascii="Garamond" w:hAnsi="Garamond"/>
          <w:sz w:val="23"/>
          <w:szCs w:val="23"/>
        </w:rPr>
        <w:fldChar w:fldCharType="end"/>
      </w:r>
      <w:r w:rsidR="009E5329">
        <w:rPr>
          <w:rFonts w:ascii="Garamond" w:hAnsi="Garamond"/>
          <w:sz w:val="23"/>
          <w:szCs w:val="23"/>
        </w:rPr>
        <w:t xml:space="preserve"> and </w:t>
      </w:r>
      <w:r w:rsidR="009E5329">
        <w:rPr>
          <w:rFonts w:ascii="Garamond" w:hAnsi="Garamond"/>
          <w:sz w:val="23"/>
          <w:szCs w:val="23"/>
        </w:rPr>
        <w:fldChar w:fldCharType="begin"/>
      </w:r>
      <w:r w:rsidR="009E5329">
        <w:rPr>
          <w:rFonts w:ascii="Garamond" w:hAnsi="Garamond"/>
          <w:sz w:val="23"/>
          <w:szCs w:val="23"/>
        </w:rPr>
        <w:instrText xml:space="preserve"> REF _Ref352345907 \h </w:instrText>
      </w:r>
      <w:r w:rsidR="009E5329">
        <w:rPr>
          <w:rFonts w:ascii="Garamond" w:hAnsi="Garamond"/>
          <w:sz w:val="23"/>
          <w:szCs w:val="23"/>
        </w:rPr>
      </w:r>
      <w:r w:rsidR="009E5329">
        <w:rPr>
          <w:rFonts w:ascii="Garamond" w:hAnsi="Garamond"/>
          <w:sz w:val="23"/>
          <w:szCs w:val="23"/>
        </w:rPr>
        <w:fldChar w:fldCharType="separate"/>
      </w:r>
      <w:r w:rsidR="00451FFF" w:rsidRPr="005F4BB5">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5</w:t>
      </w:r>
      <w:r w:rsidR="009E5329">
        <w:rPr>
          <w:rFonts w:ascii="Garamond" w:hAnsi="Garamond"/>
          <w:sz w:val="23"/>
          <w:szCs w:val="23"/>
        </w:rPr>
        <w:fldChar w:fldCharType="end"/>
      </w:r>
      <w:r w:rsidR="009E5329">
        <w:rPr>
          <w:rFonts w:ascii="Garamond" w:hAnsi="Garamond"/>
          <w:sz w:val="23"/>
          <w:szCs w:val="23"/>
        </w:rPr>
        <w:t xml:space="preserve"> provide</w:t>
      </w:r>
      <w:r w:rsidR="009E5329" w:rsidRPr="00872B5F">
        <w:rPr>
          <w:rFonts w:ascii="Garamond" w:hAnsi="Garamond"/>
          <w:sz w:val="23"/>
          <w:szCs w:val="23"/>
        </w:rPr>
        <w:t xml:space="preserve"> a comparison of the Act 129 EDC incentives for direct load control of air conditioners versus progr</w:t>
      </w:r>
      <w:r w:rsidR="009E5329">
        <w:rPr>
          <w:rFonts w:ascii="Garamond" w:hAnsi="Garamond"/>
          <w:sz w:val="23"/>
          <w:szCs w:val="23"/>
        </w:rPr>
        <w:t xml:space="preserve">ams of other utilities in PJM. </w:t>
      </w:r>
      <w:r w:rsidR="009E5329" w:rsidRPr="00872B5F">
        <w:rPr>
          <w:rFonts w:ascii="Garamond" w:hAnsi="Garamond"/>
          <w:sz w:val="23"/>
          <w:szCs w:val="23"/>
        </w:rPr>
        <w:t>Keep in mind, the other programs are designed for somewhere between 5-10 days of co</w:t>
      </w:r>
      <w:r w:rsidR="009E5329">
        <w:rPr>
          <w:rFonts w:ascii="Garamond" w:hAnsi="Garamond"/>
          <w:sz w:val="23"/>
          <w:szCs w:val="23"/>
        </w:rPr>
        <w:t xml:space="preserve">ntrol for 3-4 hours at a time. </w:t>
      </w:r>
      <w:r w:rsidR="009E5329" w:rsidRPr="00872B5F">
        <w:rPr>
          <w:rFonts w:ascii="Garamond" w:hAnsi="Garamond"/>
          <w:sz w:val="23"/>
          <w:szCs w:val="23"/>
        </w:rPr>
        <w:t>These incentives exclude the fact that for some programs, the customer also receives a free programmable thermostat, which is a secondary ince</w:t>
      </w:r>
      <w:r w:rsidR="009E5329">
        <w:rPr>
          <w:rFonts w:ascii="Garamond" w:hAnsi="Garamond"/>
          <w:sz w:val="23"/>
          <w:szCs w:val="23"/>
        </w:rPr>
        <w:t>ntive to enroll in the program.</w:t>
      </w:r>
    </w:p>
    <w:p w:rsidR="009E5329" w:rsidRPr="00872B5F" w:rsidRDefault="00BF638B" w:rsidP="00BF638B">
      <w:pPr>
        <w:jc w:val="left"/>
        <w:rPr>
          <w:rFonts w:ascii="Garamond" w:hAnsi="Garamond"/>
          <w:sz w:val="23"/>
          <w:szCs w:val="23"/>
        </w:rPr>
      </w:pPr>
      <w:r>
        <w:rPr>
          <w:rFonts w:ascii="Garamond" w:hAnsi="Garamond"/>
          <w:sz w:val="23"/>
          <w:szCs w:val="23"/>
        </w:rPr>
        <w:br w:type="page"/>
      </w:r>
    </w:p>
    <w:p w:rsidR="009E5329" w:rsidRPr="00793784" w:rsidRDefault="009E5329" w:rsidP="009E5329">
      <w:pPr>
        <w:pStyle w:val="Caption"/>
        <w:keepNext/>
        <w:jc w:val="center"/>
        <w:rPr>
          <w:rFonts w:ascii="Garamond" w:hAnsi="Garamond"/>
          <w:sz w:val="23"/>
          <w:szCs w:val="23"/>
        </w:rPr>
      </w:pPr>
      <w:bookmarkStart w:id="110" w:name="_Ref352345898"/>
      <w:r w:rsidRPr="00793784">
        <w:rPr>
          <w:rFonts w:ascii="Garamond" w:hAnsi="Garamond"/>
          <w:sz w:val="23"/>
          <w:szCs w:val="23"/>
        </w:rPr>
        <w:lastRenderedPageBreak/>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F</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4</w:t>
      </w:r>
      <w:r w:rsidR="00C01A4C">
        <w:rPr>
          <w:rFonts w:ascii="Garamond" w:hAnsi="Garamond"/>
          <w:sz w:val="23"/>
          <w:szCs w:val="23"/>
        </w:rPr>
        <w:fldChar w:fldCharType="end"/>
      </w:r>
      <w:bookmarkEnd w:id="110"/>
      <w:r w:rsidRPr="00793784">
        <w:rPr>
          <w:rFonts w:ascii="Garamond" w:hAnsi="Garamond"/>
          <w:sz w:val="23"/>
          <w:szCs w:val="23"/>
        </w:rPr>
        <w:t>: Incentive Structures for Act 129 Participants</w:t>
      </w:r>
    </w:p>
    <w:tbl>
      <w:tblPr>
        <w:tblStyle w:val="TableGrid"/>
        <w:tblW w:w="0" w:type="auto"/>
        <w:tblLook w:val="04A0" w:firstRow="1" w:lastRow="0" w:firstColumn="1" w:lastColumn="0" w:noHBand="0" w:noVBand="1"/>
      </w:tblPr>
      <w:tblGrid>
        <w:gridCol w:w="2268"/>
        <w:gridCol w:w="3870"/>
        <w:gridCol w:w="3438"/>
      </w:tblGrid>
      <w:tr w:rsidR="009E5329" w:rsidRPr="00793784" w:rsidTr="009E5329">
        <w:tc>
          <w:tcPr>
            <w:tcW w:w="2268" w:type="dxa"/>
            <w:shd w:val="clear" w:color="auto" w:fill="1F497D" w:themeFill="text2"/>
          </w:tcPr>
          <w:p w:rsidR="009E5329" w:rsidRPr="0056577A" w:rsidRDefault="009E5329" w:rsidP="009E5329">
            <w:pPr>
              <w:jc w:val="center"/>
              <w:rPr>
                <w:rFonts w:ascii="Garamond" w:hAnsi="Garamond"/>
                <w:b/>
                <w:color w:val="FFFFFF" w:themeColor="background1"/>
                <w:sz w:val="23"/>
                <w:szCs w:val="23"/>
              </w:rPr>
            </w:pPr>
            <w:r w:rsidRPr="0056577A">
              <w:rPr>
                <w:rFonts w:ascii="Garamond" w:hAnsi="Garamond"/>
                <w:b/>
                <w:color w:val="FFFFFF" w:themeColor="background1"/>
                <w:sz w:val="23"/>
                <w:szCs w:val="23"/>
              </w:rPr>
              <w:t>EDC</w:t>
            </w:r>
          </w:p>
        </w:tc>
        <w:tc>
          <w:tcPr>
            <w:tcW w:w="3870" w:type="dxa"/>
            <w:shd w:val="clear" w:color="auto" w:fill="1F497D" w:themeFill="text2"/>
          </w:tcPr>
          <w:p w:rsidR="009E5329" w:rsidRPr="0056577A" w:rsidRDefault="009E5329" w:rsidP="009E5329">
            <w:pPr>
              <w:jc w:val="center"/>
              <w:rPr>
                <w:rFonts w:ascii="Garamond" w:hAnsi="Garamond"/>
                <w:b/>
                <w:color w:val="FFFFFF" w:themeColor="background1"/>
                <w:sz w:val="23"/>
                <w:szCs w:val="23"/>
              </w:rPr>
            </w:pPr>
            <w:r w:rsidRPr="0056577A">
              <w:rPr>
                <w:rFonts w:ascii="Garamond" w:hAnsi="Garamond"/>
                <w:b/>
                <w:color w:val="FFFFFF" w:themeColor="background1"/>
                <w:sz w:val="23"/>
                <w:szCs w:val="23"/>
              </w:rPr>
              <w:t>Incentive Structure</w:t>
            </w:r>
          </w:p>
        </w:tc>
        <w:tc>
          <w:tcPr>
            <w:tcW w:w="3438" w:type="dxa"/>
            <w:shd w:val="clear" w:color="auto" w:fill="1F497D" w:themeFill="text2"/>
          </w:tcPr>
          <w:p w:rsidR="009E5329" w:rsidRPr="0056577A" w:rsidRDefault="009E5329" w:rsidP="009E5329">
            <w:pPr>
              <w:jc w:val="center"/>
              <w:rPr>
                <w:rFonts w:ascii="Garamond" w:hAnsi="Garamond"/>
                <w:b/>
                <w:color w:val="FFFFFF" w:themeColor="background1"/>
                <w:sz w:val="23"/>
                <w:szCs w:val="23"/>
              </w:rPr>
            </w:pPr>
            <w:r w:rsidRPr="0056577A">
              <w:rPr>
                <w:rFonts w:ascii="Garamond" w:hAnsi="Garamond"/>
                <w:b/>
                <w:color w:val="FFFFFF" w:themeColor="background1"/>
                <w:sz w:val="23"/>
                <w:szCs w:val="23"/>
              </w:rPr>
              <w:t>Effective 1-Year Incentive</w:t>
            </w:r>
          </w:p>
        </w:tc>
      </w:tr>
      <w:tr w:rsidR="009E5329" w:rsidTr="009E5329">
        <w:tc>
          <w:tcPr>
            <w:tcW w:w="2268" w:type="dxa"/>
          </w:tcPr>
          <w:p w:rsidR="009E5329" w:rsidRPr="0056577A" w:rsidRDefault="009E5329" w:rsidP="009E5329">
            <w:pPr>
              <w:jc w:val="left"/>
              <w:rPr>
                <w:rFonts w:ascii="Garamond" w:hAnsi="Garamond"/>
                <w:sz w:val="23"/>
                <w:szCs w:val="23"/>
              </w:rPr>
            </w:pPr>
            <w:r w:rsidRPr="0056577A">
              <w:rPr>
                <w:rFonts w:ascii="Garamond" w:hAnsi="Garamond"/>
                <w:sz w:val="23"/>
                <w:szCs w:val="23"/>
              </w:rPr>
              <w:t>PPL, Duquesne</w:t>
            </w:r>
          </w:p>
        </w:tc>
        <w:tc>
          <w:tcPr>
            <w:tcW w:w="3870" w:type="dxa"/>
          </w:tcPr>
          <w:p w:rsidR="009E5329" w:rsidRPr="0056577A" w:rsidRDefault="009E5329" w:rsidP="009E5329">
            <w:pPr>
              <w:jc w:val="left"/>
              <w:rPr>
                <w:rFonts w:ascii="Garamond" w:hAnsi="Garamond"/>
                <w:sz w:val="23"/>
                <w:szCs w:val="23"/>
              </w:rPr>
            </w:pPr>
            <w:r w:rsidRPr="0056577A">
              <w:rPr>
                <w:rFonts w:ascii="Garamond" w:hAnsi="Garamond"/>
                <w:sz w:val="23"/>
                <w:szCs w:val="23"/>
              </w:rPr>
              <w:t>$32 per year</w:t>
            </w:r>
          </w:p>
        </w:tc>
        <w:tc>
          <w:tcPr>
            <w:tcW w:w="3438" w:type="dxa"/>
          </w:tcPr>
          <w:p w:rsidR="009E5329" w:rsidRPr="0056577A" w:rsidRDefault="009E5329" w:rsidP="009E5329">
            <w:pPr>
              <w:jc w:val="center"/>
              <w:rPr>
                <w:rFonts w:ascii="Garamond" w:hAnsi="Garamond"/>
                <w:sz w:val="23"/>
                <w:szCs w:val="23"/>
              </w:rPr>
            </w:pPr>
            <w:r w:rsidRPr="0056577A">
              <w:rPr>
                <w:rFonts w:ascii="Garamond" w:hAnsi="Garamond"/>
                <w:sz w:val="23"/>
                <w:szCs w:val="23"/>
              </w:rPr>
              <w:t>$32</w:t>
            </w:r>
          </w:p>
        </w:tc>
      </w:tr>
      <w:tr w:rsidR="009E5329" w:rsidTr="009E5329">
        <w:tc>
          <w:tcPr>
            <w:tcW w:w="2268" w:type="dxa"/>
          </w:tcPr>
          <w:p w:rsidR="009E5329" w:rsidRPr="0056577A" w:rsidRDefault="009E5329" w:rsidP="009E5329">
            <w:pPr>
              <w:jc w:val="left"/>
              <w:rPr>
                <w:rFonts w:ascii="Garamond" w:hAnsi="Garamond"/>
                <w:sz w:val="23"/>
                <w:szCs w:val="23"/>
              </w:rPr>
            </w:pPr>
            <w:r w:rsidRPr="0056577A">
              <w:rPr>
                <w:rFonts w:ascii="Garamond" w:hAnsi="Garamond"/>
                <w:sz w:val="23"/>
                <w:szCs w:val="23"/>
              </w:rPr>
              <w:t>Penelec, Penn Power</w:t>
            </w:r>
          </w:p>
        </w:tc>
        <w:tc>
          <w:tcPr>
            <w:tcW w:w="3870" w:type="dxa"/>
          </w:tcPr>
          <w:p w:rsidR="009E5329" w:rsidRPr="0056577A" w:rsidRDefault="009E5329" w:rsidP="009E5329">
            <w:pPr>
              <w:jc w:val="left"/>
              <w:rPr>
                <w:rFonts w:ascii="Garamond" w:hAnsi="Garamond"/>
                <w:sz w:val="23"/>
                <w:szCs w:val="23"/>
              </w:rPr>
            </w:pPr>
            <w:r w:rsidRPr="0056577A">
              <w:rPr>
                <w:rFonts w:ascii="Garamond" w:hAnsi="Garamond"/>
                <w:sz w:val="23"/>
                <w:szCs w:val="23"/>
              </w:rPr>
              <w:t>$40 initial payment; $20 per year.</w:t>
            </w:r>
          </w:p>
        </w:tc>
        <w:tc>
          <w:tcPr>
            <w:tcW w:w="3438" w:type="dxa"/>
          </w:tcPr>
          <w:p w:rsidR="009E5329" w:rsidRPr="0056577A" w:rsidRDefault="009E5329" w:rsidP="009E5329">
            <w:pPr>
              <w:jc w:val="center"/>
              <w:rPr>
                <w:rFonts w:ascii="Garamond" w:hAnsi="Garamond"/>
                <w:sz w:val="23"/>
                <w:szCs w:val="23"/>
              </w:rPr>
            </w:pPr>
            <w:r w:rsidRPr="0056577A">
              <w:rPr>
                <w:rFonts w:ascii="Garamond" w:hAnsi="Garamond"/>
                <w:sz w:val="23"/>
                <w:szCs w:val="23"/>
              </w:rPr>
              <w:t>$60</w:t>
            </w:r>
          </w:p>
        </w:tc>
      </w:tr>
      <w:tr w:rsidR="009E5329" w:rsidTr="009E5329">
        <w:tc>
          <w:tcPr>
            <w:tcW w:w="2268" w:type="dxa"/>
          </w:tcPr>
          <w:p w:rsidR="009E5329" w:rsidRPr="0056577A" w:rsidRDefault="009E5329" w:rsidP="009E5329">
            <w:pPr>
              <w:jc w:val="left"/>
              <w:rPr>
                <w:rFonts w:ascii="Garamond" w:hAnsi="Garamond"/>
                <w:sz w:val="23"/>
                <w:szCs w:val="23"/>
              </w:rPr>
            </w:pPr>
            <w:r w:rsidRPr="0056577A">
              <w:rPr>
                <w:rFonts w:ascii="Garamond" w:hAnsi="Garamond"/>
                <w:sz w:val="23"/>
                <w:szCs w:val="23"/>
              </w:rPr>
              <w:t>Met-Ed</w:t>
            </w:r>
          </w:p>
        </w:tc>
        <w:tc>
          <w:tcPr>
            <w:tcW w:w="3870" w:type="dxa"/>
          </w:tcPr>
          <w:p w:rsidR="009E5329" w:rsidRPr="0056577A" w:rsidRDefault="009E5329" w:rsidP="009E5329">
            <w:pPr>
              <w:jc w:val="left"/>
              <w:rPr>
                <w:rFonts w:ascii="Garamond" w:hAnsi="Garamond"/>
                <w:sz w:val="23"/>
                <w:szCs w:val="23"/>
              </w:rPr>
            </w:pPr>
            <w:r w:rsidRPr="0056577A">
              <w:rPr>
                <w:rFonts w:ascii="Garamond" w:hAnsi="Garamond"/>
                <w:sz w:val="23"/>
                <w:szCs w:val="23"/>
              </w:rPr>
              <w:t>$50 initial payment; $40 per year.</w:t>
            </w:r>
          </w:p>
        </w:tc>
        <w:tc>
          <w:tcPr>
            <w:tcW w:w="3438" w:type="dxa"/>
          </w:tcPr>
          <w:p w:rsidR="009E5329" w:rsidRPr="0056577A" w:rsidRDefault="009E5329" w:rsidP="009E5329">
            <w:pPr>
              <w:jc w:val="center"/>
              <w:rPr>
                <w:rFonts w:ascii="Garamond" w:hAnsi="Garamond"/>
                <w:sz w:val="23"/>
                <w:szCs w:val="23"/>
              </w:rPr>
            </w:pPr>
            <w:r w:rsidRPr="0056577A">
              <w:rPr>
                <w:rFonts w:ascii="Garamond" w:hAnsi="Garamond"/>
                <w:sz w:val="23"/>
                <w:szCs w:val="23"/>
              </w:rPr>
              <w:t>$90</w:t>
            </w:r>
          </w:p>
        </w:tc>
      </w:tr>
      <w:tr w:rsidR="009E5329" w:rsidTr="009E5329">
        <w:tc>
          <w:tcPr>
            <w:tcW w:w="2268" w:type="dxa"/>
          </w:tcPr>
          <w:p w:rsidR="009E5329" w:rsidRPr="0056577A" w:rsidRDefault="009E5329" w:rsidP="009E5329">
            <w:pPr>
              <w:jc w:val="left"/>
              <w:rPr>
                <w:rFonts w:ascii="Garamond" w:hAnsi="Garamond"/>
                <w:sz w:val="23"/>
                <w:szCs w:val="23"/>
              </w:rPr>
            </w:pPr>
            <w:r w:rsidRPr="0056577A">
              <w:rPr>
                <w:rFonts w:ascii="Garamond" w:hAnsi="Garamond"/>
                <w:sz w:val="23"/>
                <w:szCs w:val="23"/>
              </w:rPr>
              <w:t>PECO</w:t>
            </w:r>
          </w:p>
        </w:tc>
        <w:tc>
          <w:tcPr>
            <w:tcW w:w="3870" w:type="dxa"/>
          </w:tcPr>
          <w:p w:rsidR="009E5329" w:rsidRPr="0056577A" w:rsidRDefault="009E5329" w:rsidP="009E5329">
            <w:pPr>
              <w:jc w:val="left"/>
              <w:rPr>
                <w:rFonts w:ascii="Garamond" w:hAnsi="Garamond"/>
                <w:sz w:val="23"/>
                <w:szCs w:val="23"/>
              </w:rPr>
            </w:pPr>
            <w:r w:rsidRPr="0056577A">
              <w:rPr>
                <w:rFonts w:ascii="Garamond" w:hAnsi="Garamond"/>
                <w:sz w:val="23"/>
                <w:szCs w:val="23"/>
              </w:rPr>
              <w:t>$30 per month for each summer month.</w:t>
            </w:r>
          </w:p>
        </w:tc>
        <w:tc>
          <w:tcPr>
            <w:tcW w:w="3438" w:type="dxa"/>
          </w:tcPr>
          <w:p w:rsidR="009E5329" w:rsidRPr="0056577A" w:rsidRDefault="009E5329" w:rsidP="009E5329">
            <w:pPr>
              <w:jc w:val="center"/>
              <w:rPr>
                <w:rFonts w:ascii="Garamond" w:hAnsi="Garamond"/>
                <w:sz w:val="23"/>
                <w:szCs w:val="23"/>
              </w:rPr>
            </w:pPr>
            <w:r w:rsidRPr="0056577A">
              <w:rPr>
                <w:rFonts w:ascii="Garamond" w:hAnsi="Garamond"/>
                <w:sz w:val="23"/>
                <w:szCs w:val="23"/>
              </w:rPr>
              <w:t>$120</w:t>
            </w:r>
          </w:p>
        </w:tc>
      </w:tr>
    </w:tbl>
    <w:p w:rsidR="009E5329" w:rsidRDefault="009E5329" w:rsidP="009E5329"/>
    <w:p w:rsidR="009E5329" w:rsidRPr="005F4BB5" w:rsidRDefault="009E5329" w:rsidP="009E5329">
      <w:pPr>
        <w:pStyle w:val="Caption"/>
        <w:keepNext/>
        <w:jc w:val="center"/>
        <w:rPr>
          <w:rFonts w:ascii="Garamond" w:hAnsi="Garamond"/>
          <w:sz w:val="23"/>
          <w:szCs w:val="23"/>
        </w:rPr>
      </w:pPr>
      <w:bookmarkStart w:id="111" w:name="_Ref352345907"/>
      <w:r w:rsidRPr="005F4BB5">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F</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5</w:t>
      </w:r>
      <w:r w:rsidR="00C01A4C">
        <w:rPr>
          <w:rFonts w:ascii="Garamond" w:hAnsi="Garamond"/>
          <w:sz w:val="23"/>
          <w:szCs w:val="23"/>
        </w:rPr>
        <w:fldChar w:fldCharType="end"/>
      </w:r>
      <w:bookmarkEnd w:id="111"/>
      <w:r w:rsidRPr="005F4BB5">
        <w:rPr>
          <w:rFonts w:ascii="Garamond" w:hAnsi="Garamond"/>
          <w:sz w:val="23"/>
          <w:szCs w:val="23"/>
        </w:rPr>
        <w:t>: Incentive Structures for Other PJM Utilities</w:t>
      </w:r>
    </w:p>
    <w:tbl>
      <w:tblPr>
        <w:tblStyle w:val="TableGrid"/>
        <w:tblW w:w="0" w:type="auto"/>
        <w:jc w:val="center"/>
        <w:tblLook w:val="04A0" w:firstRow="1" w:lastRow="0" w:firstColumn="1" w:lastColumn="0" w:noHBand="0" w:noVBand="1"/>
      </w:tblPr>
      <w:tblGrid>
        <w:gridCol w:w="2988"/>
        <w:gridCol w:w="3600"/>
        <w:gridCol w:w="2988"/>
      </w:tblGrid>
      <w:tr w:rsidR="009E5329" w:rsidRPr="00793784" w:rsidTr="009E5329">
        <w:trPr>
          <w:jc w:val="center"/>
        </w:trPr>
        <w:tc>
          <w:tcPr>
            <w:tcW w:w="2988" w:type="dxa"/>
            <w:shd w:val="clear" w:color="auto" w:fill="1F497D" w:themeFill="text2"/>
          </w:tcPr>
          <w:p w:rsidR="009E5329" w:rsidRPr="005F4BB5" w:rsidRDefault="009E5329" w:rsidP="009E5329">
            <w:pPr>
              <w:jc w:val="center"/>
              <w:rPr>
                <w:rFonts w:ascii="Garamond" w:hAnsi="Garamond"/>
                <w:b/>
                <w:color w:val="FFFFFF" w:themeColor="background1"/>
                <w:sz w:val="23"/>
                <w:szCs w:val="23"/>
              </w:rPr>
            </w:pPr>
            <w:r>
              <w:rPr>
                <w:rFonts w:ascii="Garamond" w:hAnsi="Garamond"/>
                <w:b/>
                <w:color w:val="FFFFFF" w:themeColor="background1"/>
                <w:sz w:val="23"/>
                <w:szCs w:val="23"/>
              </w:rPr>
              <w:t>Utility</w:t>
            </w:r>
          </w:p>
        </w:tc>
        <w:tc>
          <w:tcPr>
            <w:tcW w:w="3600" w:type="dxa"/>
            <w:shd w:val="clear" w:color="auto" w:fill="1F497D" w:themeFill="text2"/>
          </w:tcPr>
          <w:p w:rsidR="009E5329" w:rsidRPr="005F4BB5" w:rsidRDefault="009E5329" w:rsidP="009E5329">
            <w:pPr>
              <w:jc w:val="center"/>
              <w:rPr>
                <w:rFonts w:ascii="Garamond" w:hAnsi="Garamond"/>
                <w:b/>
                <w:color w:val="FFFFFF" w:themeColor="background1"/>
                <w:sz w:val="23"/>
                <w:szCs w:val="23"/>
              </w:rPr>
            </w:pPr>
            <w:r w:rsidRPr="005F4BB5">
              <w:rPr>
                <w:rFonts w:ascii="Garamond" w:hAnsi="Garamond"/>
                <w:b/>
                <w:color w:val="FFFFFF" w:themeColor="background1"/>
                <w:sz w:val="23"/>
                <w:szCs w:val="23"/>
              </w:rPr>
              <w:t>Incentive Structure</w:t>
            </w:r>
          </w:p>
        </w:tc>
        <w:tc>
          <w:tcPr>
            <w:tcW w:w="2988" w:type="dxa"/>
            <w:shd w:val="clear" w:color="auto" w:fill="1F497D" w:themeFill="text2"/>
          </w:tcPr>
          <w:p w:rsidR="009E5329" w:rsidRPr="005F4BB5" w:rsidRDefault="009E5329" w:rsidP="009E5329">
            <w:pPr>
              <w:jc w:val="center"/>
              <w:rPr>
                <w:rFonts w:ascii="Garamond" w:hAnsi="Garamond"/>
                <w:b/>
                <w:color w:val="FFFFFF" w:themeColor="background1"/>
                <w:sz w:val="23"/>
                <w:szCs w:val="23"/>
              </w:rPr>
            </w:pPr>
            <w:r w:rsidRPr="005F4BB5">
              <w:rPr>
                <w:rFonts w:ascii="Garamond" w:hAnsi="Garamond"/>
                <w:b/>
                <w:color w:val="FFFFFF" w:themeColor="background1"/>
                <w:sz w:val="23"/>
                <w:szCs w:val="23"/>
              </w:rPr>
              <w:t>Effective 1-Year Incentive</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Atlantic City Electric Co.</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 1-time payment; not recurring</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Baltimore Gas &amp; Electric</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 upfront, $50/year for 5 years</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$100</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Delmarva Power &amp; Light</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$40 per year</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$40</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Dominion Virginia Power</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$40 per year</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$40</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Duke Energy Ohio</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 minimum, plus incentive/ control hour based on market price</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Cannot Estimate</w:t>
            </w:r>
          </w:p>
        </w:tc>
      </w:tr>
      <w:tr w:rsidR="009E5329" w:rsidTr="009E5329">
        <w:trPr>
          <w:jc w:val="center"/>
        </w:trPr>
        <w:tc>
          <w:tcPr>
            <w:tcW w:w="2988" w:type="dxa"/>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Jersey Central Power &amp; Light</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 1-time payment; not recurring</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w:t>
            </w:r>
          </w:p>
        </w:tc>
      </w:tr>
      <w:tr w:rsidR="009E5329" w:rsidTr="009E5329">
        <w:trPr>
          <w:jc w:val="center"/>
        </w:trPr>
        <w:tc>
          <w:tcPr>
            <w:tcW w:w="2988" w:type="dxa"/>
            <w:vMerge w:val="restart"/>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Commonwealth Edison</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 Cycling - $5 per month</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$20</w:t>
            </w:r>
          </w:p>
        </w:tc>
      </w:tr>
      <w:tr w:rsidR="009E5329" w:rsidTr="009E5329">
        <w:trPr>
          <w:jc w:val="center"/>
        </w:trPr>
        <w:tc>
          <w:tcPr>
            <w:tcW w:w="2988" w:type="dxa"/>
            <w:vMerge/>
            <w:vAlign w:val="center"/>
          </w:tcPr>
          <w:p w:rsidR="009E5329" w:rsidRPr="005F4BB5" w:rsidRDefault="009E5329" w:rsidP="009E5329">
            <w:pPr>
              <w:jc w:val="left"/>
              <w:rPr>
                <w:rFonts w:ascii="Garamond" w:hAnsi="Garamond"/>
                <w:sz w:val="23"/>
                <w:szCs w:val="23"/>
              </w:rPr>
            </w:pP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100% Cycling - $10 per month</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$40</w:t>
            </w:r>
          </w:p>
        </w:tc>
      </w:tr>
      <w:tr w:rsidR="009E5329" w:rsidTr="009E5329">
        <w:trPr>
          <w:jc w:val="center"/>
        </w:trPr>
        <w:tc>
          <w:tcPr>
            <w:tcW w:w="2988" w:type="dxa"/>
            <w:vMerge w:val="restart"/>
            <w:vAlign w:val="center"/>
          </w:tcPr>
          <w:p w:rsidR="009E5329" w:rsidRPr="005F4BB5" w:rsidRDefault="009E5329" w:rsidP="009E5329">
            <w:pPr>
              <w:jc w:val="left"/>
              <w:rPr>
                <w:rFonts w:ascii="Garamond" w:hAnsi="Garamond"/>
                <w:sz w:val="23"/>
                <w:szCs w:val="23"/>
              </w:rPr>
            </w:pPr>
            <w:r w:rsidRPr="005F4BB5">
              <w:rPr>
                <w:rFonts w:ascii="Garamond" w:hAnsi="Garamond"/>
                <w:sz w:val="23"/>
                <w:szCs w:val="23"/>
              </w:rPr>
              <w:t>Public Service E&amp;G Co.</w:t>
            </w: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Option 1 - $50 1-time payment</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$50</w:t>
            </w:r>
          </w:p>
        </w:tc>
      </w:tr>
      <w:tr w:rsidR="009E5329" w:rsidTr="009E5329">
        <w:trPr>
          <w:jc w:val="center"/>
        </w:trPr>
        <w:tc>
          <w:tcPr>
            <w:tcW w:w="2988" w:type="dxa"/>
            <w:vMerge/>
            <w:vAlign w:val="center"/>
          </w:tcPr>
          <w:p w:rsidR="009E5329" w:rsidRPr="005F4BB5" w:rsidRDefault="009E5329" w:rsidP="009E5329">
            <w:pPr>
              <w:jc w:val="center"/>
              <w:rPr>
                <w:rFonts w:ascii="Garamond" w:hAnsi="Garamond"/>
                <w:sz w:val="23"/>
                <w:szCs w:val="23"/>
              </w:rPr>
            </w:pPr>
          </w:p>
        </w:tc>
        <w:tc>
          <w:tcPr>
            <w:tcW w:w="3600"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Option 2 - $11 plus $4/month</w:t>
            </w:r>
          </w:p>
        </w:tc>
        <w:tc>
          <w:tcPr>
            <w:tcW w:w="2988" w:type="dxa"/>
            <w:vAlign w:val="center"/>
          </w:tcPr>
          <w:p w:rsidR="009E5329" w:rsidRPr="005F4BB5" w:rsidRDefault="009E5329" w:rsidP="009E5329">
            <w:pPr>
              <w:jc w:val="center"/>
              <w:rPr>
                <w:rFonts w:ascii="Garamond" w:hAnsi="Garamond"/>
                <w:sz w:val="23"/>
                <w:szCs w:val="23"/>
              </w:rPr>
            </w:pPr>
            <w:r w:rsidRPr="005F4BB5">
              <w:rPr>
                <w:rFonts w:ascii="Garamond" w:hAnsi="Garamond"/>
                <w:sz w:val="23"/>
                <w:szCs w:val="23"/>
              </w:rPr>
              <w:t>$27</w:t>
            </w:r>
          </w:p>
        </w:tc>
      </w:tr>
    </w:tbl>
    <w:p w:rsidR="009E5329" w:rsidRDefault="009E5329" w:rsidP="00F73D1B">
      <w:pPr>
        <w:spacing w:line="240" w:lineRule="auto"/>
        <w:rPr>
          <w:rFonts w:ascii="Garamond" w:hAnsi="Garamond"/>
          <w:sz w:val="23"/>
          <w:szCs w:val="23"/>
        </w:rPr>
      </w:pPr>
    </w:p>
    <w:p w:rsidR="007E40FF" w:rsidRPr="00F73D1B" w:rsidRDefault="007E40FF" w:rsidP="00F73D1B">
      <w:pPr>
        <w:spacing w:line="240" w:lineRule="auto"/>
        <w:rPr>
          <w:rFonts w:ascii="Garamond" w:hAnsi="Garamond"/>
          <w:sz w:val="23"/>
          <w:szCs w:val="23"/>
        </w:rPr>
      </w:pPr>
      <w:r>
        <w:rPr>
          <w:rFonts w:ascii="Garamond" w:hAnsi="Garamond"/>
          <w:sz w:val="23"/>
          <w:szCs w:val="23"/>
        </w:rPr>
        <w:t xml:space="preserve">From a forward-looking cost effectiveness perspective, an EDC should offer a customer incentive on the lower end of the values shown in </w:t>
      </w:r>
      <w:r>
        <w:rPr>
          <w:rFonts w:ascii="Garamond" w:hAnsi="Garamond"/>
          <w:sz w:val="23"/>
          <w:szCs w:val="23"/>
        </w:rPr>
        <w:fldChar w:fldCharType="begin"/>
      </w:r>
      <w:r>
        <w:rPr>
          <w:rFonts w:ascii="Garamond" w:hAnsi="Garamond"/>
          <w:sz w:val="23"/>
          <w:szCs w:val="23"/>
        </w:rPr>
        <w:instrText xml:space="preserve"> REF _Ref352345898 \h </w:instrText>
      </w:r>
      <w:r>
        <w:rPr>
          <w:rFonts w:ascii="Garamond" w:hAnsi="Garamond"/>
          <w:sz w:val="23"/>
          <w:szCs w:val="23"/>
        </w:rPr>
      </w:r>
      <w:r>
        <w:rPr>
          <w:rFonts w:ascii="Garamond" w:hAnsi="Garamond"/>
          <w:sz w:val="23"/>
          <w:szCs w:val="23"/>
        </w:rPr>
        <w:fldChar w:fldCharType="separate"/>
      </w:r>
      <w:r w:rsidR="00451FFF" w:rsidRPr="00793784">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4</w:t>
      </w:r>
      <w:r>
        <w:rPr>
          <w:rFonts w:ascii="Garamond" w:hAnsi="Garamond"/>
          <w:sz w:val="23"/>
          <w:szCs w:val="23"/>
        </w:rPr>
        <w:fldChar w:fldCharType="end"/>
      </w:r>
      <w:r>
        <w:rPr>
          <w:rFonts w:ascii="Garamond" w:hAnsi="Garamond"/>
          <w:sz w:val="23"/>
          <w:szCs w:val="23"/>
        </w:rPr>
        <w:t xml:space="preserve"> and </w:t>
      </w:r>
      <w:r>
        <w:rPr>
          <w:rFonts w:ascii="Garamond" w:hAnsi="Garamond"/>
          <w:sz w:val="23"/>
          <w:szCs w:val="23"/>
        </w:rPr>
        <w:fldChar w:fldCharType="begin"/>
      </w:r>
      <w:r>
        <w:rPr>
          <w:rFonts w:ascii="Garamond" w:hAnsi="Garamond"/>
          <w:sz w:val="23"/>
          <w:szCs w:val="23"/>
        </w:rPr>
        <w:instrText xml:space="preserve"> REF _Ref352345907 \h </w:instrText>
      </w:r>
      <w:r>
        <w:rPr>
          <w:rFonts w:ascii="Garamond" w:hAnsi="Garamond"/>
          <w:sz w:val="23"/>
          <w:szCs w:val="23"/>
        </w:rPr>
      </w:r>
      <w:r>
        <w:rPr>
          <w:rFonts w:ascii="Garamond" w:hAnsi="Garamond"/>
          <w:sz w:val="23"/>
          <w:szCs w:val="23"/>
        </w:rPr>
        <w:fldChar w:fldCharType="separate"/>
      </w:r>
      <w:r w:rsidR="00451FFF" w:rsidRPr="005F4BB5">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5</w:t>
      </w:r>
      <w:r>
        <w:rPr>
          <w:rFonts w:ascii="Garamond" w:hAnsi="Garamond"/>
          <w:sz w:val="23"/>
          <w:szCs w:val="23"/>
        </w:rPr>
        <w:fldChar w:fldCharType="end"/>
      </w:r>
      <w:r w:rsidR="00343964">
        <w:rPr>
          <w:rFonts w:ascii="Garamond" w:hAnsi="Garamond"/>
          <w:sz w:val="23"/>
          <w:szCs w:val="23"/>
        </w:rPr>
        <w:t xml:space="preserve">. Some participants will </w:t>
      </w:r>
      <w:r>
        <w:rPr>
          <w:rFonts w:ascii="Garamond" w:hAnsi="Garamond"/>
          <w:sz w:val="23"/>
          <w:szCs w:val="23"/>
        </w:rPr>
        <w:t>choose not to participate and the overall demand reduction achieved by the program will be reduced, but the cost-effectiveness of the program will be improved.</w:t>
      </w:r>
      <w:r w:rsidR="00343964">
        <w:rPr>
          <w:rFonts w:ascii="Garamond" w:hAnsi="Garamond"/>
          <w:sz w:val="23"/>
          <w:szCs w:val="23"/>
        </w:rPr>
        <w:t xml:space="preserve"> </w:t>
      </w:r>
    </w:p>
    <w:p w:rsidR="00FB5EFD" w:rsidRDefault="00FB5EFD" w:rsidP="00FB5EFD">
      <w:pPr>
        <w:pStyle w:val="Heading2"/>
        <w:ind w:left="360" w:hanging="360"/>
      </w:pPr>
      <w:bookmarkStart w:id="112" w:name="_Ref352931197"/>
      <w:bookmarkStart w:id="113" w:name="_Ref352936467"/>
      <w:bookmarkStart w:id="114" w:name="_Toc355954916"/>
      <w:r>
        <w:t xml:space="preserve">Cost Effectiveness of Customer Load </w:t>
      </w:r>
      <w:r w:rsidR="00B04F22">
        <w:t>Curtailment</w:t>
      </w:r>
      <w:r>
        <w:t xml:space="preserve"> Programs</w:t>
      </w:r>
      <w:bookmarkEnd w:id="112"/>
      <w:bookmarkEnd w:id="113"/>
      <w:bookmarkEnd w:id="114"/>
    </w:p>
    <w:p w:rsidR="00593E8B" w:rsidRDefault="00FB5EFD" w:rsidP="00F73D1B">
      <w:pPr>
        <w:spacing w:line="240" w:lineRule="auto"/>
        <w:rPr>
          <w:rFonts w:ascii="Garamond" w:hAnsi="Garamond"/>
          <w:sz w:val="23"/>
          <w:szCs w:val="23"/>
        </w:rPr>
      </w:pPr>
      <w:r w:rsidRPr="00F73D1B">
        <w:rPr>
          <w:rFonts w:ascii="Garamond" w:hAnsi="Garamond"/>
          <w:sz w:val="23"/>
          <w:szCs w:val="23"/>
        </w:rPr>
        <w:t>The SWE calculated base case TRC ratios for nine cu</w:t>
      </w:r>
      <w:r w:rsidR="00AA56CB">
        <w:rPr>
          <w:rFonts w:ascii="Garamond" w:hAnsi="Garamond"/>
          <w:sz w:val="23"/>
          <w:szCs w:val="23"/>
        </w:rPr>
        <w:t xml:space="preserve">stomer load </w:t>
      </w:r>
      <w:r w:rsidR="00B04F22">
        <w:rPr>
          <w:rFonts w:ascii="Garamond" w:hAnsi="Garamond"/>
          <w:sz w:val="23"/>
          <w:szCs w:val="23"/>
        </w:rPr>
        <w:t>curtailment</w:t>
      </w:r>
      <w:r w:rsidR="00AA56CB">
        <w:rPr>
          <w:rFonts w:ascii="Garamond" w:hAnsi="Garamond"/>
          <w:sz w:val="23"/>
          <w:szCs w:val="23"/>
        </w:rPr>
        <w:t xml:space="preserve"> programs. </w:t>
      </w:r>
      <w:r w:rsidR="00593E8B">
        <w:rPr>
          <w:rFonts w:ascii="Garamond" w:hAnsi="Garamond"/>
          <w:sz w:val="23"/>
          <w:szCs w:val="23"/>
        </w:rPr>
        <w:t xml:space="preserve">Eight of these programs were non-residential programs and the ninth was the West Penn Power Critical Peak Rebate (CPR) program for residential customers. The SWE chose to include the CPR program in the load curtailment category because West Penn Power has no equipment installed in participants’ homes and the incentive structure is “pay for performance” rather than a fixed payment in exchange for EDC control over equipment operation.  </w:t>
      </w:r>
    </w:p>
    <w:p w:rsidR="00F41226" w:rsidRDefault="00FB5EFD" w:rsidP="00F73D1B">
      <w:pPr>
        <w:spacing w:line="240" w:lineRule="auto"/>
        <w:rPr>
          <w:rFonts w:ascii="Garamond" w:hAnsi="Garamond"/>
          <w:sz w:val="23"/>
          <w:szCs w:val="23"/>
        </w:rPr>
      </w:pPr>
      <w:r w:rsidRPr="00F73D1B">
        <w:rPr>
          <w:rFonts w:ascii="Garamond" w:hAnsi="Garamond"/>
          <w:sz w:val="23"/>
          <w:szCs w:val="23"/>
        </w:rPr>
        <w:t xml:space="preserve">Generally, the programs </w:t>
      </w:r>
      <w:r w:rsidR="00F41226">
        <w:rPr>
          <w:rFonts w:ascii="Garamond" w:hAnsi="Garamond"/>
          <w:sz w:val="23"/>
          <w:szCs w:val="23"/>
        </w:rPr>
        <w:t xml:space="preserve">were not cost effective in 2012. </w:t>
      </w:r>
      <w:r w:rsidR="00BC5778">
        <w:rPr>
          <w:rFonts w:ascii="Garamond" w:hAnsi="Garamond"/>
          <w:sz w:val="23"/>
          <w:szCs w:val="23"/>
        </w:rPr>
        <w:t>Using the values of generation capacity that were in place in 2012 and w</w:t>
      </w:r>
      <w:r w:rsidR="00F41226">
        <w:rPr>
          <w:rFonts w:ascii="Garamond" w:hAnsi="Garamond"/>
          <w:sz w:val="23"/>
          <w:szCs w:val="23"/>
        </w:rPr>
        <w:t>ithout the inclusion of avoided transmission and distribution costs, none of the programs are cost effective and the highest estimated TRC ratio in the state belongs to the Penelec C&amp;I Load Curtailment program with a TRC ratio of 0.70. Under the SWE base case scenario where a $25/kW-year benefit for avoided T&amp;D costs is attributed to program demand reductions, seven of the nine programs post</w:t>
      </w:r>
      <w:r w:rsidRPr="00F73D1B">
        <w:rPr>
          <w:rFonts w:ascii="Garamond" w:hAnsi="Garamond"/>
          <w:sz w:val="23"/>
          <w:szCs w:val="23"/>
        </w:rPr>
        <w:t xml:space="preserve"> TRC ratios </w:t>
      </w:r>
      <w:r w:rsidR="00F41226">
        <w:rPr>
          <w:rFonts w:ascii="Garamond" w:hAnsi="Garamond"/>
          <w:sz w:val="23"/>
          <w:szCs w:val="23"/>
        </w:rPr>
        <w:t xml:space="preserve">of less than 1.0. </w:t>
      </w:r>
      <w:r w:rsidRPr="00F73D1B">
        <w:rPr>
          <w:rFonts w:ascii="Garamond" w:hAnsi="Garamond"/>
          <w:sz w:val="23"/>
          <w:szCs w:val="23"/>
        </w:rPr>
        <w:t xml:space="preserve">The two </w:t>
      </w:r>
      <w:r w:rsidR="00B14640">
        <w:rPr>
          <w:rFonts w:ascii="Garamond" w:hAnsi="Garamond"/>
          <w:sz w:val="23"/>
          <w:szCs w:val="23"/>
        </w:rPr>
        <w:t xml:space="preserve">EDC </w:t>
      </w:r>
      <w:r w:rsidRPr="00F73D1B">
        <w:rPr>
          <w:rFonts w:ascii="Garamond" w:hAnsi="Garamond"/>
          <w:sz w:val="23"/>
          <w:szCs w:val="23"/>
        </w:rPr>
        <w:t>p</w:t>
      </w:r>
      <w:r w:rsidR="00B14640">
        <w:rPr>
          <w:rFonts w:ascii="Garamond" w:hAnsi="Garamond"/>
          <w:sz w:val="23"/>
          <w:szCs w:val="23"/>
        </w:rPr>
        <w:t xml:space="preserve">rograms that are cost effective, Penelec and Met-Ed </w:t>
      </w:r>
      <w:r w:rsidRPr="00F73D1B">
        <w:rPr>
          <w:rFonts w:ascii="Garamond" w:hAnsi="Garamond"/>
          <w:sz w:val="23"/>
          <w:szCs w:val="23"/>
        </w:rPr>
        <w:t>are jus</w:t>
      </w:r>
      <w:r w:rsidR="00B14640">
        <w:rPr>
          <w:rFonts w:ascii="Garamond" w:hAnsi="Garamond"/>
          <w:sz w:val="23"/>
          <w:szCs w:val="23"/>
        </w:rPr>
        <w:t>t so, posting TRC ratios of 1.06 and 1.01 respectively</w:t>
      </w:r>
      <w:r w:rsidRPr="00F73D1B">
        <w:rPr>
          <w:rFonts w:ascii="Garamond" w:hAnsi="Garamond"/>
          <w:sz w:val="23"/>
          <w:szCs w:val="23"/>
        </w:rPr>
        <w:t>.</w:t>
      </w:r>
    </w:p>
    <w:p w:rsidR="00FB5EFD" w:rsidRPr="00F73D1B" w:rsidRDefault="00FB5EFD" w:rsidP="00F73D1B">
      <w:pPr>
        <w:spacing w:line="240" w:lineRule="auto"/>
        <w:rPr>
          <w:rFonts w:ascii="Garamond" w:hAnsi="Garamond"/>
          <w:sz w:val="23"/>
          <w:szCs w:val="23"/>
        </w:rPr>
      </w:pPr>
      <w:r w:rsidRPr="00F73D1B">
        <w:rPr>
          <w:rFonts w:ascii="Garamond" w:hAnsi="Garamond"/>
          <w:sz w:val="23"/>
          <w:szCs w:val="23"/>
        </w:rPr>
        <w:t xml:space="preserve">The combined </w:t>
      </w:r>
      <w:r w:rsidR="00B14640">
        <w:rPr>
          <w:rFonts w:ascii="Garamond" w:hAnsi="Garamond"/>
          <w:sz w:val="23"/>
          <w:szCs w:val="23"/>
        </w:rPr>
        <w:t xml:space="preserve">statewide </w:t>
      </w:r>
      <w:r w:rsidRPr="00F73D1B">
        <w:rPr>
          <w:rFonts w:ascii="Garamond" w:hAnsi="Garamond"/>
          <w:sz w:val="23"/>
          <w:szCs w:val="23"/>
        </w:rPr>
        <w:t xml:space="preserve">TRC ratio </w:t>
      </w:r>
      <w:r w:rsidR="00B14640">
        <w:rPr>
          <w:rFonts w:ascii="Garamond" w:hAnsi="Garamond"/>
          <w:sz w:val="23"/>
          <w:szCs w:val="23"/>
        </w:rPr>
        <w:t xml:space="preserve">for customer load </w:t>
      </w:r>
      <w:r w:rsidR="00B04F22">
        <w:rPr>
          <w:rFonts w:ascii="Garamond" w:hAnsi="Garamond"/>
          <w:sz w:val="23"/>
          <w:szCs w:val="23"/>
        </w:rPr>
        <w:t>curtailment</w:t>
      </w:r>
      <w:r w:rsidR="00B14640">
        <w:rPr>
          <w:rFonts w:ascii="Garamond" w:hAnsi="Garamond"/>
          <w:sz w:val="23"/>
          <w:szCs w:val="23"/>
        </w:rPr>
        <w:t xml:space="preserve"> programs </w:t>
      </w:r>
      <w:r w:rsidR="00B97DB9">
        <w:rPr>
          <w:rFonts w:ascii="Garamond" w:hAnsi="Garamond"/>
          <w:sz w:val="23"/>
          <w:szCs w:val="23"/>
        </w:rPr>
        <w:t xml:space="preserve">as offered in 2012 </w:t>
      </w:r>
      <w:r w:rsidRPr="00F73D1B">
        <w:rPr>
          <w:rFonts w:ascii="Garamond" w:hAnsi="Garamond"/>
          <w:sz w:val="23"/>
          <w:szCs w:val="23"/>
        </w:rPr>
        <w:t xml:space="preserve">is </w:t>
      </w:r>
      <w:r w:rsidR="00B14640" w:rsidRPr="00F73D1B">
        <w:rPr>
          <w:rFonts w:ascii="Garamond" w:hAnsi="Garamond"/>
          <w:sz w:val="23"/>
          <w:szCs w:val="23"/>
        </w:rPr>
        <w:t>0.63</w:t>
      </w:r>
      <w:r w:rsidR="00B14640">
        <w:rPr>
          <w:rFonts w:ascii="Garamond" w:hAnsi="Garamond"/>
          <w:sz w:val="23"/>
          <w:szCs w:val="23"/>
        </w:rPr>
        <w:t xml:space="preserve">. </w:t>
      </w:r>
      <w:r w:rsidRPr="00F73D1B">
        <w:rPr>
          <w:rFonts w:ascii="Garamond" w:hAnsi="Garamond"/>
          <w:sz w:val="23"/>
          <w:szCs w:val="23"/>
        </w:rPr>
        <w:t>The programs delivered 518 MW of demand reduction attributable directly to Act 129 across the top 100 hours, with</w:t>
      </w:r>
      <w:r w:rsidR="004F4566">
        <w:rPr>
          <w:rFonts w:ascii="Garamond" w:hAnsi="Garamond"/>
          <w:sz w:val="23"/>
          <w:szCs w:val="23"/>
        </w:rPr>
        <w:t xml:space="preserve"> average line losses of 11.9%. </w:t>
      </w:r>
      <w:r w:rsidRPr="00F73D1B">
        <w:rPr>
          <w:rFonts w:ascii="Garamond" w:hAnsi="Garamond"/>
          <w:sz w:val="23"/>
          <w:szCs w:val="23"/>
        </w:rPr>
        <w:t>Average benefits equaled $37.18 per kW for avoided generation capacity</w:t>
      </w:r>
      <w:r w:rsidR="004F4566">
        <w:rPr>
          <w:rFonts w:ascii="Garamond" w:hAnsi="Garamond"/>
          <w:sz w:val="23"/>
          <w:szCs w:val="23"/>
        </w:rPr>
        <w:t xml:space="preserve">, or a total of $19.2 million. </w:t>
      </w:r>
      <w:r w:rsidRPr="00F73D1B">
        <w:rPr>
          <w:rFonts w:ascii="Garamond" w:hAnsi="Garamond"/>
          <w:sz w:val="23"/>
          <w:szCs w:val="23"/>
        </w:rPr>
        <w:t>Benefits included an additional $13.0 million in avoided T</w:t>
      </w:r>
      <w:r w:rsidR="00B14640">
        <w:rPr>
          <w:rFonts w:ascii="Garamond" w:hAnsi="Garamond"/>
          <w:sz w:val="23"/>
          <w:szCs w:val="23"/>
        </w:rPr>
        <w:t xml:space="preserve">&amp;D benefits ($25 per kW-year). </w:t>
      </w:r>
      <w:r w:rsidRPr="00F73D1B">
        <w:rPr>
          <w:rFonts w:ascii="Garamond" w:hAnsi="Garamond"/>
          <w:sz w:val="23"/>
          <w:szCs w:val="23"/>
        </w:rPr>
        <w:t>These $32.2 million in benefits were attained against $51.2 million in program costs and incentives.</w:t>
      </w:r>
    </w:p>
    <w:p w:rsidR="00B14640" w:rsidRDefault="004F4566" w:rsidP="00F73D1B">
      <w:pPr>
        <w:spacing w:line="240" w:lineRule="auto"/>
        <w:rPr>
          <w:rFonts w:ascii="Garamond" w:hAnsi="Garamond"/>
          <w:sz w:val="23"/>
          <w:szCs w:val="23"/>
        </w:rPr>
      </w:pPr>
      <w:r>
        <w:rPr>
          <w:rFonts w:ascii="Garamond" w:hAnsi="Garamond"/>
          <w:sz w:val="23"/>
          <w:szCs w:val="23"/>
        </w:rPr>
        <w:lastRenderedPageBreak/>
        <w:t>When higher avoided cost values were considered</w:t>
      </w:r>
      <w:r w:rsidR="005523CC">
        <w:rPr>
          <w:rFonts w:ascii="Garamond" w:hAnsi="Garamond"/>
          <w:sz w:val="23"/>
          <w:szCs w:val="23"/>
        </w:rPr>
        <w:t xml:space="preserve"> in the Generation Cost sensitivity introduced in Section </w:t>
      </w:r>
      <w:r w:rsidR="005523CC">
        <w:rPr>
          <w:rFonts w:ascii="Garamond" w:hAnsi="Garamond"/>
          <w:sz w:val="23"/>
          <w:szCs w:val="23"/>
        </w:rPr>
        <w:fldChar w:fldCharType="begin"/>
      </w:r>
      <w:r w:rsidR="005523CC">
        <w:rPr>
          <w:rFonts w:ascii="Garamond" w:hAnsi="Garamond"/>
          <w:sz w:val="23"/>
          <w:szCs w:val="23"/>
        </w:rPr>
        <w:instrText xml:space="preserve"> REF _Ref352938207 \r \h </w:instrText>
      </w:r>
      <w:r w:rsidR="005523CC">
        <w:rPr>
          <w:rFonts w:ascii="Garamond" w:hAnsi="Garamond"/>
          <w:sz w:val="23"/>
          <w:szCs w:val="23"/>
        </w:rPr>
      </w:r>
      <w:r w:rsidR="005523CC">
        <w:rPr>
          <w:rFonts w:ascii="Garamond" w:hAnsi="Garamond"/>
          <w:sz w:val="23"/>
          <w:szCs w:val="23"/>
        </w:rPr>
        <w:fldChar w:fldCharType="separate"/>
      </w:r>
      <w:r w:rsidR="00451FFF">
        <w:rPr>
          <w:rFonts w:ascii="Garamond" w:hAnsi="Garamond"/>
          <w:sz w:val="23"/>
          <w:szCs w:val="23"/>
        </w:rPr>
        <w:t>2</w:t>
      </w:r>
      <w:r w:rsidR="005523CC">
        <w:rPr>
          <w:rFonts w:ascii="Garamond" w:hAnsi="Garamond"/>
          <w:sz w:val="23"/>
          <w:szCs w:val="23"/>
        </w:rPr>
        <w:fldChar w:fldCharType="end"/>
      </w:r>
      <w:r w:rsidR="005523CC">
        <w:rPr>
          <w:rFonts w:ascii="Garamond" w:hAnsi="Garamond"/>
          <w:sz w:val="23"/>
          <w:szCs w:val="23"/>
        </w:rPr>
        <w:fldChar w:fldCharType="begin"/>
      </w:r>
      <w:r w:rsidR="005523CC">
        <w:rPr>
          <w:rFonts w:ascii="Garamond" w:hAnsi="Garamond"/>
          <w:sz w:val="23"/>
          <w:szCs w:val="23"/>
        </w:rPr>
        <w:instrText xml:space="preserve"> REF _Ref352938209 \r \h </w:instrText>
      </w:r>
      <w:r w:rsidR="005523CC">
        <w:rPr>
          <w:rFonts w:ascii="Garamond" w:hAnsi="Garamond"/>
          <w:sz w:val="23"/>
          <w:szCs w:val="23"/>
        </w:rPr>
      </w:r>
      <w:r w:rsidR="005523CC">
        <w:rPr>
          <w:rFonts w:ascii="Garamond" w:hAnsi="Garamond"/>
          <w:sz w:val="23"/>
          <w:szCs w:val="23"/>
        </w:rPr>
        <w:fldChar w:fldCharType="separate"/>
      </w:r>
      <w:r w:rsidR="00451FFF">
        <w:rPr>
          <w:rFonts w:ascii="Garamond" w:hAnsi="Garamond"/>
          <w:sz w:val="23"/>
          <w:szCs w:val="23"/>
        </w:rPr>
        <w:t>a</w:t>
      </w:r>
      <w:r w:rsidR="005523CC">
        <w:rPr>
          <w:rFonts w:ascii="Garamond" w:hAnsi="Garamond"/>
          <w:sz w:val="23"/>
          <w:szCs w:val="23"/>
        </w:rPr>
        <w:fldChar w:fldCharType="end"/>
      </w:r>
      <w:r w:rsidR="00FB5EFD" w:rsidRPr="00F73D1B">
        <w:rPr>
          <w:rFonts w:ascii="Garamond" w:hAnsi="Garamond"/>
          <w:sz w:val="23"/>
          <w:szCs w:val="23"/>
        </w:rPr>
        <w:t>, the programs become</w:t>
      </w:r>
      <w:r>
        <w:rPr>
          <w:rFonts w:ascii="Garamond" w:hAnsi="Garamond"/>
          <w:sz w:val="23"/>
          <w:szCs w:val="23"/>
        </w:rPr>
        <w:t xml:space="preserve"> more cost effective. </w:t>
      </w:r>
      <w:r w:rsidR="00FB5EFD" w:rsidRPr="00F73D1B">
        <w:rPr>
          <w:rFonts w:ascii="Garamond" w:hAnsi="Garamond"/>
          <w:sz w:val="23"/>
          <w:szCs w:val="23"/>
        </w:rPr>
        <w:t xml:space="preserve">At an avoided </w:t>
      </w:r>
      <w:r>
        <w:rPr>
          <w:rFonts w:ascii="Garamond" w:hAnsi="Garamond"/>
          <w:sz w:val="23"/>
          <w:szCs w:val="23"/>
        </w:rPr>
        <w:t xml:space="preserve">cost of </w:t>
      </w:r>
      <w:r w:rsidR="00FB5EFD" w:rsidRPr="00F73D1B">
        <w:rPr>
          <w:rFonts w:ascii="Garamond" w:hAnsi="Garamond"/>
          <w:sz w:val="23"/>
          <w:szCs w:val="23"/>
        </w:rPr>
        <w:t xml:space="preserve">generation capacity </w:t>
      </w:r>
      <w:r>
        <w:rPr>
          <w:rFonts w:ascii="Garamond" w:hAnsi="Garamond"/>
          <w:sz w:val="23"/>
          <w:szCs w:val="23"/>
        </w:rPr>
        <w:t>value</w:t>
      </w:r>
      <w:r w:rsidR="00343964">
        <w:rPr>
          <w:rFonts w:ascii="Garamond" w:hAnsi="Garamond"/>
          <w:sz w:val="23"/>
          <w:szCs w:val="23"/>
        </w:rPr>
        <w:t xml:space="preserve"> of $90 per </w:t>
      </w:r>
      <w:r w:rsidR="00B14640">
        <w:rPr>
          <w:rFonts w:ascii="Garamond" w:hAnsi="Garamond"/>
          <w:sz w:val="23"/>
          <w:szCs w:val="23"/>
        </w:rPr>
        <w:t>kw-year, six of</w:t>
      </w:r>
      <w:r w:rsidR="00343964">
        <w:rPr>
          <w:rFonts w:ascii="Garamond" w:hAnsi="Garamond"/>
          <w:sz w:val="23"/>
          <w:szCs w:val="23"/>
        </w:rPr>
        <w:t xml:space="preserve"> the</w:t>
      </w:r>
      <w:r w:rsidR="00B14640">
        <w:rPr>
          <w:rFonts w:ascii="Garamond" w:hAnsi="Garamond"/>
          <w:sz w:val="23"/>
          <w:szCs w:val="23"/>
        </w:rPr>
        <w:t xml:space="preserve"> nine EDC</w:t>
      </w:r>
      <w:r w:rsidR="00FB5EFD" w:rsidRPr="00F73D1B">
        <w:rPr>
          <w:rFonts w:ascii="Garamond" w:hAnsi="Garamond"/>
          <w:sz w:val="23"/>
          <w:szCs w:val="23"/>
        </w:rPr>
        <w:t xml:space="preserve"> programs become cost effective and the </w:t>
      </w:r>
      <w:r>
        <w:rPr>
          <w:rFonts w:ascii="Garamond" w:hAnsi="Garamond"/>
          <w:sz w:val="23"/>
          <w:szCs w:val="23"/>
        </w:rPr>
        <w:t xml:space="preserve">statewide TRC ratio reaches 1.16. </w:t>
      </w:r>
      <w:r w:rsidR="00B14640">
        <w:rPr>
          <w:rFonts w:ascii="Garamond" w:hAnsi="Garamond"/>
          <w:sz w:val="23"/>
          <w:szCs w:val="23"/>
        </w:rPr>
        <w:t>Estimated TR</w:t>
      </w:r>
      <w:r w:rsidR="00593E8B">
        <w:rPr>
          <w:rFonts w:ascii="Garamond" w:hAnsi="Garamond"/>
          <w:sz w:val="23"/>
          <w:szCs w:val="23"/>
        </w:rPr>
        <w:t xml:space="preserve">C ratios </w:t>
      </w:r>
      <w:r w:rsidR="00B14640">
        <w:rPr>
          <w:rFonts w:ascii="Garamond" w:hAnsi="Garamond"/>
          <w:sz w:val="23"/>
          <w:szCs w:val="23"/>
        </w:rPr>
        <w:t xml:space="preserve">under this sensitivity are shown in </w:t>
      </w:r>
      <w:r w:rsidR="00BC5778">
        <w:rPr>
          <w:rFonts w:ascii="Garamond" w:hAnsi="Garamond"/>
          <w:sz w:val="23"/>
          <w:szCs w:val="23"/>
        </w:rPr>
        <w:fldChar w:fldCharType="begin"/>
      </w:r>
      <w:r w:rsidR="00BC5778">
        <w:rPr>
          <w:rFonts w:ascii="Garamond" w:hAnsi="Garamond"/>
          <w:sz w:val="23"/>
          <w:szCs w:val="23"/>
        </w:rPr>
        <w:instrText xml:space="preserve"> REF _Ref352341306 \h </w:instrText>
      </w:r>
      <w:r w:rsidR="00BC5778">
        <w:rPr>
          <w:rFonts w:ascii="Garamond" w:hAnsi="Garamond"/>
          <w:sz w:val="23"/>
          <w:szCs w:val="23"/>
        </w:rPr>
      </w:r>
      <w:r w:rsidR="00BC5778">
        <w:rPr>
          <w:rFonts w:ascii="Garamond" w:hAnsi="Garamond"/>
          <w:sz w:val="23"/>
          <w:szCs w:val="23"/>
        </w:rPr>
        <w:fldChar w:fldCharType="separate"/>
      </w:r>
      <w:r w:rsidR="00451FFF" w:rsidRPr="00BC5778">
        <w:rPr>
          <w:rFonts w:ascii="Garamond" w:hAnsi="Garamond"/>
          <w:sz w:val="23"/>
          <w:szCs w:val="23"/>
        </w:rPr>
        <w:t xml:space="preserve">Table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6</w:t>
      </w:r>
      <w:r w:rsidR="00BC5778">
        <w:rPr>
          <w:rFonts w:ascii="Garamond" w:hAnsi="Garamond"/>
          <w:sz w:val="23"/>
          <w:szCs w:val="23"/>
        </w:rPr>
        <w:fldChar w:fldCharType="end"/>
      </w:r>
      <w:r w:rsidR="00BC5778">
        <w:rPr>
          <w:rFonts w:ascii="Garamond" w:hAnsi="Garamond"/>
          <w:sz w:val="23"/>
          <w:szCs w:val="23"/>
        </w:rPr>
        <w:t>. Duquesne and West Penn Power’s programs are affected drastically by this sensitivity because the base case value of generation capacity in West market region of PJM was just $6.11 per kW-year during the summer of 2012.</w:t>
      </w:r>
    </w:p>
    <w:p w:rsidR="00BC5778" w:rsidRPr="00BC5778" w:rsidRDefault="00BC5778" w:rsidP="00BC5778">
      <w:pPr>
        <w:pStyle w:val="Caption"/>
        <w:keepNext/>
        <w:jc w:val="center"/>
        <w:rPr>
          <w:rFonts w:ascii="Garamond" w:hAnsi="Garamond"/>
          <w:sz w:val="23"/>
          <w:szCs w:val="23"/>
        </w:rPr>
      </w:pPr>
      <w:bookmarkStart w:id="115" w:name="_Ref352341306"/>
      <w:r w:rsidRPr="00BC5778">
        <w:rPr>
          <w:rFonts w:ascii="Garamond" w:hAnsi="Garamond"/>
          <w:sz w:val="23"/>
          <w:szCs w:val="23"/>
        </w:rPr>
        <w:t xml:space="preserve">Table </w:t>
      </w:r>
      <w:r w:rsidR="00C01A4C">
        <w:rPr>
          <w:rFonts w:ascii="Garamond" w:hAnsi="Garamond"/>
          <w:sz w:val="23"/>
          <w:szCs w:val="23"/>
        </w:rPr>
        <w:fldChar w:fldCharType="begin"/>
      </w:r>
      <w:r w:rsidR="00C01A4C">
        <w:rPr>
          <w:rFonts w:ascii="Garamond" w:hAnsi="Garamond"/>
          <w:sz w:val="23"/>
          <w:szCs w:val="23"/>
        </w:rPr>
        <w:instrText xml:space="preserve"> STYLEREF 1 \s </w:instrText>
      </w:r>
      <w:r w:rsidR="00C01A4C">
        <w:rPr>
          <w:rFonts w:ascii="Garamond" w:hAnsi="Garamond"/>
          <w:sz w:val="23"/>
          <w:szCs w:val="23"/>
        </w:rPr>
        <w:fldChar w:fldCharType="separate"/>
      </w:r>
      <w:r w:rsidR="00451FFF">
        <w:rPr>
          <w:rFonts w:ascii="Garamond" w:hAnsi="Garamond"/>
          <w:noProof/>
          <w:sz w:val="23"/>
          <w:szCs w:val="23"/>
        </w:rPr>
        <w:t>F</w:t>
      </w:r>
      <w:r w:rsidR="00C01A4C">
        <w:rPr>
          <w:rFonts w:ascii="Garamond" w:hAnsi="Garamond"/>
          <w:sz w:val="23"/>
          <w:szCs w:val="23"/>
        </w:rPr>
        <w:fldChar w:fldCharType="end"/>
      </w:r>
      <w:r w:rsidR="00C01A4C">
        <w:rPr>
          <w:rFonts w:ascii="Garamond" w:hAnsi="Garamond"/>
          <w:sz w:val="23"/>
          <w:szCs w:val="23"/>
        </w:rPr>
        <w:noBreakHyphen/>
      </w:r>
      <w:r w:rsidR="00C01A4C">
        <w:rPr>
          <w:rFonts w:ascii="Garamond" w:hAnsi="Garamond"/>
          <w:sz w:val="23"/>
          <w:szCs w:val="23"/>
        </w:rPr>
        <w:fldChar w:fldCharType="begin"/>
      </w:r>
      <w:r w:rsidR="00C01A4C">
        <w:rPr>
          <w:rFonts w:ascii="Garamond" w:hAnsi="Garamond"/>
          <w:sz w:val="23"/>
          <w:szCs w:val="23"/>
        </w:rPr>
        <w:instrText xml:space="preserve"> SEQ Table \* ARABIC \s 1 </w:instrText>
      </w:r>
      <w:r w:rsidR="00C01A4C">
        <w:rPr>
          <w:rFonts w:ascii="Garamond" w:hAnsi="Garamond"/>
          <w:sz w:val="23"/>
          <w:szCs w:val="23"/>
        </w:rPr>
        <w:fldChar w:fldCharType="separate"/>
      </w:r>
      <w:r w:rsidR="00451FFF">
        <w:rPr>
          <w:rFonts w:ascii="Garamond" w:hAnsi="Garamond"/>
          <w:noProof/>
          <w:sz w:val="23"/>
          <w:szCs w:val="23"/>
        </w:rPr>
        <w:t>6</w:t>
      </w:r>
      <w:r w:rsidR="00C01A4C">
        <w:rPr>
          <w:rFonts w:ascii="Garamond" w:hAnsi="Garamond"/>
          <w:sz w:val="23"/>
          <w:szCs w:val="23"/>
        </w:rPr>
        <w:fldChar w:fldCharType="end"/>
      </w:r>
      <w:bookmarkEnd w:id="115"/>
      <w:r w:rsidRPr="00BC5778">
        <w:rPr>
          <w:rFonts w:ascii="Garamond" w:hAnsi="Garamond"/>
          <w:sz w:val="23"/>
          <w:szCs w:val="23"/>
        </w:rPr>
        <w:t>: Estimated TRC Ratio with $90/kW-year Avoided Cost of Generation Capacity</w:t>
      </w:r>
      <w:r w:rsidR="00593E8B">
        <w:rPr>
          <w:rFonts w:ascii="Garamond" w:hAnsi="Garamond"/>
          <w:sz w:val="23"/>
          <w:szCs w:val="23"/>
        </w:rPr>
        <w:t xml:space="preserve"> and $25/kW-year Avoided T&amp;D Benefits</w:t>
      </w:r>
    </w:p>
    <w:tbl>
      <w:tblPr>
        <w:tblStyle w:val="TableGrid"/>
        <w:tblW w:w="0" w:type="auto"/>
        <w:tblLook w:val="04A0" w:firstRow="1" w:lastRow="0" w:firstColumn="1" w:lastColumn="0" w:noHBand="0" w:noVBand="1"/>
      </w:tblPr>
      <w:tblGrid>
        <w:gridCol w:w="1998"/>
        <w:gridCol w:w="4860"/>
        <w:gridCol w:w="2718"/>
      </w:tblGrid>
      <w:tr w:rsidR="00BC5778" w:rsidRPr="00BC5778" w:rsidTr="00BC5778">
        <w:tc>
          <w:tcPr>
            <w:tcW w:w="1998" w:type="dxa"/>
            <w:shd w:val="clear" w:color="auto" w:fill="1F497D" w:themeFill="text2"/>
          </w:tcPr>
          <w:p w:rsidR="00B14640" w:rsidRPr="00BC5778" w:rsidRDefault="00B14640" w:rsidP="00BC5778">
            <w:pPr>
              <w:jc w:val="center"/>
              <w:rPr>
                <w:rFonts w:ascii="Garamond" w:hAnsi="Garamond"/>
                <w:b/>
                <w:color w:val="FFFFFF" w:themeColor="background1"/>
                <w:sz w:val="23"/>
                <w:szCs w:val="23"/>
              </w:rPr>
            </w:pPr>
            <w:r w:rsidRPr="00BC5778">
              <w:rPr>
                <w:rFonts w:ascii="Garamond" w:hAnsi="Garamond"/>
                <w:b/>
                <w:color w:val="FFFFFF" w:themeColor="background1"/>
                <w:sz w:val="23"/>
                <w:szCs w:val="23"/>
              </w:rPr>
              <w:t>EDC</w:t>
            </w:r>
          </w:p>
        </w:tc>
        <w:tc>
          <w:tcPr>
            <w:tcW w:w="4860" w:type="dxa"/>
            <w:shd w:val="clear" w:color="auto" w:fill="1F497D" w:themeFill="text2"/>
          </w:tcPr>
          <w:p w:rsidR="00B14640" w:rsidRPr="00BC5778" w:rsidRDefault="00B14640" w:rsidP="00BC5778">
            <w:pPr>
              <w:jc w:val="center"/>
              <w:rPr>
                <w:rFonts w:ascii="Garamond" w:hAnsi="Garamond"/>
                <w:b/>
                <w:color w:val="FFFFFF" w:themeColor="background1"/>
                <w:sz w:val="23"/>
                <w:szCs w:val="23"/>
              </w:rPr>
            </w:pPr>
            <w:r w:rsidRPr="00BC5778">
              <w:rPr>
                <w:rFonts w:ascii="Garamond" w:hAnsi="Garamond"/>
                <w:b/>
                <w:color w:val="FFFFFF" w:themeColor="background1"/>
                <w:sz w:val="23"/>
                <w:szCs w:val="23"/>
              </w:rPr>
              <w:t>Program</w:t>
            </w:r>
          </w:p>
        </w:tc>
        <w:tc>
          <w:tcPr>
            <w:tcW w:w="2718" w:type="dxa"/>
            <w:shd w:val="clear" w:color="auto" w:fill="1F497D" w:themeFill="text2"/>
          </w:tcPr>
          <w:p w:rsidR="00B14640" w:rsidRPr="00BC5778" w:rsidRDefault="00B14640" w:rsidP="00BC5778">
            <w:pPr>
              <w:jc w:val="center"/>
              <w:rPr>
                <w:rFonts w:ascii="Garamond" w:hAnsi="Garamond"/>
                <w:b/>
                <w:color w:val="FFFFFF" w:themeColor="background1"/>
                <w:sz w:val="23"/>
                <w:szCs w:val="23"/>
              </w:rPr>
            </w:pPr>
            <w:r w:rsidRPr="00BC5778">
              <w:rPr>
                <w:rFonts w:ascii="Garamond" w:hAnsi="Garamond"/>
                <w:b/>
                <w:color w:val="FFFFFF" w:themeColor="background1"/>
                <w:sz w:val="23"/>
                <w:szCs w:val="23"/>
              </w:rPr>
              <w:t>Estimated TRC Ratio</w:t>
            </w:r>
          </w:p>
        </w:tc>
      </w:tr>
      <w:tr w:rsidR="00BC5778" w:rsidTr="00BC5778">
        <w:tc>
          <w:tcPr>
            <w:tcW w:w="1998" w:type="dxa"/>
          </w:tcPr>
          <w:p w:rsidR="00BC5778" w:rsidRDefault="00BC5778" w:rsidP="00F73D1B">
            <w:pPr>
              <w:rPr>
                <w:rFonts w:ascii="Garamond" w:hAnsi="Garamond"/>
                <w:sz w:val="23"/>
                <w:szCs w:val="23"/>
              </w:rPr>
            </w:pPr>
            <w:r>
              <w:rPr>
                <w:rFonts w:ascii="Garamond" w:hAnsi="Garamond"/>
                <w:sz w:val="23"/>
                <w:szCs w:val="23"/>
              </w:rPr>
              <w:t>Duquesne</w:t>
            </w:r>
          </w:p>
        </w:tc>
        <w:tc>
          <w:tcPr>
            <w:tcW w:w="4860" w:type="dxa"/>
          </w:tcPr>
          <w:p w:rsidR="00BC5778" w:rsidRDefault="00BC5778" w:rsidP="00BC5778">
            <w:pPr>
              <w:jc w:val="left"/>
              <w:rPr>
                <w:rFonts w:ascii="Garamond" w:hAnsi="Garamond"/>
                <w:sz w:val="23"/>
                <w:szCs w:val="23"/>
              </w:rPr>
            </w:pPr>
            <w:r>
              <w:rPr>
                <w:rFonts w:ascii="Garamond" w:hAnsi="Garamond"/>
                <w:sz w:val="23"/>
                <w:szCs w:val="23"/>
              </w:rPr>
              <w:t>Large Curtailable DR</w:t>
            </w:r>
          </w:p>
        </w:tc>
        <w:tc>
          <w:tcPr>
            <w:tcW w:w="2718" w:type="dxa"/>
          </w:tcPr>
          <w:p w:rsidR="00BC5778" w:rsidRDefault="00BC5778" w:rsidP="00BC5778">
            <w:pPr>
              <w:jc w:val="center"/>
              <w:rPr>
                <w:rFonts w:ascii="Garamond" w:hAnsi="Garamond"/>
                <w:sz w:val="23"/>
                <w:szCs w:val="23"/>
              </w:rPr>
            </w:pPr>
            <w:r>
              <w:rPr>
                <w:rFonts w:ascii="Garamond" w:hAnsi="Garamond"/>
                <w:sz w:val="23"/>
                <w:szCs w:val="23"/>
              </w:rPr>
              <w:t>3.03</w:t>
            </w:r>
          </w:p>
        </w:tc>
      </w:tr>
      <w:tr w:rsidR="00B14640" w:rsidTr="00BC5778">
        <w:tc>
          <w:tcPr>
            <w:tcW w:w="1998" w:type="dxa"/>
          </w:tcPr>
          <w:p w:rsidR="00B14640" w:rsidRDefault="00B14640" w:rsidP="00F73D1B">
            <w:pPr>
              <w:rPr>
                <w:rFonts w:ascii="Garamond" w:hAnsi="Garamond"/>
                <w:sz w:val="23"/>
                <w:szCs w:val="23"/>
              </w:rPr>
            </w:pPr>
            <w:r>
              <w:rPr>
                <w:rFonts w:ascii="Garamond" w:hAnsi="Garamond"/>
                <w:sz w:val="23"/>
                <w:szCs w:val="23"/>
              </w:rPr>
              <w:t>Penelec</w:t>
            </w:r>
          </w:p>
        </w:tc>
        <w:tc>
          <w:tcPr>
            <w:tcW w:w="4860" w:type="dxa"/>
          </w:tcPr>
          <w:p w:rsidR="00B14640" w:rsidRDefault="00B14640" w:rsidP="00BC5778">
            <w:pPr>
              <w:jc w:val="left"/>
              <w:rPr>
                <w:rFonts w:ascii="Garamond" w:hAnsi="Garamond"/>
                <w:sz w:val="23"/>
                <w:szCs w:val="23"/>
              </w:rPr>
            </w:pPr>
            <w:r>
              <w:rPr>
                <w:rFonts w:ascii="Garamond" w:hAnsi="Garamond"/>
                <w:sz w:val="23"/>
                <w:szCs w:val="23"/>
              </w:rPr>
              <w:t>C&amp;I Load Curtailment</w:t>
            </w:r>
          </w:p>
        </w:tc>
        <w:tc>
          <w:tcPr>
            <w:tcW w:w="2718" w:type="dxa"/>
          </w:tcPr>
          <w:p w:rsidR="00B14640" w:rsidRDefault="00B14640" w:rsidP="00BC5778">
            <w:pPr>
              <w:jc w:val="center"/>
              <w:rPr>
                <w:rFonts w:ascii="Garamond" w:hAnsi="Garamond"/>
                <w:sz w:val="23"/>
                <w:szCs w:val="23"/>
              </w:rPr>
            </w:pPr>
            <w:r>
              <w:rPr>
                <w:rFonts w:ascii="Garamond" w:hAnsi="Garamond"/>
                <w:sz w:val="23"/>
                <w:szCs w:val="23"/>
              </w:rPr>
              <w:t>1.66</w:t>
            </w:r>
          </w:p>
        </w:tc>
      </w:tr>
      <w:tr w:rsidR="00B14640" w:rsidTr="00BC5778">
        <w:tc>
          <w:tcPr>
            <w:tcW w:w="1998" w:type="dxa"/>
          </w:tcPr>
          <w:p w:rsidR="00B14640" w:rsidRDefault="00B14640" w:rsidP="00B14640">
            <w:pPr>
              <w:rPr>
                <w:rFonts w:ascii="Garamond" w:hAnsi="Garamond"/>
                <w:sz w:val="23"/>
                <w:szCs w:val="23"/>
              </w:rPr>
            </w:pPr>
            <w:r>
              <w:rPr>
                <w:rFonts w:ascii="Garamond" w:hAnsi="Garamond"/>
                <w:sz w:val="23"/>
                <w:szCs w:val="23"/>
              </w:rPr>
              <w:t>Met-Ed</w:t>
            </w:r>
          </w:p>
        </w:tc>
        <w:tc>
          <w:tcPr>
            <w:tcW w:w="4860" w:type="dxa"/>
          </w:tcPr>
          <w:p w:rsidR="00B14640" w:rsidRDefault="00B14640" w:rsidP="00BC5778">
            <w:pPr>
              <w:jc w:val="left"/>
              <w:rPr>
                <w:rFonts w:ascii="Garamond" w:hAnsi="Garamond"/>
                <w:sz w:val="23"/>
                <w:szCs w:val="23"/>
              </w:rPr>
            </w:pPr>
            <w:r>
              <w:rPr>
                <w:rFonts w:ascii="Garamond" w:hAnsi="Garamond"/>
                <w:sz w:val="23"/>
                <w:szCs w:val="23"/>
              </w:rPr>
              <w:t>C&amp;I Load Curtailment</w:t>
            </w:r>
          </w:p>
        </w:tc>
        <w:tc>
          <w:tcPr>
            <w:tcW w:w="2718" w:type="dxa"/>
          </w:tcPr>
          <w:p w:rsidR="00B14640" w:rsidRDefault="00B14640" w:rsidP="00BC5778">
            <w:pPr>
              <w:jc w:val="center"/>
              <w:rPr>
                <w:rFonts w:ascii="Garamond" w:hAnsi="Garamond"/>
                <w:sz w:val="23"/>
                <w:szCs w:val="23"/>
              </w:rPr>
            </w:pPr>
            <w:r>
              <w:rPr>
                <w:rFonts w:ascii="Garamond" w:hAnsi="Garamond"/>
                <w:sz w:val="23"/>
                <w:szCs w:val="23"/>
              </w:rPr>
              <w:t>1.57</w:t>
            </w:r>
          </w:p>
        </w:tc>
      </w:tr>
      <w:tr w:rsidR="00B14640" w:rsidTr="00BC5778">
        <w:tc>
          <w:tcPr>
            <w:tcW w:w="1998" w:type="dxa"/>
          </w:tcPr>
          <w:p w:rsidR="00B14640" w:rsidRDefault="00BC5778" w:rsidP="00F73D1B">
            <w:pPr>
              <w:rPr>
                <w:rFonts w:ascii="Garamond" w:hAnsi="Garamond"/>
                <w:sz w:val="23"/>
                <w:szCs w:val="23"/>
              </w:rPr>
            </w:pPr>
            <w:r>
              <w:rPr>
                <w:rFonts w:ascii="Garamond" w:hAnsi="Garamond"/>
                <w:sz w:val="23"/>
                <w:szCs w:val="23"/>
              </w:rPr>
              <w:t>West Penn Power</w:t>
            </w:r>
          </w:p>
        </w:tc>
        <w:tc>
          <w:tcPr>
            <w:tcW w:w="4860" w:type="dxa"/>
          </w:tcPr>
          <w:p w:rsidR="00B14640" w:rsidRDefault="00F37AE0" w:rsidP="00BC5778">
            <w:pPr>
              <w:jc w:val="left"/>
              <w:rPr>
                <w:rFonts w:ascii="Garamond" w:hAnsi="Garamond"/>
                <w:sz w:val="23"/>
                <w:szCs w:val="23"/>
              </w:rPr>
            </w:pPr>
            <w:r>
              <w:rPr>
                <w:rFonts w:ascii="Garamond" w:hAnsi="Garamond"/>
                <w:sz w:val="23"/>
                <w:szCs w:val="23"/>
              </w:rPr>
              <w:t>Customer Load Response/</w:t>
            </w:r>
            <w:r w:rsidR="00BC5778">
              <w:rPr>
                <w:rFonts w:ascii="Garamond" w:hAnsi="Garamond"/>
                <w:sz w:val="23"/>
                <w:szCs w:val="23"/>
              </w:rPr>
              <w:t>Customer Resources DR</w:t>
            </w:r>
          </w:p>
        </w:tc>
        <w:tc>
          <w:tcPr>
            <w:tcW w:w="2718" w:type="dxa"/>
          </w:tcPr>
          <w:p w:rsidR="00B14640" w:rsidRDefault="00BC5778" w:rsidP="00BC5778">
            <w:pPr>
              <w:jc w:val="center"/>
              <w:rPr>
                <w:rFonts w:ascii="Garamond" w:hAnsi="Garamond"/>
                <w:sz w:val="23"/>
                <w:szCs w:val="23"/>
              </w:rPr>
            </w:pPr>
            <w:r>
              <w:rPr>
                <w:rFonts w:ascii="Garamond" w:hAnsi="Garamond"/>
                <w:sz w:val="23"/>
                <w:szCs w:val="23"/>
              </w:rPr>
              <w:t>1.21</w:t>
            </w:r>
          </w:p>
        </w:tc>
      </w:tr>
      <w:tr w:rsidR="00BC5778" w:rsidTr="00BC5778">
        <w:tc>
          <w:tcPr>
            <w:tcW w:w="1998" w:type="dxa"/>
          </w:tcPr>
          <w:p w:rsidR="00BC5778" w:rsidRDefault="00BC5778" w:rsidP="00F37AE0">
            <w:pPr>
              <w:rPr>
                <w:rFonts w:ascii="Garamond" w:hAnsi="Garamond"/>
                <w:sz w:val="23"/>
                <w:szCs w:val="23"/>
              </w:rPr>
            </w:pPr>
            <w:r>
              <w:rPr>
                <w:rFonts w:ascii="Garamond" w:hAnsi="Garamond"/>
                <w:sz w:val="23"/>
                <w:szCs w:val="23"/>
              </w:rPr>
              <w:t>PPL</w:t>
            </w:r>
          </w:p>
        </w:tc>
        <w:tc>
          <w:tcPr>
            <w:tcW w:w="4860" w:type="dxa"/>
          </w:tcPr>
          <w:p w:rsidR="00BC5778" w:rsidRDefault="00BC5778" w:rsidP="00F37AE0">
            <w:pPr>
              <w:jc w:val="left"/>
              <w:rPr>
                <w:rFonts w:ascii="Garamond" w:hAnsi="Garamond"/>
                <w:sz w:val="23"/>
                <w:szCs w:val="23"/>
              </w:rPr>
            </w:pPr>
            <w:r>
              <w:rPr>
                <w:rFonts w:ascii="Garamond" w:hAnsi="Garamond"/>
                <w:sz w:val="23"/>
                <w:szCs w:val="23"/>
              </w:rPr>
              <w:t>Load Curtailment</w:t>
            </w:r>
          </w:p>
        </w:tc>
        <w:tc>
          <w:tcPr>
            <w:tcW w:w="2718" w:type="dxa"/>
          </w:tcPr>
          <w:p w:rsidR="00BC5778" w:rsidRDefault="00BC5778" w:rsidP="00BC5778">
            <w:pPr>
              <w:jc w:val="center"/>
              <w:rPr>
                <w:rFonts w:ascii="Garamond" w:hAnsi="Garamond"/>
                <w:sz w:val="23"/>
                <w:szCs w:val="23"/>
              </w:rPr>
            </w:pPr>
            <w:r>
              <w:rPr>
                <w:rFonts w:ascii="Garamond" w:hAnsi="Garamond"/>
                <w:sz w:val="23"/>
                <w:szCs w:val="23"/>
              </w:rPr>
              <w:t>1.16</w:t>
            </w:r>
          </w:p>
        </w:tc>
      </w:tr>
      <w:tr w:rsidR="00BC5778" w:rsidTr="00BC5778">
        <w:tc>
          <w:tcPr>
            <w:tcW w:w="1998" w:type="dxa"/>
          </w:tcPr>
          <w:p w:rsidR="00BC5778" w:rsidRDefault="00BC5778" w:rsidP="00F73D1B">
            <w:pPr>
              <w:rPr>
                <w:rFonts w:ascii="Garamond" w:hAnsi="Garamond"/>
                <w:sz w:val="23"/>
                <w:szCs w:val="23"/>
              </w:rPr>
            </w:pPr>
            <w:r>
              <w:rPr>
                <w:rFonts w:ascii="Garamond" w:hAnsi="Garamond"/>
                <w:sz w:val="23"/>
                <w:szCs w:val="23"/>
              </w:rPr>
              <w:t>West Penn Power</w:t>
            </w:r>
          </w:p>
        </w:tc>
        <w:tc>
          <w:tcPr>
            <w:tcW w:w="4860" w:type="dxa"/>
          </w:tcPr>
          <w:p w:rsidR="00BC5778" w:rsidRDefault="00BC5778" w:rsidP="00BC5778">
            <w:pPr>
              <w:jc w:val="left"/>
              <w:rPr>
                <w:rFonts w:ascii="Garamond" w:hAnsi="Garamond"/>
                <w:sz w:val="23"/>
                <w:szCs w:val="23"/>
              </w:rPr>
            </w:pPr>
            <w:r>
              <w:rPr>
                <w:rFonts w:ascii="Garamond" w:hAnsi="Garamond"/>
                <w:sz w:val="23"/>
                <w:szCs w:val="23"/>
              </w:rPr>
              <w:t xml:space="preserve">Critical Peak Rebate </w:t>
            </w:r>
          </w:p>
        </w:tc>
        <w:tc>
          <w:tcPr>
            <w:tcW w:w="2718" w:type="dxa"/>
          </w:tcPr>
          <w:p w:rsidR="00BC5778" w:rsidRDefault="00BC5778" w:rsidP="00BC5778">
            <w:pPr>
              <w:jc w:val="center"/>
              <w:rPr>
                <w:rFonts w:ascii="Garamond" w:hAnsi="Garamond"/>
                <w:sz w:val="23"/>
                <w:szCs w:val="23"/>
              </w:rPr>
            </w:pPr>
            <w:r>
              <w:rPr>
                <w:rFonts w:ascii="Garamond" w:hAnsi="Garamond"/>
                <w:sz w:val="23"/>
                <w:szCs w:val="23"/>
              </w:rPr>
              <w:t>0.80</w:t>
            </w:r>
          </w:p>
        </w:tc>
      </w:tr>
      <w:tr w:rsidR="00BC5778" w:rsidTr="00BC5778">
        <w:tc>
          <w:tcPr>
            <w:tcW w:w="1998" w:type="dxa"/>
          </w:tcPr>
          <w:p w:rsidR="00BC5778" w:rsidRDefault="00BC5778" w:rsidP="00F73D1B">
            <w:pPr>
              <w:rPr>
                <w:rFonts w:ascii="Garamond" w:hAnsi="Garamond"/>
                <w:sz w:val="23"/>
                <w:szCs w:val="23"/>
              </w:rPr>
            </w:pPr>
            <w:r>
              <w:rPr>
                <w:rFonts w:ascii="Garamond" w:hAnsi="Garamond"/>
                <w:sz w:val="23"/>
                <w:szCs w:val="23"/>
              </w:rPr>
              <w:t>PECO</w:t>
            </w:r>
          </w:p>
        </w:tc>
        <w:tc>
          <w:tcPr>
            <w:tcW w:w="4860" w:type="dxa"/>
          </w:tcPr>
          <w:p w:rsidR="00BC5778" w:rsidRDefault="00BC5778" w:rsidP="00BC5778">
            <w:pPr>
              <w:jc w:val="left"/>
              <w:rPr>
                <w:rFonts w:ascii="Garamond" w:hAnsi="Garamond"/>
                <w:sz w:val="23"/>
                <w:szCs w:val="23"/>
              </w:rPr>
            </w:pPr>
            <w:r>
              <w:rPr>
                <w:rFonts w:ascii="Garamond" w:hAnsi="Garamond"/>
                <w:sz w:val="23"/>
                <w:szCs w:val="23"/>
              </w:rPr>
              <w:t>Demand Response Aggregators</w:t>
            </w:r>
          </w:p>
        </w:tc>
        <w:tc>
          <w:tcPr>
            <w:tcW w:w="2718" w:type="dxa"/>
          </w:tcPr>
          <w:p w:rsidR="00BC5778" w:rsidRDefault="00BC5778" w:rsidP="00BC5778">
            <w:pPr>
              <w:jc w:val="center"/>
              <w:rPr>
                <w:rFonts w:ascii="Garamond" w:hAnsi="Garamond"/>
                <w:sz w:val="23"/>
                <w:szCs w:val="23"/>
              </w:rPr>
            </w:pPr>
            <w:r>
              <w:rPr>
                <w:rFonts w:ascii="Garamond" w:hAnsi="Garamond"/>
                <w:sz w:val="23"/>
                <w:szCs w:val="23"/>
              </w:rPr>
              <w:t>0.65</w:t>
            </w:r>
          </w:p>
        </w:tc>
      </w:tr>
      <w:tr w:rsidR="00BC5778" w:rsidTr="00BC5778">
        <w:tc>
          <w:tcPr>
            <w:tcW w:w="1998" w:type="dxa"/>
          </w:tcPr>
          <w:p w:rsidR="00BC5778" w:rsidRDefault="00BC5778" w:rsidP="00F73D1B">
            <w:pPr>
              <w:rPr>
                <w:rFonts w:ascii="Garamond" w:hAnsi="Garamond"/>
                <w:sz w:val="23"/>
                <w:szCs w:val="23"/>
              </w:rPr>
            </w:pPr>
            <w:r>
              <w:rPr>
                <w:rFonts w:ascii="Garamond" w:hAnsi="Garamond"/>
                <w:sz w:val="23"/>
                <w:szCs w:val="23"/>
              </w:rPr>
              <w:t>PECO</w:t>
            </w:r>
          </w:p>
        </w:tc>
        <w:tc>
          <w:tcPr>
            <w:tcW w:w="4860" w:type="dxa"/>
          </w:tcPr>
          <w:p w:rsidR="00BC5778" w:rsidRDefault="00BC5778" w:rsidP="00BC5778">
            <w:pPr>
              <w:jc w:val="left"/>
              <w:rPr>
                <w:rFonts w:ascii="Garamond" w:hAnsi="Garamond"/>
                <w:sz w:val="23"/>
                <w:szCs w:val="23"/>
              </w:rPr>
            </w:pPr>
            <w:r>
              <w:rPr>
                <w:rFonts w:ascii="Garamond" w:hAnsi="Garamond"/>
                <w:sz w:val="23"/>
                <w:szCs w:val="23"/>
              </w:rPr>
              <w:t>Distributed Energy Resources</w:t>
            </w:r>
          </w:p>
        </w:tc>
        <w:tc>
          <w:tcPr>
            <w:tcW w:w="2718" w:type="dxa"/>
          </w:tcPr>
          <w:p w:rsidR="00BC5778" w:rsidRDefault="00BC5778" w:rsidP="00BC5778">
            <w:pPr>
              <w:jc w:val="center"/>
              <w:rPr>
                <w:rFonts w:ascii="Garamond" w:hAnsi="Garamond"/>
                <w:sz w:val="23"/>
                <w:szCs w:val="23"/>
              </w:rPr>
            </w:pPr>
            <w:r>
              <w:rPr>
                <w:rFonts w:ascii="Garamond" w:hAnsi="Garamond"/>
                <w:sz w:val="23"/>
                <w:szCs w:val="23"/>
              </w:rPr>
              <w:t>0.47</w:t>
            </w:r>
          </w:p>
        </w:tc>
      </w:tr>
    </w:tbl>
    <w:p w:rsidR="005523CC" w:rsidRDefault="005523CC" w:rsidP="00F73D1B">
      <w:pPr>
        <w:spacing w:line="240" w:lineRule="auto"/>
        <w:rPr>
          <w:rFonts w:ascii="Garamond" w:hAnsi="Garamond"/>
          <w:sz w:val="23"/>
          <w:szCs w:val="23"/>
        </w:rPr>
      </w:pPr>
    </w:p>
    <w:p w:rsidR="00FB5EFD" w:rsidRPr="00F73D1B" w:rsidRDefault="00F37AE0" w:rsidP="00F73D1B">
      <w:pPr>
        <w:spacing w:line="240" w:lineRule="auto"/>
        <w:rPr>
          <w:rFonts w:ascii="Garamond" w:hAnsi="Garamond"/>
          <w:sz w:val="23"/>
          <w:szCs w:val="23"/>
        </w:rPr>
      </w:pPr>
      <w:r>
        <w:rPr>
          <w:rFonts w:ascii="Garamond" w:hAnsi="Garamond"/>
          <w:sz w:val="23"/>
          <w:szCs w:val="23"/>
        </w:rPr>
        <w:fldChar w:fldCharType="begin"/>
      </w:r>
      <w:r>
        <w:rPr>
          <w:rFonts w:ascii="Garamond" w:hAnsi="Garamond"/>
          <w:sz w:val="23"/>
          <w:szCs w:val="23"/>
        </w:rPr>
        <w:instrText xml:space="preserve"> REF _Ref352341682 \h </w:instrText>
      </w:r>
      <w:r>
        <w:rPr>
          <w:rFonts w:ascii="Garamond" w:hAnsi="Garamond"/>
          <w:sz w:val="23"/>
          <w:szCs w:val="23"/>
        </w:rPr>
      </w:r>
      <w:r>
        <w:rPr>
          <w:rFonts w:ascii="Garamond" w:hAnsi="Garamond"/>
          <w:sz w:val="23"/>
          <w:szCs w:val="23"/>
        </w:rPr>
        <w:fldChar w:fldCharType="separate"/>
      </w:r>
      <w:r w:rsidR="00451FFF" w:rsidRPr="004F4566">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7</w:t>
      </w:r>
      <w:r>
        <w:rPr>
          <w:rFonts w:ascii="Garamond" w:hAnsi="Garamond"/>
          <w:sz w:val="23"/>
          <w:szCs w:val="23"/>
        </w:rPr>
        <w:fldChar w:fldCharType="end"/>
      </w:r>
      <w:r>
        <w:rPr>
          <w:rFonts w:ascii="Garamond" w:hAnsi="Garamond"/>
          <w:sz w:val="23"/>
          <w:szCs w:val="23"/>
        </w:rPr>
        <w:t xml:space="preserve"> </w:t>
      </w:r>
      <w:r w:rsidR="005523CC">
        <w:rPr>
          <w:rFonts w:ascii="Garamond" w:hAnsi="Garamond"/>
          <w:sz w:val="23"/>
          <w:szCs w:val="23"/>
        </w:rPr>
        <w:t>shows the statewide results of the Generation Cost sensitivity analysis. F</w:t>
      </w:r>
      <w:r w:rsidR="00FB5EFD" w:rsidRPr="00F73D1B">
        <w:rPr>
          <w:rFonts w:ascii="Garamond" w:hAnsi="Garamond"/>
          <w:sz w:val="23"/>
          <w:szCs w:val="23"/>
        </w:rPr>
        <w:t>or t</w:t>
      </w:r>
      <w:r w:rsidR="00B6227D">
        <w:rPr>
          <w:rFonts w:ascii="Garamond" w:hAnsi="Garamond"/>
          <w:sz w:val="23"/>
          <w:szCs w:val="23"/>
        </w:rPr>
        <w:t>he combined programs, the break-</w:t>
      </w:r>
      <w:r w:rsidR="00FB5EFD" w:rsidRPr="00F73D1B">
        <w:rPr>
          <w:rFonts w:ascii="Garamond" w:hAnsi="Garamond"/>
          <w:sz w:val="23"/>
          <w:szCs w:val="23"/>
        </w:rPr>
        <w:t xml:space="preserve">even avoided </w:t>
      </w:r>
      <w:r>
        <w:rPr>
          <w:rFonts w:ascii="Garamond" w:hAnsi="Garamond"/>
          <w:sz w:val="23"/>
          <w:szCs w:val="23"/>
        </w:rPr>
        <w:t xml:space="preserve">cost of </w:t>
      </w:r>
      <w:r w:rsidR="00FB5EFD" w:rsidRPr="00F73D1B">
        <w:rPr>
          <w:rFonts w:ascii="Garamond" w:hAnsi="Garamond"/>
          <w:sz w:val="23"/>
          <w:szCs w:val="23"/>
        </w:rPr>
        <w:t>generation capacity is $73.27 per kW-year</w:t>
      </w:r>
      <w:r w:rsidR="00B6227D">
        <w:rPr>
          <w:rFonts w:ascii="Garamond" w:hAnsi="Garamond"/>
          <w:sz w:val="23"/>
          <w:szCs w:val="23"/>
        </w:rPr>
        <w:t xml:space="preserve"> assuming a $25 per kW-year avoided T&amp;D benefit</w:t>
      </w:r>
      <w:r>
        <w:rPr>
          <w:rFonts w:ascii="Garamond" w:hAnsi="Garamond"/>
          <w:sz w:val="23"/>
          <w:szCs w:val="23"/>
        </w:rPr>
        <w:t xml:space="preserve">. </w:t>
      </w:r>
      <w:r w:rsidR="005523CC">
        <w:rPr>
          <w:rFonts w:ascii="Garamond" w:hAnsi="Garamond"/>
          <w:sz w:val="23"/>
          <w:szCs w:val="23"/>
        </w:rPr>
        <w:t xml:space="preserve">This means </w:t>
      </w:r>
      <w:r w:rsidR="00CE6F42">
        <w:rPr>
          <w:rFonts w:ascii="Garamond" w:hAnsi="Garamond"/>
          <w:sz w:val="23"/>
          <w:szCs w:val="23"/>
        </w:rPr>
        <w:t>that if the average avoided cost of generation capacity in the state were equal to $73.27 per kW-year, we would expect a statewide TRC ratio of 1.0 with all other base case assumptions held constant.</w:t>
      </w:r>
      <w:r w:rsidR="00B6227D">
        <w:rPr>
          <w:rFonts w:ascii="Garamond" w:hAnsi="Garamond"/>
          <w:sz w:val="23"/>
          <w:szCs w:val="23"/>
        </w:rPr>
        <w:t xml:space="preserve"> If avoided T&amp;D benefits were equal to $0 per kW-year, the break-even generation capacity price for load curtailment programs would equal $98.27 per kW-year.</w:t>
      </w:r>
    </w:p>
    <w:p w:rsidR="004F4566" w:rsidRPr="004F4566" w:rsidRDefault="004F4566" w:rsidP="004F4566">
      <w:pPr>
        <w:pStyle w:val="Caption"/>
        <w:keepNext/>
        <w:jc w:val="center"/>
        <w:rPr>
          <w:rFonts w:ascii="Garamond" w:hAnsi="Garamond"/>
          <w:sz w:val="23"/>
          <w:szCs w:val="23"/>
        </w:rPr>
      </w:pPr>
      <w:bookmarkStart w:id="116" w:name="_Ref352341682"/>
      <w:r w:rsidRPr="004F4566">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7</w:t>
      </w:r>
      <w:r w:rsidR="00F45397">
        <w:rPr>
          <w:rFonts w:ascii="Garamond" w:hAnsi="Garamond"/>
          <w:sz w:val="23"/>
          <w:szCs w:val="23"/>
        </w:rPr>
        <w:fldChar w:fldCharType="end"/>
      </w:r>
      <w:bookmarkEnd w:id="116"/>
      <w:r w:rsidRPr="004F4566">
        <w:rPr>
          <w:rFonts w:ascii="Garamond" w:hAnsi="Garamond"/>
          <w:sz w:val="23"/>
          <w:szCs w:val="23"/>
        </w:rPr>
        <w:t xml:space="preserve">: Avoided Generation Cost Scenarios – All </w:t>
      </w:r>
      <w:r w:rsidR="006C6BA6">
        <w:rPr>
          <w:rFonts w:ascii="Garamond" w:hAnsi="Garamond"/>
          <w:sz w:val="23"/>
          <w:szCs w:val="23"/>
        </w:rPr>
        <w:t xml:space="preserve">Load Curtailment </w:t>
      </w:r>
      <w:r w:rsidRPr="004F4566">
        <w:rPr>
          <w:rFonts w:ascii="Garamond" w:hAnsi="Garamond"/>
          <w:sz w:val="23"/>
          <w:szCs w:val="23"/>
        </w:rPr>
        <w:t>Programs Combined</w:t>
      </w:r>
    </w:p>
    <w:p w:rsidR="00FB5EFD" w:rsidRDefault="00FB5EFD" w:rsidP="004F4566">
      <w:pPr>
        <w:jc w:val="center"/>
      </w:pPr>
      <w:r w:rsidRPr="000C3DEA">
        <w:rPr>
          <w:noProof/>
        </w:rPr>
        <w:drawing>
          <wp:inline distT="0" distB="0" distL="0" distR="0" wp14:anchorId="46832F88" wp14:editId="31C36207">
            <wp:extent cx="4890135" cy="28943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90135" cy="2894330"/>
                    </a:xfrm>
                    <a:prstGeom prst="rect">
                      <a:avLst/>
                    </a:prstGeom>
                    <a:noFill/>
                    <a:ln>
                      <a:noFill/>
                    </a:ln>
                  </pic:spPr>
                </pic:pic>
              </a:graphicData>
            </a:graphic>
          </wp:inline>
        </w:drawing>
      </w:r>
    </w:p>
    <w:p w:rsidR="00FB5EFD" w:rsidRPr="00F73D1B" w:rsidRDefault="005755F1" w:rsidP="00F73D1B">
      <w:pPr>
        <w:spacing w:line="240" w:lineRule="auto"/>
        <w:rPr>
          <w:rFonts w:ascii="Garamond" w:hAnsi="Garamond"/>
          <w:sz w:val="23"/>
          <w:szCs w:val="23"/>
        </w:rPr>
      </w:pPr>
      <w:r>
        <w:rPr>
          <w:rFonts w:ascii="Garamond" w:hAnsi="Garamond"/>
          <w:sz w:val="23"/>
          <w:szCs w:val="23"/>
        </w:rPr>
        <w:t xml:space="preserve">Without the inclusion of avoided T&amp;D costs, none of the Act 129 customer load </w:t>
      </w:r>
      <w:r w:rsidR="00B04F22">
        <w:rPr>
          <w:rFonts w:ascii="Garamond" w:hAnsi="Garamond"/>
          <w:sz w:val="23"/>
          <w:szCs w:val="23"/>
        </w:rPr>
        <w:t>curtailment</w:t>
      </w:r>
      <w:r>
        <w:rPr>
          <w:rFonts w:ascii="Garamond" w:hAnsi="Garamond"/>
          <w:sz w:val="23"/>
          <w:szCs w:val="23"/>
        </w:rPr>
        <w:t xml:space="preserve"> programs are cost effective. </w:t>
      </w:r>
      <w:r w:rsidR="00FB5EFD" w:rsidRPr="00F73D1B">
        <w:rPr>
          <w:rFonts w:ascii="Garamond" w:hAnsi="Garamond"/>
          <w:sz w:val="23"/>
          <w:szCs w:val="23"/>
        </w:rPr>
        <w:t>The</w:t>
      </w:r>
      <w:r w:rsidR="00CE6F42">
        <w:rPr>
          <w:rFonts w:ascii="Garamond" w:hAnsi="Garamond"/>
          <w:sz w:val="23"/>
          <w:szCs w:val="23"/>
        </w:rPr>
        <w:t xml:space="preserve"> T&amp;D cost sensitivity introduced in Section </w:t>
      </w:r>
      <w:r w:rsidR="00CE6F42">
        <w:rPr>
          <w:rFonts w:ascii="Garamond" w:hAnsi="Garamond"/>
          <w:sz w:val="23"/>
          <w:szCs w:val="23"/>
        </w:rPr>
        <w:fldChar w:fldCharType="begin"/>
      </w:r>
      <w:r w:rsidR="00CE6F42">
        <w:rPr>
          <w:rFonts w:ascii="Garamond" w:hAnsi="Garamond"/>
          <w:sz w:val="23"/>
          <w:szCs w:val="23"/>
        </w:rPr>
        <w:instrText xml:space="preserve"> REF _Ref352938528 \r \h </w:instrText>
      </w:r>
      <w:r w:rsidR="00CE6F42">
        <w:rPr>
          <w:rFonts w:ascii="Garamond" w:hAnsi="Garamond"/>
          <w:sz w:val="23"/>
          <w:szCs w:val="23"/>
        </w:rPr>
      </w:r>
      <w:r w:rsidR="00CE6F42">
        <w:rPr>
          <w:rFonts w:ascii="Garamond" w:hAnsi="Garamond"/>
          <w:sz w:val="23"/>
          <w:szCs w:val="23"/>
        </w:rPr>
        <w:fldChar w:fldCharType="separate"/>
      </w:r>
      <w:r w:rsidR="00451FFF">
        <w:rPr>
          <w:rFonts w:ascii="Garamond" w:hAnsi="Garamond"/>
          <w:sz w:val="23"/>
          <w:szCs w:val="23"/>
        </w:rPr>
        <w:t>2</w:t>
      </w:r>
      <w:r w:rsidR="00CE6F42">
        <w:rPr>
          <w:rFonts w:ascii="Garamond" w:hAnsi="Garamond"/>
          <w:sz w:val="23"/>
          <w:szCs w:val="23"/>
        </w:rPr>
        <w:fldChar w:fldCharType="end"/>
      </w:r>
      <w:r w:rsidR="00CE6F42">
        <w:rPr>
          <w:rFonts w:ascii="Garamond" w:hAnsi="Garamond"/>
          <w:sz w:val="23"/>
          <w:szCs w:val="23"/>
        </w:rPr>
        <w:fldChar w:fldCharType="begin"/>
      </w:r>
      <w:r w:rsidR="00CE6F42">
        <w:rPr>
          <w:rFonts w:ascii="Garamond" w:hAnsi="Garamond"/>
          <w:sz w:val="23"/>
          <w:szCs w:val="23"/>
        </w:rPr>
        <w:instrText xml:space="preserve"> REF _Ref352938529 \r \h </w:instrText>
      </w:r>
      <w:r w:rsidR="00CE6F42">
        <w:rPr>
          <w:rFonts w:ascii="Garamond" w:hAnsi="Garamond"/>
          <w:sz w:val="23"/>
          <w:szCs w:val="23"/>
        </w:rPr>
      </w:r>
      <w:r w:rsidR="00CE6F42">
        <w:rPr>
          <w:rFonts w:ascii="Garamond" w:hAnsi="Garamond"/>
          <w:sz w:val="23"/>
          <w:szCs w:val="23"/>
        </w:rPr>
        <w:fldChar w:fldCharType="separate"/>
      </w:r>
      <w:r w:rsidR="00451FFF">
        <w:rPr>
          <w:rFonts w:ascii="Garamond" w:hAnsi="Garamond"/>
          <w:sz w:val="23"/>
          <w:szCs w:val="23"/>
        </w:rPr>
        <w:t>b</w:t>
      </w:r>
      <w:r w:rsidR="00CE6F42">
        <w:rPr>
          <w:rFonts w:ascii="Garamond" w:hAnsi="Garamond"/>
          <w:sz w:val="23"/>
          <w:szCs w:val="23"/>
        </w:rPr>
        <w:fldChar w:fldCharType="end"/>
      </w:r>
      <w:r w:rsidR="00FB5EFD" w:rsidRPr="00F73D1B">
        <w:rPr>
          <w:rFonts w:ascii="Garamond" w:hAnsi="Garamond"/>
          <w:sz w:val="23"/>
          <w:szCs w:val="23"/>
        </w:rPr>
        <w:t xml:space="preserve"> </w:t>
      </w:r>
      <w:r w:rsidR="00CE6F42">
        <w:rPr>
          <w:rFonts w:ascii="Garamond" w:hAnsi="Garamond"/>
          <w:sz w:val="23"/>
          <w:szCs w:val="23"/>
        </w:rPr>
        <w:t xml:space="preserve">and presented in </w:t>
      </w:r>
      <w:r w:rsidR="00CE6F42">
        <w:rPr>
          <w:rFonts w:ascii="Garamond" w:hAnsi="Garamond"/>
          <w:sz w:val="23"/>
          <w:szCs w:val="23"/>
        </w:rPr>
        <w:fldChar w:fldCharType="begin"/>
      </w:r>
      <w:r w:rsidR="00CE6F42">
        <w:rPr>
          <w:rFonts w:ascii="Garamond" w:hAnsi="Garamond"/>
          <w:sz w:val="23"/>
          <w:szCs w:val="23"/>
        </w:rPr>
        <w:instrText xml:space="preserve"> REF _Ref352935249 \h </w:instrText>
      </w:r>
      <w:r w:rsidR="00CE6F42">
        <w:rPr>
          <w:rFonts w:ascii="Garamond" w:hAnsi="Garamond"/>
          <w:sz w:val="23"/>
          <w:szCs w:val="23"/>
        </w:rPr>
      </w:r>
      <w:r w:rsidR="00CE6F42">
        <w:rPr>
          <w:rFonts w:ascii="Garamond" w:hAnsi="Garamond"/>
          <w:sz w:val="23"/>
          <w:szCs w:val="23"/>
        </w:rPr>
        <w:fldChar w:fldCharType="separate"/>
      </w:r>
      <w:r w:rsidR="00451FFF" w:rsidRPr="00DA306A">
        <w:rPr>
          <w:rFonts w:ascii="Garamond" w:hAnsi="Garamond"/>
          <w:sz w:val="23"/>
          <w:szCs w:val="23"/>
        </w:rPr>
        <w:t xml:space="preserve">Figure </w:t>
      </w:r>
      <w:r w:rsidR="00451FFF">
        <w:rPr>
          <w:rFonts w:ascii="Garamond" w:hAnsi="Garamond"/>
          <w:noProof/>
          <w:sz w:val="23"/>
          <w:szCs w:val="23"/>
        </w:rPr>
        <w:t>F</w:t>
      </w:r>
      <w:r w:rsidR="00451FFF">
        <w:rPr>
          <w:rFonts w:ascii="Garamond" w:hAnsi="Garamond"/>
          <w:sz w:val="23"/>
          <w:szCs w:val="23"/>
        </w:rPr>
        <w:noBreakHyphen/>
      </w:r>
      <w:r w:rsidR="00451FFF">
        <w:rPr>
          <w:rFonts w:ascii="Garamond" w:hAnsi="Garamond"/>
          <w:noProof/>
          <w:sz w:val="23"/>
          <w:szCs w:val="23"/>
        </w:rPr>
        <w:t>8</w:t>
      </w:r>
      <w:r w:rsidR="00CE6F42">
        <w:rPr>
          <w:rFonts w:ascii="Garamond" w:hAnsi="Garamond"/>
          <w:sz w:val="23"/>
          <w:szCs w:val="23"/>
        </w:rPr>
        <w:fldChar w:fldCharType="end"/>
      </w:r>
      <w:r w:rsidR="00CE6F42">
        <w:rPr>
          <w:rFonts w:ascii="Garamond" w:hAnsi="Garamond"/>
          <w:sz w:val="23"/>
          <w:szCs w:val="23"/>
        </w:rPr>
        <w:t xml:space="preserve"> </w:t>
      </w:r>
      <w:r w:rsidR="00FB5EFD" w:rsidRPr="00F73D1B">
        <w:rPr>
          <w:rFonts w:ascii="Garamond" w:hAnsi="Garamond"/>
          <w:sz w:val="23"/>
          <w:szCs w:val="23"/>
        </w:rPr>
        <w:t>demonstrate</w:t>
      </w:r>
      <w:r w:rsidR="00CE6F42">
        <w:rPr>
          <w:rFonts w:ascii="Garamond" w:hAnsi="Garamond"/>
          <w:sz w:val="23"/>
          <w:szCs w:val="23"/>
        </w:rPr>
        <w:t>s</w:t>
      </w:r>
      <w:r w:rsidR="00FB5EFD" w:rsidRPr="00F73D1B">
        <w:rPr>
          <w:rFonts w:ascii="Garamond" w:hAnsi="Garamond"/>
          <w:sz w:val="23"/>
          <w:szCs w:val="23"/>
        </w:rPr>
        <w:t xml:space="preserve"> that the TRC test is sensitive to this assumption, but not as sensitive as it is to the avoided </w:t>
      </w:r>
      <w:r w:rsidR="004F4566">
        <w:rPr>
          <w:rFonts w:ascii="Garamond" w:hAnsi="Garamond"/>
          <w:sz w:val="23"/>
          <w:szCs w:val="23"/>
        </w:rPr>
        <w:lastRenderedPageBreak/>
        <w:t xml:space="preserve">cost of generation </w:t>
      </w:r>
      <w:r w:rsidR="00FB5EFD" w:rsidRPr="00F73D1B">
        <w:rPr>
          <w:rFonts w:ascii="Garamond" w:hAnsi="Garamond"/>
          <w:sz w:val="23"/>
          <w:szCs w:val="23"/>
        </w:rPr>
        <w:t>capacity</w:t>
      </w:r>
      <w:r w:rsidR="004F4566">
        <w:rPr>
          <w:rFonts w:ascii="Garamond" w:hAnsi="Garamond"/>
          <w:sz w:val="23"/>
          <w:szCs w:val="23"/>
        </w:rPr>
        <w:t xml:space="preserve">. </w:t>
      </w:r>
      <w:r w:rsidR="00FB5EFD" w:rsidRPr="00F73D1B">
        <w:rPr>
          <w:rFonts w:ascii="Garamond" w:hAnsi="Garamond"/>
          <w:sz w:val="23"/>
          <w:szCs w:val="23"/>
        </w:rPr>
        <w:t xml:space="preserve">Unfortunately, the T&amp;D avoided costs are the assumption </w:t>
      </w:r>
      <w:r>
        <w:rPr>
          <w:rFonts w:ascii="Garamond" w:hAnsi="Garamond"/>
          <w:sz w:val="23"/>
          <w:szCs w:val="23"/>
        </w:rPr>
        <w:t xml:space="preserve">that is most EDC-specific and </w:t>
      </w:r>
      <w:r w:rsidR="00FB5EFD" w:rsidRPr="00F73D1B">
        <w:rPr>
          <w:rFonts w:ascii="Garamond" w:hAnsi="Garamond"/>
          <w:sz w:val="23"/>
          <w:szCs w:val="23"/>
        </w:rPr>
        <w:t>the SWE has the least informa</w:t>
      </w:r>
      <w:r w:rsidR="00F37AE0">
        <w:rPr>
          <w:rFonts w:ascii="Garamond" w:hAnsi="Garamond"/>
          <w:sz w:val="23"/>
          <w:szCs w:val="23"/>
        </w:rPr>
        <w:t xml:space="preserve">tion available. </w:t>
      </w:r>
      <w:r w:rsidR="00FB5EFD" w:rsidRPr="00F73D1B">
        <w:rPr>
          <w:rFonts w:ascii="Garamond" w:hAnsi="Garamond"/>
          <w:sz w:val="23"/>
          <w:szCs w:val="23"/>
        </w:rPr>
        <w:t xml:space="preserve">Although the benefit cost ratio remains below 1.0 in the combined perspective across the entire range of T&amp;D costs, 3 programs </w:t>
      </w:r>
      <w:r w:rsidR="00F37AE0">
        <w:rPr>
          <w:rFonts w:ascii="Garamond" w:hAnsi="Garamond"/>
          <w:sz w:val="23"/>
          <w:szCs w:val="23"/>
        </w:rPr>
        <w:t xml:space="preserve">(PPL, Penn Power and Duquesne) </w:t>
      </w:r>
      <w:r w:rsidR="00FB5EFD" w:rsidRPr="00F73D1B">
        <w:rPr>
          <w:rFonts w:ascii="Garamond" w:hAnsi="Garamond"/>
          <w:sz w:val="23"/>
          <w:szCs w:val="23"/>
        </w:rPr>
        <w:t xml:space="preserve">that are not cost effective in the base case </w:t>
      </w:r>
      <w:r w:rsidR="00F37AE0">
        <w:rPr>
          <w:rFonts w:ascii="Garamond" w:hAnsi="Garamond"/>
          <w:sz w:val="23"/>
          <w:szCs w:val="23"/>
        </w:rPr>
        <w:t xml:space="preserve">of </w:t>
      </w:r>
      <w:r>
        <w:rPr>
          <w:rFonts w:ascii="Garamond" w:hAnsi="Garamond"/>
          <w:sz w:val="23"/>
          <w:szCs w:val="23"/>
        </w:rPr>
        <w:t xml:space="preserve">$25/kW-year </w:t>
      </w:r>
      <w:r w:rsidR="00FB5EFD" w:rsidRPr="00F73D1B">
        <w:rPr>
          <w:rFonts w:ascii="Garamond" w:hAnsi="Garamond"/>
          <w:sz w:val="23"/>
          <w:szCs w:val="23"/>
        </w:rPr>
        <w:t xml:space="preserve">become cost effective in the </w:t>
      </w:r>
      <w:r w:rsidR="00F37AE0">
        <w:rPr>
          <w:rFonts w:ascii="Garamond" w:hAnsi="Garamond"/>
          <w:sz w:val="23"/>
          <w:szCs w:val="23"/>
        </w:rPr>
        <w:t>high avoided T&amp;D case</w:t>
      </w:r>
      <w:r w:rsidR="00CE6F42">
        <w:rPr>
          <w:rFonts w:ascii="Garamond" w:hAnsi="Garamond"/>
          <w:sz w:val="23"/>
          <w:szCs w:val="23"/>
        </w:rPr>
        <w:t xml:space="preserve"> of $50/kW-year.</w:t>
      </w:r>
      <w:r w:rsidR="00F45397">
        <w:rPr>
          <w:rFonts w:ascii="Garamond" w:hAnsi="Garamond"/>
          <w:sz w:val="23"/>
          <w:szCs w:val="23"/>
        </w:rPr>
        <w:t xml:space="preserve"> </w:t>
      </w:r>
    </w:p>
    <w:p w:rsidR="00DA306A" w:rsidRPr="00DA306A" w:rsidRDefault="00DA306A" w:rsidP="00DA306A">
      <w:pPr>
        <w:pStyle w:val="Caption"/>
        <w:keepNext/>
        <w:jc w:val="center"/>
        <w:rPr>
          <w:rFonts w:ascii="Garamond" w:hAnsi="Garamond"/>
          <w:sz w:val="23"/>
          <w:szCs w:val="23"/>
        </w:rPr>
      </w:pPr>
      <w:bookmarkStart w:id="117" w:name="_Ref352935249"/>
      <w:r w:rsidRPr="00DA306A">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8</w:t>
      </w:r>
      <w:r w:rsidR="00F45397">
        <w:rPr>
          <w:rFonts w:ascii="Garamond" w:hAnsi="Garamond"/>
          <w:sz w:val="23"/>
          <w:szCs w:val="23"/>
        </w:rPr>
        <w:fldChar w:fldCharType="end"/>
      </w:r>
      <w:bookmarkEnd w:id="117"/>
      <w:r w:rsidRPr="00DA306A">
        <w:rPr>
          <w:rFonts w:ascii="Garamond" w:hAnsi="Garamond"/>
          <w:sz w:val="23"/>
          <w:szCs w:val="23"/>
        </w:rPr>
        <w:t xml:space="preserve">: Avoided T&amp;D Cost Scenarios – All </w:t>
      </w:r>
      <w:r w:rsidR="006C6BA6">
        <w:rPr>
          <w:rFonts w:ascii="Garamond" w:hAnsi="Garamond"/>
          <w:sz w:val="23"/>
          <w:szCs w:val="23"/>
        </w:rPr>
        <w:t xml:space="preserve">Load Curtailment </w:t>
      </w:r>
      <w:r w:rsidRPr="00DA306A">
        <w:rPr>
          <w:rFonts w:ascii="Garamond" w:hAnsi="Garamond"/>
          <w:sz w:val="23"/>
          <w:szCs w:val="23"/>
        </w:rPr>
        <w:t>Programs Combined</w:t>
      </w:r>
    </w:p>
    <w:p w:rsidR="00FB5EFD" w:rsidRDefault="00FB5EFD" w:rsidP="00DA306A">
      <w:pPr>
        <w:jc w:val="center"/>
      </w:pPr>
      <w:r w:rsidRPr="000C3DEA">
        <w:rPr>
          <w:noProof/>
        </w:rPr>
        <w:drawing>
          <wp:inline distT="0" distB="0" distL="0" distR="0" wp14:anchorId="2F94766B" wp14:editId="6D8FB279">
            <wp:extent cx="4890135" cy="2870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90135" cy="2870200"/>
                    </a:xfrm>
                    <a:prstGeom prst="rect">
                      <a:avLst/>
                    </a:prstGeom>
                    <a:noFill/>
                    <a:ln>
                      <a:noFill/>
                    </a:ln>
                  </pic:spPr>
                </pic:pic>
              </a:graphicData>
            </a:graphic>
          </wp:inline>
        </w:drawing>
      </w:r>
    </w:p>
    <w:p w:rsidR="00FB5EFD" w:rsidRPr="00F73D1B" w:rsidRDefault="00F37AE0" w:rsidP="00F73D1B">
      <w:pPr>
        <w:spacing w:line="240" w:lineRule="auto"/>
        <w:rPr>
          <w:rFonts w:ascii="Garamond" w:hAnsi="Garamond"/>
          <w:sz w:val="23"/>
          <w:szCs w:val="23"/>
        </w:rPr>
      </w:pPr>
      <w:r>
        <w:rPr>
          <w:rFonts w:ascii="Garamond" w:hAnsi="Garamond"/>
          <w:sz w:val="23"/>
          <w:szCs w:val="23"/>
        </w:rPr>
        <w:t>Adopting the California protocol of</w:t>
      </w:r>
      <w:r w:rsidR="00FB5EFD" w:rsidRPr="00F73D1B">
        <w:rPr>
          <w:rFonts w:ascii="Garamond" w:hAnsi="Garamond"/>
          <w:sz w:val="23"/>
          <w:szCs w:val="23"/>
        </w:rPr>
        <w:t xml:space="preserve"> reducing the amount of incentive </w:t>
      </w:r>
      <w:r>
        <w:rPr>
          <w:rFonts w:ascii="Garamond" w:hAnsi="Garamond"/>
          <w:sz w:val="23"/>
          <w:szCs w:val="23"/>
        </w:rPr>
        <w:t>payment included in the TRC test to</w:t>
      </w:r>
      <w:r w:rsidR="00182255">
        <w:rPr>
          <w:rFonts w:ascii="Garamond" w:hAnsi="Garamond"/>
          <w:sz w:val="23"/>
          <w:szCs w:val="23"/>
        </w:rPr>
        <w:t xml:space="preserve"> 75% from 100% increases program TRC ratios</w:t>
      </w:r>
      <w:r>
        <w:rPr>
          <w:rFonts w:ascii="Garamond" w:hAnsi="Garamond"/>
          <w:sz w:val="23"/>
          <w:szCs w:val="23"/>
        </w:rPr>
        <w:t xml:space="preserve">. </w:t>
      </w:r>
      <w:r w:rsidR="00FB5EFD" w:rsidRPr="00F73D1B">
        <w:rPr>
          <w:rFonts w:ascii="Garamond" w:hAnsi="Garamond"/>
          <w:sz w:val="23"/>
          <w:szCs w:val="23"/>
        </w:rPr>
        <w:t>Although the combined program perspective shows an overall TRC of less than 1.0 even with 75% of incentives, 5 of the 9 individual programs analyzed by the SWE were cos</w:t>
      </w:r>
      <w:r w:rsidR="00182255">
        <w:rPr>
          <w:rFonts w:ascii="Garamond" w:hAnsi="Garamond"/>
          <w:sz w:val="23"/>
          <w:szCs w:val="23"/>
        </w:rPr>
        <w:t xml:space="preserve">t effective under this scenario. </w:t>
      </w:r>
      <w:r w:rsidR="00CE6F42">
        <w:rPr>
          <w:rFonts w:ascii="Garamond" w:hAnsi="Garamond"/>
          <w:sz w:val="23"/>
          <w:szCs w:val="23"/>
        </w:rPr>
        <w:fldChar w:fldCharType="begin"/>
      </w:r>
      <w:r w:rsidR="00CE6F42">
        <w:rPr>
          <w:rFonts w:ascii="Garamond" w:hAnsi="Garamond"/>
          <w:sz w:val="23"/>
          <w:szCs w:val="23"/>
        </w:rPr>
        <w:instrText xml:space="preserve"> REF _Ref352935663 \h </w:instrText>
      </w:r>
      <w:r w:rsidR="00CE6F42">
        <w:rPr>
          <w:rFonts w:ascii="Garamond" w:hAnsi="Garamond"/>
          <w:sz w:val="23"/>
          <w:szCs w:val="23"/>
        </w:rPr>
      </w:r>
      <w:r w:rsidR="00CE6F42">
        <w:rPr>
          <w:rFonts w:ascii="Garamond" w:hAnsi="Garamond"/>
          <w:sz w:val="23"/>
          <w:szCs w:val="23"/>
        </w:rPr>
        <w:fldChar w:fldCharType="separate"/>
      </w:r>
      <w:r w:rsidR="00451FFF" w:rsidRPr="00435AF5">
        <w:rPr>
          <w:rFonts w:ascii="Garamond" w:hAnsi="Garamond"/>
          <w:sz w:val="23"/>
          <w:szCs w:val="23"/>
        </w:rPr>
        <w:t xml:space="preserve">Figure </w:t>
      </w:r>
      <w:r w:rsidR="00451FFF">
        <w:rPr>
          <w:rFonts w:ascii="Garamond" w:hAnsi="Garamond"/>
          <w:noProof/>
          <w:sz w:val="23"/>
          <w:szCs w:val="23"/>
        </w:rPr>
        <w:t>F</w:t>
      </w:r>
      <w:r w:rsidR="00451FFF" w:rsidRPr="00435AF5">
        <w:rPr>
          <w:rFonts w:ascii="Garamond" w:hAnsi="Garamond"/>
          <w:sz w:val="23"/>
          <w:szCs w:val="23"/>
        </w:rPr>
        <w:noBreakHyphen/>
      </w:r>
      <w:r w:rsidR="00451FFF">
        <w:rPr>
          <w:rFonts w:ascii="Garamond" w:hAnsi="Garamond"/>
          <w:noProof/>
          <w:sz w:val="23"/>
          <w:szCs w:val="23"/>
        </w:rPr>
        <w:t>9</w:t>
      </w:r>
      <w:r w:rsidR="00CE6F42">
        <w:rPr>
          <w:rFonts w:ascii="Garamond" w:hAnsi="Garamond"/>
          <w:sz w:val="23"/>
          <w:szCs w:val="23"/>
        </w:rPr>
        <w:fldChar w:fldCharType="end"/>
      </w:r>
      <w:r w:rsidR="00CE6F42">
        <w:rPr>
          <w:rFonts w:ascii="Garamond" w:hAnsi="Garamond"/>
          <w:sz w:val="23"/>
          <w:szCs w:val="23"/>
        </w:rPr>
        <w:t xml:space="preserve"> presents the results of the Reduced Incentive Cost sensitivity that was introduced in Section </w:t>
      </w:r>
      <w:r w:rsidR="00CE6F42">
        <w:rPr>
          <w:rFonts w:ascii="Garamond" w:hAnsi="Garamond"/>
          <w:sz w:val="23"/>
          <w:szCs w:val="23"/>
        </w:rPr>
        <w:fldChar w:fldCharType="begin"/>
      </w:r>
      <w:r w:rsidR="00CE6F42">
        <w:rPr>
          <w:rFonts w:ascii="Garamond" w:hAnsi="Garamond"/>
          <w:sz w:val="23"/>
          <w:szCs w:val="23"/>
        </w:rPr>
        <w:instrText xml:space="preserve"> REF _Ref352938717 \r \h </w:instrText>
      </w:r>
      <w:r w:rsidR="00CE6F42">
        <w:rPr>
          <w:rFonts w:ascii="Garamond" w:hAnsi="Garamond"/>
          <w:sz w:val="23"/>
          <w:szCs w:val="23"/>
        </w:rPr>
      </w:r>
      <w:r w:rsidR="00CE6F42">
        <w:rPr>
          <w:rFonts w:ascii="Garamond" w:hAnsi="Garamond"/>
          <w:sz w:val="23"/>
          <w:szCs w:val="23"/>
        </w:rPr>
        <w:fldChar w:fldCharType="separate"/>
      </w:r>
      <w:r w:rsidR="00451FFF">
        <w:rPr>
          <w:rFonts w:ascii="Garamond" w:hAnsi="Garamond"/>
          <w:sz w:val="23"/>
          <w:szCs w:val="23"/>
        </w:rPr>
        <w:t>2</w:t>
      </w:r>
      <w:r w:rsidR="00CE6F42">
        <w:rPr>
          <w:rFonts w:ascii="Garamond" w:hAnsi="Garamond"/>
          <w:sz w:val="23"/>
          <w:szCs w:val="23"/>
        </w:rPr>
        <w:fldChar w:fldCharType="end"/>
      </w:r>
      <w:r w:rsidR="00CE6F42">
        <w:rPr>
          <w:rFonts w:ascii="Garamond" w:hAnsi="Garamond"/>
          <w:sz w:val="23"/>
          <w:szCs w:val="23"/>
        </w:rPr>
        <w:fldChar w:fldCharType="begin"/>
      </w:r>
      <w:r w:rsidR="00CE6F42">
        <w:rPr>
          <w:rFonts w:ascii="Garamond" w:hAnsi="Garamond"/>
          <w:sz w:val="23"/>
          <w:szCs w:val="23"/>
        </w:rPr>
        <w:instrText xml:space="preserve"> REF _Ref352938719 \r \h </w:instrText>
      </w:r>
      <w:r w:rsidR="00CE6F42">
        <w:rPr>
          <w:rFonts w:ascii="Garamond" w:hAnsi="Garamond"/>
          <w:sz w:val="23"/>
          <w:szCs w:val="23"/>
        </w:rPr>
      </w:r>
      <w:r w:rsidR="00CE6F42">
        <w:rPr>
          <w:rFonts w:ascii="Garamond" w:hAnsi="Garamond"/>
          <w:sz w:val="23"/>
          <w:szCs w:val="23"/>
        </w:rPr>
        <w:fldChar w:fldCharType="separate"/>
      </w:r>
      <w:r w:rsidR="00451FFF">
        <w:rPr>
          <w:rFonts w:ascii="Garamond" w:hAnsi="Garamond"/>
          <w:sz w:val="23"/>
          <w:szCs w:val="23"/>
        </w:rPr>
        <w:t>c</w:t>
      </w:r>
      <w:r w:rsidR="00CE6F42">
        <w:rPr>
          <w:rFonts w:ascii="Garamond" w:hAnsi="Garamond"/>
          <w:sz w:val="23"/>
          <w:szCs w:val="23"/>
        </w:rPr>
        <w:fldChar w:fldCharType="end"/>
      </w:r>
      <w:r w:rsidR="00CE6F42">
        <w:rPr>
          <w:rFonts w:ascii="Garamond" w:hAnsi="Garamond"/>
          <w:sz w:val="23"/>
          <w:szCs w:val="23"/>
        </w:rPr>
        <w:t xml:space="preserve"> for Act 129 load curtailment programs.</w:t>
      </w:r>
    </w:p>
    <w:p w:rsidR="00DA306A" w:rsidRPr="00435AF5" w:rsidRDefault="00DA306A" w:rsidP="00DA306A">
      <w:pPr>
        <w:pStyle w:val="Caption"/>
        <w:keepNext/>
        <w:jc w:val="center"/>
        <w:rPr>
          <w:rFonts w:ascii="Garamond" w:hAnsi="Garamond"/>
          <w:sz w:val="23"/>
          <w:szCs w:val="23"/>
        </w:rPr>
      </w:pPr>
      <w:bookmarkStart w:id="118" w:name="_Ref352935663"/>
      <w:r w:rsidRPr="00435AF5">
        <w:rPr>
          <w:rFonts w:ascii="Garamond" w:hAnsi="Garamond"/>
          <w:sz w:val="23"/>
          <w:szCs w:val="23"/>
        </w:rPr>
        <w:t xml:space="preserve">Figure </w:t>
      </w:r>
      <w:r w:rsidR="00F45397" w:rsidRPr="00435AF5">
        <w:rPr>
          <w:rFonts w:ascii="Garamond" w:hAnsi="Garamond"/>
          <w:sz w:val="23"/>
          <w:szCs w:val="23"/>
        </w:rPr>
        <w:fldChar w:fldCharType="begin"/>
      </w:r>
      <w:r w:rsidR="00F45397" w:rsidRPr="00435AF5">
        <w:rPr>
          <w:rFonts w:ascii="Garamond" w:hAnsi="Garamond"/>
          <w:sz w:val="23"/>
          <w:szCs w:val="23"/>
        </w:rPr>
        <w:instrText xml:space="preserve"> STYLEREF 1 \s </w:instrText>
      </w:r>
      <w:r w:rsidR="00F45397" w:rsidRPr="00435AF5">
        <w:rPr>
          <w:rFonts w:ascii="Garamond" w:hAnsi="Garamond"/>
          <w:sz w:val="23"/>
          <w:szCs w:val="23"/>
        </w:rPr>
        <w:fldChar w:fldCharType="separate"/>
      </w:r>
      <w:r w:rsidR="00451FFF">
        <w:rPr>
          <w:rFonts w:ascii="Garamond" w:hAnsi="Garamond"/>
          <w:noProof/>
          <w:sz w:val="23"/>
          <w:szCs w:val="23"/>
        </w:rPr>
        <w:t>F</w:t>
      </w:r>
      <w:r w:rsidR="00F45397" w:rsidRPr="00435AF5">
        <w:rPr>
          <w:rFonts w:ascii="Garamond" w:hAnsi="Garamond"/>
          <w:sz w:val="23"/>
          <w:szCs w:val="23"/>
        </w:rPr>
        <w:fldChar w:fldCharType="end"/>
      </w:r>
      <w:r w:rsidR="00F45397" w:rsidRPr="00435AF5">
        <w:rPr>
          <w:rFonts w:ascii="Garamond" w:hAnsi="Garamond"/>
          <w:sz w:val="23"/>
          <w:szCs w:val="23"/>
        </w:rPr>
        <w:noBreakHyphen/>
      </w:r>
      <w:r w:rsidR="00F45397" w:rsidRPr="00435AF5">
        <w:rPr>
          <w:rFonts w:ascii="Garamond" w:hAnsi="Garamond"/>
          <w:sz w:val="23"/>
          <w:szCs w:val="23"/>
        </w:rPr>
        <w:fldChar w:fldCharType="begin"/>
      </w:r>
      <w:r w:rsidR="00F45397" w:rsidRPr="00435AF5">
        <w:rPr>
          <w:rFonts w:ascii="Garamond" w:hAnsi="Garamond"/>
          <w:sz w:val="23"/>
          <w:szCs w:val="23"/>
        </w:rPr>
        <w:instrText xml:space="preserve"> SEQ Figure \* ARABIC \s 1 </w:instrText>
      </w:r>
      <w:r w:rsidR="00F45397" w:rsidRPr="00435AF5">
        <w:rPr>
          <w:rFonts w:ascii="Garamond" w:hAnsi="Garamond"/>
          <w:sz w:val="23"/>
          <w:szCs w:val="23"/>
        </w:rPr>
        <w:fldChar w:fldCharType="separate"/>
      </w:r>
      <w:r w:rsidR="00451FFF">
        <w:rPr>
          <w:rFonts w:ascii="Garamond" w:hAnsi="Garamond"/>
          <w:noProof/>
          <w:sz w:val="23"/>
          <w:szCs w:val="23"/>
        </w:rPr>
        <w:t>9</w:t>
      </w:r>
      <w:r w:rsidR="00F45397" w:rsidRPr="00435AF5">
        <w:rPr>
          <w:rFonts w:ascii="Garamond" w:hAnsi="Garamond"/>
          <w:sz w:val="23"/>
          <w:szCs w:val="23"/>
        </w:rPr>
        <w:fldChar w:fldCharType="end"/>
      </w:r>
      <w:bookmarkEnd w:id="118"/>
      <w:r w:rsidRPr="00435AF5">
        <w:rPr>
          <w:rFonts w:ascii="Garamond" w:hAnsi="Garamond"/>
          <w:sz w:val="23"/>
          <w:szCs w:val="23"/>
        </w:rPr>
        <w:t xml:space="preserve">: Recognition of 75% of Incentives as Participant Cost Scenario – All </w:t>
      </w:r>
      <w:r w:rsidR="006C6BA6">
        <w:rPr>
          <w:rFonts w:ascii="Garamond" w:hAnsi="Garamond"/>
          <w:sz w:val="23"/>
          <w:szCs w:val="23"/>
        </w:rPr>
        <w:t xml:space="preserve">Load Curtailment </w:t>
      </w:r>
      <w:r w:rsidRPr="00435AF5">
        <w:rPr>
          <w:rFonts w:ascii="Garamond" w:hAnsi="Garamond"/>
          <w:sz w:val="23"/>
          <w:szCs w:val="23"/>
        </w:rPr>
        <w:t>Programs Combined</w:t>
      </w:r>
    </w:p>
    <w:p w:rsidR="00FB5EFD" w:rsidRDefault="00FB5EFD" w:rsidP="00DA306A">
      <w:pPr>
        <w:jc w:val="center"/>
      </w:pPr>
      <w:r w:rsidRPr="00BE3803">
        <w:rPr>
          <w:noProof/>
        </w:rPr>
        <w:drawing>
          <wp:inline distT="0" distB="0" distL="0" distR="0" wp14:anchorId="3CBEB05D" wp14:editId="7A80A28B">
            <wp:extent cx="4890135" cy="2870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90135" cy="2870200"/>
                    </a:xfrm>
                    <a:prstGeom prst="rect">
                      <a:avLst/>
                    </a:prstGeom>
                    <a:noFill/>
                    <a:ln>
                      <a:noFill/>
                    </a:ln>
                  </pic:spPr>
                </pic:pic>
              </a:graphicData>
            </a:graphic>
          </wp:inline>
        </w:drawing>
      </w:r>
    </w:p>
    <w:p w:rsidR="00FB5EFD" w:rsidRPr="00872B5F" w:rsidRDefault="00FB5EFD" w:rsidP="00872B5F">
      <w:pPr>
        <w:spacing w:line="240" w:lineRule="auto"/>
        <w:rPr>
          <w:rFonts w:ascii="Garamond" w:hAnsi="Garamond"/>
          <w:sz w:val="23"/>
          <w:szCs w:val="23"/>
        </w:rPr>
      </w:pPr>
      <w:r w:rsidRPr="00872B5F">
        <w:rPr>
          <w:rFonts w:ascii="Garamond" w:hAnsi="Garamond"/>
          <w:sz w:val="23"/>
          <w:szCs w:val="23"/>
        </w:rPr>
        <w:lastRenderedPageBreak/>
        <w:t>Finally, line loss assumptions do h</w:t>
      </w:r>
      <w:r w:rsidR="00182255">
        <w:rPr>
          <w:rFonts w:ascii="Garamond" w:hAnsi="Garamond"/>
          <w:sz w:val="23"/>
          <w:szCs w:val="23"/>
        </w:rPr>
        <w:t xml:space="preserve">ave an impact on the TRC test. </w:t>
      </w:r>
      <w:r w:rsidRPr="00872B5F">
        <w:rPr>
          <w:rFonts w:ascii="Garamond" w:hAnsi="Garamond"/>
          <w:sz w:val="23"/>
          <w:szCs w:val="23"/>
        </w:rPr>
        <w:t>However, the TRC is less sensit</w:t>
      </w:r>
      <w:r w:rsidR="00182255">
        <w:rPr>
          <w:rFonts w:ascii="Garamond" w:hAnsi="Garamond"/>
          <w:sz w:val="23"/>
          <w:szCs w:val="23"/>
        </w:rPr>
        <w:t>ive to this assumption t</w:t>
      </w:r>
      <w:r w:rsidR="00CE6F42">
        <w:rPr>
          <w:rFonts w:ascii="Garamond" w:hAnsi="Garamond"/>
          <w:sz w:val="23"/>
          <w:szCs w:val="23"/>
        </w:rPr>
        <w:t xml:space="preserve">han the other assumptions introduced in Section </w:t>
      </w:r>
      <w:r w:rsidR="00776D35">
        <w:rPr>
          <w:rFonts w:ascii="Garamond" w:hAnsi="Garamond"/>
          <w:sz w:val="23"/>
          <w:szCs w:val="23"/>
        </w:rPr>
        <w:fldChar w:fldCharType="begin"/>
      </w:r>
      <w:r w:rsidR="00776D35">
        <w:rPr>
          <w:rFonts w:ascii="Garamond" w:hAnsi="Garamond"/>
          <w:sz w:val="23"/>
          <w:szCs w:val="23"/>
        </w:rPr>
        <w:instrText xml:space="preserve"> REF _Ref352604525 \r \h </w:instrText>
      </w:r>
      <w:r w:rsidR="00776D35">
        <w:rPr>
          <w:rFonts w:ascii="Garamond" w:hAnsi="Garamond"/>
          <w:sz w:val="23"/>
          <w:szCs w:val="23"/>
        </w:rPr>
      </w:r>
      <w:r w:rsidR="00776D35">
        <w:rPr>
          <w:rFonts w:ascii="Garamond" w:hAnsi="Garamond"/>
          <w:sz w:val="23"/>
          <w:szCs w:val="23"/>
        </w:rPr>
        <w:fldChar w:fldCharType="separate"/>
      </w:r>
      <w:r w:rsidR="00451FFF">
        <w:rPr>
          <w:rFonts w:ascii="Garamond" w:hAnsi="Garamond"/>
          <w:sz w:val="23"/>
          <w:szCs w:val="23"/>
        </w:rPr>
        <w:t>F</w:t>
      </w:r>
      <w:r w:rsidR="00776D35">
        <w:rPr>
          <w:rFonts w:ascii="Garamond" w:hAnsi="Garamond"/>
          <w:sz w:val="23"/>
          <w:szCs w:val="23"/>
        </w:rPr>
        <w:fldChar w:fldCharType="end"/>
      </w:r>
      <w:r w:rsidR="00776D35">
        <w:rPr>
          <w:rFonts w:ascii="Garamond" w:hAnsi="Garamond"/>
          <w:sz w:val="23"/>
          <w:szCs w:val="23"/>
        </w:rPr>
        <w:t>-</w:t>
      </w:r>
      <w:r w:rsidR="00CE6F42">
        <w:rPr>
          <w:rFonts w:ascii="Garamond" w:hAnsi="Garamond"/>
          <w:sz w:val="23"/>
          <w:szCs w:val="23"/>
        </w:rPr>
        <w:fldChar w:fldCharType="begin"/>
      </w:r>
      <w:r w:rsidR="00CE6F42">
        <w:rPr>
          <w:rFonts w:ascii="Garamond" w:hAnsi="Garamond"/>
          <w:sz w:val="23"/>
          <w:szCs w:val="23"/>
        </w:rPr>
        <w:instrText xml:space="preserve"> REF _Ref352938776 \r \h </w:instrText>
      </w:r>
      <w:r w:rsidR="00CE6F42">
        <w:rPr>
          <w:rFonts w:ascii="Garamond" w:hAnsi="Garamond"/>
          <w:sz w:val="23"/>
          <w:szCs w:val="23"/>
        </w:rPr>
      </w:r>
      <w:r w:rsidR="00CE6F42">
        <w:rPr>
          <w:rFonts w:ascii="Garamond" w:hAnsi="Garamond"/>
          <w:sz w:val="23"/>
          <w:szCs w:val="23"/>
        </w:rPr>
        <w:fldChar w:fldCharType="separate"/>
      </w:r>
      <w:r w:rsidR="00451FFF">
        <w:rPr>
          <w:rFonts w:ascii="Garamond" w:hAnsi="Garamond"/>
          <w:sz w:val="23"/>
          <w:szCs w:val="23"/>
        </w:rPr>
        <w:t>2</w:t>
      </w:r>
      <w:r w:rsidR="00CE6F42">
        <w:rPr>
          <w:rFonts w:ascii="Garamond" w:hAnsi="Garamond"/>
          <w:sz w:val="23"/>
          <w:szCs w:val="23"/>
        </w:rPr>
        <w:fldChar w:fldCharType="end"/>
      </w:r>
      <w:r w:rsidR="00182255">
        <w:rPr>
          <w:rFonts w:ascii="Garamond" w:hAnsi="Garamond"/>
          <w:sz w:val="23"/>
          <w:szCs w:val="23"/>
        </w:rPr>
        <w:t xml:space="preserve">. </w:t>
      </w:r>
      <w:r w:rsidRPr="00872B5F">
        <w:rPr>
          <w:rFonts w:ascii="Garamond" w:hAnsi="Garamond"/>
          <w:sz w:val="23"/>
          <w:szCs w:val="23"/>
        </w:rPr>
        <w:t>A wide range in line losses have been assumed by the EDCs, so the SWE has modeled a</w:t>
      </w:r>
      <w:r w:rsidR="00CE6F42">
        <w:rPr>
          <w:rFonts w:ascii="Garamond" w:hAnsi="Garamond"/>
          <w:sz w:val="23"/>
          <w:szCs w:val="23"/>
        </w:rPr>
        <w:t xml:space="preserve"> </w:t>
      </w:r>
      <w:r w:rsidR="00776D35">
        <w:rPr>
          <w:rFonts w:ascii="Garamond" w:hAnsi="Garamond"/>
          <w:sz w:val="23"/>
          <w:szCs w:val="23"/>
        </w:rPr>
        <w:t>broad spectrum of loss assumptions</w:t>
      </w:r>
      <w:r w:rsidR="00CE6F42">
        <w:rPr>
          <w:rFonts w:ascii="Garamond" w:hAnsi="Garamond"/>
          <w:sz w:val="23"/>
          <w:szCs w:val="23"/>
        </w:rPr>
        <w:t xml:space="preserve">: 4% to 25% losses. </w:t>
      </w:r>
      <w:r w:rsidRPr="00872B5F">
        <w:rPr>
          <w:rFonts w:ascii="Garamond" w:hAnsi="Garamond"/>
          <w:sz w:val="23"/>
          <w:szCs w:val="23"/>
        </w:rPr>
        <w:t>For the combined programs, no</w:t>
      </w:r>
      <w:r w:rsidR="00182255">
        <w:rPr>
          <w:rFonts w:ascii="Garamond" w:hAnsi="Garamond"/>
          <w:sz w:val="23"/>
          <w:szCs w:val="23"/>
        </w:rPr>
        <w:t xml:space="preserve"> reasonable loss scenario will </w:t>
      </w:r>
      <w:r w:rsidRPr="00872B5F">
        <w:rPr>
          <w:rFonts w:ascii="Garamond" w:hAnsi="Garamond"/>
          <w:sz w:val="23"/>
          <w:szCs w:val="23"/>
        </w:rPr>
        <w:t>produ</w:t>
      </w:r>
      <w:r w:rsidR="00182255">
        <w:rPr>
          <w:rFonts w:ascii="Garamond" w:hAnsi="Garamond"/>
          <w:sz w:val="23"/>
          <w:szCs w:val="23"/>
        </w:rPr>
        <w:t xml:space="preserve">ce a cost effective TRC ratio. </w:t>
      </w:r>
      <w:r w:rsidRPr="00872B5F">
        <w:rPr>
          <w:rFonts w:ascii="Garamond" w:hAnsi="Garamond"/>
          <w:sz w:val="23"/>
          <w:szCs w:val="23"/>
        </w:rPr>
        <w:t xml:space="preserve">However, </w:t>
      </w:r>
      <w:r w:rsidR="00182255">
        <w:rPr>
          <w:rFonts w:ascii="Garamond" w:hAnsi="Garamond"/>
          <w:sz w:val="23"/>
          <w:szCs w:val="23"/>
        </w:rPr>
        <w:t>the Penn Power and PPL Load Curtailment programs do</w:t>
      </w:r>
      <w:r w:rsidRPr="00872B5F">
        <w:rPr>
          <w:rFonts w:ascii="Garamond" w:hAnsi="Garamond"/>
          <w:sz w:val="23"/>
          <w:szCs w:val="23"/>
        </w:rPr>
        <w:t xml:space="preserve"> become </w:t>
      </w:r>
      <w:r w:rsidR="00182255">
        <w:rPr>
          <w:rFonts w:ascii="Garamond" w:hAnsi="Garamond"/>
          <w:sz w:val="23"/>
          <w:szCs w:val="23"/>
        </w:rPr>
        <w:t xml:space="preserve">marginally </w:t>
      </w:r>
      <w:r w:rsidRPr="00872B5F">
        <w:rPr>
          <w:rFonts w:ascii="Garamond" w:hAnsi="Garamond"/>
          <w:sz w:val="23"/>
          <w:szCs w:val="23"/>
        </w:rPr>
        <w:t>cost effective under the high losses case</w:t>
      </w:r>
      <w:r w:rsidR="00182255">
        <w:rPr>
          <w:rFonts w:ascii="Garamond" w:hAnsi="Garamond"/>
          <w:sz w:val="23"/>
          <w:szCs w:val="23"/>
        </w:rPr>
        <w:t>.</w:t>
      </w:r>
      <w:r w:rsidRPr="00872B5F">
        <w:rPr>
          <w:rFonts w:ascii="Garamond" w:hAnsi="Garamond"/>
          <w:sz w:val="23"/>
          <w:szCs w:val="23"/>
        </w:rPr>
        <w:t xml:space="preserve"> </w:t>
      </w:r>
      <w:r w:rsidR="00182255">
        <w:rPr>
          <w:rFonts w:ascii="Garamond" w:hAnsi="Garamond"/>
          <w:sz w:val="23"/>
          <w:szCs w:val="23"/>
        </w:rPr>
        <w:t>None of the EDC</w:t>
      </w:r>
      <w:r w:rsidRPr="00872B5F">
        <w:rPr>
          <w:rFonts w:ascii="Garamond" w:hAnsi="Garamond"/>
          <w:sz w:val="23"/>
          <w:szCs w:val="23"/>
        </w:rPr>
        <w:t xml:space="preserve"> programs are cost effective under the low losses case.</w:t>
      </w:r>
    </w:p>
    <w:p w:rsidR="00182255" w:rsidRPr="00182255" w:rsidRDefault="00182255" w:rsidP="00182255">
      <w:pPr>
        <w:pStyle w:val="Caption"/>
        <w:keepNext/>
        <w:jc w:val="center"/>
        <w:rPr>
          <w:rFonts w:ascii="Garamond" w:hAnsi="Garamond"/>
          <w:sz w:val="23"/>
          <w:szCs w:val="23"/>
        </w:rPr>
      </w:pPr>
      <w:bookmarkStart w:id="119" w:name="_Ref352935925"/>
      <w:r w:rsidRPr="00182255">
        <w:rPr>
          <w:rFonts w:ascii="Garamond" w:hAnsi="Garamond"/>
          <w:sz w:val="23"/>
          <w:szCs w:val="23"/>
        </w:rPr>
        <w:t xml:space="preserve">Figure </w:t>
      </w:r>
      <w:r w:rsidR="00F45397">
        <w:rPr>
          <w:rFonts w:ascii="Garamond" w:hAnsi="Garamond"/>
          <w:sz w:val="23"/>
          <w:szCs w:val="23"/>
        </w:rPr>
        <w:fldChar w:fldCharType="begin"/>
      </w:r>
      <w:r w:rsidR="00F45397">
        <w:rPr>
          <w:rFonts w:ascii="Garamond" w:hAnsi="Garamond"/>
          <w:sz w:val="23"/>
          <w:szCs w:val="23"/>
        </w:rPr>
        <w:instrText xml:space="preserve"> STYLEREF 1 \s </w:instrText>
      </w:r>
      <w:r w:rsidR="00F45397">
        <w:rPr>
          <w:rFonts w:ascii="Garamond" w:hAnsi="Garamond"/>
          <w:sz w:val="23"/>
          <w:szCs w:val="23"/>
        </w:rPr>
        <w:fldChar w:fldCharType="separate"/>
      </w:r>
      <w:r w:rsidR="00451FFF">
        <w:rPr>
          <w:rFonts w:ascii="Garamond" w:hAnsi="Garamond"/>
          <w:noProof/>
          <w:sz w:val="23"/>
          <w:szCs w:val="23"/>
        </w:rPr>
        <w:t>F</w:t>
      </w:r>
      <w:r w:rsidR="00F45397">
        <w:rPr>
          <w:rFonts w:ascii="Garamond" w:hAnsi="Garamond"/>
          <w:sz w:val="23"/>
          <w:szCs w:val="23"/>
        </w:rPr>
        <w:fldChar w:fldCharType="end"/>
      </w:r>
      <w:r w:rsidR="00F45397">
        <w:rPr>
          <w:rFonts w:ascii="Garamond" w:hAnsi="Garamond"/>
          <w:sz w:val="23"/>
          <w:szCs w:val="23"/>
        </w:rPr>
        <w:noBreakHyphen/>
      </w:r>
      <w:r w:rsidR="00F45397">
        <w:rPr>
          <w:rFonts w:ascii="Garamond" w:hAnsi="Garamond"/>
          <w:sz w:val="23"/>
          <w:szCs w:val="23"/>
        </w:rPr>
        <w:fldChar w:fldCharType="begin"/>
      </w:r>
      <w:r w:rsidR="00F45397">
        <w:rPr>
          <w:rFonts w:ascii="Garamond" w:hAnsi="Garamond"/>
          <w:sz w:val="23"/>
          <w:szCs w:val="23"/>
        </w:rPr>
        <w:instrText xml:space="preserve"> SEQ Figure \* ARABIC \s 1 </w:instrText>
      </w:r>
      <w:r w:rsidR="00F45397">
        <w:rPr>
          <w:rFonts w:ascii="Garamond" w:hAnsi="Garamond"/>
          <w:sz w:val="23"/>
          <w:szCs w:val="23"/>
        </w:rPr>
        <w:fldChar w:fldCharType="separate"/>
      </w:r>
      <w:r w:rsidR="00451FFF">
        <w:rPr>
          <w:rFonts w:ascii="Garamond" w:hAnsi="Garamond"/>
          <w:noProof/>
          <w:sz w:val="23"/>
          <w:szCs w:val="23"/>
        </w:rPr>
        <w:t>10</w:t>
      </w:r>
      <w:r w:rsidR="00F45397">
        <w:rPr>
          <w:rFonts w:ascii="Garamond" w:hAnsi="Garamond"/>
          <w:sz w:val="23"/>
          <w:szCs w:val="23"/>
        </w:rPr>
        <w:fldChar w:fldCharType="end"/>
      </w:r>
      <w:bookmarkEnd w:id="119"/>
      <w:r w:rsidRPr="00182255">
        <w:rPr>
          <w:rFonts w:ascii="Garamond" w:hAnsi="Garamond"/>
          <w:sz w:val="23"/>
          <w:szCs w:val="23"/>
        </w:rPr>
        <w:t xml:space="preserve">: Line Loss Factor Scenarios – All </w:t>
      </w:r>
      <w:r w:rsidR="006C6BA6">
        <w:rPr>
          <w:rFonts w:ascii="Garamond" w:hAnsi="Garamond"/>
          <w:sz w:val="23"/>
          <w:szCs w:val="23"/>
        </w:rPr>
        <w:t xml:space="preserve">Load Curtailment </w:t>
      </w:r>
      <w:r w:rsidRPr="00182255">
        <w:rPr>
          <w:rFonts w:ascii="Garamond" w:hAnsi="Garamond"/>
          <w:sz w:val="23"/>
          <w:szCs w:val="23"/>
        </w:rPr>
        <w:t>Programs Combined</w:t>
      </w:r>
    </w:p>
    <w:p w:rsidR="00FB5EFD" w:rsidRDefault="00FB5EFD" w:rsidP="00182255">
      <w:pPr>
        <w:jc w:val="center"/>
      </w:pPr>
      <w:r>
        <w:rPr>
          <w:noProof/>
        </w:rPr>
        <w:drawing>
          <wp:inline distT="0" distB="0" distL="0" distR="0" wp14:anchorId="33E8A8A1" wp14:editId="7F9A052C">
            <wp:extent cx="4876800" cy="2870596"/>
            <wp:effectExtent l="0" t="0" r="19050"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51FFF" w:rsidRPr="00711404" w:rsidRDefault="00CE6F42" w:rsidP="00CE6F42">
      <w:pPr>
        <w:spacing w:line="240" w:lineRule="auto"/>
        <w:jc w:val="left"/>
        <w:rPr>
          <w:rFonts w:ascii="Garamond" w:hAnsi="Garamond"/>
          <w:sz w:val="23"/>
          <w:szCs w:val="23"/>
        </w:rPr>
      </w:pPr>
      <w:r>
        <w:rPr>
          <w:rFonts w:ascii="Garamond" w:hAnsi="Garamond"/>
          <w:sz w:val="23"/>
          <w:szCs w:val="23"/>
        </w:rPr>
        <w:fldChar w:fldCharType="begin"/>
      </w:r>
      <w:r>
        <w:rPr>
          <w:rFonts w:ascii="Garamond" w:hAnsi="Garamond"/>
          <w:sz w:val="23"/>
          <w:szCs w:val="23"/>
        </w:rPr>
        <w:instrText xml:space="preserve"> REF _Ref352601735 \h </w:instrText>
      </w:r>
      <w:r>
        <w:rPr>
          <w:rFonts w:ascii="Garamond" w:hAnsi="Garamond"/>
          <w:sz w:val="23"/>
          <w:szCs w:val="23"/>
        </w:rPr>
      </w:r>
      <w:r>
        <w:rPr>
          <w:rFonts w:ascii="Garamond" w:hAnsi="Garamond"/>
          <w:sz w:val="23"/>
          <w:szCs w:val="23"/>
        </w:rPr>
        <w:fldChar w:fldCharType="separate"/>
      </w:r>
      <w:r w:rsidR="00451FFF" w:rsidRPr="00C01A4C">
        <w:rPr>
          <w:rFonts w:ascii="Garamond" w:hAnsi="Garamond"/>
          <w:sz w:val="23"/>
          <w:szCs w:val="23"/>
        </w:rPr>
        <w:t xml:space="preserve">Table </w:t>
      </w:r>
      <w:r w:rsidR="00451FFF">
        <w:rPr>
          <w:rFonts w:ascii="Garamond" w:hAnsi="Garamond"/>
          <w:noProof/>
          <w:sz w:val="23"/>
          <w:szCs w:val="23"/>
        </w:rPr>
        <w:t>F</w:t>
      </w:r>
      <w:r w:rsidR="00451FFF" w:rsidRPr="00C01A4C">
        <w:rPr>
          <w:rFonts w:ascii="Garamond" w:hAnsi="Garamond"/>
          <w:sz w:val="23"/>
          <w:szCs w:val="23"/>
        </w:rPr>
        <w:noBreakHyphen/>
      </w:r>
      <w:r w:rsidR="00451FFF">
        <w:rPr>
          <w:rFonts w:ascii="Garamond" w:hAnsi="Garamond"/>
          <w:noProof/>
          <w:sz w:val="23"/>
          <w:szCs w:val="23"/>
        </w:rPr>
        <w:t>7</w:t>
      </w:r>
      <w:r>
        <w:rPr>
          <w:rFonts w:ascii="Garamond" w:hAnsi="Garamond"/>
          <w:sz w:val="23"/>
          <w:szCs w:val="23"/>
        </w:rPr>
        <w:fldChar w:fldCharType="end"/>
      </w:r>
      <w:r>
        <w:rPr>
          <w:rFonts w:ascii="Garamond" w:hAnsi="Garamond"/>
          <w:sz w:val="23"/>
          <w:szCs w:val="23"/>
        </w:rPr>
        <w:t xml:space="preserve"> and </w:t>
      </w:r>
      <w:r>
        <w:rPr>
          <w:rFonts w:ascii="Garamond" w:hAnsi="Garamond"/>
          <w:sz w:val="23"/>
          <w:szCs w:val="23"/>
        </w:rPr>
        <w:fldChar w:fldCharType="begin"/>
      </w:r>
      <w:r>
        <w:rPr>
          <w:rFonts w:ascii="Garamond" w:hAnsi="Garamond"/>
          <w:sz w:val="23"/>
          <w:szCs w:val="23"/>
        </w:rPr>
        <w:instrText xml:space="preserve"> REF _Ref352602380 \h </w:instrText>
      </w:r>
      <w:r>
        <w:rPr>
          <w:rFonts w:ascii="Garamond" w:hAnsi="Garamond"/>
          <w:sz w:val="23"/>
          <w:szCs w:val="23"/>
        </w:rPr>
      </w:r>
      <w:r>
        <w:rPr>
          <w:rFonts w:ascii="Garamond" w:hAnsi="Garamond"/>
          <w:sz w:val="23"/>
          <w:szCs w:val="23"/>
        </w:rPr>
        <w:fldChar w:fldCharType="separate"/>
      </w:r>
      <w:r w:rsidR="00451FFF" w:rsidRPr="00F45397">
        <w:rPr>
          <w:rFonts w:ascii="Garamond" w:hAnsi="Garamond"/>
          <w:sz w:val="23"/>
          <w:szCs w:val="23"/>
        </w:rPr>
        <w:t xml:space="preserve">Figure </w:t>
      </w:r>
      <w:r w:rsidR="00451FFF">
        <w:rPr>
          <w:rFonts w:ascii="Garamond" w:hAnsi="Garamond"/>
          <w:noProof/>
          <w:sz w:val="23"/>
          <w:szCs w:val="23"/>
        </w:rPr>
        <w:t>F</w:t>
      </w:r>
      <w:r w:rsidR="00451FFF" w:rsidRPr="00F45397">
        <w:rPr>
          <w:rFonts w:ascii="Garamond" w:hAnsi="Garamond"/>
          <w:sz w:val="23"/>
          <w:szCs w:val="23"/>
        </w:rPr>
        <w:noBreakHyphen/>
      </w:r>
      <w:r w:rsidR="00451FFF">
        <w:rPr>
          <w:rFonts w:ascii="Garamond" w:hAnsi="Garamond"/>
          <w:noProof/>
          <w:sz w:val="23"/>
          <w:szCs w:val="23"/>
        </w:rPr>
        <w:t>11</w:t>
      </w:r>
      <w:r>
        <w:rPr>
          <w:rFonts w:ascii="Garamond" w:hAnsi="Garamond"/>
          <w:sz w:val="23"/>
          <w:szCs w:val="23"/>
        </w:rPr>
        <w:fldChar w:fldCharType="end"/>
      </w:r>
      <w:r>
        <w:rPr>
          <w:rFonts w:ascii="Garamond" w:hAnsi="Garamond"/>
          <w:sz w:val="23"/>
          <w:szCs w:val="23"/>
        </w:rPr>
        <w:t xml:space="preserve"> examine the results of the Dual Enrollment sensitivity that was introduced in </w:t>
      </w:r>
      <w:r w:rsidR="00776D35">
        <w:rPr>
          <w:rFonts w:ascii="Garamond" w:hAnsi="Garamond"/>
          <w:sz w:val="23"/>
          <w:szCs w:val="23"/>
        </w:rPr>
        <w:t xml:space="preserve">Section </w:t>
      </w:r>
      <w:r>
        <w:rPr>
          <w:rFonts w:ascii="Garamond" w:hAnsi="Garamond"/>
          <w:sz w:val="23"/>
          <w:szCs w:val="23"/>
        </w:rPr>
        <w:fldChar w:fldCharType="begin"/>
      </w:r>
      <w:r>
        <w:rPr>
          <w:rFonts w:ascii="Garamond" w:hAnsi="Garamond"/>
          <w:sz w:val="23"/>
          <w:szCs w:val="23"/>
        </w:rPr>
        <w:instrText xml:space="preserve"> REF _Ref352938946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2</w:t>
      </w:r>
      <w:r>
        <w:rPr>
          <w:rFonts w:ascii="Garamond" w:hAnsi="Garamond"/>
          <w:sz w:val="23"/>
          <w:szCs w:val="23"/>
        </w:rPr>
        <w:fldChar w:fldCharType="end"/>
      </w:r>
      <w:r>
        <w:rPr>
          <w:rFonts w:ascii="Garamond" w:hAnsi="Garamond"/>
          <w:sz w:val="23"/>
          <w:szCs w:val="23"/>
        </w:rPr>
        <w:fldChar w:fldCharType="begin"/>
      </w:r>
      <w:r>
        <w:rPr>
          <w:rFonts w:ascii="Garamond" w:hAnsi="Garamond"/>
          <w:sz w:val="23"/>
          <w:szCs w:val="23"/>
        </w:rPr>
        <w:instrText xml:space="preserve"> REF _Ref352938949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Pr>
          <w:rFonts w:ascii="Garamond" w:hAnsi="Garamond"/>
          <w:sz w:val="23"/>
          <w:szCs w:val="23"/>
        </w:rPr>
        <w:t xml:space="preserve">. </w:t>
      </w:r>
      <w:r w:rsidR="00944DEB" w:rsidRPr="00944DEB">
        <w:rPr>
          <w:rFonts w:ascii="Garamond" w:hAnsi="Garamond"/>
          <w:sz w:val="23"/>
          <w:szCs w:val="23"/>
        </w:rPr>
        <w:t xml:space="preserve">In the SWE </w:t>
      </w:r>
      <w:r w:rsidR="00944DEB">
        <w:rPr>
          <w:rFonts w:ascii="Garamond" w:hAnsi="Garamond"/>
          <w:sz w:val="23"/>
          <w:szCs w:val="23"/>
        </w:rPr>
        <w:t xml:space="preserve">base case scenario, Incremental Benefits Ratios were only applied when a customer actually curtailed load for both an Act 129 program and a PJM program during the same hour. This approach is fundamentally sound for a DR resource which is secured as a surrogate for energy, but an alternate interpretation must be considered given </w:t>
      </w:r>
      <w:r w:rsidR="00D76A14">
        <w:rPr>
          <w:rFonts w:ascii="Garamond" w:hAnsi="Garamond"/>
          <w:sz w:val="23"/>
          <w:szCs w:val="23"/>
        </w:rPr>
        <w:t xml:space="preserve">that </w:t>
      </w:r>
      <w:r w:rsidR="00944DEB">
        <w:rPr>
          <w:rFonts w:ascii="Garamond" w:hAnsi="Garamond"/>
          <w:sz w:val="23"/>
          <w:szCs w:val="23"/>
        </w:rPr>
        <w:t xml:space="preserve">the SWE analysis values DR impacts using an avoided cost of capacity. </w:t>
      </w:r>
      <w:r w:rsidR="00D76A14">
        <w:rPr>
          <w:rFonts w:ascii="Garamond" w:hAnsi="Garamond"/>
          <w:sz w:val="23"/>
          <w:szCs w:val="23"/>
        </w:rPr>
        <w:t>Electrical capacity is the ability to produce energy when needed. For a DR resource, this equates to a commitment to use less capacity than you are obligated to purchase, typically assessed via a Peak Load Contribution. One of the fundamental drawbacks of</w:t>
      </w:r>
      <w:r w:rsidR="00381127">
        <w:rPr>
          <w:rFonts w:ascii="Garamond" w:hAnsi="Garamond"/>
          <w:sz w:val="23"/>
          <w:szCs w:val="23"/>
        </w:rPr>
        <w:t xml:space="preserve"> the implementation of</w:t>
      </w:r>
      <w:r w:rsidR="00D76A14">
        <w:rPr>
          <w:rFonts w:ascii="Garamond" w:hAnsi="Garamond"/>
          <w:sz w:val="23"/>
          <w:szCs w:val="23"/>
        </w:rPr>
        <w:t xml:space="preserve"> Act 129 DR programs on top of the existing PJM framework is that there is a limited amount of load any given customer can reduce. If PJM has already secured capacity from a customer, EDC enrollment of that customer offers little to no value. However, it is possible that customer would not enroll in the PJM Emergency Load Response Program at all without the added revenue promised by the EDC programs. The surveys conducted with Act 129 program participants and discussed in Section </w:t>
      </w:r>
      <w:r w:rsidR="00D76A14">
        <w:rPr>
          <w:rFonts w:ascii="Garamond" w:hAnsi="Garamond"/>
          <w:sz w:val="23"/>
          <w:szCs w:val="23"/>
        </w:rPr>
        <w:fldChar w:fldCharType="begin"/>
      </w:r>
      <w:r w:rsidR="00D76A14">
        <w:rPr>
          <w:rFonts w:ascii="Garamond" w:hAnsi="Garamond"/>
          <w:sz w:val="23"/>
          <w:szCs w:val="23"/>
        </w:rPr>
        <w:instrText xml:space="preserve"> REF _Ref343687753 \r \h </w:instrText>
      </w:r>
      <w:r w:rsidR="00D76A14">
        <w:rPr>
          <w:rFonts w:ascii="Garamond" w:hAnsi="Garamond"/>
          <w:sz w:val="23"/>
          <w:szCs w:val="23"/>
        </w:rPr>
      </w:r>
      <w:r w:rsidR="00D76A14">
        <w:rPr>
          <w:rFonts w:ascii="Garamond" w:hAnsi="Garamond"/>
          <w:sz w:val="23"/>
          <w:szCs w:val="23"/>
        </w:rPr>
        <w:fldChar w:fldCharType="separate"/>
      </w:r>
      <w:r w:rsidR="00451FFF">
        <w:rPr>
          <w:rFonts w:ascii="Garamond" w:hAnsi="Garamond"/>
          <w:sz w:val="23"/>
          <w:szCs w:val="23"/>
        </w:rPr>
        <w:t>E</w:t>
      </w:r>
      <w:r w:rsidR="00D76A14">
        <w:rPr>
          <w:rFonts w:ascii="Garamond" w:hAnsi="Garamond"/>
          <w:sz w:val="23"/>
          <w:szCs w:val="23"/>
        </w:rPr>
        <w:fldChar w:fldCharType="end"/>
      </w:r>
      <w:r w:rsidR="00D76A14">
        <w:rPr>
          <w:rFonts w:ascii="Garamond" w:hAnsi="Garamond"/>
          <w:sz w:val="23"/>
          <w:szCs w:val="23"/>
        </w:rPr>
        <w:t xml:space="preserve"> indicate that this was </w:t>
      </w:r>
      <w:r w:rsidR="00C01A4C">
        <w:rPr>
          <w:rFonts w:ascii="Garamond" w:hAnsi="Garamond"/>
          <w:sz w:val="23"/>
          <w:szCs w:val="23"/>
        </w:rPr>
        <w:t>frequently the case in 2012.</w:t>
      </w:r>
      <w:r w:rsidR="00C01A4C">
        <w:rPr>
          <w:rFonts w:ascii="Garamond" w:hAnsi="Garamond"/>
          <w:sz w:val="23"/>
          <w:szCs w:val="23"/>
        </w:rPr>
        <w:fldChar w:fldCharType="begin"/>
      </w:r>
      <w:r w:rsidR="00C01A4C">
        <w:rPr>
          <w:rFonts w:ascii="Garamond" w:hAnsi="Garamond"/>
          <w:sz w:val="23"/>
          <w:szCs w:val="23"/>
        </w:rPr>
        <w:instrText xml:space="preserve"> REF _Ref352600817 \h </w:instrText>
      </w:r>
      <w:r>
        <w:rPr>
          <w:rFonts w:ascii="Garamond" w:hAnsi="Garamond"/>
          <w:sz w:val="23"/>
          <w:szCs w:val="23"/>
        </w:rPr>
        <w:instrText xml:space="preserve"> \* MERGEFORMAT </w:instrText>
      </w:r>
      <w:r w:rsidR="00C01A4C">
        <w:rPr>
          <w:rFonts w:ascii="Garamond" w:hAnsi="Garamond"/>
          <w:sz w:val="23"/>
          <w:szCs w:val="23"/>
        </w:rPr>
      </w:r>
      <w:r w:rsidR="00C01A4C">
        <w:rPr>
          <w:rFonts w:ascii="Garamond" w:hAnsi="Garamond"/>
          <w:sz w:val="23"/>
          <w:szCs w:val="23"/>
        </w:rPr>
        <w:fldChar w:fldCharType="separate"/>
      </w:r>
    </w:p>
    <w:p w:rsidR="00A86952" w:rsidRPr="00711404" w:rsidRDefault="00451FFF" w:rsidP="00CE6F42">
      <w:pPr>
        <w:spacing w:line="240" w:lineRule="auto"/>
        <w:jc w:val="left"/>
        <w:rPr>
          <w:rFonts w:ascii="Garamond" w:hAnsi="Garamond"/>
          <w:sz w:val="23"/>
          <w:szCs w:val="23"/>
        </w:rPr>
      </w:pPr>
      <w:r w:rsidRPr="00C01A4C">
        <w:rPr>
          <w:rFonts w:ascii="Garamond" w:hAnsi="Garamond"/>
          <w:noProof/>
          <w:sz w:val="23"/>
          <w:szCs w:val="23"/>
        </w:rPr>
        <w:t xml:space="preserve">Table </w:t>
      </w:r>
      <w:r>
        <w:rPr>
          <w:rFonts w:ascii="Garamond" w:hAnsi="Garamond"/>
          <w:noProof/>
          <w:sz w:val="23"/>
          <w:szCs w:val="23"/>
        </w:rPr>
        <w:t>F</w:t>
      </w:r>
      <w:r w:rsidRPr="00C01A4C">
        <w:rPr>
          <w:rFonts w:ascii="Garamond" w:hAnsi="Garamond"/>
          <w:noProof/>
          <w:sz w:val="23"/>
          <w:szCs w:val="23"/>
        </w:rPr>
        <w:noBreakHyphen/>
      </w:r>
      <w:r>
        <w:rPr>
          <w:rFonts w:ascii="Garamond" w:hAnsi="Garamond"/>
          <w:noProof/>
          <w:sz w:val="23"/>
          <w:szCs w:val="23"/>
        </w:rPr>
        <w:t>7</w:t>
      </w:r>
      <w:r w:rsidR="00C01A4C">
        <w:rPr>
          <w:rFonts w:ascii="Garamond" w:hAnsi="Garamond"/>
          <w:sz w:val="23"/>
          <w:szCs w:val="23"/>
        </w:rPr>
        <w:fldChar w:fldCharType="end"/>
      </w:r>
      <w:r w:rsidR="00C01A4C">
        <w:rPr>
          <w:rFonts w:ascii="Garamond" w:hAnsi="Garamond"/>
          <w:sz w:val="23"/>
          <w:szCs w:val="23"/>
        </w:rPr>
        <w:t xml:space="preserve"> summarizes Act 129 load curtailment enrollment information that</w:t>
      </w:r>
      <w:r w:rsidR="00A86952">
        <w:rPr>
          <w:rFonts w:ascii="Garamond" w:hAnsi="Garamond"/>
          <w:sz w:val="23"/>
          <w:szCs w:val="23"/>
        </w:rPr>
        <w:t xml:space="preserve"> was submitted to the SWE. The expected load reduction for each customer was listed as well </w:t>
      </w:r>
      <w:r w:rsidR="00656AFB">
        <w:rPr>
          <w:rFonts w:ascii="Garamond" w:hAnsi="Garamond"/>
          <w:sz w:val="23"/>
          <w:szCs w:val="23"/>
        </w:rPr>
        <w:t xml:space="preserve">as </w:t>
      </w:r>
      <w:r w:rsidR="00974B1F">
        <w:rPr>
          <w:rFonts w:ascii="Garamond" w:hAnsi="Garamond"/>
          <w:sz w:val="23"/>
          <w:szCs w:val="23"/>
        </w:rPr>
        <w:t>the</w:t>
      </w:r>
      <w:r w:rsidR="00A86952">
        <w:rPr>
          <w:rFonts w:ascii="Garamond" w:hAnsi="Garamond"/>
          <w:sz w:val="23"/>
          <w:szCs w:val="23"/>
        </w:rPr>
        <w:t xml:space="preserve"> PJM markets the site was enrolled</w:t>
      </w:r>
      <w:r w:rsidR="00974B1F">
        <w:rPr>
          <w:rFonts w:ascii="Garamond" w:hAnsi="Garamond"/>
          <w:sz w:val="23"/>
          <w:szCs w:val="23"/>
        </w:rPr>
        <w:t xml:space="preserve"> in</w:t>
      </w:r>
      <w:r w:rsidR="00A86952">
        <w:rPr>
          <w:rFonts w:ascii="Garamond" w:hAnsi="Garamond"/>
          <w:sz w:val="23"/>
          <w:szCs w:val="23"/>
        </w:rPr>
        <w:t xml:space="preserve">. </w:t>
      </w:r>
      <w:r w:rsidR="00381127">
        <w:rPr>
          <w:rFonts w:ascii="Garamond" w:hAnsi="Garamond"/>
          <w:sz w:val="23"/>
          <w:szCs w:val="23"/>
        </w:rPr>
        <w:t>T</w:t>
      </w:r>
      <w:r w:rsidR="00A86952">
        <w:rPr>
          <w:rFonts w:ascii="Garamond" w:hAnsi="Garamond"/>
          <w:sz w:val="23"/>
          <w:szCs w:val="23"/>
        </w:rPr>
        <w:t xml:space="preserve">he figures shown in the table are independent of the number of hours that the site committed to curtail and very few sites actually curtailed for 100 hours so the demand impacts shown in </w:t>
      </w:r>
      <w:r w:rsidR="00A86952">
        <w:rPr>
          <w:rFonts w:ascii="Garamond" w:hAnsi="Garamond"/>
          <w:sz w:val="23"/>
          <w:szCs w:val="23"/>
        </w:rPr>
        <w:fldChar w:fldCharType="begin"/>
      </w:r>
      <w:r w:rsidR="00A86952">
        <w:rPr>
          <w:rFonts w:ascii="Garamond" w:hAnsi="Garamond"/>
          <w:sz w:val="23"/>
          <w:szCs w:val="23"/>
        </w:rPr>
        <w:instrText xml:space="preserve"> REF _Ref352601735 \h </w:instrText>
      </w:r>
      <w:r w:rsidR="00CE6F42">
        <w:rPr>
          <w:rFonts w:ascii="Garamond" w:hAnsi="Garamond"/>
          <w:sz w:val="23"/>
          <w:szCs w:val="23"/>
        </w:rPr>
        <w:instrText xml:space="preserve"> \* MERGEFORMAT </w:instrText>
      </w:r>
      <w:r w:rsidR="00A86952">
        <w:rPr>
          <w:rFonts w:ascii="Garamond" w:hAnsi="Garamond"/>
          <w:sz w:val="23"/>
          <w:szCs w:val="23"/>
        </w:rPr>
      </w:r>
      <w:r w:rsidR="00A86952">
        <w:rPr>
          <w:rFonts w:ascii="Garamond" w:hAnsi="Garamond"/>
          <w:sz w:val="23"/>
          <w:szCs w:val="23"/>
        </w:rPr>
        <w:fldChar w:fldCharType="separate"/>
      </w:r>
      <w:r w:rsidRPr="00C01A4C">
        <w:rPr>
          <w:rFonts w:ascii="Garamond" w:hAnsi="Garamond"/>
          <w:sz w:val="23"/>
          <w:szCs w:val="23"/>
        </w:rPr>
        <w:t xml:space="preserve">Table </w:t>
      </w:r>
      <w:r>
        <w:rPr>
          <w:rFonts w:ascii="Garamond" w:hAnsi="Garamond"/>
          <w:noProof/>
          <w:sz w:val="23"/>
          <w:szCs w:val="23"/>
        </w:rPr>
        <w:t>F</w:t>
      </w:r>
      <w:r w:rsidRPr="00C01A4C">
        <w:rPr>
          <w:rFonts w:ascii="Garamond" w:hAnsi="Garamond"/>
          <w:noProof/>
          <w:sz w:val="23"/>
          <w:szCs w:val="23"/>
        </w:rPr>
        <w:noBreakHyphen/>
      </w:r>
      <w:r>
        <w:rPr>
          <w:rFonts w:ascii="Garamond" w:hAnsi="Garamond"/>
          <w:noProof/>
          <w:sz w:val="23"/>
          <w:szCs w:val="23"/>
        </w:rPr>
        <w:t>7</w:t>
      </w:r>
      <w:r w:rsidR="00A86952">
        <w:rPr>
          <w:rFonts w:ascii="Garamond" w:hAnsi="Garamond"/>
          <w:sz w:val="23"/>
          <w:szCs w:val="23"/>
        </w:rPr>
        <w:fldChar w:fldCharType="end"/>
      </w:r>
      <w:r w:rsidR="00A86952">
        <w:rPr>
          <w:rFonts w:ascii="Garamond" w:hAnsi="Garamond"/>
          <w:sz w:val="23"/>
          <w:szCs w:val="23"/>
        </w:rPr>
        <w:t xml:space="preserve"> will be higher than the reported impact of any of these programs over the top 100 hours. These values represent the load impact an EDC would expect to observe if every customer enrolled in its load curtailment program were dispatched during the same hour.</w:t>
      </w:r>
      <w:bookmarkStart w:id="120" w:name="_Ref352600817"/>
    </w:p>
    <w:p w:rsidR="00C01A4C" w:rsidRPr="00C01A4C" w:rsidRDefault="00C01A4C" w:rsidP="00C01A4C">
      <w:pPr>
        <w:pStyle w:val="Caption"/>
        <w:keepNext/>
        <w:jc w:val="center"/>
        <w:rPr>
          <w:rFonts w:ascii="Garamond" w:hAnsi="Garamond"/>
          <w:sz w:val="23"/>
          <w:szCs w:val="23"/>
        </w:rPr>
      </w:pPr>
      <w:bookmarkStart w:id="121" w:name="_Ref352601735"/>
      <w:r w:rsidRPr="00C01A4C">
        <w:rPr>
          <w:rFonts w:ascii="Garamond" w:hAnsi="Garamond"/>
          <w:sz w:val="23"/>
          <w:szCs w:val="23"/>
        </w:rPr>
        <w:lastRenderedPageBreak/>
        <w:t xml:space="preserve">Table </w:t>
      </w:r>
      <w:r w:rsidRPr="00C01A4C">
        <w:rPr>
          <w:rFonts w:ascii="Garamond" w:hAnsi="Garamond"/>
          <w:sz w:val="23"/>
          <w:szCs w:val="23"/>
        </w:rPr>
        <w:fldChar w:fldCharType="begin"/>
      </w:r>
      <w:r w:rsidRPr="00C01A4C">
        <w:rPr>
          <w:rFonts w:ascii="Garamond" w:hAnsi="Garamond"/>
          <w:sz w:val="23"/>
          <w:szCs w:val="23"/>
        </w:rPr>
        <w:instrText xml:space="preserve"> STYLEREF 1 \s </w:instrText>
      </w:r>
      <w:r w:rsidRPr="00C01A4C">
        <w:rPr>
          <w:rFonts w:ascii="Garamond" w:hAnsi="Garamond"/>
          <w:sz w:val="23"/>
          <w:szCs w:val="23"/>
        </w:rPr>
        <w:fldChar w:fldCharType="separate"/>
      </w:r>
      <w:r w:rsidR="00451FFF">
        <w:rPr>
          <w:rFonts w:ascii="Garamond" w:hAnsi="Garamond"/>
          <w:noProof/>
          <w:sz w:val="23"/>
          <w:szCs w:val="23"/>
        </w:rPr>
        <w:t>F</w:t>
      </w:r>
      <w:r w:rsidRPr="00C01A4C">
        <w:rPr>
          <w:rFonts w:ascii="Garamond" w:hAnsi="Garamond"/>
          <w:sz w:val="23"/>
          <w:szCs w:val="23"/>
        </w:rPr>
        <w:fldChar w:fldCharType="end"/>
      </w:r>
      <w:r w:rsidRPr="00C01A4C">
        <w:rPr>
          <w:rFonts w:ascii="Garamond" w:hAnsi="Garamond"/>
          <w:sz w:val="23"/>
          <w:szCs w:val="23"/>
        </w:rPr>
        <w:noBreakHyphen/>
      </w:r>
      <w:r w:rsidRPr="00C01A4C">
        <w:rPr>
          <w:rFonts w:ascii="Garamond" w:hAnsi="Garamond"/>
          <w:sz w:val="23"/>
          <w:szCs w:val="23"/>
        </w:rPr>
        <w:fldChar w:fldCharType="begin"/>
      </w:r>
      <w:r w:rsidRPr="00C01A4C">
        <w:rPr>
          <w:rFonts w:ascii="Garamond" w:hAnsi="Garamond"/>
          <w:sz w:val="23"/>
          <w:szCs w:val="23"/>
        </w:rPr>
        <w:instrText xml:space="preserve"> SEQ Table \* ARABIC \s 1 </w:instrText>
      </w:r>
      <w:r w:rsidRPr="00C01A4C">
        <w:rPr>
          <w:rFonts w:ascii="Garamond" w:hAnsi="Garamond"/>
          <w:sz w:val="23"/>
          <w:szCs w:val="23"/>
        </w:rPr>
        <w:fldChar w:fldCharType="separate"/>
      </w:r>
      <w:r w:rsidR="00451FFF">
        <w:rPr>
          <w:rFonts w:ascii="Garamond" w:hAnsi="Garamond"/>
          <w:noProof/>
          <w:sz w:val="23"/>
          <w:szCs w:val="23"/>
        </w:rPr>
        <w:t>7</w:t>
      </w:r>
      <w:r w:rsidRPr="00C01A4C">
        <w:rPr>
          <w:rFonts w:ascii="Garamond" w:hAnsi="Garamond"/>
          <w:sz w:val="23"/>
          <w:szCs w:val="23"/>
        </w:rPr>
        <w:fldChar w:fldCharType="end"/>
      </w:r>
      <w:bookmarkEnd w:id="120"/>
      <w:bookmarkEnd w:id="121"/>
      <w:r w:rsidRPr="00C01A4C">
        <w:rPr>
          <w:rFonts w:ascii="Garamond" w:hAnsi="Garamond"/>
          <w:sz w:val="23"/>
          <w:szCs w:val="23"/>
        </w:rPr>
        <w:t xml:space="preserve">: </w:t>
      </w:r>
      <w:r>
        <w:rPr>
          <w:rFonts w:ascii="Garamond" w:hAnsi="Garamond"/>
          <w:sz w:val="23"/>
          <w:szCs w:val="23"/>
        </w:rPr>
        <w:t>Proportion</w:t>
      </w:r>
      <w:r w:rsidRPr="00C01A4C">
        <w:rPr>
          <w:rFonts w:ascii="Garamond" w:hAnsi="Garamond"/>
          <w:sz w:val="23"/>
          <w:szCs w:val="23"/>
        </w:rPr>
        <w:t xml:space="preserve"> of Act 129 Load Reduction Commitments in PJM ELRP</w:t>
      </w:r>
    </w:p>
    <w:tbl>
      <w:tblPr>
        <w:tblStyle w:val="TableGrid"/>
        <w:tblW w:w="0" w:type="auto"/>
        <w:jc w:val="center"/>
        <w:tblLook w:val="04A0" w:firstRow="1" w:lastRow="0" w:firstColumn="1" w:lastColumn="0" w:noHBand="0" w:noVBand="1"/>
      </w:tblPr>
      <w:tblGrid>
        <w:gridCol w:w="2394"/>
        <w:gridCol w:w="1931"/>
        <w:gridCol w:w="2250"/>
        <w:gridCol w:w="2434"/>
      </w:tblGrid>
      <w:tr w:rsidR="00C01A4C" w:rsidRPr="00C01A4C" w:rsidTr="00A86952">
        <w:trPr>
          <w:trHeight w:val="600"/>
          <w:jc w:val="center"/>
        </w:trPr>
        <w:tc>
          <w:tcPr>
            <w:tcW w:w="2394" w:type="dxa"/>
            <w:shd w:val="clear" w:color="auto" w:fill="1F497D" w:themeFill="text2"/>
            <w:vAlign w:val="center"/>
            <w:hideMark/>
          </w:tcPr>
          <w:p w:rsidR="00C01A4C" w:rsidRPr="00C01A4C" w:rsidRDefault="00C01A4C" w:rsidP="00C01A4C">
            <w:pPr>
              <w:jc w:val="center"/>
              <w:rPr>
                <w:rFonts w:ascii="Calibri" w:eastAsia="Times New Roman" w:hAnsi="Calibri" w:cs="Calibri"/>
                <w:b/>
                <w:bCs/>
                <w:color w:val="FFFFFF"/>
              </w:rPr>
            </w:pPr>
            <w:r w:rsidRPr="00C01A4C">
              <w:rPr>
                <w:rFonts w:ascii="Calibri" w:eastAsia="Times New Roman" w:hAnsi="Calibri" w:cs="Calibri"/>
                <w:b/>
                <w:bCs/>
                <w:color w:val="FFFFFF"/>
              </w:rPr>
              <w:t>EDC</w:t>
            </w:r>
          </w:p>
        </w:tc>
        <w:tc>
          <w:tcPr>
            <w:tcW w:w="1931" w:type="dxa"/>
            <w:shd w:val="clear" w:color="auto" w:fill="1F497D" w:themeFill="text2"/>
            <w:vAlign w:val="center"/>
            <w:hideMark/>
          </w:tcPr>
          <w:p w:rsidR="00C01A4C" w:rsidRPr="00C01A4C" w:rsidRDefault="00C01A4C" w:rsidP="00A86952">
            <w:pPr>
              <w:jc w:val="center"/>
              <w:rPr>
                <w:rFonts w:ascii="Calibri" w:eastAsia="Times New Roman" w:hAnsi="Calibri" w:cs="Calibri"/>
                <w:b/>
                <w:bCs/>
                <w:color w:val="FFFFFF"/>
              </w:rPr>
            </w:pPr>
            <w:r w:rsidRPr="00C01A4C">
              <w:rPr>
                <w:rFonts w:ascii="Calibri" w:eastAsia="Times New Roman" w:hAnsi="Calibri" w:cs="Calibri"/>
                <w:b/>
                <w:bCs/>
                <w:color w:val="FFFFFF"/>
              </w:rPr>
              <w:t>MW in PJM E</w:t>
            </w:r>
            <w:r w:rsidR="00A86952">
              <w:rPr>
                <w:rFonts w:ascii="Calibri" w:eastAsia="Times New Roman" w:hAnsi="Calibri" w:cs="Calibri"/>
                <w:b/>
                <w:bCs/>
                <w:color w:val="FFFFFF"/>
              </w:rPr>
              <w:t>LRP</w:t>
            </w:r>
          </w:p>
        </w:tc>
        <w:tc>
          <w:tcPr>
            <w:tcW w:w="2250" w:type="dxa"/>
            <w:shd w:val="clear" w:color="auto" w:fill="1F497D" w:themeFill="text2"/>
            <w:vAlign w:val="center"/>
            <w:hideMark/>
          </w:tcPr>
          <w:p w:rsidR="00C01A4C" w:rsidRPr="00C01A4C" w:rsidRDefault="00C01A4C" w:rsidP="00A86952">
            <w:pPr>
              <w:jc w:val="center"/>
              <w:rPr>
                <w:rFonts w:ascii="Calibri" w:eastAsia="Times New Roman" w:hAnsi="Calibri" w:cs="Calibri"/>
                <w:b/>
                <w:bCs/>
                <w:color w:val="FFFFFF"/>
              </w:rPr>
            </w:pPr>
            <w:r w:rsidRPr="00C01A4C">
              <w:rPr>
                <w:rFonts w:ascii="Calibri" w:eastAsia="Times New Roman" w:hAnsi="Calibri" w:cs="Calibri"/>
                <w:b/>
                <w:bCs/>
                <w:color w:val="FFFFFF"/>
              </w:rPr>
              <w:t>MW not in PJM E</w:t>
            </w:r>
            <w:r w:rsidR="00A86952">
              <w:rPr>
                <w:rFonts w:ascii="Calibri" w:eastAsia="Times New Roman" w:hAnsi="Calibri" w:cs="Calibri"/>
                <w:b/>
                <w:bCs/>
                <w:color w:val="FFFFFF"/>
              </w:rPr>
              <w:t>LRP</w:t>
            </w:r>
          </w:p>
        </w:tc>
        <w:tc>
          <w:tcPr>
            <w:tcW w:w="2434" w:type="dxa"/>
            <w:shd w:val="clear" w:color="auto" w:fill="1F497D" w:themeFill="text2"/>
            <w:vAlign w:val="center"/>
            <w:hideMark/>
          </w:tcPr>
          <w:p w:rsidR="00C01A4C" w:rsidRPr="00C01A4C" w:rsidRDefault="00C01A4C" w:rsidP="00C01A4C">
            <w:pPr>
              <w:jc w:val="center"/>
              <w:rPr>
                <w:rFonts w:ascii="Calibri" w:eastAsia="Times New Roman" w:hAnsi="Calibri" w:cs="Calibri"/>
                <w:b/>
                <w:bCs/>
                <w:color w:val="FFFFFF"/>
              </w:rPr>
            </w:pPr>
            <w:r>
              <w:rPr>
                <w:rFonts w:ascii="Calibri" w:eastAsia="Times New Roman" w:hAnsi="Calibri" w:cs="Calibri"/>
                <w:b/>
                <w:bCs/>
                <w:color w:val="FFFFFF"/>
              </w:rPr>
              <w:t>Proportion of Act 129 MW in PJM ELRP</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Duquesne</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19.2</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17.3</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0.53</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Met-Ed</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53.7</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53.5</w:t>
            </w:r>
          </w:p>
        </w:tc>
        <w:tc>
          <w:tcPr>
            <w:tcW w:w="2434"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0.50</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Penelec</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56.0</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77.9</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0.42</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Penn Power</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26.4</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15.1</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0.64</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West Penn Power</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134.2</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63.1</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0.68</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PECO</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98.9</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91.0</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0.52</w:t>
            </w:r>
          </w:p>
        </w:tc>
      </w:tr>
      <w:tr w:rsidR="00C01A4C" w:rsidRPr="00C01A4C" w:rsidTr="00A86952">
        <w:trPr>
          <w:trHeight w:val="300"/>
          <w:jc w:val="center"/>
        </w:trPr>
        <w:tc>
          <w:tcPr>
            <w:tcW w:w="2394" w:type="dxa"/>
            <w:noWrap/>
            <w:hideMark/>
          </w:tcPr>
          <w:p w:rsidR="00C01A4C" w:rsidRPr="00C01A4C" w:rsidRDefault="00C01A4C" w:rsidP="00A86952">
            <w:pPr>
              <w:jc w:val="left"/>
              <w:rPr>
                <w:rFonts w:ascii="Calibri" w:eastAsia="Times New Roman" w:hAnsi="Calibri" w:cs="Calibri"/>
                <w:color w:val="000000"/>
              </w:rPr>
            </w:pPr>
            <w:r w:rsidRPr="00C01A4C">
              <w:rPr>
                <w:rFonts w:ascii="Calibri" w:eastAsia="Times New Roman" w:hAnsi="Calibri" w:cs="Calibri"/>
                <w:color w:val="000000"/>
              </w:rPr>
              <w:t>PPL</w:t>
            </w:r>
          </w:p>
        </w:tc>
        <w:tc>
          <w:tcPr>
            <w:tcW w:w="1931"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78.2</w:t>
            </w:r>
          </w:p>
        </w:tc>
        <w:tc>
          <w:tcPr>
            <w:tcW w:w="2250" w:type="dxa"/>
            <w:noWrap/>
            <w:hideMark/>
          </w:tcPr>
          <w:p w:rsidR="00C01A4C" w:rsidRPr="00C01A4C" w:rsidRDefault="00C01A4C" w:rsidP="00C01A4C">
            <w:pPr>
              <w:jc w:val="center"/>
              <w:rPr>
                <w:rFonts w:ascii="Calibri" w:eastAsia="Times New Roman" w:hAnsi="Calibri" w:cs="Calibri"/>
                <w:color w:val="000000"/>
              </w:rPr>
            </w:pPr>
            <w:r w:rsidRPr="00C01A4C">
              <w:rPr>
                <w:rFonts w:ascii="Calibri" w:eastAsia="Times New Roman" w:hAnsi="Calibri" w:cs="Calibri"/>
                <w:color w:val="000000"/>
              </w:rPr>
              <w:t>64.8</w:t>
            </w:r>
          </w:p>
        </w:tc>
        <w:tc>
          <w:tcPr>
            <w:tcW w:w="2434" w:type="dxa"/>
            <w:noWrap/>
            <w:hideMark/>
          </w:tcPr>
          <w:p w:rsidR="00C01A4C" w:rsidRPr="00C01A4C" w:rsidRDefault="00C01A4C" w:rsidP="00C01A4C">
            <w:pPr>
              <w:jc w:val="center"/>
              <w:rPr>
                <w:rFonts w:ascii="Calibri" w:eastAsia="Times New Roman" w:hAnsi="Calibri" w:cs="Calibri"/>
                <w:color w:val="000000"/>
              </w:rPr>
            </w:pPr>
            <w:r>
              <w:rPr>
                <w:rFonts w:ascii="Calibri" w:eastAsia="Times New Roman" w:hAnsi="Calibri" w:cs="Calibri"/>
                <w:color w:val="000000"/>
              </w:rPr>
              <w:t>0.55</w:t>
            </w:r>
          </w:p>
        </w:tc>
      </w:tr>
      <w:tr w:rsidR="00C01A4C" w:rsidRPr="00C01A4C" w:rsidTr="00A86952">
        <w:trPr>
          <w:trHeight w:val="300"/>
          <w:jc w:val="center"/>
        </w:trPr>
        <w:tc>
          <w:tcPr>
            <w:tcW w:w="2394" w:type="dxa"/>
            <w:noWrap/>
            <w:hideMark/>
          </w:tcPr>
          <w:p w:rsidR="00C01A4C" w:rsidRPr="00C01A4C" w:rsidRDefault="00C01A4C" w:rsidP="00C01A4C">
            <w:pPr>
              <w:jc w:val="center"/>
              <w:rPr>
                <w:rFonts w:ascii="Calibri" w:eastAsia="Times New Roman" w:hAnsi="Calibri" w:cs="Calibri"/>
                <w:b/>
                <w:bCs/>
                <w:color w:val="000000"/>
              </w:rPr>
            </w:pPr>
            <w:r w:rsidRPr="00C01A4C">
              <w:rPr>
                <w:rFonts w:ascii="Calibri" w:eastAsia="Times New Roman" w:hAnsi="Calibri" w:cs="Calibri"/>
                <w:b/>
                <w:bCs/>
                <w:color w:val="000000"/>
              </w:rPr>
              <w:t>Total</w:t>
            </w:r>
          </w:p>
        </w:tc>
        <w:tc>
          <w:tcPr>
            <w:tcW w:w="1931" w:type="dxa"/>
            <w:noWrap/>
            <w:hideMark/>
          </w:tcPr>
          <w:p w:rsidR="00C01A4C" w:rsidRPr="00C01A4C" w:rsidRDefault="00C01A4C" w:rsidP="00C01A4C">
            <w:pPr>
              <w:jc w:val="center"/>
              <w:rPr>
                <w:rFonts w:ascii="Calibri" w:eastAsia="Times New Roman" w:hAnsi="Calibri" w:cs="Calibri"/>
                <w:b/>
                <w:bCs/>
                <w:color w:val="000000"/>
              </w:rPr>
            </w:pPr>
            <w:r w:rsidRPr="00C01A4C">
              <w:rPr>
                <w:rFonts w:ascii="Calibri" w:eastAsia="Times New Roman" w:hAnsi="Calibri" w:cs="Calibri"/>
                <w:b/>
                <w:bCs/>
                <w:color w:val="000000"/>
              </w:rPr>
              <w:t>466.5</w:t>
            </w:r>
          </w:p>
        </w:tc>
        <w:tc>
          <w:tcPr>
            <w:tcW w:w="2250" w:type="dxa"/>
            <w:noWrap/>
            <w:hideMark/>
          </w:tcPr>
          <w:p w:rsidR="00C01A4C" w:rsidRPr="00C01A4C" w:rsidRDefault="00C01A4C" w:rsidP="00C01A4C">
            <w:pPr>
              <w:jc w:val="center"/>
              <w:rPr>
                <w:rFonts w:ascii="Calibri" w:eastAsia="Times New Roman" w:hAnsi="Calibri" w:cs="Calibri"/>
                <w:b/>
                <w:bCs/>
                <w:color w:val="000000"/>
              </w:rPr>
            </w:pPr>
            <w:r w:rsidRPr="00C01A4C">
              <w:rPr>
                <w:rFonts w:ascii="Calibri" w:eastAsia="Times New Roman" w:hAnsi="Calibri" w:cs="Calibri"/>
                <w:b/>
                <w:bCs/>
                <w:color w:val="000000"/>
              </w:rPr>
              <w:t>382.6</w:t>
            </w:r>
          </w:p>
        </w:tc>
        <w:tc>
          <w:tcPr>
            <w:tcW w:w="2434" w:type="dxa"/>
            <w:noWrap/>
            <w:hideMark/>
          </w:tcPr>
          <w:p w:rsidR="00C01A4C" w:rsidRPr="00C01A4C" w:rsidRDefault="00C01A4C" w:rsidP="00C01A4C">
            <w:pPr>
              <w:jc w:val="center"/>
              <w:rPr>
                <w:rFonts w:ascii="Calibri" w:eastAsia="Times New Roman" w:hAnsi="Calibri" w:cs="Calibri"/>
                <w:b/>
                <w:color w:val="000000"/>
              </w:rPr>
            </w:pPr>
            <w:r>
              <w:rPr>
                <w:rFonts w:ascii="Calibri" w:eastAsia="Times New Roman" w:hAnsi="Calibri" w:cs="Calibri"/>
                <w:b/>
                <w:color w:val="000000"/>
              </w:rPr>
              <w:t>0.55</w:t>
            </w:r>
          </w:p>
        </w:tc>
      </w:tr>
    </w:tbl>
    <w:p w:rsidR="00C01A4C" w:rsidRDefault="00C01A4C" w:rsidP="00944DEB">
      <w:pPr>
        <w:spacing w:line="240" w:lineRule="auto"/>
        <w:jc w:val="left"/>
        <w:rPr>
          <w:rFonts w:ascii="Garamond" w:hAnsi="Garamond"/>
          <w:sz w:val="23"/>
          <w:szCs w:val="23"/>
        </w:rPr>
      </w:pPr>
    </w:p>
    <w:p w:rsidR="00A86952" w:rsidRDefault="00A86952" w:rsidP="00AF4BB4">
      <w:pPr>
        <w:spacing w:line="240" w:lineRule="auto"/>
        <w:jc w:val="left"/>
        <w:rPr>
          <w:rFonts w:ascii="Garamond" w:hAnsi="Garamond"/>
          <w:sz w:val="23"/>
          <w:szCs w:val="23"/>
        </w:rPr>
      </w:pPr>
      <w:r>
        <w:rPr>
          <w:rFonts w:ascii="Garamond" w:hAnsi="Garamond"/>
          <w:sz w:val="23"/>
          <w:szCs w:val="23"/>
        </w:rPr>
        <w:t>Notice that over half of the potential load reduction</w:t>
      </w:r>
      <w:r w:rsidR="00AF4BB4">
        <w:rPr>
          <w:rFonts w:ascii="Garamond" w:hAnsi="Garamond"/>
          <w:sz w:val="23"/>
          <w:szCs w:val="23"/>
        </w:rPr>
        <w:t xml:space="preserve"> capacity</w:t>
      </w:r>
      <w:r>
        <w:rPr>
          <w:rFonts w:ascii="Garamond" w:hAnsi="Garamond"/>
          <w:sz w:val="23"/>
          <w:szCs w:val="23"/>
        </w:rPr>
        <w:t xml:space="preserve"> in EDC load curtailment programs was also enrolled in the </w:t>
      </w:r>
      <w:r w:rsidR="00AF4BB4">
        <w:rPr>
          <w:rFonts w:ascii="Garamond" w:hAnsi="Garamond"/>
          <w:sz w:val="23"/>
          <w:szCs w:val="23"/>
        </w:rPr>
        <w:t xml:space="preserve">PJM ELRP in 2012. Applying the Emergency Incremental Benefits Ratio of 0.63 to all load reductions recorded by these customers produces a less favorable TRC ratio for the programs. </w:t>
      </w:r>
      <w:r w:rsidR="00AF4BB4">
        <w:rPr>
          <w:rFonts w:ascii="Garamond" w:hAnsi="Garamond"/>
          <w:sz w:val="23"/>
          <w:szCs w:val="23"/>
        </w:rPr>
        <w:fldChar w:fldCharType="begin"/>
      </w:r>
      <w:r w:rsidR="00AF4BB4">
        <w:rPr>
          <w:rFonts w:ascii="Garamond" w:hAnsi="Garamond"/>
          <w:sz w:val="23"/>
          <w:szCs w:val="23"/>
        </w:rPr>
        <w:instrText xml:space="preserve"> REF _Ref352602380 \h </w:instrText>
      </w:r>
      <w:r w:rsidR="00AF4BB4">
        <w:rPr>
          <w:rFonts w:ascii="Garamond" w:hAnsi="Garamond"/>
          <w:sz w:val="23"/>
          <w:szCs w:val="23"/>
        </w:rPr>
      </w:r>
      <w:r w:rsidR="00AF4BB4">
        <w:rPr>
          <w:rFonts w:ascii="Garamond" w:hAnsi="Garamond"/>
          <w:sz w:val="23"/>
          <w:szCs w:val="23"/>
        </w:rPr>
        <w:fldChar w:fldCharType="separate"/>
      </w:r>
      <w:r w:rsidR="00451FFF" w:rsidRPr="00F45397">
        <w:rPr>
          <w:rFonts w:ascii="Garamond" w:hAnsi="Garamond"/>
          <w:sz w:val="23"/>
          <w:szCs w:val="23"/>
        </w:rPr>
        <w:t xml:space="preserve">Figure </w:t>
      </w:r>
      <w:r w:rsidR="00451FFF">
        <w:rPr>
          <w:rFonts w:ascii="Garamond" w:hAnsi="Garamond"/>
          <w:noProof/>
          <w:sz w:val="23"/>
          <w:szCs w:val="23"/>
        </w:rPr>
        <w:t>F</w:t>
      </w:r>
      <w:r w:rsidR="00451FFF" w:rsidRPr="00F45397">
        <w:rPr>
          <w:rFonts w:ascii="Garamond" w:hAnsi="Garamond"/>
          <w:sz w:val="23"/>
          <w:szCs w:val="23"/>
        </w:rPr>
        <w:noBreakHyphen/>
      </w:r>
      <w:r w:rsidR="00451FFF">
        <w:rPr>
          <w:rFonts w:ascii="Garamond" w:hAnsi="Garamond"/>
          <w:noProof/>
          <w:sz w:val="23"/>
          <w:szCs w:val="23"/>
        </w:rPr>
        <w:t>11</w:t>
      </w:r>
      <w:r w:rsidR="00AF4BB4">
        <w:rPr>
          <w:rFonts w:ascii="Garamond" w:hAnsi="Garamond"/>
          <w:sz w:val="23"/>
          <w:szCs w:val="23"/>
        </w:rPr>
        <w:fldChar w:fldCharType="end"/>
      </w:r>
      <w:r w:rsidR="00AF4BB4">
        <w:rPr>
          <w:rFonts w:ascii="Garamond" w:hAnsi="Garamond"/>
          <w:sz w:val="23"/>
          <w:szCs w:val="23"/>
        </w:rPr>
        <w:t xml:space="preserve"> compares the statewide TRC ratio under the dual participation case to the base case scenario. The statewide TRC ratio drops from 0.63 to 0.54 and the Met-Ed and Penelec load curtailment program TRC ratios drop below 1.0.</w:t>
      </w:r>
    </w:p>
    <w:p w:rsidR="00F45397" w:rsidRPr="00F45397" w:rsidRDefault="00F45397" w:rsidP="00F45397">
      <w:pPr>
        <w:pStyle w:val="Caption"/>
        <w:keepNext/>
        <w:jc w:val="center"/>
        <w:rPr>
          <w:rFonts w:ascii="Garamond" w:hAnsi="Garamond"/>
          <w:sz w:val="23"/>
          <w:szCs w:val="23"/>
        </w:rPr>
      </w:pPr>
      <w:bookmarkStart w:id="122" w:name="_Ref352602380"/>
      <w:r w:rsidRPr="00F45397">
        <w:rPr>
          <w:rFonts w:ascii="Garamond" w:hAnsi="Garamond"/>
          <w:sz w:val="23"/>
          <w:szCs w:val="23"/>
        </w:rPr>
        <w:t xml:space="preserve">Figure </w:t>
      </w:r>
      <w:r w:rsidRPr="00F45397">
        <w:rPr>
          <w:rFonts w:ascii="Garamond" w:hAnsi="Garamond"/>
          <w:sz w:val="23"/>
          <w:szCs w:val="23"/>
        </w:rPr>
        <w:fldChar w:fldCharType="begin"/>
      </w:r>
      <w:r w:rsidRPr="00F45397">
        <w:rPr>
          <w:rFonts w:ascii="Garamond" w:hAnsi="Garamond"/>
          <w:sz w:val="23"/>
          <w:szCs w:val="23"/>
        </w:rPr>
        <w:instrText xml:space="preserve"> STYLEREF 1 \s </w:instrText>
      </w:r>
      <w:r w:rsidRPr="00F45397">
        <w:rPr>
          <w:rFonts w:ascii="Garamond" w:hAnsi="Garamond"/>
          <w:sz w:val="23"/>
          <w:szCs w:val="23"/>
        </w:rPr>
        <w:fldChar w:fldCharType="separate"/>
      </w:r>
      <w:r w:rsidR="00451FFF">
        <w:rPr>
          <w:rFonts w:ascii="Garamond" w:hAnsi="Garamond"/>
          <w:noProof/>
          <w:sz w:val="23"/>
          <w:szCs w:val="23"/>
        </w:rPr>
        <w:t>F</w:t>
      </w:r>
      <w:r w:rsidRPr="00F45397">
        <w:rPr>
          <w:rFonts w:ascii="Garamond" w:hAnsi="Garamond"/>
          <w:sz w:val="23"/>
          <w:szCs w:val="23"/>
        </w:rPr>
        <w:fldChar w:fldCharType="end"/>
      </w:r>
      <w:r w:rsidRPr="00F45397">
        <w:rPr>
          <w:rFonts w:ascii="Garamond" w:hAnsi="Garamond"/>
          <w:sz w:val="23"/>
          <w:szCs w:val="23"/>
        </w:rPr>
        <w:noBreakHyphen/>
      </w:r>
      <w:r w:rsidRPr="00F45397">
        <w:rPr>
          <w:rFonts w:ascii="Garamond" w:hAnsi="Garamond"/>
          <w:sz w:val="23"/>
          <w:szCs w:val="23"/>
        </w:rPr>
        <w:fldChar w:fldCharType="begin"/>
      </w:r>
      <w:r w:rsidRPr="00F45397">
        <w:rPr>
          <w:rFonts w:ascii="Garamond" w:hAnsi="Garamond"/>
          <w:sz w:val="23"/>
          <w:szCs w:val="23"/>
        </w:rPr>
        <w:instrText xml:space="preserve"> SEQ Figure \* ARABIC \s 1 </w:instrText>
      </w:r>
      <w:r w:rsidRPr="00F45397">
        <w:rPr>
          <w:rFonts w:ascii="Garamond" w:hAnsi="Garamond"/>
          <w:sz w:val="23"/>
          <w:szCs w:val="23"/>
        </w:rPr>
        <w:fldChar w:fldCharType="separate"/>
      </w:r>
      <w:r w:rsidR="00451FFF">
        <w:rPr>
          <w:rFonts w:ascii="Garamond" w:hAnsi="Garamond"/>
          <w:noProof/>
          <w:sz w:val="23"/>
          <w:szCs w:val="23"/>
        </w:rPr>
        <w:t>11</w:t>
      </w:r>
      <w:r w:rsidRPr="00F45397">
        <w:rPr>
          <w:rFonts w:ascii="Garamond" w:hAnsi="Garamond"/>
          <w:sz w:val="23"/>
          <w:szCs w:val="23"/>
        </w:rPr>
        <w:fldChar w:fldCharType="end"/>
      </w:r>
      <w:bookmarkEnd w:id="122"/>
      <w:r w:rsidRPr="00F45397">
        <w:rPr>
          <w:rFonts w:ascii="Garamond" w:hAnsi="Garamond"/>
          <w:sz w:val="23"/>
          <w:szCs w:val="23"/>
        </w:rPr>
        <w:t xml:space="preserve">: Dual </w:t>
      </w:r>
      <w:r w:rsidR="00C224C4">
        <w:rPr>
          <w:rFonts w:ascii="Garamond" w:hAnsi="Garamond"/>
          <w:sz w:val="23"/>
          <w:szCs w:val="23"/>
        </w:rPr>
        <w:t>Participation</w:t>
      </w:r>
      <w:r w:rsidRPr="00F45397">
        <w:rPr>
          <w:rFonts w:ascii="Garamond" w:hAnsi="Garamond"/>
          <w:sz w:val="23"/>
          <w:szCs w:val="23"/>
        </w:rPr>
        <w:t xml:space="preserve"> Interpretation Sensitivity</w:t>
      </w:r>
    </w:p>
    <w:p w:rsidR="00F45397" w:rsidRDefault="00F45397" w:rsidP="00182255">
      <w:pPr>
        <w:jc w:val="center"/>
      </w:pPr>
      <w:r w:rsidRPr="00F45397">
        <w:rPr>
          <w:noProof/>
        </w:rPr>
        <w:drawing>
          <wp:inline distT="0" distB="0" distL="0" distR="0" wp14:anchorId="52C55D46" wp14:editId="78981CAB">
            <wp:extent cx="4890135" cy="287845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90135" cy="2878455"/>
                    </a:xfrm>
                    <a:prstGeom prst="rect">
                      <a:avLst/>
                    </a:prstGeom>
                    <a:noFill/>
                    <a:ln>
                      <a:noFill/>
                    </a:ln>
                  </pic:spPr>
                </pic:pic>
              </a:graphicData>
            </a:graphic>
          </wp:inline>
        </w:drawing>
      </w:r>
    </w:p>
    <w:p w:rsidR="006C6BA6" w:rsidRDefault="006C6BA6" w:rsidP="006C6BA6">
      <w:pPr>
        <w:spacing w:line="240" w:lineRule="auto"/>
        <w:rPr>
          <w:rFonts w:ascii="Garamond" w:hAnsi="Garamond"/>
          <w:sz w:val="23"/>
          <w:szCs w:val="23"/>
        </w:rPr>
      </w:pPr>
      <w:r>
        <w:rPr>
          <w:rFonts w:ascii="Garamond" w:hAnsi="Garamond"/>
          <w:sz w:val="23"/>
          <w:szCs w:val="23"/>
        </w:rPr>
        <w:t xml:space="preserve">The best and </w:t>
      </w:r>
      <w:proofErr w:type="spellStart"/>
      <w:r>
        <w:rPr>
          <w:rFonts w:ascii="Garamond" w:hAnsi="Garamond"/>
          <w:sz w:val="23"/>
          <w:szCs w:val="23"/>
        </w:rPr>
        <w:t>worse case</w:t>
      </w:r>
      <w:proofErr w:type="spellEnd"/>
      <w:r>
        <w:rPr>
          <w:rFonts w:ascii="Garamond" w:hAnsi="Garamond"/>
          <w:sz w:val="23"/>
          <w:szCs w:val="23"/>
        </w:rPr>
        <w:t xml:space="preserve"> scenarios described in Section 2g </w:t>
      </w:r>
      <w:proofErr w:type="gramStart"/>
      <w:r>
        <w:rPr>
          <w:rFonts w:ascii="Garamond" w:hAnsi="Garamond"/>
          <w:sz w:val="23"/>
          <w:szCs w:val="23"/>
        </w:rPr>
        <w:t>are</w:t>
      </w:r>
      <w:proofErr w:type="gramEnd"/>
      <w:r>
        <w:rPr>
          <w:rFonts w:ascii="Garamond" w:hAnsi="Garamond"/>
          <w:sz w:val="23"/>
          <w:szCs w:val="23"/>
        </w:rPr>
        <w:t xml:space="preserve"> presented in Figure F-12.  These scenarios represent the full range of potential TRC ratios for the </w:t>
      </w:r>
      <w:r w:rsidR="00974B1F">
        <w:rPr>
          <w:rFonts w:ascii="Garamond" w:hAnsi="Garamond"/>
          <w:sz w:val="23"/>
          <w:szCs w:val="23"/>
        </w:rPr>
        <w:t xml:space="preserve">load curtailment programs. </w:t>
      </w:r>
      <w:r w:rsidR="00C1469A">
        <w:rPr>
          <w:rFonts w:ascii="Garamond" w:hAnsi="Garamond"/>
          <w:sz w:val="23"/>
          <w:szCs w:val="23"/>
        </w:rPr>
        <w:t xml:space="preserve">TRC ratios could be as low as 0.02 and as high as 4.80. </w:t>
      </w:r>
      <w:r>
        <w:rPr>
          <w:rFonts w:ascii="Garamond" w:hAnsi="Garamond"/>
          <w:sz w:val="23"/>
          <w:szCs w:val="23"/>
        </w:rPr>
        <w:t>With the higher avoided costs, and with controlling costs including incentives, the programs can be very cost effective.</w:t>
      </w:r>
    </w:p>
    <w:p w:rsidR="003233CC" w:rsidRPr="00F45397" w:rsidRDefault="003233CC" w:rsidP="003233CC">
      <w:pPr>
        <w:pStyle w:val="Caption"/>
        <w:keepNext/>
        <w:jc w:val="center"/>
        <w:rPr>
          <w:rFonts w:ascii="Garamond" w:hAnsi="Garamond"/>
          <w:sz w:val="23"/>
          <w:szCs w:val="23"/>
        </w:rPr>
      </w:pPr>
      <w:bookmarkStart w:id="123" w:name="_Ref354133249"/>
      <w:r w:rsidRPr="00F45397">
        <w:rPr>
          <w:rFonts w:ascii="Garamond" w:hAnsi="Garamond"/>
          <w:sz w:val="23"/>
          <w:szCs w:val="23"/>
        </w:rPr>
        <w:lastRenderedPageBreak/>
        <w:t xml:space="preserve">Figure </w:t>
      </w:r>
      <w:r w:rsidRPr="00F45397">
        <w:rPr>
          <w:rFonts w:ascii="Garamond" w:hAnsi="Garamond"/>
          <w:sz w:val="23"/>
          <w:szCs w:val="23"/>
        </w:rPr>
        <w:fldChar w:fldCharType="begin"/>
      </w:r>
      <w:r w:rsidRPr="00F45397">
        <w:rPr>
          <w:rFonts w:ascii="Garamond" w:hAnsi="Garamond"/>
          <w:sz w:val="23"/>
          <w:szCs w:val="23"/>
        </w:rPr>
        <w:instrText xml:space="preserve"> STYLEREF 1 \s </w:instrText>
      </w:r>
      <w:r w:rsidRPr="00F45397">
        <w:rPr>
          <w:rFonts w:ascii="Garamond" w:hAnsi="Garamond"/>
          <w:sz w:val="23"/>
          <w:szCs w:val="23"/>
        </w:rPr>
        <w:fldChar w:fldCharType="separate"/>
      </w:r>
      <w:r w:rsidR="00451FFF">
        <w:rPr>
          <w:rFonts w:ascii="Garamond" w:hAnsi="Garamond"/>
          <w:noProof/>
          <w:sz w:val="23"/>
          <w:szCs w:val="23"/>
        </w:rPr>
        <w:t>F</w:t>
      </w:r>
      <w:r w:rsidRPr="00F45397">
        <w:rPr>
          <w:rFonts w:ascii="Garamond" w:hAnsi="Garamond"/>
          <w:sz w:val="23"/>
          <w:szCs w:val="23"/>
        </w:rPr>
        <w:fldChar w:fldCharType="end"/>
      </w:r>
      <w:r w:rsidRPr="00F45397">
        <w:rPr>
          <w:rFonts w:ascii="Garamond" w:hAnsi="Garamond"/>
          <w:sz w:val="23"/>
          <w:szCs w:val="23"/>
        </w:rPr>
        <w:noBreakHyphen/>
      </w:r>
      <w:r w:rsidRPr="00F45397">
        <w:rPr>
          <w:rFonts w:ascii="Garamond" w:hAnsi="Garamond"/>
          <w:sz w:val="23"/>
          <w:szCs w:val="23"/>
        </w:rPr>
        <w:fldChar w:fldCharType="begin"/>
      </w:r>
      <w:r w:rsidRPr="00F45397">
        <w:rPr>
          <w:rFonts w:ascii="Garamond" w:hAnsi="Garamond"/>
          <w:sz w:val="23"/>
          <w:szCs w:val="23"/>
        </w:rPr>
        <w:instrText xml:space="preserve"> SEQ Figure \* ARABIC \s 1 </w:instrText>
      </w:r>
      <w:r w:rsidRPr="00F45397">
        <w:rPr>
          <w:rFonts w:ascii="Garamond" w:hAnsi="Garamond"/>
          <w:sz w:val="23"/>
          <w:szCs w:val="23"/>
        </w:rPr>
        <w:fldChar w:fldCharType="separate"/>
      </w:r>
      <w:r w:rsidR="00451FFF">
        <w:rPr>
          <w:rFonts w:ascii="Garamond" w:hAnsi="Garamond"/>
          <w:noProof/>
          <w:sz w:val="23"/>
          <w:szCs w:val="23"/>
        </w:rPr>
        <w:t>12</w:t>
      </w:r>
      <w:r w:rsidRPr="00F45397">
        <w:rPr>
          <w:rFonts w:ascii="Garamond" w:hAnsi="Garamond"/>
          <w:sz w:val="23"/>
          <w:szCs w:val="23"/>
        </w:rPr>
        <w:fldChar w:fldCharType="end"/>
      </w:r>
      <w:bookmarkEnd w:id="123"/>
      <w:r w:rsidRPr="00F45397">
        <w:rPr>
          <w:rFonts w:ascii="Garamond" w:hAnsi="Garamond"/>
          <w:sz w:val="23"/>
          <w:szCs w:val="23"/>
        </w:rPr>
        <w:t xml:space="preserve">: </w:t>
      </w:r>
      <w:r>
        <w:rPr>
          <w:rFonts w:ascii="Garamond" w:hAnsi="Garamond"/>
          <w:sz w:val="23"/>
          <w:szCs w:val="23"/>
        </w:rPr>
        <w:t>Worst &amp; Best Case Scenarios – All Load Curtailment Programs Combined</w:t>
      </w:r>
    </w:p>
    <w:p w:rsidR="006C6BA6" w:rsidRDefault="003233CC" w:rsidP="006A025D">
      <w:pPr>
        <w:spacing w:line="240" w:lineRule="auto"/>
        <w:jc w:val="center"/>
        <w:rPr>
          <w:rFonts w:ascii="Garamond" w:hAnsi="Garamond"/>
          <w:sz w:val="23"/>
          <w:szCs w:val="23"/>
        </w:rPr>
      </w:pPr>
      <w:r w:rsidRPr="003233CC">
        <w:rPr>
          <w:noProof/>
        </w:rPr>
        <w:drawing>
          <wp:inline distT="0" distB="0" distL="0" distR="0" wp14:anchorId="2121E8E3" wp14:editId="2CF01393">
            <wp:extent cx="4886325" cy="28765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86325" cy="2876550"/>
                    </a:xfrm>
                    <a:prstGeom prst="rect">
                      <a:avLst/>
                    </a:prstGeom>
                    <a:noFill/>
                    <a:ln>
                      <a:noFill/>
                    </a:ln>
                  </pic:spPr>
                </pic:pic>
              </a:graphicData>
            </a:graphic>
          </wp:inline>
        </w:drawing>
      </w:r>
    </w:p>
    <w:p w:rsidR="00BF638B" w:rsidRDefault="00944DEB" w:rsidP="002E5BF5">
      <w:pPr>
        <w:spacing w:line="240" w:lineRule="auto"/>
        <w:jc w:val="left"/>
        <w:rPr>
          <w:rFonts w:ascii="Garamond" w:hAnsi="Garamond"/>
          <w:sz w:val="23"/>
          <w:szCs w:val="23"/>
        </w:rPr>
      </w:pPr>
      <w:r w:rsidRPr="00944DEB">
        <w:rPr>
          <w:rFonts w:ascii="Garamond" w:hAnsi="Garamond"/>
          <w:sz w:val="23"/>
          <w:szCs w:val="23"/>
        </w:rPr>
        <w:t xml:space="preserve">The tables </w:t>
      </w:r>
      <w:r>
        <w:rPr>
          <w:rFonts w:ascii="Garamond" w:hAnsi="Garamond"/>
          <w:sz w:val="23"/>
          <w:szCs w:val="23"/>
        </w:rPr>
        <w:t xml:space="preserve">and figures presented in this section indicate that EDC load curtailment programs could likely achieve TRC ratios greater than 1.0 given some changes to program design and favorable market conditions. However, </w:t>
      </w:r>
      <w:r w:rsidR="00F72422">
        <w:rPr>
          <w:rFonts w:ascii="Garamond" w:hAnsi="Garamond"/>
          <w:sz w:val="23"/>
          <w:szCs w:val="23"/>
        </w:rPr>
        <w:t>EDCs securing capacity outside of the PJM’s competitive market could prevent DR from realizing it</w:t>
      </w:r>
      <w:r w:rsidR="00381127">
        <w:rPr>
          <w:rFonts w:ascii="Garamond" w:hAnsi="Garamond"/>
          <w:sz w:val="23"/>
          <w:szCs w:val="23"/>
        </w:rPr>
        <w:t>s</w:t>
      </w:r>
      <w:r w:rsidR="00F72422">
        <w:rPr>
          <w:rFonts w:ascii="Garamond" w:hAnsi="Garamond"/>
          <w:sz w:val="23"/>
          <w:szCs w:val="23"/>
        </w:rPr>
        <w:t xml:space="preserve"> full potential in the region. When a kW of demand response clears in a PJM capacity auction, one fewer kW of generation is secured to meet the region’s electric needs and downward pressure is exerted on the wholesale price of capacity. This immediate feedback is missing from an Act 129 program. If an EDC acquires a DR resource and dispatches it, the capacity requirements for the zone may eventually be reduced, but in the short-term the capacity to serve that load will still be acquired. </w:t>
      </w:r>
      <w:r w:rsidR="002E5BF5">
        <w:rPr>
          <w:rFonts w:ascii="Garamond" w:hAnsi="Garamond"/>
          <w:sz w:val="23"/>
          <w:szCs w:val="23"/>
        </w:rPr>
        <w:t>This challenge can be avoided for a residential DLC program if an EDC bids the program into the PJM Base Residual Auction and receives payment for the avoided generation capacity.</w:t>
      </w:r>
      <w:r w:rsidR="00974B1F">
        <w:rPr>
          <w:rFonts w:ascii="Garamond" w:hAnsi="Garamond"/>
          <w:sz w:val="23"/>
          <w:szCs w:val="23"/>
        </w:rPr>
        <w:t xml:space="preserve"> </w:t>
      </w:r>
    </w:p>
    <w:p w:rsidR="00FB5EFD" w:rsidRPr="002E5BF5" w:rsidRDefault="00BF638B" w:rsidP="00BF638B">
      <w:pPr>
        <w:jc w:val="left"/>
        <w:rPr>
          <w:rFonts w:ascii="Garamond" w:hAnsi="Garamond"/>
          <w:sz w:val="23"/>
          <w:szCs w:val="23"/>
        </w:rPr>
      </w:pPr>
      <w:r>
        <w:rPr>
          <w:rFonts w:ascii="Garamond" w:hAnsi="Garamond"/>
          <w:sz w:val="23"/>
          <w:szCs w:val="23"/>
        </w:rPr>
        <w:br w:type="page"/>
      </w:r>
    </w:p>
    <w:p w:rsidR="002A712D" w:rsidRDefault="002A712D" w:rsidP="000A0837">
      <w:pPr>
        <w:pStyle w:val="Heading1"/>
      </w:pPr>
      <w:bookmarkStart w:id="124" w:name="_Ref352662254"/>
      <w:bookmarkStart w:id="125" w:name="_Toc355954917"/>
      <w:r>
        <w:lastRenderedPageBreak/>
        <w:t>Wholesale Price Suppression Benefits</w:t>
      </w:r>
      <w:bookmarkEnd w:id="124"/>
      <w:bookmarkEnd w:id="125"/>
    </w:p>
    <w:p w:rsidR="00791627" w:rsidRPr="00791627" w:rsidRDefault="00791627" w:rsidP="00791627">
      <w:pPr>
        <w:spacing w:line="240" w:lineRule="auto"/>
        <w:rPr>
          <w:rFonts w:ascii="Garamond" w:hAnsi="Garamond"/>
          <w:sz w:val="23"/>
          <w:szCs w:val="23"/>
        </w:rPr>
      </w:pPr>
      <w:r>
        <w:rPr>
          <w:rFonts w:ascii="Garamond" w:hAnsi="Garamond"/>
          <w:sz w:val="23"/>
          <w:szCs w:val="23"/>
        </w:rPr>
        <w:t xml:space="preserve">As described in 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sidRPr="00791627">
        <w:rPr>
          <w:rFonts w:ascii="Garamond" w:hAnsi="Garamond"/>
          <w:sz w:val="23"/>
          <w:szCs w:val="23"/>
        </w:rPr>
        <w:t xml:space="preserve">, the SWE has modeled demand response benefits pertaining to avoided generation, transmission, and distribution capacity costs. The SWE analysis did not attempt to quantify benefits associated with wholesale energy price (LMP) </w:t>
      </w:r>
      <w:r w:rsidR="00B6227D">
        <w:rPr>
          <w:rFonts w:ascii="Garamond" w:hAnsi="Garamond"/>
          <w:sz w:val="23"/>
          <w:szCs w:val="23"/>
        </w:rPr>
        <w:t xml:space="preserve">or capacity price </w:t>
      </w:r>
      <w:r w:rsidRPr="00791627">
        <w:rPr>
          <w:rFonts w:ascii="Garamond" w:hAnsi="Garamond"/>
          <w:sz w:val="23"/>
          <w:szCs w:val="23"/>
        </w:rPr>
        <w:t xml:space="preserve">suppression </w:t>
      </w:r>
      <w:r w:rsidR="00B6227D" w:rsidRPr="00791627">
        <w:rPr>
          <w:rFonts w:ascii="Garamond" w:hAnsi="Garamond"/>
          <w:sz w:val="23"/>
          <w:szCs w:val="23"/>
        </w:rPr>
        <w:t>that result</w:t>
      </w:r>
      <w:r w:rsidRPr="00791627">
        <w:rPr>
          <w:rFonts w:ascii="Garamond" w:hAnsi="Garamond"/>
          <w:sz w:val="23"/>
          <w:szCs w:val="23"/>
        </w:rPr>
        <w:t xml:space="preserve"> from DR. Although the SWE agrees that there are likely to be at least short-term benefits in </w:t>
      </w:r>
      <w:r>
        <w:rPr>
          <w:rFonts w:ascii="Garamond" w:hAnsi="Garamond"/>
          <w:sz w:val="23"/>
          <w:szCs w:val="23"/>
        </w:rPr>
        <w:t xml:space="preserve">the </w:t>
      </w:r>
      <w:r w:rsidRPr="00791627">
        <w:rPr>
          <w:rFonts w:ascii="Garamond" w:hAnsi="Garamond"/>
          <w:sz w:val="23"/>
          <w:szCs w:val="23"/>
        </w:rPr>
        <w:t>reduction of energy prices because of demand response, our analysis has excluded these impacts for several reasons. This section of the report will describe wholesale price suppression and then review the reasons the SWE feels inclusion of these benefits would not materially impact the benefit cost asse</w:t>
      </w:r>
      <w:r>
        <w:rPr>
          <w:rFonts w:ascii="Garamond" w:hAnsi="Garamond"/>
          <w:sz w:val="23"/>
          <w:szCs w:val="23"/>
        </w:rPr>
        <w:t xml:space="preserve">ssment as presented in 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sidRPr="00791627">
        <w:rPr>
          <w:rFonts w:ascii="Garamond" w:hAnsi="Garamond"/>
          <w:sz w:val="23"/>
          <w:szCs w:val="23"/>
        </w:rPr>
        <w:t>.</w:t>
      </w:r>
    </w:p>
    <w:p w:rsidR="00791627" w:rsidRDefault="00791627" w:rsidP="00791627">
      <w:pPr>
        <w:pStyle w:val="Heading2"/>
        <w:numPr>
          <w:ilvl w:val="0"/>
          <w:numId w:val="41"/>
        </w:numPr>
      </w:pPr>
      <w:bookmarkStart w:id="126" w:name="_Toc355954918"/>
      <w:r>
        <w:t>Overview of Wholesale Price Suppression</w:t>
      </w:r>
      <w:bookmarkEnd w:id="126"/>
    </w:p>
    <w:p w:rsidR="00791627" w:rsidRPr="00791627" w:rsidRDefault="00791627" w:rsidP="00791627">
      <w:pPr>
        <w:spacing w:line="240" w:lineRule="auto"/>
        <w:rPr>
          <w:rFonts w:ascii="Garamond" w:hAnsi="Garamond"/>
          <w:sz w:val="23"/>
          <w:szCs w:val="23"/>
        </w:rPr>
      </w:pPr>
      <w:r>
        <w:rPr>
          <w:rFonts w:ascii="Garamond" w:hAnsi="Garamond"/>
          <w:sz w:val="23"/>
          <w:szCs w:val="23"/>
        </w:rPr>
        <w:t xml:space="preserve">As described in Section </w:t>
      </w:r>
      <w:r>
        <w:rPr>
          <w:rFonts w:ascii="Garamond" w:hAnsi="Garamond"/>
          <w:sz w:val="23"/>
          <w:szCs w:val="23"/>
        </w:rPr>
        <w:fldChar w:fldCharType="begin"/>
      </w:r>
      <w:r>
        <w:rPr>
          <w:rFonts w:ascii="Garamond" w:hAnsi="Garamond"/>
          <w:sz w:val="23"/>
          <w:szCs w:val="23"/>
        </w:rPr>
        <w:instrText xml:space="preserve"> REF _Ref343514175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D</w:t>
      </w:r>
      <w:r>
        <w:rPr>
          <w:rFonts w:ascii="Garamond" w:hAnsi="Garamond"/>
          <w:sz w:val="23"/>
          <w:szCs w:val="23"/>
        </w:rPr>
        <w:fldChar w:fldCharType="end"/>
      </w:r>
      <w:r>
        <w:rPr>
          <w:rFonts w:ascii="Garamond" w:hAnsi="Garamond"/>
          <w:sz w:val="23"/>
          <w:szCs w:val="23"/>
        </w:rPr>
        <w:t>, Pennsylvania</w:t>
      </w:r>
      <w:r w:rsidRPr="00791627">
        <w:rPr>
          <w:rFonts w:ascii="Garamond" w:hAnsi="Garamond"/>
          <w:sz w:val="23"/>
          <w:szCs w:val="23"/>
        </w:rPr>
        <w:t xml:space="preserve"> LMPs vary with zonal demands and the cost of resources dispatched to meet those demands. As demand for energy increases, higher-priced generation resources are brought online to meet that demand. Typically in peaking conditions, the resources running are natural-gas fired combined cycle or combustion turbine units that can come online quickly but operate at high cost. The LMP inflates to reflect the fact that demand is beginning to constrain the available </w:t>
      </w:r>
      <w:r>
        <w:rPr>
          <w:rFonts w:ascii="Garamond" w:hAnsi="Garamond"/>
          <w:sz w:val="23"/>
          <w:szCs w:val="23"/>
        </w:rPr>
        <w:t xml:space="preserve">resources. Section </w:t>
      </w:r>
      <w:r>
        <w:rPr>
          <w:rFonts w:ascii="Garamond" w:hAnsi="Garamond"/>
          <w:sz w:val="23"/>
          <w:szCs w:val="23"/>
        </w:rPr>
        <w:fldChar w:fldCharType="begin"/>
      </w:r>
      <w:r>
        <w:rPr>
          <w:rFonts w:ascii="Garamond" w:hAnsi="Garamond"/>
          <w:sz w:val="23"/>
          <w:szCs w:val="23"/>
        </w:rPr>
        <w:instrText xml:space="preserve"> REF _Ref343622274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B</w:t>
      </w:r>
      <w:r>
        <w:rPr>
          <w:rFonts w:ascii="Garamond" w:hAnsi="Garamond"/>
          <w:sz w:val="23"/>
          <w:szCs w:val="23"/>
        </w:rPr>
        <w:fldChar w:fldCharType="end"/>
      </w:r>
      <w:r w:rsidRPr="00791627">
        <w:rPr>
          <w:rFonts w:ascii="Garamond" w:hAnsi="Garamond"/>
          <w:sz w:val="23"/>
          <w:szCs w:val="23"/>
        </w:rPr>
        <w:t xml:space="preserve"> examined how the dispatch of DR resources during these high priced hours can have a positive effect on zonal energy prices. This suppression of wholesale energy prices creates a benefit for both the load being curtailed (avoiding high energy prices) and for non-curtailment loads (paying a reduced LMP because of demand response). The figure below demonstrates the concept.  The total demand before load curtailment is shown by point Q1, which has a price of P1. With load curtailment during this high price hour, the demand is reduced to point Q2, which has an impact on prices reducing the LMP to P2.</w:t>
      </w:r>
    </w:p>
    <w:p w:rsidR="00791627" w:rsidRPr="00791627" w:rsidRDefault="00791627" w:rsidP="00791627">
      <w:pPr>
        <w:pStyle w:val="Caption"/>
        <w:keepNext/>
        <w:jc w:val="center"/>
        <w:rPr>
          <w:rFonts w:ascii="Garamond" w:hAnsi="Garamond"/>
          <w:sz w:val="23"/>
          <w:szCs w:val="23"/>
        </w:rPr>
      </w:pPr>
      <w:bookmarkStart w:id="127" w:name="_Ref354152114"/>
      <w:r w:rsidRPr="00791627">
        <w:rPr>
          <w:rFonts w:ascii="Garamond" w:hAnsi="Garamond"/>
          <w:sz w:val="23"/>
          <w:szCs w:val="23"/>
        </w:rPr>
        <w:t>Figure G</w:t>
      </w:r>
      <w:r w:rsidRPr="00791627">
        <w:rPr>
          <w:rFonts w:ascii="Garamond" w:hAnsi="Garamond"/>
          <w:sz w:val="23"/>
          <w:szCs w:val="23"/>
        </w:rPr>
        <w:noBreakHyphen/>
      </w:r>
      <w:r w:rsidRPr="00791627">
        <w:rPr>
          <w:rFonts w:ascii="Garamond" w:hAnsi="Garamond"/>
          <w:sz w:val="23"/>
          <w:szCs w:val="23"/>
        </w:rPr>
        <w:fldChar w:fldCharType="begin"/>
      </w:r>
      <w:r w:rsidRPr="00791627">
        <w:rPr>
          <w:rFonts w:ascii="Garamond" w:hAnsi="Garamond"/>
          <w:sz w:val="23"/>
          <w:szCs w:val="23"/>
        </w:rPr>
        <w:instrText xml:space="preserve"> SEQ Figure \* ARABIC \s 1 </w:instrText>
      </w:r>
      <w:r w:rsidRPr="00791627">
        <w:rPr>
          <w:rFonts w:ascii="Garamond" w:hAnsi="Garamond"/>
          <w:sz w:val="23"/>
          <w:szCs w:val="23"/>
        </w:rPr>
        <w:fldChar w:fldCharType="separate"/>
      </w:r>
      <w:r w:rsidR="00451FFF">
        <w:rPr>
          <w:rFonts w:ascii="Garamond" w:hAnsi="Garamond"/>
          <w:noProof/>
          <w:sz w:val="23"/>
          <w:szCs w:val="23"/>
        </w:rPr>
        <w:t>1</w:t>
      </w:r>
      <w:r w:rsidRPr="00791627">
        <w:rPr>
          <w:rFonts w:ascii="Garamond" w:hAnsi="Garamond"/>
          <w:noProof/>
          <w:sz w:val="23"/>
          <w:szCs w:val="23"/>
        </w:rPr>
        <w:fldChar w:fldCharType="end"/>
      </w:r>
      <w:bookmarkEnd w:id="127"/>
      <w:r w:rsidRPr="00791627">
        <w:rPr>
          <w:rFonts w:ascii="Garamond" w:hAnsi="Garamond"/>
          <w:sz w:val="23"/>
          <w:szCs w:val="23"/>
        </w:rPr>
        <w:t>: Wholesale Price Suppression</w:t>
      </w:r>
    </w:p>
    <w:p w:rsidR="00791627" w:rsidRDefault="00791627" w:rsidP="00791627">
      <w:pPr>
        <w:jc w:val="center"/>
      </w:pPr>
      <w:r w:rsidRPr="00C843F8">
        <w:rPr>
          <w:noProof/>
        </w:rPr>
        <w:drawing>
          <wp:inline distT="0" distB="0" distL="0" distR="0" wp14:anchorId="50EB73B6" wp14:editId="73C2F62A">
            <wp:extent cx="4220377" cy="254441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srcRect/>
                    <a:stretch>
                      <a:fillRect/>
                    </a:stretch>
                  </pic:blipFill>
                  <pic:spPr bwMode="auto">
                    <a:xfrm>
                      <a:off x="0" y="0"/>
                      <a:ext cx="4228766" cy="2549476"/>
                    </a:xfrm>
                    <a:prstGeom prst="rect">
                      <a:avLst/>
                    </a:prstGeom>
                    <a:noFill/>
                    <a:ln w="9525">
                      <a:noFill/>
                      <a:miter lim="800000"/>
                      <a:headEnd/>
                      <a:tailEnd/>
                    </a:ln>
                  </pic:spPr>
                </pic:pic>
              </a:graphicData>
            </a:graphic>
          </wp:inline>
        </w:drawing>
      </w:r>
    </w:p>
    <w:p w:rsidR="00791627" w:rsidRPr="00791627" w:rsidRDefault="00791627" w:rsidP="00791627">
      <w:pPr>
        <w:spacing w:line="240" w:lineRule="auto"/>
        <w:rPr>
          <w:rFonts w:ascii="Garamond" w:hAnsi="Garamond"/>
          <w:sz w:val="23"/>
          <w:szCs w:val="23"/>
        </w:rPr>
      </w:pPr>
      <w:r w:rsidRPr="00791627">
        <w:rPr>
          <w:rFonts w:ascii="Garamond" w:hAnsi="Garamond"/>
          <w:sz w:val="23"/>
          <w:szCs w:val="23"/>
        </w:rPr>
        <w:t>In 2007, The Brattle Group conducted a study to quantify the price suppression effects of DR in PJM</w:t>
      </w:r>
      <w:r w:rsidRPr="00791627">
        <w:rPr>
          <w:rStyle w:val="FootnoteReference"/>
          <w:rFonts w:ascii="Garamond" w:hAnsi="Garamond"/>
          <w:sz w:val="23"/>
          <w:szCs w:val="23"/>
        </w:rPr>
        <w:footnoteReference w:id="41"/>
      </w:r>
      <w:r w:rsidRPr="00791627">
        <w:rPr>
          <w:rFonts w:ascii="Garamond" w:hAnsi="Garamond"/>
          <w:sz w:val="23"/>
          <w:szCs w:val="23"/>
        </w:rPr>
        <w:t>, using 2005 as a tes</w:t>
      </w:r>
      <w:r w:rsidR="0051677F">
        <w:rPr>
          <w:rFonts w:ascii="Garamond" w:hAnsi="Garamond"/>
          <w:sz w:val="23"/>
          <w:szCs w:val="23"/>
        </w:rPr>
        <w:t>t year</w:t>
      </w:r>
      <w:r w:rsidRPr="00791627">
        <w:rPr>
          <w:rFonts w:ascii="Garamond" w:hAnsi="Garamond"/>
          <w:sz w:val="23"/>
          <w:szCs w:val="23"/>
        </w:rPr>
        <w:t>. Their study concluded that a 3% reduction in each zone’s “super-peak load” (the top 120-150 hours’ loads) yields an energy market price reduction of $8-$25 per MWh (5%-8%).  They also identified both avoided energy and capacity benefits for DR participants at t</w:t>
      </w:r>
      <w:r>
        <w:rPr>
          <w:rFonts w:ascii="Garamond" w:hAnsi="Garamond"/>
          <w:sz w:val="23"/>
          <w:szCs w:val="23"/>
        </w:rPr>
        <w:t>hat level of demand reduction. The study</w:t>
      </w:r>
      <w:r w:rsidRPr="00791627">
        <w:rPr>
          <w:rFonts w:ascii="Garamond" w:hAnsi="Garamond"/>
          <w:sz w:val="23"/>
          <w:szCs w:val="23"/>
        </w:rPr>
        <w:t xml:space="preserve"> estimate</w:t>
      </w:r>
      <w:r>
        <w:rPr>
          <w:rFonts w:ascii="Garamond" w:hAnsi="Garamond"/>
          <w:sz w:val="23"/>
          <w:szCs w:val="23"/>
        </w:rPr>
        <w:t>d</w:t>
      </w:r>
      <w:r w:rsidRPr="00791627">
        <w:rPr>
          <w:rFonts w:ascii="Garamond" w:hAnsi="Garamond"/>
          <w:sz w:val="23"/>
          <w:szCs w:val="23"/>
        </w:rPr>
        <w:t xml:space="preserve"> a $73 million benefit for avoided capacity costs and between $9 and $26 million for avoided energy costs. These benefit</w:t>
      </w:r>
      <w:r>
        <w:rPr>
          <w:rFonts w:ascii="Garamond" w:hAnsi="Garamond"/>
          <w:sz w:val="23"/>
          <w:szCs w:val="23"/>
        </w:rPr>
        <w:t>s were</w:t>
      </w:r>
      <w:r w:rsidRPr="00791627">
        <w:rPr>
          <w:rFonts w:ascii="Garamond" w:hAnsi="Garamond"/>
          <w:sz w:val="23"/>
          <w:szCs w:val="23"/>
        </w:rPr>
        <w:t xml:space="preserve"> estimated for demand reductions of 1,000 to 1</w:t>
      </w:r>
      <w:r>
        <w:rPr>
          <w:rFonts w:ascii="Garamond" w:hAnsi="Garamond"/>
          <w:sz w:val="23"/>
          <w:szCs w:val="23"/>
        </w:rPr>
        <w:t xml:space="preserve">,120 MW across five PJM zones. </w:t>
      </w:r>
    </w:p>
    <w:p w:rsidR="00791627" w:rsidRDefault="00791627" w:rsidP="00791627">
      <w:pPr>
        <w:pStyle w:val="Heading2"/>
      </w:pPr>
      <w:bookmarkStart w:id="128" w:name="_Toc355954919"/>
      <w:r>
        <w:lastRenderedPageBreak/>
        <w:t>SWE Exclusion of Price Suppression Benefits</w:t>
      </w:r>
      <w:bookmarkEnd w:id="128"/>
    </w:p>
    <w:p w:rsidR="00791627" w:rsidRPr="00791627" w:rsidRDefault="00791627" w:rsidP="00791627">
      <w:pPr>
        <w:spacing w:line="240" w:lineRule="auto"/>
        <w:rPr>
          <w:rFonts w:ascii="Garamond" w:hAnsi="Garamond"/>
          <w:sz w:val="23"/>
          <w:szCs w:val="23"/>
        </w:rPr>
      </w:pPr>
      <w:r w:rsidRPr="00791627">
        <w:rPr>
          <w:rFonts w:ascii="Garamond" w:hAnsi="Garamond"/>
          <w:sz w:val="23"/>
          <w:szCs w:val="23"/>
        </w:rPr>
        <w:t xml:space="preserve">Although the SWE agrees with the premise that DR can help suppress wholesale prices and </w:t>
      </w:r>
      <w:r>
        <w:rPr>
          <w:rFonts w:ascii="Garamond" w:hAnsi="Garamond"/>
          <w:sz w:val="23"/>
          <w:szCs w:val="23"/>
        </w:rPr>
        <w:t xml:space="preserve">that resources </w:t>
      </w:r>
      <w:r w:rsidRPr="00791627">
        <w:rPr>
          <w:rFonts w:ascii="Garamond" w:hAnsi="Garamond"/>
          <w:sz w:val="23"/>
          <w:szCs w:val="23"/>
        </w:rPr>
        <w:t xml:space="preserve">should be dispatched when </w:t>
      </w:r>
      <w:r>
        <w:rPr>
          <w:rFonts w:ascii="Garamond" w:hAnsi="Garamond"/>
          <w:sz w:val="23"/>
          <w:szCs w:val="23"/>
        </w:rPr>
        <w:t>they have</w:t>
      </w:r>
      <w:r w:rsidRPr="00791627">
        <w:rPr>
          <w:rFonts w:ascii="Garamond" w:hAnsi="Garamond"/>
          <w:sz w:val="23"/>
          <w:szCs w:val="23"/>
        </w:rPr>
        <w:t xml:space="preserve"> the greatest likelihood of having a positive economic impact, we did not explicitly include such benefits in the TRC an</w:t>
      </w:r>
      <w:r>
        <w:rPr>
          <w:rFonts w:ascii="Garamond" w:hAnsi="Garamond"/>
          <w:sz w:val="23"/>
          <w:szCs w:val="23"/>
        </w:rPr>
        <w:t xml:space="preserve">alysis presented in Section </w:t>
      </w:r>
      <w:r>
        <w:rPr>
          <w:rFonts w:ascii="Garamond" w:hAnsi="Garamond"/>
          <w:sz w:val="23"/>
          <w:szCs w:val="23"/>
        </w:rPr>
        <w:fldChar w:fldCharType="begin"/>
      </w:r>
      <w:r>
        <w:rPr>
          <w:rFonts w:ascii="Garamond" w:hAnsi="Garamond"/>
          <w:sz w:val="23"/>
          <w:szCs w:val="23"/>
        </w:rPr>
        <w:instrText xml:space="preserve"> REF _Ref352604525 \r \h </w:instrText>
      </w:r>
      <w:r>
        <w:rPr>
          <w:rFonts w:ascii="Garamond" w:hAnsi="Garamond"/>
          <w:sz w:val="23"/>
          <w:szCs w:val="23"/>
        </w:rPr>
      </w:r>
      <w:r>
        <w:rPr>
          <w:rFonts w:ascii="Garamond" w:hAnsi="Garamond"/>
          <w:sz w:val="23"/>
          <w:szCs w:val="23"/>
        </w:rPr>
        <w:fldChar w:fldCharType="separate"/>
      </w:r>
      <w:r w:rsidR="00451FFF">
        <w:rPr>
          <w:rFonts w:ascii="Garamond" w:hAnsi="Garamond"/>
          <w:sz w:val="23"/>
          <w:szCs w:val="23"/>
        </w:rPr>
        <w:t>F</w:t>
      </w:r>
      <w:r>
        <w:rPr>
          <w:rFonts w:ascii="Garamond" w:hAnsi="Garamond"/>
          <w:sz w:val="23"/>
          <w:szCs w:val="23"/>
        </w:rPr>
        <w:fldChar w:fldCharType="end"/>
      </w:r>
      <w:r w:rsidRPr="00791627">
        <w:rPr>
          <w:rFonts w:ascii="Garamond" w:hAnsi="Garamond"/>
          <w:sz w:val="23"/>
          <w:szCs w:val="23"/>
        </w:rPr>
        <w:t xml:space="preserve">. </w:t>
      </w:r>
      <w:r>
        <w:rPr>
          <w:rFonts w:ascii="Garamond" w:hAnsi="Garamond"/>
          <w:sz w:val="23"/>
          <w:szCs w:val="23"/>
        </w:rPr>
        <w:t>The</w:t>
      </w:r>
      <w:r w:rsidRPr="00791627">
        <w:rPr>
          <w:rFonts w:ascii="Garamond" w:hAnsi="Garamond"/>
          <w:sz w:val="23"/>
          <w:szCs w:val="23"/>
        </w:rPr>
        <w:t xml:space="preserve"> reasons </w:t>
      </w:r>
      <w:r>
        <w:rPr>
          <w:rFonts w:ascii="Garamond" w:hAnsi="Garamond"/>
          <w:sz w:val="23"/>
          <w:szCs w:val="23"/>
        </w:rPr>
        <w:t>for excluding this possible benefits stream are</w:t>
      </w:r>
      <w:r w:rsidRPr="00791627">
        <w:rPr>
          <w:rFonts w:ascii="Garamond" w:hAnsi="Garamond"/>
          <w:sz w:val="23"/>
          <w:szCs w:val="23"/>
        </w:rPr>
        <w:t xml:space="preserve"> outlined below.</w:t>
      </w:r>
    </w:p>
    <w:p w:rsidR="00791627" w:rsidRDefault="00791627" w:rsidP="00EA7D0F">
      <w:pPr>
        <w:pStyle w:val="ListParagraph"/>
        <w:numPr>
          <w:ilvl w:val="0"/>
          <w:numId w:val="40"/>
        </w:numPr>
        <w:rPr>
          <w:rFonts w:ascii="Garamond" w:hAnsi="Garamond"/>
          <w:sz w:val="23"/>
          <w:szCs w:val="23"/>
        </w:rPr>
      </w:pPr>
      <w:r w:rsidRPr="00791627">
        <w:rPr>
          <w:rFonts w:ascii="Garamond" w:hAnsi="Garamond"/>
          <w:sz w:val="23"/>
          <w:szCs w:val="23"/>
        </w:rPr>
        <w:t>The SWE does not have the necessary data available to estimate the price suppression impacts for 2012. This analysis would require access to resource offerings which cleared as well as those that did not for each of the zones in the Commonwealth during the summer of 2012</w:t>
      </w:r>
      <w:r w:rsidR="006B4433">
        <w:rPr>
          <w:rFonts w:ascii="Garamond" w:hAnsi="Garamond"/>
          <w:sz w:val="23"/>
          <w:szCs w:val="23"/>
        </w:rPr>
        <w:t xml:space="preserve"> so that a supply curve like the one shown in </w:t>
      </w:r>
      <w:r w:rsidR="006B4433">
        <w:rPr>
          <w:rFonts w:ascii="Garamond" w:hAnsi="Garamond"/>
          <w:sz w:val="23"/>
          <w:szCs w:val="23"/>
        </w:rPr>
        <w:fldChar w:fldCharType="begin"/>
      </w:r>
      <w:r w:rsidR="006B4433">
        <w:rPr>
          <w:rFonts w:ascii="Garamond" w:hAnsi="Garamond"/>
          <w:sz w:val="23"/>
          <w:szCs w:val="23"/>
        </w:rPr>
        <w:instrText xml:space="preserve"> REF _Ref354152114 \h </w:instrText>
      </w:r>
      <w:r w:rsidR="006B4433">
        <w:rPr>
          <w:rFonts w:ascii="Garamond" w:hAnsi="Garamond"/>
          <w:sz w:val="23"/>
          <w:szCs w:val="23"/>
        </w:rPr>
      </w:r>
      <w:r w:rsidR="006B4433">
        <w:rPr>
          <w:rFonts w:ascii="Garamond" w:hAnsi="Garamond"/>
          <w:sz w:val="23"/>
          <w:szCs w:val="23"/>
        </w:rPr>
        <w:fldChar w:fldCharType="separate"/>
      </w:r>
      <w:r w:rsidR="00451FFF" w:rsidRPr="00791627">
        <w:rPr>
          <w:rFonts w:ascii="Garamond" w:hAnsi="Garamond"/>
          <w:sz w:val="23"/>
          <w:szCs w:val="23"/>
        </w:rPr>
        <w:t>Figure G</w:t>
      </w:r>
      <w:r w:rsidR="00451FFF" w:rsidRPr="00791627">
        <w:rPr>
          <w:rFonts w:ascii="Garamond" w:hAnsi="Garamond"/>
          <w:sz w:val="23"/>
          <w:szCs w:val="23"/>
        </w:rPr>
        <w:noBreakHyphen/>
      </w:r>
      <w:r w:rsidR="00451FFF">
        <w:rPr>
          <w:rFonts w:ascii="Garamond" w:hAnsi="Garamond"/>
          <w:noProof/>
          <w:sz w:val="23"/>
          <w:szCs w:val="23"/>
        </w:rPr>
        <w:t>1</w:t>
      </w:r>
      <w:r w:rsidR="006B4433">
        <w:rPr>
          <w:rFonts w:ascii="Garamond" w:hAnsi="Garamond"/>
          <w:sz w:val="23"/>
          <w:szCs w:val="23"/>
        </w:rPr>
        <w:fldChar w:fldCharType="end"/>
      </w:r>
      <w:r w:rsidR="006B4433">
        <w:rPr>
          <w:rFonts w:ascii="Garamond" w:hAnsi="Garamond"/>
          <w:sz w:val="23"/>
          <w:szCs w:val="23"/>
        </w:rPr>
        <w:t xml:space="preserve"> could be modeled</w:t>
      </w:r>
      <w:r w:rsidRPr="00791627">
        <w:rPr>
          <w:rFonts w:ascii="Garamond" w:hAnsi="Garamond"/>
          <w:sz w:val="23"/>
          <w:szCs w:val="23"/>
        </w:rPr>
        <w:t>. Resource offerings which were not ultimately dispatched are necessary because price suppression analysis requires an estimate of what wholesale prices would have been at the zonal load which would have been observed in the absence of Act 129 DR programs.</w:t>
      </w:r>
    </w:p>
    <w:p w:rsidR="00EA7D0F" w:rsidRPr="00EA7D0F" w:rsidRDefault="00EA7D0F" w:rsidP="00EA7D0F">
      <w:pPr>
        <w:pStyle w:val="ListParagraph"/>
        <w:numPr>
          <w:ilvl w:val="0"/>
          <w:numId w:val="40"/>
        </w:numPr>
        <w:rPr>
          <w:rFonts w:ascii="Garamond" w:hAnsi="Garamond"/>
          <w:sz w:val="23"/>
          <w:szCs w:val="23"/>
        </w:rPr>
      </w:pPr>
      <w:r>
        <w:rPr>
          <w:rFonts w:ascii="Garamond" w:hAnsi="Garamond"/>
          <w:sz w:val="23"/>
          <w:szCs w:val="23"/>
        </w:rPr>
        <w:t>Price suppression benefits are also achieved by energy efficiency measures which reduce equipment consumption during periods of peak demand. These benefits are not currently accounted for in the TRC test for energy efficiency programs in Pennsylvania. Since Act 129 has a fixed budget cap, every dollar spent on DR is a dollar that is not spent on EE. Considering wholesale price suppression benefits for DR and not EE could lead to a situation where Act 129 budgets are allocated funding for DR when energy efficiency is actually the more beneficial investment.</w:t>
      </w:r>
    </w:p>
    <w:p w:rsidR="00791627" w:rsidRPr="00791627" w:rsidRDefault="00791627" w:rsidP="00EA7D0F">
      <w:pPr>
        <w:pStyle w:val="ListParagraph"/>
        <w:numPr>
          <w:ilvl w:val="0"/>
          <w:numId w:val="40"/>
        </w:numPr>
        <w:rPr>
          <w:rFonts w:ascii="Garamond" w:hAnsi="Garamond"/>
          <w:sz w:val="23"/>
          <w:szCs w:val="23"/>
        </w:rPr>
      </w:pPr>
      <w:r w:rsidRPr="00791627">
        <w:rPr>
          <w:rFonts w:ascii="Garamond" w:hAnsi="Garamond"/>
          <w:sz w:val="23"/>
          <w:szCs w:val="23"/>
        </w:rPr>
        <w:t xml:space="preserve">Use of the 2007 Brattle Group estimates would be inappropriate because their analysis was based on 2005 prices, and wholesale prices have declined significantly since 2005. </w:t>
      </w:r>
    </w:p>
    <w:p w:rsidR="00791627" w:rsidRPr="00791627" w:rsidRDefault="00791627" w:rsidP="00EA7D0F">
      <w:pPr>
        <w:pStyle w:val="ListParagraph"/>
        <w:numPr>
          <w:ilvl w:val="0"/>
          <w:numId w:val="40"/>
        </w:numPr>
        <w:rPr>
          <w:rFonts w:ascii="Garamond" w:hAnsi="Garamond"/>
          <w:sz w:val="23"/>
          <w:szCs w:val="23"/>
        </w:rPr>
      </w:pPr>
      <w:r w:rsidRPr="00791627">
        <w:rPr>
          <w:rFonts w:ascii="Garamond" w:hAnsi="Garamond"/>
          <w:sz w:val="23"/>
          <w:szCs w:val="23"/>
        </w:rPr>
        <w:t xml:space="preserve">The Brattle Group study estimated the impacts for 1,000+ MW of DR curtailments across the PECO, BGE, Delmarva, PEPCO and PSEG zones. During the summer of 2012, Act 129 programs achieved approximately 600 MW of impact across top 100 hours of system demand across a different series of zones with only PECO zone included in both groups. </w:t>
      </w:r>
    </w:p>
    <w:p w:rsidR="00791627" w:rsidRDefault="00791627" w:rsidP="00EA7D0F">
      <w:pPr>
        <w:pStyle w:val="ListParagraph"/>
        <w:numPr>
          <w:ilvl w:val="0"/>
          <w:numId w:val="40"/>
        </w:numPr>
        <w:rPr>
          <w:rFonts w:ascii="Garamond" w:hAnsi="Garamond"/>
          <w:sz w:val="23"/>
          <w:szCs w:val="23"/>
        </w:rPr>
      </w:pPr>
      <w:r w:rsidRPr="00791627">
        <w:rPr>
          <w:rFonts w:ascii="Garamond" w:hAnsi="Garamond"/>
          <w:sz w:val="23"/>
          <w:szCs w:val="23"/>
        </w:rPr>
        <w:t xml:space="preserve">The SWE is of the opinion that DR should be treated as capacity-type resources, meaning avoided capacity costs are the primary avoided benefit of DR. This type of resource will operate fewer hours per year than an economic resource designed to affect market prices.  </w:t>
      </w:r>
    </w:p>
    <w:p w:rsidR="00934ABF" w:rsidRDefault="00934ABF" w:rsidP="00EA7D0F">
      <w:pPr>
        <w:pStyle w:val="ListParagraph"/>
        <w:numPr>
          <w:ilvl w:val="0"/>
          <w:numId w:val="40"/>
        </w:numPr>
        <w:rPr>
          <w:rFonts w:ascii="Garamond" w:hAnsi="Garamond"/>
          <w:sz w:val="23"/>
          <w:szCs w:val="23"/>
        </w:rPr>
      </w:pPr>
      <w:r>
        <w:rPr>
          <w:rFonts w:ascii="Garamond" w:hAnsi="Garamond"/>
          <w:sz w:val="23"/>
          <w:szCs w:val="23"/>
        </w:rPr>
        <w:t>The mechanism by which reduced who</w:t>
      </w:r>
      <w:r w:rsidR="000078E8">
        <w:rPr>
          <w:rFonts w:ascii="Garamond" w:hAnsi="Garamond"/>
          <w:sz w:val="23"/>
          <w:szCs w:val="23"/>
        </w:rPr>
        <w:t>lesale energy prices (LMPs) translate into benefits for DR non-participant ratepayers is unclear. One school of thought within the industry is that a short-term reduction in LMP actually benefits suppliers rather than ratepayers and benefits to electric generators are not considered in the TRC test.</w:t>
      </w:r>
    </w:p>
    <w:p w:rsidR="00791627" w:rsidRPr="00934ABF" w:rsidRDefault="00791627" w:rsidP="00EA7D0F">
      <w:pPr>
        <w:pStyle w:val="ListParagraph"/>
        <w:numPr>
          <w:ilvl w:val="0"/>
          <w:numId w:val="40"/>
        </w:numPr>
        <w:rPr>
          <w:rFonts w:ascii="Garamond" w:hAnsi="Garamond"/>
          <w:sz w:val="23"/>
          <w:szCs w:val="23"/>
        </w:rPr>
      </w:pPr>
      <w:r w:rsidRPr="00934ABF">
        <w:rPr>
          <w:rFonts w:ascii="Garamond" w:hAnsi="Garamond"/>
          <w:sz w:val="23"/>
          <w:szCs w:val="23"/>
        </w:rPr>
        <w:t>DR participants enjoy an energy benefit</w:t>
      </w:r>
      <w:r w:rsidR="000078E8">
        <w:rPr>
          <w:rFonts w:ascii="Garamond" w:hAnsi="Garamond"/>
          <w:sz w:val="23"/>
          <w:szCs w:val="23"/>
        </w:rPr>
        <w:t xml:space="preserve"> from DR</w:t>
      </w:r>
      <w:r w:rsidRPr="00934ABF">
        <w:rPr>
          <w:rFonts w:ascii="Garamond" w:hAnsi="Garamond"/>
          <w:sz w:val="23"/>
          <w:szCs w:val="23"/>
        </w:rPr>
        <w:t xml:space="preserve"> related to </w:t>
      </w:r>
      <w:r w:rsidR="000078E8">
        <w:rPr>
          <w:rFonts w:ascii="Garamond" w:hAnsi="Garamond"/>
          <w:sz w:val="23"/>
          <w:szCs w:val="23"/>
        </w:rPr>
        <w:t xml:space="preserve">the </w:t>
      </w:r>
      <w:r w:rsidRPr="00934ABF">
        <w:rPr>
          <w:rFonts w:ascii="Garamond" w:hAnsi="Garamond"/>
          <w:sz w:val="23"/>
          <w:szCs w:val="23"/>
        </w:rPr>
        <w:t>avoidance of LMPs. However, the benefit is offset by recovery o</w:t>
      </w:r>
      <w:r w:rsidR="00CF3122">
        <w:rPr>
          <w:rFonts w:ascii="Garamond" w:hAnsi="Garamond"/>
          <w:sz w:val="23"/>
          <w:szCs w:val="23"/>
        </w:rPr>
        <w:t xml:space="preserve">f energy in non-control hours. </w:t>
      </w:r>
      <w:r w:rsidRPr="00934ABF">
        <w:rPr>
          <w:rFonts w:ascii="Garamond" w:hAnsi="Garamond"/>
          <w:sz w:val="23"/>
          <w:szCs w:val="23"/>
        </w:rPr>
        <w:t>For many direct control applications (such as air conditioner control), some portion of the energy avoided during control is consumed in the one or two hours af</w:t>
      </w:r>
      <w:r w:rsidR="00CF3122">
        <w:rPr>
          <w:rFonts w:ascii="Garamond" w:hAnsi="Garamond"/>
          <w:sz w:val="23"/>
          <w:szCs w:val="23"/>
        </w:rPr>
        <w:t xml:space="preserve">ter the appliance is released. </w:t>
      </w:r>
      <w:r w:rsidRPr="00934ABF">
        <w:rPr>
          <w:rFonts w:ascii="Garamond" w:hAnsi="Garamond"/>
          <w:sz w:val="23"/>
          <w:szCs w:val="23"/>
        </w:rPr>
        <w:t xml:space="preserve">With voluntary curtailment programs, many customers may consume more energy just before and/or after a control event so that they can better reduce loads during control hours.  For example, a beer distributor may precool his stock prior to an event so that he can change the refrigerator set point to save energy during the control hours.  Therefore, the energy benefit of DR is the net effect of the additional energy consumed during pre- and post-event recovery and the energy savings during control </w:t>
      </w:r>
      <w:r w:rsidRPr="00934ABF">
        <w:rPr>
          <w:rFonts w:ascii="Garamond" w:hAnsi="Garamond"/>
          <w:sz w:val="23"/>
          <w:szCs w:val="23"/>
        </w:rPr>
        <w:lastRenderedPageBreak/>
        <w:t>hours</w:t>
      </w:r>
      <w:r w:rsidRPr="00791627">
        <w:rPr>
          <w:rStyle w:val="FootnoteReference"/>
          <w:rFonts w:ascii="Garamond" w:hAnsi="Garamond"/>
          <w:sz w:val="23"/>
          <w:szCs w:val="23"/>
        </w:rPr>
        <w:footnoteReference w:id="42"/>
      </w:r>
      <w:r w:rsidRPr="00934ABF">
        <w:rPr>
          <w:rFonts w:ascii="Garamond" w:hAnsi="Garamond"/>
          <w:sz w:val="23"/>
          <w:szCs w:val="23"/>
        </w:rPr>
        <w:t>.  The SWE does not have sufficient information or research about energy recovery on event days in the Act 129 programs to estimate the net energy savings for these programs.</w:t>
      </w:r>
    </w:p>
    <w:p w:rsidR="00791627" w:rsidRPr="00791627" w:rsidRDefault="00791627" w:rsidP="00EA7D0F">
      <w:pPr>
        <w:pStyle w:val="ListParagraph"/>
        <w:numPr>
          <w:ilvl w:val="0"/>
          <w:numId w:val="40"/>
        </w:numPr>
        <w:rPr>
          <w:rFonts w:ascii="Garamond" w:hAnsi="Garamond"/>
          <w:sz w:val="23"/>
          <w:szCs w:val="23"/>
        </w:rPr>
      </w:pPr>
      <w:r w:rsidRPr="00791627">
        <w:rPr>
          <w:rFonts w:ascii="Garamond" w:hAnsi="Garamond"/>
          <w:sz w:val="23"/>
          <w:szCs w:val="23"/>
        </w:rPr>
        <w:t xml:space="preserve">The Brattle Group </w:t>
      </w:r>
      <w:r w:rsidR="00CF3122">
        <w:rPr>
          <w:rFonts w:ascii="Garamond" w:hAnsi="Garamond"/>
          <w:sz w:val="23"/>
          <w:szCs w:val="23"/>
        </w:rPr>
        <w:t>qualified its findings by stating</w:t>
      </w:r>
      <w:r w:rsidRPr="00791627">
        <w:rPr>
          <w:rFonts w:ascii="Garamond" w:hAnsi="Garamond"/>
          <w:sz w:val="23"/>
          <w:szCs w:val="23"/>
        </w:rPr>
        <w:t xml:space="preserve"> that in the long-term, the benefits of energy price suppression would likely be offset by increasing capacity costs: “a reduction in energy margins must be expected to be offset by increases in capacity payments in the long run, assuming c</w:t>
      </w:r>
      <w:r w:rsidR="0051677F">
        <w:rPr>
          <w:rFonts w:ascii="Garamond" w:hAnsi="Garamond"/>
          <w:sz w:val="23"/>
          <w:szCs w:val="23"/>
        </w:rPr>
        <w:t xml:space="preserve">ompetitive market equilibrium. </w:t>
      </w:r>
      <w:r w:rsidRPr="00791627">
        <w:rPr>
          <w:rFonts w:ascii="Garamond" w:hAnsi="Garamond"/>
          <w:sz w:val="23"/>
          <w:szCs w:val="23"/>
        </w:rPr>
        <w:t>Again, these ‘long-term’ offsets may occur fairly quickly if expectations for reduced energy margins work their way quickly into bids for providing capacity”.</w:t>
      </w:r>
      <w:r w:rsidRPr="00791627">
        <w:rPr>
          <w:rStyle w:val="FootnoteReference"/>
          <w:rFonts w:ascii="Garamond" w:hAnsi="Garamond"/>
          <w:sz w:val="23"/>
          <w:szCs w:val="23"/>
        </w:rPr>
        <w:footnoteReference w:id="43"/>
      </w:r>
      <w:r w:rsidRPr="00791627">
        <w:rPr>
          <w:rFonts w:ascii="Garamond" w:hAnsi="Garamond"/>
          <w:sz w:val="23"/>
          <w:szCs w:val="23"/>
        </w:rPr>
        <w:t xml:space="preserve"> Therefore, the long-term view, which is appropriate for analysis of Phase III demand response, would likely include capacity prices that have incorporated these energy price suppression impacts.</w:t>
      </w:r>
    </w:p>
    <w:p w:rsidR="00197F63" w:rsidRDefault="00CF3122" w:rsidP="00197F63">
      <w:pPr>
        <w:spacing w:line="240" w:lineRule="auto"/>
        <w:rPr>
          <w:rFonts w:ascii="Garamond" w:hAnsi="Garamond"/>
          <w:sz w:val="23"/>
          <w:szCs w:val="23"/>
        </w:rPr>
      </w:pPr>
      <w:r>
        <w:rPr>
          <w:rFonts w:ascii="Garamond" w:hAnsi="Garamond"/>
          <w:sz w:val="23"/>
          <w:szCs w:val="23"/>
        </w:rPr>
        <w:t>The National Action Plan on Demand Response</w:t>
      </w:r>
      <w:r>
        <w:rPr>
          <w:rStyle w:val="FootnoteReference"/>
          <w:rFonts w:ascii="Garamond" w:hAnsi="Garamond"/>
          <w:sz w:val="23"/>
          <w:szCs w:val="23"/>
        </w:rPr>
        <w:footnoteReference w:id="44"/>
      </w:r>
      <w:r>
        <w:rPr>
          <w:rFonts w:ascii="Garamond" w:hAnsi="Garamond"/>
          <w:sz w:val="23"/>
          <w:szCs w:val="23"/>
        </w:rPr>
        <w:t xml:space="preserve"> notes that “</w:t>
      </w:r>
      <w:r w:rsidRPr="00CF3122">
        <w:rPr>
          <w:rFonts w:ascii="Garamond" w:hAnsi="Garamond"/>
          <w:sz w:val="23"/>
          <w:szCs w:val="23"/>
        </w:rPr>
        <w:t>If wholesale market price suppression effects are included in demand response cost-effectiveness evaluations, it is very important that they be properly estimated.</w:t>
      </w:r>
      <w:r>
        <w:rPr>
          <w:rFonts w:ascii="Garamond" w:hAnsi="Garamond"/>
          <w:sz w:val="23"/>
          <w:szCs w:val="23"/>
        </w:rPr>
        <w:t xml:space="preserve">” </w:t>
      </w:r>
      <w:r w:rsidRPr="00791627">
        <w:rPr>
          <w:rFonts w:ascii="Garamond" w:hAnsi="Garamond"/>
          <w:sz w:val="23"/>
          <w:szCs w:val="23"/>
        </w:rPr>
        <w:t xml:space="preserve">Given the </w:t>
      </w:r>
      <w:r>
        <w:rPr>
          <w:rFonts w:ascii="Garamond" w:hAnsi="Garamond"/>
          <w:sz w:val="23"/>
          <w:szCs w:val="23"/>
        </w:rPr>
        <w:t>challenges listed above</w:t>
      </w:r>
      <w:r w:rsidRPr="00791627">
        <w:rPr>
          <w:rFonts w:ascii="Garamond" w:hAnsi="Garamond"/>
          <w:sz w:val="23"/>
          <w:szCs w:val="23"/>
        </w:rPr>
        <w:t xml:space="preserve">, the SWE believes </w:t>
      </w:r>
      <w:r>
        <w:rPr>
          <w:rFonts w:ascii="Garamond" w:hAnsi="Garamond"/>
          <w:sz w:val="23"/>
          <w:szCs w:val="23"/>
        </w:rPr>
        <w:t>that including estimates of wholesale</w:t>
      </w:r>
      <w:r w:rsidRPr="00791627">
        <w:rPr>
          <w:rFonts w:ascii="Garamond" w:hAnsi="Garamond"/>
          <w:sz w:val="23"/>
          <w:szCs w:val="23"/>
        </w:rPr>
        <w:t xml:space="preserve"> price suppression </w:t>
      </w:r>
      <w:r>
        <w:rPr>
          <w:rFonts w:ascii="Garamond" w:hAnsi="Garamond"/>
          <w:sz w:val="23"/>
          <w:szCs w:val="23"/>
        </w:rPr>
        <w:t>benefits in this study would have been inappropriate</w:t>
      </w:r>
      <w:r w:rsidRPr="00791627">
        <w:rPr>
          <w:rFonts w:ascii="Garamond" w:hAnsi="Garamond"/>
          <w:sz w:val="23"/>
          <w:szCs w:val="23"/>
        </w:rPr>
        <w:t>.</w:t>
      </w:r>
      <w:r w:rsidR="00197F63">
        <w:rPr>
          <w:rFonts w:ascii="Garamond" w:hAnsi="Garamond"/>
          <w:sz w:val="23"/>
          <w:szCs w:val="23"/>
        </w:rPr>
        <w:t xml:space="preserve"> </w:t>
      </w:r>
      <w:r w:rsidR="00F51A6A">
        <w:rPr>
          <w:rFonts w:ascii="Garamond" w:hAnsi="Garamond"/>
          <w:sz w:val="23"/>
          <w:szCs w:val="23"/>
        </w:rPr>
        <w:t xml:space="preserve">Significant additional research </w:t>
      </w:r>
      <w:r w:rsidR="003C0749">
        <w:rPr>
          <w:rFonts w:ascii="Garamond" w:hAnsi="Garamond"/>
          <w:sz w:val="23"/>
          <w:szCs w:val="23"/>
        </w:rPr>
        <w:t>focused on</w:t>
      </w:r>
      <w:r w:rsidR="00F51A6A">
        <w:rPr>
          <w:rFonts w:ascii="Garamond" w:hAnsi="Garamond"/>
          <w:sz w:val="23"/>
          <w:szCs w:val="23"/>
        </w:rPr>
        <w:t xml:space="preserve"> reconstructing the supply curves in each EDC zone is needed in order to properly assess whole price suppression benefits from both energy efficiency and demand response. </w:t>
      </w:r>
      <w:r w:rsidR="00F94132">
        <w:rPr>
          <w:rFonts w:ascii="Garamond" w:hAnsi="Garamond"/>
          <w:sz w:val="23"/>
          <w:szCs w:val="23"/>
        </w:rPr>
        <w:t xml:space="preserve">The SWE will work with </w:t>
      </w:r>
      <w:r w:rsidR="00895862">
        <w:rPr>
          <w:rFonts w:ascii="Garamond" w:hAnsi="Garamond"/>
          <w:sz w:val="23"/>
          <w:szCs w:val="23"/>
        </w:rPr>
        <w:t>Commission staff to identify the need, timing</w:t>
      </w:r>
      <w:r w:rsidR="00F94132">
        <w:rPr>
          <w:rFonts w:ascii="Garamond" w:hAnsi="Garamond"/>
          <w:sz w:val="23"/>
          <w:szCs w:val="23"/>
        </w:rPr>
        <w:t>,</w:t>
      </w:r>
      <w:r w:rsidR="00895862">
        <w:rPr>
          <w:rFonts w:ascii="Garamond" w:hAnsi="Garamond"/>
          <w:sz w:val="23"/>
          <w:szCs w:val="23"/>
        </w:rPr>
        <w:t xml:space="preserve"> and </w:t>
      </w:r>
      <w:r w:rsidR="00F94132">
        <w:rPr>
          <w:rFonts w:ascii="Garamond" w:hAnsi="Garamond"/>
          <w:sz w:val="23"/>
          <w:szCs w:val="23"/>
        </w:rPr>
        <w:t>scope of</w:t>
      </w:r>
      <w:r w:rsidR="00895862">
        <w:rPr>
          <w:rFonts w:ascii="Garamond" w:hAnsi="Garamond"/>
          <w:sz w:val="23"/>
          <w:szCs w:val="23"/>
        </w:rPr>
        <w:t xml:space="preserve"> any continued research. </w:t>
      </w:r>
    </w:p>
    <w:p w:rsidR="00197F63" w:rsidRDefault="00197F63" w:rsidP="00791627">
      <w:pPr>
        <w:spacing w:line="240" w:lineRule="auto"/>
        <w:rPr>
          <w:rFonts w:ascii="Garamond" w:hAnsi="Garamond"/>
          <w:sz w:val="23"/>
          <w:szCs w:val="23"/>
        </w:rPr>
      </w:pPr>
    </w:p>
    <w:p w:rsidR="00791627" w:rsidRPr="00791627" w:rsidRDefault="00BF638B" w:rsidP="00BF638B">
      <w:pPr>
        <w:jc w:val="left"/>
        <w:rPr>
          <w:rFonts w:ascii="Garamond" w:hAnsi="Garamond"/>
          <w:sz w:val="23"/>
          <w:szCs w:val="23"/>
        </w:rPr>
      </w:pPr>
      <w:r>
        <w:rPr>
          <w:rFonts w:ascii="Garamond" w:hAnsi="Garamond"/>
          <w:sz w:val="23"/>
          <w:szCs w:val="23"/>
        </w:rPr>
        <w:br w:type="page"/>
      </w:r>
    </w:p>
    <w:p w:rsidR="000A0837" w:rsidRPr="000A0837" w:rsidRDefault="00264B8C" w:rsidP="000A0837">
      <w:pPr>
        <w:pStyle w:val="Heading1"/>
      </w:pPr>
      <w:bookmarkStart w:id="129" w:name="_Ref352943896"/>
      <w:bookmarkStart w:id="130" w:name="_Toc355954920"/>
      <w:r>
        <w:lastRenderedPageBreak/>
        <w:t>Findings and Recommendations</w:t>
      </w:r>
      <w:bookmarkEnd w:id="129"/>
      <w:bookmarkEnd w:id="130"/>
    </w:p>
    <w:p w:rsidR="00264B8C" w:rsidRPr="00264B8C" w:rsidRDefault="00264B8C" w:rsidP="003E381A">
      <w:pPr>
        <w:spacing w:line="240" w:lineRule="auto"/>
        <w:rPr>
          <w:rFonts w:ascii="Garamond" w:hAnsi="Garamond"/>
          <w:sz w:val="23"/>
          <w:szCs w:val="23"/>
        </w:rPr>
      </w:pPr>
      <w:r w:rsidRPr="00264B8C">
        <w:rPr>
          <w:rFonts w:ascii="Garamond" w:hAnsi="Garamond"/>
          <w:sz w:val="23"/>
          <w:szCs w:val="23"/>
        </w:rPr>
        <w:t xml:space="preserve">The SWE has developed the following findings and recommendations based on </w:t>
      </w:r>
      <w:r w:rsidR="002E5BF5">
        <w:rPr>
          <w:rFonts w:ascii="Garamond" w:hAnsi="Garamond"/>
          <w:sz w:val="23"/>
          <w:szCs w:val="23"/>
        </w:rPr>
        <w:t>a detailed review of the 2012 DR performance period, research into</w:t>
      </w:r>
      <w:r w:rsidRPr="00264B8C">
        <w:rPr>
          <w:rFonts w:ascii="Garamond" w:hAnsi="Garamond"/>
          <w:sz w:val="23"/>
          <w:szCs w:val="23"/>
        </w:rPr>
        <w:t xml:space="preserve"> DR protocols in other jurisdictions</w:t>
      </w:r>
      <w:r w:rsidR="002E5BF5">
        <w:rPr>
          <w:rFonts w:ascii="Garamond" w:hAnsi="Garamond"/>
          <w:sz w:val="23"/>
          <w:szCs w:val="23"/>
        </w:rPr>
        <w:t>,</w:t>
      </w:r>
      <w:r w:rsidRPr="00264B8C">
        <w:rPr>
          <w:rFonts w:ascii="Garamond" w:hAnsi="Garamond"/>
          <w:sz w:val="23"/>
          <w:szCs w:val="23"/>
        </w:rPr>
        <w:t xml:space="preserve"> and </w:t>
      </w:r>
      <w:r w:rsidR="002E5BF5">
        <w:rPr>
          <w:rFonts w:ascii="Garamond" w:hAnsi="Garamond"/>
          <w:sz w:val="23"/>
          <w:szCs w:val="23"/>
        </w:rPr>
        <w:t xml:space="preserve">consideration of </w:t>
      </w:r>
      <w:r w:rsidRPr="00264B8C">
        <w:rPr>
          <w:rFonts w:ascii="Garamond" w:hAnsi="Garamond"/>
          <w:sz w:val="23"/>
          <w:szCs w:val="23"/>
        </w:rPr>
        <w:t>market conditions in the Commonwealth of Pennsylvania</w:t>
      </w:r>
      <w:r w:rsidR="002E5BF5">
        <w:rPr>
          <w:rFonts w:ascii="Garamond" w:hAnsi="Garamond"/>
          <w:sz w:val="23"/>
          <w:szCs w:val="23"/>
        </w:rPr>
        <w:t xml:space="preserve">. </w:t>
      </w:r>
      <w:r>
        <w:rPr>
          <w:rFonts w:ascii="Garamond" w:hAnsi="Garamond"/>
          <w:sz w:val="23"/>
          <w:szCs w:val="23"/>
        </w:rPr>
        <w:t xml:space="preserve">These findings and recommendations </w:t>
      </w:r>
      <w:r w:rsidR="002E5BF5">
        <w:rPr>
          <w:rFonts w:ascii="Garamond" w:hAnsi="Garamond"/>
          <w:sz w:val="23"/>
          <w:szCs w:val="23"/>
        </w:rPr>
        <w:t xml:space="preserve">build upon the conclusions presented in the interim </w:t>
      </w:r>
      <w:r>
        <w:rPr>
          <w:rFonts w:ascii="Garamond" w:hAnsi="Garamond"/>
          <w:sz w:val="23"/>
          <w:szCs w:val="23"/>
        </w:rPr>
        <w:t>version of this study</w:t>
      </w:r>
      <w:r w:rsidR="007E688D">
        <w:rPr>
          <w:rFonts w:ascii="Garamond" w:hAnsi="Garamond"/>
          <w:sz w:val="23"/>
          <w:szCs w:val="23"/>
        </w:rPr>
        <w:t>.</w:t>
      </w:r>
    </w:p>
    <w:p w:rsidR="001674E8" w:rsidRDefault="001674E8" w:rsidP="002453FA">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Act 129 demand response </w:t>
      </w:r>
      <w:r w:rsidR="00F8245F">
        <w:rPr>
          <w:rFonts w:ascii="Garamond" w:hAnsi="Garamond"/>
          <w:sz w:val="23"/>
          <w:szCs w:val="23"/>
        </w:rPr>
        <w:t xml:space="preserve">programs </w:t>
      </w:r>
      <w:r>
        <w:rPr>
          <w:rFonts w:ascii="Garamond" w:hAnsi="Garamond"/>
          <w:sz w:val="23"/>
          <w:szCs w:val="23"/>
        </w:rPr>
        <w:t xml:space="preserve">were not cost effective </w:t>
      </w:r>
      <w:r w:rsidR="00F8245F">
        <w:rPr>
          <w:rFonts w:ascii="Garamond" w:hAnsi="Garamond"/>
          <w:sz w:val="23"/>
          <w:szCs w:val="23"/>
        </w:rPr>
        <w:t>in 2012. However, the SWE does not believe that this finding automatically means that DR should not be included in future phases of Act 129.</w:t>
      </w:r>
      <w:r w:rsidR="00D84DA3">
        <w:rPr>
          <w:rFonts w:ascii="Garamond" w:hAnsi="Garamond"/>
          <w:sz w:val="23"/>
          <w:szCs w:val="23"/>
        </w:rPr>
        <w:t xml:space="preserve"> </w:t>
      </w:r>
    </w:p>
    <w:p w:rsidR="002E5BF5" w:rsidRDefault="00264B8C" w:rsidP="002453FA">
      <w:pPr>
        <w:pStyle w:val="ListParagraph"/>
        <w:numPr>
          <w:ilvl w:val="0"/>
          <w:numId w:val="19"/>
        </w:numPr>
        <w:spacing w:after="0"/>
        <w:contextualSpacing w:val="0"/>
        <w:rPr>
          <w:rFonts w:ascii="Garamond" w:hAnsi="Garamond"/>
          <w:sz w:val="23"/>
          <w:szCs w:val="23"/>
        </w:rPr>
      </w:pPr>
      <w:r w:rsidRPr="00264B8C">
        <w:rPr>
          <w:rFonts w:ascii="Garamond" w:hAnsi="Garamond"/>
          <w:sz w:val="23"/>
          <w:szCs w:val="23"/>
        </w:rPr>
        <w:t>Act 129 demand reduction tar</w:t>
      </w:r>
      <w:r w:rsidR="007E688D">
        <w:rPr>
          <w:rFonts w:ascii="Garamond" w:hAnsi="Garamond"/>
          <w:sz w:val="23"/>
          <w:szCs w:val="23"/>
        </w:rPr>
        <w:t xml:space="preserve">gets </w:t>
      </w:r>
      <w:r w:rsidR="003F146E">
        <w:rPr>
          <w:rFonts w:ascii="Garamond" w:hAnsi="Garamond"/>
          <w:sz w:val="23"/>
          <w:szCs w:val="23"/>
        </w:rPr>
        <w:t xml:space="preserve">in Pennsylvania </w:t>
      </w:r>
      <w:r w:rsidR="007E688D">
        <w:rPr>
          <w:rFonts w:ascii="Garamond" w:hAnsi="Garamond"/>
          <w:sz w:val="23"/>
          <w:szCs w:val="23"/>
        </w:rPr>
        <w:t>are more aggressive than the oth</w:t>
      </w:r>
      <w:r w:rsidR="003F146E">
        <w:rPr>
          <w:rFonts w:ascii="Garamond" w:hAnsi="Garamond"/>
          <w:sz w:val="23"/>
          <w:szCs w:val="23"/>
        </w:rPr>
        <w:t>er states examined in this report</w:t>
      </w:r>
      <w:r w:rsidR="007E688D">
        <w:rPr>
          <w:rFonts w:ascii="Garamond" w:hAnsi="Garamond"/>
          <w:sz w:val="23"/>
          <w:szCs w:val="23"/>
        </w:rPr>
        <w:t xml:space="preserve">. </w:t>
      </w:r>
      <w:r w:rsidR="007E688D">
        <w:rPr>
          <w:rFonts w:ascii="Garamond" w:hAnsi="Garamond"/>
          <w:sz w:val="23"/>
          <w:szCs w:val="23"/>
        </w:rPr>
        <w:fldChar w:fldCharType="begin"/>
      </w:r>
      <w:r w:rsidR="007E688D">
        <w:rPr>
          <w:rFonts w:ascii="Garamond" w:hAnsi="Garamond"/>
          <w:sz w:val="23"/>
          <w:szCs w:val="23"/>
        </w:rPr>
        <w:instrText xml:space="preserve"> REF _Ref343523877 \h </w:instrText>
      </w:r>
      <w:r w:rsidR="003E381A">
        <w:rPr>
          <w:rFonts w:ascii="Garamond" w:hAnsi="Garamond"/>
          <w:sz w:val="23"/>
          <w:szCs w:val="23"/>
        </w:rPr>
        <w:instrText xml:space="preserve"> \* MERGEFORMAT </w:instrText>
      </w:r>
      <w:r w:rsidR="007E688D">
        <w:rPr>
          <w:rFonts w:ascii="Garamond" w:hAnsi="Garamond"/>
          <w:sz w:val="23"/>
          <w:szCs w:val="23"/>
        </w:rPr>
      </w:r>
      <w:r w:rsidR="007E688D">
        <w:rPr>
          <w:rFonts w:ascii="Garamond" w:hAnsi="Garamond"/>
          <w:sz w:val="23"/>
          <w:szCs w:val="23"/>
        </w:rPr>
        <w:fldChar w:fldCharType="separate"/>
      </w:r>
      <w:r w:rsidR="00451FFF" w:rsidRPr="00DB6FC9">
        <w:rPr>
          <w:rFonts w:ascii="Garamond" w:hAnsi="Garamond"/>
          <w:sz w:val="23"/>
          <w:szCs w:val="23"/>
        </w:rPr>
        <w:t xml:space="preserve">Table </w:t>
      </w:r>
      <w:r w:rsidR="00451FFF">
        <w:rPr>
          <w:rFonts w:ascii="Garamond" w:hAnsi="Garamond"/>
          <w:noProof/>
          <w:sz w:val="23"/>
          <w:szCs w:val="23"/>
        </w:rPr>
        <w:t>C</w:t>
      </w:r>
      <w:r w:rsidR="00451FFF">
        <w:rPr>
          <w:rFonts w:ascii="Garamond" w:hAnsi="Garamond"/>
          <w:noProof/>
          <w:sz w:val="23"/>
          <w:szCs w:val="23"/>
        </w:rPr>
        <w:noBreakHyphen/>
        <w:t>1</w:t>
      </w:r>
      <w:r w:rsidR="007E688D">
        <w:rPr>
          <w:rFonts w:ascii="Garamond" w:hAnsi="Garamond"/>
          <w:sz w:val="23"/>
          <w:szCs w:val="23"/>
        </w:rPr>
        <w:fldChar w:fldCharType="end"/>
      </w:r>
      <w:r w:rsidR="003F146E">
        <w:rPr>
          <w:rFonts w:ascii="Garamond" w:hAnsi="Garamond"/>
          <w:sz w:val="23"/>
          <w:szCs w:val="23"/>
        </w:rPr>
        <w:t xml:space="preserve"> shows</w:t>
      </w:r>
      <w:r w:rsidR="007E688D">
        <w:rPr>
          <w:rFonts w:ascii="Garamond" w:hAnsi="Garamond"/>
          <w:sz w:val="23"/>
          <w:szCs w:val="23"/>
        </w:rPr>
        <w:t xml:space="preserve"> that </w:t>
      </w:r>
      <w:r w:rsidR="00FD3A83">
        <w:rPr>
          <w:rFonts w:ascii="Garamond" w:hAnsi="Garamond"/>
          <w:sz w:val="23"/>
          <w:szCs w:val="23"/>
        </w:rPr>
        <w:t xml:space="preserve">the </w:t>
      </w:r>
      <w:r w:rsidR="007E688D">
        <w:rPr>
          <w:rFonts w:ascii="Garamond" w:hAnsi="Garamond"/>
          <w:sz w:val="23"/>
          <w:szCs w:val="23"/>
        </w:rPr>
        <w:t xml:space="preserve">other states </w:t>
      </w:r>
      <w:r w:rsidR="00FD3A83">
        <w:rPr>
          <w:rFonts w:ascii="Garamond" w:hAnsi="Garamond"/>
          <w:sz w:val="23"/>
          <w:szCs w:val="23"/>
        </w:rPr>
        <w:t xml:space="preserve">surveyed </w:t>
      </w:r>
      <w:r w:rsidR="007E688D">
        <w:rPr>
          <w:rFonts w:ascii="Garamond" w:hAnsi="Garamond"/>
          <w:sz w:val="23"/>
          <w:szCs w:val="23"/>
        </w:rPr>
        <w:t xml:space="preserve">have </w:t>
      </w:r>
      <w:r w:rsidR="00FD3A83">
        <w:rPr>
          <w:rFonts w:ascii="Garamond" w:hAnsi="Garamond"/>
          <w:sz w:val="23"/>
          <w:szCs w:val="23"/>
        </w:rPr>
        <w:t>less</w:t>
      </w:r>
      <w:r w:rsidR="007E688D">
        <w:rPr>
          <w:rFonts w:ascii="Garamond" w:hAnsi="Garamond"/>
          <w:sz w:val="23"/>
          <w:szCs w:val="23"/>
        </w:rPr>
        <w:t xml:space="preserve"> </w:t>
      </w:r>
      <w:r w:rsidR="00FD3A83">
        <w:rPr>
          <w:rFonts w:ascii="Garamond" w:hAnsi="Garamond"/>
          <w:sz w:val="23"/>
          <w:szCs w:val="23"/>
        </w:rPr>
        <w:t>ambitious demand reduction targets.</w:t>
      </w:r>
      <w:r w:rsidR="00FD4421">
        <w:rPr>
          <w:rFonts w:ascii="Garamond" w:hAnsi="Garamond"/>
          <w:sz w:val="23"/>
          <w:szCs w:val="23"/>
        </w:rPr>
        <w:t xml:space="preserve"> </w:t>
      </w:r>
    </w:p>
    <w:p w:rsidR="00FD3A83" w:rsidRDefault="003E381A" w:rsidP="002453FA">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Most energy efficiency measures produce peak demand reductions that are comparable to the energy savings they achieve. Because the Act 129 peak demand reduction target was </w:t>
      </w:r>
      <w:r w:rsidRPr="003E381A">
        <w:rPr>
          <w:rFonts w:ascii="Garamond" w:hAnsi="Garamond"/>
          <w:sz w:val="23"/>
          <w:szCs w:val="23"/>
        </w:rPr>
        <w:t xml:space="preserve">greater </w:t>
      </w:r>
      <w:r>
        <w:rPr>
          <w:rFonts w:ascii="Garamond" w:hAnsi="Garamond"/>
          <w:sz w:val="23"/>
          <w:szCs w:val="23"/>
        </w:rPr>
        <w:t>than the energy reduction target</w:t>
      </w:r>
      <w:r w:rsidR="00EF46CC">
        <w:rPr>
          <w:rFonts w:ascii="Garamond" w:hAnsi="Garamond"/>
          <w:sz w:val="23"/>
          <w:szCs w:val="23"/>
        </w:rPr>
        <w:t>,</w:t>
      </w:r>
      <w:r>
        <w:rPr>
          <w:rFonts w:ascii="Garamond" w:hAnsi="Garamond"/>
          <w:sz w:val="23"/>
          <w:szCs w:val="23"/>
        </w:rPr>
        <w:t xml:space="preserve"> e</w:t>
      </w:r>
      <w:r w:rsidR="00FD3A83">
        <w:rPr>
          <w:rFonts w:ascii="Garamond" w:hAnsi="Garamond"/>
          <w:sz w:val="23"/>
          <w:szCs w:val="23"/>
        </w:rPr>
        <w:t>ach of the seven Pennsylvania EDCs</w:t>
      </w:r>
      <w:r w:rsidR="003F146E">
        <w:rPr>
          <w:rFonts w:ascii="Garamond" w:hAnsi="Garamond"/>
          <w:sz w:val="23"/>
          <w:szCs w:val="23"/>
        </w:rPr>
        <w:t xml:space="preserve"> have</w:t>
      </w:r>
      <w:r w:rsidR="00FD3A83">
        <w:rPr>
          <w:rFonts w:ascii="Garamond" w:hAnsi="Garamond"/>
          <w:sz w:val="23"/>
          <w:szCs w:val="23"/>
        </w:rPr>
        <w:t xml:space="preserve"> </w:t>
      </w:r>
      <w:r w:rsidR="00EF46CC">
        <w:rPr>
          <w:rFonts w:ascii="Garamond" w:hAnsi="Garamond"/>
          <w:sz w:val="23"/>
          <w:szCs w:val="23"/>
        </w:rPr>
        <w:t>chose</w:t>
      </w:r>
      <w:r w:rsidR="003F146E">
        <w:rPr>
          <w:rFonts w:ascii="Garamond" w:hAnsi="Garamond"/>
          <w:sz w:val="23"/>
          <w:szCs w:val="23"/>
        </w:rPr>
        <w:t>n</w:t>
      </w:r>
      <w:r w:rsidR="00FD3A83">
        <w:rPr>
          <w:rFonts w:ascii="Garamond" w:hAnsi="Garamond"/>
          <w:sz w:val="23"/>
          <w:szCs w:val="23"/>
        </w:rPr>
        <w:t xml:space="preserve"> to offer </w:t>
      </w:r>
      <w:r>
        <w:rPr>
          <w:rFonts w:ascii="Garamond" w:hAnsi="Garamond"/>
          <w:sz w:val="23"/>
          <w:szCs w:val="23"/>
        </w:rPr>
        <w:t xml:space="preserve">multiple </w:t>
      </w:r>
      <w:r w:rsidR="00FD3A83">
        <w:rPr>
          <w:rFonts w:ascii="Garamond" w:hAnsi="Garamond"/>
          <w:sz w:val="23"/>
          <w:szCs w:val="23"/>
        </w:rPr>
        <w:t xml:space="preserve">dispatchable DR programs </w:t>
      </w:r>
      <w:r>
        <w:rPr>
          <w:rFonts w:ascii="Garamond" w:hAnsi="Garamond"/>
          <w:sz w:val="23"/>
          <w:szCs w:val="23"/>
        </w:rPr>
        <w:t>in 2012 in an effort to meet</w:t>
      </w:r>
      <w:r w:rsidR="00FD3A83">
        <w:rPr>
          <w:rFonts w:ascii="Garamond" w:hAnsi="Garamond"/>
          <w:sz w:val="23"/>
          <w:szCs w:val="23"/>
        </w:rPr>
        <w:t xml:space="preserve"> the mandated demand reduction </w:t>
      </w:r>
      <w:r w:rsidR="003F146E">
        <w:rPr>
          <w:rFonts w:ascii="Garamond" w:hAnsi="Garamond"/>
          <w:sz w:val="23"/>
          <w:szCs w:val="23"/>
        </w:rPr>
        <w:t>goals</w:t>
      </w:r>
      <w:r w:rsidR="00FD3A83">
        <w:rPr>
          <w:rFonts w:ascii="Garamond" w:hAnsi="Garamond"/>
          <w:sz w:val="23"/>
          <w:szCs w:val="23"/>
        </w:rPr>
        <w:t>.</w:t>
      </w:r>
      <w:r w:rsidR="003F146E">
        <w:rPr>
          <w:rFonts w:ascii="Garamond" w:hAnsi="Garamond"/>
          <w:sz w:val="23"/>
          <w:szCs w:val="23"/>
        </w:rPr>
        <w:t xml:space="preserve"> Approximately</w:t>
      </w:r>
      <w:r w:rsidR="001A36BA">
        <w:rPr>
          <w:rFonts w:ascii="Garamond" w:hAnsi="Garamond"/>
          <w:sz w:val="23"/>
          <w:szCs w:val="23"/>
        </w:rPr>
        <w:t xml:space="preserve"> 2.5</w:t>
      </w:r>
      <w:r>
        <w:rPr>
          <w:rFonts w:ascii="Garamond" w:hAnsi="Garamond"/>
          <w:sz w:val="23"/>
          <w:szCs w:val="23"/>
        </w:rPr>
        <w:t>% of the 4.5% peak demand reduction goal established by Act 129 will be achieved through the coincident peak demand reduction produced by energy efficiency measures</w:t>
      </w:r>
      <w:r>
        <w:rPr>
          <w:rStyle w:val="FootnoteReference"/>
          <w:rFonts w:ascii="Garamond" w:hAnsi="Garamond"/>
          <w:sz w:val="23"/>
          <w:szCs w:val="23"/>
        </w:rPr>
        <w:footnoteReference w:id="45"/>
      </w:r>
      <w:r>
        <w:rPr>
          <w:rFonts w:ascii="Garamond" w:hAnsi="Garamond"/>
          <w:sz w:val="23"/>
          <w:szCs w:val="23"/>
        </w:rPr>
        <w:t xml:space="preserve">, effectively </w:t>
      </w:r>
      <w:r w:rsidR="003F146E">
        <w:rPr>
          <w:rFonts w:ascii="Garamond" w:hAnsi="Garamond"/>
          <w:sz w:val="23"/>
          <w:szCs w:val="23"/>
        </w:rPr>
        <w:t>presenting</w:t>
      </w:r>
      <w:r w:rsidR="001A36BA">
        <w:rPr>
          <w:rFonts w:ascii="Garamond" w:hAnsi="Garamond"/>
          <w:sz w:val="23"/>
          <w:szCs w:val="23"/>
        </w:rPr>
        <w:t xml:space="preserve"> a 2.0</w:t>
      </w:r>
      <w:r>
        <w:rPr>
          <w:rFonts w:ascii="Garamond" w:hAnsi="Garamond"/>
          <w:sz w:val="23"/>
          <w:szCs w:val="23"/>
        </w:rPr>
        <w:t>% DR goal to be achieved in a single summer.</w:t>
      </w:r>
    </w:p>
    <w:p w:rsidR="00B63A14" w:rsidRPr="00B63A14" w:rsidRDefault="00B63A14" w:rsidP="00B63A14">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Aggressive reduction targets appear to have contributed to the poor benefit/cost ratios observed across the state in 2012. The punitive nature of the Act 129 legislation limited the discretion EDCs could afford to use and led to EDCs “overpaying” for DR resources to ensure the 4.5% peak demand reduction was met. </w:t>
      </w:r>
    </w:p>
    <w:p w:rsidR="003E381A" w:rsidRDefault="003E381A" w:rsidP="002453FA">
      <w:pPr>
        <w:pStyle w:val="ListParagraph"/>
        <w:numPr>
          <w:ilvl w:val="0"/>
          <w:numId w:val="19"/>
        </w:numPr>
        <w:spacing w:after="0"/>
        <w:contextualSpacing w:val="0"/>
        <w:rPr>
          <w:rFonts w:ascii="Garamond" w:hAnsi="Garamond"/>
          <w:sz w:val="23"/>
          <w:szCs w:val="23"/>
        </w:rPr>
      </w:pPr>
      <w:r w:rsidRPr="00643267">
        <w:rPr>
          <w:rFonts w:ascii="Garamond" w:hAnsi="Garamond"/>
          <w:sz w:val="23"/>
          <w:szCs w:val="23"/>
        </w:rPr>
        <w:t>Meeting Act 129’s demand reduc</w:t>
      </w:r>
      <w:r w:rsidRPr="006F0B0D">
        <w:rPr>
          <w:rFonts w:ascii="Garamond" w:hAnsi="Garamond"/>
          <w:sz w:val="23"/>
          <w:szCs w:val="23"/>
        </w:rPr>
        <w:t>tion target for the 100 hours of highest demand requires EDCs to predict when the highest 100 hours will occur over th</w:t>
      </w:r>
      <w:r w:rsidR="00EF46CC">
        <w:rPr>
          <w:rFonts w:ascii="Garamond" w:hAnsi="Garamond"/>
          <w:sz w:val="23"/>
          <w:szCs w:val="23"/>
        </w:rPr>
        <w:t xml:space="preserve">e course of the summer season. </w:t>
      </w:r>
      <w:r w:rsidRPr="006F0B0D">
        <w:rPr>
          <w:rFonts w:ascii="Garamond" w:hAnsi="Garamond"/>
          <w:sz w:val="23"/>
          <w:szCs w:val="23"/>
        </w:rPr>
        <w:t xml:space="preserve">These predictive difficulties </w:t>
      </w:r>
      <w:r w:rsidR="00EF46CC">
        <w:rPr>
          <w:rFonts w:ascii="Garamond" w:hAnsi="Garamond"/>
          <w:sz w:val="23"/>
          <w:szCs w:val="23"/>
        </w:rPr>
        <w:t>are less common</w:t>
      </w:r>
      <w:r w:rsidRPr="006F0B0D">
        <w:rPr>
          <w:rFonts w:ascii="Garamond" w:hAnsi="Garamond"/>
          <w:sz w:val="23"/>
          <w:szCs w:val="23"/>
        </w:rPr>
        <w:t xml:space="preserve"> for DR programs in the other states and in the ISOs examined, where DR programs are used only when necessary based on reli</w:t>
      </w:r>
      <w:r w:rsidR="0019479E">
        <w:rPr>
          <w:rFonts w:ascii="Garamond" w:hAnsi="Garamond"/>
          <w:sz w:val="23"/>
          <w:szCs w:val="23"/>
        </w:rPr>
        <w:t>ability triggers or market pricing</w:t>
      </w:r>
      <w:r w:rsidRPr="006F0B0D">
        <w:rPr>
          <w:rFonts w:ascii="Garamond" w:hAnsi="Garamond"/>
          <w:sz w:val="23"/>
          <w:szCs w:val="23"/>
        </w:rPr>
        <w:t xml:space="preserve"> conditions.</w:t>
      </w:r>
      <w:r w:rsidR="00342198">
        <w:rPr>
          <w:rFonts w:ascii="Garamond" w:hAnsi="Garamond"/>
          <w:sz w:val="23"/>
          <w:szCs w:val="23"/>
        </w:rPr>
        <w:t xml:space="preserve"> </w:t>
      </w:r>
      <w:r w:rsidR="000918E1">
        <w:rPr>
          <w:rFonts w:ascii="Garamond" w:hAnsi="Garamond"/>
          <w:sz w:val="23"/>
          <w:szCs w:val="23"/>
        </w:rPr>
        <w:t xml:space="preserve">The SWE recommends the top 100 hour definition be </w:t>
      </w:r>
      <w:r w:rsidR="00F8245F">
        <w:rPr>
          <w:rFonts w:ascii="Garamond" w:hAnsi="Garamond"/>
          <w:sz w:val="23"/>
          <w:szCs w:val="23"/>
        </w:rPr>
        <w:t>discontinued</w:t>
      </w:r>
      <w:r w:rsidR="000918E1">
        <w:rPr>
          <w:rFonts w:ascii="Garamond" w:hAnsi="Garamond"/>
          <w:sz w:val="23"/>
          <w:szCs w:val="23"/>
        </w:rPr>
        <w:t>.</w:t>
      </w:r>
    </w:p>
    <w:p w:rsidR="009B385F" w:rsidRPr="009B385F" w:rsidRDefault="00EF46CC" w:rsidP="009B385F">
      <w:pPr>
        <w:pStyle w:val="ListParagraph"/>
        <w:numPr>
          <w:ilvl w:val="0"/>
          <w:numId w:val="19"/>
        </w:numPr>
        <w:spacing w:after="0"/>
        <w:contextualSpacing w:val="0"/>
        <w:rPr>
          <w:rFonts w:ascii="Garamond" w:hAnsi="Garamond"/>
          <w:sz w:val="23"/>
          <w:szCs w:val="23"/>
        </w:rPr>
      </w:pPr>
      <w:r w:rsidRPr="00643267">
        <w:rPr>
          <w:rFonts w:ascii="Garamond" w:hAnsi="Garamond"/>
          <w:sz w:val="23"/>
          <w:szCs w:val="23"/>
        </w:rPr>
        <w:t>Act 129 prescribes penalties for</w:t>
      </w:r>
      <w:r w:rsidR="0019479E">
        <w:rPr>
          <w:rFonts w:ascii="Garamond" w:hAnsi="Garamond"/>
          <w:sz w:val="23"/>
          <w:szCs w:val="23"/>
        </w:rPr>
        <w:t xml:space="preserve"> non-compliance with aggressive</w:t>
      </w:r>
      <w:r w:rsidRPr="00643267">
        <w:rPr>
          <w:rFonts w:ascii="Garamond" w:hAnsi="Garamond"/>
          <w:sz w:val="23"/>
          <w:szCs w:val="23"/>
        </w:rPr>
        <w:t xml:space="preserve"> peak demand reduction goals;</w:t>
      </w:r>
      <w:r w:rsidRPr="00643267">
        <w:rPr>
          <w:rStyle w:val="FootnoteReference"/>
          <w:rFonts w:ascii="Garamond" w:hAnsi="Garamond"/>
          <w:sz w:val="23"/>
          <w:szCs w:val="23"/>
        </w:rPr>
        <w:footnoteReference w:id="46"/>
      </w:r>
      <w:r w:rsidRPr="00643267">
        <w:rPr>
          <w:rFonts w:ascii="Garamond" w:hAnsi="Garamond"/>
          <w:sz w:val="23"/>
          <w:szCs w:val="23"/>
        </w:rPr>
        <w:t xml:space="preserve"> EDCs therefore are more likely to rely on dispatchable DR programs to achieve the mandated peak demand reductions.</w:t>
      </w:r>
      <w:r>
        <w:rPr>
          <w:rFonts w:ascii="Garamond" w:hAnsi="Garamond"/>
          <w:sz w:val="23"/>
          <w:szCs w:val="23"/>
        </w:rPr>
        <w:t xml:space="preserve"> </w:t>
      </w:r>
      <w:r w:rsidRPr="00643267">
        <w:rPr>
          <w:rFonts w:ascii="Garamond" w:hAnsi="Garamond"/>
          <w:sz w:val="23"/>
          <w:szCs w:val="23"/>
        </w:rPr>
        <w:t>Of the various dispatchable DR pr</w:t>
      </w:r>
      <w:r>
        <w:rPr>
          <w:rFonts w:ascii="Garamond" w:hAnsi="Garamond"/>
          <w:sz w:val="23"/>
          <w:szCs w:val="23"/>
        </w:rPr>
        <w:t xml:space="preserve">ogram types described in </w:t>
      </w:r>
      <w:r w:rsidRPr="00EF46CC">
        <w:rPr>
          <w:rFonts w:ascii="Garamond" w:hAnsi="Garamond"/>
          <w:sz w:val="23"/>
          <w:szCs w:val="23"/>
        </w:rPr>
        <w:fldChar w:fldCharType="begin"/>
      </w:r>
      <w:r w:rsidRPr="00EF46CC">
        <w:rPr>
          <w:rFonts w:ascii="Garamond" w:hAnsi="Garamond"/>
          <w:sz w:val="23"/>
          <w:szCs w:val="23"/>
        </w:rPr>
        <w:instrText xml:space="preserve"> REF _Ref343512054 \h  \* MERGEFORMAT </w:instrText>
      </w:r>
      <w:r w:rsidRPr="00EF46CC">
        <w:rPr>
          <w:rFonts w:ascii="Garamond" w:hAnsi="Garamond"/>
          <w:sz w:val="23"/>
          <w:szCs w:val="23"/>
        </w:rPr>
      </w:r>
      <w:r w:rsidRPr="00EF46CC">
        <w:rPr>
          <w:rFonts w:ascii="Garamond" w:hAnsi="Garamond"/>
          <w:sz w:val="23"/>
          <w:szCs w:val="23"/>
        </w:rPr>
        <w:fldChar w:fldCharType="separate"/>
      </w:r>
      <w:r w:rsidR="00451FFF" w:rsidRPr="00451FFF">
        <w:rPr>
          <w:rFonts w:ascii="Garamond" w:hAnsi="Garamond"/>
          <w:sz w:val="23"/>
          <w:szCs w:val="23"/>
        </w:rPr>
        <w:t xml:space="preserve">Table </w:t>
      </w:r>
      <w:r w:rsidR="00451FFF" w:rsidRPr="00451FFF">
        <w:rPr>
          <w:rFonts w:ascii="Garamond" w:hAnsi="Garamond"/>
          <w:noProof/>
          <w:sz w:val="23"/>
          <w:szCs w:val="23"/>
        </w:rPr>
        <w:t>B</w:t>
      </w:r>
      <w:r w:rsidR="00451FFF" w:rsidRPr="00451FFF">
        <w:rPr>
          <w:rFonts w:ascii="Garamond" w:hAnsi="Garamond"/>
          <w:noProof/>
          <w:sz w:val="23"/>
          <w:szCs w:val="23"/>
        </w:rPr>
        <w:noBreakHyphen/>
        <w:t>1</w:t>
      </w:r>
      <w:r w:rsidRPr="00EF46CC">
        <w:rPr>
          <w:rFonts w:ascii="Garamond" w:hAnsi="Garamond"/>
          <w:sz w:val="23"/>
          <w:szCs w:val="23"/>
        </w:rPr>
        <w:fldChar w:fldCharType="end"/>
      </w:r>
      <w:r w:rsidRPr="00643267">
        <w:rPr>
          <w:rFonts w:ascii="Garamond" w:hAnsi="Garamond"/>
          <w:sz w:val="23"/>
          <w:szCs w:val="23"/>
        </w:rPr>
        <w:t xml:space="preserve">, </w:t>
      </w:r>
      <w:r>
        <w:rPr>
          <w:rFonts w:ascii="Garamond" w:hAnsi="Garamond"/>
          <w:sz w:val="23"/>
          <w:szCs w:val="23"/>
        </w:rPr>
        <w:t xml:space="preserve">DLC </w:t>
      </w:r>
      <w:r w:rsidRPr="00643267">
        <w:rPr>
          <w:rFonts w:ascii="Garamond" w:hAnsi="Garamond"/>
          <w:sz w:val="23"/>
          <w:szCs w:val="23"/>
        </w:rPr>
        <w:t>and interruptible/</w:t>
      </w:r>
      <w:proofErr w:type="spellStart"/>
      <w:r w:rsidRPr="00643267">
        <w:rPr>
          <w:rFonts w:ascii="Garamond" w:hAnsi="Garamond"/>
          <w:sz w:val="23"/>
          <w:szCs w:val="23"/>
        </w:rPr>
        <w:t>curtailable</w:t>
      </w:r>
      <w:proofErr w:type="spellEnd"/>
      <w:r w:rsidRPr="00643267">
        <w:rPr>
          <w:rFonts w:ascii="Garamond" w:hAnsi="Garamond"/>
          <w:sz w:val="23"/>
          <w:szCs w:val="23"/>
        </w:rPr>
        <w:t xml:space="preserve"> programs are predominately employed by the </w:t>
      </w:r>
      <w:r w:rsidR="0019479E">
        <w:rPr>
          <w:rFonts w:ascii="Garamond" w:hAnsi="Garamond"/>
          <w:sz w:val="23"/>
          <w:szCs w:val="23"/>
        </w:rPr>
        <w:t>EDCs in Pennsylvania</w:t>
      </w:r>
      <w:r w:rsidRPr="00643267">
        <w:rPr>
          <w:rFonts w:ascii="Garamond" w:hAnsi="Garamond"/>
          <w:sz w:val="23"/>
          <w:szCs w:val="23"/>
        </w:rPr>
        <w:t>.</w:t>
      </w:r>
      <w:r w:rsidR="000918E1">
        <w:rPr>
          <w:rFonts w:ascii="Garamond" w:hAnsi="Garamond"/>
          <w:sz w:val="23"/>
          <w:szCs w:val="23"/>
        </w:rPr>
        <w:t xml:space="preserve"> Less aggressive goals and penalties </w:t>
      </w:r>
      <w:r w:rsidR="00EA4BB9">
        <w:rPr>
          <w:rFonts w:ascii="Garamond" w:hAnsi="Garamond"/>
          <w:sz w:val="23"/>
          <w:szCs w:val="23"/>
        </w:rPr>
        <w:t xml:space="preserve">and the proliferation of Advanced Metering Infrastructure (AMI) </w:t>
      </w:r>
      <w:r w:rsidR="000918E1">
        <w:rPr>
          <w:rFonts w:ascii="Garamond" w:hAnsi="Garamond"/>
          <w:sz w:val="23"/>
          <w:szCs w:val="23"/>
        </w:rPr>
        <w:t>may promote more non-dispatchable DR programs in Pennsylvania which use pricing signals to stimulate peak demand reduction.</w:t>
      </w:r>
    </w:p>
    <w:p w:rsidR="00EF46CC" w:rsidRDefault="00EF46CC" w:rsidP="002453FA">
      <w:pPr>
        <w:pStyle w:val="ListParagraph"/>
        <w:numPr>
          <w:ilvl w:val="0"/>
          <w:numId w:val="19"/>
        </w:numPr>
        <w:spacing w:after="0"/>
        <w:contextualSpacing w:val="0"/>
        <w:rPr>
          <w:rFonts w:ascii="Garamond" w:hAnsi="Garamond"/>
          <w:sz w:val="23"/>
          <w:szCs w:val="23"/>
        </w:rPr>
      </w:pPr>
      <w:r w:rsidRPr="00EF46CC">
        <w:rPr>
          <w:rFonts w:ascii="Garamond" w:hAnsi="Garamond"/>
          <w:sz w:val="23"/>
          <w:szCs w:val="23"/>
        </w:rPr>
        <w:t>The treatment of DR incentive paym</w:t>
      </w:r>
      <w:r w:rsidR="0019479E">
        <w:rPr>
          <w:rFonts w:ascii="Garamond" w:hAnsi="Garamond"/>
          <w:sz w:val="23"/>
          <w:szCs w:val="23"/>
        </w:rPr>
        <w:t>ents varies between the states examined in this report</w:t>
      </w:r>
      <w:r w:rsidRPr="00EF46CC">
        <w:rPr>
          <w:rFonts w:ascii="Garamond" w:hAnsi="Garamond"/>
          <w:sz w:val="23"/>
          <w:szCs w:val="23"/>
        </w:rPr>
        <w:t>. California,</w:t>
      </w:r>
      <w:r w:rsidR="0019479E">
        <w:rPr>
          <w:rFonts w:ascii="Garamond" w:hAnsi="Garamond"/>
          <w:sz w:val="23"/>
          <w:szCs w:val="23"/>
        </w:rPr>
        <w:t xml:space="preserve"> New York, and Pennsylvania </w:t>
      </w:r>
      <w:r w:rsidRPr="00EF46CC">
        <w:rPr>
          <w:rFonts w:ascii="Garamond" w:hAnsi="Garamond"/>
          <w:sz w:val="23"/>
          <w:szCs w:val="23"/>
        </w:rPr>
        <w:t xml:space="preserve">treat DR incentive payments by EDCs to DR program participants as proxies for participant costs in the TRC calculations. While </w:t>
      </w:r>
      <w:r w:rsidR="0019479E">
        <w:rPr>
          <w:rFonts w:ascii="Garamond" w:hAnsi="Garamond"/>
          <w:sz w:val="23"/>
          <w:szCs w:val="23"/>
        </w:rPr>
        <w:t>Pennsylvania</w:t>
      </w:r>
      <w:r w:rsidRPr="00EF46CC">
        <w:rPr>
          <w:rFonts w:ascii="Garamond" w:hAnsi="Garamond"/>
          <w:sz w:val="23"/>
          <w:szCs w:val="23"/>
        </w:rPr>
        <w:t xml:space="preserve"> and New York include the entire incentive payment as the proxy for participant costs, California includes 75% of the incentive payment as a proxy for participant costs because it assumes that a customer will only participate in DR if the benefit is greater than the costs to participate. </w:t>
      </w:r>
      <w:r w:rsidR="00B63A14">
        <w:rPr>
          <w:rFonts w:ascii="Garamond" w:hAnsi="Garamond"/>
          <w:sz w:val="23"/>
          <w:szCs w:val="23"/>
        </w:rPr>
        <w:t xml:space="preserve">Adoption of this protocol will increase the perceived cost effectiveness of a program by 5% to </w:t>
      </w:r>
      <w:r w:rsidR="00B63A14">
        <w:rPr>
          <w:rFonts w:ascii="Garamond" w:hAnsi="Garamond"/>
          <w:sz w:val="23"/>
          <w:szCs w:val="23"/>
        </w:rPr>
        <w:lastRenderedPageBreak/>
        <w:t>30% depending on the proportion of program costs attributable to customer incentives</w:t>
      </w:r>
      <w:r>
        <w:rPr>
          <w:rFonts w:ascii="Garamond" w:hAnsi="Garamond"/>
          <w:sz w:val="23"/>
          <w:szCs w:val="23"/>
        </w:rPr>
        <w:t>.</w:t>
      </w:r>
      <w:r w:rsidR="00B63A14">
        <w:rPr>
          <w:rFonts w:ascii="Garamond" w:hAnsi="Garamond"/>
          <w:sz w:val="23"/>
          <w:szCs w:val="23"/>
        </w:rPr>
        <w:t xml:space="preserve"> </w:t>
      </w:r>
      <w:r w:rsidR="008B3D77">
        <w:rPr>
          <w:rFonts w:ascii="Garamond" w:hAnsi="Garamond"/>
          <w:sz w:val="23"/>
          <w:szCs w:val="23"/>
        </w:rPr>
        <w:t xml:space="preserve">Section </w:t>
      </w:r>
      <w:r w:rsidR="008B3D77">
        <w:rPr>
          <w:rFonts w:ascii="Garamond" w:hAnsi="Garamond"/>
          <w:sz w:val="23"/>
          <w:szCs w:val="23"/>
        </w:rPr>
        <w:fldChar w:fldCharType="begin"/>
      </w:r>
      <w:r w:rsidR="008B3D77">
        <w:rPr>
          <w:rFonts w:ascii="Garamond" w:hAnsi="Garamond"/>
          <w:sz w:val="23"/>
          <w:szCs w:val="23"/>
        </w:rPr>
        <w:instrText xml:space="preserve"> REF _Ref352604525 \r \h </w:instrText>
      </w:r>
      <w:r w:rsidR="008B3D77">
        <w:rPr>
          <w:rFonts w:ascii="Garamond" w:hAnsi="Garamond"/>
          <w:sz w:val="23"/>
          <w:szCs w:val="23"/>
        </w:rPr>
      </w:r>
      <w:r w:rsidR="008B3D77">
        <w:rPr>
          <w:rFonts w:ascii="Garamond" w:hAnsi="Garamond"/>
          <w:sz w:val="23"/>
          <w:szCs w:val="23"/>
        </w:rPr>
        <w:fldChar w:fldCharType="separate"/>
      </w:r>
      <w:r w:rsidR="00451FFF">
        <w:rPr>
          <w:rFonts w:ascii="Garamond" w:hAnsi="Garamond"/>
          <w:sz w:val="23"/>
          <w:szCs w:val="23"/>
        </w:rPr>
        <w:t>F</w:t>
      </w:r>
      <w:r w:rsidR="008B3D77">
        <w:rPr>
          <w:rFonts w:ascii="Garamond" w:hAnsi="Garamond"/>
          <w:sz w:val="23"/>
          <w:szCs w:val="23"/>
        </w:rPr>
        <w:fldChar w:fldCharType="end"/>
      </w:r>
      <w:r w:rsidR="008B3D77">
        <w:rPr>
          <w:rFonts w:ascii="Garamond" w:hAnsi="Garamond"/>
          <w:sz w:val="23"/>
          <w:szCs w:val="23"/>
        </w:rPr>
        <w:t xml:space="preserve"> showed that this protocol has a greater impact on load curtailment programs because customer incentives represent a dominant share of </w:t>
      </w:r>
      <w:r w:rsidR="008B3D77" w:rsidRPr="008B3D77">
        <w:rPr>
          <w:rFonts w:ascii="Garamond" w:hAnsi="Garamond"/>
          <w:sz w:val="23"/>
          <w:szCs w:val="23"/>
        </w:rPr>
        <w:t>program costs.</w:t>
      </w:r>
    </w:p>
    <w:p w:rsidR="00D84DA3" w:rsidRDefault="00E37F5B" w:rsidP="00D84DA3">
      <w:pPr>
        <w:pStyle w:val="ListParagraph"/>
        <w:numPr>
          <w:ilvl w:val="0"/>
          <w:numId w:val="19"/>
        </w:numPr>
        <w:spacing w:after="0"/>
        <w:contextualSpacing w:val="0"/>
        <w:rPr>
          <w:rFonts w:ascii="Garamond" w:hAnsi="Garamond"/>
          <w:sz w:val="23"/>
          <w:szCs w:val="23"/>
        </w:rPr>
      </w:pPr>
      <w:r w:rsidRPr="00643267">
        <w:rPr>
          <w:rFonts w:ascii="Garamond" w:hAnsi="Garamond"/>
          <w:sz w:val="23"/>
          <w:szCs w:val="23"/>
        </w:rPr>
        <w:t>California and Illinois treat ISO payments to EDCs as a benefit in their respective TRC test calculations when the payments are direct revenue received for bidding retail DR into the wholesale market.</w:t>
      </w:r>
      <w:r>
        <w:rPr>
          <w:rFonts w:ascii="Garamond" w:hAnsi="Garamond"/>
          <w:sz w:val="23"/>
          <w:szCs w:val="23"/>
        </w:rPr>
        <w:t xml:space="preserve"> </w:t>
      </w:r>
      <w:r w:rsidR="008B3D77">
        <w:rPr>
          <w:rFonts w:ascii="Garamond" w:hAnsi="Garamond"/>
          <w:sz w:val="23"/>
          <w:szCs w:val="23"/>
        </w:rPr>
        <w:t>The SWE believes that this is the most beneficial mechanism for the continuation of EDC direct load control programs</w:t>
      </w:r>
      <w:r w:rsidR="0019479E">
        <w:rPr>
          <w:rFonts w:ascii="Garamond" w:hAnsi="Garamond"/>
          <w:sz w:val="23"/>
          <w:szCs w:val="23"/>
        </w:rPr>
        <w:t>.</w:t>
      </w:r>
      <w:r w:rsidR="008B3D77">
        <w:rPr>
          <w:rFonts w:ascii="Garamond" w:hAnsi="Garamond"/>
          <w:sz w:val="23"/>
          <w:szCs w:val="23"/>
        </w:rPr>
        <w:t xml:space="preserve"> Rather than calculating an avoided cost of capacity, an EDC which bids its DLC program into the PJM forward capacity auction can include direct revenue in its benefit/cost calculations. Bidding DLC into PJM can reduce the capacity needs of the region that must be secured through generation and can exert downward pressure on wholesale </w:t>
      </w:r>
      <w:r w:rsidR="000F6886">
        <w:rPr>
          <w:rFonts w:ascii="Garamond" w:hAnsi="Garamond"/>
          <w:sz w:val="23"/>
          <w:szCs w:val="23"/>
        </w:rPr>
        <w:t xml:space="preserve">capacity </w:t>
      </w:r>
      <w:r w:rsidR="008B3D77">
        <w:rPr>
          <w:rFonts w:ascii="Garamond" w:hAnsi="Garamond"/>
          <w:sz w:val="23"/>
          <w:szCs w:val="23"/>
        </w:rPr>
        <w:t xml:space="preserve">prices. </w:t>
      </w:r>
    </w:p>
    <w:p w:rsidR="00D84DA3" w:rsidRPr="00D84DA3" w:rsidRDefault="00D84DA3" w:rsidP="00D84DA3">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Residential customers are effectively unable to go to market in the PJM DR programs without aggregation by an EDC within a DLC program. The SWE believes there is value in EDCs acting in this role for the residential sector that does not exist for the C&amp;I sector because those customers are able to participate in the PJM markets </w:t>
      </w:r>
      <w:r w:rsidR="000F6886">
        <w:rPr>
          <w:rFonts w:ascii="Garamond" w:hAnsi="Garamond"/>
          <w:sz w:val="23"/>
          <w:szCs w:val="23"/>
        </w:rPr>
        <w:t>without EDC intervention</w:t>
      </w:r>
      <w:r>
        <w:rPr>
          <w:rFonts w:ascii="Garamond" w:hAnsi="Garamond"/>
          <w:sz w:val="23"/>
          <w:szCs w:val="23"/>
        </w:rPr>
        <w:t xml:space="preserve">. </w:t>
      </w:r>
    </w:p>
    <w:p w:rsidR="00F17B81" w:rsidRPr="00F17B81" w:rsidRDefault="00184570" w:rsidP="00F17B81">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A historical analysis of energy prices (LMPs) and capacity prices in </w:t>
      </w:r>
      <w:r w:rsidR="0019479E">
        <w:rPr>
          <w:rFonts w:ascii="Garamond" w:hAnsi="Garamond"/>
          <w:sz w:val="23"/>
          <w:szCs w:val="23"/>
        </w:rPr>
        <w:t>Pennsylvania</w:t>
      </w:r>
      <w:r>
        <w:rPr>
          <w:rFonts w:ascii="Garamond" w:hAnsi="Garamond"/>
          <w:sz w:val="23"/>
          <w:szCs w:val="23"/>
        </w:rPr>
        <w:t xml:space="preserve"> indicate that DR </w:t>
      </w:r>
      <w:r w:rsidR="008B3D77">
        <w:rPr>
          <w:rFonts w:ascii="Garamond" w:hAnsi="Garamond"/>
          <w:sz w:val="23"/>
          <w:szCs w:val="23"/>
        </w:rPr>
        <w:t>programs are</w:t>
      </w:r>
      <w:r w:rsidR="0019479E">
        <w:rPr>
          <w:rFonts w:ascii="Garamond" w:hAnsi="Garamond"/>
          <w:sz w:val="23"/>
          <w:szCs w:val="23"/>
        </w:rPr>
        <w:t xml:space="preserve"> less cost effective for</w:t>
      </w:r>
      <w:r>
        <w:rPr>
          <w:rFonts w:ascii="Garamond" w:hAnsi="Garamond"/>
          <w:sz w:val="23"/>
          <w:szCs w:val="23"/>
        </w:rPr>
        <w:t xml:space="preserve"> EDCs in the western part of the state than those in</w:t>
      </w:r>
      <w:r w:rsidR="008B3D77">
        <w:rPr>
          <w:rFonts w:ascii="Garamond" w:hAnsi="Garamond"/>
          <w:sz w:val="23"/>
          <w:szCs w:val="23"/>
        </w:rPr>
        <w:t xml:space="preserve"> the eastern part of the state. </w:t>
      </w:r>
      <w:r w:rsidRPr="00643267">
        <w:rPr>
          <w:rFonts w:ascii="Garamond" w:hAnsi="Garamond"/>
          <w:sz w:val="23"/>
          <w:szCs w:val="23"/>
        </w:rPr>
        <w:t>In New York, the NY</w:t>
      </w:r>
      <w:r>
        <w:rPr>
          <w:rFonts w:ascii="Garamond" w:hAnsi="Garamond"/>
          <w:sz w:val="23"/>
          <w:szCs w:val="23"/>
        </w:rPr>
        <w:t xml:space="preserve"> </w:t>
      </w:r>
      <w:r w:rsidRPr="00643267">
        <w:rPr>
          <w:rFonts w:ascii="Garamond" w:hAnsi="Garamond"/>
          <w:sz w:val="23"/>
          <w:szCs w:val="23"/>
        </w:rPr>
        <w:t>P</w:t>
      </w:r>
      <w:r>
        <w:rPr>
          <w:rFonts w:ascii="Garamond" w:hAnsi="Garamond"/>
          <w:sz w:val="23"/>
          <w:szCs w:val="23"/>
        </w:rPr>
        <w:t xml:space="preserve">ublic </w:t>
      </w:r>
      <w:r w:rsidRPr="00643267">
        <w:rPr>
          <w:rFonts w:ascii="Garamond" w:hAnsi="Garamond"/>
          <w:sz w:val="23"/>
          <w:szCs w:val="23"/>
        </w:rPr>
        <w:t>S</w:t>
      </w:r>
      <w:r>
        <w:rPr>
          <w:rFonts w:ascii="Garamond" w:hAnsi="Garamond"/>
          <w:sz w:val="23"/>
          <w:szCs w:val="23"/>
        </w:rPr>
        <w:t xml:space="preserve">ervice </w:t>
      </w:r>
      <w:r w:rsidRPr="00643267">
        <w:rPr>
          <w:rFonts w:ascii="Garamond" w:hAnsi="Garamond"/>
          <w:sz w:val="23"/>
          <w:szCs w:val="23"/>
        </w:rPr>
        <w:t>C</w:t>
      </w:r>
      <w:r>
        <w:rPr>
          <w:rFonts w:ascii="Garamond" w:hAnsi="Garamond"/>
          <w:sz w:val="23"/>
          <w:szCs w:val="23"/>
        </w:rPr>
        <w:t>ommission (NYPSC)</w:t>
      </w:r>
      <w:r w:rsidRPr="00643267">
        <w:rPr>
          <w:rFonts w:ascii="Garamond" w:hAnsi="Garamond"/>
          <w:sz w:val="23"/>
          <w:szCs w:val="23"/>
        </w:rPr>
        <w:t xml:space="preserve"> determined that DR programs are most practical and economic</w:t>
      </w:r>
      <w:r w:rsidR="0019479E">
        <w:rPr>
          <w:rFonts w:ascii="Garamond" w:hAnsi="Garamond"/>
          <w:sz w:val="23"/>
          <w:szCs w:val="23"/>
        </w:rPr>
        <w:t>al</w:t>
      </w:r>
      <w:r w:rsidRPr="00643267">
        <w:rPr>
          <w:rFonts w:ascii="Garamond" w:hAnsi="Garamond"/>
          <w:sz w:val="23"/>
          <w:szCs w:val="23"/>
        </w:rPr>
        <w:t xml:space="preserve"> in the New York City metropolitan area </w:t>
      </w:r>
      <w:r>
        <w:rPr>
          <w:rFonts w:ascii="Garamond" w:hAnsi="Garamond"/>
          <w:sz w:val="23"/>
          <w:szCs w:val="23"/>
        </w:rPr>
        <w:t>and only est</w:t>
      </w:r>
      <w:r w:rsidR="0019479E">
        <w:rPr>
          <w:rFonts w:ascii="Garamond" w:hAnsi="Garamond"/>
          <w:sz w:val="23"/>
          <w:szCs w:val="23"/>
        </w:rPr>
        <w:t>ablished DR goals in the Con Edison service territory</w:t>
      </w:r>
      <w:r>
        <w:rPr>
          <w:rFonts w:ascii="Garamond" w:hAnsi="Garamond"/>
          <w:sz w:val="23"/>
          <w:szCs w:val="23"/>
        </w:rPr>
        <w:t xml:space="preserve">. </w:t>
      </w:r>
      <w:r w:rsidR="00F17B81" w:rsidRPr="00F17B81">
        <w:rPr>
          <w:rFonts w:ascii="Garamond" w:eastAsia="Calibri" w:hAnsi="Garamond" w:cs="Times New Roman"/>
          <w:sz w:val="23"/>
          <w:szCs w:val="23"/>
        </w:rPr>
        <w:t>The SWE recommends that the decision to include DR targets in future phases of Act 129 be made at the EDC level rather than on a statewide basis.</w:t>
      </w:r>
    </w:p>
    <w:p w:rsidR="00C40D27" w:rsidRDefault="00342198" w:rsidP="00184570">
      <w:pPr>
        <w:pStyle w:val="ListParagraph"/>
        <w:numPr>
          <w:ilvl w:val="0"/>
          <w:numId w:val="19"/>
        </w:numPr>
        <w:spacing w:after="0"/>
        <w:contextualSpacing w:val="0"/>
        <w:rPr>
          <w:rFonts w:ascii="Garamond" w:hAnsi="Garamond"/>
          <w:sz w:val="23"/>
          <w:szCs w:val="23"/>
        </w:rPr>
      </w:pPr>
      <w:r>
        <w:rPr>
          <w:rFonts w:ascii="Garamond" w:eastAsia="Calibri" w:hAnsi="Garamond" w:cs="Times New Roman"/>
          <w:sz w:val="23"/>
          <w:szCs w:val="23"/>
        </w:rPr>
        <w:t xml:space="preserve">Capacity prices play a significant role in the cost effectiveness of DR and can vary from year to year. </w:t>
      </w:r>
      <w:r w:rsidR="00F17B81" w:rsidRPr="00184570">
        <w:rPr>
          <w:rFonts w:ascii="Garamond" w:eastAsia="Calibri" w:hAnsi="Garamond" w:cs="Times New Roman"/>
          <w:sz w:val="23"/>
          <w:szCs w:val="23"/>
        </w:rPr>
        <w:t xml:space="preserve">The decision whether or not to include DR targets in future phases of Act 129 should be dependent on the direction of capacity prices in the region. </w:t>
      </w:r>
      <w:r w:rsidR="002C5D2B">
        <w:rPr>
          <w:rFonts w:ascii="Garamond" w:hAnsi="Garamond"/>
          <w:sz w:val="23"/>
          <w:szCs w:val="23"/>
        </w:rPr>
        <w:t xml:space="preserve">Based on the program expenditures and impacts observed during the 2012 performance period, the avoided cost of generation capacity will need to be in excess of $70-$80 per kW-year to justify continuation of Act 129 DR programs. </w:t>
      </w:r>
      <w:r>
        <w:rPr>
          <w:rFonts w:ascii="Garamond" w:hAnsi="Garamond"/>
          <w:sz w:val="23"/>
          <w:szCs w:val="23"/>
        </w:rPr>
        <w:t>The SWE recommends that the Commission</w:t>
      </w:r>
      <w:r w:rsidR="00C40D27">
        <w:rPr>
          <w:rFonts w:ascii="Garamond" w:hAnsi="Garamond"/>
          <w:sz w:val="23"/>
          <w:szCs w:val="23"/>
        </w:rPr>
        <w:t xml:space="preserve"> pay careful attention to the results of the PJM Base Residual Auction for the 2016/2017 delivery year that will be held in May 2013.</w:t>
      </w:r>
    </w:p>
    <w:p w:rsidR="009B385F" w:rsidRDefault="009B385F" w:rsidP="009B385F">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Avoided transmission and distribution (T&amp;D) benefits are a major source of uncertainty in the benefit/cost analysis of demand response. Additional research is needed by the Pennsylvania EDCs to quantify these benefits. The benefit/cost analysis presented in Section </w:t>
      </w:r>
      <w:r w:rsidR="008F5602">
        <w:rPr>
          <w:rFonts w:ascii="Garamond" w:hAnsi="Garamond"/>
          <w:sz w:val="23"/>
          <w:szCs w:val="23"/>
        </w:rPr>
        <w:fldChar w:fldCharType="begin"/>
      </w:r>
      <w:r w:rsidR="008F5602">
        <w:rPr>
          <w:rFonts w:ascii="Garamond" w:hAnsi="Garamond"/>
          <w:sz w:val="23"/>
          <w:szCs w:val="23"/>
        </w:rPr>
        <w:instrText xml:space="preserve"> REF _Ref352604525 \r \h </w:instrText>
      </w:r>
      <w:r w:rsidR="008F5602">
        <w:rPr>
          <w:rFonts w:ascii="Garamond" w:hAnsi="Garamond"/>
          <w:sz w:val="23"/>
          <w:szCs w:val="23"/>
        </w:rPr>
      </w:r>
      <w:r w:rsidR="008F5602">
        <w:rPr>
          <w:rFonts w:ascii="Garamond" w:hAnsi="Garamond"/>
          <w:sz w:val="23"/>
          <w:szCs w:val="23"/>
        </w:rPr>
        <w:fldChar w:fldCharType="separate"/>
      </w:r>
      <w:r w:rsidR="00451FFF">
        <w:rPr>
          <w:rFonts w:ascii="Garamond" w:hAnsi="Garamond"/>
          <w:sz w:val="23"/>
          <w:szCs w:val="23"/>
        </w:rPr>
        <w:t>F</w:t>
      </w:r>
      <w:r w:rsidR="008F5602">
        <w:rPr>
          <w:rFonts w:ascii="Garamond" w:hAnsi="Garamond"/>
          <w:sz w:val="23"/>
          <w:szCs w:val="23"/>
        </w:rPr>
        <w:fldChar w:fldCharType="end"/>
      </w:r>
      <w:r>
        <w:rPr>
          <w:rFonts w:ascii="Garamond" w:hAnsi="Garamond"/>
          <w:sz w:val="23"/>
          <w:szCs w:val="23"/>
        </w:rPr>
        <w:t xml:space="preserve"> considers low, medium and high cases of $0, $25 and $50 per kW-year, respectively, for the monetization of transmission and distribution benefits. Without the inclusion of some T&amp;D benefits, the SWE believes that Act 129 DR programs are unlikely to pass a TRC test. </w:t>
      </w:r>
    </w:p>
    <w:p w:rsidR="008B28BA" w:rsidRPr="00684086" w:rsidRDefault="008B28BA" w:rsidP="00F94132">
      <w:pPr>
        <w:pStyle w:val="ListParagraph"/>
        <w:numPr>
          <w:ilvl w:val="0"/>
          <w:numId w:val="19"/>
        </w:numPr>
        <w:spacing w:after="0"/>
        <w:contextualSpacing w:val="0"/>
        <w:rPr>
          <w:rFonts w:ascii="Garamond" w:hAnsi="Garamond"/>
          <w:sz w:val="23"/>
          <w:szCs w:val="23"/>
        </w:rPr>
      </w:pPr>
      <w:r>
        <w:rPr>
          <w:rFonts w:ascii="Garamond" w:hAnsi="Garamond"/>
          <w:sz w:val="23"/>
          <w:szCs w:val="23"/>
        </w:rPr>
        <w:t>Additional research is needed to estimate the possible benefits from wholesale price suppression. These benefits are not currently considered for Act 129 energy efficiency programs and were not quantified in the benefit/cost analysis presented in this study. Estimates of price suppression benefits from peak-shaving will allow for a more accurate assessment and comparison of demand response and energy efficiency potential and should be included in a demand response potential study.</w:t>
      </w:r>
      <w:r w:rsidR="00F94132">
        <w:rPr>
          <w:rFonts w:ascii="Garamond" w:hAnsi="Garamond"/>
          <w:sz w:val="23"/>
          <w:szCs w:val="23"/>
        </w:rPr>
        <w:t xml:space="preserve"> </w:t>
      </w:r>
      <w:r w:rsidR="00F94132" w:rsidRPr="00F94132">
        <w:rPr>
          <w:rFonts w:ascii="Garamond" w:hAnsi="Garamond"/>
          <w:sz w:val="23"/>
          <w:szCs w:val="23"/>
        </w:rPr>
        <w:t>The SWE will work with Commission staff to identify the need, timing, and scope of any continued research.</w:t>
      </w:r>
    </w:p>
    <w:p w:rsidR="002C5D2B" w:rsidRDefault="009B385F" w:rsidP="00184570">
      <w:pPr>
        <w:pStyle w:val="ListParagraph"/>
        <w:numPr>
          <w:ilvl w:val="0"/>
          <w:numId w:val="19"/>
        </w:numPr>
        <w:spacing w:after="0"/>
        <w:contextualSpacing w:val="0"/>
        <w:rPr>
          <w:rFonts w:ascii="Garamond" w:hAnsi="Garamond"/>
          <w:sz w:val="23"/>
          <w:szCs w:val="23"/>
        </w:rPr>
      </w:pPr>
      <w:r>
        <w:rPr>
          <w:rFonts w:ascii="Garamond" w:hAnsi="Garamond"/>
          <w:sz w:val="23"/>
          <w:szCs w:val="23"/>
        </w:rPr>
        <w:t>The value of DR is correlated with the cost of the generation resources it is competing against. T</w:t>
      </w:r>
      <w:r w:rsidR="002C5D2B" w:rsidRPr="009B385F">
        <w:rPr>
          <w:rFonts w:ascii="Garamond" w:hAnsi="Garamond"/>
          <w:sz w:val="23"/>
          <w:szCs w:val="23"/>
        </w:rPr>
        <w:t xml:space="preserve">he Energy Information Administration estimates the overnight construction cost of an </w:t>
      </w:r>
      <w:r w:rsidR="002C5D2B" w:rsidRPr="009B385F">
        <w:rPr>
          <w:rFonts w:ascii="Garamond" w:hAnsi="Garamond"/>
          <w:sz w:val="23"/>
          <w:szCs w:val="23"/>
        </w:rPr>
        <w:lastRenderedPageBreak/>
        <w:t>advanced Combustion Turbine to be $666 per kW in its 2012 Annual Energy Outlook</w:t>
      </w:r>
      <w:r w:rsidR="0050255E">
        <w:rPr>
          <w:rFonts w:ascii="Garamond" w:hAnsi="Garamond"/>
          <w:sz w:val="23"/>
          <w:szCs w:val="23"/>
        </w:rPr>
        <w:t xml:space="preserve">. The SWE recommends the Commission consider the costs of generation capacity that can be avoided through demand response. Given the relatively low upfront cost </w:t>
      </w:r>
      <w:r w:rsidR="00BE0931">
        <w:rPr>
          <w:rFonts w:ascii="Garamond" w:hAnsi="Garamond"/>
          <w:sz w:val="23"/>
          <w:szCs w:val="23"/>
        </w:rPr>
        <w:t>of construction of a new CT, it</w:t>
      </w:r>
      <w:r w:rsidR="0050255E">
        <w:rPr>
          <w:rFonts w:ascii="Garamond" w:hAnsi="Garamond"/>
          <w:sz w:val="23"/>
          <w:szCs w:val="23"/>
        </w:rPr>
        <w:t>s lengthy measure life</w:t>
      </w:r>
      <w:r w:rsidR="00BE0931">
        <w:rPr>
          <w:rFonts w:ascii="Garamond" w:hAnsi="Garamond"/>
          <w:sz w:val="23"/>
          <w:szCs w:val="23"/>
        </w:rPr>
        <w:t>,</w:t>
      </w:r>
      <w:r w:rsidR="00EA7D0F">
        <w:rPr>
          <w:rFonts w:ascii="Garamond" w:hAnsi="Garamond"/>
          <w:sz w:val="23"/>
          <w:szCs w:val="23"/>
        </w:rPr>
        <w:t xml:space="preserve"> and the </w:t>
      </w:r>
      <w:r w:rsidR="0050255E">
        <w:rPr>
          <w:rFonts w:ascii="Garamond" w:hAnsi="Garamond"/>
          <w:sz w:val="23"/>
          <w:szCs w:val="23"/>
        </w:rPr>
        <w:t>cost and availability of fuel, demand response programs will have to be operated very efficiently to provide a cost effective alternative to generation.</w:t>
      </w:r>
    </w:p>
    <w:p w:rsidR="00F8245F" w:rsidRDefault="00F8245F" w:rsidP="00F8245F">
      <w:pPr>
        <w:pStyle w:val="ListParagraph"/>
        <w:numPr>
          <w:ilvl w:val="0"/>
          <w:numId w:val="19"/>
        </w:numPr>
        <w:spacing w:after="0"/>
        <w:contextualSpacing w:val="0"/>
        <w:rPr>
          <w:rFonts w:ascii="Garamond" w:hAnsi="Garamond"/>
          <w:sz w:val="23"/>
          <w:szCs w:val="23"/>
        </w:rPr>
      </w:pPr>
      <w:r>
        <w:rPr>
          <w:rFonts w:ascii="Garamond" w:hAnsi="Garamond"/>
          <w:sz w:val="23"/>
          <w:szCs w:val="23"/>
        </w:rPr>
        <w:t>Act 129 commercial and industrial load curtailment programs face significant challenges because of the thriving PJM DR markets available to these customers. A significant portion of the participants in Act 129 commercial and industrial programs are also enrolled as capacity resources in the PJM Emergency Load Response Program. Engaging these participants in Act 129 DR programs does not offer additional capacity into the system. When EDCs secure DR resources that are not committed in the PJM program, the capacity needs of the region are not adjusted accordingly so the benefits to wholesale capacity prices are not realized.</w:t>
      </w:r>
      <w:r w:rsidR="00BE0931">
        <w:rPr>
          <w:rFonts w:ascii="Garamond" w:hAnsi="Garamond"/>
          <w:sz w:val="23"/>
          <w:szCs w:val="23"/>
        </w:rPr>
        <w:t xml:space="preserve"> The SWE urges the Commission to be very cautious about establishing any goals for C&amp;I DR programs. If goals are established, we recommend carefully considering how Act 129 can offer incremental value to the competitive markets already in place.</w:t>
      </w:r>
    </w:p>
    <w:p w:rsidR="00BE0931" w:rsidRPr="00B461AE" w:rsidRDefault="00BE0931" w:rsidP="00B461AE">
      <w:pPr>
        <w:pStyle w:val="ListParagraph"/>
        <w:numPr>
          <w:ilvl w:val="0"/>
          <w:numId w:val="19"/>
        </w:numPr>
        <w:rPr>
          <w:rFonts w:ascii="Garamond" w:hAnsi="Garamond"/>
          <w:sz w:val="23"/>
          <w:szCs w:val="23"/>
        </w:rPr>
      </w:pPr>
      <w:r w:rsidRPr="00301994">
        <w:rPr>
          <w:rFonts w:ascii="Garamond" w:hAnsi="Garamond"/>
          <w:sz w:val="23"/>
          <w:szCs w:val="23"/>
        </w:rPr>
        <w:t xml:space="preserve">Although </w:t>
      </w:r>
      <w:r>
        <w:rPr>
          <w:rFonts w:ascii="Garamond" w:hAnsi="Garamond"/>
          <w:sz w:val="23"/>
          <w:szCs w:val="23"/>
        </w:rPr>
        <w:t>direct load control</w:t>
      </w:r>
      <w:r w:rsidRPr="00301994">
        <w:rPr>
          <w:rFonts w:ascii="Garamond" w:hAnsi="Garamond"/>
          <w:sz w:val="23"/>
          <w:szCs w:val="23"/>
        </w:rPr>
        <w:t xml:space="preserve"> programs did not prove to be cost effective in 2012, there is indication that the programs could offer value in future phases of Act 129.</w:t>
      </w:r>
      <w:r>
        <w:rPr>
          <w:rFonts w:ascii="Garamond" w:hAnsi="Garamond"/>
          <w:sz w:val="23"/>
          <w:szCs w:val="23"/>
        </w:rPr>
        <w:t xml:space="preserve"> Equipment purchase, customer recruiting and installation costs result in high upfront costs for DLC programs. The SWE recommends the Commission </w:t>
      </w:r>
      <w:r w:rsidR="00684086">
        <w:rPr>
          <w:rFonts w:ascii="Garamond" w:hAnsi="Garamond"/>
          <w:sz w:val="23"/>
          <w:szCs w:val="23"/>
        </w:rPr>
        <w:t>view</w:t>
      </w:r>
      <w:r>
        <w:rPr>
          <w:rFonts w:ascii="Garamond" w:hAnsi="Garamond"/>
          <w:sz w:val="23"/>
          <w:szCs w:val="23"/>
        </w:rPr>
        <w:t xml:space="preserve"> the Phase I infrastructure costs of these program</w:t>
      </w:r>
      <w:r w:rsidR="00684086">
        <w:rPr>
          <w:rFonts w:ascii="Garamond" w:hAnsi="Garamond"/>
          <w:sz w:val="23"/>
          <w:szCs w:val="23"/>
        </w:rPr>
        <w:t>s</w:t>
      </w:r>
      <w:r>
        <w:rPr>
          <w:rFonts w:ascii="Garamond" w:hAnsi="Garamond"/>
          <w:sz w:val="23"/>
          <w:szCs w:val="23"/>
        </w:rPr>
        <w:t xml:space="preserve"> as </w:t>
      </w:r>
      <w:r w:rsidR="000F6886">
        <w:rPr>
          <w:rFonts w:ascii="Garamond" w:hAnsi="Garamond"/>
          <w:sz w:val="23"/>
          <w:szCs w:val="23"/>
        </w:rPr>
        <w:t>“</w:t>
      </w:r>
      <w:r>
        <w:rPr>
          <w:rFonts w:ascii="Garamond" w:hAnsi="Garamond"/>
          <w:sz w:val="23"/>
          <w:szCs w:val="23"/>
        </w:rPr>
        <w:t>sunk</w:t>
      </w:r>
      <w:r w:rsidR="000F6886">
        <w:rPr>
          <w:rFonts w:ascii="Garamond" w:hAnsi="Garamond"/>
          <w:sz w:val="23"/>
          <w:szCs w:val="23"/>
        </w:rPr>
        <w:t>”</w:t>
      </w:r>
      <w:r>
        <w:rPr>
          <w:rFonts w:ascii="Garamond" w:hAnsi="Garamond"/>
          <w:sz w:val="23"/>
          <w:szCs w:val="23"/>
        </w:rPr>
        <w:t xml:space="preserve"> and consider continuing the programs if future benefits are expected to outweigh the future costs.</w:t>
      </w:r>
      <w:r w:rsidR="00B461AE">
        <w:rPr>
          <w:rFonts w:ascii="Garamond" w:hAnsi="Garamond"/>
          <w:sz w:val="23"/>
          <w:szCs w:val="23"/>
        </w:rPr>
        <w:t xml:space="preserve"> If DLC programs are continued, </w:t>
      </w:r>
      <w:r w:rsidR="000F6886">
        <w:rPr>
          <w:rFonts w:ascii="Garamond" w:hAnsi="Garamond"/>
          <w:sz w:val="23"/>
          <w:szCs w:val="23"/>
        </w:rPr>
        <w:t xml:space="preserve">the SWE believes that </w:t>
      </w:r>
      <w:r w:rsidR="00B461AE">
        <w:rPr>
          <w:rFonts w:ascii="Garamond" w:hAnsi="Garamond"/>
          <w:sz w:val="23"/>
          <w:szCs w:val="23"/>
        </w:rPr>
        <w:t>they should be bid into the PJM capacity market and the revenue received should count as a benefit in the TRC test.</w:t>
      </w:r>
    </w:p>
    <w:p w:rsidR="00654D42" w:rsidRPr="00184570" w:rsidRDefault="00342198" w:rsidP="00184570">
      <w:pPr>
        <w:pStyle w:val="ListParagraph"/>
        <w:numPr>
          <w:ilvl w:val="0"/>
          <w:numId w:val="19"/>
        </w:numPr>
        <w:spacing w:after="0"/>
        <w:contextualSpacing w:val="0"/>
        <w:rPr>
          <w:rFonts w:ascii="Garamond" w:hAnsi="Garamond"/>
          <w:sz w:val="23"/>
          <w:szCs w:val="23"/>
        </w:rPr>
      </w:pPr>
      <w:r>
        <w:rPr>
          <w:rFonts w:ascii="Garamond" w:hAnsi="Garamond"/>
          <w:sz w:val="23"/>
          <w:szCs w:val="23"/>
        </w:rPr>
        <w:t xml:space="preserve">Basing demand reduction targets on the highest 100 hours of peak demand is unique to Pennsylvania and </w:t>
      </w:r>
      <w:r w:rsidR="009A3EE1">
        <w:rPr>
          <w:rFonts w:ascii="Garamond" w:hAnsi="Garamond"/>
          <w:sz w:val="23"/>
          <w:szCs w:val="23"/>
        </w:rPr>
        <w:t>should be discontinued because it le</w:t>
      </w:r>
      <w:r w:rsidR="00684086">
        <w:rPr>
          <w:rFonts w:ascii="Garamond" w:hAnsi="Garamond"/>
          <w:sz w:val="23"/>
          <w:szCs w:val="23"/>
        </w:rPr>
        <w:t>a</w:t>
      </w:r>
      <w:r>
        <w:rPr>
          <w:rFonts w:ascii="Garamond" w:hAnsi="Garamond"/>
          <w:sz w:val="23"/>
          <w:szCs w:val="23"/>
        </w:rPr>
        <w:t>d</w:t>
      </w:r>
      <w:r w:rsidR="00684086">
        <w:rPr>
          <w:rFonts w:ascii="Garamond" w:hAnsi="Garamond"/>
          <w:sz w:val="23"/>
          <w:szCs w:val="23"/>
        </w:rPr>
        <w:t>s</w:t>
      </w:r>
      <w:r>
        <w:rPr>
          <w:rFonts w:ascii="Garamond" w:hAnsi="Garamond"/>
          <w:sz w:val="23"/>
          <w:szCs w:val="23"/>
        </w:rPr>
        <w:t xml:space="preserve"> to DR resources being called during hours</w:t>
      </w:r>
      <w:r w:rsidR="002246E2">
        <w:rPr>
          <w:rFonts w:ascii="Garamond" w:hAnsi="Garamond"/>
          <w:sz w:val="23"/>
          <w:szCs w:val="23"/>
        </w:rPr>
        <w:t xml:space="preserve"> during</w:t>
      </w:r>
      <w:r>
        <w:rPr>
          <w:rFonts w:ascii="Garamond" w:hAnsi="Garamond"/>
          <w:sz w:val="23"/>
          <w:szCs w:val="23"/>
        </w:rPr>
        <w:t xml:space="preserve"> which they are not likely to be cost effective. </w:t>
      </w:r>
      <w:r w:rsidR="00654D42">
        <w:rPr>
          <w:rFonts w:ascii="Garamond" w:hAnsi="Garamond"/>
          <w:sz w:val="23"/>
          <w:szCs w:val="23"/>
        </w:rPr>
        <w:t>If a DR target is established for an EDC</w:t>
      </w:r>
      <w:r w:rsidR="00684086">
        <w:rPr>
          <w:rFonts w:ascii="Garamond" w:hAnsi="Garamond"/>
          <w:sz w:val="23"/>
          <w:szCs w:val="23"/>
        </w:rPr>
        <w:t xml:space="preserve"> in Phase III</w:t>
      </w:r>
      <w:r w:rsidR="00654D42">
        <w:rPr>
          <w:rFonts w:ascii="Garamond" w:hAnsi="Garamond"/>
          <w:sz w:val="23"/>
          <w:szCs w:val="23"/>
        </w:rPr>
        <w:t xml:space="preserve">, resources should only be dispatched when they are needed for reliability or </w:t>
      </w:r>
      <w:r>
        <w:rPr>
          <w:rFonts w:ascii="Garamond" w:hAnsi="Garamond"/>
          <w:sz w:val="23"/>
          <w:szCs w:val="23"/>
        </w:rPr>
        <w:t xml:space="preserve">are </w:t>
      </w:r>
      <w:r w:rsidR="00654D42">
        <w:rPr>
          <w:rFonts w:ascii="Garamond" w:hAnsi="Garamond"/>
          <w:sz w:val="23"/>
          <w:szCs w:val="23"/>
        </w:rPr>
        <w:t xml:space="preserve">likely to be cost effective. These conditions were explored in Section </w:t>
      </w:r>
      <w:r w:rsidR="00654D42">
        <w:rPr>
          <w:rFonts w:ascii="Garamond" w:hAnsi="Garamond"/>
          <w:sz w:val="23"/>
          <w:szCs w:val="23"/>
        </w:rPr>
        <w:fldChar w:fldCharType="begin"/>
      </w:r>
      <w:r w:rsidR="00654D42">
        <w:rPr>
          <w:rFonts w:ascii="Garamond" w:hAnsi="Garamond"/>
          <w:sz w:val="23"/>
          <w:szCs w:val="23"/>
        </w:rPr>
        <w:instrText xml:space="preserve"> REF _Ref343514175 \r \h </w:instrText>
      </w:r>
      <w:r w:rsidR="00654D42">
        <w:rPr>
          <w:rFonts w:ascii="Garamond" w:hAnsi="Garamond"/>
          <w:sz w:val="23"/>
          <w:szCs w:val="23"/>
        </w:rPr>
      </w:r>
      <w:r w:rsidR="00654D42">
        <w:rPr>
          <w:rFonts w:ascii="Garamond" w:hAnsi="Garamond"/>
          <w:sz w:val="23"/>
          <w:szCs w:val="23"/>
        </w:rPr>
        <w:fldChar w:fldCharType="separate"/>
      </w:r>
      <w:r w:rsidR="00451FFF">
        <w:rPr>
          <w:rFonts w:ascii="Garamond" w:hAnsi="Garamond"/>
          <w:sz w:val="23"/>
          <w:szCs w:val="23"/>
        </w:rPr>
        <w:t>D</w:t>
      </w:r>
      <w:r w:rsidR="00654D42">
        <w:rPr>
          <w:rFonts w:ascii="Garamond" w:hAnsi="Garamond"/>
          <w:sz w:val="23"/>
          <w:szCs w:val="23"/>
        </w:rPr>
        <w:fldChar w:fldCharType="end"/>
      </w:r>
      <w:r w:rsidR="00654D42">
        <w:rPr>
          <w:rFonts w:ascii="Garamond" w:hAnsi="Garamond"/>
          <w:sz w:val="23"/>
          <w:szCs w:val="23"/>
        </w:rPr>
        <w:t xml:space="preserve"> and labeled </w:t>
      </w:r>
      <w:r w:rsidR="00684086">
        <w:rPr>
          <w:rFonts w:ascii="Garamond" w:hAnsi="Garamond"/>
          <w:sz w:val="23"/>
          <w:szCs w:val="23"/>
        </w:rPr>
        <w:t>as t</w:t>
      </w:r>
      <w:r w:rsidR="00654D42">
        <w:rPr>
          <w:rFonts w:ascii="Garamond" w:hAnsi="Garamond"/>
          <w:sz w:val="23"/>
          <w:szCs w:val="23"/>
        </w:rPr>
        <w:t>he DR “green” and “red” zones.</w:t>
      </w:r>
    </w:p>
    <w:p w:rsidR="00E37F5B" w:rsidRPr="00E72595" w:rsidRDefault="002453FA" w:rsidP="002453FA">
      <w:pPr>
        <w:pStyle w:val="ListParagraph"/>
        <w:numPr>
          <w:ilvl w:val="0"/>
          <w:numId w:val="19"/>
        </w:numPr>
        <w:spacing w:after="0"/>
        <w:contextualSpacing w:val="0"/>
        <w:rPr>
          <w:rFonts w:ascii="Garamond" w:hAnsi="Garamond"/>
          <w:sz w:val="23"/>
          <w:szCs w:val="23"/>
        </w:rPr>
      </w:pPr>
      <w:r w:rsidRPr="00643267">
        <w:rPr>
          <w:rFonts w:ascii="Garamond" w:eastAsia="Calibri" w:hAnsi="Garamond" w:cs="Times New Roman"/>
          <w:sz w:val="23"/>
          <w:szCs w:val="23"/>
        </w:rPr>
        <w:t>Precisely estimating the number of hours during which DR is likely to be cost-effective</w:t>
      </w:r>
      <w:r w:rsidR="00F17B81">
        <w:rPr>
          <w:rFonts w:ascii="Garamond" w:eastAsia="Calibri" w:hAnsi="Garamond" w:cs="Times New Roman"/>
          <w:sz w:val="23"/>
          <w:szCs w:val="23"/>
        </w:rPr>
        <w:t xml:space="preserve"> or needed for reliability</w:t>
      </w:r>
      <w:r w:rsidRPr="00643267">
        <w:rPr>
          <w:rFonts w:ascii="Garamond" w:eastAsia="Calibri" w:hAnsi="Garamond" w:cs="Times New Roman"/>
          <w:sz w:val="23"/>
          <w:szCs w:val="23"/>
        </w:rPr>
        <w:t xml:space="preserve"> is challenging because of the variation observed</w:t>
      </w:r>
      <w:r>
        <w:rPr>
          <w:rFonts w:ascii="Garamond" w:eastAsia="Calibri" w:hAnsi="Garamond" w:cs="Times New Roman"/>
          <w:sz w:val="23"/>
          <w:szCs w:val="23"/>
        </w:rPr>
        <w:t xml:space="preserve"> in </w:t>
      </w:r>
      <w:r w:rsidR="007E0462">
        <w:rPr>
          <w:rFonts w:ascii="Garamond" w:eastAsia="Calibri" w:hAnsi="Garamond" w:cs="Times New Roman"/>
          <w:sz w:val="23"/>
          <w:szCs w:val="23"/>
        </w:rPr>
        <w:t>Pennsylvania</w:t>
      </w:r>
      <w:r>
        <w:rPr>
          <w:rFonts w:ascii="Garamond" w:eastAsia="Calibri" w:hAnsi="Garamond" w:cs="Times New Roman"/>
          <w:sz w:val="23"/>
          <w:szCs w:val="23"/>
        </w:rPr>
        <w:t xml:space="preserve"> from year to year due to weather and economic</w:t>
      </w:r>
      <w:r w:rsidR="0076112E">
        <w:rPr>
          <w:rFonts w:ascii="Garamond" w:eastAsia="Calibri" w:hAnsi="Garamond" w:cs="Times New Roman"/>
          <w:sz w:val="23"/>
          <w:szCs w:val="23"/>
        </w:rPr>
        <w:t xml:space="preserve"> </w:t>
      </w:r>
      <w:r w:rsidR="00FA6D56">
        <w:rPr>
          <w:rFonts w:ascii="Garamond" w:eastAsia="Calibri" w:hAnsi="Garamond" w:cs="Times New Roman"/>
          <w:sz w:val="23"/>
          <w:szCs w:val="23"/>
        </w:rPr>
        <w:t>conditions</w:t>
      </w:r>
      <w:r>
        <w:rPr>
          <w:rFonts w:ascii="Garamond" w:eastAsia="Calibri" w:hAnsi="Garamond" w:cs="Times New Roman"/>
          <w:sz w:val="23"/>
          <w:szCs w:val="23"/>
        </w:rPr>
        <w:t xml:space="preserve">. Consequently, the SWE recommends that any </w:t>
      </w:r>
      <w:r w:rsidRPr="00643267">
        <w:rPr>
          <w:rFonts w:ascii="Garamond" w:eastAsia="Calibri" w:hAnsi="Garamond" w:cs="Times New Roman"/>
          <w:sz w:val="23"/>
          <w:szCs w:val="23"/>
        </w:rPr>
        <w:t xml:space="preserve">future </w:t>
      </w:r>
      <w:r>
        <w:rPr>
          <w:rFonts w:ascii="Garamond" w:eastAsia="Calibri" w:hAnsi="Garamond" w:cs="Times New Roman"/>
          <w:sz w:val="23"/>
          <w:szCs w:val="23"/>
        </w:rPr>
        <w:t>DR</w:t>
      </w:r>
      <w:r w:rsidRPr="00643267">
        <w:rPr>
          <w:rFonts w:ascii="Garamond" w:eastAsia="Calibri" w:hAnsi="Garamond" w:cs="Times New Roman"/>
          <w:sz w:val="23"/>
          <w:szCs w:val="23"/>
        </w:rPr>
        <w:t xml:space="preserve"> targets be crafted such that the compliance metric is the average load reduction observed over a subset of hours during which </w:t>
      </w:r>
      <w:r>
        <w:rPr>
          <w:rFonts w:ascii="Garamond" w:eastAsia="Calibri" w:hAnsi="Garamond" w:cs="Times New Roman"/>
          <w:sz w:val="23"/>
          <w:szCs w:val="23"/>
        </w:rPr>
        <w:t>DR</w:t>
      </w:r>
      <w:r w:rsidRPr="00643267">
        <w:rPr>
          <w:rFonts w:ascii="Garamond" w:eastAsia="Calibri" w:hAnsi="Garamond" w:cs="Times New Roman"/>
          <w:sz w:val="23"/>
          <w:szCs w:val="23"/>
        </w:rPr>
        <w:t xml:space="preserve"> is likely to provide a cost-effe</w:t>
      </w:r>
      <w:r w:rsidR="00654D42">
        <w:rPr>
          <w:rFonts w:ascii="Garamond" w:eastAsia="Calibri" w:hAnsi="Garamond" w:cs="Times New Roman"/>
          <w:sz w:val="23"/>
          <w:szCs w:val="23"/>
        </w:rPr>
        <w:t>ctive alternative to generation rather than a fixed number of hours.</w:t>
      </w:r>
    </w:p>
    <w:p w:rsidR="00E72595" w:rsidRPr="00E72595" w:rsidRDefault="00E72595" w:rsidP="00E72595">
      <w:pPr>
        <w:pStyle w:val="ListParagraph"/>
        <w:numPr>
          <w:ilvl w:val="0"/>
          <w:numId w:val="19"/>
        </w:numPr>
        <w:spacing w:after="0"/>
        <w:contextualSpacing w:val="0"/>
        <w:rPr>
          <w:rFonts w:ascii="Garamond" w:hAnsi="Garamond"/>
          <w:sz w:val="23"/>
          <w:szCs w:val="23"/>
        </w:rPr>
      </w:pPr>
      <w:r w:rsidRPr="00A51347">
        <w:rPr>
          <w:rFonts w:ascii="Garamond" w:eastAsia="Calibri" w:hAnsi="Garamond" w:cs="Times New Roman"/>
          <w:sz w:val="23"/>
          <w:szCs w:val="23"/>
        </w:rPr>
        <w:t xml:space="preserve">The optimal number of MW to </w:t>
      </w:r>
      <w:r w:rsidR="00825364">
        <w:rPr>
          <w:rFonts w:ascii="Garamond" w:eastAsia="Calibri" w:hAnsi="Garamond" w:cs="Times New Roman"/>
          <w:sz w:val="23"/>
          <w:szCs w:val="23"/>
        </w:rPr>
        <w:t xml:space="preserve">acquire and </w:t>
      </w:r>
      <w:r w:rsidRPr="00A51347">
        <w:rPr>
          <w:rFonts w:ascii="Garamond" w:eastAsia="Calibri" w:hAnsi="Garamond" w:cs="Times New Roman"/>
          <w:sz w:val="23"/>
          <w:szCs w:val="23"/>
        </w:rPr>
        <w:t xml:space="preserve">dispatch in each EDC service territory should be determined through a demand response potential study. Estimates of wholesale price suppression benefits and the amount of load reduction that can be achieved with less aggressive EDC spending will be important components of this assessment. </w:t>
      </w:r>
    </w:p>
    <w:p w:rsidR="0056577A" w:rsidRDefault="0056577A" w:rsidP="0056577A">
      <w:pPr>
        <w:spacing w:after="0"/>
        <w:rPr>
          <w:rFonts w:ascii="Garamond" w:hAnsi="Garamond"/>
          <w:sz w:val="23"/>
          <w:szCs w:val="23"/>
        </w:rPr>
      </w:pPr>
    </w:p>
    <w:p w:rsidR="00184570" w:rsidRPr="00184570" w:rsidRDefault="009A3EE1" w:rsidP="00184570">
      <w:pPr>
        <w:spacing w:after="0" w:line="240" w:lineRule="auto"/>
        <w:ind w:left="360"/>
        <w:rPr>
          <w:rFonts w:ascii="Garamond" w:eastAsia="Calibri" w:hAnsi="Garamond" w:cs="Times New Roman"/>
          <w:sz w:val="23"/>
          <w:szCs w:val="23"/>
        </w:rPr>
      </w:pPr>
      <w:r>
        <w:rPr>
          <w:rFonts w:ascii="Garamond" w:eastAsia="Calibri" w:hAnsi="Garamond" w:cs="Times New Roman"/>
          <w:sz w:val="23"/>
          <w:szCs w:val="23"/>
        </w:rPr>
        <w:t xml:space="preserve">The SWE’s </w:t>
      </w:r>
      <w:r w:rsidR="00184570" w:rsidRPr="00184570">
        <w:rPr>
          <w:rFonts w:ascii="Garamond" w:eastAsia="Calibri" w:hAnsi="Garamond" w:cs="Times New Roman"/>
          <w:sz w:val="23"/>
          <w:szCs w:val="23"/>
        </w:rPr>
        <w:t>recommendation of a DR target based on a variable number of hours poses an important question</w:t>
      </w:r>
      <w:r w:rsidR="0019479E">
        <w:rPr>
          <w:rFonts w:ascii="Garamond" w:eastAsia="Calibri" w:hAnsi="Garamond" w:cs="Times New Roman"/>
          <w:sz w:val="23"/>
          <w:szCs w:val="23"/>
        </w:rPr>
        <w:t xml:space="preserve"> for the Commission</w:t>
      </w:r>
      <w:r w:rsidR="00184570" w:rsidRPr="00184570">
        <w:rPr>
          <w:rFonts w:ascii="Garamond" w:eastAsia="Calibri" w:hAnsi="Garamond" w:cs="Times New Roman"/>
          <w:sz w:val="23"/>
          <w:szCs w:val="23"/>
        </w:rPr>
        <w:t xml:space="preserve">. How should the hours during which DR is likely to be cost-effective be identified? The SWE believes that there are two viable mechanisms by which these hours could be identified. </w:t>
      </w:r>
    </w:p>
    <w:p w:rsidR="00184570" w:rsidRPr="00184570" w:rsidRDefault="00184570" w:rsidP="00184570">
      <w:pPr>
        <w:spacing w:after="0" w:line="240" w:lineRule="auto"/>
        <w:ind w:left="360"/>
        <w:rPr>
          <w:rFonts w:ascii="Garamond" w:eastAsia="Calibri" w:hAnsi="Garamond" w:cs="Times New Roman"/>
          <w:sz w:val="23"/>
          <w:szCs w:val="23"/>
        </w:rPr>
      </w:pPr>
    </w:p>
    <w:p w:rsidR="00184570" w:rsidRPr="0019479E" w:rsidRDefault="007E0462" w:rsidP="00C57D72">
      <w:pPr>
        <w:pStyle w:val="ListParagraph"/>
        <w:numPr>
          <w:ilvl w:val="0"/>
          <w:numId w:val="29"/>
        </w:numPr>
        <w:spacing w:after="0"/>
        <w:rPr>
          <w:rFonts w:ascii="Garamond" w:eastAsia="Calibri" w:hAnsi="Garamond" w:cs="Times New Roman"/>
          <w:sz w:val="23"/>
          <w:szCs w:val="23"/>
        </w:rPr>
      </w:pPr>
      <w:r>
        <w:rPr>
          <w:rFonts w:ascii="Garamond" w:eastAsia="Calibri" w:hAnsi="Garamond" w:cs="Times New Roman"/>
          <w:sz w:val="23"/>
          <w:szCs w:val="23"/>
        </w:rPr>
        <w:lastRenderedPageBreak/>
        <w:t>One</w:t>
      </w:r>
      <w:r w:rsidR="00184570" w:rsidRPr="0019479E">
        <w:rPr>
          <w:rFonts w:ascii="Garamond" w:eastAsia="Calibri" w:hAnsi="Garamond" w:cs="Times New Roman"/>
          <w:sz w:val="23"/>
          <w:szCs w:val="23"/>
        </w:rPr>
        <w:t xml:space="preserve"> possible approach is to consider any hour during which the real-time LMP for an EDC zone is a</w:t>
      </w:r>
      <w:r w:rsidR="009A3EE1">
        <w:rPr>
          <w:rFonts w:ascii="Garamond" w:eastAsia="Calibri" w:hAnsi="Garamond" w:cs="Times New Roman"/>
          <w:sz w:val="23"/>
          <w:szCs w:val="23"/>
        </w:rPr>
        <w:t>bove a certain threshold (</w:t>
      </w:r>
      <w:r w:rsidR="00184570" w:rsidRPr="0019479E">
        <w:rPr>
          <w:rFonts w:ascii="Garamond" w:eastAsia="Calibri" w:hAnsi="Garamond" w:cs="Times New Roman"/>
          <w:sz w:val="23"/>
          <w:szCs w:val="23"/>
        </w:rPr>
        <w:t>$200 to $250</w:t>
      </w:r>
      <w:r w:rsidR="00E72595">
        <w:rPr>
          <w:rFonts w:ascii="Garamond" w:eastAsia="Calibri" w:hAnsi="Garamond" w:cs="Times New Roman"/>
          <w:sz w:val="23"/>
          <w:szCs w:val="23"/>
        </w:rPr>
        <w:t xml:space="preserve"> per MWh</w:t>
      </w:r>
      <w:r w:rsidR="00184570" w:rsidRPr="0019479E">
        <w:rPr>
          <w:rFonts w:ascii="Garamond" w:eastAsia="Calibri" w:hAnsi="Garamond" w:cs="Times New Roman"/>
          <w:sz w:val="23"/>
          <w:szCs w:val="23"/>
        </w:rPr>
        <w:t xml:space="preserve">) </w:t>
      </w:r>
      <w:r w:rsidR="0076112E">
        <w:rPr>
          <w:rFonts w:ascii="Garamond" w:eastAsia="Calibri" w:hAnsi="Garamond" w:cs="Times New Roman"/>
          <w:sz w:val="23"/>
          <w:szCs w:val="23"/>
        </w:rPr>
        <w:t>to be a</w:t>
      </w:r>
      <w:r w:rsidR="00184570" w:rsidRPr="0019479E">
        <w:rPr>
          <w:rFonts w:ascii="Garamond" w:eastAsia="Calibri" w:hAnsi="Garamond" w:cs="Times New Roman"/>
          <w:sz w:val="23"/>
          <w:szCs w:val="23"/>
        </w:rPr>
        <w:t xml:space="preserve"> DR compliance hour. </w:t>
      </w:r>
      <w:r w:rsidR="000918E1">
        <w:rPr>
          <w:rFonts w:ascii="Garamond" w:eastAsia="Calibri" w:hAnsi="Garamond" w:cs="Times New Roman"/>
          <w:sz w:val="23"/>
          <w:szCs w:val="23"/>
        </w:rPr>
        <w:t>LMPs are estimated a day in advance and calculated at five-minute intervals based on actual grid operating conditions and posted on PJM’s website</w:t>
      </w:r>
      <w:r w:rsidR="000918E1">
        <w:rPr>
          <w:rStyle w:val="FootnoteReference"/>
          <w:rFonts w:ascii="Garamond" w:eastAsia="Calibri" w:hAnsi="Garamond" w:cs="Times New Roman"/>
          <w:sz w:val="23"/>
          <w:szCs w:val="23"/>
        </w:rPr>
        <w:footnoteReference w:id="47"/>
      </w:r>
      <w:r w:rsidR="00C57D72">
        <w:rPr>
          <w:rFonts w:ascii="Garamond" w:eastAsia="Calibri" w:hAnsi="Garamond" w:cs="Times New Roman"/>
          <w:sz w:val="23"/>
          <w:szCs w:val="23"/>
        </w:rPr>
        <w:t xml:space="preserve">. </w:t>
      </w:r>
      <w:r w:rsidR="00184570" w:rsidRPr="0019479E">
        <w:rPr>
          <w:rFonts w:ascii="Garamond" w:eastAsia="Calibri" w:hAnsi="Garamond" w:cs="Times New Roman"/>
          <w:sz w:val="23"/>
          <w:szCs w:val="23"/>
        </w:rPr>
        <w:t xml:space="preserve">Compliance with DR targets </w:t>
      </w:r>
      <w:r>
        <w:rPr>
          <w:rFonts w:ascii="Garamond" w:eastAsia="Calibri" w:hAnsi="Garamond" w:cs="Times New Roman"/>
          <w:sz w:val="23"/>
          <w:szCs w:val="23"/>
        </w:rPr>
        <w:t>should then</w:t>
      </w:r>
      <w:r w:rsidR="00184570" w:rsidRPr="0019479E">
        <w:rPr>
          <w:rFonts w:ascii="Garamond" w:eastAsia="Calibri" w:hAnsi="Garamond" w:cs="Times New Roman"/>
          <w:sz w:val="23"/>
          <w:szCs w:val="23"/>
        </w:rPr>
        <w:t xml:space="preserve"> be assessed only over </w:t>
      </w:r>
      <w:r>
        <w:rPr>
          <w:rFonts w:ascii="Garamond" w:eastAsia="Calibri" w:hAnsi="Garamond" w:cs="Times New Roman"/>
          <w:sz w:val="23"/>
          <w:szCs w:val="23"/>
        </w:rPr>
        <w:t>the hours that meet this criterion</w:t>
      </w:r>
      <w:r w:rsidR="00C57D72">
        <w:rPr>
          <w:rFonts w:ascii="Garamond" w:eastAsia="Calibri" w:hAnsi="Garamond" w:cs="Times New Roman"/>
          <w:sz w:val="23"/>
          <w:szCs w:val="23"/>
        </w:rPr>
        <w:t xml:space="preserve">. The actual number of compliance hours could be 5 in a cool summer or 50 in a very hot summer. </w:t>
      </w:r>
      <w:r w:rsidR="00184570" w:rsidRPr="0019479E">
        <w:rPr>
          <w:rFonts w:ascii="Garamond" w:eastAsia="Calibri" w:hAnsi="Garamond" w:cs="Times New Roman"/>
          <w:sz w:val="23"/>
          <w:szCs w:val="23"/>
        </w:rPr>
        <w:t xml:space="preserve">This </w:t>
      </w:r>
      <w:r w:rsidR="00E73F7B">
        <w:rPr>
          <w:rFonts w:ascii="Garamond" w:eastAsia="Calibri" w:hAnsi="Garamond" w:cs="Times New Roman"/>
          <w:sz w:val="23"/>
          <w:szCs w:val="23"/>
        </w:rPr>
        <w:t>methodology</w:t>
      </w:r>
      <w:r w:rsidR="009A3EE1">
        <w:rPr>
          <w:rFonts w:ascii="Garamond" w:eastAsia="Calibri" w:hAnsi="Garamond" w:cs="Times New Roman"/>
          <w:sz w:val="23"/>
          <w:szCs w:val="23"/>
        </w:rPr>
        <w:t xml:space="preserve"> would also address </w:t>
      </w:r>
      <w:r w:rsidR="00184570" w:rsidRPr="0019479E">
        <w:rPr>
          <w:rFonts w:ascii="Garamond" w:eastAsia="Calibri" w:hAnsi="Garamond" w:cs="Times New Roman"/>
          <w:sz w:val="23"/>
          <w:szCs w:val="23"/>
        </w:rPr>
        <w:t>difference</w:t>
      </w:r>
      <w:r w:rsidR="009A3EE1">
        <w:rPr>
          <w:rFonts w:ascii="Garamond" w:eastAsia="Calibri" w:hAnsi="Garamond" w:cs="Times New Roman"/>
          <w:sz w:val="23"/>
          <w:szCs w:val="23"/>
        </w:rPr>
        <w:t>s</w:t>
      </w:r>
      <w:r w:rsidR="00184570" w:rsidRPr="0019479E">
        <w:rPr>
          <w:rFonts w:ascii="Garamond" w:eastAsia="Calibri" w:hAnsi="Garamond" w:cs="Times New Roman"/>
          <w:sz w:val="23"/>
          <w:szCs w:val="23"/>
        </w:rPr>
        <w:t xml:space="preserve"> in peak energy prices between EDCs. Another advantage of this approach is that it allows EDCs to respond to generation shortfalls (</w:t>
      </w:r>
      <w:r w:rsidR="00F17B81" w:rsidRPr="0019479E">
        <w:rPr>
          <w:rFonts w:ascii="Garamond" w:eastAsia="Calibri" w:hAnsi="Garamond" w:cs="Times New Roman"/>
          <w:sz w:val="23"/>
          <w:szCs w:val="23"/>
        </w:rPr>
        <w:t>the DR “red zone”</w:t>
      </w:r>
      <w:r w:rsidR="00184570" w:rsidRPr="0019479E">
        <w:rPr>
          <w:rFonts w:ascii="Garamond" w:eastAsia="Calibri" w:hAnsi="Garamond" w:cs="Times New Roman"/>
          <w:sz w:val="23"/>
          <w:szCs w:val="23"/>
        </w:rPr>
        <w:t>) as well high demand</w:t>
      </w:r>
      <w:r w:rsidR="00F17B81" w:rsidRPr="0019479E">
        <w:rPr>
          <w:rFonts w:ascii="Garamond" w:eastAsia="Calibri" w:hAnsi="Garamond" w:cs="Times New Roman"/>
          <w:sz w:val="23"/>
          <w:szCs w:val="23"/>
        </w:rPr>
        <w:t xml:space="preserve"> (the DR “green zone”)</w:t>
      </w:r>
      <w:r>
        <w:rPr>
          <w:rFonts w:ascii="Garamond" w:eastAsia="Calibri" w:hAnsi="Garamond" w:cs="Times New Roman"/>
          <w:sz w:val="23"/>
          <w:szCs w:val="23"/>
        </w:rPr>
        <w:t xml:space="preserve"> explained in </w:t>
      </w:r>
      <w:r w:rsidR="00C57D72" w:rsidRPr="00C57D72">
        <w:rPr>
          <w:rFonts w:ascii="Garamond" w:eastAsia="Calibri" w:hAnsi="Garamond" w:cs="Times New Roman"/>
          <w:sz w:val="23"/>
          <w:szCs w:val="23"/>
        </w:rPr>
        <w:t xml:space="preserve">Section </w:t>
      </w:r>
      <w:r w:rsidR="00C57D72" w:rsidRPr="00C57D72">
        <w:rPr>
          <w:rFonts w:ascii="Garamond" w:eastAsia="Calibri" w:hAnsi="Garamond" w:cs="Times New Roman"/>
          <w:sz w:val="23"/>
          <w:szCs w:val="23"/>
        </w:rPr>
        <w:fldChar w:fldCharType="begin"/>
      </w:r>
      <w:r w:rsidR="00C57D72" w:rsidRPr="00C57D72">
        <w:rPr>
          <w:rFonts w:ascii="Garamond" w:eastAsia="Calibri" w:hAnsi="Garamond" w:cs="Times New Roman"/>
          <w:sz w:val="23"/>
          <w:szCs w:val="23"/>
        </w:rPr>
        <w:instrText xml:space="preserve"> REF _Ref343514175 \r \h </w:instrText>
      </w:r>
      <w:r w:rsidR="00C57D72">
        <w:rPr>
          <w:rFonts w:ascii="Garamond" w:eastAsia="Calibri" w:hAnsi="Garamond" w:cs="Times New Roman"/>
          <w:sz w:val="23"/>
          <w:szCs w:val="23"/>
        </w:rPr>
        <w:instrText xml:space="preserve"> \* MERGEFORMAT </w:instrText>
      </w:r>
      <w:r w:rsidR="00C57D72" w:rsidRPr="00C57D72">
        <w:rPr>
          <w:rFonts w:ascii="Garamond" w:eastAsia="Calibri" w:hAnsi="Garamond" w:cs="Times New Roman"/>
          <w:sz w:val="23"/>
          <w:szCs w:val="23"/>
        </w:rPr>
      </w:r>
      <w:r w:rsidR="00C57D72" w:rsidRPr="00C57D72">
        <w:rPr>
          <w:rFonts w:ascii="Garamond" w:eastAsia="Calibri" w:hAnsi="Garamond" w:cs="Times New Roman"/>
          <w:sz w:val="23"/>
          <w:szCs w:val="23"/>
        </w:rPr>
        <w:fldChar w:fldCharType="separate"/>
      </w:r>
      <w:r w:rsidR="00451FFF">
        <w:rPr>
          <w:rFonts w:ascii="Garamond" w:eastAsia="Calibri" w:hAnsi="Garamond" w:cs="Times New Roman"/>
          <w:sz w:val="23"/>
          <w:szCs w:val="23"/>
        </w:rPr>
        <w:t>D</w:t>
      </w:r>
      <w:r w:rsidR="00C57D72" w:rsidRPr="00C57D72">
        <w:rPr>
          <w:rFonts w:ascii="Garamond" w:eastAsia="Calibri" w:hAnsi="Garamond" w:cs="Times New Roman"/>
          <w:sz w:val="23"/>
          <w:szCs w:val="23"/>
        </w:rPr>
        <w:fldChar w:fldCharType="end"/>
      </w:r>
      <w:r>
        <w:rPr>
          <w:rFonts w:ascii="Garamond" w:eastAsia="Calibri" w:hAnsi="Garamond" w:cs="Times New Roman"/>
          <w:sz w:val="23"/>
          <w:szCs w:val="23"/>
        </w:rPr>
        <w:t xml:space="preserve"> of this report</w:t>
      </w:r>
      <w:r w:rsidR="00184570" w:rsidRPr="0019479E">
        <w:rPr>
          <w:rFonts w:ascii="Garamond" w:eastAsia="Calibri" w:hAnsi="Garamond" w:cs="Times New Roman"/>
          <w:sz w:val="23"/>
          <w:szCs w:val="23"/>
        </w:rPr>
        <w:t xml:space="preserve">. </w:t>
      </w:r>
      <w:r w:rsidR="001674E8">
        <w:rPr>
          <w:rFonts w:ascii="Garamond" w:eastAsia="Calibri" w:hAnsi="Garamond" w:cs="Times New Roman"/>
          <w:sz w:val="23"/>
          <w:szCs w:val="23"/>
        </w:rPr>
        <w:t>A d</w:t>
      </w:r>
      <w:r w:rsidR="00C57D72">
        <w:rPr>
          <w:rFonts w:ascii="Garamond" w:eastAsia="Calibri" w:hAnsi="Garamond" w:cs="Times New Roman"/>
          <w:sz w:val="23"/>
          <w:szCs w:val="23"/>
        </w:rPr>
        <w:t>rawback</w:t>
      </w:r>
      <w:r w:rsidR="001674E8">
        <w:rPr>
          <w:rFonts w:ascii="Garamond" w:eastAsia="Calibri" w:hAnsi="Garamond" w:cs="Times New Roman"/>
          <w:sz w:val="23"/>
          <w:szCs w:val="23"/>
        </w:rPr>
        <w:t xml:space="preserve"> of this approach is</w:t>
      </w:r>
      <w:r w:rsidR="00C57D72">
        <w:rPr>
          <w:rFonts w:ascii="Garamond" w:eastAsia="Calibri" w:hAnsi="Garamond" w:cs="Times New Roman"/>
          <w:sz w:val="23"/>
          <w:szCs w:val="23"/>
        </w:rPr>
        <w:t xml:space="preserve"> that it requires EDCs to forecast whether LMPs will reach the trigger point on a given day and dispatch DR resources accordingly</w:t>
      </w:r>
      <w:r w:rsidR="001674E8">
        <w:rPr>
          <w:rFonts w:ascii="Garamond" w:eastAsia="Calibri" w:hAnsi="Garamond" w:cs="Times New Roman"/>
          <w:sz w:val="23"/>
          <w:szCs w:val="23"/>
        </w:rPr>
        <w:t xml:space="preserve">. </w:t>
      </w:r>
      <w:r w:rsidR="00C57D72">
        <w:rPr>
          <w:rFonts w:ascii="Garamond" w:eastAsia="Calibri" w:hAnsi="Garamond" w:cs="Times New Roman"/>
          <w:sz w:val="23"/>
          <w:szCs w:val="23"/>
        </w:rPr>
        <w:t>A forecasting error could result in resources being dispatched during an hour which will not ultimately be used to assess compliance, or in not dispatching resources during a compliance hour.</w:t>
      </w:r>
      <w:r w:rsidR="001674E8">
        <w:rPr>
          <w:rFonts w:ascii="Garamond" w:eastAsia="Calibri" w:hAnsi="Garamond" w:cs="Times New Roman"/>
          <w:sz w:val="23"/>
          <w:szCs w:val="23"/>
        </w:rPr>
        <w:t xml:space="preserve"> There is also a potential inability of air-conditioning based load reductions such as DLC to respond to the “red zone” if outdoor temperatures are low.</w:t>
      </w:r>
    </w:p>
    <w:p w:rsidR="00184570" w:rsidRPr="00184570" w:rsidRDefault="00184570" w:rsidP="00184570">
      <w:pPr>
        <w:spacing w:after="0" w:line="240" w:lineRule="auto"/>
        <w:ind w:left="360"/>
        <w:rPr>
          <w:rFonts w:ascii="Garamond" w:eastAsia="Calibri" w:hAnsi="Garamond" w:cs="Times New Roman"/>
          <w:sz w:val="23"/>
          <w:szCs w:val="23"/>
        </w:rPr>
      </w:pPr>
    </w:p>
    <w:p w:rsidR="00184570" w:rsidRPr="0019479E" w:rsidRDefault="00184570" w:rsidP="00C57D72">
      <w:pPr>
        <w:pStyle w:val="ListParagraph"/>
        <w:numPr>
          <w:ilvl w:val="0"/>
          <w:numId w:val="29"/>
        </w:numPr>
        <w:spacing w:after="0"/>
        <w:rPr>
          <w:rFonts w:ascii="Garamond" w:eastAsia="Calibri" w:hAnsi="Garamond" w:cs="Times New Roman"/>
          <w:sz w:val="23"/>
          <w:szCs w:val="23"/>
        </w:rPr>
      </w:pPr>
      <w:r w:rsidRPr="0019479E">
        <w:rPr>
          <w:rFonts w:ascii="Garamond" w:eastAsia="Calibri" w:hAnsi="Garamond" w:cs="Times New Roman"/>
          <w:sz w:val="23"/>
          <w:szCs w:val="23"/>
        </w:rPr>
        <w:t xml:space="preserve">An alternative </w:t>
      </w:r>
      <w:r w:rsidR="007E0462">
        <w:rPr>
          <w:rFonts w:ascii="Garamond" w:eastAsia="Calibri" w:hAnsi="Garamond" w:cs="Times New Roman"/>
          <w:sz w:val="23"/>
          <w:szCs w:val="23"/>
        </w:rPr>
        <w:t>approach</w:t>
      </w:r>
      <w:r w:rsidRPr="0019479E">
        <w:rPr>
          <w:rFonts w:ascii="Garamond" w:eastAsia="Calibri" w:hAnsi="Garamond" w:cs="Times New Roman"/>
          <w:sz w:val="23"/>
          <w:szCs w:val="23"/>
        </w:rPr>
        <w:t xml:space="preserve"> to establish DR compliance hours would be to compare the EDC day-ahead forecast</w:t>
      </w:r>
      <w:r w:rsidR="007E0462">
        <w:rPr>
          <w:rFonts w:ascii="Garamond" w:eastAsia="Calibri" w:hAnsi="Garamond" w:cs="Times New Roman"/>
          <w:sz w:val="23"/>
          <w:szCs w:val="23"/>
        </w:rPr>
        <w:t>s</w:t>
      </w:r>
      <w:r w:rsidRPr="0019479E">
        <w:rPr>
          <w:rFonts w:ascii="Garamond" w:eastAsia="Calibri" w:hAnsi="Garamond" w:cs="Times New Roman"/>
          <w:sz w:val="23"/>
          <w:szCs w:val="23"/>
        </w:rPr>
        <w:t xml:space="preserve"> with the EDC annual peak load forecast</w:t>
      </w:r>
      <w:r w:rsidR="007E0462">
        <w:rPr>
          <w:rFonts w:ascii="Garamond" w:eastAsia="Calibri" w:hAnsi="Garamond" w:cs="Times New Roman"/>
          <w:sz w:val="23"/>
          <w:szCs w:val="23"/>
        </w:rPr>
        <w:t>s</w:t>
      </w:r>
      <w:r w:rsidRPr="0019479E">
        <w:rPr>
          <w:rFonts w:ascii="Garamond" w:eastAsia="Calibri" w:hAnsi="Garamond" w:cs="Times New Roman"/>
          <w:sz w:val="23"/>
          <w:szCs w:val="23"/>
        </w:rPr>
        <w:t xml:space="preserve">. If the day-ahead forecast is above a certain threshold (97%-99%) of the </w:t>
      </w:r>
      <w:r w:rsidR="00351402">
        <w:rPr>
          <w:rFonts w:ascii="Garamond" w:eastAsia="Calibri" w:hAnsi="Garamond" w:cs="Times New Roman"/>
          <w:sz w:val="23"/>
          <w:szCs w:val="23"/>
        </w:rPr>
        <w:t>summer peak demand forecast</w:t>
      </w:r>
      <w:r w:rsidR="00351402">
        <w:rPr>
          <w:rStyle w:val="FootnoteReference"/>
          <w:rFonts w:ascii="Garamond" w:eastAsia="Calibri" w:hAnsi="Garamond" w:cs="Times New Roman"/>
          <w:sz w:val="23"/>
          <w:szCs w:val="23"/>
        </w:rPr>
        <w:footnoteReference w:id="48"/>
      </w:r>
      <w:r w:rsidRPr="0019479E">
        <w:rPr>
          <w:rFonts w:ascii="Garamond" w:eastAsia="Calibri" w:hAnsi="Garamond" w:cs="Times New Roman"/>
          <w:sz w:val="23"/>
          <w:szCs w:val="23"/>
        </w:rPr>
        <w:t xml:space="preserve">, DR resources should be called for a logical subset of hours, such as 2:00 pm to 5:00 pm or 3:00 pm to 6:00 pm. </w:t>
      </w:r>
      <w:r w:rsidR="007E0462">
        <w:rPr>
          <w:rFonts w:ascii="Garamond" w:eastAsia="Calibri" w:hAnsi="Garamond" w:cs="Times New Roman"/>
          <w:sz w:val="23"/>
          <w:szCs w:val="23"/>
        </w:rPr>
        <w:t>This</w:t>
      </w:r>
      <w:r w:rsidRPr="0019479E">
        <w:rPr>
          <w:rFonts w:ascii="Garamond" w:eastAsia="Calibri" w:hAnsi="Garamond" w:cs="Times New Roman"/>
          <w:sz w:val="23"/>
          <w:szCs w:val="23"/>
        </w:rPr>
        <w:t xml:space="preserve"> </w:t>
      </w:r>
      <w:r w:rsidR="00E73F7B">
        <w:rPr>
          <w:rFonts w:ascii="Garamond" w:eastAsia="Calibri" w:hAnsi="Garamond" w:cs="Times New Roman"/>
          <w:sz w:val="23"/>
          <w:szCs w:val="23"/>
        </w:rPr>
        <w:t>meth</w:t>
      </w:r>
      <w:r w:rsidR="00C57D72">
        <w:rPr>
          <w:rFonts w:ascii="Garamond" w:eastAsia="Calibri" w:hAnsi="Garamond" w:cs="Times New Roman"/>
          <w:sz w:val="23"/>
          <w:szCs w:val="23"/>
        </w:rPr>
        <w:t>o</w:t>
      </w:r>
      <w:r w:rsidR="00E73F7B">
        <w:rPr>
          <w:rFonts w:ascii="Garamond" w:eastAsia="Calibri" w:hAnsi="Garamond" w:cs="Times New Roman"/>
          <w:sz w:val="23"/>
          <w:szCs w:val="23"/>
        </w:rPr>
        <w:t>dology</w:t>
      </w:r>
      <w:r w:rsidRPr="0019479E">
        <w:rPr>
          <w:rFonts w:ascii="Garamond" w:eastAsia="Calibri" w:hAnsi="Garamond" w:cs="Times New Roman"/>
          <w:sz w:val="23"/>
          <w:szCs w:val="23"/>
        </w:rPr>
        <w:t xml:space="preserve"> would typically produce a different number of compliance hours between EDCs and the total number of hours over which DR is evaluated would be highly correlated to </w:t>
      </w:r>
      <w:r w:rsidR="007E0462">
        <w:rPr>
          <w:rFonts w:ascii="Garamond" w:eastAsia="Calibri" w:hAnsi="Garamond" w:cs="Times New Roman"/>
          <w:sz w:val="23"/>
          <w:szCs w:val="23"/>
        </w:rPr>
        <w:t xml:space="preserve">the </w:t>
      </w:r>
      <w:r w:rsidRPr="0019479E">
        <w:rPr>
          <w:rFonts w:ascii="Garamond" w:eastAsia="Calibri" w:hAnsi="Garamond" w:cs="Times New Roman"/>
          <w:sz w:val="23"/>
          <w:szCs w:val="23"/>
        </w:rPr>
        <w:t>weather</w:t>
      </w:r>
      <w:r w:rsidR="007E0462">
        <w:rPr>
          <w:rFonts w:ascii="Garamond" w:eastAsia="Calibri" w:hAnsi="Garamond" w:cs="Times New Roman"/>
          <w:sz w:val="23"/>
          <w:szCs w:val="23"/>
        </w:rPr>
        <w:t xml:space="preserve"> conditions in the performance period</w:t>
      </w:r>
      <w:r w:rsidRPr="0019479E">
        <w:rPr>
          <w:rFonts w:ascii="Garamond" w:eastAsia="Calibri" w:hAnsi="Garamond" w:cs="Times New Roman"/>
          <w:sz w:val="23"/>
          <w:szCs w:val="23"/>
        </w:rPr>
        <w:t xml:space="preserve">. </w:t>
      </w:r>
      <w:r w:rsidR="00E73F7B">
        <w:rPr>
          <w:rFonts w:ascii="Garamond" w:eastAsia="Calibri" w:hAnsi="Garamond" w:cs="Times New Roman"/>
          <w:sz w:val="23"/>
          <w:szCs w:val="23"/>
        </w:rPr>
        <w:t xml:space="preserve">The </w:t>
      </w:r>
      <w:r w:rsidRPr="0019479E">
        <w:rPr>
          <w:rFonts w:ascii="Garamond" w:eastAsia="Calibri" w:hAnsi="Garamond" w:cs="Times New Roman"/>
          <w:sz w:val="23"/>
          <w:szCs w:val="23"/>
        </w:rPr>
        <w:t xml:space="preserve">advantage of this </w:t>
      </w:r>
      <w:r w:rsidR="00E73F7B">
        <w:rPr>
          <w:rFonts w:ascii="Garamond" w:eastAsia="Calibri" w:hAnsi="Garamond" w:cs="Times New Roman"/>
          <w:sz w:val="23"/>
          <w:szCs w:val="23"/>
        </w:rPr>
        <w:t>methodology</w:t>
      </w:r>
      <w:r w:rsidRPr="0019479E">
        <w:rPr>
          <w:rFonts w:ascii="Garamond" w:eastAsia="Calibri" w:hAnsi="Garamond" w:cs="Times New Roman"/>
          <w:sz w:val="23"/>
          <w:szCs w:val="23"/>
        </w:rPr>
        <w:t xml:space="preserve"> is that it provides the EDCs and their customers </w:t>
      </w:r>
      <w:r w:rsidR="00E73F7B">
        <w:rPr>
          <w:rFonts w:ascii="Garamond" w:eastAsia="Calibri" w:hAnsi="Garamond" w:cs="Times New Roman"/>
          <w:sz w:val="23"/>
          <w:szCs w:val="23"/>
        </w:rPr>
        <w:t>sufficient</w:t>
      </w:r>
      <w:r w:rsidRPr="0019479E">
        <w:rPr>
          <w:rFonts w:ascii="Garamond" w:eastAsia="Calibri" w:hAnsi="Garamond" w:cs="Times New Roman"/>
          <w:sz w:val="23"/>
          <w:szCs w:val="23"/>
        </w:rPr>
        <w:t xml:space="preserve"> advance notice of when curtailment activities will be needed. </w:t>
      </w:r>
      <w:r w:rsidR="00E73F7B">
        <w:rPr>
          <w:rFonts w:ascii="Garamond" w:eastAsia="Calibri" w:hAnsi="Garamond" w:cs="Times New Roman"/>
          <w:sz w:val="23"/>
          <w:szCs w:val="23"/>
        </w:rPr>
        <w:t>Secondly, it</w:t>
      </w:r>
      <w:r w:rsidRPr="0019479E">
        <w:rPr>
          <w:rFonts w:ascii="Garamond" w:eastAsia="Calibri" w:hAnsi="Garamond" w:cs="Times New Roman"/>
          <w:sz w:val="23"/>
          <w:szCs w:val="23"/>
        </w:rPr>
        <w:t xml:space="preserve"> eliminates the possibility of </w:t>
      </w:r>
      <w:r w:rsidR="00E73F7B">
        <w:rPr>
          <w:rFonts w:ascii="Garamond" w:eastAsia="Calibri" w:hAnsi="Garamond" w:cs="Times New Roman"/>
          <w:sz w:val="23"/>
          <w:szCs w:val="23"/>
        </w:rPr>
        <w:t>EDC’s purchasing</w:t>
      </w:r>
      <w:r w:rsidRPr="0019479E">
        <w:rPr>
          <w:rFonts w:ascii="Garamond" w:eastAsia="Calibri" w:hAnsi="Garamond" w:cs="Times New Roman"/>
          <w:sz w:val="23"/>
          <w:szCs w:val="23"/>
        </w:rPr>
        <w:t xml:space="preserve"> DR resources that do not ultimately count towards the compliance target. </w:t>
      </w:r>
      <w:r w:rsidR="00F17B81" w:rsidRPr="0019479E">
        <w:rPr>
          <w:rFonts w:ascii="Garamond" w:eastAsia="Calibri" w:hAnsi="Garamond" w:cs="Times New Roman"/>
          <w:sz w:val="23"/>
          <w:szCs w:val="23"/>
        </w:rPr>
        <w:t xml:space="preserve">The drawback </w:t>
      </w:r>
      <w:r w:rsidR="00E73F7B">
        <w:rPr>
          <w:rFonts w:ascii="Garamond" w:eastAsia="Calibri" w:hAnsi="Garamond" w:cs="Times New Roman"/>
          <w:sz w:val="23"/>
          <w:szCs w:val="23"/>
        </w:rPr>
        <w:t>of this methodology</w:t>
      </w:r>
      <w:r w:rsidR="00F17B81" w:rsidRPr="0019479E">
        <w:rPr>
          <w:rFonts w:ascii="Garamond" w:eastAsia="Calibri" w:hAnsi="Garamond" w:cs="Times New Roman"/>
          <w:sz w:val="23"/>
          <w:szCs w:val="23"/>
        </w:rPr>
        <w:t xml:space="preserve"> is that it only accounts for the DR “green zone” and does not address the DR “red zone”</w:t>
      </w:r>
      <w:r w:rsidR="00E73F7B">
        <w:rPr>
          <w:rFonts w:ascii="Garamond" w:eastAsia="Calibri" w:hAnsi="Garamond" w:cs="Times New Roman"/>
          <w:sz w:val="23"/>
          <w:szCs w:val="23"/>
        </w:rPr>
        <w:t xml:space="preserve"> explained in </w:t>
      </w:r>
      <w:r w:rsidR="00C57D72" w:rsidRPr="00C57D72">
        <w:rPr>
          <w:rFonts w:ascii="Garamond" w:eastAsia="Calibri" w:hAnsi="Garamond" w:cs="Times New Roman"/>
          <w:sz w:val="23"/>
          <w:szCs w:val="23"/>
        </w:rPr>
        <w:t xml:space="preserve">Section </w:t>
      </w:r>
      <w:r w:rsidR="00C57D72" w:rsidRPr="00C57D72">
        <w:rPr>
          <w:rFonts w:ascii="Garamond" w:eastAsia="Calibri" w:hAnsi="Garamond" w:cs="Times New Roman"/>
          <w:sz w:val="23"/>
          <w:szCs w:val="23"/>
        </w:rPr>
        <w:fldChar w:fldCharType="begin"/>
      </w:r>
      <w:r w:rsidR="00C57D72" w:rsidRPr="00C57D72">
        <w:rPr>
          <w:rFonts w:ascii="Garamond" w:eastAsia="Calibri" w:hAnsi="Garamond" w:cs="Times New Roman"/>
          <w:sz w:val="23"/>
          <w:szCs w:val="23"/>
        </w:rPr>
        <w:instrText xml:space="preserve"> REF _Ref343514175 \r \h </w:instrText>
      </w:r>
      <w:r w:rsidR="00C57D72">
        <w:rPr>
          <w:rFonts w:ascii="Garamond" w:eastAsia="Calibri" w:hAnsi="Garamond" w:cs="Times New Roman"/>
          <w:sz w:val="23"/>
          <w:szCs w:val="23"/>
        </w:rPr>
        <w:instrText xml:space="preserve"> \* MERGEFORMAT </w:instrText>
      </w:r>
      <w:r w:rsidR="00C57D72" w:rsidRPr="00C57D72">
        <w:rPr>
          <w:rFonts w:ascii="Garamond" w:eastAsia="Calibri" w:hAnsi="Garamond" w:cs="Times New Roman"/>
          <w:sz w:val="23"/>
          <w:szCs w:val="23"/>
        </w:rPr>
      </w:r>
      <w:r w:rsidR="00C57D72" w:rsidRPr="00C57D72">
        <w:rPr>
          <w:rFonts w:ascii="Garamond" w:eastAsia="Calibri" w:hAnsi="Garamond" w:cs="Times New Roman"/>
          <w:sz w:val="23"/>
          <w:szCs w:val="23"/>
        </w:rPr>
        <w:fldChar w:fldCharType="separate"/>
      </w:r>
      <w:r w:rsidR="00451FFF">
        <w:rPr>
          <w:rFonts w:ascii="Garamond" w:eastAsia="Calibri" w:hAnsi="Garamond" w:cs="Times New Roman"/>
          <w:sz w:val="23"/>
          <w:szCs w:val="23"/>
        </w:rPr>
        <w:t>D</w:t>
      </w:r>
      <w:r w:rsidR="00C57D72" w:rsidRPr="00C57D72">
        <w:rPr>
          <w:rFonts w:ascii="Garamond" w:eastAsia="Calibri" w:hAnsi="Garamond" w:cs="Times New Roman"/>
          <w:sz w:val="23"/>
          <w:szCs w:val="23"/>
        </w:rPr>
        <w:fldChar w:fldCharType="end"/>
      </w:r>
      <w:r w:rsidR="00E73F7B">
        <w:rPr>
          <w:rFonts w:ascii="Garamond" w:eastAsia="Calibri" w:hAnsi="Garamond" w:cs="Times New Roman"/>
          <w:sz w:val="23"/>
          <w:szCs w:val="23"/>
        </w:rPr>
        <w:t xml:space="preserve"> of this report</w:t>
      </w:r>
      <w:r w:rsidR="00F17B81" w:rsidRPr="0019479E">
        <w:rPr>
          <w:rFonts w:ascii="Garamond" w:eastAsia="Calibri" w:hAnsi="Garamond" w:cs="Times New Roman"/>
          <w:sz w:val="23"/>
          <w:szCs w:val="23"/>
        </w:rPr>
        <w:t xml:space="preserve">. The historical analysis of LMPs </w:t>
      </w:r>
      <w:r w:rsidR="00E73F7B">
        <w:rPr>
          <w:rFonts w:ascii="Garamond" w:eastAsia="Calibri" w:hAnsi="Garamond" w:cs="Times New Roman"/>
          <w:sz w:val="23"/>
          <w:szCs w:val="23"/>
        </w:rPr>
        <w:t xml:space="preserve">explained in </w:t>
      </w:r>
      <w:r w:rsidR="003F45CE" w:rsidRPr="003F45CE">
        <w:rPr>
          <w:rFonts w:ascii="Garamond" w:eastAsia="Calibri" w:hAnsi="Garamond" w:cs="Times New Roman"/>
          <w:sz w:val="23"/>
          <w:szCs w:val="23"/>
        </w:rPr>
        <w:t xml:space="preserve">Section </w:t>
      </w:r>
      <w:r w:rsidR="003F45CE" w:rsidRPr="003F45CE">
        <w:rPr>
          <w:rFonts w:ascii="Garamond" w:eastAsia="Calibri" w:hAnsi="Garamond" w:cs="Times New Roman"/>
          <w:sz w:val="23"/>
          <w:szCs w:val="23"/>
        </w:rPr>
        <w:fldChar w:fldCharType="begin"/>
      </w:r>
      <w:r w:rsidR="003F45CE" w:rsidRPr="003F45CE">
        <w:rPr>
          <w:rFonts w:ascii="Garamond" w:eastAsia="Calibri" w:hAnsi="Garamond" w:cs="Times New Roman"/>
          <w:sz w:val="23"/>
          <w:szCs w:val="23"/>
        </w:rPr>
        <w:instrText xml:space="preserve"> REF _Ref343514175 \r \h </w:instrText>
      </w:r>
      <w:r w:rsidR="003F45CE">
        <w:rPr>
          <w:rFonts w:ascii="Garamond" w:eastAsia="Calibri" w:hAnsi="Garamond" w:cs="Times New Roman"/>
          <w:sz w:val="23"/>
          <w:szCs w:val="23"/>
        </w:rPr>
        <w:instrText xml:space="preserve"> \* MERGEFORMAT </w:instrText>
      </w:r>
      <w:r w:rsidR="003F45CE" w:rsidRPr="003F45CE">
        <w:rPr>
          <w:rFonts w:ascii="Garamond" w:eastAsia="Calibri" w:hAnsi="Garamond" w:cs="Times New Roman"/>
          <w:sz w:val="23"/>
          <w:szCs w:val="23"/>
        </w:rPr>
      </w:r>
      <w:r w:rsidR="003F45CE" w:rsidRPr="003F45CE">
        <w:rPr>
          <w:rFonts w:ascii="Garamond" w:eastAsia="Calibri" w:hAnsi="Garamond" w:cs="Times New Roman"/>
          <w:sz w:val="23"/>
          <w:szCs w:val="23"/>
        </w:rPr>
        <w:fldChar w:fldCharType="separate"/>
      </w:r>
      <w:r w:rsidR="00451FFF">
        <w:rPr>
          <w:rFonts w:ascii="Garamond" w:eastAsia="Calibri" w:hAnsi="Garamond" w:cs="Times New Roman"/>
          <w:sz w:val="23"/>
          <w:szCs w:val="23"/>
        </w:rPr>
        <w:t>D</w:t>
      </w:r>
      <w:r w:rsidR="003F45CE" w:rsidRPr="003F45CE">
        <w:rPr>
          <w:rFonts w:ascii="Garamond" w:eastAsia="Calibri" w:hAnsi="Garamond" w:cs="Times New Roman"/>
          <w:sz w:val="23"/>
          <w:szCs w:val="23"/>
        </w:rPr>
        <w:fldChar w:fldCharType="end"/>
      </w:r>
      <w:r w:rsidR="00F17B81" w:rsidRPr="0019479E">
        <w:rPr>
          <w:rFonts w:ascii="Garamond" w:eastAsia="Calibri" w:hAnsi="Garamond" w:cs="Times New Roman"/>
          <w:sz w:val="23"/>
          <w:szCs w:val="23"/>
        </w:rPr>
        <w:t xml:space="preserve"> has shown that market </w:t>
      </w:r>
      <w:r w:rsidR="00E73F7B">
        <w:rPr>
          <w:rFonts w:ascii="Garamond" w:eastAsia="Calibri" w:hAnsi="Garamond" w:cs="Times New Roman"/>
          <w:sz w:val="23"/>
          <w:szCs w:val="23"/>
        </w:rPr>
        <w:t>energy prices in Pennsylvania</w:t>
      </w:r>
      <w:r w:rsidR="00F17B81" w:rsidRPr="0019479E">
        <w:rPr>
          <w:rFonts w:ascii="Garamond" w:eastAsia="Calibri" w:hAnsi="Garamond" w:cs="Times New Roman"/>
          <w:sz w:val="23"/>
          <w:szCs w:val="23"/>
        </w:rPr>
        <w:t xml:space="preserve"> and </w:t>
      </w:r>
      <w:r w:rsidR="00E73F7B">
        <w:rPr>
          <w:rFonts w:ascii="Garamond" w:eastAsia="Calibri" w:hAnsi="Garamond" w:cs="Times New Roman"/>
          <w:sz w:val="23"/>
          <w:szCs w:val="23"/>
        </w:rPr>
        <w:t xml:space="preserve">the </w:t>
      </w:r>
      <w:r w:rsidR="00F17B81" w:rsidRPr="0019479E">
        <w:rPr>
          <w:rFonts w:ascii="Garamond" w:eastAsia="Calibri" w:hAnsi="Garamond" w:cs="Times New Roman"/>
          <w:sz w:val="23"/>
          <w:szCs w:val="23"/>
        </w:rPr>
        <w:t>need for curtailment is often highest when load is moderately high and large generators go offline unexpectedly.</w:t>
      </w:r>
    </w:p>
    <w:p w:rsidR="00184570" w:rsidRPr="00184570" w:rsidRDefault="00184570" w:rsidP="00184570">
      <w:pPr>
        <w:spacing w:after="0" w:line="240" w:lineRule="auto"/>
        <w:ind w:left="360"/>
        <w:rPr>
          <w:rFonts w:ascii="Garamond" w:eastAsia="Calibri" w:hAnsi="Garamond" w:cs="Times New Roman"/>
          <w:sz w:val="23"/>
          <w:szCs w:val="23"/>
        </w:rPr>
      </w:pPr>
    </w:p>
    <w:p w:rsidR="00184570" w:rsidRDefault="00E73F7B" w:rsidP="00184570">
      <w:pPr>
        <w:spacing w:after="0" w:line="240" w:lineRule="auto"/>
        <w:ind w:left="360"/>
        <w:rPr>
          <w:rFonts w:ascii="Garamond" w:eastAsia="Calibri" w:hAnsi="Garamond" w:cs="Times New Roman"/>
          <w:sz w:val="23"/>
          <w:szCs w:val="23"/>
        </w:rPr>
      </w:pPr>
      <w:r>
        <w:rPr>
          <w:rFonts w:ascii="Garamond" w:eastAsia="Calibri" w:hAnsi="Garamond" w:cs="Times New Roman"/>
          <w:sz w:val="23"/>
          <w:szCs w:val="23"/>
        </w:rPr>
        <w:t>It is important to recognize that there</w:t>
      </w:r>
      <w:r w:rsidR="00184570" w:rsidRPr="00184570">
        <w:rPr>
          <w:rFonts w:ascii="Garamond" w:eastAsia="Calibri" w:hAnsi="Garamond" w:cs="Times New Roman"/>
          <w:sz w:val="23"/>
          <w:szCs w:val="23"/>
        </w:rPr>
        <w:t xml:space="preserve"> is a possibility that </w:t>
      </w:r>
      <w:r w:rsidR="00BA7496">
        <w:rPr>
          <w:rFonts w:ascii="Garamond" w:eastAsia="Calibri" w:hAnsi="Garamond" w:cs="Times New Roman"/>
          <w:sz w:val="23"/>
          <w:szCs w:val="23"/>
        </w:rPr>
        <w:t>neither</w:t>
      </w:r>
      <w:r w:rsidR="00184570" w:rsidRPr="00184570">
        <w:rPr>
          <w:rFonts w:ascii="Garamond" w:eastAsia="Calibri" w:hAnsi="Garamond" w:cs="Times New Roman"/>
          <w:sz w:val="23"/>
          <w:szCs w:val="23"/>
        </w:rPr>
        <w:t xml:space="preserve"> of the two options recommended by the SWE would result in an EDC reaching the threshold for calling DR resources during an abnormally cool summer. If this </w:t>
      </w:r>
      <w:r w:rsidR="00BA7496">
        <w:rPr>
          <w:rFonts w:ascii="Garamond" w:eastAsia="Calibri" w:hAnsi="Garamond" w:cs="Times New Roman"/>
          <w:sz w:val="23"/>
          <w:szCs w:val="23"/>
        </w:rPr>
        <w:t>situation</w:t>
      </w:r>
      <w:r w:rsidR="003F45CE">
        <w:rPr>
          <w:rFonts w:ascii="Garamond" w:eastAsia="Calibri" w:hAnsi="Garamond" w:cs="Times New Roman"/>
          <w:sz w:val="23"/>
          <w:szCs w:val="23"/>
        </w:rPr>
        <w:t xml:space="preserve"> were to arise</w:t>
      </w:r>
      <w:r w:rsidR="00184570" w:rsidRPr="00184570">
        <w:rPr>
          <w:rFonts w:ascii="Garamond" w:eastAsia="Calibri" w:hAnsi="Garamond" w:cs="Times New Roman"/>
          <w:sz w:val="23"/>
          <w:szCs w:val="23"/>
        </w:rPr>
        <w:t xml:space="preserve">, the SWE recommends that a test event be called to measure compliance for dispatchable resources available to reduce load. A one to two-hour event late in the end of the DR season would provide a reasonable estimate of the amount of curtailable load the EDC program </w:t>
      </w:r>
      <w:r w:rsidR="00BA7496">
        <w:rPr>
          <w:rFonts w:ascii="Garamond" w:eastAsia="Calibri" w:hAnsi="Garamond" w:cs="Times New Roman"/>
          <w:sz w:val="23"/>
          <w:szCs w:val="23"/>
        </w:rPr>
        <w:t>is able to</w:t>
      </w:r>
      <w:r w:rsidR="00184570" w:rsidRPr="00184570">
        <w:rPr>
          <w:rFonts w:ascii="Garamond" w:eastAsia="Calibri" w:hAnsi="Garamond" w:cs="Times New Roman"/>
          <w:sz w:val="23"/>
          <w:szCs w:val="23"/>
        </w:rPr>
        <w:t xml:space="preserve"> acquire. The results from weather-dependent programs, such as DLC, would need to be adjusted because temperatures during a late-summer test event would be cooler than on a true peak summer day and the observed load reductions would be smaller.</w:t>
      </w:r>
    </w:p>
    <w:p w:rsidR="003F45CE" w:rsidRDefault="003F45CE" w:rsidP="00184570">
      <w:pPr>
        <w:spacing w:after="0" w:line="240" w:lineRule="auto"/>
        <w:ind w:left="360"/>
        <w:rPr>
          <w:rFonts w:ascii="Garamond" w:eastAsia="Calibri" w:hAnsi="Garamond" w:cs="Times New Roman"/>
          <w:sz w:val="23"/>
          <w:szCs w:val="23"/>
        </w:rPr>
      </w:pPr>
    </w:p>
    <w:p w:rsidR="00264B8C" w:rsidRPr="00264B8C" w:rsidRDefault="00264B8C" w:rsidP="00F548FA">
      <w:pPr>
        <w:pStyle w:val="Heading1"/>
        <w:numPr>
          <w:ilvl w:val="0"/>
          <w:numId w:val="0"/>
        </w:numPr>
        <w:ind w:left="432"/>
      </w:pPr>
    </w:p>
    <w:sectPr w:rsidR="00264B8C" w:rsidRPr="00264B8C" w:rsidSect="00643267">
      <w:footerReference w:type="default" r:id="rId43"/>
      <w:pgSz w:w="12240" w:h="15840"/>
      <w:pgMar w:top="1350" w:right="1440" w:bottom="990" w:left="1440" w:header="540" w:footer="30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62" w:rsidRDefault="00895862" w:rsidP="00F45354">
      <w:pPr>
        <w:spacing w:after="0" w:line="240" w:lineRule="auto"/>
      </w:pPr>
      <w:r>
        <w:separator/>
      </w:r>
    </w:p>
  </w:endnote>
  <w:endnote w:type="continuationSeparator" w:id="0">
    <w:p w:rsidR="00895862" w:rsidRDefault="00895862" w:rsidP="00F4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Pr="00643267" w:rsidRDefault="00895862" w:rsidP="00643267">
    <w:pPr>
      <w:widowControl w:val="0"/>
      <w:pBdr>
        <w:top w:val="single" w:sz="4" w:space="1" w:color="auto"/>
      </w:pBdr>
      <w:tabs>
        <w:tab w:val="center" w:pos="4680"/>
        <w:tab w:val="right" w:pos="9360"/>
      </w:tabs>
      <w:spacing w:after="0" w:line="240" w:lineRule="auto"/>
      <w:jc w:val="center"/>
      <w:rPr>
        <w:rFonts w:ascii="Calibri" w:eastAsia="Calibri" w:hAnsi="Calibri" w:cs="Calibri"/>
        <w:b/>
        <w:noProof/>
        <w:spacing w:val="40"/>
        <w:sz w:val="16"/>
        <w:szCs w:val="17"/>
      </w:rPr>
    </w:pPr>
    <w:r>
      <w:rPr>
        <w:rFonts w:ascii="Calibri" w:eastAsia="Calibri" w:hAnsi="Calibri" w:cs="Calibri"/>
        <w:b/>
        <w:noProof/>
        <w:spacing w:val="40"/>
        <w:sz w:val="16"/>
        <w:szCs w:val="17"/>
      </w:rPr>
      <w:t xml:space="preserve">Prepared by </w:t>
    </w:r>
    <w:r w:rsidRPr="00643267">
      <w:rPr>
        <w:rFonts w:ascii="Calibri" w:eastAsia="Calibri" w:hAnsi="Calibri" w:cs="Calibri"/>
        <w:b/>
        <w:noProof/>
        <w:spacing w:val="40"/>
        <w:sz w:val="16"/>
        <w:szCs w:val="17"/>
      </w:rPr>
      <w:t>Statewide Evaluation Team</w:t>
    </w:r>
  </w:p>
  <w:p w:rsidR="00895862" w:rsidRPr="00643267" w:rsidRDefault="00895862" w:rsidP="00643267">
    <w:pPr>
      <w:widowControl w:val="0"/>
      <w:pBdr>
        <w:top w:val="single" w:sz="4" w:space="1" w:color="auto"/>
      </w:pBdr>
      <w:tabs>
        <w:tab w:val="center" w:pos="4680"/>
        <w:tab w:val="right" w:pos="9360"/>
      </w:tabs>
      <w:spacing w:after="0" w:line="240" w:lineRule="auto"/>
      <w:jc w:val="center"/>
      <w:rPr>
        <w:rFonts w:ascii="Calibri" w:eastAsia="Calibri" w:hAnsi="Calibri" w:cs="Calibri"/>
        <w:b/>
        <w:spacing w:val="40"/>
        <w:sz w:val="16"/>
        <w:szCs w:val="17"/>
      </w:rPr>
    </w:pPr>
    <w:r w:rsidRPr="00643267">
      <w:rPr>
        <w:rFonts w:ascii="Calibri" w:eastAsia="Calibri" w:hAnsi="Calibri" w:cs="Calibri"/>
        <w:b/>
        <w:spacing w:val="40"/>
        <w:sz w:val="16"/>
        <w:szCs w:val="17"/>
      </w:rPr>
      <w:fldChar w:fldCharType="begin"/>
    </w:r>
    <w:r w:rsidRPr="00643267">
      <w:rPr>
        <w:rFonts w:ascii="Calibri" w:eastAsia="Calibri" w:hAnsi="Calibri" w:cs="Calibri"/>
        <w:b/>
        <w:spacing w:val="40"/>
        <w:sz w:val="16"/>
        <w:szCs w:val="17"/>
      </w:rPr>
      <w:instrText xml:space="preserve"> PAGE   \* MERGEFORMAT </w:instrText>
    </w:r>
    <w:r w:rsidRPr="00643267">
      <w:rPr>
        <w:rFonts w:ascii="Calibri" w:eastAsia="Calibri" w:hAnsi="Calibri" w:cs="Calibri"/>
        <w:b/>
        <w:spacing w:val="40"/>
        <w:sz w:val="16"/>
        <w:szCs w:val="17"/>
      </w:rPr>
      <w:fldChar w:fldCharType="separate"/>
    </w:r>
    <w:r w:rsidR="00864861">
      <w:rPr>
        <w:rFonts w:ascii="Calibri" w:eastAsia="Calibri" w:hAnsi="Calibri" w:cs="Calibri"/>
        <w:b/>
        <w:noProof/>
        <w:spacing w:val="40"/>
        <w:sz w:val="16"/>
        <w:szCs w:val="17"/>
      </w:rPr>
      <w:t>iii</w:t>
    </w:r>
    <w:r w:rsidRPr="00643267">
      <w:rPr>
        <w:rFonts w:ascii="Calibri" w:eastAsia="Calibri" w:hAnsi="Calibri" w:cs="Calibri"/>
        <w:b/>
        <w:spacing w:val="40"/>
        <w:sz w:val="16"/>
        <w:szCs w:val="17"/>
      </w:rPr>
      <w:fldChar w:fldCharType="end"/>
    </w:r>
    <w:r w:rsidRPr="00643267">
      <w:rPr>
        <w:rFonts w:ascii="Calibri" w:eastAsia="Calibri" w:hAnsi="Calibri" w:cs="Calibri"/>
        <w:b/>
        <w:spacing w:val="40"/>
        <w:sz w:val="16"/>
        <w:szCs w:val="17"/>
      </w:rPr>
      <w:t xml:space="preserve"> | </w:t>
    </w:r>
    <w:r w:rsidRPr="00643267">
      <w:rPr>
        <w:rFonts w:ascii="Calibri" w:eastAsia="Calibri" w:hAnsi="Calibri" w:cs="Calibri"/>
        <w:b/>
        <w:color w:val="7F7F7F" w:themeColor="background1" w:themeShade="7F"/>
        <w:spacing w:val="60"/>
        <w:sz w:val="16"/>
        <w:szCs w:val="17"/>
      </w:rPr>
      <w:t>Page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Pr="00643267" w:rsidRDefault="00895862" w:rsidP="00643267">
    <w:pPr>
      <w:widowControl w:val="0"/>
      <w:pBdr>
        <w:top w:val="single" w:sz="4" w:space="1" w:color="auto"/>
      </w:pBdr>
      <w:tabs>
        <w:tab w:val="center" w:pos="4680"/>
        <w:tab w:val="right" w:pos="9360"/>
      </w:tabs>
      <w:spacing w:after="0" w:line="240" w:lineRule="auto"/>
      <w:jc w:val="center"/>
      <w:rPr>
        <w:rFonts w:ascii="Calibri" w:eastAsia="Calibri" w:hAnsi="Calibri" w:cs="Calibri"/>
        <w:b/>
        <w:noProof/>
        <w:spacing w:val="40"/>
        <w:sz w:val="15"/>
        <w:szCs w:val="15"/>
      </w:rPr>
    </w:pPr>
    <w:r w:rsidRPr="00643267">
      <w:rPr>
        <w:rFonts w:ascii="Calibri" w:eastAsia="Calibri" w:hAnsi="Calibri" w:cs="Calibri"/>
        <w:b/>
        <w:noProof/>
        <w:spacing w:val="40"/>
        <w:sz w:val="15"/>
        <w:szCs w:val="15"/>
      </w:rPr>
      <w:t>Prepared by Statewide Evaluation Team</w:t>
    </w:r>
  </w:p>
  <w:p w:rsidR="00895862" w:rsidRPr="00643267" w:rsidRDefault="00895862" w:rsidP="00643267">
    <w:pPr>
      <w:widowControl w:val="0"/>
      <w:pBdr>
        <w:top w:val="single" w:sz="4" w:space="1" w:color="auto"/>
      </w:pBdr>
      <w:tabs>
        <w:tab w:val="center" w:pos="4680"/>
        <w:tab w:val="right" w:pos="9360"/>
      </w:tabs>
      <w:spacing w:after="0" w:line="240" w:lineRule="auto"/>
      <w:jc w:val="center"/>
      <w:rPr>
        <w:rFonts w:ascii="Calibri" w:eastAsia="Calibri" w:hAnsi="Calibri" w:cs="Calibri"/>
        <w:b/>
        <w:sz w:val="16"/>
        <w:szCs w:val="15"/>
      </w:rPr>
    </w:pPr>
    <w:r w:rsidRPr="00643267">
      <w:rPr>
        <w:rFonts w:ascii="Calibri" w:eastAsia="Calibri" w:hAnsi="Calibri" w:cs="Calibri"/>
        <w:sz w:val="16"/>
        <w:szCs w:val="15"/>
      </w:rPr>
      <w:fldChar w:fldCharType="begin"/>
    </w:r>
    <w:r w:rsidRPr="00643267">
      <w:rPr>
        <w:rFonts w:ascii="Calibri" w:eastAsia="Calibri" w:hAnsi="Calibri" w:cs="Calibri"/>
        <w:sz w:val="16"/>
        <w:szCs w:val="15"/>
      </w:rPr>
      <w:instrText xml:space="preserve"> PAGE   \* MERGEFORMAT </w:instrText>
    </w:r>
    <w:r w:rsidRPr="00643267">
      <w:rPr>
        <w:rFonts w:ascii="Calibri" w:eastAsia="Calibri" w:hAnsi="Calibri" w:cs="Calibri"/>
        <w:sz w:val="16"/>
        <w:szCs w:val="15"/>
      </w:rPr>
      <w:fldChar w:fldCharType="separate"/>
    </w:r>
    <w:r w:rsidR="00864861">
      <w:rPr>
        <w:rFonts w:ascii="Calibri" w:eastAsia="Calibri" w:hAnsi="Calibri" w:cs="Calibri"/>
        <w:noProof/>
        <w:sz w:val="16"/>
        <w:szCs w:val="15"/>
      </w:rPr>
      <w:t>57</w:t>
    </w:r>
    <w:r w:rsidRPr="00643267">
      <w:rPr>
        <w:rFonts w:ascii="Calibri" w:eastAsia="Calibri" w:hAnsi="Calibri" w:cs="Calibri"/>
        <w:sz w:val="16"/>
        <w:szCs w:val="15"/>
      </w:rPr>
      <w:fldChar w:fldCharType="end"/>
    </w:r>
    <w:r w:rsidRPr="00643267">
      <w:rPr>
        <w:rFonts w:ascii="Calibri" w:eastAsia="Calibri" w:hAnsi="Calibri" w:cs="Calibri"/>
        <w:b/>
        <w:sz w:val="16"/>
        <w:szCs w:val="15"/>
      </w:rPr>
      <w:t xml:space="preserve"> | </w:t>
    </w:r>
    <w:r w:rsidRPr="00643267">
      <w:rPr>
        <w:rFonts w:ascii="Calibri" w:eastAsia="Calibri" w:hAnsi="Calibri" w:cs="Calibri"/>
        <w:b/>
        <w:color w:val="1F497D" w:themeColor="text2"/>
        <w:sz w:val="16"/>
        <w:szCs w:val="15"/>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62" w:rsidRDefault="00895862" w:rsidP="00F45354">
      <w:pPr>
        <w:spacing w:after="0" w:line="240" w:lineRule="auto"/>
      </w:pPr>
      <w:r>
        <w:separator/>
      </w:r>
    </w:p>
  </w:footnote>
  <w:footnote w:type="continuationSeparator" w:id="0">
    <w:p w:rsidR="00895862" w:rsidRDefault="00895862" w:rsidP="00F45354">
      <w:pPr>
        <w:spacing w:after="0" w:line="240" w:lineRule="auto"/>
      </w:pPr>
      <w:r>
        <w:continuationSeparator/>
      </w:r>
    </w:p>
  </w:footnote>
  <w:footnote w:id="1">
    <w:p w:rsidR="00895862" w:rsidRPr="002366C3" w:rsidRDefault="00895862">
      <w:pPr>
        <w:pStyle w:val="FootnoteText"/>
      </w:pPr>
      <w:r>
        <w:rPr>
          <w:rStyle w:val="FootnoteReference"/>
        </w:rPr>
        <w:footnoteRef/>
      </w:r>
      <w:r>
        <w:t xml:space="preserve"> Pennsylvania Public Utility Commission, </w:t>
      </w:r>
      <w:r>
        <w:rPr>
          <w:i/>
        </w:rPr>
        <w:t>Energy Efficiency and Conservation Program Implementation Order</w:t>
      </w:r>
      <w:r>
        <w:t xml:space="preserve">, at page 21, entered January 16, 2009, at Docket No. </w:t>
      </w:r>
      <w:proofErr w:type="gramStart"/>
      <w:r>
        <w:t>M-2008-2069887.</w:t>
      </w:r>
      <w:proofErr w:type="gramEnd"/>
    </w:p>
  </w:footnote>
  <w:footnote w:id="2">
    <w:p w:rsidR="00895862" w:rsidRPr="009B1321" w:rsidRDefault="00895862">
      <w:pPr>
        <w:pStyle w:val="FootnoteText"/>
      </w:pPr>
      <w:r>
        <w:rPr>
          <w:rStyle w:val="FootnoteReference"/>
        </w:rPr>
        <w:footnoteRef/>
      </w:r>
      <w:r>
        <w:t xml:space="preserve"> Pennsylvania Public Utility Commission, </w:t>
      </w:r>
      <w:r>
        <w:rPr>
          <w:i/>
        </w:rPr>
        <w:t>Energy Efficiency and Conservation Program Secretarial Letter</w:t>
      </w:r>
      <w:r>
        <w:t xml:space="preserve">, served March 4, 2011, at Docket No. </w:t>
      </w:r>
      <w:proofErr w:type="gramStart"/>
      <w:r>
        <w:t>M-2008-2069887.</w:t>
      </w:r>
      <w:proofErr w:type="gramEnd"/>
    </w:p>
  </w:footnote>
  <w:footnote w:id="3">
    <w:p w:rsidR="00895862" w:rsidRDefault="00895862">
      <w:pPr>
        <w:pStyle w:val="FootnoteText"/>
      </w:pPr>
      <w:r>
        <w:rPr>
          <w:rStyle w:val="FootnoteReference"/>
        </w:rPr>
        <w:footnoteRef/>
      </w:r>
      <w:r>
        <w:t xml:space="preserve"> </w:t>
      </w:r>
      <w:r w:rsidRPr="00381127">
        <w:t xml:space="preserve">This analysis </w:t>
      </w:r>
      <w:r>
        <w:t>is not meant to be a determination of</w:t>
      </w:r>
      <w:r w:rsidRPr="00381127">
        <w:t xml:space="preserve"> EDC compliance with the summer of 2012 peak demand reduction mandates as prescribed at 66 Pa. C.S. § 2806.1(d)(1).</w:t>
      </w:r>
    </w:p>
  </w:footnote>
  <w:footnote w:id="4">
    <w:p w:rsidR="00895862" w:rsidRDefault="00895862">
      <w:pPr>
        <w:pStyle w:val="FootnoteText"/>
      </w:pPr>
      <w:r>
        <w:rPr>
          <w:rStyle w:val="FootnoteReference"/>
        </w:rPr>
        <w:footnoteRef/>
      </w:r>
      <w:r>
        <w:t xml:space="preserve"> In PJM, the delivery year begins on June 1st and ends on May 31</w:t>
      </w:r>
      <w:r w:rsidRPr="006D60C7">
        <w:rPr>
          <w:vertAlign w:val="superscript"/>
        </w:rPr>
        <w:t>st</w:t>
      </w:r>
      <w:r>
        <w:t xml:space="preserve"> of the following year.</w:t>
      </w:r>
    </w:p>
  </w:footnote>
  <w:footnote w:id="5">
    <w:p w:rsidR="00895862" w:rsidRDefault="00895862">
      <w:pPr>
        <w:pStyle w:val="FootnoteText"/>
      </w:pPr>
      <w:r>
        <w:rPr>
          <w:rStyle w:val="FootnoteReference"/>
        </w:rPr>
        <w:footnoteRef/>
      </w:r>
      <w:r>
        <w:t xml:space="preserve"> 2012 Load Response Activity Report </w:t>
      </w:r>
      <w:hyperlink r:id="rId1" w:history="1">
        <w:r>
          <w:rPr>
            <w:rStyle w:val="Hyperlink"/>
          </w:rPr>
          <w:t>http://www.pjm.com/~/media/markets-ops/dsr/2012-dsr-activity-report-20130314.ashx</w:t>
        </w:r>
      </w:hyperlink>
    </w:p>
  </w:footnote>
  <w:footnote w:id="6">
    <w:p w:rsidR="00895862" w:rsidRDefault="00895862">
      <w:pPr>
        <w:pStyle w:val="FootnoteText"/>
      </w:pPr>
      <w:r>
        <w:rPr>
          <w:rStyle w:val="FootnoteReference"/>
        </w:rPr>
        <w:footnoteRef/>
      </w:r>
      <w:r>
        <w:t xml:space="preserve"> Ibid.</w:t>
      </w:r>
    </w:p>
  </w:footnote>
  <w:footnote w:id="7">
    <w:p w:rsidR="00895862" w:rsidRDefault="00895862" w:rsidP="0083345E">
      <w:pPr>
        <w:pStyle w:val="FootnoteText"/>
      </w:pPr>
      <w:r>
        <w:rPr>
          <w:rStyle w:val="FootnoteReference"/>
        </w:rPr>
        <w:footnoteRef/>
      </w:r>
      <w:r>
        <w:t xml:space="preserve"> </w:t>
      </w:r>
      <w:proofErr w:type="gramStart"/>
      <w:r w:rsidRPr="005F6191">
        <w:t>National Action Plan for Energy Efficiency (2010).</w:t>
      </w:r>
      <w:proofErr w:type="gramEnd"/>
      <w:r w:rsidRPr="005F6191">
        <w:t xml:space="preserve"> </w:t>
      </w:r>
      <w:proofErr w:type="gramStart"/>
      <w:r w:rsidRPr="00450154">
        <w:rPr>
          <w:i/>
        </w:rPr>
        <w:t>Coordination of Energy Efficiency and</w:t>
      </w:r>
      <w:r>
        <w:rPr>
          <w:i/>
        </w:rPr>
        <w:t xml:space="preserve"> </w:t>
      </w:r>
      <w:r w:rsidRPr="00450154">
        <w:rPr>
          <w:i/>
        </w:rPr>
        <w:t>Demand Response</w:t>
      </w:r>
      <w:r w:rsidRPr="005F6191">
        <w:t>.</w:t>
      </w:r>
      <w:proofErr w:type="gramEnd"/>
      <w:r w:rsidRPr="005F6191">
        <w:t xml:space="preserve"> Prepared by Charles Goldman (Lawrence Berkeley National Laboratory),</w:t>
      </w:r>
      <w:r>
        <w:t xml:space="preserve"> </w:t>
      </w:r>
      <w:r w:rsidRPr="005F6191">
        <w:t>Michael Reid (E Source), Roger</w:t>
      </w:r>
      <w:r>
        <w:t xml:space="preserve"> Levy, and Alison Silverstein. </w:t>
      </w:r>
      <w:hyperlink r:id="rId2" w:history="1">
        <w:r w:rsidRPr="00166E2B">
          <w:rPr>
            <w:rStyle w:val="Hyperlink"/>
          </w:rPr>
          <w:t>www.epa.gov/eeactionplan</w:t>
        </w:r>
      </w:hyperlink>
      <w:r>
        <w:t>.</w:t>
      </w:r>
    </w:p>
    <w:p w:rsidR="00895862" w:rsidRDefault="00895862">
      <w:pPr>
        <w:pStyle w:val="FootnoteText"/>
      </w:pPr>
    </w:p>
  </w:footnote>
  <w:footnote w:id="8">
    <w:p w:rsidR="00895862" w:rsidRDefault="00895862" w:rsidP="00FD5D34">
      <w:pPr>
        <w:pStyle w:val="FootnoteText"/>
      </w:pPr>
      <w:r>
        <w:rPr>
          <w:rStyle w:val="FootnoteReference"/>
        </w:rPr>
        <w:footnoteRef/>
      </w:r>
      <w:r>
        <w:t xml:space="preserve"> </w:t>
      </w:r>
      <w:proofErr w:type="gramStart"/>
      <w:r>
        <w:t>Ibid.</w:t>
      </w:r>
      <w:proofErr w:type="gramEnd"/>
      <w:r>
        <w:t xml:space="preserve"> </w:t>
      </w:r>
    </w:p>
    <w:p w:rsidR="00895862" w:rsidRDefault="00895862">
      <w:pPr>
        <w:pStyle w:val="FootnoteText"/>
      </w:pPr>
    </w:p>
  </w:footnote>
  <w:footnote w:id="9">
    <w:p w:rsidR="00895862" w:rsidRDefault="00895862" w:rsidP="007736EB">
      <w:pPr>
        <w:pStyle w:val="FootnoteText"/>
      </w:pPr>
      <w:r>
        <w:rPr>
          <w:rStyle w:val="FootnoteReference"/>
        </w:rPr>
        <w:footnoteRef/>
      </w:r>
      <w:r>
        <w:t xml:space="preserve"> </w:t>
      </w:r>
      <w:proofErr w:type="gramStart"/>
      <w:r>
        <w:t>Federal Energy Regulatory Commission.</w:t>
      </w:r>
      <w:proofErr w:type="gramEnd"/>
      <w:r>
        <w:t xml:space="preserve"> </w:t>
      </w:r>
      <w:proofErr w:type="gramStart"/>
      <w:r w:rsidRPr="007A0107">
        <w:rPr>
          <w:i/>
        </w:rPr>
        <w:t>National Action Plan on Demand Response</w:t>
      </w:r>
      <w:r>
        <w:t xml:space="preserve">, (June 2010), available at </w:t>
      </w:r>
      <w:hyperlink r:id="rId3" w:history="1">
        <w:r w:rsidRPr="00166E2B">
          <w:rPr>
            <w:rStyle w:val="Hyperlink"/>
          </w:rPr>
          <w:t>http://www.ferc.gov/legal/staff-reports/06-17-10-demand-response.pdf</w:t>
        </w:r>
      </w:hyperlink>
      <w:r>
        <w:t>.</w:t>
      </w:r>
      <w:proofErr w:type="gramEnd"/>
      <w:r>
        <w:t xml:space="preserve"> </w:t>
      </w:r>
    </w:p>
  </w:footnote>
  <w:footnote w:id="10">
    <w:p w:rsidR="00895862" w:rsidRDefault="00895862" w:rsidP="007736EB">
      <w:pPr>
        <w:pStyle w:val="FootnoteText"/>
      </w:pPr>
      <w:r>
        <w:rPr>
          <w:rStyle w:val="FootnoteReference"/>
        </w:rPr>
        <w:footnoteRef/>
      </w:r>
      <w:r>
        <w:t xml:space="preserve"> An ISO also refers to a Regional Transmission Organization (RTO) for the purposes of this paper.</w:t>
      </w:r>
    </w:p>
  </w:footnote>
  <w:footnote w:id="11">
    <w:p w:rsidR="00895862" w:rsidRDefault="00895862" w:rsidP="007736EB">
      <w:pPr>
        <w:pStyle w:val="FootnoteText"/>
      </w:pPr>
      <w:r>
        <w:rPr>
          <w:rStyle w:val="FootnoteReference"/>
        </w:rPr>
        <w:footnoteRef/>
      </w:r>
      <w:r>
        <w:t xml:space="preserve"> </w:t>
      </w:r>
      <w:proofErr w:type="gramStart"/>
      <w:r>
        <w:t>Federal Energy Regulatory Commission.</w:t>
      </w:r>
      <w:proofErr w:type="gramEnd"/>
      <w:r>
        <w:t xml:space="preserve"> </w:t>
      </w:r>
      <w:proofErr w:type="gramStart"/>
      <w:r>
        <w:rPr>
          <w:i/>
        </w:rPr>
        <w:t>Demand Response &amp; Advanced Metering Staff Report</w:t>
      </w:r>
      <w:r>
        <w:t xml:space="preserve">, (November 2011), available at </w:t>
      </w:r>
      <w:hyperlink r:id="rId4" w:history="1">
        <w:r w:rsidRPr="00166E2B">
          <w:rPr>
            <w:rStyle w:val="Hyperlink"/>
          </w:rPr>
          <w:t>http://www.ferc.gov/legal/staff-reports/11-07-11-demand-response.pdf</w:t>
        </w:r>
      </w:hyperlink>
      <w:r w:rsidRPr="00C1388E">
        <w:rPr>
          <w:rStyle w:val="Hyperlink"/>
        </w:rPr>
        <w:t>.</w:t>
      </w:r>
      <w:proofErr w:type="gramEnd"/>
    </w:p>
  </w:footnote>
  <w:footnote w:id="12">
    <w:p w:rsidR="00895862" w:rsidRDefault="00895862" w:rsidP="007736EB">
      <w:pPr>
        <w:pStyle w:val="FootnoteText"/>
      </w:pPr>
      <w:r>
        <w:rPr>
          <w:rStyle w:val="FootnoteReference"/>
        </w:rPr>
        <w:footnoteRef/>
      </w:r>
      <w:r>
        <w:t xml:space="preserve"> </w:t>
      </w:r>
      <w:proofErr w:type="gramStart"/>
      <w:r>
        <w:t>Federal Energy Regulatory Commission.</w:t>
      </w:r>
      <w:proofErr w:type="gramEnd"/>
      <w:r>
        <w:t xml:space="preserve"> </w:t>
      </w:r>
      <w:r w:rsidRPr="007A0107">
        <w:rPr>
          <w:i/>
        </w:rPr>
        <w:t>National Action Plan on Demand Response</w:t>
      </w:r>
      <w:r>
        <w:t xml:space="preserve">, (June 2010), available at </w:t>
      </w:r>
      <w:hyperlink r:id="rId5" w:history="1">
        <w:r w:rsidRPr="00166E2B">
          <w:rPr>
            <w:rStyle w:val="Hyperlink"/>
          </w:rPr>
          <w:t>http://www.ferc.gov/legal/staff-reports/06-17-10-demand-response.pdf</w:t>
        </w:r>
      </w:hyperlink>
      <w:r>
        <w:t xml:space="preserve"> </w:t>
      </w:r>
    </w:p>
  </w:footnote>
  <w:footnote w:id="13">
    <w:p w:rsidR="00895862" w:rsidRDefault="00895862" w:rsidP="007736EB">
      <w:pPr>
        <w:pStyle w:val="FootnoteText"/>
      </w:pPr>
      <w:r>
        <w:rPr>
          <w:rStyle w:val="FootnoteReference"/>
        </w:rPr>
        <w:footnoteRef/>
      </w:r>
      <w:r>
        <w:t xml:space="preserve"> </w:t>
      </w:r>
      <w:proofErr w:type="gramStart"/>
      <w:r w:rsidRPr="007A0107">
        <w:rPr>
          <w:i/>
        </w:rPr>
        <w:t>A Primer on Demand Response</w:t>
      </w:r>
      <w:r>
        <w:t xml:space="preserve">, </w:t>
      </w:r>
      <w:r w:rsidRPr="007A0107">
        <w:t xml:space="preserve">Thomas </w:t>
      </w:r>
      <w:proofErr w:type="spellStart"/>
      <w:r w:rsidRPr="007A0107">
        <w:t>Weisell</w:t>
      </w:r>
      <w:proofErr w:type="spellEnd"/>
      <w:r w:rsidRPr="007A0107">
        <w:t xml:space="preserve"> Partners, 2007.</w:t>
      </w:r>
      <w:proofErr w:type="gramEnd"/>
    </w:p>
  </w:footnote>
  <w:footnote w:id="14">
    <w:p w:rsidR="00895862" w:rsidRPr="00994AC7" w:rsidRDefault="00895862" w:rsidP="00AC4E7D">
      <w:pPr>
        <w:pStyle w:val="FootnoteText"/>
      </w:pPr>
      <w:r w:rsidRPr="00994AC7">
        <w:rPr>
          <w:rStyle w:val="FootnoteReference"/>
        </w:rPr>
        <w:footnoteRef/>
      </w:r>
      <w:r w:rsidRPr="00994AC7">
        <w:t xml:space="preserve"> PJM is the Pennsylvania-Jersey-Maryland Interconnection, CAISO is the California Independent System Operator, NYISO is the New York Independent System Operator, and ISO-NE is the New England Independent System Operator.</w:t>
      </w:r>
    </w:p>
  </w:footnote>
  <w:footnote w:id="15">
    <w:p w:rsidR="00895862" w:rsidRPr="00994AC7" w:rsidRDefault="00895862" w:rsidP="00DB6FC9">
      <w:pPr>
        <w:pStyle w:val="FootnoteText"/>
      </w:pPr>
      <w:r w:rsidRPr="00994AC7">
        <w:rPr>
          <w:rStyle w:val="FootnoteReference"/>
        </w:rPr>
        <w:footnoteRef/>
      </w:r>
      <w:r w:rsidRPr="00994AC7">
        <w:t xml:space="preserve"> CA has a goal of achieving 5% of peak demand in 2020 through price-responsive demand response. CA additionally has annual demand reduction goals through 2020, stated in MW, for each of its EDC</w:t>
      </w:r>
      <w:r>
        <w:t>s</w:t>
      </w:r>
    </w:p>
  </w:footnote>
  <w:footnote w:id="16">
    <w:p w:rsidR="00895862" w:rsidRDefault="00895862">
      <w:pPr>
        <w:pStyle w:val="FootnoteText"/>
      </w:pPr>
      <w:r>
        <w:rPr>
          <w:rStyle w:val="FootnoteReference"/>
        </w:rPr>
        <w:footnoteRef/>
      </w:r>
      <w:r>
        <w:t xml:space="preserve"> The demand reduction contribution from energy efficiency measures actually occurs over several program years, but is measured over the summer of 2012.</w:t>
      </w:r>
    </w:p>
  </w:footnote>
  <w:footnote w:id="17">
    <w:p w:rsidR="00895862" w:rsidRDefault="00895862">
      <w:pPr>
        <w:pStyle w:val="FootnoteText"/>
      </w:pPr>
      <w:r>
        <w:rPr>
          <w:rStyle w:val="FootnoteReference"/>
        </w:rPr>
        <w:footnoteRef/>
      </w:r>
      <w:r>
        <w:t xml:space="preserve"> Values in Table 13 of the following report were allowed to be used as Act 129 gross verified savings estimates for EDC direct load control programs. </w:t>
      </w:r>
      <w:hyperlink r:id="rId6" w:history="1">
        <w:r>
          <w:rPr>
            <w:rStyle w:val="Hyperlink"/>
          </w:rPr>
          <w:t>http://www.pjm.com/~/media/documents/reports/20070406-deemed-savings-report-ac-heat.ashx</w:t>
        </w:r>
      </w:hyperlink>
    </w:p>
  </w:footnote>
  <w:footnote w:id="18">
    <w:p w:rsidR="00895862" w:rsidRPr="00994AC7" w:rsidRDefault="00895862" w:rsidP="00505D13">
      <w:pPr>
        <w:spacing w:line="240" w:lineRule="auto"/>
        <w:rPr>
          <w:sz w:val="20"/>
          <w:szCs w:val="20"/>
        </w:rPr>
      </w:pPr>
      <w:r w:rsidRPr="001B7E41">
        <w:rPr>
          <w:rStyle w:val="FootnoteReference"/>
          <w:sz w:val="20"/>
          <w:szCs w:val="20"/>
        </w:rPr>
        <w:footnoteRef/>
      </w:r>
      <w:r w:rsidRPr="001B7E41">
        <w:rPr>
          <w:sz w:val="20"/>
          <w:szCs w:val="20"/>
        </w:rPr>
        <w:t xml:space="preserve"> Pennsylvania Public Utility Commission, </w:t>
      </w:r>
      <w:r w:rsidRPr="001B7E41">
        <w:rPr>
          <w:i/>
          <w:sz w:val="20"/>
          <w:szCs w:val="20"/>
        </w:rPr>
        <w:t>Implementation of the Alternative Energy Portfolio Standards Act of 2004:  Standards for the Participation of Demand Side Management Resources – Technical Reference Manual 2012 Update</w:t>
      </w:r>
      <w:r w:rsidRPr="001B7E41">
        <w:rPr>
          <w:sz w:val="20"/>
          <w:szCs w:val="20"/>
        </w:rPr>
        <w:t>, Docket No. M</w:t>
      </w:r>
      <w:r w:rsidRPr="001B7E41">
        <w:rPr>
          <w:sz w:val="20"/>
          <w:szCs w:val="20"/>
        </w:rPr>
        <w:noBreakHyphen/>
        <w:t>00051865, December 16, 2011</w:t>
      </w:r>
      <w:r>
        <w:rPr>
          <w:sz w:val="20"/>
          <w:szCs w:val="20"/>
        </w:rPr>
        <w:t>.</w:t>
      </w:r>
      <w:r w:rsidRPr="001B7E41">
        <w:rPr>
          <w:sz w:val="20"/>
          <w:szCs w:val="20"/>
        </w:rPr>
        <w:t xml:space="preserve"> (2012 TRM)</w:t>
      </w:r>
    </w:p>
  </w:footnote>
  <w:footnote w:id="19">
    <w:p w:rsidR="00895862" w:rsidRDefault="00895862" w:rsidP="00505D13">
      <w:pPr>
        <w:pStyle w:val="FootnoteText"/>
      </w:pPr>
      <w:r>
        <w:rPr>
          <w:rStyle w:val="FootnoteReference"/>
        </w:rPr>
        <w:footnoteRef/>
      </w:r>
      <w:r>
        <w:t xml:space="preserve"> See Section D – Demand Response – of the 2012 TRM.</w:t>
      </w:r>
    </w:p>
  </w:footnote>
  <w:footnote w:id="20">
    <w:p w:rsidR="00895862" w:rsidRPr="00994AC7" w:rsidRDefault="00895862" w:rsidP="00571EEF">
      <w:pPr>
        <w:pStyle w:val="FootnoteText"/>
      </w:pPr>
      <w:r w:rsidRPr="001B7E41">
        <w:rPr>
          <w:rStyle w:val="FootnoteReference"/>
        </w:rPr>
        <w:footnoteRef/>
      </w:r>
      <w:r w:rsidRPr="001B7E41">
        <w:t xml:space="preserve">  </w:t>
      </w:r>
      <w:proofErr w:type="gramStart"/>
      <w:r w:rsidRPr="001B7E41">
        <w:t>Includes ISO payments to CSPs acting on behalf of EDCs.</w:t>
      </w:r>
      <w:proofErr w:type="gramEnd"/>
    </w:p>
  </w:footnote>
  <w:footnote w:id="21">
    <w:p w:rsidR="00895862" w:rsidRDefault="00895862" w:rsidP="00571EEF">
      <w:pPr>
        <w:pStyle w:val="FootnoteText"/>
      </w:pPr>
      <w:r>
        <w:rPr>
          <w:rStyle w:val="FootnoteReference"/>
        </w:rPr>
        <w:footnoteRef/>
      </w:r>
      <w:r>
        <w:t xml:space="preserve"> TRC refers to the Total Resource Cost Test Manual for each state.</w:t>
      </w:r>
    </w:p>
  </w:footnote>
  <w:footnote w:id="22">
    <w:p w:rsidR="00895862" w:rsidRPr="00994AC7" w:rsidRDefault="00895862" w:rsidP="00571EEF">
      <w:pPr>
        <w:pStyle w:val="FootnoteText"/>
      </w:pPr>
      <w:r w:rsidRPr="001B7E41">
        <w:rPr>
          <w:rStyle w:val="FootnoteReference"/>
        </w:rPr>
        <w:footnoteRef/>
      </w:r>
      <w:r w:rsidRPr="001B7E41">
        <w:t xml:space="preserve">  For Pennsylvania, see 2011 TRC Order, p. 15.</w:t>
      </w:r>
    </w:p>
  </w:footnote>
  <w:footnote w:id="23">
    <w:p w:rsidR="00895862" w:rsidRPr="00994AC7" w:rsidRDefault="00895862" w:rsidP="00571EEF">
      <w:pPr>
        <w:pStyle w:val="FootnoteText"/>
      </w:pPr>
      <w:r w:rsidRPr="001B7E41">
        <w:rPr>
          <w:rStyle w:val="FootnoteReference"/>
        </w:rPr>
        <w:footnoteRef/>
      </w:r>
      <w:r w:rsidRPr="001B7E41">
        <w:t xml:space="preserve"> </w:t>
      </w:r>
      <w:r w:rsidRPr="001B7E41">
        <w:rPr>
          <w:i/>
        </w:rPr>
        <w:t xml:space="preserve"> Id</w:t>
      </w:r>
      <w:r w:rsidRPr="001B7E41">
        <w:t>., pp. 12: “[W]e agree….that PJM’s economic DR programs are independent programs from Act 129 and that any charges, penalties or payments from the PJM DR programs should be ignored for purposes of Act 129, regardless of whether the charges, penalties, or payments are to/from a CSP, a customer, or an EDC.”</w:t>
      </w:r>
    </w:p>
  </w:footnote>
  <w:footnote w:id="24">
    <w:p w:rsidR="00895862" w:rsidRPr="00994AC7" w:rsidRDefault="00895862" w:rsidP="009E3A5A">
      <w:pPr>
        <w:pStyle w:val="FootnoteText"/>
      </w:pPr>
      <w:r w:rsidRPr="001B7E41">
        <w:rPr>
          <w:rStyle w:val="FootnoteReference"/>
        </w:rPr>
        <w:footnoteRef/>
      </w:r>
      <w:r w:rsidRPr="001B7E41">
        <w:t xml:space="preserve"> The latter payment stream from the EDC could arise from a retail DR program, i.e., originating at the EDC level in a state-sponsored DR program, or from a wholesale DR program, i.e.  The EDC bids the participant’s DR resource into the ISO market and receives payment for that resource, which it then shares with the participant.</w:t>
      </w:r>
    </w:p>
  </w:footnote>
  <w:footnote w:id="25">
    <w:p w:rsidR="00895862" w:rsidRPr="00994AC7" w:rsidRDefault="00895862" w:rsidP="009E3A5A">
      <w:pPr>
        <w:pStyle w:val="FootnoteText"/>
      </w:pPr>
      <w:r w:rsidRPr="001B7E41">
        <w:rPr>
          <w:rStyle w:val="FootnoteReference"/>
        </w:rPr>
        <w:footnoteRef/>
      </w:r>
      <w:r w:rsidRPr="001B7E41">
        <w:t xml:space="preserve"> Email correspondence with Con-Edison DR Program Management. 9 Aug. 2012. </w:t>
      </w:r>
    </w:p>
  </w:footnote>
  <w:footnote w:id="26">
    <w:p w:rsidR="00895862" w:rsidRPr="00994AC7" w:rsidRDefault="00895862" w:rsidP="00BC09CF">
      <w:pPr>
        <w:pStyle w:val="FootnoteText"/>
      </w:pPr>
      <w:r w:rsidRPr="001B7E41">
        <w:rPr>
          <w:rStyle w:val="FootnoteReference"/>
        </w:rPr>
        <w:footnoteRef/>
      </w:r>
      <w:r w:rsidRPr="001B7E41">
        <w:t xml:space="preserve"> </w:t>
      </w:r>
      <w:proofErr w:type="gramStart"/>
      <w:r w:rsidRPr="001B7E41">
        <w:t xml:space="preserve">66 Pa. C.S. </w:t>
      </w:r>
      <w:r w:rsidRPr="001B7E41">
        <w:rPr>
          <w:rFonts w:cstheme="minorHAnsi"/>
        </w:rPr>
        <w:t>§</w:t>
      </w:r>
      <w:r w:rsidRPr="001B7E41">
        <w:t xml:space="preserve"> 2806.1(m).</w:t>
      </w:r>
      <w:proofErr w:type="gramEnd"/>
    </w:p>
  </w:footnote>
  <w:footnote w:id="27">
    <w:p w:rsidR="00895862" w:rsidRPr="00994AC7" w:rsidRDefault="00895862" w:rsidP="00BC09CF">
      <w:pPr>
        <w:pStyle w:val="FootnoteText"/>
      </w:pPr>
      <w:r w:rsidRPr="001B7E41">
        <w:rPr>
          <w:rStyle w:val="FootnoteReference"/>
        </w:rPr>
        <w:footnoteRef/>
      </w:r>
      <w:r w:rsidRPr="001B7E41">
        <w:t xml:space="preserve"> Pennsylvania Public Utility Commission, </w:t>
      </w:r>
      <w:r w:rsidRPr="001B7E41">
        <w:rPr>
          <w:i/>
        </w:rPr>
        <w:t>2011 Total Resource Cost Test Order</w:t>
      </w:r>
      <w:r w:rsidRPr="001B7E41">
        <w:t>, Docket No. M-2009-2108601, August 2, 2011</w:t>
      </w:r>
      <w:r>
        <w:t>,</w:t>
      </w:r>
      <w:r w:rsidRPr="001B7E41">
        <w:t xml:space="preserve"> (2011 TRC Order), p. 7.</w:t>
      </w:r>
    </w:p>
  </w:footnote>
  <w:footnote w:id="28">
    <w:p w:rsidR="00895862" w:rsidRDefault="00895862" w:rsidP="00BC09CF">
      <w:pPr>
        <w:pStyle w:val="FootnoteText"/>
      </w:pPr>
      <w:r>
        <w:rPr>
          <w:rStyle w:val="FootnoteReference"/>
        </w:rPr>
        <w:footnoteRef/>
      </w:r>
      <w:r>
        <w:t xml:space="preserve"> 2011 TRC Order, p. 12.</w:t>
      </w:r>
    </w:p>
  </w:footnote>
  <w:footnote w:id="29">
    <w:p w:rsidR="00895862" w:rsidRDefault="00895862" w:rsidP="0071462F">
      <w:pPr>
        <w:pStyle w:val="FootnoteText"/>
        <w:jc w:val="left"/>
      </w:pPr>
      <w:r>
        <w:rPr>
          <w:rStyle w:val="FootnoteReference"/>
        </w:rPr>
        <w:footnoteRef/>
      </w:r>
      <w:r>
        <w:t xml:space="preserve"> A map of the PJM territory with zones can be found at</w:t>
      </w:r>
    </w:p>
    <w:p w:rsidR="00895862" w:rsidRDefault="00864861" w:rsidP="0071462F">
      <w:pPr>
        <w:pStyle w:val="FootnoteText"/>
        <w:jc w:val="left"/>
      </w:pPr>
      <w:hyperlink r:id="rId7" w:history="1">
        <w:r w:rsidR="00895862" w:rsidRPr="00FA1651">
          <w:rPr>
            <w:rStyle w:val="Hyperlink"/>
          </w:rPr>
          <w:t>http://www.pjm.com/~/media/about-pjm/pjm-zones.ashx</w:t>
        </w:r>
      </w:hyperlink>
    </w:p>
    <w:p w:rsidR="00895862" w:rsidRDefault="00895862">
      <w:pPr>
        <w:pStyle w:val="FootnoteText"/>
      </w:pPr>
    </w:p>
  </w:footnote>
  <w:footnote w:id="30">
    <w:p w:rsidR="00895862" w:rsidRDefault="00895862">
      <w:pPr>
        <w:pStyle w:val="FootnoteText"/>
      </w:pPr>
      <w:r>
        <w:rPr>
          <w:rStyle w:val="FootnoteReference"/>
        </w:rPr>
        <w:footnoteRef/>
      </w:r>
      <w:r>
        <w:t xml:space="preserve"> This is a simplified example and does not consider avoided capacity benefits or effects of wholesale price suppression.</w:t>
      </w:r>
    </w:p>
  </w:footnote>
  <w:footnote w:id="31">
    <w:p w:rsidR="00895862" w:rsidRDefault="00895862">
      <w:pPr>
        <w:pStyle w:val="FootnoteText"/>
      </w:pPr>
      <w:r>
        <w:rPr>
          <w:rStyle w:val="FootnoteReference"/>
        </w:rPr>
        <w:footnoteRef/>
      </w:r>
      <w:r>
        <w:t xml:space="preserve"> LMP values fluctuate because of a number of factors. This is referred to as “noisy” data. Some differences between EDCs are expected due to the noise, or random error, in the data even if a significant difference doesn’t exist. A “noise band” is a margin of error, or range of variation that is expected based on the random variations in the data.</w:t>
      </w:r>
    </w:p>
  </w:footnote>
  <w:footnote w:id="32">
    <w:p w:rsidR="00895862" w:rsidRPr="0012344A" w:rsidRDefault="00895862" w:rsidP="00DF0C4F">
      <w:pPr>
        <w:pStyle w:val="FootnoteText"/>
      </w:pPr>
      <w:r w:rsidRPr="0012344A">
        <w:rPr>
          <w:rStyle w:val="FootnoteReference"/>
        </w:rPr>
        <w:footnoteRef/>
      </w:r>
      <w:r w:rsidRPr="0012344A">
        <w:t xml:space="preserve"> R.L. </w:t>
      </w:r>
      <w:proofErr w:type="spellStart"/>
      <w:r w:rsidRPr="0012344A">
        <w:t>Ott</w:t>
      </w:r>
      <w:proofErr w:type="spellEnd"/>
      <w:r w:rsidRPr="0012344A">
        <w:t xml:space="preserve"> and M. </w:t>
      </w:r>
      <w:proofErr w:type="spellStart"/>
      <w:r w:rsidRPr="0012344A">
        <w:t>Longnecker</w:t>
      </w:r>
      <w:proofErr w:type="spellEnd"/>
      <w:r w:rsidRPr="0012344A">
        <w:t xml:space="preserve"> (2001), </w:t>
      </w:r>
      <w:proofErr w:type="gramStart"/>
      <w:r w:rsidRPr="0012344A">
        <w:rPr>
          <w:i/>
        </w:rPr>
        <w:t>An</w:t>
      </w:r>
      <w:proofErr w:type="gramEnd"/>
      <w:r w:rsidRPr="0012344A">
        <w:rPr>
          <w:i/>
        </w:rPr>
        <w:t xml:space="preserve"> Introduction to Statistical Methods and Data Analysis</w:t>
      </w:r>
      <w:r w:rsidRPr="0012344A">
        <w:t xml:space="preserve">. 384-393. </w:t>
      </w:r>
    </w:p>
  </w:footnote>
  <w:footnote w:id="33">
    <w:p w:rsidR="00895862" w:rsidRPr="0012344A" w:rsidRDefault="00895862" w:rsidP="00DF0C4F">
      <w:pPr>
        <w:pStyle w:val="FootnoteText"/>
      </w:pPr>
      <w:r w:rsidRPr="0012344A">
        <w:rPr>
          <w:rStyle w:val="FootnoteReference"/>
        </w:rPr>
        <w:footnoteRef/>
      </w:r>
      <w:r w:rsidRPr="0012344A">
        <w:t xml:space="preserve"> Ibid. </w:t>
      </w:r>
      <w:r>
        <w:t xml:space="preserve">Pages </w:t>
      </w:r>
      <w:r w:rsidRPr="0012344A">
        <w:t>410-414.</w:t>
      </w:r>
      <w:r>
        <w:t xml:space="preserve"> </w:t>
      </w:r>
    </w:p>
  </w:footnote>
  <w:footnote w:id="34">
    <w:p w:rsidR="00895862" w:rsidRDefault="00895862" w:rsidP="00DF0C4F">
      <w:pPr>
        <w:pStyle w:val="FootnoteText"/>
      </w:pPr>
      <w:r>
        <w:rPr>
          <w:rStyle w:val="FootnoteReference"/>
        </w:rPr>
        <w:footnoteRef/>
      </w:r>
      <w:r>
        <w:t xml:space="preserve"> The values shown in </w:t>
      </w:r>
      <w:r w:rsidRPr="008C1DD7">
        <w:rPr>
          <w:rFonts w:cstheme="minorHAnsi"/>
        </w:rPr>
        <w:fldChar w:fldCharType="begin"/>
      </w:r>
      <w:r w:rsidRPr="008C1DD7">
        <w:rPr>
          <w:rFonts w:cstheme="minorHAnsi"/>
        </w:rPr>
        <w:instrText xml:space="preserve"> REF _Ref343073923 \h  \* MERGEFORMAT </w:instrText>
      </w:r>
      <w:r w:rsidRPr="008C1DD7">
        <w:rPr>
          <w:rFonts w:cstheme="minorHAnsi"/>
        </w:rPr>
      </w:r>
      <w:r w:rsidRPr="008C1DD7">
        <w:rPr>
          <w:rFonts w:cstheme="minorHAnsi"/>
        </w:rPr>
        <w:fldChar w:fldCharType="separate"/>
      </w:r>
      <w:r w:rsidRPr="00BE0931">
        <w:rPr>
          <w:rFonts w:cstheme="minorHAnsi"/>
        </w:rPr>
        <w:t xml:space="preserve">Figure </w:t>
      </w:r>
      <w:r w:rsidRPr="00BE0931">
        <w:rPr>
          <w:rFonts w:cstheme="minorHAnsi"/>
          <w:noProof/>
        </w:rPr>
        <w:t>D</w:t>
      </w:r>
      <w:r w:rsidRPr="00BE0931">
        <w:rPr>
          <w:rFonts w:cstheme="minorHAnsi"/>
          <w:noProof/>
        </w:rPr>
        <w:noBreakHyphen/>
        <w:t>2</w:t>
      </w:r>
      <w:r w:rsidRPr="008C1DD7">
        <w:rPr>
          <w:rFonts w:cstheme="minorHAnsi"/>
        </w:rPr>
        <w:fldChar w:fldCharType="end"/>
      </w:r>
      <w:r>
        <w:rPr>
          <w:rFonts w:cstheme="minorHAnsi"/>
        </w:rPr>
        <w:t xml:space="preserve"> are sorted by descending LMP for presentation. Hour 1 does not necessarily correspond to the hour with the highest load in megawatts.</w:t>
      </w:r>
    </w:p>
  </w:footnote>
  <w:footnote w:id="35">
    <w:p w:rsidR="00895862" w:rsidRDefault="00895862">
      <w:pPr>
        <w:pStyle w:val="FootnoteText"/>
      </w:pPr>
      <w:r>
        <w:rPr>
          <w:rStyle w:val="FootnoteReference"/>
        </w:rPr>
        <w:footnoteRef/>
      </w:r>
      <w:r>
        <w:t xml:space="preserve"> The LMP in Duquesne service territory was over $300/MWh during hour ending 15 and hour ending 16 on August 15, 2009</w:t>
      </w:r>
    </w:p>
  </w:footnote>
  <w:footnote w:id="36">
    <w:p w:rsidR="00895862" w:rsidRDefault="00895862" w:rsidP="00A03385">
      <w:pPr>
        <w:pStyle w:val="FootnoteText"/>
      </w:pPr>
      <w:r>
        <w:rPr>
          <w:rStyle w:val="FootnoteReference"/>
        </w:rPr>
        <w:footnoteRef/>
      </w:r>
      <w:r>
        <w:t xml:space="preserve"> </w:t>
      </w:r>
      <w:r w:rsidRPr="00480326">
        <w:t>There were no Large Industrial customer sites enrolled in the Penn Power load curtailment program in 2012</w:t>
      </w:r>
    </w:p>
  </w:footnote>
  <w:footnote w:id="37">
    <w:p w:rsidR="00895862" w:rsidRDefault="00895862" w:rsidP="00A03385">
      <w:pPr>
        <w:pStyle w:val="FootnoteText"/>
      </w:pPr>
      <w:r>
        <w:rPr>
          <w:rStyle w:val="FootnoteReference"/>
        </w:rPr>
        <w:footnoteRef/>
      </w:r>
      <w:r>
        <w:t xml:space="preserve"> </w:t>
      </w:r>
      <w:r w:rsidRPr="006A1273">
        <w:t>These contractors are independent from the EDC.  The contractors used specific staff trained in surveying to contact the customers to prevent any potential bias.</w:t>
      </w:r>
    </w:p>
  </w:footnote>
  <w:footnote w:id="38">
    <w:p w:rsidR="00895862" w:rsidRDefault="00895862" w:rsidP="00A03385">
      <w:pPr>
        <w:pStyle w:val="FootnoteText"/>
      </w:pPr>
      <w:r>
        <w:rPr>
          <w:rStyle w:val="FootnoteReference"/>
        </w:rPr>
        <w:footnoteRef/>
      </w:r>
      <w:r>
        <w:t xml:space="preserve"> Resources were dispatched in the METED, PECO, PENELEC and PPL zones on July 18, 2012. Additional information on the PJM Load Management dispatches can be found at </w:t>
      </w:r>
      <w:hyperlink r:id="rId8" w:history="1">
        <w:r>
          <w:rPr>
            <w:rStyle w:val="Hyperlink"/>
          </w:rPr>
          <w:t>http://www.pjm.com/markets-and-operations/demand-response/~/media/markets-ops/demand-response/20120718-load-management-dr-event-key-times-and-hours.ashx</w:t>
        </w:r>
      </w:hyperlink>
    </w:p>
  </w:footnote>
  <w:footnote w:id="39">
    <w:p w:rsidR="00895862" w:rsidRDefault="00895862">
      <w:pPr>
        <w:pStyle w:val="FootnoteText"/>
      </w:pPr>
      <w:r>
        <w:rPr>
          <w:rStyle w:val="FootnoteReference"/>
        </w:rPr>
        <w:footnoteRef/>
      </w:r>
      <w:r>
        <w:t xml:space="preserve"> The PJM Economic DR market pays customers the LMP for each MWh curtailed provided that the LMP is greater than the value determined by the Net Benefits Test</w:t>
      </w:r>
    </w:p>
  </w:footnote>
  <w:footnote w:id="40">
    <w:p w:rsidR="00895862" w:rsidRPr="00C3722F" w:rsidRDefault="00895862" w:rsidP="006A025D">
      <w:pPr>
        <w:pStyle w:val="FootnoteText"/>
        <w:jc w:val="left"/>
      </w:pPr>
      <w:r>
        <w:rPr>
          <w:rStyle w:val="FootnoteReference"/>
        </w:rPr>
        <w:footnoteRef/>
      </w:r>
      <w:r>
        <w:t xml:space="preserve"> </w:t>
      </w:r>
      <w:r w:rsidRPr="00C3722F">
        <w:t>The most recent Congressional Budget Office evaluation of the economy indicated expected inflation rates in the range of 2.0% to 2.5%.  Woods &amp; Poole Economics, Inc. has projected inflation at 3.0% per year over the next ten years.</w:t>
      </w:r>
    </w:p>
  </w:footnote>
  <w:footnote w:id="41">
    <w:p w:rsidR="00895862" w:rsidRDefault="00895862" w:rsidP="00791627">
      <w:pPr>
        <w:pStyle w:val="FootnoteText"/>
      </w:pPr>
      <w:r>
        <w:rPr>
          <w:rStyle w:val="FootnoteReference"/>
        </w:rPr>
        <w:footnoteRef/>
      </w:r>
      <w:r>
        <w:t xml:space="preserve"> </w:t>
      </w:r>
      <w:proofErr w:type="gramStart"/>
      <w:r>
        <w:t>The Brattle Group.</w:t>
      </w:r>
      <w:proofErr w:type="gramEnd"/>
      <w:r>
        <w:t xml:space="preserve"> </w:t>
      </w:r>
      <w:proofErr w:type="gramStart"/>
      <w:r w:rsidRPr="0012316D">
        <w:rPr>
          <w:i/>
        </w:rPr>
        <w:t>Quantifying Demand Response Benefits in PJM</w:t>
      </w:r>
      <w:r>
        <w:t>.</w:t>
      </w:r>
      <w:proofErr w:type="gramEnd"/>
      <w:r>
        <w:t xml:space="preserve"> January 29, 2007.</w:t>
      </w:r>
    </w:p>
  </w:footnote>
  <w:footnote w:id="42">
    <w:p w:rsidR="00895862" w:rsidRDefault="00895862" w:rsidP="00791627">
      <w:pPr>
        <w:pStyle w:val="FootnoteText"/>
      </w:pPr>
      <w:r>
        <w:rPr>
          <w:rStyle w:val="FootnoteReference"/>
        </w:rPr>
        <w:footnoteRef/>
      </w:r>
      <w:r>
        <w:t xml:space="preserve"> Indeed, the Brattle Group makes it clear in their report that these effects would also impact non-curtailing customers because prices in non-event hours on event days would actually be slightly higher because of such recovery of energy.  However, they were unable to estimate these impacts in their analysis.</w:t>
      </w:r>
    </w:p>
  </w:footnote>
  <w:footnote w:id="43">
    <w:p w:rsidR="00895862" w:rsidRDefault="00895862" w:rsidP="00791627">
      <w:pPr>
        <w:pStyle w:val="FootnoteText"/>
      </w:pPr>
      <w:r>
        <w:rPr>
          <w:rStyle w:val="FootnoteReference"/>
        </w:rPr>
        <w:footnoteRef/>
      </w:r>
      <w:r>
        <w:t xml:space="preserve"> </w:t>
      </w:r>
      <w:proofErr w:type="gramStart"/>
      <w:r>
        <w:t>The Brattle Group.</w:t>
      </w:r>
      <w:proofErr w:type="gramEnd"/>
      <w:r>
        <w:t xml:space="preserve">  </w:t>
      </w:r>
      <w:proofErr w:type="gramStart"/>
      <w:r w:rsidRPr="00426214">
        <w:rPr>
          <w:i/>
        </w:rPr>
        <w:t>Quantifying Demand Response Benefits in PJM</w:t>
      </w:r>
      <w:r>
        <w:t>.</w:t>
      </w:r>
      <w:proofErr w:type="gramEnd"/>
      <w:r>
        <w:t xml:space="preserve"> January 29, 2007. </w:t>
      </w:r>
      <w:proofErr w:type="gramStart"/>
      <w:r>
        <w:t>Page 29.</w:t>
      </w:r>
      <w:proofErr w:type="gramEnd"/>
    </w:p>
  </w:footnote>
  <w:footnote w:id="44">
    <w:p w:rsidR="00895862" w:rsidRDefault="00895862">
      <w:pPr>
        <w:pStyle w:val="FootnoteText"/>
      </w:pPr>
      <w:r>
        <w:rPr>
          <w:rStyle w:val="FootnoteReference"/>
        </w:rPr>
        <w:footnoteRef/>
      </w:r>
      <w:r>
        <w:t xml:space="preserve"> </w:t>
      </w:r>
      <w:hyperlink r:id="rId9" w:history="1">
        <w:r>
          <w:rPr>
            <w:rStyle w:val="Hyperlink"/>
          </w:rPr>
          <w:t>http://www.synapse-energy.com/Downloads/SynapseReport.2013-02.LBL.DR-Cost-Effectiveness.11-106A.pdf</w:t>
        </w:r>
      </w:hyperlink>
    </w:p>
  </w:footnote>
  <w:footnote w:id="45">
    <w:p w:rsidR="00895862" w:rsidRDefault="00895862">
      <w:pPr>
        <w:pStyle w:val="FootnoteText"/>
      </w:pPr>
      <w:r>
        <w:rPr>
          <w:rStyle w:val="FootnoteReference"/>
        </w:rPr>
        <w:footnoteRef/>
      </w:r>
      <w:r>
        <w:t xml:space="preserve"> Act 129 requires a 3.0% energy reduction be achieved by May 31, 2013</w:t>
      </w:r>
    </w:p>
  </w:footnote>
  <w:footnote w:id="46">
    <w:p w:rsidR="00895862" w:rsidRPr="00994AC7" w:rsidRDefault="00895862" w:rsidP="00EF46CC">
      <w:pPr>
        <w:pStyle w:val="FootnoteText"/>
      </w:pPr>
      <w:r w:rsidRPr="001B7E41">
        <w:rPr>
          <w:rStyle w:val="FootnoteReference"/>
        </w:rPr>
        <w:footnoteRef/>
      </w:r>
      <w:r w:rsidRPr="001B7E41">
        <w:t xml:space="preserve"> </w:t>
      </w:r>
      <w:proofErr w:type="gramStart"/>
      <w:r w:rsidRPr="001B7E41">
        <w:t>66 Pa. C.S. 2806.1(f) (2).</w:t>
      </w:r>
      <w:proofErr w:type="gramEnd"/>
    </w:p>
  </w:footnote>
  <w:footnote w:id="47">
    <w:p w:rsidR="00895862" w:rsidRDefault="00895862">
      <w:pPr>
        <w:pStyle w:val="FootnoteText"/>
      </w:pPr>
      <w:r>
        <w:rPr>
          <w:rStyle w:val="FootnoteReference"/>
        </w:rPr>
        <w:footnoteRef/>
      </w:r>
      <w:r>
        <w:t xml:space="preserve"> Real-time LMPs are available on the PJM Operational Data page at: </w:t>
      </w:r>
      <w:hyperlink r:id="rId10" w:history="1">
        <w:r w:rsidRPr="000918E1">
          <w:rPr>
            <w:rStyle w:val="Hyperlink"/>
          </w:rPr>
          <w:t>http://oasis.pjm.com/system.htm</w:t>
        </w:r>
      </w:hyperlink>
    </w:p>
  </w:footnote>
  <w:footnote w:id="48">
    <w:p w:rsidR="00895862" w:rsidRDefault="00895862" w:rsidP="00351402">
      <w:pPr>
        <w:pStyle w:val="FootnoteText"/>
        <w:jc w:val="left"/>
      </w:pPr>
      <w:r>
        <w:rPr>
          <w:rStyle w:val="FootnoteReference"/>
        </w:rPr>
        <w:footnoteRef/>
      </w:r>
      <w:r>
        <w:t xml:space="preserve"> PJM produces an annual load forecast report that projects the summer peak demand (MW) that will be observed in load zones across the interconnection. The 2013 report can be found at </w:t>
      </w:r>
      <w:hyperlink r:id="rId11" w:history="1">
        <w:r>
          <w:rPr>
            <w:rStyle w:val="Hyperlink"/>
          </w:rPr>
          <w:t>https://www.pjm.com/~/media/documents/reports/2013-load-forecast-report.ashx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Header"/>
    </w:pPr>
    <w:r>
      <w:rPr>
        <w:noProof/>
      </w:rPr>
      <mc:AlternateContent>
        <mc:Choice Requires="wps">
          <w:drawing>
            <wp:anchor distT="0" distB="0" distL="114300" distR="114300" simplePos="0" relativeHeight="251657728" behindDoc="0" locked="0" layoutInCell="1" allowOverlap="1" wp14:anchorId="623A499A" wp14:editId="71268DE8">
              <wp:simplePos x="0" y="0"/>
              <wp:positionH relativeFrom="column">
                <wp:posOffset>-307975</wp:posOffset>
              </wp:positionH>
              <wp:positionV relativeFrom="paragraph">
                <wp:posOffset>-342900</wp:posOffset>
              </wp:positionV>
              <wp:extent cx="11674475" cy="10245725"/>
              <wp:effectExtent l="530225" t="914400" r="530225" b="90805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24701">
                        <a:off x="0" y="0"/>
                        <a:ext cx="11674475" cy="102457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25pt;margin-top:-27pt;width:919.25pt;height:806.75pt;rotation:-242996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" stroked="f"/>
          </w:pict>
        </mc:Fallback>
      </mc:AlternateContent>
    </w:r>
    <w:r>
      <w:rPr>
        <w:noProof/>
      </w:rPr>
      <mc:AlternateContent>
        <mc:Choice Requires="wps">
          <w:drawing>
            <wp:anchor distT="0" distB="0" distL="114300" distR="114300" simplePos="0" relativeHeight="251656704" behindDoc="1" locked="0" layoutInCell="1" allowOverlap="1" wp14:anchorId="6F1EEBDF" wp14:editId="104BCE1D">
              <wp:simplePos x="0" y="0"/>
              <wp:positionH relativeFrom="column">
                <wp:posOffset>-1028700</wp:posOffset>
              </wp:positionH>
              <wp:positionV relativeFrom="paragraph">
                <wp:posOffset>-457200</wp:posOffset>
              </wp:positionV>
              <wp:extent cx="7886700" cy="1006792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0067925"/>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1pt;margin-top:-36pt;width:621pt;height:79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" fillcolor="#17365d"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Default="008958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62" w:rsidRPr="00643267" w:rsidRDefault="00895862" w:rsidP="004463D0">
    <w:pPr>
      <w:pBdr>
        <w:bottom w:val="single" w:sz="4" w:space="5" w:color="auto"/>
      </w:pBdr>
      <w:tabs>
        <w:tab w:val="center" w:pos="4680"/>
        <w:tab w:val="right" w:pos="9360"/>
      </w:tabs>
      <w:spacing w:after="0" w:line="240" w:lineRule="auto"/>
      <w:jc w:val="left"/>
      <w:rPr>
        <w:rFonts w:ascii="Garamond" w:eastAsia="Times New Roman" w:hAnsi="Garamond" w:cs="Times New Roman"/>
        <w:i/>
        <w:szCs w:val="21"/>
      </w:rPr>
    </w:pPr>
    <w:r w:rsidRPr="00A948B6">
      <w:rPr>
        <w:rFonts w:ascii="Garamond" w:eastAsia="Times New Roman" w:hAnsi="Garamond" w:cs="Times New Roman"/>
        <w:b/>
        <w:iCs/>
        <w:smallCaps/>
        <w:spacing w:val="20"/>
        <w:sz w:val="20"/>
      </w:rPr>
      <w:t>Act 129 Demand Response Study</w:t>
    </w:r>
    <w:r w:rsidRPr="00643267">
      <w:rPr>
        <w:rFonts w:ascii="Garamond" w:eastAsia="Times New Roman" w:hAnsi="Garamond" w:cs="Arial"/>
        <w:b/>
        <w:sz w:val="21"/>
        <w:szCs w:val="21"/>
      </w:rPr>
      <w:tab/>
      <w:t xml:space="preserve"> </w:t>
    </w:r>
    <w:r w:rsidRPr="00643267">
      <w:rPr>
        <w:rFonts w:ascii="Garamond" w:eastAsia="Times New Roman" w:hAnsi="Garamond" w:cs="Arial"/>
        <w:sz w:val="21"/>
        <w:szCs w:val="21"/>
      </w:rPr>
      <w:t xml:space="preserve"> </w:t>
    </w:r>
    <w:r w:rsidRPr="00643267">
      <w:rPr>
        <w:rFonts w:ascii="Garamond" w:eastAsia="Times New Roman" w:hAnsi="Garamond" w:cs="Arial"/>
        <w:b/>
        <w:sz w:val="21"/>
        <w:szCs w:val="21"/>
      </w:rPr>
      <w:tab/>
    </w:r>
    <w:r w:rsidRPr="00A948B6">
      <w:rPr>
        <w:rFonts w:ascii="Times New Roman" w:eastAsia="Times New Roman" w:hAnsi="Times New Roman" w:cs="Times New Roman"/>
        <w:i/>
        <w:sz w:val="21"/>
        <w:szCs w:val="21"/>
      </w:rPr>
      <w:t>Summer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489"/>
    <w:multiLevelType w:val="hybridMultilevel"/>
    <w:tmpl w:val="3BAC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11CDE"/>
    <w:multiLevelType w:val="hybridMultilevel"/>
    <w:tmpl w:val="72049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5E7CAC"/>
    <w:multiLevelType w:val="hybridMultilevel"/>
    <w:tmpl w:val="7F462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D421E"/>
    <w:multiLevelType w:val="hybridMultilevel"/>
    <w:tmpl w:val="7E4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6506D"/>
    <w:multiLevelType w:val="hybridMultilevel"/>
    <w:tmpl w:val="7892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6546B"/>
    <w:multiLevelType w:val="hybridMultilevel"/>
    <w:tmpl w:val="7F462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D6841"/>
    <w:multiLevelType w:val="hybridMultilevel"/>
    <w:tmpl w:val="B8E83B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643F6"/>
    <w:multiLevelType w:val="hybridMultilevel"/>
    <w:tmpl w:val="FF8E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332959"/>
    <w:multiLevelType w:val="hybridMultilevel"/>
    <w:tmpl w:val="F01E749C"/>
    <w:lvl w:ilvl="0" w:tplc="74CC298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87C9D"/>
    <w:multiLevelType w:val="hybridMultilevel"/>
    <w:tmpl w:val="B8D8C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557E3"/>
    <w:multiLevelType w:val="hybridMultilevel"/>
    <w:tmpl w:val="D832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53D8F"/>
    <w:multiLevelType w:val="multilevel"/>
    <w:tmpl w:val="AFEA4E94"/>
    <w:lvl w:ilvl="0">
      <w:start w:val="1"/>
      <w:numFmt w:val="decimal"/>
      <w:lvlText w:val="%1"/>
      <w:lvlJc w:val="left"/>
      <w:pPr>
        <w:ind w:left="432" w:hanging="432"/>
      </w:pPr>
      <w:rPr>
        <w:rFonts w:hint="default"/>
        <w:b/>
        <w:bCs w:val="0"/>
        <w:i w:val="0"/>
        <w:iCs w:val="0"/>
        <w:caps w:val="0"/>
        <w:smallCaps w:val="0"/>
        <w:strike w:val="0"/>
        <w:dstrike w:val="0"/>
        <w:noProof w:val="0"/>
        <w:snapToGrid w:val="0"/>
        <w:vanish w:val="0"/>
        <w:color w:val="1F497D" w:themeColor="text2"/>
        <w:spacing w:val="0"/>
        <w:w w:val="0"/>
        <w:kern w:val="0"/>
        <w:position w:val="0"/>
        <w:sz w:val="28"/>
        <w:szCs w:val="3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sz w:val="26"/>
        <w:szCs w:val="26"/>
      </w:rPr>
    </w:lvl>
    <w:lvl w:ilvl="2">
      <w:start w:val="1"/>
      <w:numFmt w:val="decimal"/>
      <w:lvlText w:val="%1.%2.%3"/>
      <w:lvlJc w:val="left"/>
      <w:pPr>
        <w:ind w:left="9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7.%8 "/>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348136D"/>
    <w:multiLevelType w:val="hybridMultilevel"/>
    <w:tmpl w:val="13062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50D23"/>
    <w:multiLevelType w:val="hybridMultilevel"/>
    <w:tmpl w:val="5ECC51A6"/>
    <w:lvl w:ilvl="0" w:tplc="4790C4AC">
      <w:start w:val="1"/>
      <w:numFmt w:val="low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D43A53"/>
    <w:multiLevelType w:val="hybridMultilevel"/>
    <w:tmpl w:val="5EEACE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75A8F"/>
    <w:multiLevelType w:val="hybridMultilevel"/>
    <w:tmpl w:val="DC18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810F0"/>
    <w:multiLevelType w:val="hybridMultilevel"/>
    <w:tmpl w:val="1A581764"/>
    <w:lvl w:ilvl="0" w:tplc="96EA34EA">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E30B86"/>
    <w:multiLevelType w:val="hybridMultilevel"/>
    <w:tmpl w:val="2E388910"/>
    <w:lvl w:ilvl="0" w:tplc="6B50571C">
      <w:start w:val="3"/>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A7F15"/>
    <w:multiLevelType w:val="hybridMultilevel"/>
    <w:tmpl w:val="5D76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F66294"/>
    <w:multiLevelType w:val="hybridMultilevel"/>
    <w:tmpl w:val="04628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3467C"/>
    <w:multiLevelType w:val="hybridMultilevel"/>
    <w:tmpl w:val="A9128B1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9BA18E5"/>
    <w:multiLevelType w:val="hybridMultilevel"/>
    <w:tmpl w:val="6CAA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67E2D"/>
    <w:multiLevelType w:val="hybridMultilevel"/>
    <w:tmpl w:val="C67E83AE"/>
    <w:lvl w:ilvl="0" w:tplc="4AF2BC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BF65C5"/>
    <w:multiLevelType w:val="hybridMultilevel"/>
    <w:tmpl w:val="1C2AF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5A6E93"/>
    <w:multiLevelType w:val="multilevel"/>
    <w:tmpl w:val="F7AACE38"/>
    <w:lvl w:ilvl="0">
      <w:start w:val="1"/>
      <w:numFmt w:val="upperLetter"/>
      <w:pStyle w:val="Heading1"/>
      <w:lvlText w:val="%1."/>
      <w:lvlJc w:val="left"/>
      <w:pPr>
        <w:ind w:left="432" w:hanging="432"/>
      </w:pPr>
      <w:rPr>
        <w:rFonts w:hint="default"/>
        <w:b/>
        <w:bCs w:val="0"/>
        <w:i w:val="0"/>
        <w:iCs w:val="0"/>
        <w:caps w:val="0"/>
        <w:smallCaps w:val="0"/>
        <w:strike w:val="0"/>
        <w:dstrike w:val="0"/>
        <w:noProof w:val="0"/>
        <w:snapToGrid w:val="0"/>
        <w:vanish w:val="0"/>
        <w:color w:val="1F497D" w:themeColor="text2"/>
        <w:spacing w:val="0"/>
        <w:w w:val="0"/>
        <w:kern w:val="0"/>
        <w:position w:val="0"/>
        <w:sz w:val="28"/>
        <w:szCs w:val="3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sz w:val="26"/>
        <w:szCs w:val="26"/>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7.%8 "/>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9"/>
  </w:num>
  <w:num w:numId="3">
    <w:abstractNumId w:val="12"/>
  </w:num>
  <w:num w:numId="4">
    <w:abstractNumId w:val="19"/>
  </w:num>
  <w:num w:numId="5">
    <w:abstractNumId w:val="10"/>
  </w:num>
  <w:num w:numId="6">
    <w:abstractNumId w:val="15"/>
  </w:num>
  <w:num w:numId="7">
    <w:abstractNumId w:val="6"/>
  </w:num>
  <w:num w:numId="8">
    <w:abstractNumId w:val="4"/>
  </w:num>
  <w:num w:numId="9">
    <w:abstractNumId w:val="22"/>
  </w:num>
  <w:num w:numId="10">
    <w:abstractNumId w:val="1"/>
  </w:num>
  <w:num w:numId="11">
    <w:abstractNumId w:val="2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3"/>
  </w:num>
  <w:num w:numId="27">
    <w:abstractNumId w:val="16"/>
    <w:lvlOverride w:ilvl="0">
      <w:startOverride w:val="1"/>
    </w:lvlOverride>
  </w:num>
  <w:num w:numId="28">
    <w:abstractNumId w:val="16"/>
    <w:lvlOverride w:ilvl="0">
      <w:startOverride w:val="1"/>
    </w:lvlOverride>
  </w:num>
  <w:num w:numId="29">
    <w:abstractNumId w:val="7"/>
  </w:num>
  <w:num w:numId="30">
    <w:abstractNumId w:val="2"/>
  </w:num>
  <w:num w:numId="31">
    <w:abstractNumId w:val="3"/>
  </w:num>
  <w:num w:numId="32">
    <w:abstractNumId w:val="16"/>
    <w:lvlOverride w:ilvl="0">
      <w:startOverride w:val="1"/>
    </w:lvlOverride>
  </w:num>
  <w:num w:numId="33">
    <w:abstractNumId w:val="16"/>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4"/>
  </w:num>
  <w:num w:numId="38">
    <w:abstractNumId w:val="23"/>
  </w:num>
  <w:num w:numId="39">
    <w:abstractNumId w:val="13"/>
    <w:lvlOverride w:ilvl="0">
      <w:startOverride w:val="1"/>
    </w:lvlOverride>
  </w:num>
  <w:num w:numId="40">
    <w:abstractNumId w:val="21"/>
  </w:num>
  <w:num w:numId="41">
    <w:abstractNumId w:val="16"/>
    <w:lvlOverride w:ilvl="0">
      <w:startOverride w:val="1"/>
    </w:lvlOverride>
  </w:num>
  <w:num w:numId="4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54"/>
    <w:rsid w:val="00002197"/>
    <w:rsid w:val="000037E6"/>
    <w:rsid w:val="00003903"/>
    <w:rsid w:val="00006A1E"/>
    <w:rsid w:val="000078E8"/>
    <w:rsid w:val="00016BF4"/>
    <w:rsid w:val="000226C6"/>
    <w:rsid w:val="0002590E"/>
    <w:rsid w:val="00025A44"/>
    <w:rsid w:val="00026379"/>
    <w:rsid w:val="0002713A"/>
    <w:rsid w:val="000324E1"/>
    <w:rsid w:val="00033BAD"/>
    <w:rsid w:val="000343FD"/>
    <w:rsid w:val="00052794"/>
    <w:rsid w:val="000571AE"/>
    <w:rsid w:val="00057EAC"/>
    <w:rsid w:val="00060621"/>
    <w:rsid w:val="000874FF"/>
    <w:rsid w:val="000879C9"/>
    <w:rsid w:val="000901B8"/>
    <w:rsid w:val="00090B9E"/>
    <w:rsid w:val="000918E1"/>
    <w:rsid w:val="000A01B8"/>
    <w:rsid w:val="000A0837"/>
    <w:rsid w:val="000A59E5"/>
    <w:rsid w:val="000B201B"/>
    <w:rsid w:val="000B2CEC"/>
    <w:rsid w:val="000B31ED"/>
    <w:rsid w:val="000D5A99"/>
    <w:rsid w:val="000F6886"/>
    <w:rsid w:val="0011127F"/>
    <w:rsid w:val="00127430"/>
    <w:rsid w:val="00127A74"/>
    <w:rsid w:val="00131813"/>
    <w:rsid w:val="00135E81"/>
    <w:rsid w:val="00143E13"/>
    <w:rsid w:val="00145114"/>
    <w:rsid w:val="001479D0"/>
    <w:rsid w:val="00150849"/>
    <w:rsid w:val="0015367C"/>
    <w:rsid w:val="001674E8"/>
    <w:rsid w:val="00170DC9"/>
    <w:rsid w:val="001754FB"/>
    <w:rsid w:val="00182255"/>
    <w:rsid w:val="00184570"/>
    <w:rsid w:val="001853EF"/>
    <w:rsid w:val="00190FF8"/>
    <w:rsid w:val="00193510"/>
    <w:rsid w:val="00193D88"/>
    <w:rsid w:val="0019479E"/>
    <w:rsid w:val="00197F63"/>
    <w:rsid w:val="001A36BA"/>
    <w:rsid w:val="001A6706"/>
    <w:rsid w:val="001B06AD"/>
    <w:rsid w:val="001B3989"/>
    <w:rsid w:val="001C0C1E"/>
    <w:rsid w:val="001D4D6D"/>
    <w:rsid w:val="001D61BE"/>
    <w:rsid w:val="001E043C"/>
    <w:rsid w:val="001E1BF3"/>
    <w:rsid w:val="001F046D"/>
    <w:rsid w:val="001F2C61"/>
    <w:rsid w:val="001F2FB0"/>
    <w:rsid w:val="001F6AFF"/>
    <w:rsid w:val="00214B6E"/>
    <w:rsid w:val="00214C4E"/>
    <w:rsid w:val="00216996"/>
    <w:rsid w:val="002246E2"/>
    <w:rsid w:val="002260A7"/>
    <w:rsid w:val="00234A23"/>
    <w:rsid w:val="002366C3"/>
    <w:rsid w:val="0024190E"/>
    <w:rsid w:val="002420EA"/>
    <w:rsid w:val="00245012"/>
    <w:rsid w:val="002453FA"/>
    <w:rsid w:val="00246BB8"/>
    <w:rsid w:val="00252FDD"/>
    <w:rsid w:val="00264688"/>
    <w:rsid w:val="00264B8C"/>
    <w:rsid w:val="00271E02"/>
    <w:rsid w:val="00273E37"/>
    <w:rsid w:val="00276B98"/>
    <w:rsid w:val="00277EB0"/>
    <w:rsid w:val="0028470F"/>
    <w:rsid w:val="002857A0"/>
    <w:rsid w:val="00286A1D"/>
    <w:rsid w:val="00286FD2"/>
    <w:rsid w:val="002918F3"/>
    <w:rsid w:val="00291B50"/>
    <w:rsid w:val="00296AB0"/>
    <w:rsid w:val="00297FB0"/>
    <w:rsid w:val="002A4E12"/>
    <w:rsid w:val="002A6700"/>
    <w:rsid w:val="002A712D"/>
    <w:rsid w:val="002A7223"/>
    <w:rsid w:val="002B050C"/>
    <w:rsid w:val="002B39A3"/>
    <w:rsid w:val="002B3C24"/>
    <w:rsid w:val="002B542F"/>
    <w:rsid w:val="002C39EE"/>
    <w:rsid w:val="002C4EBE"/>
    <w:rsid w:val="002C5D2B"/>
    <w:rsid w:val="002C5D70"/>
    <w:rsid w:val="002D4483"/>
    <w:rsid w:val="002E1D85"/>
    <w:rsid w:val="002E2EDA"/>
    <w:rsid w:val="002E5111"/>
    <w:rsid w:val="002E5BF5"/>
    <w:rsid w:val="002F1FE0"/>
    <w:rsid w:val="002F2DFF"/>
    <w:rsid w:val="002F3E2A"/>
    <w:rsid w:val="002F6F24"/>
    <w:rsid w:val="00301994"/>
    <w:rsid w:val="003063AB"/>
    <w:rsid w:val="003153F3"/>
    <w:rsid w:val="00323328"/>
    <w:rsid w:val="003233CC"/>
    <w:rsid w:val="00323F93"/>
    <w:rsid w:val="0032451B"/>
    <w:rsid w:val="003256BA"/>
    <w:rsid w:val="00332511"/>
    <w:rsid w:val="003413FC"/>
    <w:rsid w:val="00342198"/>
    <w:rsid w:val="00343964"/>
    <w:rsid w:val="003447DD"/>
    <w:rsid w:val="00345D26"/>
    <w:rsid w:val="0034661A"/>
    <w:rsid w:val="00346C94"/>
    <w:rsid w:val="00351402"/>
    <w:rsid w:val="00351F77"/>
    <w:rsid w:val="00361D57"/>
    <w:rsid w:val="0036319F"/>
    <w:rsid w:val="00371137"/>
    <w:rsid w:val="00377CD7"/>
    <w:rsid w:val="00381127"/>
    <w:rsid w:val="00385AAB"/>
    <w:rsid w:val="003A7B63"/>
    <w:rsid w:val="003C0749"/>
    <w:rsid w:val="003C282F"/>
    <w:rsid w:val="003D0D88"/>
    <w:rsid w:val="003D2F22"/>
    <w:rsid w:val="003D3700"/>
    <w:rsid w:val="003E381A"/>
    <w:rsid w:val="003F146E"/>
    <w:rsid w:val="003F2090"/>
    <w:rsid w:val="003F29E6"/>
    <w:rsid w:val="003F45CE"/>
    <w:rsid w:val="003F5F82"/>
    <w:rsid w:val="003F6112"/>
    <w:rsid w:val="004139E6"/>
    <w:rsid w:val="0041726C"/>
    <w:rsid w:val="004221F3"/>
    <w:rsid w:val="00422A1A"/>
    <w:rsid w:val="0042571E"/>
    <w:rsid w:val="00431E53"/>
    <w:rsid w:val="00435AF5"/>
    <w:rsid w:val="004423F6"/>
    <w:rsid w:val="00444254"/>
    <w:rsid w:val="0044550E"/>
    <w:rsid w:val="004463D0"/>
    <w:rsid w:val="00451FFF"/>
    <w:rsid w:val="0045429B"/>
    <w:rsid w:val="00465113"/>
    <w:rsid w:val="0046520A"/>
    <w:rsid w:val="00465553"/>
    <w:rsid w:val="00471046"/>
    <w:rsid w:val="004717BF"/>
    <w:rsid w:val="00475ECD"/>
    <w:rsid w:val="00480326"/>
    <w:rsid w:val="004860A1"/>
    <w:rsid w:val="00492BFE"/>
    <w:rsid w:val="00495D2A"/>
    <w:rsid w:val="004A4A28"/>
    <w:rsid w:val="004B1659"/>
    <w:rsid w:val="004C4AD5"/>
    <w:rsid w:val="004C7BA6"/>
    <w:rsid w:val="004D18E6"/>
    <w:rsid w:val="004E1CEB"/>
    <w:rsid w:val="004E2C12"/>
    <w:rsid w:val="004E46A2"/>
    <w:rsid w:val="004E7D85"/>
    <w:rsid w:val="004E7E80"/>
    <w:rsid w:val="004F4566"/>
    <w:rsid w:val="004F551C"/>
    <w:rsid w:val="0050255E"/>
    <w:rsid w:val="00505D13"/>
    <w:rsid w:val="0050701D"/>
    <w:rsid w:val="00513221"/>
    <w:rsid w:val="0051677F"/>
    <w:rsid w:val="005222CE"/>
    <w:rsid w:val="0052274D"/>
    <w:rsid w:val="00523003"/>
    <w:rsid w:val="0052647E"/>
    <w:rsid w:val="00531C3A"/>
    <w:rsid w:val="00532776"/>
    <w:rsid w:val="005431BE"/>
    <w:rsid w:val="005523CC"/>
    <w:rsid w:val="00557CBF"/>
    <w:rsid w:val="0056156D"/>
    <w:rsid w:val="0056577A"/>
    <w:rsid w:val="00571EEF"/>
    <w:rsid w:val="005755F1"/>
    <w:rsid w:val="0059260B"/>
    <w:rsid w:val="00593C06"/>
    <w:rsid w:val="00593E8B"/>
    <w:rsid w:val="00596234"/>
    <w:rsid w:val="005A4A98"/>
    <w:rsid w:val="005B2069"/>
    <w:rsid w:val="005B7391"/>
    <w:rsid w:val="005C254D"/>
    <w:rsid w:val="005C4836"/>
    <w:rsid w:val="005C5BA3"/>
    <w:rsid w:val="005C6E4F"/>
    <w:rsid w:val="005D01FD"/>
    <w:rsid w:val="005D2D99"/>
    <w:rsid w:val="005D4C78"/>
    <w:rsid w:val="005D7C4A"/>
    <w:rsid w:val="005E103A"/>
    <w:rsid w:val="005E13C8"/>
    <w:rsid w:val="005E2DC2"/>
    <w:rsid w:val="005E6655"/>
    <w:rsid w:val="005F1559"/>
    <w:rsid w:val="005F4BB5"/>
    <w:rsid w:val="005F6733"/>
    <w:rsid w:val="00604A9F"/>
    <w:rsid w:val="00604ECB"/>
    <w:rsid w:val="00613F35"/>
    <w:rsid w:val="00621B70"/>
    <w:rsid w:val="00622958"/>
    <w:rsid w:val="00623E6A"/>
    <w:rsid w:val="006309A0"/>
    <w:rsid w:val="00631A8B"/>
    <w:rsid w:val="00631B7F"/>
    <w:rsid w:val="00641D50"/>
    <w:rsid w:val="00643267"/>
    <w:rsid w:val="00643A61"/>
    <w:rsid w:val="0064406A"/>
    <w:rsid w:val="00644319"/>
    <w:rsid w:val="006472EF"/>
    <w:rsid w:val="00647DEE"/>
    <w:rsid w:val="00652FC0"/>
    <w:rsid w:val="006536B9"/>
    <w:rsid w:val="00654D42"/>
    <w:rsid w:val="00655CDE"/>
    <w:rsid w:val="00656AFB"/>
    <w:rsid w:val="00672238"/>
    <w:rsid w:val="00672C68"/>
    <w:rsid w:val="0067311D"/>
    <w:rsid w:val="0067484D"/>
    <w:rsid w:val="00676749"/>
    <w:rsid w:val="00684086"/>
    <w:rsid w:val="00690154"/>
    <w:rsid w:val="00692375"/>
    <w:rsid w:val="00696608"/>
    <w:rsid w:val="006A025D"/>
    <w:rsid w:val="006A0654"/>
    <w:rsid w:val="006A10BE"/>
    <w:rsid w:val="006A1273"/>
    <w:rsid w:val="006A795E"/>
    <w:rsid w:val="006B3469"/>
    <w:rsid w:val="006B4433"/>
    <w:rsid w:val="006B462B"/>
    <w:rsid w:val="006B7670"/>
    <w:rsid w:val="006C35A1"/>
    <w:rsid w:val="006C3A99"/>
    <w:rsid w:val="006C646A"/>
    <w:rsid w:val="006C6890"/>
    <w:rsid w:val="006C6BA6"/>
    <w:rsid w:val="006D1A1F"/>
    <w:rsid w:val="006D39CE"/>
    <w:rsid w:val="006D5780"/>
    <w:rsid w:val="006D60C7"/>
    <w:rsid w:val="006D6344"/>
    <w:rsid w:val="006D6A36"/>
    <w:rsid w:val="006E02A9"/>
    <w:rsid w:val="006E0CE1"/>
    <w:rsid w:val="006E225B"/>
    <w:rsid w:val="006E46E3"/>
    <w:rsid w:val="006F40B2"/>
    <w:rsid w:val="006F5DED"/>
    <w:rsid w:val="006F7082"/>
    <w:rsid w:val="00711404"/>
    <w:rsid w:val="0071187A"/>
    <w:rsid w:val="0071253A"/>
    <w:rsid w:val="0071462F"/>
    <w:rsid w:val="0071648A"/>
    <w:rsid w:val="00724105"/>
    <w:rsid w:val="00726E7F"/>
    <w:rsid w:val="007317E7"/>
    <w:rsid w:val="00731BFB"/>
    <w:rsid w:val="0074295D"/>
    <w:rsid w:val="00746B72"/>
    <w:rsid w:val="0074752C"/>
    <w:rsid w:val="00752A3F"/>
    <w:rsid w:val="0075378C"/>
    <w:rsid w:val="0076112E"/>
    <w:rsid w:val="00761750"/>
    <w:rsid w:val="007736EB"/>
    <w:rsid w:val="00776D35"/>
    <w:rsid w:val="007869B4"/>
    <w:rsid w:val="007914C9"/>
    <w:rsid w:val="00791627"/>
    <w:rsid w:val="00793784"/>
    <w:rsid w:val="00793794"/>
    <w:rsid w:val="00793FC3"/>
    <w:rsid w:val="007B50AB"/>
    <w:rsid w:val="007C2151"/>
    <w:rsid w:val="007C485F"/>
    <w:rsid w:val="007C5A2B"/>
    <w:rsid w:val="007C6B53"/>
    <w:rsid w:val="007D0EFB"/>
    <w:rsid w:val="007D212C"/>
    <w:rsid w:val="007E0462"/>
    <w:rsid w:val="007E40FF"/>
    <w:rsid w:val="007E41B1"/>
    <w:rsid w:val="007E41B2"/>
    <w:rsid w:val="007E4631"/>
    <w:rsid w:val="007E688D"/>
    <w:rsid w:val="007F14A7"/>
    <w:rsid w:val="007F2C7F"/>
    <w:rsid w:val="007F507C"/>
    <w:rsid w:val="007F6609"/>
    <w:rsid w:val="007F6A05"/>
    <w:rsid w:val="008144C8"/>
    <w:rsid w:val="00815165"/>
    <w:rsid w:val="00815FFB"/>
    <w:rsid w:val="00822875"/>
    <w:rsid w:val="00823C73"/>
    <w:rsid w:val="00825364"/>
    <w:rsid w:val="0083090F"/>
    <w:rsid w:val="0083345E"/>
    <w:rsid w:val="00847D89"/>
    <w:rsid w:val="00857B9C"/>
    <w:rsid w:val="0086084E"/>
    <w:rsid w:val="00861516"/>
    <w:rsid w:val="00862362"/>
    <w:rsid w:val="00863248"/>
    <w:rsid w:val="008646F5"/>
    <w:rsid w:val="00864861"/>
    <w:rsid w:val="00865EBC"/>
    <w:rsid w:val="00866C0D"/>
    <w:rsid w:val="00871879"/>
    <w:rsid w:val="00872B5F"/>
    <w:rsid w:val="0088558A"/>
    <w:rsid w:val="00887607"/>
    <w:rsid w:val="0089366A"/>
    <w:rsid w:val="00895862"/>
    <w:rsid w:val="008A055D"/>
    <w:rsid w:val="008B28BA"/>
    <w:rsid w:val="008B3D77"/>
    <w:rsid w:val="008C0A96"/>
    <w:rsid w:val="008C1DD7"/>
    <w:rsid w:val="008C6F1F"/>
    <w:rsid w:val="008D0658"/>
    <w:rsid w:val="008E09D9"/>
    <w:rsid w:val="008F3EE5"/>
    <w:rsid w:val="008F5602"/>
    <w:rsid w:val="008F762D"/>
    <w:rsid w:val="008F7A2F"/>
    <w:rsid w:val="0090092B"/>
    <w:rsid w:val="00902E9B"/>
    <w:rsid w:val="00903387"/>
    <w:rsid w:val="009042D4"/>
    <w:rsid w:val="00905838"/>
    <w:rsid w:val="00915F48"/>
    <w:rsid w:val="0091728D"/>
    <w:rsid w:val="00921A98"/>
    <w:rsid w:val="00924D48"/>
    <w:rsid w:val="0092506A"/>
    <w:rsid w:val="009314B0"/>
    <w:rsid w:val="00933AE5"/>
    <w:rsid w:val="009340C7"/>
    <w:rsid w:val="00934ABF"/>
    <w:rsid w:val="00934D1F"/>
    <w:rsid w:val="00944DEB"/>
    <w:rsid w:val="00945D8B"/>
    <w:rsid w:val="009462F1"/>
    <w:rsid w:val="00950EEA"/>
    <w:rsid w:val="0095246A"/>
    <w:rsid w:val="0095307E"/>
    <w:rsid w:val="00953E0F"/>
    <w:rsid w:val="00954974"/>
    <w:rsid w:val="00956E89"/>
    <w:rsid w:val="009665C2"/>
    <w:rsid w:val="00974B1F"/>
    <w:rsid w:val="00975138"/>
    <w:rsid w:val="009763A6"/>
    <w:rsid w:val="00977AEB"/>
    <w:rsid w:val="00982F43"/>
    <w:rsid w:val="00983167"/>
    <w:rsid w:val="00986C56"/>
    <w:rsid w:val="00986DDE"/>
    <w:rsid w:val="00991C59"/>
    <w:rsid w:val="00996173"/>
    <w:rsid w:val="00996CEA"/>
    <w:rsid w:val="00997726"/>
    <w:rsid w:val="009A3EE1"/>
    <w:rsid w:val="009B1321"/>
    <w:rsid w:val="009B385F"/>
    <w:rsid w:val="009B5E50"/>
    <w:rsid w:val="009B65AD"/>
    <w:rsid w:val="009C3C46"/>
    <w:rsid w:val="009E0718"/>
    <w:rsid w:val="009E3A5A"/>
    <w:rsid w:val="009E5329"/>
    <w:rsid w:val="009F209A"/>
    <w:rsid w:val="00A03385"/>
    <w:rsid w:val="00A03C6D"/>
    <w:rsid w:val="00A1557F"/>
    <w:rsid w:val="00A23B6C"/>
    <w:rsid w:val="00A325BD"/>
    <w:rsid w:val="00A3773D"/>
    <w:rsid w:val="00A41B37"/>
    <w:rsid w:val="00A427B5"/>
    <w:rsid w:val="00A51347"/>
    <w:rsid w:val="00A524FD"/>
    <w:rsid w:val="00A526D7"/>
    <w:rsid w:val="00A528EC"/>
    <w:rsid w:val="00A5725A"/>
    <w:rsid w:val="00A7106E"/>
    <w:rsid w:val="00A754C2"/>
    <w:rsid w:val="00A75EF3"/>
    <w:rsid w:val="00A818C1"/>
    <w:rsid w:val="00A84C46"/>
    <w:rsid w:val="00A86952"/>
    <w:rsid w:val="00A90A6B"/>
    <w:rsid w:val="00A91339"/>
    <w:rsid w:val="00A948B6"/>
    <w:rsid w:val="00A95064"/>
    <w:rsid w:val="00A9561D"/>
    <w:rsid w:val="00A959B6"/>
    <w:rsid w:val="00A96197"/>
    <w:rsid w:val="00AA32E0"/>
    <w:rsid w:val="00AA56CB"/>
    <w:rsid w:val="00AB44AB"/>
    <w:rsid w:val="00AB61DF"/>
    <w:rsid w:val="00AB789B"/>
    <w:rsid w:val="00AC15D8"/>
    <w:rsid w:val="00AC20D9"/>
    <w:rsid w:val="00AC2375"/>
    <w:rsid w:val="00AC4E7D"/>
    <w:rsid w:val="00AC6B76"/>
    <w:rsid w:val="00AC7BE3"/>
    <w:rsid w:val="00AD036E"/>
    <w:rsid w:val="00AD0E1F"/>
    <w:rsid w:val="00AD3492"/>
    <w:rsid w:val="00AD3837"/>
    <w:rsid w:val="00AE2A92"/>
    <w:rsid w:val="00AF25A4"/>
    <w:rsid w:val="00AF4BB4"/>
    <w:rsid w:val="00B0004D"/>
    <w:rsid w:val="00B00D9C"/>
    <w:rsid w:val="00B04F22"/>
    <w:rsid w:val="00B139AF"/>
    <w:rsid w:val="00B14640"/>
    <w:rsid w:val="00B15B7F"/>
    <w:rsid w:val="00B167CA"/>
    <w:rsid w:val="00B2270D"/>
    <w:rsid w:val="00B248FD"/>
    <w:rsid w:val="00B31EAB"/>
    <w:rsid w:val="00B35E5F"/>
    <w:rsid w:val="00B36367"/>
    <w:rsid w:val="00B364FB"/>
    <w:rsid w:val="00B36527"/>
    <w:rsid w:val="00B45D7C"/>
    <w:rsid w:val="00B461AE"/>
    <w:rsid w:val="00B47EBD"/>
    <w:rsid w:val="00B51AD6"/>
    <w:rsid w:val="00B55C72"/>
    <w:rsid w:val="00B617E5"/>
    <w:rsid w:val="00B620FD"/>
    <w:rsid w:val="00B6227D"/>
    <w:rsid w:val="00B63A14"/>
    <w:rsid w:val="00B64D5D"/>
    <w:rsid w:val="00B70D45"/>
    <w:rsid w:val="00B71784"/>
    <w:rsid w:val="00B73171"/>
    <w:rsid w:val="00B73B73"/>
    <w:rsid w:val="00B76DA4"/>
    <w:rsid w:val="00B82F27"/>
    <w:rsid w:val="00B85A1B"/>
    <w:rsid w:val="00B875D9"/>
    <w:rsid w:val="00B97DB9"/>
    <w:rsid w:val="00BA6522"/>
    <w:rsid w:val="00BA7496"/>
    <w:rsid w:val="00BB08C5"/>
    <w:rsid w:val="00BC09CF"/>
    <w:rsid w:val="00BC1330"/>
    <w:rsid w:val="00BC16AF"/>
    <w:rsid w:val="00BC5778"/>
    <w:rsid w:val="00BC6642"/>
    <w:rsid w:val="00BC677C"/>
    <w:rsid w:val="00BC67F5"/>
    <w:rsid w:val="00BD2C6C"/>
    <w:rsid w:val="00BD68FE"/>
    <w:rsid w:val="00BE0931"/>
    <w:rsid w:val="00BE31E8"/>
    <w:rsid w:val="00BE41C6"/>
    <w:rsid w:val="00BE41DA"/>
    <w:rsid w:val="00BE4B20"/>
    <w:rsid w:val="00BF5A78"/>
    <w:rsid w:val="00BF638B"/>
    <w:rsid w:val="00BF687F"/>
    <w:rsid w:val="00C01A4C"/>
    <w:rsid w:val="00C01D4D"/>
    <w:rsid w:val="00C03205"/>
    <w:rsid w:val="00C07E82"/>
    <w:rsid w:val="00C109E6"/>
    <w:rsid w:val="00C1469A"/>
    <w:rsid w:val="00C224C4"/>
    <w:rsid w:val="00C2348A"/>
    <w:rsid w:val="00C24B93"/>
    <w:rsid w:val="00C331B8"/>
    <w:rsid w:val="00C33B80"/>
    <w:rsid w:val="00C3722F"/>
    <w:rsid w:val="00C37AE7"/>
    <w:rsid w:val="00C40D27"/>
    <w:rsid w:val="00C51C15"/>
    <w:rsid w:val="00C55011"/>
    <w:rsid w:val="00C558E3"/>
    <w:rsid w:val="00C55C53"/>
    <w:rsid w:val="00C57D72"/>
    <w:rsid w:val="00C76ADA"/>
    <w:rsid w:val="00C76E6C"/>
    <w:rsid w:val="00CB0EB7"/>
    <w:rsid w:val="00CB407D"/>
    <w:rsid w:val="00CC5C6B"/>
    <w:rsid w:val="00CD0643"/>
    <w:rsid w:val="00CE2440"/>
    <w:rsid w:val="00CE281F"/>
    <w:rsid w:val="00CE3879"/>
    <w:rsid w:val="00CE6F42"/>
    <w:rsid w:val="00CF0BE9"/>
    <w:rsid w:val="00CF10C7"/>
    <w:rsid w:val="00CF1608"/>
    <w:rsid w:val="00CF2A20"/>
    <w:rsid w:val="00CF3122"/>
    <w:rsid w:val="00CF368A"/>
    <w:rsid w:val="00CF5BDB"/>
    <w:rsid w:val="00D02B66"/>
    <w:rsid w:val="00D030E8"/>
    <w:rsid w:val="00D05FC1"/>
    <w:rsid w:val="00D13E28"/>
    <w:rsid w:val="00D143CB"/>
    <w:rsid w:val="00D237B6"/>
    <w:rsid w:val="00D24446"/>
    <w:rsid w:val="00D27252"/>
    <w:rsid w:val="00D2792A"/>
    <w:rsid w:val="00D30D79"/>
    <w:rsid w:val="00D3170A"/>
    <w:rsid w:val="00D4068D"/>
    <w:rsid w:val="00D45691"/>
    <w:rsid w:val="00D465E2"/>
    <w:rsid w:val="00D4668B"/>
    <w:rsid w:val="00D472BA"/>
    <w:rsid w:val="00D50C45"/>
    <w:rsid w:val="00D52847"/>
    <w:rsid w:val="00D5429D"/>
    <w:rsid w:val="00D5644B"/>
    <w:rsid w:val="00D607B8"/>
    <w:rsid w:val="00D636EE"/>
    <w:rsid w:val="00D722F0"/>
    <w:rsid w:val="00D73082"/>
    <w:rsid w:val="00D7468B"/>
    <w:rsid w:val="00D76A14"/>
    <w:rsid w:val="00D778BD"/>
    <w:rsid w:val="00D77B59"/>
    <w:rsid w:val="00D84752"/>
    <w:rsid w:val="00D84DA3"/>
    <w:rsid w:val="00D867A4"/>
    <w:rsid w:val="00D8758E"/>
    <w:rsid w:val="00D947BA"/>
    <w:rsid w:val="00DA306A"/>
    <w:rsid w:val="00DB6FC9"/>
    <w:rsid w:val="00DB7CD6"/>
    <w:rsid w:val="00DC078B"/>
    <w:rsid w:val="00DC650A"/>
    <w:rsid w:val="00DD4635"/>
    <w:rsid w:val="00DD6B12"/>
    <w:rsid w:val="00DF0703"/>
    <w:rsid w:val="00DF0C4F"/>
    <w:rsid w:val="00DF111F"/>
    <w:rsid w:val="00DF2C23"/>
    <w:rsid w:val="00DF3A52"/>
    <w:rsid w:val="00DF66A8"/>
    <w:rsid w:val="00E12BCF"/>
    <w:rsid w:val="00E160F2"/>
    <w:rsid w:val="00E1696E"/>
    <w:rsid w:val="00E22427"/>
    <w:rsid w:val="00E37F5B"/>
    <w:rsid w:val="00E414C8"/>
    <w:rsid w:val="00E44B36"/>
    <w:rsid w:val="00E456E4"/>
    <w:rsid w:val="00E55DB2"/>
    <w:rsid w:val="00E6488D"/>
    <w:rsid w:val="00E64A22"/>
    <w:rsid w:val="00E7086C"/>
    <w:rsid w:val="00E72595"/>
    <w:rsid w:val="00E73F7B"/>
    <w:rsid w:val="00E74526"/>
    <w:rsid w:val="00E74E5D"/>
    <w:rsid w:val="00E76640"/>
    <w:rsid w:val="00E76CB6"/>
    <w:rsid w:val="00E80F71"/>
    <w:rsid w:val="00EA040D"/>
    <w:rsid w:val="00EA4BB9"/>
    <w:rsid w:val="00EA7D0F"/>
    <w:rsid w:val="00EB68CB"/>
    <w:rsid w:val="00EC1714"/>
    <w:rsid w:val="00EC4538"/>
    <w:rsid w:val="00EC4D77"/>
    <w:rsid w:val="00EC564F"/>
    <w:rsid w:val="00EC65DF"/>
    <w:rsid w:val="00EC71FB"/>
    <w:rsid w:val="00ED4BCD"/>
    <w:rsid w:val="00EE2107"/>
    <w:rsid w:val="00EE4B82"/>
    <w:rsid w:val="00EF2A61"/>
    <w:rsid w:val="00EF2AB6"/>
    <w:rsid w:val="00EF3A9C"/>
    <w:rsid w:val="00EF46CC"/>
    <w:rsid w:val="00EF7CE5"/>
    <w:rsid w:val="00F02F9E"/>
    <w:rsid w:val="00F044FF"/>
    <w:rsid w:val="00F06835"/>
    <w:rsid w:val="00F06A69"/>
    <w:rsid w:val="00F12AC8"/>
    <w:rsid w:val="00F146F6"/>
    <w:rsid w:val="00F17B81"/>
    <w:rsid w:val="00F2342F"/>
    <w:rsid w:val="00F25278"/>
    <w:rsid w:val="00F2744E"/>
    <w:rsid w:val="00F27657"/>
    <w:rsid w:val="00F34D9C"/>
    <w:rsid w:val="00F35643"/>
    <w:rsid w:val="00F37AE0"/>
    <w:rsid w:val="00F41226"/>
    <w:rsid w:val="00F45354"/>
    <w:rsid w:val="00F45397"/>
    <w:rsid w:val="00F51A6A"/>
    <w:rsid w:val="00F51BA1"/>
    <w:rsid w:val="00F548FA"/>
    <w:rsid w:val="00F54F4C"/>
    <w:rsid w:val="00F55985"/>
    <w:rsid w:val="00F55ADF"/>
    <w:rsid w:val="00F61343"/>
    <w:rsid w:val="00F65ECE"/>
    <w:rsid w:val="00F67E59"/>
    <w:rsid w:val="00F712EC"/>
    <w:rsid w:val="00F72422"/>
    <w:rsid w:val="00F73D1B"/>
    <w:rsid w:val="00F75A09"/>
    <w:rsid w:val="00F80EA4"/>
    <w:rsid w:val="00F8245F"/>
    <w:rsid w:val="00F8270E"/>
    <w:rsid w:val="00F8430E"/>
    <w:rsid w:val="00F85793"/>
    <w:rsid w:val="00F90C7F"/>
    <w:rsid w:val="00F94132"/>
    <w:rsid w:val="00FA1651"/>
    <w:rsid w:val="00FA1E34"/>
    <w:rsid w:val="00FA21C3"/>
    <w:rsid w:val="00FA6D56"/>
    <w:rsid w:val="00FA7CDF"/>
    <w:rsid w:val="00FB0801"/>
    <w:rsid w:val="00FB4098"/>
    <w:rsid w:val="00FB5EFD"/>
    <w:rsid w:val="00FC1161"/>
    <w:rsid w:val="00FC13BC"/>
    <w:rsid w:val="00FC3A29"/>
    <w:rsid w:val="00FC6C33"/>
    <w:rsid w:val="00FC6E55"/>
    <w:rsid w:val="00FD32F4"/>
    <w:rsid w:val="00FD362D"/>
    <w:rsid w:val="00FD3A83"/>
    <w:rsid w:val="00FD4421"/>
    <w:rsid w:val="00FD5076"/>
    <w:rsid w:val="00FD5D34"/>
    <w:rsid w:val="00FD6897"/>
    <w:rsid w:val="00FE4BB0"/>
    <w:rsid w:val="00FE69A1"/>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4E"/>
    <w:pPr>
      <w:jc w:val="both"/>
    </w:pPr>
  </w:style>
  <w:style w:type="paragraph" w:styleId="Heading1">
    <w:name w:val="heading 1"/>
    <w:basedOn w:val="Normal"/>
    <w:next w:val="Normal"/>
    <w:link w:val="Heading1Char"/>
    <w:uiPriority w:val="9"/>
    <w:qFormat/>
    <w:rsid w:val="00A427B5"/>
    <w:pPr>
      <w:keepNext/>
      <w:keepLines/>
      <w:numPr>
        <w:numId w:val="23"/>
      </w:numPr>
      <w:spacing w:after="120" w:line="240" w:lineRule="auto"/>
      <w:outlineLvl w:val="0"/>
    </w:pPr>
    <w:rPr>
      <w:rFonts w:ascii="Garamond" w:eastAsiaTheme="majorEastAsia" w:hAnsi="Garamond" w:cstheme="majorBidi"/>
      <w:b/>
      <w:bCs/>
      <w:smallCaps/>
      <w:color w:val="1F497D" w:themeColor="text2"/>
      <w:sz w:val="28"/>
      <w:szCs w:val="30"/>
    </w:rPr>
  </w:style>
  <w:style w:type="paragraph" w:styleId="Heading2">
    <w:name w:val="heading 2"/>
    <w:basedOn w:val="Normal"/>
    <w:next w:val="Normal"/>
    <w:link w:val="Heading2Char"/>
    <w:uiPriority w:val="9"/>
    <w:unhideWhenUsed/>
    <w:qFormat/>
    <w:rsid w:val="00E22427"/>
    <w:pPr>
      <w:keepNext/>
      <w:keepLines/>
      <w:numPr>
        <w:numId w:val="25"/>
      </w:numPr>
      <w:spacing w:after="120" w:line="240" w:lineRule="auto"/>
      <w:ind w:left="0" w:firstLine="0"/>
      <w:jc w:val="left"/>
      <w:outlineLvl w:val="1"/>
    </w:pPr>
    <w:rPr>
      <w:rFonts w:ascii="Garamond" w:eastAsiaTheme="majorEastAsia" w:hAnsi="Garamond" w:cstheme="majorBidi"/>
      <w:b/>
      <w:bCs/>
      <w:smallCaps/>
      <w:color w:val="4F81BD" w:themeColor="accent1"/>
      <w:sz w:val="24"/>
      <w:szCs w:val="26"/>
    </w:rPr>
  </w:style>
  <w:style w:type="paragraph" w:styleId="Heading3">
    <w:name w:val="heading 3"/>
    <w:basedOn w:val="Normal"/>
    <w:next w:val="Normal"/>
    <w:link w:val="Heading3Char"/>
    <w:uiPriority w:val="9"/>
    <w:unhideWhenUsed/>
    <w:qFormat/>
    <w:rsid w:val="00E22427"/>
    <w:pPr>
      <w:keepNext/>
      <w:keepLines/>
      <w:numPr>
        <w:numId w:val="26"/>
      </w:numPr>
      <w:spacing w:after="120" w:line="240" w:lineRule="auto"/>
      <w:ind w:left="0" w:firstLine="0"/>
      <w:jc w:val="left"/>
      <w:outlineLvl w:val="2"/>
    </w:pPr>
    <w:rPr>
      <w:rFonts w:ascii="Garamond" w:eastAsiaTheme="majorEastAsia" w:hAnsi="Garamond" w:cstheme="majorBidi"/>
      <w:b/>
      <w:bCs/>
      <w:i/>
      <w:color w:val="548DD4" w:themeColor="text2" w:themeTint="99"/>
      <w:sz w:val="24"/>
    </w:rPr>
  </w:style>
  <w:style w:type="paragraph" w:styleId="Heading4">
    <w:name w:val="heading 4"/>
    <w:basedOn w:val="Normal"/>
    <w:next w:val="Normal"/>
    <w:link w:val="Heading4Char"/>
    <w:uiPriority w:val="9"/>
    <w:unhideWhenUsed/>
    <w:qFormat/>
    <w:rsid w:val="00643267"/>
    <w:pPr>
      <w:keepNext/>
      <w:keepLines/>
      <w:numPr>
        <w:ilvl w:val="3"/>
        <w:numId w:val="1"/>
      </w:numPr>
      <w:spacing w:after="120" w:line="240" w:lineRule="auto"/>
      <w:ind w:left="1872"/>
      <w:outlineLvl w:val="3"/>
    </w:pPr>
    <w:rPr>
      <w:rFonts w:eastAsiaTheme="majorEastAsia" w:cstheme="majorBidi"/>
      <w:b/>
      <w:bCs/>
      <w:iCs/>
      <w:color w:val="1F497D" w:themeColor="text2"/>
    </w:rPr>
  </w:style>
  <w:style w:type="paragraph" w:styleId="Heading5">
    <w:name w:val="heading 5"/>
    <w:basedOn w:val="Normal"/>
    <w:next w:val="Normal"/>
    <w:link w:val="Heading5Char"/>
    <w:uiPriority w:val="9"/>
    <w:unhideWhenUsed/>
    <w:qFormat/>
    <w:rsid w:val="00F45354"/>
    <w:pPr>
      <w:keepNext/>
      <w:keepLines/>
      <w:numPr>
        <w:ilvl w:val="4"/>
        <w:numId w:val="1"/>
      </w:numPr>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7B5"/>
    <w:rPr>
      <w:rFonts w:ascii="Garamond" w:eastAsiaTheme="majorEastAsia" w:hAnsi="Garamond" w:cstheme="majorBidi"/>
      <w:b/>
      <w:bCs/>
      <w:smallCaps/>
      <w:color w:val="1F497D" w:themeColor="text2"/>
      <w:sz w:val="28"/>
      <w:szCs w:val="30"/>
    </w:rPr>
  </w:style>
  <w:style w:type="character" w:customStyle="1" w:styleId="Heading2Char">
    <w:name w:val="Heading 2 Char"/>
    <w:basedOn w:val="DefaultParagraphFont"/>
    <w:link w:val="Heading2"/>
    <w:uiPriority w:val="9"/>
    <w:rsid w:val="00E22427"/>
    <w:rPr>
      <w:rFonts w:ascii="Garamond" w:eastAsiaTheme="majorEastAsia" w:hAnsi="Garamond" w:cstheme="majorBidi"/>
      <w:b/>
      <w:bCs/>
      <w:smallCaps/>
      <w:color w:val="4F81BD" w:themeColor="accent1"/>
      <w:sz w:val="24"/>
      <w:szCs w:val="26"/>
    </w:rPr>
  </w:style>
  <w:style w:type="character" w:customStyle="1" w:styleId="Heading3Char">
    <w:name w:val="Heading 3 Char"/>
    <w:basedOn w:val="DefaultParagraphFont"/>
    <w:link w:val="Heading3"/>
    <w:uiPriority w:val="9"/>
    <w:rsid w:val="00E22427"/>
    <w:rPr>
      <w:rFonts w:ascii="Garamond" w:eastAsiaTheme="majorEastAsia" w:hAnsi="Garamond" w:cstheme="majorBidi"/>
      <w:b/>
      <w:bCs/>
      <w:i/>
      <w:color w:val="548DD4" w:themeColor="text2" w:themeTint="99"/>
      <w:sz w:val="24"/>
    </w:rPr>
  </w:style>
  <w:style w:type="character" w:customStyle="1" w:styleId="Heading4Char">
    <w:name w:val="Heading 4 Char"/>
    <w:basedOn w:val="DefaultParagraphFont"/>
    <w:link w:val="Heading4"/>
    <w:uiPriority w:val="9"/>
    <w:rsid w:val="00643267"/>
    <w:rPr>
      <w:rFonts w:eastAsiaTheme="majorEastAsia" w:cstheme="majorBidi"/>
      <w:b/>
      <w:bCs/>
      <w:iCs/>
      <w:color w:val="1F497D" w:themeColor="text2"/>
    </w:rPr>
  </w:style>
  <w:style w:type="character" w:customStyle="1" w:styleId="Heading5Char">
    <w:name w:val="Heading 5 Char"/>
    <w:basedOn w:val="DefaultParagraphFont"/>
    <w:link w:val="Heading5"/>
    <w:uiPriority w:val="9"/>
    <w:rsid w:val="00F45354"/>
    <w:rPr>
      <w:rFonts w:asciiTheme="majorHAnsi" w:eastAsiaTheme="majorEastAsia" w:hAnsiTheme="majorHAnsi" w:cstheme="majorBidi"/>
    </w:rPr>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unhideWhenUsed/>
    <w:rsid w:val="00EA4BB9"/>
    <w:pPr>
      <w:spacing w:after="0" w:line="240" w:lineRule="auto"/>
    </w:pPr>
    <w:rPr>
      <w:rFonts w:ascii="Garamond" w:hAnsi="Garamond"/>
      <w:sz w:val="20"/>
      <w:szCs w:val="20"/>
    </w:r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uiPriority w:val="99"/>
    <w:rsid w:val="00EA4BB9"/>
    <w:rPr>
      <w:rFonts w:ascii="Garamond" w:hAnsi="Garamond"/>
      <w:sz w:val="20"/>
      <w:szCs w:val="20"/>
    </w:rPr>
  </w:style>
  <w:style w:type="character" w:styleId="FootnoteReference">
    <w:name w:val="footnote reference"/>
    <w:basedOn w:val="DefaultParagraphFont"/>
    <w:uiPriority w:val="99"/>
    <w:unhideWhenUsed/>
    <w:rsid w:val="00F45354"/>
    <w:rPr>
      <w:vertAlign w:val="superscript"/>
    </w:rPr>
  </w:style>
  <w:style w:type="table" w:styleId="TableGrid">
    <w:name w:val="Table Grid"/>
    <w:basedOn w:val="TableNormal"/>
    <w:uiPriority w:val="59"/>
    <w:rsid w:val="00F45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45354"/>
    <w:pPr>
      <w:spacing w:line="240" w:lineRule="auto"/>
    </w:pPr>
    <w:rPr>
      <w:b/>
      <w:bCs/>
      <w:sz w:val="18"/>
      <w:szCs w:val="18"/>
    </w:rPr>
  </w:style>
  <w:style w:type="character" w:styleId="CommentReference">
    <w:name w:val="annotation reference"/>
    <w:basedOn w:val="DefaultParagraphFont"/>
    <w:uiPriority w:val="99"/>
    <w:semiHidden/>
    <w:unhideWhenUsed/>
    <w:rsid w:val="00F45354"/>
    <w:rPr>
      <w:sz w:val="16"/>
      <w:szCs w:val="16"/>
    </w:rPr>
  </w:style>
  <w:style w:type="paragraph" w:styleId="CommentText">
    <w:name w:val="annotation text"/>
    <w:basedOn w:val="Normal"/>
    <w:link w:val="CommentTextChar"/>
    <w:uiPriority w:val="99"/>
    <w:unhideWhenUsed/>
    <w:rsid w:val="00F45354"/>
    <w:pPr>
      <w:spacing w:line="240" w:lineRule="auto"/>
    </w:pPr>
    <w:rPr>
      <w:sz w:val="20"/>
      <w:szCs w:val="20"/>
    </w:rPr>
  </w:style>
  <w:style w:type="character" w:customStyle="1" w:styleId="CommentTextChar">
    <w:name w:val="Comment Text Char"/>
    <w:basedOn w:val="DefaultParagraphFont"/>
    <w:link w:val="CommentText"/>
    <w:uiPriority w:val="99"/>
    <w:rsid w:val="00F45354"/>
    <w:rPr>
      <w:sz w:val="20"/>
      <w:szCs w:val="20"/>
    </w:rPr>
  </w:style>
  <w:style w:type="paragraph" w:styleId="NoSpacing">
    <w:name w:val="No Spacing"/>
    <w:link w:val="NoSpacingChar"/>
    <w:uiPriority w:val="1"/>
    <w:qFormat/>
    <w:rsid w:val="00F45354"/>
    <w:pPr>
      <w:spacing w:after="0" w:line="240" w:lineRule="auto"/>
      <w:jc w:val="both"/>
    </w:pPr>
  </w:style>
  <w:style w:type="character" w:customStyle="1" w:styleId="NoSpacingChar">
    <w:name w:val="No Spacing Char"/>
    <w:basedOn w:val="DefaultParagraphFont"/>
    <w:link w:val="NoSpacing"/>
    <w:uiPriority w:val="1"/>
    <w:rsid w:val="00F45354"/>
  </w:style>
  <w:style w:type="paragraph" w:styleId="BalloonText">
    <w:name w:val="Balloon Text"/>
    <w:basedOn w:val="Normal"/>
    <w:link w:val="BalloonTextChar"/>
    <w:uiPriority w:val="99"/>
    <w:semiHidden/>
    <w:unhideWhenUsed/>
    <w:rsid w:val="00F4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354"/>
    <w:rPr>
      <w:rFonts w:ascii="Tahoma" w:hAnsi="Tahoma" w:cs="Tahoma"/>
      <w:sz w:val="16"/>
      <w:szCs w:val="16"/>
    </w:rPr>
  </w:style>
  <w:style w:type="paragraph" w:styleId="ListParagraph">
    <w:name w:val="List Paragraph"/>
    <w:basedOn w:val="Normal"/>
    <w:uiPriority w:val="34"/>
    <w:qFormat/>
    <w:rsid w:val="00F45354"/>
    <w:pPr>
      <w:ind w:left="720"/>
      <w:contextualSpacing/>
    </w:pPr>
  </w:style>
  <w:style w:type="numbering" w:customStyle="1" w:styleId="NoList1">
    <w:name w:val="No List1"/>
    <w:next w:val="NoList"/>
    <w:uiPriority w:val="99"/>
    <w:semiHidden/>
    <w:unhideWhenUsed/>
    <w:rsid w:val="000A59E5"/>
  </w:style>
  <w:style w:type="paragraph" w:customStyle="1" w:styleId="Title1">
    <w:name w:val="Title1"/>
    <w:basedOn w:val="Normal"/>
    <w:next w:val="Normal"/>
    <w:uiPriority w:val="10"/>
    <w:qFormat/>
    <w:rsid w:val="000A59E5"/>
    <w:pPr>
      <w:pBdr>
        <w:bottom w:val="single" w:sz="8" w:space="4" w:color="4F81BD"/>
      </w:pBdr>
      <w:spacing w:after="300" w:line="240" w:lineRule="auto"/>
      <w:contextualSpacing/>
      <w:jc w:val="left"/>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0A59E5"/>
    <w:rPr>
      <w:rFonts w:ascii="Cambria" w:eastAsia="MS Gothic" w:hAnsi="Cambria" w:cs="Times New Roman"/>
      <w:color w:val="17365D"/>
      <w:spacing w:val="5"/>
      <w:kern w:val="28"/>
      <w:sz w:val="52"/>
      <w:szCs w:val="52"/>
    </w:rPr>
  </w:style>
  <w:style w:type="character" w:styleId="PlaceholderText">
    <w:name w:val="Placeholder Text"/>
    <w:basedOn w:val="DefaultParagraphFont"/>
    <w:uiPriority w:val="99"/>
    <w:semiHidden/>
    <w:rsid w:val="000A59E5"/>
    <w:rPr>
      <w:color w:val="808080"/>
    </w:rPr>
  </w:style>
  <w:style w:type="table" w:customStyle="1" w:styleId="TableGrid1">
    <w:name w:val="Table Grid1"/>
    <w:basedOn w:val="TableNormal"/>
    <w:next w:val="TableGrid"/>
    <w:uiPriority w:val="59"/>
    <w:rsid w:val="000A5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A59E5"/>
    <w:pPr>
      <w:jc w:val="left"/>
    </w:pPr>
    <w:rPr>
      <w:b/>
      <w:bCs/>
    </w:rPr>
  </w:style>
  <w:style w:type="character" w:customStyle="1" w:styleId="CommentSubjectChar">
    <w:name w:val="Comment Subject Char"/>
    <w:basedOn w:val="CommentTextChar"/>
    <w:link w:val="CommentSubject"/>
    <w:uiPriority w:val="99"/>
    <w:semiHidden/>
    <w:rsid w:val="000A59E5"/>
    <w:rPr>
      <w:b/>
      <w:bCs/>
      <w:sz w:val="20"/>
      <w:szCs w:val="20"/>
    </w:rPr>
  </w:style>
  <w:style w:type="paragraph" w:styleId="Revision">
    <w:name w:val="Revision"/>
    <w:hidden/>
    <w:uiPriority w:val="99"/>
    <w:semiHidden/>
    <w:rsid w:val="000A59E5"/>
    <w:pPr>
      <w:spacing w:after="0" w:line="240" w:lineRule="auto"/>
    </w:pPr>
  </w:style>
  <w:style w:type="paragraph" w:styleId="EndnoteText">
    <w:name w:val="endnote text"/>
    <w:basedOn w:val="Normal"/>
    <w:link w:val="EndnoteTextChar"/>
    <w:uiPriority w:val="99"/>
    <w:semiHidden/>
    <w:unhideWhenUsed/>
    <w:rsid w:val="000A59E5"/>
    <w:pPr>
      <w:spacing w:after="0" w:line="240" w:lineRule="auto"/>
      <w:jc w:val="left"/>
    </w:pPr>
    <w:rPr>
      <w:sz w:val="20"/>
      <w:szCs w:val="20"/>
    </w:rPr>
  </w:style>
  <w:style w:type="character" w:customStyle="1" w:styleId="EndnoteTextChar">
    <w:name w:val="Endnote Text Char"/>
    <w:basedOn w:val="DefaultParagraphFont"/>
    <w:link w:val="EndnoteText"/>
    <w:uiPriority w:val="99"/>
    <w:semiHidden/>
    <w:rsid w:val="000A59E5"/>
    <w:rPr>
      <w:sz w:val="20"/>
      <w:szCs w:val="20"/>
    </w:rPr>
  </w:style>
  <w:style w:type="character" w:styleId="EndnoteReference">
    <w:name w:val="endnote reference"/>
    <w:basedOn w:val="DefaultParagraphFont"/>
    <w:uiPriority w:val="99"/>
    <w:semiHidden/>
    <w:unhideWhenUsed/>
    <w:rsid w:val="000A59E5"/>
    <w:rPr>
      <w:vertAlign w:val="superscript"/>
    </w:rPr>
  </w:style>
  <w:style w:type="character" w:styleId="Hyperlink">
    <w:name w:val="Hyperlink"/>
    <w:basedOn w:val="DefaultParagraphFont"/>
    <w:uiPriority w:val="99"/>
    <w:unhideWhenUsed/>
    <w:rsid w:val="000A59E5"/>
    <w:rPr>
      <w:color w:val="0000FF"/>
      <w:u w:val="single"/>
    </w:rPr>
  </w:style>
  <w:style w:type="character" w:customStyle="1" w:styleId="FollowedHyperlink1">
    <w:name w:val="FollowedHyperlink1"/>
    <w:basedOn w:val="DefaultParagraphFont"/>
    <w:uiPriority w:val="99"/>
    <w:semiHidden/>
    <w:unhideWhenUsed/>
    <w:rsid w:val="000A59E5"/>
    <w:rPr>
      <w:color w:val="800080"/>
      <w:u w:val="single"/>
    </w:rPr>
  </w:style>
  <w:style w:type="paragraph" w:styleId="Title">
    <w:name w:val="Title"/>
    <w:basedOn w:val="Normal"/>
    <w:next w:val="Normal"/>
    <w:link w:val="TitleChar"/>
    <w:uiPriority w:val="10"/>
    <w:qFormat/>
    <w:rsid w:val="000A59E5"/>
    <w:pPr>
      <w:pBdr>
        <w:bottom w:val="single" w:sz="8" w:space="4" w:color="4F81BD" w:themeColor="accent1"/>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1">
    <w:name w:val="Title Char1"/>
    <w:basedOn w:val="DefaultParagraphFont"/>
    <w:uiPriority w:val="10"/>
    <w:rsid w:val="000A59E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A59E5"/>
    <w:rPr>
      <w:color w:val="800080" w:themeColor="followedHyperlink"/>
      <w:u w:val="single"/>
    </w:rPr>
  </w:style>
  <w:style w:type="paragraph" w:styleId="Header">
    <w:name w:val="header"/>
    <w:basedOn w:val="Normal"/>
    <w:link w:val="HeaderChar"/>
    <w:uiPriority w:val="99"/>
    <w:unhideWhenUsed/>
    <w:rsid w:val="000A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E5"/>
  </w:style>
  <w:style w:type="paragraph" w:styleId="Footer">
    <w:name w:val="footer"/>
    <w:basedOn w:val="Normal"/>
    <w:link w:val="FooterChar"/>
    <w:uiPriority w:val="99"/>
    <w:unhideWhenUsed/>
    <w:rsid w:val="000A5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E5"/>
  </w:style>
  <w:style w:type="paragraph" w:styleId="TOC1">
    <w:name w:val="toc 1"/>
    <w:basedOn w:val="Normal"/>
    <w:next w:val="Normal"/>
    <w:autoRedefine/>
    <w:uiPriority w:val="39"/>
    <w:unhideWhenUsed/>
    <w:qFormat/>
    <w:rsid w:val="00E22427"/>
    <w:pPr>
      <w:tabs>
        <w:tab w:val="left" w:pos="660"/>
        <w:tab w:val="right" w:leader="dot" w:pos="9350"/>
      </w:tabs>
      <w:spacing w:after="40" w:line="240" w:lineRule="auto"/>
      <w:ind w:left="720" w:hanging="720"/>
    </w:pPr>
    <w:rPr>
      <w:rFonts w:ascii="Garamond" w:hAnsi="Garamond"/>
      <w:b/>
      <w:smallCaps/>
      <w:noProof/>
      <w:snapToGrid w:val="0"/>
      <w:w w:val="0"/>
      <w:sz w:val="24"/>
    </w:rPr>
  </w:style>
  <w:style w:type="paragraph" w:styleId="TOC2">
    <w:name w:val="toc 2"/>
    <w:basedOn w:val="Normal"/>
    <w:next w:val="Normal"/>
    <w:autoRedefine/>
    <w:uiPriority w:val="39"/>
    <w:unhideWhenUsed/>
    <w:qFormat/>
    <w:rsid w:val="00643267"/>
    <w:pPr>
      <w:tabs>
        <w:tab w:val="left" w:pos="660"/>
        <w:tab w:val="right" w:leader="dot" w:pos="9350"/>
      </w:tabs>
      <w:spacing w:after="40" w:line="240" w:lineRule="auto"/>
      <w:ind w:left="288"/>
    </w:pPr>
    <w:rPr>
      <w:rFonts w:ascii="Garamond" w:hAnsi="Garamond"/>
      <w:sz w:val="24"/>
    </w:rPr>
  </w:style>
  <w:style w:type="paragraph" w:styleId="TOC3">
    <w:name w:val="toc 3"/>
    <w:basedOn w:val="Normal"/>
    <w:next w:val="Normal"/>
    <w:autoRedefine/>
    <w:uiPriority w:val="39"/>
    <w:unhideWhenUsed/>
    <w:qFormat/>
    <w:rsid w:val="000874FF"/>
    <w:pPr>
      <w:tabs>
        <w:tab w:val="left" w:pos="900"/>
        <w:tab w:val="right" w:leader="dot" w:pos="9350"/>
      </w:tabs>
      <w:spacing w:after="40" w:line="240" w:lineRule="auto"/>
      <w:ind w:left="630"/>
    </w:pPr>
    <w:rPr>
      <w:rFonts w:ascii="Garamond" w:hAnsi="Garamond"/>
      <w:i/>
    </w:rPr>
  </w:style>
  <w:style w:type="paragraph" w:styleId="TOCHeading">
    <w:name w:val="TOC Heading"/>
    <w:basedOn w:val="Heading1"/>
    <w:next w:val="Normal"/>
    <w:uiPriority w:val="39"/>
    <w:semiHidden/>
    <w:unhideWhenUsed/>
    <w:qFormat/>
    <w:rsid w:val="00F044FF"/>
    <w:pPr>
      <w:spacing w:before="480" w:after="0" w:line="276" w:lineRule="auto"/>
      <w:jc w:val="left"/>
      <w:outlineLvl w:val="9"/>
    </w:pPr>
    <w:rPr>
      <w:rFonts w:asciiTheme="majorHAnsi" w:hAnsiTheme="majorHAnsi"/>
      <w:smallCaps w:val="0"/>
      <w:color w:val="365F91" w:themeColor="accent1" w:themeShade="BF"/>
      <w:lang w:eastAsia="ja-JP"/>
    </w:rPr>
  </w:style>
  <w:style w:type="paragraph" w:customStyle="1" w:styleId="ListofAcronyms">
    <w:name w:val="List of Acronyms"/>
    <w:basedOn w:val="Heading1"/>
    <w:qFormat/>
    <w:rsid w:val="0083345E"/>
    <w:pPr>
      <w:numPr>
        <w:numId w:val="0"/>
      </w:numPr>
      <w:spacing w:after="240"/>
      <w:jc w:val="center"/>
    </w:pPr>
    <w:rPr>
      <w:rFonts w:asciiTheme="minorHAnsi" w:eastAsiaTheme="minorHAnsi" w:hAnsiTheme="minorHAnsi" w:cstheme="minorBidi"/>
      <w:bCs w:val="0"/>
      <w:color w:val="auto"/>
      <w:szCs w:val="22"/>
    </w:rPr>
  </w:style>
  <w:style w:type="table" w:styleId="LightShading-Accent1">
    <w:name w:val="Light Shading Accent 1"/>
    <w:basedOn w:val="TableNormal"/>
    <w:uiPriority w:val="60"/>
    <w:rsid w:val="00FB5EF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72B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4E"/>
    <w:pPr>
      <w:jc w:val="both"/>
    </w:pPr>
  </w:style>
  <w:style w:type="paragraph" w:styleId="Heading1">
    <w:name w:val="heading 1"/>
    <w:basedOn w:val="Normal"/>
    <w:next w:val="Normal"/>
    <w:link w:val="Heading1Char"/>
    <w:uiPriority w:val="9"/>
    <w:qFormat/>
    <w:rsid w:val="00A427B5"/>
    <w:pPr>
      <w:keepNext/>
      <w:keepLines/>
      <w:numPr>
        <w:numId w:val="23"/>
      </w:numPr>
      <w:spacing w:after="120" w:line="240" w:lineRule="auto"/>
      <w:outlineLvl w:val="0"/>
    </w:pPr>
    <w:rPr>
      <w:rFonts w:ascii="Garamond" w:eastAsiaTheme="majorEastAsia" w:hAnsi="Garamond" w:cstheme="majorBidi"/>
      <w:b/>
      <w:bCs/>
      <w:smallCaps/>
      <w:color w:val="1F497D" w:themeColor="text2"/>
      <w:sz w:val="28"/>
      <w:szCs w:val="30"/>
    </w:rPr>
  </w:style>
  <w:style w:type="paragraph" w:styleId="Heading2">
    <w:name w:val="heading 2"/>
    <w:basedOn w:val="Normal"/>
    <w:next w:val="Normal"/>
    <w:link w:val="Heading2Char"/>
    <w:uiPriority w:val="9"/>
    <w:unhideWhenUsed/>
    <w:qFormat/>
    <w:rsid w:val="00E22427"/>
    <w:pPr>
      <w:keepNext/>
      <w:keepLines/>
      <w:numPr>
        <w:numId w:val="25"/>
      </w:numPr>
      <w:spacing w:after="120" w:line="240" w:lineRule="auto"/>
      <w:ind w:left="0" w:firstLine="0"/>
      <w:jc w:val="left"/>
      <w:outlineLvl w:val="1"/>
    </w:pPr>
    <w:rPr>
      <w:rFonts w:ascii="Garamond" w:eastAsiaTheme="majorEastAsia" w:hAnsi="Garamond" w:cstheme="majorBidi"/>
      <w:b/>
      <w:bCs/>
      <w:smallCaps/>
      <w:color w:val="4F81BD" w:themeColor="accent1"/>
      <w:sz w:val="24"/>
      <w:szCs w:val="26"/>
    </w:rPr>
  </w:style>
  <w:style w:type="paragraph" w:styleId="Heading3">
    <w:name w:val="heading 3"/>
    <w:basedOn w:val="Normal"/>
    <w:next w:val="Normal"/>
    <w:link w:val="Heading3Char"/>
    <w:uiPriority w:val="9"/>
    <w:unhideWhenUsed/>
    <w:qFormat/>
    <w:rsid w:val="00E22427"/>
    <w:pPr>
      <w:keepNext/>
      <w:keepLines/>
      <w:numPr>
        <w:numId w:val="26"/>
      </w:numPr>
      <w:spacing w:after="120" w:line="240" w:lineRule="auto"/>
      <w:ind w:left="0" w:firstLine="0"/>
      <w:jc w:val="left"/>
      <w:outlineLvl w:val="2"/>
    </w:pPr>
    <w:rPr>
      <w:rFonts w:ascii="Garamond" w:eastAsiaTheme="majorEastAsia" w:hAnsi="Garamond" w:cstheme="majorBidi"/>
      <w:b/>
      <w:bCs/>
      <w:i/>
      <w:color w:val="548DD4" w:themeColor="text2" w:themeTint="99"/>
      <w:sz w:val="24"/>
    </w:rPr>
  </w:style>
  <w:style w:type="paragraph" w:styleId="Heading4">
    <w:name w:val="heading 4"/>
    <w:basedOn w:val="Normal"/>
    <w:next w:val="Normal"/>
    <w:link w:val="Heading4Char"/>
    <w:uiPriority w:val="9"/>
    <w:unhideWhenUsed/>
    <w:qFormat/>
    <w:rsid w:val="00643267"/>
    <w:pPr>
      <w:keepNext/>
      <w:keepLines/>
      <w:numPr>
        <w:ilvl w:val="3"/>
        <w:numId w:val="1"/>
      </w:numPr>
      <w:spacing w:after="120" w:line="240" w:lineRule="auto"/>
      <w:ind w:left="1872"/>
      <w:outlineLvl w:val="3"/>
    </w:pPr>
    <w:rPr>
      <w:rFonts w:eastAsiaTheme="majorEastAsia" w:cstheme="majorBidi"/>
      <w:b/>
      <w:bCs/>
      <w:iCs/>
      <w:color w:val="1F497D" w:themeColor="text2"/>
    </w:rPr>
  </w:style>
  <w:style w:type="paragraph" w:styleId="Heading5">
    <w:name w:val="heading 5"/>
    <w:basedOn w:val="Normal"/>
    <w:next w:val="Normal"/>
    <w:link w:val="Heading5Char"/>
    <w:uiPriority w:val="9"/>
    <w:unhideWhenUsed/>
    <w:qFormat/>
    <w:rsid w:val="00F45354"/>
    <w:pPr>
      <w:keepNext/>
      <w:keepLines/>
      <w:numPr>
        <w:ilvl w:val="4"/>
        <w:numId w:val="1"/>
      </w:numPr>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7B5"/>
    <w:rPr>
      <w:rFonts w:ascii="Garamond" w:eastAsiaTheme="majorEastAsia" w:hAnsi="Garamond" w:cstheme="majorBidi"/>
      <w:b/>
      <w:bCs/>
      <w:smallCaps/>
      <w:color w:val="1F497D" w:themeColor="text2"/>
      <w:sz w:val="28"/>
      <w:szCs w:val="30"/>
    </w:rPr>
  </w:style>
  <w:style w:type="character" w:customStyle="1" w:styleId="Heading2Char">
    <w:name w:val="Heading 2 Char"/>
    <w:basedOn w:val="DefaultParagraphFont"/>
    <w:link w:val="Heading2"/>
    <w:uiPriority w:val="9"/>
    <w:rsid w:val="00E22427"/>
    <w:rPr>
      <w:rFonts w:ascii="Garamond" w:eastAsiaTheme="majorEastAsia" w:hAnsi="Garamond" w:cstheme="majorBidi"/>
      <w:b/>
      <w:bCs/>
      <w:smallCaps/>
      <w:color w:val="4F81BD" w:themeColor="accent1"/>
      <w:sz w:val="24"/>
      <w:szCs w:val="26"/>
    </w:rPr>
  </w:style>
  <w:style w:type="character" w:customStyle="1" w:styleId="Heading3Char">
    <w:name w:val="Heading 3 Char"/>
    <w:basedOn w:val="DefaultParagraphFont"/>
    <w:link w:val="Heading3"/>
    <w:uiPriority w:val="9"/>
    <w:rsid w:val="00E22427"/>
    <w:rPr>
      <w:rFonts w:ascii="Garamond" w:eastAsiaTheme="majorEastAsia" w:hAnsi="Garamond" w:cstheme="majorBidi"/>
      <w:b/>
      <w:bCs/>
      <w:i/>
      <w:color w:val="548DD4" w:themeColor="text2" w:themeTint="99"/>
      <w:sz w:val="24"/>
    </w:rPr>
  </w:style>
  <w:style w:type="character" w:customStyle="1" w:styleId="Heading4Char">
    <w:name w:val="Heading 4 Char"/>
    <w:basedOn w:val="DefaultParagraphFont"/>
    <w:link w:val="Heading4"/>
    <w:uiPriority w:val="9"/>
    <w:rsid w:val="00643267"/>
    <w:rPr>
      <w:rFonts w:eastAsiaTheme="majorEastAsia" w:cstheme="majorBidi"/>
      <w:b/>
      <w:bCs/>
      <w:iCs/>
      <w:color w:val="1F497D" w:themeColor="text2"/>
    </w:rPr>
  </w:style>
  <w:style w:type="character" w:customStyle="1" w:styleId="Heading5Char">
    <w:name w:val="Heading 5 Char"/>
    <w:basedOn w:val="DefaultParagraphFont"/>
    <w:link w:val="Heading5"/>
    <w:uiPriority w:val="9"/>
    <w:rsid w:val="00F45354"/>
    <w:rPr>
      <w:rFonts w:asciiTheme="majorHAnsi" w:eastAsiaTheme="majorEastAsia" w:hAnsiTheme="majorHAnsi" w:cstheme="majorBidi"/>
    </w:rPr>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unhideWhenUsed/>
    <w:rsid w:val="00EA4BB9"/>
    <w:pPr>
      <w:spacing w:after="0" w:line="240" w:lineRule="auto"/>
    </w:pPr>
    <w:rPr>
      <w:rFonts w:ascii="Garamond" w:hAnsi="Garamond"/>
      <w:sz w:val="20"/>
      <w:szCs w:val="20"/>
    </w:r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uiPriority w:val="99"/>
    <w:rsid w:val="00EA4BB9"/>
    <w:rPr>
      <w:rFonts w:ascii="Garamond" w:hAnsi="Garamond"/>
      <w:sz w:val="20"/>
      <w:szCs w:val="20"/>
    </w:rPr>
  </w:style>
  <w:style w:type="character" w:styleId="FootnoteReference">
    <w:name w:val="footnote reference"/>
    <w:basedOn w:val="DefaultParagraphFont"/>
    <w:uiPriority w:val="99"/>
    <w:unhideWhenUsed/>
    <w:rsid w:val="00F45354"/>
    <w:rPr>
      <w:vertAlign w:val="superscript"/>
    </w:rPr>
  </w:style>
  <w:style w:type="table" w:styleId="TableGrid">
    <w:name w:val="Table Grid"/>
    <w:basedOn w:val="TableNormal"/>
    <w:uiPriority w:val="59"/>
    <w:rsid w:val="00F45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45354"/>
    <w:pPr>
      <w:spacing w:line="240" w:lineRule="auto"/>
    </w:pPr>
    <w:rPr>
      <w:b/>
      <w:bCs/>
      <w:sz w:val="18"/>
      <w:szCs w:val="18"/>
    </w:rPr>
  </w:style>
  <w:style w:type="character" w:styleId="CommentReference">
    <w:name w:val="annotation reference"/>
    <w:basedOn w:val="DefaultParagraphFont"/>
    <w:uiPriority w:val="99"/>
    <w:semiHidden/>
    <w:unhideWhenUsed/>
    <w:rsid w:val="00F45354"/>
    <w:rPr>
      <w:sz w:val="16"/>
      <w:szCs w:val="16"/>
    </w:rPr>
  </w:style>
  <w:style w:type="paragraph" w:styleId="CommentText">
    <w:name w:val="annotation text"/>
    <w:basedOn w:val="Normal"/>
    <w:link w:val="CommentTextChar"/>
    <w:uiPriority w:val="99"/>
    <w:unhideWhenUsed/>
    <w:rsid w:val="00F45354"/>
    <w:pPr>
      <w:spacing w:line="240" w:lineRule="auto"/>
    </w:pPr>
    <w:rPr>
      <w:sz w:val="20"/>
      <w:szCs w:val="20"/>
    </w:rPr>
  </w:style>
  <w:style w:type="character" w:customStyle="1" w:styleId="CommentTextChar">
    <w:name w:val="Comment Text Char"/>
    <w:basedOn w:val="DefaultParagraphFont"/>
    <w:link w:val="CommentText"/>
    <w:uiPriority w:val="99"/>
    <w:rsid w:val="00F45354"/>
    <w:rPr>
      <w:sz w:val="20"/>
      <w:szCs w:val="20"/>
    </w:rPr>
  </w:style>
  <w:style w:type="paragraph" w:styleId="NoSpacing">
    <w:name w:val="No Spacing"/>
    <w:link w:val="NoSpacingChar"/>
    <w:uiPriority w:val="1"/>
    <w:qFormat/>
    <w:rsid w:val="00F45354"/>
    <w:pPr>
      <w:spacing w:after="0" w:line="240" w:lineRule="auto"/>
      <w:jc w:val="both"/>
    </w:pPr>
  </w:style>
  <w:style w:type="character" w:customStyle="1" w:styleId="NoSpacingChar">
    <w:name w:val="No Spacing Char"/>
    <w:basedOn w:val="DefaultParagraphFont"/>
    <w:link w:val="NoSpacing"/>
    <w:uiPriority w:val="1"/>
    <w:rsid w:val="00F45354"/>
  </w:style>
  <w:style w:type="paragraph" w:styleId="BalloonText">
    <w:name w:val="Balloon Text"/>
    <w:basedOn w:val="Normal"/>
    <w:link w:val="BalloonTextChar"/>
    <w:uiPriority w:val="99"/>
    <w:semiHidden/>
    <w:unhideWhenUsed/>
    <w:rsid w:val="00F4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354"/>
    <w:rPr>
      <w:rFonts w:ascii="Tahoma" w:hAnsi="Tahoma" w:cs="Tahoma"/>
      <w:sz w:val="16"/>
      <w:szCs w:val="16"/>
    </w:rPr>
  </w:style>
  <w:style w:type="paragraph" w:styleId="ListParagraph">
    <w:name w:val="List Paragraph"/>
    <w:basedOn w:val="Normal"/>
    <w:uiPriority w:val="34"/>
    <w:qFormat/>
    <w:rsid w:val="00F45354"/>
    <w:pPr>
      <w:ind w:left="720"/>
      <w:contextualSpacing/>
    </w:pPr>
  </w:style>
  <w:style w:type="numbering" w:customStyle="1" w:styleId="NoList1">
    <w:name w:val="No List1"/>
    <w:next w:val="NoList"/>
    <w:uiPriority w:val="99"/>
    <w:semiHidden/>
    <w:unhideWhenUsed/>
    <w:rsid w:val="000A59E5"/>
  </w:style>
  <w:style w:type="paragraph" w:customStyle="1" w:styleId="Title1">
    <w:name w:val="Title1"/>
    <w:basedOn w:val="Normal"/>
    <w:next w:val="Normal"/>
    <w:uiPriority w:val="10"/>
    <w:qFormat/>
    <w:rsid w:val="000A59E5"/>
    <w:pPr>
      <w:pBdr>
        <w:bottom w:val="single" w:sz="8" w:space="4" w:color="4F81BD"/>
      </w:pBdr>
      <w:spacing w:after="300" w:line="240" w:lineRule="auto"/>
      <w:contextualSpacing/>
      <w:jc w:val="left"/>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0A59E5"/>
    <w:rPr>
      <w:rFonts w:ascii="Cambria" w:eastAsia="MS Gothic" w:hAnsi="Cambria" w:cs="Times New Roman"/>
      <w:color w:val="17365D"/>
      <w:spacing w:val="5"/>
      <w:kern w:val="28"/>
      <w:sz w:val="52"/>
      <w:szCs w:val="52"/>
    </w:rPr>
  </w:style>
  <w:style w:type="character" w:styleId="PlaceholderText">
    <w:name w:val="Placeholder Text"/>
    <w:basedOn w:val="DefaultParagraphFont"/>
    <w:uiPriority w:val="99"/>
    <w:semiHidden/>
    <w:rsid w:val="000A59E5"/>
    <w:rPr>
      <w:color w:val="808080"/>
    </w:rPr>
  </w:style>
  <w:style w:type="table" w:customStyle="1" w:styleId="TableGrid1">
    <w:name w:val="Table Grid1"/>
    <w:basedOn w:val="TableNormal"/>
    <w:next w:val="TableGrid"/>
    <w:uiPriority w:val="59"/>
    <w:rsid w:val="000A5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A59E5"/>
    <w:pPr>
      <w:jc w:val="left"/>
    </w:pPr>
    <w:rPr>
      <w:b/>
      <w:bCs/>
    </w:rPr>
  </w:style>
  <w:style w:type="character" w:customStyle="1" w:styleId="CommentSubjectChar">
    <w:name w:val="Comment Subject Char"/>
    <w:basedOn w:val="CommentTextChar"/>
    <w:link w:val="CommentSubject"/>
    <w:uiPriority w:val="99"/>
    <w:semiHidden/>
    <w:rsid w:val="000A59E5"/>
    <w:rPr>
      <w:b/>
      <w:bCs/>
      <w:sz w:val="20"/>
      <w:szCs w:val="20"/>
    </w:rPr>
  </w:style>
  <w:style w:type="paragraph" w:styleId="Revision">
    <w:name w:val="Revision"/>
    <w:hidden/>
    <w:uiPriority w:val="99"/>
    <w:semiHidden/>
    <w:rsid w:val="000A59E5"/>
    <w:pPr>
      <w:spacing w:after="0" w:line="240" w:lineRule="auto"/>
    </w:pPr>
  </w:style>
  <w:style w:type="paragraph" w:styleId="EndnoteText">
    <w:name w:val="endnote text"/>
    <w:basedOn w:val="Normal"/>
    <w:link w:val="EndnoteTextChar"/>
    <w:uiPriority w:val="99"/>
    <w:semiHidden/>
    <w:unhideWhenUsed/>
    <w:rsid w:val="000A59E5"/>
    <w:pPr>
      <w:spacing w:after="0" w:line="240" w:lineRule="auto"/>
      <w:jc w:val="left"/>
    </w:pPr>
    <w:rPr>
      <w:sz w:val="20"/>
      <w:szCs w:val="20"/>
    </w:rPr>
  </w:style>
  <w:style w:type="character" w:customStyle="1" w:styleId="EndnoteTextChar">
    <w:name w:val="Endnote Text Char"/>
    <w:basedOn w:val="DefaultParagraphFont"/>
    <w:link w:val="EndnoteText"/>
    <w:uiPriority w:val="99"/>
    <w:semiHidden/>
    <w:rsid w:val="000A59E5"/>
    <w:rPr>
      <w:sz w:val="20"/>
      <w:szCs w:val="20"/>
    </w:rPr>
  </w:style>
  <w:style w:type="character" w:styleId="EndnoteReference">
    <w:name w:val="endnote reference"/>
    <w:basedOn w:val="DefaultParagraphFont"/>
    <w:uiPriority w:val="99"/>
    <w:semiHidden/>
    <w:unhideWhenUsed/>
    <w:rsid w:val="000A59E5"/>
    <w:rPr>
      <w:vertAlign w:val="superscript"/>
    </w:rPr>
  </w:style>
  <w:style w:type="character" w:styleId="Hyperlink">
    <w:name w:val="Hyperlink"/>
    <w:basedOn w:val="DefaultParagraphFont"/>
    <w:uiPriority w:val="99"/>
    <w:unhideWhenUsed/>
    <w:rsid w:val="000A59E5"/>
    <w:rPr>
      <w:color w:val="0000FF"/>
      <w:u w:val="single"/>
    </w:rPr>
  </w:style>
  <w:style w:type="character" w:customStyle="1" w:styleId="FollowedHyperlink1">
    <w:name w:val="FollowedHyperlink1"/>
    <w:basedOn w:val="DefaultParagraphFont"/>
    <w:uiPriority w:val="99"/>
    <w:semiHidden/>
    <w:unhideWhenUsed/>
    <w:rsid w:val="000A59E5"/>
    <w:rPr>
      <w:color w:val="800080"/>
      <w:u w:val="single"/>
    </w:rPr>
  </w:style>
  <w:style w:type="paragraph" w:styleId="Title">
    <w:name w:val="Title"/>
    <w:basedOn w:val="Normal"/>
    <w:next w:val="Normal"/>
    <w:link w:val="TitleChar"/>
    <w:uiPriority w:val="10"/>
    <w:qFormat/>
    <w:rsid w:val="000A59E5"/>
    <w:pPr>
      <w:pBdr>
        <w:bottom w:val="single" w:sz="8" w:space="4" w:color="4F81BD" w:themeColor="accent1"/>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1">
    <w:name w:val="Title Char1"/>
    <w:basedOn w:val="DefaultParagraphFont"/>
    <w:uiPriority w:val="10"/>
    <w:rsid w:val="000A59E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A59E5"/>
    <w:rPr>
      <w:color w:val="800080" w:themeColor="followedHyperlink"/>
      <w:u w:val="single"/>
    </w:rPr>
  </w:style>
  <w:style w:type="paragraph" w:styleId="Header">
    <w:name w:val="header"/>
    <w:basedOn w:val="Normal"/>
    <w:link w:val="HeaderChar"/>
    <w:uiPriority w:val="99"/>
    <w:unhideWhenUsed/>
    <w:rsid w:val="000A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E5"/>
  </w:style>
  <w:style w:type="paragraph" w:styleId="Footer">
    <w:name w:val="footer"/>
    <w:basedOn w:val="Normal"/>
    <w:link w:val="FooterChar"/>
    <w:uiPriority w:val="99"/>
    <w:unhideWhenUsed/>
    <w:rsid w:val="000A5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E5"/>
  </w:style>
  <w:style w:type="paragraph" w:styleId="TOC1">
    <w:name w:val="toc 1"/>
    <w:basedOn w:val="Normal"/>
    <w:next w:val="Normal"/>
    <w:autoRedefine/>
    <w:uiPriority w:val="39"/>
    <w:unhideWhenUsed/>
    <w:qFormat/>
    <w:rsid w:val="00E22427"/>
    <w:pPr>
      <w:tabs>
        <w:tab w:val="left" w:pos="660"/>
        <w:tab w:val="right" w:leader="dot" w:pos="9350"/>
      </w:tabs>
      <w:spacing w:after="40" w:line="240" w:lineRule="auto"/>
      <w:ind w:left="720" w:hanging="720"/>
    </w:pPr>
    <w:rPr>
      <w:rFonts w:ascii="Garamond" w:hAnsi="Garamond"/>
      <w:b/>
      <w:smallCaps/>
      <w:noProof/>
      <w:snapToGrid w:val="0"/>
      <w:w w:val="0"/>
      <w:sz w:val="24"/>
    </w:rPr>
  </w:style>
  <w:style w:type="paragraph" w:styleId="TOC2">
    <w:name w:val="toc 2"/>
    <w:basedOn w:val="Normal"/>
    <w:next w:val="Normal"/>
    <w:autoRedefine/>
    <w:uiPriority w:val="39"/>
    <w:unhideWhenUsed/>
    <w:qFormat/>
    <w:rsid w:val="00643267"/>
    <w:pPr>
      <w:tabs>
        <w:tab w:val="left" w:pos="660"/>
        <w:tab w:val="right" w:leader="dot" w:pos="9350"/>
      </w:tabs>
      <w:spacing w:after="40" w:line="240" w:lineRule="auto"/>
      <w:ind w:left="288"/>
    </w:pPr>
    <w:rPr>
      <w:rFonts w:ascii="Garamond" w:hAnsi="Garamond"/>
      <w:sz w:val="24"/>
    </w:rPr>
  </w:style>
  <w:style w:type="paragraph" w:styleId="TOC3">
    <w:name w:val="toc 3"/>
    <w:basedOn w:val="Normal"/>
    <w:next w:val="Normal"/>
    <w:autoRedefine/>
    <w:uiPriority w:val="39"/>
    <w:unhideWhenUsed/>
    <w:qFormat/>
    <w:rsid w:val="000874FF"/>
    <w:pPr>
      <w:tabs>
        <w:tab w:val="left" w:pos="900"/>
        <w:tab w:val="right" w:leader="dot" w:pos="9350"/>
      </w:tabs>
      <w:spacing w:after="40" w:line="240" w:lineRule="auto"/>
      <w:ind w:left="630"/>
    </w:pPr>
    <w:rPr>
      <w:rFonts w:ascii="Garamond" w:hAnsi="Garamond"/>
      <w:i/>
    </w:rPr>
  </w:style>
  <w:style w:type="paragraph" w:styleId="TOCHeading">
    <w:name w:val="TOC Heading"/>
    <w:basedOn w:val="Heading1"/>
    <w:next w:val="Normal"/>
    <w:uiPriority w:val="39"/>
    <w:semiHidden/>
    <w:unhideWhenUsed/>
    <w:qFormat/>
    <w:rsid w:val="00F044FF"/>
    <w:pPr>
      <w:spacing w:before="480" w:after="0" w:line="276" w:lineRule="auto"/>
      <w:jc w:val="left"/>
      <w:outlineLvl w:val="9"/>
    </w:pPr>
    <w:rPr>
      <w:rFonts w:asciiTheme="majorHAnsi" w:hAnsiTheme="majorHAnsi"/>
      <w:smallCaps w:val="0"/>
      <w:color w:val="365F91" w:themeColor="accent1" w:themeShade="BF"/>
      <w:lang w:eastAsia="ja-JP"/>
    </w:rPr>
  </w:style>
  <w:style w:type="paragraph" w:customStyle="1" w:styleId="ListofAcronyms">
    <w:name w:val="List of Acronyms"/>
    <w:basedOn w:val="Heading1"/>
    <w:qFormat/>
    <w:rsid w:val="0083345E"/>
    <w:pPr>
      <w:numPr>
        <w:numId w:val="0"/>
      </w:numPr>
      <w:spacing w:after="240"/>
      <w:jc w:val="center"/>
    </w:pPr>
    <w:rPr>
      <w:rFonts w:asciiTheme="minorHAnsi" w:eastAsiaTheme="minorHAnsi" w:hAnsiTheme="minorHAnsi" w:cstheme="minorBidi"/>
      <w:bCs w:val="0"/>
      <w:color w:val="auto"/>
      <w:szCs w:val="22"/>
    </w:rPr>
  </w:style>
  <w:style w:type="table" w:styleId="LightShading-Accent1">
    <w:name w:val="Light Shading Accent 1"/>
    <w:basedOn w:val="TableNormal"/>
    <w:uiPriority w:val="60"/>
    <w:rsid w:val="00FB5EF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72B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77475">
      <w:bodyDiv w:val="1"/>
      <w:marLeft w:val="0"/>
      <w:marRight w:val="0"/>
      <w:marTop w:val="0"/>
      <w:marBottom w:val="0"/>
      <w:divBdr>
        <w:top w:val="none" w:sz="0" w:space="0" w:color="auto"/>
        <w:left w:val="none" w:sz="0" w:space="0" w:color="auto"/>
        <w:bottom w:val="none" w:sz="0" w:space="0" w:color="auto"/>
        <w:right w:val="none" w:sz="0" w:space="0" w:color="auto"/>
      </w:divBdr>
    </w:div>
    <w:div w:id="1769541526">
      <w:bodyDiv w:val="1"/>
      <w:marLeft w:val="0"/>
      <w:marRight w:val="0"/>
      <w:marTop w:val="0"/>
      <w:marBottom w:val="0"/>
      <w:divBdr>
        <w:top w:val="none" w:sz="0" w:space="0" w:color="auto"/>
        <w:left w:val="none" w:sz="0" w:space="0" w:color="auto"/>
        <w:bottom w:val="none" w:sz="0" w:space="0" w:color="auto"/>
        <w:right w:val="none" w:sz="0" w:space="0" w:color="auto"/>
      </w:divBdr>
    </w:div>
    <w:div w:id="20580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10.png"/><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emf"/><Relationship Id="rId42" Type="http://schemas.openxmlformats.org/officeDocument/2006/relationships/image" Target="media/image25.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9.PNG"/><Relationship Id="rId33" Type="http://schemas.openxmlformats.org/officeDocument/2006/relationships/image" Target="media/image17.emf"/><Relationship Id="rId38"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emf"/><Relationship Id="rId29" Type="http://schemas.openxmlformats.org/officeDocument/2006/relationships/image" Target="media/image13.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3.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15.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image" Target="media/image19.gif"/><Relationship Id="rId43"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www.pjm.com/markets-and-operations/demand-response/~/media/markets-ops/demand-response/20120718-load-management-dr-event-key-times-and-hours.ashx" TargetMode="External"/><Relationship Id="rId3" Type="http://schemas.openxmlformats.org/officeDocument/2006/relationships/hyperlink" Target="http://www.ferc.gov/legal/staff-reports/06-17-10-demand-response.pdf" TargetMode="External"/><Relationship Id="rId7" Type="http://schemas.openxmlformats.org/officeDocument/2006/relationships/hyperlink" Target="http://www.pjm.com/~/media/about-pjm/pjm-zones.ashx" TargetMode="External"/><Relationship Id="rId2" Type="http://schemas.openxmlformats.org/officeDocument/2006/relationships/hyperlink" Target="http://www.epa.gov/eeactionplan" TargetMode="External"/><Relationship Id="rId1" Type="http://schemas.openxmlformats.org/officeDocument/2006/relationships/hyperlink" Target="http://www.pjm.com/~/media/markets-ops/dsr/2012-dsr-activity-report-20130314.ashx" TargetMode="External"/><Relationship Id="rId6" Type="http://schemas.openxmlformats.org/officeDocument/2006/relationships/hyperlink" Target="http://www.pjm.com/~/media/documents/reports/20070406-deemed-savings-report-ac-heat.ashx" TargetMode="External"/><Relationship Id="rId11" Type="http://schemas.openxmlformats.org/officeDocument/2006/relationships/hyperlink" Target="https://www.pjm.com/~/media/documents/reports/2013-load-forecast-report.ashx" TargetMode="External"/><Relationship Id="rId5" Type="http://schemas.openxmlformats.org/officeDocument/2006/relationships/hyperlink" Target="http://www.ferc.gov/legal/staff-reports/06-17-10-demand-response.pdf" TargetMode="External"/><Relationship Id="rId10" Type="http://schemas.openxmlformats.org/officeDocument/2006/relationships/hyperlink" Target="http://oasis.pjm.com/system.htm" TargetMode="External"/><Relationship Id="rId4" Type="http://schemas.openxmlformats.org/officeDocument/2006/relationships/hyperlink" Target="http://www.ferc.gov/legal/staff-reports/11-07-11-demand-response.pdf" TargetMode="External"/><Relationship Id="rId9" Type="http://schemas.openxmlformats.org/officeDocument/2006/relationships/hyperlink" Target="http://www.synapse-energy.com/Downloads/SynapseReport.2013-02.LBL.DR-Cost-Effectiveness.11-106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m-ga-fs01\m-ga-projects01\39701\065\DR%20BC%20Model\BC%20Modeling\Commercial%20Load%20Response%20Progra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scatterChart>
        <c:scatterStyle val="lineMarker"/>
        <c:varyColors val="0"/>
        <c:ser>
          <c:idx val="0"/>
          <c:order val="0"/>
          <c:spPr>
            <a:ln w="47625">
              <a:noFill/>
            </a:ln>
          </c:spPr>
          <c:trendline>
            <c:spPr>
              <a:ln>
                <a:solidFill>
                  <a:schemeClr val="accent1"/>
                </a:solidFill>
              </a:ln>
            </c:spPr>
            <c:trendlineType val="linear"/>
            <c:dispRSqr val="0"/>
            <c:dispEq val="0"/>
          </c:trendline>
          <c:xVal>
            <c:numRef>
              <c:f>Combined!$AD$25:$AD$27</c:f>
              <c:numCache>
                <c:formatCode>0%</c:formatCode>
                <c:ptCount val="3"/>
                <c:pt idx="0">
                  <c:v>4.0000000000000008E-2</c:v>
                </c:pt>
                <c:pt idx="1">
                  <c:v>0.119161346744281</c:v>
                </c:pt>
                <c:pt idx="2">
                  <c:v>0.25</c:v>
                </c:pt>
              </c:numCache>
            </c:numRef>
          </c:xVal>
          <c:yVal>
            <c:numRef>
              <c:f>Combined!$AE$25:$AE$27</c:f>
              <c:numCache>
                <c:formatCode>_(* #,##0.00_);_(* \(#,##0.00\);_(* "-"??_);_(@_)</c:formatCode>
                <c:ptCount val="3"/>
                <c:pt idx="0">
                  <c:v>0.58188754973761569</c:v>
                </c:pt>
                <c:pt idx="1">
                  <c:v>0.62891309902613013</c:v>
                </c:pt>
                <c:pt idx="2">
                  <c:v>0.74481606366414843</c:v>
                </c:pt>
              </c:numCache>
            </c:numRef>
          </c:yVal>
          <c:smooth val="0"/>
        </c:ser>
        <c:dLbls>
          <c:showLegendKey val="0"/>
          <c:showVal val="0"/>
          <c:showCatName val="0"/>
          <c:showSerName val="0"/>
          <c:showPercent val="0"/>
          <c:showBubbleSize val="0"/>
        </c:dLbls>
        <c:axId val="119233152"/>
        <c:axId val="119245056"/>
      </c:scatterChart>
      <c:valAx>
        <c:axId val="119233152"/>
        <c:scaling>
          <c:orientation val="minMax"/>
        </c:scaling>
        <c:delete val="0"/>
        <c:axPos val="b"/>
        <c:title>
          <c:tx>
            <c:rich>
              <a:bodyPr/>
              <a:lstStyle/>
              <a:p>
                <a:pPr>
                  <a:defRPr/>
                </a:pPr>
                <a:r>
                  <a:rPr lang="en-US"/>
                  <a:t>Line Loss</a:t>
                </a:r>
                <a:r>
                  <a:rPr lang="en-US" baseline="0"/>
                  <a:t> Percentage</a:t>
                </a:r>
                <a:endParaRPr lang="en-US"/>
              </a:p>
            </c:rich>
          </c:tx>
          <c:layout/>
          <c:overlay val="0"/>
        </c:title>
        <c:numFmt formatCode="0%" sourceLinked="1"/>
        <c:majorTickMark val="none"/>
        <c:minorTickMark val="none"/>
        <c:tickLblPos val="nextTo"/>
        <c:crossAx val="119245056"/>
        <c:crosses val="autoZero"/>
        <c:crossBetween val="midCat"/>
      </c:valAx>
      <c:valAx>
        <c:axId val="119245056"/>
        <c:scaling>
          <c:orientation val="minMax"/>
          <c:max val="1.4"/>
          <c:min val="0"/>
        </c:scaling>
        <c:delete val="0"/>
        <c:axPos val="l"/>
        <c:majorGridlines/>
        <c:title>
          <c:tx>
            <c:rich>
              <a:bodyPr/>
              <a:lstStyle/>
              <a:p>
                <a:pPr>
                  <a:defRPr/>
                </a:pPr>
                <a:r>
                  <a:rPr lang="en-US"/>
                  <a:t>TRC</a:t>
                </a:r>
              </a:p>
            </c:rich>
          </c:tx>
          <c:layout/>
          <c:overlay val="0"/>
        </c:title>
        <c:numFmt formatCode="_(* #,##0.00_);_(* \(#,##0.00\);_(* &quot;-&quot;??_);_(@_)" sourceLinked="1"/>
        <c:majorTickMark val="none"/>
        <c:minorTickMark val="none"/>
        <c:tickLblPos val="nextTo"/>
        <c:crossAx val="119233152"/>
        <c:crosses val="autoZero"/>
        <c:crossBetween val="midCat"/>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FF399-1B22-4905-B640-EA7B0337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24378</Words>
  <Characters>138958</Characters>
  <Application>Microsoft Office Word</Application>
  <DocSecurity>0</DocSecurity>
  <Lines>1157</Lines>
  <Paragraphs>326</Paragraphs>
  <ScaleCrop>false</ScaleCrop>
  <HeadingPairs>
    <vt:vector size="2" baseType="variant">
      <vt:variant>
        <vt:lpstr>Title</vt:lpstr>
      </vt:variant>
      <vt:variant>
        <vt:i4>1</vt:i4>
      </vt:variant>
    </vt:vector>
  </HeadingPairs>
  <TitlesOfParts>
    <vt:vector size="1" baseType="lpstr">
      <vt:lpstr/>
    </vt:vector>
  </TitlesOfParts>
  <Company>GDS Associates, Inc.</Company>
  <LinksUpToDate>false</LinksUpToDate>
  <CharactersWithSpaces>163010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tom.londos</dc:creator>
  <cp:lastModifiedBy>megagood</cp:lastModifiedBy>
  <cp:revision>3</cp:revision>
  <cp:lastPrinted>2013-04-05T20:11:00Z</cp:lastPrinted>
  <dcterms:created xsi:type="dcterms:W3CDTF">2013-05-16T13:47:00Z</dcterms:created>
  <dcterms:modified xsi:type="dcterms:W3CDTF">2013-05-16T13:49:00Z</dcterms:modified>
</cp:coreProperties>
</file>