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FA4295" w:rsidRPr="00114FDD" w:rsidTr="00FA4295">
        <w:tc>
          <w:tcPr>
            <w:tcW w:w="2448" w:type="dxa"/>
          </w:tcPr>
          <w:p w:rsidR="00FA4295" w:rsidRPr="00114FDD" w:rsidRDefault="00FA4295">
            <w:pPr>
              <w:pStyle w:val="Heading3"/>
              <w:spacing w:line="276" w:lineRule="auto"/>
              <w:rPr>
                <w:rFonts w:ascii="Times New Roman" w:hAnsi="Times New Roman" w:cs="Times New Roman"/>
              </w:rPr>
            </w:pPr>
          </w:p>
        </w:tc>
        <w:tc>
          <w:tcPr>
            <w:tcW w:w="5130" w:type="dxa"/>
            <w:hideMark/>
          </w:tcPr>
          <w:p w:rsidR="00FA4295" w:rsidRPr="00114FDD" w:rsidRDefault="00FA4295">
            <w:pPr>
              <w:spacing w:line="276" w:lineRule="auto"/>
              <w:jc w:val="center"/>
              <w:rPr>
                <w:b/>
                <w:sz w:val="26"/>
                <w:szCs w:val="26"/>
              </w:rPr>
            </w:pPr>
            <w:r w:rsidRPr="00114FDD">
              <w:rPr>
                <w:b/>
                <w:sz w:val="26"/>
                <w:szCs w:val="26"/>
              </w:rPr>
              <w:t>PENNSYLVANIA</w:t>
            </w:r>
          </w:p>
          <w:p w:rsidR="00FA4295" w:rsidRPr="00114FDD" w:rsidRDefault="00FA4295">
            <w:pPr>
              <w:spacing w:line="276" w:lineRule="auto"/>
              <w:jc w:val="center"/>
              <w:rPr>
                <w:b/>
                <w:sz w:val="26"/>
                <w:szCs w:val="26"/>
              </w:rPr>
            </w:pPr>
            <w:r w:rsidRPr="00114FDD">
              <w:rPr>
                <w:b/>
                <w:sz w:val="26"/>
                <w:szCs w:val="26"/>
              </w:rPr>
              <w:t>PUBLIC UTILITY COMMISSION</w:t>
            </w:r>
          </w:p>
          <w:p w:rsidR="00FA4295" w:rsidRPr="00114FDD" w:rsidRDefault="00FA4295">
            <w:pPr>
              <w:pStyle w:val="StyleCentered"/>
              <w:spacing w:line="276" w:lineRule="auto"/>
              <w:rPr>
                <w:sz w:val="26"/>
                <w:szCs w:val="26"/>
              </w:rPr>
            </w:pPr>
            <w:r w:rsidRPr="00114FDD">
              <w:rPr>
                <w:sz w:val="26"/>
                <w:szCs w:val="26"/>
              </w:rPr>
              <w:t>Harrisburg, PA.  17105-3265</w:t>
            </w:r>
          </w:p>
        </w:tc>
        <w:tc>
          <w:tcPr>
            <w:tcW w:w="2700" w:type="dxa"/>
          </w:tcPr>
          <w:p w:rsidR="00FA4295" w:rsidRPr="00114FDD" w:rsidRDefault="00FA4295">
            <w:pPr>
              <w:spacing w:line="276" w:lineRule="auto"/>
              <w:rPr>
                <w:sz w:val="26"/>
                <w:szCs w:val="26"/>
              </w:rPr>
            </w:pPr>
          </w:p>
        </w:tc>
      </w:tr>
    </w:tbl>
    <w:p w:rsidR="00FA4295" w:rsidRPr="00114FDD" w:rsidRDefault="00FA4295" w:rsidP="00FA4295">
      <w:pPr>
        <w:rPr>
          <w:sz w:val="26"/>
          <w:szCs w:val="26"/>
        </w:rPr>
      </w:pPr>
    </w:p>
    <w:tbl>
      <w:tblPr>
        <w:tblW w:w="0" w:type="auto"/>
        <w:tblLayout w:type="fixed"/>
        <w:tblLook w:val="04A0" w:firstRow="1" w:lastRow="0" w:firstColumn="1" w:lastColumn="0" w:noHBand="0" w:noVBand="1"/>
      </w:tblPr>
      <w:tblGrid>
        <w:gridCol w:w="5148"/>
        <w:gridCol w:w="5148"/>
      </w:tblGrid>
      <w:tr w:rsidR="00FA4295" w:rsidRPr="00114FDD" w:rsidTr="00FA4295">
        <w:tc>
          <w:tcPr>
            <w:tcW w:w="5148" w:type="dxa"/>
          </w:tcPr>
          <w:p w:rsidR="00FA4295" w:rsidRPr="00114FDD" w:rsidRDefault="00FA4295">
            <w:pPr>
              <w:spacing w:line="276" w:lineRule="auto"/>
              <w:rPr>
                <w:sz w:val="26"/>
                <w:szCs w:val="26"/>
              </w:rPr>
            </w:pPr>
          </w:p>
        </w:tc>
        <w:tc>
          <w:tcPr>
            <w:tcW w:w="5148" w:type="dxa"/>
            <w:hideMark/>
          </w:tcPr>
          <w:p w:rsidR="00FA4295" w:rsidRPr="00114FDD" w:rsidRDefault="00FA4295" w:rsidP="003036C1">
            <w:pPr>
              <w:spacing w:line="276" w:lineRule="auto"/>
              <w:ind w:firstLine="612"/>
              <w:rPr>
                <w:sz w:val="26"/>
                <w:szCs w:val="26"/>
              </w:rPr>
            </w:pPr>
            <w:r w:rsidRPr="00114FDD">
              <w:rPr>
                <w:sz w:val="26"/>
                <w:szCs w:val="26"/>
              </w:rPr>
              <w:t xml:space="preserve">Public Meeting held </w:t>
            </w:r>
            <w:r w:rsidR="003036C1" w:rsidRPr="00114FDD">
              <w:rPr>
                <w:sz w:val="26"/>
                <w:szCs w:val="26"/>
              </w:rPr>
              <w:t>September 13, 2012</w:t>
            </w:r>
          </w:p>
        </w:tc>
      </w:tr>
      <w:tr w:rsidR="00FA4295" w:rsidRPr="00114FDD" w:rsidTr="00FA4295">
        <w:tc>
          <w:tcPr>
            <w:tcW w:w="5148" w:type="dxa"/>
            <w:hideMark/>
          </w:tcPr>
          <w:p w:rsidR="00FA4295" w:rsidRPr="00114FDD" w:rsidRDefault="00FA4295">
            <w:pPr>
              <w:spacing w:line="276" w:lineRule="auto"/>
              <w:rPr>
                <w:sz w:val="26"/>
                <w:szCs w:val="26"/>
              </w:rPr>
            </w:pPr>
            <w:r w:rsidRPr="00114FDD">
              <w:rPr>
                <w:sz w:val="26"/>
                <w:szCs w:val="26"/>
              </w:rPr>
              <w:t>Commissioners Present:</w:t>
            </w:r>
          </w:p>
        </w:tc>
        <w:tc>
          <w:tcPr>
            <w:tcW w:w="5148" w:type="dxa"/>
          </w:tcPr>
          <w:p w:rsidR="00FA4295" w:rsidRPr="00114FDD" w:rsidRDefault="00FA4295">
            <w:pPr>
              <w:spacing w:line="276" w:lineRule="auto"/>
              <w:rPr>
                <w:sz w:val="26"/>
                <w:szCs w:val="26"/>
              </w:rPr>
            </w:pPr>
          </w:p>
        </w:tc>
      </w:tr>
    </w:tbl>
    <w:p w:rsidR="00FA4295" w:rsidRPr="00114FDD" w:rsidRDefault="00FA4295" w:rsidP="00FA4295">
      <w:pPr>
        <w:rPr>
          <w:sz w:val="26"/>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114FDD" w:rsidTr="00FA4295">
        <w:tc>
          <w:tcPr>
            <w:tcW w:w="9558" w:type="dxa"/>
            <w:gridSpan w:val="3"/>
            <w:hideMark/>
          </w:tcPr>
          <w:p w:rsidR="00FA4295" w:rsidRPr="00114FDD" w:rsidRDefault="006D57F0" w:rsidP="00800F6C">
            <w:pPr>
              <w:ind w:firstLine="450"/>
              <w:rPr>
                <w:rFonts w:cs="Arial Unicode MS"/>
                <w:sz w:val="26"/>
                <w:szCs w:val="26"/>
              </w:rPr>
            </w:pPr>
            <w:r w:rsidRPr="00114FDD">
              <w:rPr>
                <w:sz w:val="26"/>
                <w:szCs w:val="26"/>
              </w:rPr>
              <w:t>Robert F. Powelson</w:t>
            </w:r>
            <w:r w:rsidR="00FA4295" w:rsidRPr="00114FDD">
              <w:rPr>
                <w:sz w:val="26"/>
                <w:szCs w:val="26"/>
              </w:rPr>
              <w:t>, Chairman</w:t>
            </w:r>
          </w:p>
        </w:tc>
        <w:tc>
          <w:tcPr>
            <w:tcW w:w="738" w:type="dxa"/>
          </w:tcPr>
          <w:p w:rsidR="00FA4295" w:rsidRPr="00114FDD" w:rsidRDefault="00FA4295">
            <w:pPr>
              <w:spacing w:line="276" w:lineRule="auto"/>
              <w:rPr>
                <w:sz w:val="26"/>
                <w:szCs w:val="26"/>
              </w:rPr>
            </w:pPr>
          </w:p>
        </w:tc>
      </w:tr>
      <w:tr w:rsidR="00FA4295" w:rsidRPr="00114FDD" w:rsidTr="00FA4295">
        <w:tc>
          <w:tcPr>
            <w:tcW w:w="9558" w:type="dxa"/>
            <w:gridSpan w:val="3"/>
            <w:hideMark/>
          </w:tcPr>
          <w:p w:rsidR="00FA4295" w:rsidRPr="00114FDD" w:rsidRDefault="006D57F0" w:rsidP="00800F6C">
            <w:pPr>
              <w:ind w:firstLine="450"/>
              <w:rPr>
                <w:sz w:val="26"/>
                <w:szCs w:val="26"/>
              </w:rPr>
            </w:pPr>
            <w:r w:rsidRPr="00114FDD">
              <w:rPr>
                <w:sz w:val="26"/>
                <w:szCs w:val="26"/>
              </w:rPr>
              <w:t>John F. Coleman, Jr.</w:t>
            </w:r>
            <w:r w:rsidR="00FA4295" w:rsidRPr="00114FDD">
              <w:rPr>
                <w:sz w:val="26"/>
                <w:szCs w:val="26"/>
              </w:rPr>
              <w:t>, Vice Chairman</w:t>
            </w:r>
          </w:p>
          <w:p w:rsidR="00D06886" w:rsidRPr="00114FDD" w:rsidRDefault="006D57F0" w:rsidP="00800F6C">
            <w:pPr>
              <w:ind w:firstLine="450"/>
              <w:rPr>
                <w:sz w:val="26"/>
                <w:szCs w:val="26"/>
              </w:rPr>
            </w:pPr>
            <w:r w:rsidRPr="00114FDD">
              <w:rPr>
                <w:sz w:val="26"/>
                <w:szCs w:val="26"/>
              </w:rPr>
              <w:t>Wayne E. Gardner</w:t>
            </w:r>
            <w:r w:rsidR="003036C1" w:rsidRPr="00114FDD">
              <w:rPr>
                <w:sz w:val="26"/>
                <w:szCs w:val="26"/>
              </w:rPr>
              <w:t>, Commissioner</w:t>
            </w:r>
          </w:p>
        </w:tc>
        <w:tc>
          <w:tcPr>
            <w:tcW w:w="738" w:type="dxa"/>
          </w:tcPr>
          <w:p w:rsidR="00FA4295" w:rsidRPr="00114FDD" w:rsidRDefault="00FA4295">
            <w:pPr>
              <w:spacing w:line="276" w:lineRule="auto"/>
              <w:rPr>
                <w:sz w:val="26"/>
                <w:szCs w:val="26"/>
              </w:rPr>
            </w:pPr>
          </w:p>
        </w:tc>
      </w:tr>
      <w:tr w:rsidR="00FA4295" w:rsidRPr="00114FDD" w:rsidTr="00FA4295">
        <w:tc>
          <w:tcPr>
            <w:tcW w:w="9558" w:type="dxa"/>
            <w:gridSpan w:val="3"/>
            <w:hideMark/>
          </w:tcPr>
          <w:p w:rsidR="00FA4295" w:rsidRPr="00114FDD" w:rsidRDefault="006D57F0" w:rsidP="00800F6C">
            <w:pPr>
              <w:ind w:firstLine="450"/>
              <w:rPr>
                <w:rFonts w:cs="Arial Unicode MS"/>
                <w:sz w:val="26"/>
                <w:szCs w:val="26"/>
              </w:rPr>
            </w:pPr>
            <w:r w:rsidRPr="00114FDD">
              <w:rPr>
                <w:sz w:val="26"/>
                <w:szCs w:val="26"/>
              </w:rPr>
              <w:t>James H. Cawley</w:t>
            </w:r>
            <w:r w:rsidR="003036C1" w:rsidRPr="00114FDD">
              <w:rPr>
                <w:sz w:val="26"/>
                <w:szCs w:val="26"/>
              </w:rPr>
              <w:t>, Commissioner</w:t>
            </w:r>
          </w:p>
        </w:tc>
        <w:tc>
          <w:tcPr>
            <w:tcW w:w="738" w:type="dxa"/>
          </w:tcPr>
          <w:p w:rsidR="00FA4295" w:rsidRPr="00114FDD" w:rsidRDefault="00FA4295">
            <w:pPr>
              <w:spacing w:line="276" w:lineRule="auto"/>
              <w:rPr>
                <w:sz w:val="26"/>
                <w:szCs w:val="26"/>
              </w:rPr>
            </w:pPr>
          </w:p>
        </w:tc>
      </w:tr>
      <w:tr w:rsidR="00FA4295" w:rsidRPr="00114FDD" w:rsidTr="00FA4295">
        <w:tc>
          <w:tcPr>
            <w:tcW w:w="9558" w:type="dxa"/>
            <w:gridSpan w:val="3"/>
            <w:hideMark/>
          </w:tcPr>
          <w:p w:rsidR="00FA4295" w:rsidRPr="00114FDD" w:rsidRDefault="006D57F0" w:rsidP="00800F6C">
            <w:pPr>
              <w:ind w:left="450"/>
              <w:rPr>
                <w:rFonts w:cs="Arial Unicode MS"/>
                <w:sz w:val="26"/>
                <w:szCs w:val="26"/>
              </w:rPr>
            </w:pPr>
            <w:r w:rsidRPr="00114FDD">
              <w:rPr>
                <w:sz w:val="26"/>
                <w:szCs w:val="26"/>
              </w:rPr>
              <w:t>Pamela A. Witmer</w:t>
            </w:r>
            <w:r w:rsidR="003036C1" w:rsidRPr="00114FDD">
              <w:rPr>
                <w:sz w:val="26"/>
                <w:szCs w:val="26"/>
              </w:rPr>
              <w:t>, Commissioner</w:t>
            </w:r>
          </w:p>
        </w:tc>
        <w:tc>
          <w:tcPr>
            <w:tcW w:w="738" w:type="dxa"/>
          </w:tcPr>
          <w:p w:rsidR="00FA4295" w:rsidRPr="00114FDD" w:rsidRDefault="00FA4295">
            <w:pPr>
              <w:spacing w:line="276" w:lineRule="auto"/>
              <w:rPr>
                <w:sz w:val="26"/>
                <w:szCs w:val="26"/>
              </w:rPr>
            </w:pPr>
          </w:p>
        </w:tc>
      </w:tr>
      <w:tr w:rsidR="00FA4295" w:rsidRPr="00114FDD" w:rsidTr="00FA4295">
        <w:trPr>
          <w:gridAfter w:val="2"/>
          <w:wAfter w:w="828" w:type="dxa"/>
        </w:trPr>
        <w:tc>
          <w:tcPr>
            <w:tcW w:w="5958" w:type="dxa"/>
          </w:tcPr>
          <w:p w:rsidR="00FA4295" w:rsidRPr="00114FDD" w:rsidRDefault="00FA4295">
            <w:pPr>
              <w:spacing w:line="276" w:lineRule="auto"/>
              <w:rPr>
                <w:sz w:val="26"/>
                <w:szCs w:val="26"/>
              </w:rPr>
            </w:pPr>
          </w:p>
        </w:tc>
        <w:tc>
          <w:tcPr>
            <w:tcW w:w="3510" w:type="dxa"/>
          </w:tcPr>
          <w:p w:rsidR="00FA4295" w:rsidRPr="00114FDD" w:rsidRDefault="00FA4295">
            <w:pPr>
              <w:spacing w:line="276" w:lineRule="auto"/>
              <w:rPr>
                <w:sz w:val="26"/>
                <w:szCs w:val="26"/>
              </w:rPr>
            </w:pPr>
          </w:p>
        </w:tc>
      </w:tr>
      <w:tr w:rsidR="00FA4295" w:rsidRPr="00114FDD" w:rsidTr="00FA4295">
        <w:trPr>
          <w:gridAfter w:val="2"/>
          <w:wAfter w:w="828" w:type="dxa"/>
        </w:trPr>
        <w:tc>
          <w:tcPr>
            <w:tcW w:w="5958" w:type="dxa"/>
            <w:hideMark/>
          </w:tcPr>
          <w:p w:rsidR="00FA4295" w:rsidRPr="00114FDD" w:rsidRDefault="00FA4295" w:rsidP="00800F6C">
            <w:pPr>
              <w:rPr>
                <w:rFonts w:cs="Arial Unicode MS"/>
                <w:sz w:val="26"/>
                <w:szCs w:val="26"/>
              </w:rPr>
            </w:pPr>
            <w:r w:rsidRPr="00114FDD">
              <w:rPr>
                <w:sz w:val="26"/>
                <w:szCs w:val="26"/>
              </w:rPr>
              <w:t>Implementation of the Alternative Energy Portfolio</w:t>
            </w:r>
          </w:p>
          <w:p w:rsidR="00FA4295" w:rsidRPr="00114FDD" w:rsidRDefault="00FA4295" w:rsidP="00800F6C">
            <w:pPr>
              <w:rPr>
                <w:rFonts w:cs="Arial Unicode MS"/>
                <w:sz w:val="26"/>
                <w:szCs w:val="26"/>
              </w:rPr>
            </w:pPr>
            <w:r w:rsidRPr="00114FDD">
              <w:rPr>
                <w:sz w:val="26"/>
                <w:szCs w:val="26"/>
              </w:rPr>
              <w:t>Standards Act of 2004:  Standards for the Participation</w:t>
            </w:r>
          </w:p>
          <w:p w:rsidR="00FA4295" w:rsidRPr="00114FDD" w:rsidRDefault="00FA4295" w:rsidP="00800F6C">
            <w:pPr>
              <w:rPr>
                <w:rFonts w:cs="Arial Unicode MS"/>
                <w:sz w:val="26"/>
                <w:szCs w:val="26"/>
              </w:rPr>
            </w:pPr>
            <w:r w:rsidRPr="00114FDD">
              <w:rPr>
                <w:sz w:val="26"/>
                <w:szCs w:val="26"/>
              </w:rPr>
              <w:t>of Demand Side Management Resources – Technical</w:t>
            </w:r>
          </w:p>
          <w:p w:rsidR="00FA4295" w:rsidRPr="00114FDD" w:rsidRDefault="00FA4295" w:rsidP="00800F6C">
            <w:pPr>
              <w:rPr>
                <w:rFonts w:cs="Arial Unicode MS"/>
                <w:sz w:val="26"/>
                <w:szCs w:val="26"/>
              </w:rPr>
            </w:pPr>
            <w:r w:rsidRPr="00114FDD">
              <w:rPr>
                <w:sz w:val="26"/>
                <w:szCs w:val="26"/>
              </w:rPr>
              <w:t xml:space="preserve">Reference Manual </w:t>
            </w:r>
            <w:r w:rsidR="00761B89" w:rsidRPr="00114FDD">
              <w:rPr>
                <w:sz w:val="26"/>
                <w:szCs w:val="26"/>
              </w:rPr>
              <w:t>201</w:t>
            </w:r>
            <w:r w:rsidR="003036C1" w:rsidRPr="00114FDD">
              <w:rPr>
                <w:sz w:val="26"/>
                <w:szCs w:val="26"/>
              </w:rPr>
              <w:t>3</w:t>
            </w:r>
            <w:r w:rsidR="00761B89" w:rsidRPr="00114FDD">
              <w:rPr>
                <w:sz w:val="26"/>
                <w:szCs w:val="26"/>
              </w:rPr>
              <w:t xml:space="preserve"> </w:t>
            </w:r>
            <w:r w:rsidRPr="00114FDD">
              <w:rPr>
                <w:sz w:val="26"/>
                <w:szCs w:val="26"/>
              </w:rPr>
              <w:t>Update</w:t>
            </w:r>
          </w:p>
        </w:tc>
        <w:tc>
          <w:tcPr>
            <w:tcW w:w="3510" w:type="dxa"/>
            <w:hideMark/>
          </w:tcPr>
          <w:p w:rsidR="00FA4295" w:rsidRDefault="00FA4295" w:rsidP="003036C1">
            <w:pPr>
              <w:spacing w:line="276" w:lineRule="auto"/>
              <w:rPr>
                <w:sz w:val="26"/>
                <w:szCs w:val="26"/>
              </w:rPr>
            </w:pPr>
            <w:r w:rsidRPr="00114FDD">
              <w:rPr>
                <w:sz w:val="26"/>
                <w:szCs w:val="26"/>
              </w:rPr>
              <w:t xml:space="preserve">Docket No.  </w:t>
            </w:r>
            <w:r w:rsidR="003036C1" w:rsidRPr="00114FDD">
              <w:rPr>
                <w:sz w:val="26"/>
                <w:szCs w:val="26"/>
              </w:rPr>
              <w:t>M-2012-2313373</w:t>
            </w:r>
          </w:p>
          <w:p w:rsidR="00224CA6" w:rsidRPr="00114FDD" w:rsidRDefault="00224CA6" w:rsidP="003036C1">
            <w:pPr>
              <w:spacing w:line="276" w:lineRule="auto"/>
              <w:rPr>
                <w:sz w:val="26"/>
                <w:szCs w:val="26"/>
              </w:rPr>
            </w:pPr>
            <w:r>
              <w:rPr>
                <w:sz w:val="26"/>
                <w:szCs w:val="26"/>
              </w:rPr>
              <w:t xml:space="preserve">                    M-00051865</w:t>
            </w:r>
          </w:p>
        </w:tc>
      </w:tr>
    </w:tbl>
    <w:p w:rsidR="00FA4295" w:rsidRPr="00114FDD" w:rsidRDefault="00FA4295" w:rsidP="00FA4295">
      <w:pPr>
        <w:jc w:val="center"/>
        <w:rPr>
          <w:b/>
          <w:sz w:val="26"/>
          <w:szCs w:val="26"/>
        </w:rPr>
      </w:pPr>
    </w:p>
    <w:p w:rsidR="00FA4295" w:rsidRPr="00114FDD" w:rsidRDefault="00FA4295" w:rsidP="00FA4295">
      <w:pPr>
        <w:jc w:val="center"/>
        <w:rPr>
          <w:b/>
          <w:sz w:val="26"/>
          <w:szCs w:val="26"/>
        </w:rPr>
      </w:pPr>
    </w:p>
    <w:p w:rsidR="00FA4295" w:rsidRPr="00114FDD" w:rsidRDefault="00761B89" w:rsidP="00FA4295">
      <w:pPr>
        <w:spacing w:line="360" w:lineRule="auto"/>
        <w:jc w:val="center"/>
        <w:rPr>
          <w:b/>
          <w:caps/>
          <w:sz w:val="26"/>
          <w:szCs w:val="26"/>
        </w:rPr>
      </w:pPr>
      <w:r w:rsidRPr="00114FDD">
        <w:rPr>
          <w:b/>
          <w:caps/>
          <w:sz w:val="26"/>
          <w:szCs w:val="26"/>
        </w:rPr>
        <w:t>201</w:t>
      </w:r>
      <w:r w:rsidR="003036C1" w:rsidRPr="00114FDD">
        <w:rPr>
          <w:b/>
          <w:caps/>
          <w:sz w:val="26"/>
          <w:szCs w:val="26"/>
        </w:rPr>
        <w:t>3</w:t>
      </w:r>
      <w:r w:rsidRPr="00114FDD">
        <w:rPr>
          <w:b/>
          <w:caps/>
          <w:sz w:val="26"/>
          <w:szCs w:val="26"/>
        </w:rPr>
        <w:t xml:space="preserve"> </w:t>
      </w:r>
      <w:r w:rsidR="00EE2777" w:rsidRPr="00114FDD">
        <w:rPr>
          <w:b/>
          <w:caps/>
          <w:sz w:val="26"/>
          <w:szCs w:val="26"/>
        </w:rPr>
        <w:t xml:space="preserve">TRM ANNUAL UPDATE </w:t>
      </w:r>
      <w:r w:rsidR="00E86E0B" w:rsidRPr="00114FDD">
        <w:rPr>
          <w:b/>
          <w:caps/>
          <w:sz w:val="26"/>
          <w:szCs w:val="26"/>
        </w:rPr>
        <w:t xml:space="preserve">Tentative </w:t>
      </w:r>
      <w:r w:rsidR="00FA4295" w:rsidRPr="00114FDD">
        <w:rPr>
          <w:b/>
          <w:caps/>
          <w:sz w:val="26"/>
          <w:szCs w:val="26"/>
        </w:rPr>
        <w:t xml:space="preserve">Order </w:t>
      </w:r>
    </w:p>
    <w:p w:rsidR="008C52B9" w:rsidRPr="00114FDD" w:rsidRDefault="008C52B9" w:rsidP="00FA4295">
      <w:pPr>
        <w:spacing w:line="360" w:lineRule="auto"/>
        <w:jc w:val="center"/>
        <w:rPr>
          <w:b/>
          <w:caps/>
          <w:sz w:val="26"/>
          <w:szCs w:val="26"/>
        </w:rPr>
      </w:pPr>
    </w:p>
    <w:p w:rsidR="00D153EE" w:rsidRPr="00114FDD" w:rsidRDefault="00D153EE">
      <w:pPr>
        <w:overflowPunct/>
        <w:autoSpaceDE/>
        <w:autoSpaceDN/>
        <w:adjustRightInd/>
        <w:rPr>
          <w:b/>
          <w:sz w:val="26"/>
          <w:szCs w:val="26"/>
        </w:rPr>
      </w:pPr>
      <w:r w:rsidRPr="00114FDD">
        <w:rPr>
          <w:b/>
          <w:sz w:val="26"/>
          <w:szCs w:val="26"/>
        </w:rPr>
        <w:br w:type="page"/>
      </w:r>
    </w:p>
    <w:p w:rsidR="00B23EB7" w:rsidRPr="00114FDD" w:rsidRDefault="00B23EB7" w:rsidP="00B23EB7">
      <w:pPr>
        <w:overflowPunct/>
        <w:autoSpaceDE/>
        <w:autoSpaceDN/>
        <w:adjustRightInd/>
        <w:jc w:val="center"/>
        <w:rPr>
          <w:b/>
          <w:sz w:val="26"/>
          <w:szCs w:val="26"/>
        </w:rPr>
      </w:pPr>
      <w:r w:rsidRPr="00114FDD">
        <w:rPr>
          <w:b/>
          <w:sz w:val="26"/>
          <w:szCs w:val="26"/>
        </w:rPr>
        <w:lastRenderedPageBreak/>
        <w:t>Table of Contents</w:t>
      </w:r>
    </w:p>
    <w:p w:rsidR="00B23EB7" w:rsidRPr="00114FDD" w:rsidRDefault="00B23EB7" w:rsidP="00B23EB7">
      <w:pPr>
        <w:overflowPunct/>
        <w:autoSpaceDE/>
        <w:autoSpaceDN/>
        <w:adjustRightInd/>
        <w:jc w:val="center"/>
        <w:rPr>
          <w:b/>
          <w:sz w:val="26"/>
          <w:szCs w:val="26"/>
        </w:rPr>
      </w:pPr>
    </w:p>
    <w:p w:rsidR="00D939E8" w:rsidRPr="00D939E8" w:rsidRDefault="00B23EB7" w:rsidP="00D939E8">
      <w:pPr>
        <w:pStyle w:val="TOC1"/>
        <w:tabs>
          <w:tab w:val="right" w:leader="dot" w:pos="9350"/>
        </w:tabs>
        <w:spacing w:line="360" w:lineRule="auto"/>
        <w:rPr>
          <w:rFonts w:eastAsiaTheme="minorEastAsia"/>
          <w:b w:val="0"/>
          <w:caps w:val="0"/>
          <w:noProof/>
          <w:sz w:val="26"/>
          <w:szCs w:val="26"/>
        </w:rPr>
      </w:pPr>
      <w:r w:rsidRPr="00803EB9">
        <w:rPr>
          <w:b w:val="0"/>
          <w:sz w:val="26"/>
          <w:szCs w:val="26"/>
        </w:rPr>
        <w:fldChar w:fldCharType="begin"/>
      </w:r>
      <w:r w:rsidRPr="00803EB9">
        <w:rPr>
          <w:b w:val="0"/>
          <w:sz w:val="26"/>
          <w:szCs w:val="26"/>
        </w:rPr>
        <w:instrText xml:space="preserve"> TOC \o "1-6" \h \z \u </w:instrText>
      </w:r>
      <w:r w:rsidRPr="00803EB9">
        <w:rPr>
          <w:b w:val="0"/>
          <w:sz w:val="26"/>
          <w:szCs w:val="26"/>
        </w:rPr>
        <w:fldChar w:fldCharType="separate"/>
      </w:r>
      <w:hyperlink w:anchor="_Toc334174988" w:history="1">
        <w:r w:rsidR="00D939E8" w:rsidRPr="00D939E8">
          <w:rPr>
            <w:rStyle w:val="Hyperlink"/>
            <w:b w:val="0"/>
            <w:noProof/>
            <w:sz w:val="26"/>
            <w:szCs w:val="26"/>
          </w:rPr>
          <w:t>BACKGROUND</w:t>
        </w:r>
        <w:r w:rsidR="00D939E8" w:rsidRPr="00D939E8">
          <w:rPr>
            <w:b w:val="0"/>
            <w:noProof/>
            <w:webHidden/>
            <w:sz w:val="26"/>
            <w:szCs w:val="26"/>
          </w:rPr>
          <w:tab/>
        </w:r>
        <w:r w:rsidR="00D939E8" w:rsidRPr="00D939E8">
          <w:rPr>
            <w:b w:val="0"/>
            <w:noProof/>
            <w:webHidden/>
            <w:sz w:val="26"/>
            <w:szCs w:val="26"/>
          </w:rPr>
          <w:fldChar w:fldCharType="begin"/>
        </w:r>
        <w:r w:rsidR="00D939E8" w:rsidRPr="00D939E8">
          <w:rPr>
            <w:b w:val="0"/>
            <w:noProof/>
            <w:webHidden/>
            <w:sz w:val="26"/>
            <w:szCs w:val="26"/>
          </w:rPr>
          <w:instrText xml:space="preserve"> PAGEREF _Toc334174988 \h </w:instrText>
        </w:r>
        <w:r w:rsidR="00D939E8" w:rsidRPr="00D939E8">
          <w:rPr>
            <w:b w:val="0"/>
            <w:noProof/>
            <w:webHidden/>
            <w:sz w:val="26"/>
            <w:szCs w:val="26"/>
          </w:rPr>
        </w:r>
        <w:r w:rsidR="00D939E8" w:rsidRPr="00D939E8">
          <w:rPr>
            <w:b w:val="0"/>
            <w:noProof/>
            <w:webHidden/>
            <w:sz w:val="26"/>
            <w:szCs w:val="26"/>
          </w:rPr>
          <w:fldChar w:fldCharType="separate"/>
        </w:r>
        <w:r w:rsidR="00621C57">
          <w:rPr>
            <w:b w:val="0"/>
            <w:noProof/>
            <w:webHidden/>
            <w:sz w:val="26"/>
            <w:szCs w:val="26"/>
          </w:rPr>
          <w:t>5</w:t>
        </w:r>
        <w:r w:rsidR="00D939E8" w:rsidRPr="00D939E8">
          <w:rPr>
            <w:b w:val="0"/>
            <w:noProof/>
            <w:webHidden/>
            <w:sz w:val="26"/>
            <w:szCs w:val="26"/>
          </w:rPr>
          <w:fldChar w:fldCharType="end"/>
        </w:r>
      </w:hyperlink>
    </w:p>
    <w:p w:rsidR="00D939E8" w:rsidRPr="00D939E8" w:rsidRDefault="00275D79" w:rsidP="00D939E8">
      <w:pPr>
        <w:pStyle w:val="TOC1"/>
        <w:tabs>
          <w:tab w:val="right" w:leader="dot" w:pos="9350"/>
        </w:tabs>
        <w:spacing w:line="360" w:lineRule="auto"/>
        <w:rPr>
          <w:rFonts w:eastAsiaTheme="minorEastAsia"/>
          <w:b w:val="0"/>
          <w:caps w:val="0"/>
          <w:noProof/>
          <w:sz w:val="26"/>
          <w:szCs w:val="26"/>
        </w:rPr>
      </w:pPr>
      <w:hyperlink w:anchor="_Toc334174989" w:history="1">
        <w:r w:rsidR="00D939E8" w:rsidRPr="00D939E8">
          <w:rPr>
            <w:rStyle w:val="Hyperlink"/>
            <w:b w:val="0"/>
            <w:noProof/>
            <w:sz w:val="26"/>
            <w:szCs w:val="26"/>
          </w:rPr>
          <w:t>DISCUSSION</w:t>
        </w:r>
        <w:r w:rsidR="00D939E8" w:rsidRPr="00D939E8">
          <w:rPr>
            <w:b w:val="0"/>
            <w:noProof/>
            <w:webHidden/>
            <w:sz w:val="26"/>
            <w:szCs w:val="26"/>
          </w:rPr>
          <w:tab/>
        </w:r>
        <w:r w:rsidR="00D939E8" w:rsidRPr="00D939E8">
          <w:rPr>
            <w:b w:val="0"/>
            <w:noProof/>
            <w:webHidden/>
            <w:sz w:val="26"/>
            <w:szCs w:val="26"/>
          </w:rPr>
          <w:fldChar w:fldCharType="begin"/>
        </w:r>
        <w:r w:rsidR="00D939E8" w:rsidRPr="00D939E8">
          <w:rPr>
            <w:b w:val="0"/>
            <w:noProof/>
            <w:webHidden/>
            <w:sz w:val="26"/>
            <w:szCs w:val="26"/>
          </w:rPr>
          <w:instrText xml:space="preserve"> PAGEREF _Toc334174989 \h </w:instrText>
        </w:r>
        <w:r w:rsidR="00D939E8" w:rsidRPr="00D939E8">
          <w:rPr>
            <w:b w:val="0"/>
            <w:noProof/>
            <w:webHidden/>
            <w:sz w:val="26"/>
            <w:szCs w:val="26"/>
          </w:rPr>
        </w:r>
        <w:r w:rsidR="00D939E8" w:rsidRPr="00D939E8">
          <w:rPr>
            <w:b w:val="0"/>
            <w:noProof/>
            <w:webHidden/>
            <w:sz w:val="26"/>
            <w:szCs w:val="26"/>
          </w:rPr>
          <w:fldChar w:fldCharType="separate"/>
        </w:r>
        <w:r w:rsidR="00621C57">
          <w:rPr>
            <w:b w:val="0"/>
            <w:noProof/>
            <w:webHidden/>
            <w:sz w:val="26"/>
            <w:szCs w:val="26"/>
          </w:rPr>
          <w:t>7</w:t>
        </w:r>
        <w:r w:rsidR="00D939E8" w:rsidRPr="00D939E8">
          <w:rPr>
            <w:b w:val="0"/>
            <w:noProof/>
            <w:webHidden/>
            <w:sz w:val="26"/>
            <w:szCs w:val="26"/>
          </w:rPr>
          <w:fldChar w:fldCharType="end"/>
        </w:r>
      </w:hyperlink>
    </w:p>
    <w:p w:rsidR="00D939E8" w:rsidRPr="00D939E8" w:rsidRDefault="00275D79" w:rsidP="00D939E8">
      <w:pPr>
        <w:pStyle w:val="TOC2"/>
        <w:tabs>
          <w:tab w:val="clear" w:pos="8630"/>
          <w:tab w:val="right" w:leader="dot" w:pos="9360"/>
        </w:tabs>
        <w:spacing w:line="360" w:lineRule="auto"/>
        <w:rPr>
          <w:rFonts w:ascii="Times New Roman" w:eastAsiaTheme="minorEastAsia" w:hAnsi="Times New Roman"/>
          <w:sz w:val="26"/>
          <w:szCs w:val="26"/>
        </w:rPr>
      </w:pPr>
      <w:hyperlink w:anchor="_Toc334174990" w:history="1">
        <w:r w:rsidR="00D939E8" w:rsidRPr="00D939E8">
          <w:rPr>
            <w:rStyle w:val="Hyperlink"/>
            <w:rFonts w:ascii="Times New Roman" w:hAnsi="Times New Roman"/>
            <w:sz w:val="26"/>
            <w:szCs w:val="26"/>
          </w:rPr>
          <w:t>A.</w:t>
        </w:r>
        <w:r w:rsidR="00D939E8" w:rsidRPr="00D939E8">
          <w:rPr>
            <w:rFonts w:ascii="Times New Roman" w:eastAsiaTheme="minorEastAsia" w:hAnsi="Times New Roman"/>
            <w:sz w:val="26"/>
            <w:szCs w:val="26"/>
          </w:rPr>
          <w:tab/>
        </w:r>
        <w:r w:rsidR="00D939E8" w:rsidRPr="00D939E8">
          <w:rPr>
            <w:rStyle w:val="Hyperlink"/>
            <w:rFonts w:ascii="Times New Roman" w:hAnsi="Times New Roman"/>
            <w:sz w:val="26"/>
            <w:szCs w:val="26"/>
          </w:rPr>
          <w:t>General Improvements</w:t>
        </w:r>
        <w:r w:rsidR="00D939E8" w:rsidRPr="00D939E8">
          <w:rPr>
            <w:rFonts w:ascii="Times New Roman" w:hAnsi="Times New Roman"/>
            <w:webHidden/>
            <w:sz w:val="26"/>
            <w:szCs w:val="26"/>
          </w:rPr>
          <w:tab/>
        </w:r>
        <w:r w:rsidR="00D939E8" w:rsidRPr="00D939E8">
          <w:rPr>
            <w:rFonts w:ascii="Times New Roman" w:hAnsi="Times New Roman"/>
            <w:webHidden/>
            <w:sz w:val="26"/>
            <w:szCs w:val="26"/>
          </w:rPr>
          <w:fldChar w:fldCharType="begin"/>
        </w:r>
        <w:r w:rsidR="00D939E8" w:rsidRPr="00D939E8">
          <w:rPr>
            <w:rFonts w:ascii="Times New Roman" w:hAnsi="Times New Roman"/>
            <w:webHidden/>
            <w:sz w:val="26"/>
            <w:szCs w:val="26"/>
          </w:rPr>
          <w:instrText xml:space="preserve"> PAGEREF _Toc334174990 \h </w:instrText>
        </w:r>
        <w:r w:rsidR="00D939E8" w:rsidRPr="00D939E8">
          <w:rPr>
            <w:rFonts w:ascii="Times New Roman" w:hAnsi="Times New Roman"/>
            <w:webHidden/>
            <w:sz w:val="26"/>
            <w:szCs w:val="26"/>
          </w:rPr>
        </w:r>
        <w:r w:rsidR="00D939E8" w:rsidRPr="00D939E8">
          <w:rPr>
            <w:rFonts w:ascii="Times New Roman" w:hAnsi="Times New Roman"/>
            <w:webHidden/>
            <w:sz w:val="26"/>
            <w:szCs w:val="26"/>
          </w:rPr>
          <w:fldChar w:fldCharType="separate"/>
        </w:r>
        <w:r w:rsidR="00621C57">
          <w:rPr>
            <w:rFonts w:ascii="Times New Roman" w:hAnsi="Times New Roman"/>
            <w:webHidden/>
            <w:sz w:val="26"/>
            <w:szCs w:val="26"/>
          </w:rPr>
          <w:t>10</w:t>
        </w:r>
        <w:r w:rsidR="00D939E8" w:rsidRPr="00D939E8">
          <w:rPr>
            <w:rFonts w:ascii="Times New Roman" w:hAnsi="Times New Roman"/>
            <w:webHidden/>
            <w:sz w:val="26"/>
            <w:szCs w:val="26"/>
          </w:rPr>
          <w:fldChar w:fldCharType="end"/>
        </w:r>
      </w:hyperlink>
    </w:p>
    <w:p w:rsidR="00D939E8" w:rsidRPr="00D939E8" w:rsidRDefault="00275D79" w:rsidP="00D939E8">
      <w:pPr>
        <w:pStyle w:val="TOC2"/>
        <w:tabs>
          <w:tab w:val="clear" w:pos="8630"/>
          <w:tab w:val="right" w:leader="dot" w:pos="9360"/>
        </w:tabs>
        <w:spacing w:line="360" w:lineRule="auto"/>
        <w:rPr>
          <w:rFonts w:ascii="Times New Roman" w:eastAsiaTheme="minorEastAsia" w:hAnsi="Times New Roman"/>
          <w:sz w:val="26"/>
          <w:szCs w:val="26"/>
        </w:rPr>
      </w:pPr>
      <w:hyperlink w:anchor="_Toc334174991" w:history="1">
        <w:r w:rsidR="00D939E8" w:rsidRPr="00D939E8">
          <w:rPr>
            <w:rStyle w:val="Hyperlink"/>
            <w:rFonts w:ascii="Times New Roman" w:hAnsi="Times New Roman"/>
            <w:sz w:val="26"/>
            <w:szCs w:val="26"/>
          </w:rPr>
          <w:t>B.</w:t>
        </w:r>
        <w:r w:rsidR="00D939E8" w:rsidRPr="00D939E8">
          <w:rPr>
            <w:rFonts w:ascii="Times New Roman" w:eastAsiaTheme="minorEastAsia" w:hAnsi="Times New Roman"/>
            <w:sz w:val="26"/>
            <w:szCs w:val="26"/>
          </w:rPr>
          <w:tab/>
        </w:r>
        <w:r w:rsidR="00D939E8" w:rsidRPr="00D939E8">
          <w:rPr>
            <w:rStyle w:val="Hyperlink"/>
            <w:rFonts w:ascii="Times New Roman" w:hAnsi="Times New Roman"/>
            <w:sz w:val="26"/>
            <w:szCs w:val="26"/>
          </w:rPr>
          <w:t>Residential EE&amp;C Measure Protocols and Processes</w:t>
        </w:r>
        <w:r w:rsidR="00D939E8" w:rsidRPr="00D939E8">
          <w:rPr>
            <w:rFonts w:ascii="Times New Roman" w:hAnsi="Times New Roman"/>
            <w:webHidden/>
            <w:sz w:val="26"/>
            <w:szCs w:val="26"/>
          </w:rPr>
          <w:tab/>
        </w:r>
        <w:r w:rsidR="00D939E8" w:rsidRPr="00D939E8">
          <w:rPr>
            <w:rFonts w:ascii="Times New Roman" w:hAnsi="Times New Roman"/>
            <w:webHidden/>
            <w:sz w:val="26"/>
            <w:szCs w:val="26"/>
          </w:rPr>
          <w:fldChar w:fldCharType="begin"/>
        </w:r>
        <w:r w:rsidR="00D939E8" w:rsidRPr="00D939E8">
          <w:rPr>
            <w:rFonts w:ascii="Times New Roman" w:hAnsi="Times New Roman"/>
            <w:webHidden/>
            <w:sz w:val="26"/>
            <w:szCs w:val="26"/>
          </w:rPr>
          <w:instrText xml:space="preserve"> PAGEREF _Toc334174991 \h </w:instrText>
        </w:r>
        <w:r w:rsidR="00D939E8" w:rsidRPr="00D939E8">
          <w:rPr>
            <w:rFonts w:ascii="Times New Roman" w:hAnsi="Times New Roman"/>
            <w:webHidden/>
            <w:sz w:val="26"/>
            <w:szCs w:val="26"/>
          </w:rPr>
        </w:r>
        <w:r w:rsidR="00D939E8" w:rsidRPr="00D939E8">
          <w:rPr>
            <w:rFonts w:ascii="Times New Roman" w:hAnsi="Times New Roman"/>
            <w:webHidden/>
            <w:sz w:val="26"/>
            <w:szCs w:val="26"/>
          </w:rPr>
          <w:fldChar w:fldCharType="separate"/>
        </w:r>
        <w:r w:rsidR="00621C57">
          <w:rPr>
            <w:rFonts w:ascii="Times New Roman" w:hAnsi="Times New Roman"/>
            <w:webHidden/>
            <w:sz w:val="26"/>
            <w:szCs w:val="26"/>
          </w:rPr>
          <w:t>10</w:t>
        </w:r>
        <w:r w:rsidR="00D939E8" w:rsidRPr="00D939E8">
          <w:rPr>
            <w:rFonts w:ascii="Times New Roman" w:hAnsi="Times New Roman"/>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4992" w:history="1">
        <w:r w:rsidR="00D939E8" w:rsidRPr="00D939E8">
          <w:rPr>
            <w:rStyle w:val="Hyperlink"/>
            <w:rFonts w:ascii="Times New Roman" w:hAnsi="Times New Roman"/>
            <w:i w:val="0"/>
            <w:noProof/>
            <w:sz w:val="26"/>
            <w:szCs w:val="26"/>
          </w:rPr>
          <w:t>1.</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Electric HVAC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_Toc334174992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11</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4993" w:history="1">
        <w:r w:rsidR="00D939E8" w:rsidRPr="00D939E8">
          <w:rPr>
            <w:rStyle w:val="Hyperlink"/>
            <w:rFonts w:ascii="Times New Roman" w:hAnsi="Times New Roman"/>
            <w:noProof/>
            <w:sz w:val="26"/>
            <w:szCs w:val="26"/>
          </w:rPr>
          <w:t>a.</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Equivalent Full Load Hours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_Toc334174993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11</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4994" w:history="1">
        <w:r w:rsidR="00D939E8" w:rsidRPr="00D939E8">
          <w:rPr>
            <w:rStyle w:val="Hyperlink"/>
            <w:rFonts w:ascii="Times New Roman" w:hAnsi="Times New Roman"/>
            <w:noProof/>
            <w:sz w:val="26"/>
            <w:szCs w:val="26"/>
          </w:rPr>
          <w:t>b.</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Sizing Algorithm</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_Toc334174994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13</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4995" w:history="1">
        <w:r w:rsidR="00D939E8" w:rsidRPr="00D939E8">
          <w:rPr>
            <w:rStyle w:val="Hyperlink"/>
            <w:rFonts w:ascii="Times New Roman" w:hAnsi="Times New Roman"/>
            <w:i w:val="0"/>
            <w:noProof/>
            <w:sz w:val="26"/>
            <w:szCs w:val="26"/>
          </w:rPr>
          <w:t>2.</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Lighting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_Toc334174995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13</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4996" w:history="1">
        <w:r w:rsidR="00D939E8" w:rsidRPr="00D939E8">
          <w:rPr>
            <w:rStyle w:val="Hyperlink"/>
            <w:rFonts w:ascii="Times New Roman" w:hAnsi="Times New Roman"/>
            <w:noProof/>
            <w:sz w:val="26"/>
            <w:szCs w:val="26"/>
          </w:rPr>
          <w:t>a.</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CFL Hours of Operation per Day</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_Toc334174996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13</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4997" w:history="1">
        <w:r w:rsidR="00D939E8" w:rsidRPr="00D939E8">
          <w:rPr>
            <w:rStyle w:val="Hyperlink"/>
            <w:rFonts w:ascii="Times New Roman" w:hAnsi="Times New Roman"/>
            <w:noProof/>
            <w:sz w:val="26"/>
            <w:szCs w:val="26"/>
          </w:rPr>
          <w:t>b.</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ENERGY STAR Torchieres, Indoor Fixtures, Outdoor Fixtures and Ceiling Fan Algorithms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_Toc334174997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17</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4998" w:history="1">
        <w:r w:rsidR="00D939E8" w:rsidRPr="00D939E8">
          <w:rPr>
            <w:rStyle w:val="Hyperlink"/>
            <w:rFonts w:ascii="Times New Roman" w:hAnsi="Times New Roman"/>
            <w:noProof/>
            <w:sz w:val="26"/>
            <w:szCs w:val="26"/>
          </w:rPr>
          <w:t>c.</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Federal Legislation and Regulations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_Toc334174998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18</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4999" w:history="1">
        <w:r w:rsidR="00D939E8" w:rsidRPr="00D939E8">
          <w:rPr>
            <w:rStyle w:val="Hyperlink"/>
            <w:rFonts w:ascii="Times New Roman" w:hAnsi="Times New Roman"/>
            <w:noProof/>
            <w:sz w:val="26"/>
            <w:szCs w:val="26"/>
          </w:rPr>
          <w:t>d.</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ENERGY STAR LEDs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_Toc334174999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20</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5000" w:history="1">
        <w:r w:rsidR="00D939E8" w:rsidRPr="00D939E8">
          <w:rPr>
            <w:rStyle w:val="Hyperlink"/>
            <w:rFonts w:ascii="Times New Roman" w:hAnsi="Times New Roman"/>
            <w:i w:val="0"/>
            <w:noProof/>
            <w:sz w:val="26"/>
            <w:szCs w:val="26"/>
          </w:rPr>
          <w:t>3.</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ENERGY STAR Appliances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_Toc334175000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20</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01" w:history="1">
        <w:r w:rsidR="00D939E8" w:rsidRPr="00D939E8">
          <w:rPr>
            <w:rStyle w:val="Hyperlink"/>
            <w:rFonts w:ascii="Times New Roman" w:hAnsi="Times New Roman"/>
            <w:noProof/>
            <w:sz w:val="26"/>
            <w:szCs w:val="26"/>
          </w:rPr>
          <w:t>a.</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Protocols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_Toc334175001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20</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02" w:history="1">
        <w:r w:rsidR="00D939E8" w:rsidRPr="00D939E8">
          <w:rPr>
            <w:rStyle w:val="Hyperlink"/>
            <w:rFonts w:ascii="Times New Roman" w:hAnsi="Times New Roman"/>
            <w:noProof/>
            <w:sz w:val="26"/>
            <w:szCs w:val="26"/>
          </w:rPr>
          <w:t>b.</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Baselines and Deemed Values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_Toc334175002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21</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03" w:history="1">
        <w:r w:rsidR="00D939E8" w:rsidRPr="00D939E8">
          <w:rPr>
            <w:rStyle w:val="Hyperlink"/>
            <w:rFonts w:ascii="Times New Roman" w:hAnsi="Times New Roman"/>
            <w:noProof/>
            <w:sz w:val="26"/>
            <w:szCs w:val="26"/>
          </w:rPr>
          <w:t>c.</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Future Federal and ENERGY STAR Standards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_Toc334175003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21</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04" w:history="1">
        <w:r w:rsidR="00D939E8" w:rsidRPr="00D939E8">
          <w:rPr>
            <w:rStyle w:val="Hyperlink"/>
            <w:rFonts w:ascii="Times New Roman" w:hAnsi="Times New Roman"/>
            <w:noProof/>
            <w:sz w:val="26"/>
            <w:szCs w:val="26"/>
          </w:rPr>
          <w:t>d.</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ENERGY STAR Most Efficient Appliances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_Toc334175004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22</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5005" w:history="1">
        <w:r w:rsidR="00D939E8" w:rsidRPr="00D939E8">
          <w:rPr>
            <w:rStyle w:val="Hyperlink"/>
            <w:rFonts w:ascii="Times New Roman" w:hAnsi="Times New Roman"/>
            <w:i w:val="0"/>
            <w:noProof/>
            <w:sz w:val="26"/>
            <w:szCs w:val="26"/>
          </w:rPr>
          <w:t>4.</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Refrigerator/Freezer Replacement and Recycling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_Toc334175005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22</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06" w:history="1">
        <w:r w:rsidR="00D939E8" w:rsidRPr="00D939E8">
          <w:rPr>
            <w:rStyle w:val="Hyperlink"/>
            <w:rFonts w:ascii="Times New Roman" w:hAnsi="Times New Roman"/>
            <w:noProof/>
            <w:sz w:val="26"/>
            <w:szCs w:val="26"/>
          </w:rPr>
          <w:t>a.</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Refrigerator Deemed Savings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_Toc334175006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24</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5"/>
        <w:tabs>
          <w:tab w:val="left" w:pos="1440"/>
          <w:tab w:val="right" w:leader="dot" w:pos="9350"/>
        </w:tabs>
        <w:spacing w:after="0" w:line="360" w:lineRule="auto"/>
        <w:rPr>
          <w:rFonts w:ascii="Times New Roman" w:eastAsiaTheme="minorEastAsia" w:hAnsi="Times New Roman"/>
          <w:noProof/>
          <w:sz w:val="26"/>
          <w:szCs w:val="26"/>
        </w:rPr>
      </w:pPr>
      <w:hyperlink w:anchor="_Toc334175007" w:history="1">
        <w:r w:rsidR="00D939E8" w:rsidRPr="00D939E8">
          <w:rPr>
            <w:rStyle w:val="Hyperlink"/>
            <w:rFonts w:ascii="Times New Roman" w:hAnsi="Times New Roman"/>
            <w:noProof/>
            <w:sz w:val="26"/>
            <w:szCs w:val="26"/>
          </w:rPr>
          <w:t>i.</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Refrigerators Removed but not Replaced</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_Toc334175007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25</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5"/>
        <w:tabs>
          <w:tab w:val="left" w:pos="1440"/>
          <w:tab w:val="right" w:leader="dot" w:pos="9350"/>
        </w:tabs>
        <w:spacing w:after="0" w:line="360" w:lineRule="auto"/>
        <w:rPr>
          <w:rFonts w:ascii="Times New Roman" w:eastAsiaTheme="minorEastAsia" w:hAnsi="Times New Roman"/>
          <w:noProof/>
          <w:sz w:val="26"/>
          <w:szCs w:val="26"/>
        </w:rPr>
      </w:pPr>
      <w:hyperlink w:anchor="_Toc334175008" w:history="1">
        <w:r w:rsidR="00D939E8" w:rsidRPr="00D939E8">
          <w:rPr>
            <w:rStyle w:val="Hyperlink"/>
            <w:rFonts w:ascii="Times New Roman" w:hAnsi="Times New Roman"/>
            <w:noProof/>
            <w:sz w:val="26"/>
            <w:szCs w:val="26"/>
          </w:rPr>
          <w:t>ii.</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Refrigerators Removed and Replaced</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_Toc334175008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27</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09" w:history="1">
        <w:r w:rsidR="00D939E8" w:rsidRPr="00D939E8">
          <w:rPr>
            <w:rStyle w:val="Hyperlink"/>
            <w:rFonts w:ascii="Times New Roman" w:hAnsi="Times New Roman"/>
            <w:noProof/>
            <w:sz w:val="26"/>
            <w:szCs w:val="26"/>
          </w:rPr>
          <w:t>b.</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Freezer Deemed Savings Values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_Toc334175009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28</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5"/>
        <w:tabs>
          <w:tab w:val="left" w:pos="1440"/>
          <w:tab w:val="right" w:leader="dot" w:pos="9350"/>
        </w:tabs>
        <w:spacing w:after="0" w:line="360" w:lineRule="auto"/>
        <w:rPr>
          <w:rFonts w:ascii="Times New Roman" w:eastAsiaTheme="minorEastAsia" w:hAnsi="Times New Roman"/>
          <w:noProof/>
          <w:sz w:val="26"/>
          <w:szCs w:val="26"/>
        </w:rPr>
      </w:pPr>
      <w:hyperlink w:anchor="_Toc334175010" w:history="1">
        <w:r w:rsidR="00D939E8" w:rsidRPr="00D939E8">
          <w:rPr>
            <w:rStyle w:val="Hyperlink"/>
            <w:rFonts w:ascii="Times New Roman" w:hAnsi="Times New Roman"/>
            <w:noProof/>
            <w:sz w:val="26"/>
            <w:szCs w:val="26"/>
          </w:rPr>
          <w:t>i.</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Freezers Removed but not Replaced</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_Toc334175010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28</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5"/>
        <w:tabs>
          <w:tab w:val="left" w:pos="1440"/>
          <w:tab w:val="right" w:leader="dot" w:pos="9350"/>
        </w:tabs>
        <w:spacing w:after="0" w:line="360" w:lineRule="auto"/>
        <w:rPr>
          <w:rFonts w:ascii="Times New Roman" w:eastAsiaTheme="minorEastAsia" w:hAnsi="Times New Roman"/>
          <w:noProof/>
          <w:sz w:val="26"/>
          <w:szCs w:val="26"/>
        </w:rPr>
      </w:pPr>
      <w:hyperlink w:anchor="_Toc334175011" w:history="1">
        <w:r w:rsidR="00D939E8" w:rsidRPr="00D939E8">
          <w:rPr>
            <w:rStyle w:val="Hyperlink"/>
            <w:rFonts w:ascii="Times New Roman" w:hAnsi="Times New Roman"/>
            <w:noProof/>
            <w:sz w:val="26"/>
            <w:szCs w:val="26"/>
          </w:rPr>
          <w:t>ii.</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Freezers Removed and Replaced</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_Toc334175011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30</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5012" w:history="1">
        <w:r w:rsidR="00D939E8" w:rsidRPr="00D939E8">
          <w:rPr>
            <w:rStyle w:val="Hyperlink"/>
            <w:rFonts w:ascii="Times New Roman" w:hAnsi="Times New Roman"/>
            <w:i w:val="0"/>
            <w:noProof/>
            <w:sz w:val="26"/>
            <w:szCs w:val="26"/>
          </w:rPr>
          <w:t>5.</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Electric Hot Water Heater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_Toc334175012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31</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5013" w:history="1">
        <w:r w:rsidR="00D939E8" w:rsidRPr="00D939E8">
          <w:rPr>
            <w:rStyle w:val="Hyperlink"/>
            <w:rFonts w:ascii="Times New Roman" w:hAnsi="Times New Roman"/>
            <w:i w:val="0"/>
            <w:noProof/>
            <w:sz w:val="26"/>
            <w:szCs w:val="26"/>
          </w:rPr>
          <w:t>6.</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Low Flow Faucet Aerator and Showerhead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_Toc334175013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33</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14" w:history="1">
        <w:r w:rsidR="00D939E8" w:rsidRPr="00D939E8">
          <w:rPr>
            <w:rStyle w:val="Hyperlink"/>
            <w:rFonts w:ascii="Times New Roman" w:hAnsi="Times New Roman"/>
            <w:noProof/>
            <w:sz w:val="26"/>
            <w:szCs w:val="26"/>
          </w:rPr>
          <w:t>a.</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Recovery Efficiency</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_Toc334175014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33</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15" w:history="1">
        <w:r w:rsidR="00D939E8" w:rsidRPr="00D939E8">
          <w:rPr>
            <w:rStyle w:val="Hyperlink"/>
            <w:rFonts w:ascii="Times New Roman" w:hAnsi="Times New Roman"/>
            <w:noProof/>
            <w:sz w:val="26"/>
            <w:szCs w:val="26"/>
          </w:rPr>
          <w:t>b.</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Single Family and Multifamily Low Flow Showerhead Protocols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_Toc334175015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33</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16" w:history="1">
        <w:r w:rsidR="00D939E8" w:rsidRPr="00D939E8">
          <w:rPr>
            <w:rStyle w:val="Hyperlink"/>
            <w:rFonts w:ascii="Times New Roman" w:hAnsi="Times New Roman"/>
            <w:noProof/>
            <w:sz w:val="26"/>
            <w:szCs w:val="26"/>
          </w:rPr>
          <w:t>c.</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Low Flow Faucet Aerator Algorithm and Assumptions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_Toc334175016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34</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17" w:history="1">
        <w:r w:rsidR="00D939E8" w:rsidRPr="00D939E8">
          <w:rPr>
            <w:rStyle w:val="Hyperlink"/>
            <w:rFonts w:ascii="Times New Roman" w:hAnsi="Times New Roman"/>
            <w:noProof/>
            <w:sz w:val="26"/>
            <w:szCs w:val="26"/>
          </w:rPr>
          <w:t>d.</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Low Flow Showerhead Temperature Assumptions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_Toc334175017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35</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5018" w:history="1">
        <w:r w:rsidR="00D939E8" w:rsidRPr="00D939E8">
          <w:rPr>
            <w:rStyle w:val="Hyperlink"/>
            <w:rFonts w:ascii="Times New Roman" w:hAnsi="Times New Roman"/>
            <w:i w:val="0"/>
            <w:noProof/>
            <w:sz w:val="26"/>
            <w:szCs w:val="26"/>
          </w:rPr>
          <w:t>7.</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Residential New Construction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_Toc334175018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36</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2"/>
        <w:tabs>
          <w:tab w:val="clear" w:pos="8630"/>
          <w:tab w:val="right" w:leader="dot" w:pos="9360"/>
        </w:tabs>
        <w:spacing w:line="360" w:lineRule="auto"/>
        <w:rPr>
          <w:rFonts w:ascii="Times New Roman" w:eastAsiaTheme="minorEastAsia" w:hAnsi="Times New Roman"/>
          <w:sz w:val="26"/>
          <w:szCs w:val="26"/>
        </w:rPr>
      </w:pPr>
      <w:hyperlink w:anchor="_Toc334175019" w:history="1">
        <w:r w:rsidR="00D939E8" w:rsidRPr="00D939E8">
          <w:rPr>
            <w:rStyle w:val="Hyperlink"/>
            <w:rFonts w:ascii="Times New Roman" w:hAnsi="Times New Roman"/>
            <w:sz w:val="26"/>
            <w:szCs w:val="26"/>
          </w:rPr>
          <w:t>C.</w:t>
        </w:r>
        <w:r w:rsidR="00D939E8" w:rsidRPr="00D939E8">
          <w:rPr>
            <w:rFonts w:ascii="Times New Roman" w:eastAsiaTheme="minorEastAsia" w:hAnsi="Times New Roman"/>
            <w:sz w:val="26"/>
            <w:szCs w:val="26"/>
          </w:rPr>
          <w:tab/>
        </w:r>
        <w:r w:rsidR="00D939E8" w:rsidRPr="00D939E8">
          <w:rPr>
            <w:rStyle w:val="Hyperlink"/>
            <w:rFonts w:ascii="Times New Roman" w:hAnsi="Times New Roman"/>
            <w:sz w:val="26"/>
            <w:szCs w:val="26"/>
          </w:rPr>
          <w:t>Commercial and Industrial EE&amp;C Measure Protocols and Processes</w:t>
        </w:r>
        <w:r w:rsidR="00D939E8" w:rsidRPr="00D939E8">
          <w:rPr>
            <w:rFonts w:ascii="Times New Roman" w:hAnsi="Times New Roman"/>
            <w:webHidden/>
            <w:sz w:val="26"/>
            <w:szCs w:val="26"/>
          </w:rPr>
          <w:tab/>
        </w:r>
        <w:r w:rsidR="00D939E8" w:rsidRPr="00D939E8">
          <w:rPr>
            <w:rFonts w:ascii="Times New Roman" w:hAnsi="Times New Roman"/>
            <w:webHidden/>
            <w:sz w:val="26"/>
            <w:szCs w:val="26"/>
          </w:rPr>
          <w:fldChar w:fldCharType="begin"/>
        </w:r>
        <w:r w:rsidR="00D939E8" w:rsidRPr="00D939E8">
          <w:rPr>
            <w:rFonts w:ascii="Times New Roman" w:hAnsi="Times New Roman"/>
            <w:webHidden/>
            <w:sz w:val="26"/>
            <w:szCs w:val="26"/>
          </w:rPr>
          <w:instrText xml:space="preserve"> PAGEREF _Toc334175019 \h </w:instrText>
        </w:r>
        <w:r w:rsidR="00D939E8" w:rsidRPr="00D939E8">
          <w:rPr>
            <w:rFonts w:ascii="Times New Roman" w:hAnsi="Times New Roman"/>
            <w:webHidden/>
            <w:sz w:val="26"/>
            <w:szCs w:val="26"/>
          </w:rPr>
        </w:r>
        <w:r w:rsidR="00D939E8" w:rsidRPr="00D939E8">
          <w:rPr>
            <w:rFonts w:ascii="Times New Roman" w:hAnsi="Times New Roman"/>
            <w:webHidden/>
            <w:sz w:val="26"/>
            <w:szCs w:val="26"/>
          </w:rPr>
          <w:fldChar w:fldCharType="separate"/>
        </w:r>
        <w:r w:rsidR="00621C57">
          <w:rPr>
            <w:rFonts w:ascii="Times New Roman" w:hAnsi="Times New Roman"/>
            <w:webHidden/>
            <w:sz w:val="26"/>
            <w:szCs w:val="26"/>
          </w:rPr>
          <w:t>37</w:t>
        </w:r>
        <w:r w:rsidR="00D939E8" w:rsidRPr="00D939E8">
          <w:rPr>
            <w:rFonts w:ascii="Times New Roman" w:hAnsi="Times New Roman"/>
            <w:webHidden/>
            <w:sz w:val="26"/>
            <w:szCs w:val="26"/>
          </w:rPr>
          <w:fldChar w:fldCharType="end"/>
        </w:r>
      </w:hyperlink>
    </w:p>
    <w:p w:rsidR="00D939E8" w:rsidRPr="00D939E8" w:rsidRDefault="00275D79" w:rsidP="00D939E8">
      <w:pPr>
        <w:pStyle w:val="TOC3"/>
        <w:tabs>
          <w:tab w:val="left" w:pos="960"/>
          <w:tab w:val="right" w:leader="dot" w:pos="9350"/>
        </w:tabs>
        <w:spacing w:line="360" w:lineRule="auto"/>
        <w:rPr>
          <w:rFonts w:ascii="Times New Roman" w:eastAsiaTheme="minorEastAsia" w:hAnsi="Times New Roman"/>
          <w:i w:val="0"/>
          <w:noProof/>
          <w:sz w:val="26"/>
          <w:szCs w:val="26"/>
        </w:rPr>
      </w:pPr>
      <w:hyperlink w:anchor="_Toc334175020" w:history="1">
        <w:r w:rsidR="00D939E8" w:rsidRPr="00D939E8">
          <w:rPr>
            <w:rStyle w:val="Hyperlink"/>
            <w:rFonts w:ascii="Times New Roman" w:hAnsi="Times New Roman"/>
            <w:i w:val="0"/>
            <w:noProof/>
            <w:sz w:val="26"/>
            <w:szCs w:val="26"/>
          </w:rPr>
          <w:t xml:space="preserve">1. </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Lighting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_Toc334175020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37</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21" w:history="1">
        <w:r w:rsidR="00D939E8" w:rsidRPr="00D939E8">
          <w:rPr>
            <w:rStyle w:val="Hyperlink"/>
            <w:rFonts w:ascii="Times New Roman" w:hAnsi="Times New Roman"/>
            <w:noProof/>
            <w:sz w:val="26"/>
            <w:szCs w:val="26"/>
          </w:rPr>
          <w:t>a.</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Hours of Use and Coincidence Factor Values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_Toc334175021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37</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22" w:history="1">
        <w:r w:rsidR="00D939E8" w:rsidRPr="00D939E8">
          <w:rPr>
            <w:rStyle w:val="Hyperlink"/>
            <w:rFonts w:ascii="Times New Roman" w:hAnsi="Times New Roman"/>
            <w:noProof/>
            <w:sz w:val="26"/>
            <w:szCs w:val="26"/>
          </w:rPr>
          <w:t>b.</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Building Types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_Toc334175022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41</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23" w:history="1">
        <w:r w:rsidR="00D939E8" w:rsidRPr="00D939E8">
          <w:rPr>
            <w:rStyle w:val="Hyperlink"/>
            <w:rFonts w:ascii="Times New Roman" w:hAnsi="Times New Roman"/>
            <w:noProof/>
            <w:sz w:val="26"/>
            <w:szCs w:val="26"/>
          </w:rPr>
          <w:t>c.</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Lighting Control Technologies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_Toc334175023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42</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24" w:history="1">
        <w:r w:rsidR="00D939E8" w:rsidRPr="00D939E8">
          <w:rPr>
            <w:rStyle w:val="Hyperlink"/>
            <w:rFonts w:ascii="Times New Roman" w:hAnsi="Times New Roman"/>
            <w:noProof/>
            <w:sz w:val="26"/>
            <w:szCs w:val="26"/>
          </w:rPr>
          <w:t>d.</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New Construction Calculator</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_Toc334175024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43</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25" w:history="1">
        <w:r w:rsidR="00D939E8" w:rsidRPr="00D939E8">
          <w:rPr>
            <w:rStyle w:val="Hyperlink"/>
            <w:rFonts w:ascii="Times New Roman" w:hAnsi="Times New Roman"/>
            <w:noProof/>
            <w:sz w:val="26"/>
            <w:szCs w:val="26"/>
          </w:rPr>
          <w:t>e.</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Federal Legislation and Regulations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_Toc334175025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43</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4"/>
        <w:tabs>
          <w:tab w:val="left" w:pos="1200"/>
          <w:tab w:val="right" w:leader="dot" w:pos="9350"/>
        </w:tabs>
        <w:spacing w:after="0" w:line="360" w:lineRule="auto"/>
        <w:rPr>
          <w:rFonts w:ascii="Times New Roman" w:eastAsiaTheme="minorEastAsia" w:hAnsi="Times New Roman"/>
          <w:noProof/>
          <w:sz w:val="26"/>
          <w:szCs w:val="26"/>
        </w:rPr>
      </w:pPr>
      <w:hyperlink w:anchor="_Toc334175026" w:history="1">
        <w:r w:rsidR="00D939E8" w:rsidRPr="00D939E8">
          <w:rPr>
            <w:rStyle w:val="Hyperlink"/>
            <w:rFonts w:ascii="Times New Roman" w:hAnsi="Times New Roman"/>
            <w:noProof/>
            <w:sz w:val="26"/>
            <w:szCs w:val="26"/>
          </w:rPr>
          <w:t>f.</w:t>
        </w:r>
        <w:r w:rsidR="00D939E8" w:rsidRPr="00D939E8">
          <w:rPr>
            <w:rFonts w:ascii="Times New Roman" w:eastAsiaTheme="minorEastAsia" w:hAnsi="Times New Roman"/>
            <w:noProof/>
            <w:sz w:val="26"/>
            <w:szCs w:val="26"/>
          </w:rPr>
          <w:tab/>
        </w:r>
        <w:r w:rsidR="00D939E8" w:rsidRPr="00D939E8">
          <w:rPr>
            <w:rStyle w:val="Hyperlink"/>
            <w:rFonts w:ascii="Times New Roman" w:hAnsi="Times New Roman"/>
            <w:noProof/>
            <w:sz w:val="26"/>
            <w:szCs w:val="26"/>
          </w:rPr>
          <w:t>Temperature Ranges of Space Types for Interactive Factor Values</w:t>
        </w:r>
        <w:r w:rsidR="00D939E8" w:rsidRPr="00D939E8">
          <w:rPr>
            <w:rFonts w:ascii="Times New Roman" w:hAnsi="Times New Roman"/>
            <w:noProof/>
            <w:webHidden/>
            <w:sz w:val="26"/>
            <w:szCs w:val="26"/>
          </w:rPr>
          <w:tab/>
        </w:r>
        <w:r w:rsidR="00D939E8" w:rsidRPr="00D939E8">
          <w:rPr>
            <w:rFonts w:ascii="Times New Roman" w:hAnsi="Times New Roman"/>
            <w:noProof/>
            <w:webHidden/>
            <w:sz w:val="26"/>
            <w:szCs w:val="26"/>
          </w:rPr>
          <w:fldChar w:fldCharType="begin"/>
        </w:r>
        <w:r w:rsidR="00D939E8" w:rsidRPr="00D939E8">
          <w:rPr>
            <w:rFonts w:ascii="Times New Roman" w:hAnsi="Times New Roman"/>
            <w:noProof/>
            <w:webHidden/>
            <w:sz w:val="26"/>
            <w:szCs w:val="26"/>
          </w:rPr>
          <w:instrText xml:space="preserve"> PAGEREF _Toc334175026 \h </w:instrText>
        </w:r>
        <w:r w:rsidR="00D939E8" w:rsidRPr="00D939E8">
          <w:rPr>
            <w:rFonts w:ascii="Times New Roman" w:hAnsi="Times New Roman"/>
            <w:noProof/>
            <w:webHidden/>
            <w:sz w:val="26"/>
            <w:szCs w:val="26"/>
          </w:rPr>
        </w:r>
        <w:r w:rsidR="00D939E8" w:rsidRPr="00D939E8">
          <w:rPr>
            <w:rFonts w:ascii="Times New Roman" w:hAnsi="Times New Roman"/>
            <w:noProof/>
            <w:webHidden/>
            <w:sz w:val="26"/>
            <w:szCs w:val="26"/>
          </w:rPr>
          <w:fldChar w:fldCharType="separate"/>
        </w:r>
        <w:r w:rsidR="00621C57">
          <w:rPr>
            <w:rFonts w:ascii="Times New Roman" w:hAnsi="Times New Roman"/>
            <w:noProof/>
            <w:webHidden/>
            <w:sz w:val="26"/>
            <w:szCs w:val="26"/>
          </w:rPr>
          <w:t>44</w:t>
        </w:r>
        <w:r w:rsidR="00D939E8" w:rsidRPr="00D939E8">
          <w:rPr>
            <w:rFonts w:ascii="Times New Roman" w:hAnsi="Times New Roman"/>
            <w:noProof/>
            <w:webHidden/>
            <w:sz w:val="26"/>
            <w:szCs w:val="26"/>
          </w:rPr>
          <w:fldChar w:fldCharType="end"/>
        </w:r>
      </w:hyperlink>
    </w:p>
    <w:p w:rsidR="00D939E8" w:rsidRPr="00D939E8" w:rsidRDefault="00275D79" w:rsidP="00D939E8">
      <w:pPr>
        <w:pStyle w:val="TOC3"/>
        <w:tabs>
          <w:tab w:val="left" w:pos="960"/>
          <w:tab w:val="right" w:leader="dot" w:pos="9350"/>
        </w:tabs>
        <w:spacing w:line="360" w:lineRule="auto"/>
        <w:rPr>
          <w:rFonts w:ascii="Times New Roman" w:eastAsiaTheme="minorEastAsia" w:hAnsi="Times New Roman"/>
          <w:i w:val="0"/>
          <w:noProof/>
          <w:sz w:val="26"/>
          <w:szCs w:val="26"/>
        </w:rPr>
      </w:pPr>
      <w:hyperlink w:anchor="_Toc334175027" w:history="1">
        <w:r w:rsidR="00D939E8" w:rsidRPr="00D939E8">
          <w:rPr>
            <w:rStyle w:val="Hyperlink"/>
            <w:rFonts w:ascii="Times New Roman" w:hAnsi="Times New Roman"/>
            <w:i w:val="0"/>
            <w:noProof/>
            <w:sz w:val="26"/>
            <w:szCs w:val="26"/>
          </w:rPr>
          <w:t xml:space="preserve">2. </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HVAC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_Toc334175027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45</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960"/>
          <w:tab w:val="right" w:leader="dot" w:pos="9350"/>
        </w:tabs>
        <w:spacing w:line="360" w:lineRule="auto"/>
        <w:rPr>
          <w:rFonts w:ascii="Times New Roman" w:eastAsiaTheme="minorEastAsia" w:hAnsi="Times New Roman"/>
          <w:i w:val="0"/>
          <w:noProof/>
          <w:sz w:val="26"/>
          <w:szCs w:val="26"/>
        </w:rPr>
      </w:pPr>
      <w:hyperlink w:anchor="_Toc334175028" w:history="1">
        <w:r w:rsidR="00D939E8" w:rsidRPr="00D939E8">
          <w:rPr>
            <w:rStyle w:val="Hyperlink"/>
            <w:rFonts w:ascii="Times New Roman" w:hAnsi="Times New Roman"/>
            <w:i w:val="0"/>
            <w:noProof/>
            <w:sz w:val="26"/>
            <w:szCs w:val="26"/>
          </w:rPr>
          <w:t xml:space="preserve">3. </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Motor and Variable Frequency Drive Protocols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_Toc334175028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46</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960"/>
          <w:tab w:val="right" w:leader="dot" w:pos="9350"/>
        </w:tabs>
        <w:spacing w:line="360" w:lineRule="auto"/>
        <w:rPr>
          <w:rFonts w:ascii="Times New Roman" w:eastAsiaTheme="minorEastAsia" w:hAnsi="Times New Roman"/>
          <w:i w:val="0"/>
          <w:noProof/>
          <w:sz w:val="26"/>
          <w:szCs w:val="26"/>
        </w:rPr>
      </w:pPr>
      <w:hyperlink w:anchor="_Toc334175029" w:history="1">
        <w:r w:rsidR="00D939E8" w:rsidRPr="00D939E8">
          <w:rPr>
            <w:rStyle w:val="Hyperlink"/>
            <w:rFonts w:ascii="Times New Roman" w:hAnsi="Times New Roman"/>
            <w:i w:val="0"/>
            <w:noProof/>
            <w:sz w:val="26"/>
            <w:szCs w:val="26"/>
          </w:rPr>
          <w:t xml:space="preserve">4. </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Office Equipment Network Power Management Systems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_Toc334175029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47</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960"/>
          <w:tab w:val="right" w:leader="dot" w:pos="9350"/>
        </w:tabs>
        <w:spacing w:line="360" w:lineRule="auto"/>
        <w:rPr>
          <w:rFonts w:ascii="Times New Roman" w:eastAsiaTheme="minorEastAsia" w:hAnsi="Times New Roman"/>
          <w:i w:val="0"/>
          <w:noProof/>
          <w:sz w:val="26"/>
          <w:szCs w:val="26"/>
        </w:rPr>
      </w:pPr>
      <w:hyperlink w:anchor="_Toc334175030" w:history="1">
        <w:r w:rsidR="00D939E8" w:rsidRPr="00D939E8">
          <w:rPr>
            <w:rStyle w:val="Hyperlink"/>
            <w:rFonts w:ascii="Times New Roman" w:hAnsi="Times New Roman"/>
            <w:i w:val="0"/>
            <w:noProof/>
            <w:sz w:val="26"/>
            <w:szCs w:val="26"/>
          </w:rPr>
          <w:t xml:space="preserve">5. </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LED Channel Signage</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_Toc334175030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47</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960"/>
          <w:tab w:val="right" w:leader="dot" w:pos="9350"/>
        </w:tabs>
        <w:spacing w:line="360" w:lineRule="auto"/>
        <w:rPr>
          <w:rFonts w:ascii="Times New Roman" w:eastAsiaTheme="minorEastAsia" w:hAnsi="Times New Roman"/>
          <w:i w:val="0"/>
          <w:noProof/>
          <w:sz w:val="26"/>
          <w:szCs w:val="26"/>
        </w:rPr>
      </w:pPr>
      <w:hyperlink w:anchor="_Toc334175031" w:history="1">
        <w:r w:rsidR="00D939E8" w:rsidRPr="00D939E8">
          <w:rPr>
            <w:rStyle w:val="Hyperlink"/>
            <w:rFonts w:ascii="Times New Roman" w:hAnsi="Times New Roman"/>
            <w:i w:val="0"/>
            <w:noProof/>
            <w:sz w:val="26"/>
            <w:szCs w:val="26"/>
          </w:rPr>
          <w:t xml:space="preserve">6. </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Refrigeration</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_Toc334175031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48</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960"/>
          <w:tab w:val="right" w:leader="dot" w:pos="9350"/>
        </w:tabs>
        <w:spacing w:line="360" w:lineRule="auto"/>
        <w:rPr>
          <w:rFonts w:ascii="Times New Roman" w:eastAsiaTheme="minorEastAsia" w:hAnsi="Times New Roman"/>
          <w:i w:val="0"/>
          <w:noProof/>
          <w:sz w:val="26"/>
          <w:szCs w:val="26"/>
        </w:rPr>
      </w:pPr>
      <w:hyperlink w:anchor="_Toc334175032" w:history="1">
        <w:r w:rsidR="00D939E8" w:rsidRPr="00D939E8">
          <w:rPr>
            <w:rStyle w:val="Hyperlink"/>
            <w:rFonts w:ascii="Times New Roman" w:hAnsi="Times New Roman"/>
            <w:i w:val="0"/>
            <w:noProof/>
            <w:sz w:val="26"/>
            <w:szCs w:val="26"/>
          </w:rPr>
          <w:t xml:space="preserve">7. </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Low Flow Pre-Rinse Sprayers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_Toc334175032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48</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5033" w:history="1">
        <w:r w:rsidR="00D939E8" w:rsidRPr="00D939E8">
          <w:rPr>
            <w:rStyle w:val="Hyperlink"/>
            <w:rFonts w:ascii="Times New Roman" w:hAnsi="Times New Roman"/>
            <w:i w:val="0"/>
            <w:noProof/>
            <w:sz w:val="26"/>
            <w:szCs w:val="26"/>
          </w:rPr>
          <w:t>8.</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Refrigeration – Evaporator Fan Controllers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_Toc334175033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49</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907"/>
          <w:tab w:val="right" w:leader="dot" w:pos="9350"/>
        </w:tabs>
        <w:spacing w:line="360" w:lineRule="auto"/>
        <w:rPr>
          <w:rFonts w:ascii="Times New Roman" w:eastAsiaTheme="minorEastAsia" w:hAnsi="Times New Roman"/>
          <w:i w:val="0"/>
          <w:noProof/>
          <w:sz w:val="26"/>
          <w:szCs w:val="26"/>
        </w:rPr>
      </w:pPr>
      <w:hyperlink w:anchor="_Toc334175034" w:history="1">
        <w:r w:rsidR="00D939E8" w:rsidRPr="00D939E8">
          <w:rPr>
            <w:rStyle w:val="Hyperlink"/>
            <w:rFonts w:ascii="Times New Roman" w:hAnsi="Times New Roman"/>
            <w:i w:val="0"/>
            <w:noProof/>
            <w:sz w:val="26"/>
            <w:szCs w:val="26"/>
          </w:rPr>
          <w:t>9.</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Geothermal Heat Pumps</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_Toc334175034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50</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3"/>
        <w:tabs>
          <w:tab w:val="left" w:pos="1200"/>
          <w:tab w:val="right" w:leader="dot" w:pos="9350"/>
        </w:tabs>
        <w:spacing w:line="360" w:lineRule="auto"/>
        <w:rPr>
          <w:rFonts w:ascii="Times New Roman" w:eastAsiaTheme="minorEastAsia" w:hAnsi="Times New Roman"/>
          <w:i w:val="0"/>
          <w:noProof/>
          <w:sz w:val="26"/>
          <w:szCs w:val="26"/>
        </w:rPr>
      </w:pPr>
      <w:hyperlink w:anchor="_Toc334175035" w:history="1">
        <w:r w:rsidR="00D939E8" w:rsidRPr="00D939E8">
          <w:rPr>
            <w:rStyle w:val="Hyperlink"/>
            <w:rFonts w:ascii="Times New Roman" w:hAnsi="Times New Roman"/>
            <w:i w:val="0"/>
            <w:noProof/>
            <w:sz w:val="26"/>
            <w:szCs w:val="26"/>
          </w:rPr>
          <w:t>10.</w:t>
        </w:r>
        <w:r w:rsidR="00D939E8" w:rsidRPr="00D939E8">
          <w:rPr>
            <w:rFonts w:ascii="Times New Roman" w:eastAsiaTheme="minorEastAsia" w:hAnsi="Times New Roman"/>
            <w:i w:val="0"/>
            <w:noProof/>
            <w:sz w:val="26"/>
            <w:szCs w:val="26"/>
          </w:rPr>
          <w:tab/>
        </w:r>
        <w:r w:rsidR="00D939E8" w:rsidRPr="00D939E8">
          <w:rPr>
            <w:rStyle w:val="Hyperlink"/>
            <w:rFonts w:ascii="Times New Roman" w:hAnsi="Times New Roman"/>
            <w:i w:val="0"/>
            <w:noProof/>
            <w:sz w:val="26"/>
            <w:szCs w:val="26"/>
          </w:rPr>
          <w:t>Appendix C (Lighting Inventory Tool) and Appendix D (Motor and Variable Frequency Drive Inventory Tool)</w:t>
        </w:r>
        <w:r w:rsidR="00D939E8" w:rsidRPr="00D939E8">
          <w:rPr>
            <w:rFonts w:ascii="Times New Roman" w:hAnsi="Times New Roman"/>
            <w:i w:val="0"/>
            <w:noProof/>
            <w:webHidden/>
            <w:sz w:val="26"/>
            <w:szCs w:val="26"/>
          </w:rPr>
          <w:tab/>
        </w:r>
        <w:r w:rsidR="00D939E8" w:rsidRPr="00D939E8">
          <w:rPr>
            <w:rFonts w:ascii="Times New Roman" w:hAnsi="Times New Roman"/>
            <w:i w:val="0"/>
            <w:noProof/>
            <w:webHidden/>
            <w:sz w:val="26"/>
            <w:szCs w:val="26"/>
          </w:rPr>
          <w:fldChar w:fldCharType="begin"/>
        </w:r>
        <w:r w:rsidR="00D939E8" w:rsidRPr="00D939E8">
          <w:rPr>
            <w:rFonts w:ascii="Times New Roman" w:hAnsi="Times New Roman"/>
            <w:i w:val="0"/>
            <w:noProof/>
            <w:webHidden/>
            <w:sz w:val="26"/>
            <w:szCs w:val="26"/>
          </w:rPr>
          <w:instrText xml:space="preserve"> PAGEREF _Toc334175035 \h </w:instrText>
        </w:r>
        <w:r w:rsidR="00D939E8" w:rsidRPr="00D939E8">
          <w:rPr>
            <w:rFonts w:ascii="Times New Roman" w:hAnsi="Times New Roman"/>
            <w:i w:val="0"/>
            <w:noProof/>
            <w:webHidden/>
            <w:sz w:val="26"/>
            <w:szCs w:val="26"/>
          </w:rPr>
        </w:r>
        <w:r w:rsidR="00D939E8" w:rsidRPr="00D939E8">
          <w:rPr>
            <w:rFonts w:ascii="Times New Roman" w:hAnsi="Times New Roman"/>
            <w:i w:val="0"/>
            <w:noProof/>
            <w:webHidden/>
            <w:sz w:val="26"/>
            <w:szCs w:val="26"/>
          </w:rPr>
          <w:fldChar w:fldCharType="separate"/>
        </w:r>
        <w:r w:rsidR="00621C57">
          <w:rPr>
            <w:rFonts w:ascii="Times New Roman" w:hAnsi="Times New Roman"/>
            <w:i w:val="0"/>
            <w:noProof/>
            <w:webHidden/>
            <w:sz w:val="26"/>
            <w:szCs w:val="26"/>
          </w:rPr>
          <w:t>50</w:t>
        </w:r>
        <w:r w:rsidR="00D939E8" w:rsidRPr="00D939E8">
          <w:rPr>
            <w:rFonts w:ascii="Times New Roman" w:hAnsi="Times New Roman"/>
            <w:i w:val="0"/>
            <w:noProof/>
            <w:webHidden/>
            <w:sz w:val="26"/>
            <w:szCs w:val="26"/>
          </w:rPr>
          <w:fldChar w:fldCharType="end"/>
        </w:r>
      </w:hyperlink>
    </w:p>
    <w:p w:rsidR="00D939E8" w:rsidRPr="00D939E8" w:rsidRDefault="00275D79" w:rsidP="00D939E8">
      <w:pPr>
        <w:pStyle w:val="TOC2"/>
        <w:tabs>
          <w:tab w:val="clear" w:pos="8630"/>
          <w:tab w:val="right" w:leader="dot" w:pos="9360"/>
        </w:tabs>
        <w:spacing w:line="360" w:lineRule="auto"/>
        <w:rPr>
          <w:rFonts w:ascii="Times New Roman" w:eastAsiaTheme="minorEastAsia" w:hAnsi="Times New Roman"/>
          <w:sz w:val="26"/>
          <w:szCs w:val="26"/>
        </w:rPr>
      </w:pPr>
      <w:hyperlink w:anchor="_Toc334175036" w:history="1">
        <w:r w:rsidR="00D939E8" w:rsidRPr="00D939E8">
          <w:rPr>
            <w:rStyle w:val="Hyperlink"/>
            <w:rFonts w:ascii="Times New Roman" w:hAnsi="Times New Roman"/>
            <w:sz w:val="26"/>
            <w:szCs w:val="26"/>
          </w:rPr>
          <w:t>B.</w:t>
        </w:r>
        <w:r w:rsidR="00D939E8" w:rsidRPr="00D939E8">
          <w:rPr>
            <w:rFonts w:ascii="Times New Roman" w:eastAsiaTheme="minorEastAsia" w:hAnsi="Times New Roman"/>
            <w:sz w:val="26"/>
            <w:szCs w:val="26"/>
          </w:rPr>
          <w:tab/>
        </w:r>
        <w:r w:rsidR="00D939E8" w:rsidRPr="00D939E8">
          <w:rPr>
            <w:rStyle w:val="Hyperlink"/>
            <w:rFonts w:ascii="Times New Roman" w:hAnsi="Times New Roman"/>
            <w:sz w:val="26"/>
            <w:szCs w:val="26"/>
          </w:rPr>
          <w:t>Demand Response</w:t>
        </w:r>
        <w:r w:rsidR="00D939E8" w:rsidRPr="00D939E8">
          <w:rPr>
            <w:rFonts w:ascii="Times New Roman" w:hAnsi="Times New Roman"/>
            <w:webHidden/>
            <w:sz w:val="26"/>
            <w:szCs w:val="26"/>
          </w:rPr>
          <w:tab/>
        </w:r>
        <w:r w:rsidR="00D939E8" w:rsidRPr="00D939E8">
          <w:rPr>
            <w:rFonts w:ascii="Times New Roman" w:hAnsi="Times New Roman"/>
            <w:webHidden/>
            <w:sz w:val="26"/>
            <w:szCs w:val="26"/>
          </w:rPr>
          <w:fldChar w:fldCharType="begin"/>
        </w:r>
        <w:r w:rsidR="00D939E8" w:rsidRPr="00D939E8">
          <w:rPr>
            <w:rFonts w:ascii="Times New Roman" w:hAnsi="Times New Roman"/>
            <w:webHidden/>
            <w:sz w:val="26"/>
            <w:szCs w:val="26"/>
          </w:rPr>
          <w:instrText xml:space="preserve"> PAGEREF _Toc334175036 \h </w:instrText>
        </w:r>
        <w:r w:rsidR="00D939E8" w:rsidRPr="00D939E8">
          <w:rPr>
            <w:rFonts w:ascii="Times New Roman" w:hAnsi="Times New Roman"/>
            <w:webHidden/>
            <w:sz w:val="26"/>
            <w:szCs w:val="26"/>
          </w:rPr>
        </w:r>
        <w:r w:rsidR="00D939E8" w:rsidRPr="00D939E8">
          <w:rPr>
            <w:rFonts w:ascii="Times New Roman" w:hAnsi="Times New Roman"/>
            <w:webHidden/>
            <w:sz w:val="26"/>
            <w:szCs w:val="26"/>
          </w:rPr>
          <w:fldChar w:fldCharType="separate"/>
        </w:r>
        <w:r w:rsidR="00621C57">
          <w:rPr>
            <w:rFonts w:ascii="Times New Roman" w:hAnsi="Times New Roman"/>
            <w:webHidden/>
            <w:sz w:val="26"/>
            <w:szCs w:val="26"/>
          </w:rPr>
          <w:t>50</w:t>
        </w:r>
        <w:r w:rsidR="00D939E8" w:rsidRPr="00D939E8">
          <w:rPr>
            <w:rFonts w:ascii="Times New Roman" w:hAnsi="Times New Roman"/>
            <w:webHidden/>
            <w:sz w:val="26"/>
            <w:szCs w:val="26"/>
          </w:rPr>
          <w:fldChar w:fldCharType="end"/>
        </w:r>
      </w:hyperlink>
    </w:p>
    <w:p w:rsidR="00D939E8" w:rsidRDefault="00275D79" w:rsidP="00D939E8">
      <w:pPr>
        <w:pStyle w:val="TOC1"/>
        <w:tabs>
          <w:tab w:val="right" w:leader="dot" w:pos="9350"/>
        </w:tabs>
        <w:spacing w:line="360" w:lineRule="auto"/>
        <w:rPr>
          <w:rFonts w:asciiTheme="minorHAnsi" w:eastAsiaTheme="minorEastAsia" w:hAnsiTheme="minorHAnsi" w:cstheme="minorBidi"/>
          <w:b w:val="0"/>
          <w:caps w:val="0"/>
          <w:noProof/>
          <w:sz w:val="22"/>
          <w:szCs w:val="22"/>
        </w:rPr>
      </w:pPr>
      <w:hyperlink w:anchor="_Toc334175037" w:history="1">
        <w:r w:rsidR="00D939E8" w:rsidRPr="00D939E8">
          <w:rPr>
            <w:rStyle w:val="Hyperlink"/>
            <w:b w:val="0"/>
            <w:noProof/>
            <w:sz w:val="26"/>
            <w:szCs w:val="26"/>
          </w:rPr>
          <w:t>CONCLUSION</w:t>
        </w:r>
        <w:r w:rsidR="00D939E8" w:rsidRPr="00D939E8">
          <w:rPr>
            <w:b w:val="0"/>
            <w:noProof/>
            <w:webHidden/>
            <w:sz w:val="26"/>
            <w:szCs w:val="26"/>
          </w:rPr>
          <w:tab/>
        </w:r>
        <w:r w:rsidR="00D939E8" w:rsidRPr="00D939E8">
          <w:rPr>
            <w:b w:val="0"/>
            <w:noProof/>
            <w:webHidden/>
            <w:sz w:val="26"/>
            <w:szCs w:val="26"/>
          </w:rPr>
          <w:fldChar w:fldCharType="begin"/>
        </w:r>
        <w:r w:rsidR="00D939E8" w:rsidRPr="00D939E8">
          <w:rPr>
            <w:b w:val="0"/>
            <w:noProof/>
            <w:webHidden/>
            <w:sz w:val="26"/>
            <w:szCs w:val="26"/>
          </w:rPr>
          <w:instrText xml:space="preserve"> PAGEREF _Toc334175037 \h </w:instrText>
        </w:r>
        <w:r w:rsidR="00D939E8" w:rsidRPr="00D939E8">
          <w:rPr>
            <w:b w:val="0"/>
            <w:noProof/>
            <w:webHidden/>
            <w:sz w:val="26"/>
            <w:szCs w:val="26"/>
          </w:rPr>
        </w:r>
        <w:r w:rsidR="00D939E8" w:rsidRPr="00D939E8">
          <w:rPr>
            <w:b w:val="0"/>
            <w:noProof/>
            <w:webHidden/>
            <w:sz w:val="26"/>
            <w:szCs w:val="26"/>
          </w:rPr>
          <w:fldChar w:fldCharType="separate"/>
        </w:r>
        <w:r w:rsidR="00621C57">
          <w:rPr>
            <w:b w:val="0"/>
            <w:noProof/>
            <w:webHidden/>
            <w:sz w:val="26"/>
            <w:szCs w:val="26"/>
          </w:rPr>
          <w:t>52</w:t>
        </w:r>
        <w:r w:rsidR="00D939E8" w:rsidRPr="00D939E8">
          <w:rPr>
            <w:b w:val="0"/>
            <w:noProof/>
            <w:webHidden/>
            <w:sz w:val="26"/>
            <w:szCs w:val="26"/>
          </w:rPr>
          <w:fldChar w:fldCharType="end"/>
        </w:r>
      </w:hyperlink>
    </w:p>
    <w:p w:rsidR="00B23EB7" w:rsidRPr="00114FDD" w:rsidRDefault="00B23EB7" w:rsidP="00803EB9">
      <w:pPr>
        <w:overflowPunct/>
        <w:autoSpaceDE/>
        <w:autoSpaceDN/>
        <w:adjustRightInd/>
        <w:spacing w:line="360" w:lineRule="auto"/>
        <w:rPr>
          <w:b/>
          <w:sz w:val="26"/>
          <w:szCs w:val="26"/>
        </w:rPr>
      </w:pPr>
      <w:r w:rsidRPr="00803EB9">
        <w:rPr>
          <w:sz w:val="26"/>
          <w:szCs w:val="26"/>
        </w:rPr>
        <w:fldChar w:fldCharType="end"/>
      </w:r>
      <w:r w:rsidRPr="00114FDD">
        <w:rPr>
          <w:b/>
          <w:sz w:val="26"/>
          <w:szCs w:val="26"/>
        </w:rPr>
        <w:br w:type="page"/>
      </w:r>
    </w:p>
    <w:p w:rsidR="00FA4295" w:rsidRPr="00114FDD" w:rsidRDefault="00FA4295" w:rsidP="00B64A9F">
      <w:pPr>
        <w:pStyle w:val="p3"/>
        <w:tabs>
          <w:tab w:val="clear" w:pos="204"/>
          <w:tab w:val="left" w:pos="-900"/>
        </w:tabs>
        <w:spacing w:line="360" w:lineRule="auto"/>
        <w:rPr>
          <w:b/>
          <w:sz w:val="26"/>
          <w:szCs w:val="26"/>
        </w:rPr>
      </w:pPr>
      <w:r w:rsidRPr="00114FDD">
        <w:rPr>
          <w:b/>
          <w:sz w:val="26"/>
          <w:szCs w:val="26"/>
        </w:rPr>
        <w:lastRenderedPageBreak/>
        <w:t>BY THE COMMISSION:</w:t>
      </w:r>
    </w:p>
    <w:p w:rsidR="00FA4295" w:rsidRPr="00114FDD" w:rsidRDefault="00FA4295" w:rsidP="00B64A9F">
      <w:pPr>
        <w:pStyle w:val="p3"/>
        <w:spacing w:line="360" w:lineRule="auto"/>
        <w:rPr>
          <w:b/>
          <w:sz w:val="26"/>
          <w:szCs w:val="26"/>
        </w:rPr>
      </w:pPr>
    </w:p>
    <w:p w:rsidR="00944AD5" w:rsidRDefault="00FA4295" w:rsidP="00B64A9F">
      <w:pPr>
        <w:pStyle w:val="p3"/>
        <w:tabs>
          <w:tab w:val="clear" w:pos="204"/>
          <w:tab w:val="left" w:pos="720"/>
        </w:tabs>
        <w:spacing w:line="360" w:lineRule="auto"/>
        <w:ind w:firstLine="720"/>
        <w:rPr>
          <w:sz w:val="26"/>
          <w:szCs w:val="26"/>
        </w:rPr>
      </w:pPr>
      <w:r w:rsidRPr="00114FDD">
        <w:rPr>
          <w:sz w:val="26"/>
          <w:szCs w:val="26"/>
        </w:rPr>
        <w:t xml:space="preserve">As explained in our Order, entered June 1, 2009 at </w:t>
      </w:r>
      <w:r w:rsidR="000C216F">
        <w:rPr>
          <w:sz w:val="26"/>
          <w:szCs w:val="26"/>
        </w:rPr>
        <w:t>Docket No. M-00051865</w:t>
      </w:r>
      <w:r w:rsidRPr="00114FDD">
        <w:rPr>
          <w:sz w:val="26"/>
          <w:szCs w:val="26"/>
        </w:rPr>
        <w:t xml:space="preserve">, in implementing the Alternative Energy Portfolio Standards Act </w:t>
      </w:r>
      <w:r w:rsidR="003036C1" w:rsidRPr="00114FDD">
        <w:rPr>
          <w:sz w:val="26"/>
          <w:szCs w:val="26"/>
        </w:rPr>
        <w:t>(AEPS Act</w:t>
      </w:r>
      <w:r w:rsidR="00EE2777" w:rsidRPr="00114FDD">
        <w:rPr>
          <w:sz w:val="26"/>
          <w:szCs w:val="26"/>
        </w:rPr>
        <w:t>), 73 P.S. §§ 1648.1</w:t>
      </w:r>
      <w:r w:rsidR="00EE2777" w:rsidRPr="00114FDD">
        <w:rPr>
          <w:sz w:val="26"/>
          <w:szCs w:val="26"/>
        </w:rPr>
        <w:noBreakHyphen/>
      </w:r>
      <w:r w:rsidRPr="00114FDD">
        <w:rPr>
          <w:sz w:val="26"/>
          <w:szCs w:val="26"/>
        </w:rPr>
        <w:t>1648.8</w:t>
      </w:r>
      <w:r w:rsidR="000C216F">
        <w:rPr>
          <w:sz w:val="26"/>
          <w:szCs w:val="26"/>
        </w:rPr>
        <w:t xml:space="preserve"> and 66 Pa.C.S. § 2814</w:t>
      </w:r>
      <w:r w:rsidRPr="00114FDD">
        <w:rPr>
          <w:sz w:val="26"/>
          <w:szCs w:val="26"/>
        </w:rPr>
        <w:t>,</w:t>
      </w:r>
      <w:r w:rsidRPr="00114FDD">
        <w:rPr>
          <w:b/>
          <w:sz w:val="26"/>
          <w:szCs w:val="26"/>
        </w:rPr>
        <w:t xml:space="preserve"> </w:t>
      </w:r>
      <w:r w:rsidRPr="00114FDD">
        <w:rPr>
          <w:sz w:val="26"/>
          <w:szCs w:val="26"/>
        </w:rPr>
        <w:t xml:space="preserve">this Commission had adopted an </w:t>
      </w:r>
      <w:r w:rsidRPr="00114FDD">
        <w:rPr>
          <w:i/>
          <w:sz w:val="26"/>
          <w:szCs w:val="26"/>
        </w:rPr>
        <w:t>Energy</w:t>
      </w:r>
      <w:r w:rsidRPr="00114FDD">
        <w:rPr>
          <w:i/>
          <w:sz w:val="26"/>
          <w:szCs w:val="26"/>
        </w:rPr>
        <w:noBreakHyphen/>
        <w:t xml:space="preserve">Efficiency and DSM Rules for Pennsylvania’s Alternative Energy Portfolio Standard, Technical Reference Manual </w:t>
      </w:r>
      <w:r w:rsidR="003036C1" w:rsidRPr="00114FDD">
        <w:rPr>
          <w:sz w:val="26"/>
          <w:szCs w:val="26"/>
        </w:rPr>
        <w:t>(TRM</w:t>
      </w:r>
      <w:r w:rsidRPr="00114FDD">
        <w:rPr>
          <w:sz w:val="26"/>
          <w:szCs w:val="26"/>
        </w:rPr>
        <w:t>).</w:t>
      </w:r>
      <w:r w:rsidRPr="00114FDD">
        <w:rPr>
          <w:rStyle w:val="FootnoteReference"/>
          <w:sz w:val="26"/>
          <w:szCs w:val="26"/>
        </w:rPr>
        <w:footnoteReference w:id="1"/>
      </w:r>
      <w:r w:rsidRPr="00114FDD">
        <w:rPr>
          <w:sz w:val="26"/>
          <w:szCs w:val="26"/>
        </w:rPr>
        <w:t xml:space="preserve">  In adopting the original version of the TRM, this Commission directed </w:t>
      </w:r>
      <w:r w:rsidR="003036C1" w:rsidRPr="00114FDD">
        <w:rPr>
          <w:sz w:val="26"/>
          <w:szCs w:val="26"/>
        </w:rPr>
        <w:t>its</w:t>
      </w:r>
      <w:r w:rsidRPr="00114FDD">
        <w:rPr>
          <w:sz w:val="26"/>
          <w:szCs w:val="26"/>
        </w:rPr>
        <w:t xml:space="preserve"> Bureau of Conservation, </w:t>
      </w:r>
      <w:r w:rsidR="003036C1" w:rsidRPr="00114FDD">
        <w:rPr>
          <w:sz w:val="26"/>
          <w:szCs w:val="26"/>
        </w:rPr>
        <w:t>Economics and Energy Planning (CEEP</w:t>
      </w:r>
      <w:r w:rsidRPr="00114FDD">
        <w:rPr>
          <w:sz w:val="26"/>
          <w:szCs w:val="26"/>
        </w:rPr>
        <w:t>)</w:t>
      </w:r>
      <w:r w:rsidR="002F035F" w:rsidRPr="00114FDD">
        <w:rPr>
          <w:rStyle w:val="FootnoteReference"/>
          <w:sz w:val="26"/>
          <w:szCs w:val="26"/>
        </w:rPr>
        <w:footnoteReference w:id="2"/>
      </w:r>
      <w:r w:rsidRPr="00114FDD">
        <w:rPr>
          <w:sz w:val="26"/>
          <w:szCs w:val="26"/>
        </w:rPr>
        <w:t xml:space="preserve"> to oversee the implementation, maintenance and periodic updating of the TRM.</w:t>
      </w:r>
      <w:r w:rsidRPr="00114FDD">
        <w:rPr>
          <w:rStyle w:val="FootnoteReference"/>
          <w:sz w:val="26"/>
          <w:szCs w:val="26"/>
        </w:rPr>
        <w:footnoteReference w:id="3"/>
      </w:r>
      <w:r w:rsidRPr="00114FDD">
        <w:rPr>
          <w:sz w:val="26"/>
          <w:szCs w:val="26"/>
        </w:rPr>
        <w:t xml:space="preserve">  Additionally, in </w:t>
      </w:r>
      <w:r w:rsidR="003036C1" w:rsidRPr="00114FDD">
        <w:rPr>
          <w:sz w:val="26"/>
          <w:szCs w:val="26"/>
        </w:rPr>
        <w:t>the</w:t>
      </w:r>
      <w:r w:rsidRPr="00114FDD">
        <w:rPr>
          <w:sz w:val="26"/>
          <w:szCs w:val="26"/>
        </w:rPr>
        <w:t xml:space="preserve"> </w:t>
      </w:r>
      <w:r w:rsidRPr="00114FDD">
        <w:rPr>
          <w:i/>
          <w:sz w:val="26"/>
          <w:szCs w:val="26"/>
        </w:rPr>
        <w:t xml:space="preserve">Energy Efficiency and Conservation Program </w:t>
      </w:r>
      <w:r w:rsidRPr="00800F6C">
        <w:rPr>
          <w:sz w:val="26"/>
          <w:szCs w:val="26"/>
        </w:rPr>
        <w:t>Implementation Order</w:t>
      </w:r>
      <w:r w:rsidR="003036C1" w:rsidRPr="00114FDD">
        <w:rPr>
          <w:sz w:val="26"/>
          <w:szCs w:val="26"/>
        </w:rPr>
        <w:t xml:space="preserve"> for Phase I of Act 129’s Energy Efficiency and Conservation (EE&amp;C) Program</w:t>
      </w:r>
      <w:r w:rsidRPr="00114FDD">
        <w:rPr>
          <w:sz w:val="26"/>
          <w:szCs w:val="26"/>
        </w:rPr>
        <w:t>,</w:t>
      </w:r>
      <w:r w:rsidRPr="00114FDD">
        <w:rPr>
          <w:rStyle w:val="FootnoteReference"/>
          <w:sz w:val="26"/>
          <w:szCs w:val="26"/>
        </w:rPr>
        <w:footnoteReference w:id="4"/>
      </w:r>
      <w:r w:rsidRPr="00114FDD">
        <w:rPr>
          <w:sz w:val="26"/>
          <w:szCs w:val="26"/>
        </w:rPr>
        <w:t xml:space="preserve"> this Commission adopted the TRM as a component of the </w:t>
      </w:r>
      <w:r w:rsidR="003036C1" w:rsidRPr="00114FDD">
        <w:rPr>
          <w:sz w:val="26"/>
          <w:szCs w:val="26"/>
        </w:rPr>
        <w:t>EE&amp;C</w:t>
      </w:r>
      <w:r w:rsidRPr="00114FDD">
        <w:rPr>
          <w:sz w:val="26"/>
          <w:szCs w:val="26"/>
        </w:rPr>
        <w:t xml:space="preserve"> Program evaluation process.  In that </w:t>
      </w:r>
      <w:r w:rsidR="000C216F">
        <w:rPr>
          <w:sz w:val="26"/>
          <w:szCs w:val="26"/>
        </w:rPr>
        <w:t xml:space="preserve">Phase I </w:t>
      </w:r>
      <w:r w:rsidRPr="00800F6C">
        <w:rPr>
          <w:sz w:val="26"/>
          <w:szCs w:val="26"/>
        </w:rPr>
        <w:t>Implementation Order</w:t>
      </w:r>
      <w:r w:rsidRPr="00114FDD">
        <w:rPr>
          <w:sz w:val="26"/>
          <w:szCs w:val="26"/>
        </w:rPr>
        <w:t>, this Commission also noted that “as the TRM was initially created to fulfill requirements of the AEPS Act, it will need to be updated and expanded to fulfill the requirements of the EE&amp;C provisions of Act 129.”</w:t>
      </w:r>
      <w:r w:rsidRPr="00114FDD">
        <w:rPr>
          <w:rStyle w:val="FootnoteReference"/>
          <w:sz w:val="26"/>
          <w:szCs w:val="26"/>
        </w:rPr>
        <w:footnoteReference w:id="5"/>
      </w:r>
      <w:r w:rsidRPr="00114FDD">
        <w:rPr>
          <w:sz w:val="26"/>
          <w:szCs w:val="26"/>
        </w:rPr>
        <w:t xml:space="preserve">  </w:t>
      </w:r>
    </w:p>
    <w:p w:rsidR="00944AD5" w:rsidRDefault="00944AD5" w:rsidP="00B64A9F">
      <w:pPr>
        <w:pStyle w:val="p3"/>
        <w:tabs>
          <w:tab w:val="clear" w:pos="204"/>
          <w:tab w:val="left" w:pos="720"/>
        </w:tabs>
        <w:spacing w:line="360" w:lineRule="auto"/>
        <w:ind w:firstLine="720"/>
        <w:rPr>
          <w:sz w:val="26"/>
          <w:szCs w:val="26"/>
        </w:rPr>
      </w:pPr>
    </w:p>
    <w:p w:rsidR="003036C1" w:rsidRPr="00114FDD" w:rsidRDefault="00FA4295" w:rsidP="00B64A9F">
      <w:pPr>
        <w:pStyle w:val="p3"/>
        <w:tabs>
          <w:tab w:val="clear" w:pos="204"/>
          <w:tab w:val="left" w:pos="720"/>
        </w:tabs>
        <w:spacing w:line="360" w:lineRule="auto"/>
        <w:ind w:firstLine="720"/>
        <w:rPr>
          <w:sz w:val="26"/>
          <w:szCs w:val="26"/>
        </w:rPr>
      </w:pPr>
      <w:r w:rsidRPr="00114FDD">
        <w:rPr>
          <w:sz w:val="26"/>
          <w:szCs w:val="26"/>
        </w:rPr>
        <w:t xml:space="preserve">Soon after the adoption of the EE&amp;C Program </w:t>
      </w:r>
      <w:r w:rsidR="00944AD5">
        <w:rPr>
          <w:sz w:val="26"/>
          <w:szCs w:val="26"/>
        </w:rPr>
        <w:t xml:space="preserve">Phase I </w:t>
      </w:r>
      <w:r w:rsidRPr="00800F6C">
        <w:rPr>
          <w:sz w:val="26"/>
          <w:szCs w:val="26"/>
        </w:rPr>
        <w:t>Implementation Order</w:t>
      </w:r>
      <w:r w:rsidRPr="00114FDD">
        <w:rPr>
          <w:sz w:val="26"/>
          <w:szCs w:val="26"/>
        </w:rPr>
        <w:t xml:space="preserve">, Commission staff initiated a collaborative process to review and update the TRM with the purpose of supporting both the AEPS Act and the Act 129 EE&amp;C program that </w:t>
      </w:r>
      <w:r w:rsidRPr="00114FDD">
        <w:rPr>
          <w:sz w:val="26"/>
          <w:szCs w:val="26"/>
        </w:rPr>
        <w:lastRenderedPageBreak/>
        <w:t>culminated in the adoption of the 2009 TRM at the May 28, 2009 Public Meeting.</w:t>
      </w:r>
      <w:r w:rsidRPr="00114FDD">
        <w:rPr>
          <w:rStyle w:val="FootnoteReference"/>
          <w:sz w:val="26"/>
          <w:szCs w:val="26"/>
        </w:rPr>
        <w:footnoteReference w:id="6"/>
      </w:r>
      <w:r w:rsidRPr="00114FDD">
        <w:rPr>
          <w:sz w:val="26"/>
          <w:szCs w:val="26"/>
        </w:rPr>
        <w:t xml:space="preserve">  In adopting the 2009 TRM, the Commission recognized the importance of updating the TRM on an annual basis.</w:t>
      </w:r>
      <w:r w:rsidRPr="00114FDD">
        <w:rPr>
          <w:rStyle w:val="FootnoteReference"/>
          <w:sz w:val="26"/>
          <w:szCs w:val="26"/>
        </w:rPr>
        <w:footnoteReference w:id="7"/>
      </w:r>
      <w:r w:rsidR="003036C1" w:rsidRPr="00114FDD">
        <w:rPr>
          <w:sz w:val="26"/>
          <w:szCs w:val="26"/>
        </w:rPr>
        <w:t xml:space="preserve"> </w:t>
      </w:r>
    </w:p>
    <w:p w:rsidR="003036C1" w:rsidRPr="00114FDD" w:rsidRDefault="003036C1" w:rsidP="00B64A9F">
      <w:pPr>
        <w:pStyle w:val="p3"/>
        <w:tabs>
          <w:tab w:val="clear" w:pos="204"/>
          <w:tab w:val="left" w:pos="720"/>
        </w:tabs>
        <w:spacing w:line="360" w:lineRule="auto"/>
        <w:ind w:firstLine="720"/>
        <w:rPr>
          <w:sz w:val="26"/>
          <w:szCs w:val="26"/>
        </w:rPr>
      </w:pPr>
    </w:p>
    <w:p w:rsidR="00FA4295" w:rsidRPr="00114FDD" w:rsidRDefault="003036C1" w:rsidP="00B64A9F">
      <w:pPr>
        <w:pStyle w:val="p3"/>
        <w:tabs>
          <w:tab w:val="clear" w:pos="204"/>
          <w:tab w:val="left" w:pos="720"/>
        </w:tabs>
        <w:spacing w:line="360" w:lineRule="auto"/>
        <w:ind w:firstLine="720"/>
        <w:rPr>
          <w:sz w:val="26"/>
          <w:szCs w:val="26"/>
        </w:rPr>
      </w:pPr>
      <w:r w:rsidRPr="00114FDD">
        <w:rPr>
          <w:sz w:val="26"/>
          <w:szCs w:val="26"/>
        </w:rPr>
        <w:t>With regard to Phase II of the Act 129 EE&amp;C Program, the Commission again adopted the TRM as a component of the EE&amp;C Program evaluation process.</w:t>
      </w:r>
      <w:r w:rsidRPr="00114FDD">
        <w:rPr>
          <w:rStyle w:val="FootnoteReference"/>
          <w:sz w:val="26"/>
          <w:szCs w:val="26"/>
        </w:rPr>
        <w:footnoteReference w:id="8"/>
      </w:r>
      <w:r w:rsidRPr="00114FDD">
        <w:rPr>
          <w:sz w:val="26"/>
          <w:szCs w:val="26"/>
        </w:rPr>
        <w:t xml:space="preserve">  </w:t>
      </w:r>
      <w:r w:rsidR="006704B1" w:rsidRPr="00114FDD">
        <w:rPr>
          <w:sz w:val="26"/>
          <w:szCs w:val="26"/>
        </w:rPr>
        <w:t xml:space="preserve">The </w:t>
      </w:r>
      <w:r w:rsidR="006704B1" w:rsidRPr="00114FDD">
        <w:rPr>
          <w:i/>
          <w:sz w:val="26"/>
          <w:szCs w:val="26"/>
        </w:rPr>
        <w:t>Phase II Implementation Order</w:t>
      </w:r>
      <w:r w:rsidR="006704B1" w:rsidRPr="00114FDD">
        <w:rPr>
          <w:sz w:val="26"/>
          <w:szCs w:val="26"/>
        </w:rPr>
        <w:t xml:space="preserve"> also recognized the importance of </w:t>
      </w:r>
      <w:r w:rsidR="008601DF" w:rsidRPr="00114FDD">
        <w:rPr>
          <w:sz w:val="26"/>
          <w:szCs w:val="26"/>
        </w:rPr>
        <w:t>the continued</w:t>
      </w:r>
      <w:r w:rsidR="006704B1" w:rsidRPr="00114FDD">
        <w:rPr>
          <w:sz w:val="26"/>
          <w:szCs w:val="26"/>
        </w:rPr>
        <w:t xml:space="preserve"> use of an annual updating process for the TRM for Phase II.</w:t>
      </w:r>
      <w:r w:rsidR="006704B1" w:rsidRPr="00114FDD">
        <w:rPr>
          <w:rStyle w:val="FootnoteReference"/>
          <w:sz w:val="26"/>
          <w:szCs w:val="26"/>
        </w:rPr>
        <w:footnoteReference w:id="9"/>
      </w:r>
      <w:r w:rsidR="006704B1" w:rsidRPr="00114FDD">
        <w:rPr>
          <w:sz w:val="26"/>
          <w:szCs w:val="26"/>
        </w:rPr>
        <w:t xml:space="preserve">  </w:t>
      </w:r>
      <w:r w:rsidR="00FA4295" w:rsidRPr="00114FDD">
        <w:rPr>
          <w:sz w:val="26"/>
          <w:szCs w:val="26"/>
        </w:rPr>
        <w:t xml:space="preserve">With this </w:t>
      </w:r>
      <w:r w:rsidR="00E668F6" w:rsidRPr="00114FDD">
        <w:rPr>
          <w:sz w:val="26"/>
          <w:szCs w:val="26"/>
        </w:rPr>
        <w:t xml:space="preserve">Tentative </w:t>
      </w:r>
      <w:r w:rsidR="00FA4295" w:rsidRPr="00114FDD">
        <w:rPr>
          <w:sz w:val="26"/>
          <w:szCs w:val="26"/>
        </w:rPr>
        <w:t xml:space="preserve">Order, the Commission </w:t>
      </w:r>
      <w:r w:rsidR="00E668F6" w:rsidRPr="00114FDD">
        <w:rPr>
          <w:sz w:val="26"/>
          <w:szCs w:val="26"/>
        </w:rPr>
        <w:t>advances</w:t>
      </w:r>
      <w:r w:rsidR="00FA4295" w:rsidRPr="00114FDD">
        <w:rPr>
          <w:sz w:val="26"/>
          <w:szCs w:val="26"/>
        </w:rPr>
        <w:t xml:space="preserve"> the </w:t>
      </w:r>
      <w:r w:rsidR="008601DF" w:rsidRPr="00114FDD">
        <w:rPr>
          <w:sz w:val="26"/>
          <w:szCs w:val="26"/>
        </w:rPr>
        <w:t>fourth</w:t>
      </w:r>
      <w:r w:rsidR="00FA4295" w:rsidRPr="00114FDD">
        <w:rPr>
          <w:sz w:val="26"/>
          <w:szCs w:val="26"/>
        </w:rPr>
        <w:t xml:space="preserve"> annual update of the TRM to be applied beginning with the 201</w:t>
      </w:r>
      <w:r w:rsidR="006704B1" w:rsidRPr="00114FDD">
        <w:rPr>
          <w:sz w:val="26"/>
          <w:szCs w:val="26"/>
        </w:rPr>
        <w:t>3</w:t>
      </w:r>
      <w:r w:rsidR="00FA4295" w:rsidRPr="00114FDD">
        <w:rPr>
          <w:sz w:val="26"/>
          <w:szCs w:val="26"/>
        </w:rPr>
        <w:noBreakHyphen/>
        <w:t>201</w:t>
      </w:r>
      <w:r w:rsidR="006704B1" w:rsidRPr="00114FDD">
        <w:rPr>
          <w:sz w:val="26"/>
          <w:szCs w:val="26"/>
        </w:rPr>
        <w:t>4</w:t>
      </w:r>
      <w:r w:rsidR="00FA4295" w:rsidRPr="00114FDD">
        <w:rPr>
          <w:sz w:val="26"/>
          <w:szCs w:val="26"/>
        </w:rPr>
        <w:t xml:space="preserve"> AEPS Act and Act 12</w:t>
      </w:r>
      <w:r w:rsidR="00E668F6" w:rsidRPr="00114FDD">
        <w:rPr>
          <w:sz w:val="26"/>
          <w:szCs w:val="26"/>
        </w:rPr>
        <w:t xml:space="preserve">9 EE&amp;C </w:t>
      </w:r>
      <w:r w:rsidR="006704B1" w:rsidRPr="00114FDD">
        <w:rPr>
          <w:sz w:val="26"/>
          <w:szCs w:val="26"/>
        </w:rPr>
        <w:t>P</w:t>
      </w:r>
      <w:r w:rsidR="00E668F6" w:rsidRPr="00114FDD">
        <w:rPr>
          <w:sz w:val="26"/>
          <w:szCs w:val="26"/>
        </w:rPr>
        <w:t>rogram</w:t>
      </w:r>
      <w:r w:rsidR="006704B1" w:rsidRPr="00114FDD">
        <w:rPr>
          <w:sz w:val="26"/>
          <w:szCs w:val="26"/>
        </w:rPr>
        <w:t xml:space="preserve"> Phase II</w:t>
      </w:r>
      <w:r w:rsidR="00E668F6" w:rsidRPr="00114FDD">
        <w:rPr>
          <w:sz w:val="26"/>
          <w:szCs w:val="26"/>
        </w:rPr>
        <w:t xml:space="preserve"> compliance year</w:t>
      </w:r>
      <w:r w:rsidR="00FA4295" w:rsidRPr="00114FDD">
        <w:rPr>
          <w:sz w:val="26"/>
          <w:szCs w:val="26"/>
        </w:rPr>
        <w:t>.</w:t>
      </w:r>
    </w:p>
    <w:p w:rsidR="00FA4295" w:rsidRPr="00114FDD" w:rsidRDefault="00FA4295" w:rsidP="00B64A9F">
      <w:pPr>
        <w:pStyle w:val="p3"/>
        <w:tabs>
          <w:tab w:val="clear" w:pos="204"/>
          <w:tab w:val="left" w:pos="720"/>
        </w:tabs>
        <w:spacing w:line="360" w:lineRule="auto"/>
        <w:rPr>
          <w:sz w:val="26"/>
          <w:szCs w:val="26"/>
        </w:rPr>
      </w:pPr>
    </w:p>
    <w:p w:rsidR="008601DF" w:rsidRPr="00114FDD" w:rsidRDefault="008601DF" w:rsidP="00B64A9F">
      <w:pPr>
        <w:pStyle w:val="p3"/>
        <w:tabs>
          <w:tab w:val="clear" w:pos="204"/>
          <w:tab w:val="left" w:pos="720"/>
        </w:tabs>
        <w:spacing w:line="360" w:lineRule="auto"/>
        <w:rPr>
          <w:sz w:val="26"/>
          <w:szCs w:val="26"/>
        </w:rPr>
      </w:pPr>
    </w:p>
    <w:p w:rsidR="00FA4295" w:rsidRPr="00114FDD" w:rsidRDefault="00FA4295" w:rsidP="00B64A9F">
      <w:pPr>
        <w:pStyle w:val="p3"/>
        <w:tabs>
          <w:tab w:val="clear" w:pos="204"/>
          <w:tab w:val="left" w:pos="720"/>
        </w:tabs>
        <w:spacing w:line="360" w:lineRule="auto"/>
        <w:jc w:val="center"/>
        <w:outlineLvl w:val="0"/>
        <w:rPr>
          <w:b/>
          <w:sz w:val="26"/>
          <w:szCs w:val="26"/>
        </w:rPr>
      </w:pPr>
      <w:bookmarkStart w:id="0" w:name="_Toc334174988"/>
      <w:r w:rsidRPr="00114FDD">
        <w:rPr>
          <w:b/>
          <w:sz w:val="26"/>
          <w:szCs w:val="26"/>
        </w:rPr>
        <w:t>BACKGROUND</w:t>
      </w:r>
      <w:bookmarkEnd w:id="0"/>
    </w:p>
    <w:p w:rsidR="00FA4295" w:rsidRPr="00114FDD" w:rsidRDefault="00FA4295" w:rsidP="00B64A9F">
      <w:pPr>
        <w:pStyle w:val="p3"/>
        <w:tabs>
          <w:tab w:val="clear" w:pos="204"/>
          <w:tab w:val="left" w:pos="720"/>
        </w:tabs>
        <w:spacing w:line="360" w:lineRule="auto"/>
        <w:rPr>
          <w:b/>
          <w:sz w:val="26"/>
          <w:szCs w:val="26"/>
        </w:rPr>
      </w:pPr>
    </w:p>
    <w:p w:rsidR="00FA4295" w:rsidRPr="00114FDD" w:rsidRDefault="00FA4295" w:rsidP="00B64A9F">
      <w:pPr>
        <w:pStyle w:val="p3"/>
        <w:tabs>
          <w:tab w:val="clear" w:pos="204"/>
          <w:tab w:val="left" w:pos="720"/>
        </w:tabs>
        <w:spacing w:line="360" w:lineRule="auto"/>
        <w:ind w:firstLine="720"/>
        <w:rPr>
          <w:sz w:val="26"/>
          <w:szCs w:val="26"/>
        </w:rPr>
      </w:pPr>
      <w:r w:rsidRPr="00114FDD">
        <w:rPr>
          <w:sz w:val="26"/>
          <w:szCs w:val="26"/>
        </w:rPr>
        <w:t xml:space="preserve">Act 129 of 2008, P.L. 1592, specifically directed this Commission to establish an evaluation process that monitors and verifies data collection, quality assurance and the results of each </w:t>
      </w:r>
      <w:r w:rsidR="002A70B2" w:rsidRPr="00114FDD">
        <w:rPr>
          <w:sz w:val="26"/>
          <w:szCs w:val="26"/>
        </w:rPr>
        <w:t>electric distribution company’s (</w:t>
      </w:r>
      <w:r w:rsidRPr="00114FDD">
        <w:rPr>
          <w:sz w:val="26"/>
          <w:szCs w:val="26"/>
        </w:rPr>
        <w:t>EDC</w:t>
      </w:r>
      <w:r w:rsidR="002A70B2" w:rsidRPr="00114FDD">
        <w:rPr>
          <w:sz w:val="26"/>
          <w:szCs w:val="26"/>
        </w:rPr>
        <w:t>)</w:t>
      </w:r>
      <w:r w:rsidRPr="00114FDD">
        <w:rPr>
          <w:sz w:val="26"/>
          <w:szCs w:val="26"/>
        </w:rPr>
        <w:t xml:space="preserve"> EE&amp;C plan and the EE&amp;C program as a whole.  </w:t>
      </w:r>
      <w:r w:rsidRPr="00114FDD">
        <w:rPr>
          <w:i/>
          <w:sz w:val="26"/>
          <w:szCs w:val="26"/>
        </w:rPr>
        <w:t>See</w:t>
      </w:r>
      <w:r w:rsidRPr="00114FDD">
        <w:rPr>
          <w:sz w:val="26"/>
          <w:szCs w:val="26"/>
        </w:rPr>
        <w:t xml:space="preserve"> 66 Pa. C.S. § 2806.1(a)(2).  To assist in meeting this obligation, the Commission contracted with GDS Associates, Inc. in August 2009, to perform these duties as the Act 129 Statewide Evaluator (SWE).  As part of its duties</w:t>
      </w:r>
      <w:r w:rsidR="00DE2990" w:rsidRPr="00114FDD">
        <w:rPr>
          <w:sz w:val="26"/>
          <w:szCs w:val="26"/>
        </w:rPr>
        <w:t>, the SWE</w:t>
      </w:r>
      <w:r w:rsidRPr="00114FDD">
        <w:rPr>
          <w:sz w:val="26"/>
          <w:szCs w:val="26"/>
        </w:rPr>
        <w:t xml:space="preserve"> is to review the TRM and the Total Resource Cost</w:t>
      </w:r>
      <w:r w:rsidR="004D4546" w:rsidRPr="00114FDD">
        <w:rPr>
          <w:sz w:val="26"/>
          <w:szCs w:val="26"/>
        </w:rPr>
        <w:t xml:space="preserve"> </w:t>
      </w:r>
      <w:r w:rsidRPr="00114FDD">
        <w:rPr>
          <w:sz w:val="26"/>
          <w:szCs w:val="26"/>
        </w:rPr>
        <w:t xml:space="preserve">Test Manual </w:t>
      </w:r>
      <w:r w:rsidR="007365CB" w:rsidRPr="00114FDD">
        <w:rPr>
          <w:sz w:val="26"/>
          <w:szCs w:val="26"/>
        </w:rPr>
        <w:t xml:space="preserve">(TRC) </w:t>
      </w:r>
      <w:r w:rsidRPr="00114FDD">
        <w:rPr>
          <w:sz w:val="26"/>
          <w:szCs w:val="26"/>
        </w:rPr>
        <w:t xml:space="preserve">and to provide suggestions for possible revisions and additions to these manuals.  A </w:t>
      </w:r>
      <w:r w:rsidR="007365CB">
        <w:rPr>
          <w:sz w:val="26"/>
          <w:szCs w:val="26"/>
        </w:rPr>
        <w:t>p</w:t>
      </w:r>
      <w:r w:rsidR="007365CB" w:rsidRPr="00114FDD">
        <w:rPr>
          <w:sz w:val="26"/>
          <w:szCs w:val="26"/>
        </w:rPr>
        <w:t xml:space="preserve">rogram </w:t>
      </w:r>
      <w:r w:rsidR="007365CB">
        <w:rPr>
          <w:sz w:val="26"/>
          <w:szCs w:val="26"/>
        </w:rPr>
        <w:t>e</w:t>
      </w:r>
      <w:r w:rsidR="007365CB" w:rsidRPr="00114FDD">
        <w:rPr>
          <w:sz w:val="26"/>
          <w:szCs w:val="26"/>
        </w:rPr>
        <w:t xml:space="preserve">valuation </w:t>
      </w:r>
      <w:r w:rsidR="007365CB">
        <w:rPr>
          <w:sz w:val="26"/>
          <w:szCs w:val="26"/>
        </w:rPr>
        <w:lastRenderedPageBreak/>
        <w:t>g</w:t>
      </w:r>
      <w:r w:rsidR="007365CB" w:rsidRPr="00114FDD">
        <w:rPr>
          <w:sz w:val="26"/>
          <w:szCs w:val="26"/>
        </w:rPr>
        <w:t xml:space="preserve">roup </w:t>
      </w:r>
      <w:r w:rsidR="00950034" w:rsidRPr="00114FDD">
        <w:rPr>
          <w:sz w:val="26"/>
          <w:szCs w:val="26"/>
        </w:rPr>
        <w:t>(PEG)</w:t>
      </w:r>
      <w:r w:rsidRPr="00114FDD">
        <w:rPr>
          <w:rStyle w:val="FootnoteReference"/>
          <w:sz w:val="26"/>
          <w:szCs w:val="26"/>
        </w:rPr>
        <w:footnoteReference w:id="10"/>
      </w:r>
      <w:r w:rsidRPr="00114FDD">
        <w:rPr>
          <w:sz w:val="26"/>
          <w:szCs w:val="26"/>
        </w:rPr>
        <w:t xml:space="preserve"> was formed to</w:t>
      </w:r>
      <w:r w:rsidR="001324E3">
        <w:rPr>
          <w:sz w:val="26"/>
          <w:szCs w:val="26"/>
        </w:rPr>
        <w:t>, among other things,</w:t>
      </w:r>
      <w:r w:rsidRPr="00114FDD">
        <w:rPr>
          <w:sz w:val="26"/>
          <w:szCs w:val="26"/>
        </w:rPr>
        <w:t xml:space="preserve"> provide guidance to the SWE in clarifying</w:t>
      </w:r>
      <w:r w:rsidR="007365CB">
        <w:rPr>
          <w:sz w:val="26"/>
          <w:szCs w:val="26"/>
        </w:rPr>
        <w:t xml:space="preserve"> energy</w:t>
      </w:r>
      <w:r w:rsidRPr="00114FDD">
        <w:rPr>
          <w:sz w:val="26"/>
          <w:szCs w:val="26"/>
        </w:rPr>
        <w:t xml:space="preserve"> savings measurement protocols and plans by recommending improvements to the existing TRM and othe</w:t>
      </w:r>
      <w:r w:rsidR="00761B89" w:rsidRPr="00114FDD">
        <w:rPr>
          <w:sz w:val="26"/>
          <w:szCs w:val="26"/>
        </w:rPr>
        <w:t>r aspects of the EE&amp;C program.</w:t>
      </w:r>
      <w:r w:rsidR="00950034" w:rsidRPr="00114FDD">
        <w:rPr>
          <w:sz w:val="26"/>
          <w:szCs w:val="26"/>
        </w:rPr>
        <w:t xml:space="preserve"> </w:t>
      </w:r>
      <w:r w:rsidR="00BC500B" w:rsidRPr="00114FDD">
        <w:rPr>
          <w:sz w:val="26"/>
          <w:szCs w:val="26"/>
        </w:rPr>
        <w:t xml:space="preserve"> </w:t>
      </w:r>
      <w:r w:rsidR="00950034" w:rsidRPr="00114FDD">
        <w:rPr>
          <w:sz w:val="26"/>
          <w:szCs w:val="26"/>
        </w:rPr>
        <w:t xml:space="preserve">In addition, the Commission convened a </w:t>
      </w:r>
      <w:r w:rsidR="00BC500B" w:rsidRPr="00114FDD">
        <w:rPr>
          <w:sz w:val="26"/>
          <w:szCs w:val="26"/>
        </w:rPr>
        <w:t>Technical Working Group (TWG)</w:t>
      </w:r>
      <w:r w:rsidR="00BC500B" w:rsidRPr="00114FDD">
        <w:rPr>
          <w:rStyle w:val="FootnoteReference"/>
          <w:sz w:val="26"/>
          <w:szCs w:val="26"/>
        </w:rPr>
        <w:footnoteReference w:id="11"/>
      </w:r>
      <w:r w:rsidR="00950034" w:rsidRPr="00114FDD">
        <w:rPr>
          <w:sz w:val="26"/>
          <w:szCs w:val="26"/>
        </w:rPr>
        <w:t xml:space="preserve"> meeting to discuss the proposed 2013 TRM updates.</w:t>
      </w:r>
      <w:r w:rsidR="00BC500B" w:rsidRPr="00114FDD">
        <w:rPr>
          <w:rStyle w:val="FootnoteReference"/>
          <w:sz w:val="26"/>
          <w:szCs w:val="26"/>
        </w:rPr>
        <w:footnoteReference w:id="12"/>
      </w:r>
    </w:p>
    <w:p w:rsidR="00761B89" w:rsidRPr="00114FDD" w:rsidRDefault="00761B89" w:rsidP="00B64A9F">
      <w:pPr>
        <w:pStyle w:val="p3"/>
        <w:tabs>
          <w:tab w:val="clear" w:pos="204"/>
          <w:tab w:val="left" w:pos="720"/>
        </w:tabs>
        <w:spacing w:line="360" w:lineRule="auto"/>
        <w:ind w:firstLine="720"/>
        <w:rPr>
          <w:sz w:val="26"/>
          <w:szCs w:val="26"/>
        </w:rPr>
      </w:pPr>
    </w:p>
    <w:p w:rsidR="0032291B" w:rsidRPr="00114FDD" w:rsidRDefault="0032291B" w:rsidP="00B64A9F">
      <w:pPr>
        <w:pStyle w:val="p3"/>
        <w:tabs>
          <w:tab w:val="clear" w:pos="204"/>
          <w:tab w:val="left" w:pos="720"/>
        </w:tabs>
        <w:spacing w:line="360" w:lineRule="auto"/>
        <w:ind w:firstLine="720"/>
        <w:rPr>
          <w:sz w:val="26"/>
          <w:szCs w:val="26"/>
        </w:rPr>
      </w:pPr>
      <w:r w:rsidRPr="00114FDD">
        <w:rPr>
          <w:sz w:val="26"/>
          <w:szCs w:val="26"/>
        </w:rPr>
        <w:t xml:space="preserve">The Commission, in a Tentative Order adopted on </w:t>
      </w:r>
      <w:r w:rsidR="00D7477E" w:rsidRPr="00114FDD">
        <w:rPr>
          <w:sz w:val="26"/>
          <w:szCs w:val="26"/>
        </w:rPr>
        <w:t>January 28</w:t>
      </w:r>
      <w:r w:rsidRPr="00114FDD">
        <w:rPr>
          <w:sz w:val="26"/>
          <w:szCs w:val="26"/>
        </w:rPr>
        <w:t>, 2010, sought comments on a proposed 201</w:t>
      </w:r>
      <w:r w:rsidR="00D7477E" w:rsidRPr="00114FDD">
        <w:rPr>
          <w:sz w:val="26"/>
          <w:szCs w:val="26"/>
        </w:rPr>
        <w:t>0</w:t>
      </w:r>
      <w:r w:rsidRPr="00114FDD">
        <w:rPr>
          <w:sz w:val="26"/>
          <w:szCs w:val="26"/>
        </w:rPr>
        <w:t xml:space="preserve"> TRM annual update.</w:t>
      </w:r>
      <w:r w:rsidRPr="00114FDD">
        <w:rPr>
          <w:rStyle w:val="FootnoteReference"/>
          <w:sz w:val="26"/>
          <w:szCs w:val="26"/>
        </w:rPr>
        <w:footnoteReference w:id="13"/>
      </w:r>
      <w:r w:rsidRPr="00114FDD">
        <w:rPr>
          <w:sz w:val="26"/>
          <w:szCs w:val="26"/>
        </w:rPr>
        <w:t xml:space="preserve">  In an Order, adopted </w:t>
      </w:r>
      <w:r w:rsidR="00D7477E" w:rsidRPr="00114FDD">
        <w:rPr>
          <w:sz w:val="26"/>
          <w:szCs w:val="26"/>
        </w:rPr>
        <w:t>June</w:t>
      </w:r>
      <w:r w:rsidRPr="00114FDD">
        <w:rPr>
          <w:sz w:val="26"/>
          <w:szCs w:val="26"/>
        </w:rPr>
        <w:t xml:space="preserve"> </w:t>
      </w:r>
      <w:r w:rsidR="00D7477E" w:rsidRPr="00114FDD">
        <w:rPr>
          <w:sz w:val="26"/>
          <w:szCs w:val="26"/>
        </w:rPr>
        <w:t>3</w:t>
      </w:r>
      <w:r w:rsidRPr="00114FDD">
        <w:rPr>
          <w:sz w:val="26"/>
          <w:szCs w:val="26"/>
        </w:rPr>
        <w:t>, 201</w:t>
      </w:r>
      <w:r w:rsidR="00D7477E" w:rsidRPr="00114FDD">
        <w:rPr>
          <w:sz w:val="26"/>
          <w:szCs w:val="26"/>
        </w:rPr>
        <w:t>0</w:t>
      </w:r>
      <w:r w:rsidRPr="00114FDD">
        <w:rPr>
          <w:sz w:val="26"/>
          <w:szCs w:val="26"/>
        </w:rPr>
        <w:t>, the Commission promulgated the 201</w:t>
      </w:r>
      <w:r w:rsidR="00D7477E" w:rsidRPr="00114FDD">
        <w:rPr>
          <w:sz w:val="26"/>
          <w:szCs w:val="26"/>
        </w:rPr>
        <w:t>0</w:t>
      </w:r>
      <w:r w:rsidRPr="00114FDD">
        <w:rPr>
          <w:sz w:val="26"/>
          <w:szCs w:val="26"/>
        </w:rPr>
        <w:t xml:space="preserve"> TRM.</w:t>
      </w:r>
      <w:r w:rsidRPr="00114FDD">
        <w:rPr>
          <w:rStyle w:val="FootnoteReference"/>
          <w:sz w:val="26"/>
          <w:szCs w:val="26"/>
        </w:rPr>
        <w:footnoteReference w:id="14"/>
      </w:r>
    </w:p>
    <w:p w:rsidR="0032291B" w:rsidRPr="00114FDD" w:rsidRDefault="0032291B" w:rsidP="00B64A9F">
      <w:pPr>
        <w:pStyle w:val="p3"/>
        <w:tabs>
          <w:tab w:val="clear" w:pos="204"/>
          <w:tab w:val="left" w:pos="720"/>
        </w:tabs>
        <w:spacing w:line="360" w:lineRule="auto"/>
        <w:ind w:firstLine="720"/>
        <w:rPr>
          <w:sz w:val="26"/>
          <w:szCs w:val="26"/>
        </w:rPr>
      </w:pPr>
    </w:p>
    <w:p w:rsidR="00761B89" w:rsidRPr="00114FDD" w:rsidRDefault="00761B89" w:rsidP="00B64A9F">
      <w:pPr>
        <w:pStyle w:val="p3"/>
        <w:tabs>
          <w:tab w:val="clear" w:pos="204"/>
          <w:tab w:val="left" w:pos="720"/>
        </w:tabs>
        <w:spacing w:line="360" w:lineRule="auto"/>
        <w:ind w:firstLine="720"/>
        <w:rPr>
          <w:sz w:val="26"/>
          <w:szCs w:val="26"/>
        </w:rPr>
      </w:pPr>
      <w:r w:rsidRPr="00114FDD">
        <w:rPr>
          <w:sz w:val="26"/>
          <w:szCs w:val="26"/>
        </w:rPr>
        <w:t>The Commission, in a Tentative Order adopted on</w:t>
      </w:r>
      <w:r w:rsidR="008335C4" w:rsidRPr="00114FDD">
        <w:rPr>
          <w:sz w:val="26"/>
          <w:szCs w:val="26"/>
        </w:rPr>
        <w:t xml:space="preserve"> </w:t>
      </w:r>
      <w:r w:rsidR="00DE2990" w:rsidRPr="00114FDD">
        <w:rPr>
          <w:sz w:val="26"/>
          <w:szCs w:val="26"/>
        </w:rPr>
        <w:t>November 19, 2010</w:t>
      </w:r>
      <w:r w:rsidR="008335C4" w:rsidRPr="00114FDD">
        <w:rPr>
          <w:sz w:val="26"/>
          <w:szCs w:val="26"/>
        </w:rPr>
        <w:t xml:space="preserve">, </w:t>
      </w:r>
      <w:r w:rsidR="000D03D3" w:rsidRPr="00114FDD">
        <w:rPr>
          <w:sz w:val="26"/>
          <w:szCs w:val="26"/>
        </w:rPr>
        <w:t xml:space="preserve">sought </w:t>
      </w:r>
      <w:r w:rsidR="008335C4" w:rsidRPr="00114FDD">
        <w:rPr>
          <w:sz w:val="26"/>
          <w:szCs w:val="26"/>
        </w:rPr>
        <w:t xml:space="preserve">comments on </w:t>
      </w:r>
      <w:r w:rsidR="000D03D3" w:rsidRPr="00114FDD">
        <w:rPr>
          <w:sz w:val="26"/>
          <w:szCs w:val="26"/>
        </w:rPr>
        <w:t>a</w:t>
      </w:r>
      <w:r w:rsidR="008335C4" w:rsidRPr="00114FDD">
        <w:rPr>
          <w:sz w:val="26"/>
          <w:szCs w:val="26"/>
        </w:rPr>
        <w:t xml:space="preserve"> proposed 201</w:t>
      </w:r>
      <w:r w:rsidR="00DE2990" w:rsidRPr="00114FDD">
        <w:rPr>
          <w:sz w:val="26"/>
          <w:szCs w:val="26"/>
        </w:rPr>
        <w:t>1</w:t>
      </w:r>
      <w:r w:rsidR="008335C4" w:rsidRPr="00114FDD">
        <w:rPr>
          <w:sz w:val="26"/>
          <w:szCs w:val="26"/>
        </w:rPr>
        <w:t xml:space="preserve"> TRM annual update.</w:t>
      </w:r>
      <w:r w:rsidR="008335C4" w:rsidRPr="00114FDD">
        <w:rPr>
          <w:rStyle w:val="FootnoteReference"/>
          <w:sz w:val="26"/>
          <w:szCs w:val="26"/>
        </w:rPr>
        <w:footnoteReference w:id="15"/>
      </w:r>
      <w:r w:rsidR="008335C4" w:rsidRPr="00114FDD">
        <w:rPr>
          <w:sz w:val="26"/>
          <w:szCs w:val="26"/>
        </w:rPr>
        <w:t xml:space="preserve">  In an Order, adopted </w:t>
      </w:r>
      <w:r w:rsidR="00DE2990" w:rsidRPr="00114FDD">
        <w:rPr>
          <w:sz w:val="26"/>
          <w:szCs w:val="26"/>
        </w:rPr>
        <w:t>February 24, 2011</w:t>
      </w:r>
      <w:r w:rsidR="008335C4" w:rsidRPr="00114FDD">
        <w:rPr>
          <w:sz w:val="26"/>
          <w:szCs w:val="26"/>
        </w:rPr>
        <w:t>, the</w:t>
      </w:r>
      <w:r w:rsidR="00DE2990" w:rsidRPr="00114FDD">
        <w:rPr>
          <w:sz w:val="26"/>
          <w:szCs w:val="26"/>
        </w:rPr>
        <w:t xml:space="preserve"> Commission promulgated the 2011</w:t>
      </w:r>
      <w:r w:rsidR="008335C4" w:rsidRPr="00114FDD">
        <w:rPr>
          <w:sz w:val="26"/>
          <w:szCs w:val="26"/>
        </w:rPr>
        <w:t xml:space="preserve"> TRM.</w:t>
      </w:r>
      <w:r w:rsidR="00D60305" w:rsidRPr="00114FDD">
        <w:rPr>
          <w:rStyle w:val="FootnoteReference"/>
          <w:sz w:val="26"/>
          <w:szCs w:val="26"/>
        </w:rPr>
        <w:footnoteReference w:id="16"/>
      </w:r>
    </w:p>
    <w:p w:rsidR="006704B1" w:rsidRPr="00114FDD" w:rsidRDefault="006704B1" w:rsidP="00B64A9F">
      <w:pPr>
        <w:pStyle w:val="p3"/>
        <w:tabs>
          <w:tab w:val="clear" w:pos="204"/>
          <w:tab w:val="left" w:pos="720"/>
        </w:tabs>
        <w:spacing w:line="360" w:lineRule="auto"/>
        <w:ind w:firstLine="720"/>
        <w:rPr>
          <w:sz w:val="26"/>
          <w:szCs w:val="26"/>
        </w:rPr>
      </w:pPr>
    </w:p>
    <w:p w:rsidR="006704B1" w:rsidRPr="00114FDD" w:rsidRDefault="006704B1" w:rsidP="00B64A9F">
      <w:pPr>
        <w:pStyle w:val="p3"/>
        <w:tabs>
          <w:tab w:val="clear" w:pos="204"/>
          <w:tab w:val="left" w:pos="720"/>
        </w:tabs>
        <w:spacing w:line="360" w:lineRule="auto"/>
        <w:ind w:firstLine="720"/>
        <w:rPr>
          <w:sz w:val="26"/>
          <w:szCs w:val="26"/>
        </w:rPr>
      </w:pPr>
      <w:r w:rsidRPr="00114FDD">
        <w:rPr>
          <w:sz w:val="26"/>
          <w:szCs w:val="26"/>
        </w:rPr>
        <w:lastRenderedPageBreak/>
        <w:t>The Commission in a Tentative Order adopted on September 22, 2011, sought comments on a proposed 2012 TRM annual update.</w:t>
      </w:r>
      <w:r w:rsidRPr="00114FDD">
        <w:rPr>
          <w:rStyle w:val="FootnoteReference"/>
          <w:sz w:val="26"/>
          <w:szCs w:val="26"/>
        </w:rPr>
        <w:footnoteReference w:id="17"/>
      </w:r>
      <w:r w:rsidRPr="00114FDD">
        <w:rPr>
          <w:sz w:val="26"/>
          <w:szCs w:val="26"/>
        </w:rPr>
        <w:t xml:space="preserve">  In an Order, adopted December 15, 2011, the Commission promulgated the 2012 TRM.</w:t>
      </w:r>
      <w:r w:rsidRPr="00114FDD">
        <w:rPr>
          <w:rStyle w:val="FootnoteReference"/>
          <w:sz w:val="26"/>
          <w:szCs w:val="26"/>
        </w:rPr>
        <w:footnoteReference w:id="18"/>
      </w:r>
    </w:p>
    <w:p w:rsidR="00FA4295" w:rsidRPr="00114FDD" w:rsidRDefault="00FA4295" w:rsidP="00B64A9F">
      <w:pPr>
        <w:pStyle w:val="p3"/>
        <w:tabs>
          <w:tab w:val="clear" w:pos="204"/>
          <w:tab w:val="left" w:pos="720"/>
        </w:tabs>
        <w:spacing w:line="360" w:lineRule="auto"/>
        <w:ind w:firstLine="720"/>
        <w:rPr>
          <w:sz w:val="26"/>
          <w:szCs w:val="26"/>
        </w:rPr>
      </w:pPr>
    </w:p>
    <w:p w:rsidR="00FA4295" w:rsidRPr="00114FDD" w:rsidRDefault="00FA4295" w:rsidP="00B64A9F">
      <w:pPr>
        <w:pStyle w:val="p3"/>
        <w:tabs>
          <w:tab w:val="clear" w:pos="204"/>
          <w:tab w:val="left" w:pos="720"/>
        </w:tabs>
        <w:spacing w:line="360" w:lineRule="auto"/>
        <w:ind w:firstLine="720"/>
        <w:rPr>
          <w:sz w:val="26"/>
          <w:szCs w:val="26"/>
        </w:rPr>
      </w:pPr>
      <w:r w:rsidRPr="00114FDD">
        <w:rPr>
          <w:sz w:val="26"/>
          <w:szCs w:val="26"/>
        </w:rPr>
        <w:t xml:space="preserve">The SWE, in collaboration with </w:t>
      </w:r>
      <w:r w:rsidR="000D03D3" w:rsidRPr="00114FDD">
        <w:rPr>
          <w:sz w:val="26"/>
          <w:szCs w:val="26"/>
        </w:rPr>
        <w:t>the</w:t>
      </w:r>
      <w:r w:rsidRPr="00114FDD">
        <w:rPr>
          <w:sz w:val="26"/>
          <w:szCs w:val="26"/>
        </w:rPr>
        <w:t xml:space="preserve"> </w:t>
      </w:r>
      <w:r w:rsidR="0067494D" w:rsidRPr="00114FDD">
        <w:rPr>
          <w:sz w:val="26"/>
          <w:szCs w:val="26"/>
        </w:rPr>
        <w:t xml:space="preserve">PEG </w:t>
      </w:r>
      <w:r w:rsidR="009853B0" w:rsidRPr="00114FDD">
        <w:rPr>
          <w:sz w:val="26"/>
          <w:szCs w:val="26"/>
        </w:rPr>
        <w:t xml:space="preserve">and Commission </w:t>
      </w:r>
      <w:r w:rsidR="00D153EE" w:rsidRPr="00114FDD">
        <w:rPr>
          <w:sz w:val="26"/>
          <w:szCs w:val="26"/>
        </w:rPr>
        <w:t>S</w:t>
      </w:r>
      <w:r w:rsidR="009853B0" w:rsidRPr="00114FDD">
        <w:rPr>
          <w:sz w:val="26"/>
          <w:szCs w:val="26"/>
        </w:rPr>
        <w:t>taff</w:t>
      </w:r>
      <w:r w:rsidR="00DE2990" w:rsidRPr="00114FDD">
        <w:rPr>
          <w:sz w:val="26"/>
          <w:szCs w:val="26"/>
        </w:rPr>
        <w:t>,</w:t>
      </w:r>
      <w:r w:rsidR="007365CB">
        <w:rPr>
          <w:sz w:val="26"/>
          <w:szCs w:val="26"/>
        </w:rPr>
        <w:t xml:space="preserve"> with input from the TWG,</w:t>
      </w:r>
      <w:r w:rsidR="00DE2990" w:rsidRPr="00114FDD">
        <w:rPr>
          <w:sz w:val="26"/>
          <w:szCs w:val="26"/>
        </w:rPr>
        <w:t xml:space="preserve"> reviewed the 201</w:t>
      </w:r>
      <w:r w:rsidR="003B0015" w:rsidRPr="00114FDD">
        <w:rPr>
          <w:sz w:val="26"/>
          <w:szCs w:val="26"/>
        </w:rPr>
        <w:t>2</w:t>
      </w:r>
      <w:r w:rsidRPr="00114FDD">
        <w:rPr>
          <w:sz w:val="26"/>
          <w:szCs w:val="26"/>
        </w:rPr>
        <w:t xml:space="preserve"> TRM and propos</w:t>
      </w:r>
      <w:r w:rsidR="009853B0" w:rsidRPr="00114FDD">
        <w:rPr>
          <w:sz w:val="26"/>
          <w:szCs w:val="26"/>
        </w:rPr>
        <w:t>es</w:t>
      </w:r>
      <w:r w:rsidRPr="00114FDD">
        <w:rPr>
          <w:sz w:val="26"/>
          <w:szCs w:val="26"/>
        </w:rPr>
        <w:t xml:space="preserve"> </w:t>
      </w:r>
      <w:r w:rsidR="000D03D3" w:rsidRPr="00114FDD">
        <w:rPr>
          <w:sz w:val="26"/>
          <w:szCs w:val="26"/>
        </w:rPr>
        <w:t xml:space="preserve">several </w:t>
      </w:r>
      <w:r w:rsidRPr="00114FDD">
        <w:rPr>
          <w:sz w:val="26"/>
          <w:szCs w:val="26"/>
        </w:rPr>
        <w:t xml:space="preserve">changes and additions </w:t>
      </w:r>
      <w:r w:rsidR="009853B0" w:rsidRPr="00114FDD">
        <w:rPr>
          <w:sz w:val="26"/>
          <w:szCs w:val="26"/>
        </w:rPr>
        <w:t>for consideration for inclusion in the 201</w:t>
      </w:r>
      <w:r w:rsidR="003B0015" w:rsidRPr="00114FDD">
        <w:rPr>
          <w:sz w:val="26"/>
          <w:szCs w:val="26"/>
        </w:rPr>
        <w:t>3</w:t>
      </w:r>
      <w:r w:rsidR="009853B0" w:rsidRPr="00114FDD">
        <w:rPr>
          <w:sz w:val="26"/>
          <w:szCs w:val="26"/>
        </w:rPr>
        <w:t xml:space="preserve"> TRM.  </w:t>
      </w:r>
      <w:r w:rsidR="007F5D18" w:rsidRPr="00114FDD">
        <w:rPr>
          <w:sz w:val="26"/>
          <w:szCs w:val="26"/>
        </w:rPr>
        <w:t>This Tentative Order discusses the</w:t>
      </w:r>
      <w:r w:rsidR="009853B0" w:rsidRPr="00114FDD">
        <w:rPr>
          <w:sz w:val="26"/>
          <w:szCs w:val="26"/>
        </w:rPr>
        <w:t xml:space="preserve"> </w:t>
      </w:r>
      <w:r w:rsidR="008751CF" w:rsidRPr="00114FDD">
        <w:rPr>
          <w:sz w:val="26"/>
          <w:szCs w:val="26"/>
        </w:rPr>
        <w:t xml:space="preserve">significant changes </w:t>
      </w:r>
      <w:r w:rsidR="009853B0" w:rsidRPr="00114FDD">
        <w:rPr>
          <w:sz w:val="26"/>
          <w:szCs w:val="26"/>
        </w:rPr>
        <w:t>proposed</w:t>
      </w:r>
      <w:r w:rsidR="00D7477E" w:rsidRPr="00114FDD">
        <w:rPr>
          <w:sz w:val="26"/>
          <w:szCs w:val="26"/>
        </w:rPr>
        <w:t xml:space="preserve"> for the</w:t>
      </w:r>
      <w:r w:rsidR="009853B0" w:rsidRPr="00114FDD">
        <w:rPr>
          <w:sz w:val="26"/>
          <w:szCs w:val="26"/>
        </w:rPr>
        <w:t xml:space="preserve"> 201</w:t>
      </w:r>
      <w:r w:rsidR="003B0015" w:rsidRPr="00114FDD">
        <w:rPr>
          <w:sz w:val="26"/>
          <w:szCs w:val="26"/>
        </w:rPr>
        <w:t>3</w:t>
      </w:r>
      <w:r w:rsidR="009853B0" w:rsidRPr="00114FDD">
        <w:rPr>
          <w:sz w:val="26"/>
          <w:szCs w:val="26"/>
        </w:rPr>
        <w:t xml:space="preserve"> version of the TRM</w:t>
      </w:r>
      <w:r w:rsidR="009A746C" w:rsidRPr="00114FDD">
        <w:rPr>
          <w:sz w:val="26"/>
          <w:szCs w:val="26"/>
        </w:rPr>
        <w:t>.  With the adoption of this Tentative Order, the Commission seeks comments on the proposed 201</w:t>
      </w:r>
      <w:r w:rsidR="003B0015" w:rsidRPr="00114FDD">
        <w:rPr>
          <w:sz w:val="26"/>
          <w:szCs w:val="26"/>
        </w:rPr>
        <w:t>3</w:t>
      </w:r>
      <w:r w:rsidR="009A746C" w:rsidRPr="00114FDD">
        <w:rPr>
          <w:sz w:val="26"/>
          <w:szCs w:val="26"/>
        </w:rPr>
        <w:t xml:space="preserve"> TRM.  </w:t>
      </w:r>
      <w:r w:rsidR="007F5D18" w:rsidRPr="00114FDD">
        <w:rPr>
          <w:sz w:val="26"/>
          <w:szCs w:val="26"/>
        </w:rPr>
        <w:t>The proposed 201</w:t>
      </w:r>
      <w:r w:rsidR="003B0015" w:rsidRPr="00114FDD">
        <w:rPr>
          <w:sz w:val="26"/>
          <w:szCs w:val="26"/>
        </w:rPr>
        <w:t>3</w:t>
      </w:r>
      <w:r w:rsidR="007F5D18" w:rsidRPr="00114FDD">
        <w:rPr>
          <w:sz w:val="26"/>
          <w:szCs w:val="26"/>
        </w:rPr>
        <w:t xml:space="preserve"> TRM and its associated </w:t>
      </w:r>
      <w:r w:rsidR="001E1ED6" w:rsidRPr="00114FDD">
        <w:rPr>
          <w:sz w:val="26"/>
          <w:szCs w:val="26"/>
        </w:rPr>
        <w:t>Appendixes</w:t>
      </w:r>
      <w:r w:rsidR="007F5D18" w:rsidRPr="00114FDD">
        <w:rPr>
          <w:sz w:val="26"/>
          <w:szCs w:val="26"/>
        </w:rPr>
        <w:t xml:space="preserve"> can be found on the Commission’s website at</w:t>
      </w:r>
      <w:r w:rsidR="003B0015" w:rsidRPr="00114FDD">
        <w:rPr>
          <w:sz w:val="26"/>
          <w:szCs w:val="26"/>
        </w:rPr>
        <w:t xml:space="preserve"> </w:t>
      </w:r>
      <w:hyperlink r:id="rId9" w:history="1">
        <w:r w:rsidR="003B0015" w:rsidRPr="00114FDD">
          <w:rPr>
            <w:rStyle w:val="Hyperlink"/>
            <w:sz w:val="26"/>
            <w:szCs w:val="26"/>
          </w:rPr>
          <w:t>http://www.puc.state.pa.us/electric/Act129/TRM.aspx</w:t>
        </w:r>
      </w:hyperlink>
      <w:r w:rsidR="001E1ED6" w:rsidRPr="00114FDD">
        <w:rPr>
          <w:sz w:val="26"/>
          <w:szCs w:val="26"/>
        </w:rPr>
        <w:t xml:space="preserve">.  </w:t>
      </w:r>
      <w:r w:rsidR="009A746C" w:rsidRPr="00114FDD">
        <w:rPr>
          <w:sz w:val="26"/>
          <w:szCs w:val="26"/>
        </w:rPr>
        <w:t xml:space="preserve">A </w:t>
      </w:r>
      <w:r w:rsidR="000A2B31">
        <w:rPr>
          <w:sz w:val="26"/>
          <w:szCs w:val="26"/>
        </w:rPr>
        <w:t>n</w:t>
      </w:r>
      <w:r w:rsidR="000A2B31" w:rsidRPr="00114FDD">
        <w:rPr>
          <w:sz w:val="26"/>
          <w:szCs w:val="26"/>
        </w:rPr>
        <w:t xml:space="preserve">otice </w:t>
      </w:r>
      <w:r w:rsidR="009A746C" w:rsidRPr="00114FDD">
        <w:rPr>
          <w:sz w:val="26"/>
          <w:szCs w:val="26"/>
        </w:rPr>
        <w:t xml:space="preserve">of the adoption of this Tentative Order </w:t>
      </w:r>
      <w:r w:rsidR="001E1ED6" w:rsidRPr="00114FDD">
        <w:rPr>
          <w:sz w:val="26"/>
          <w:szCs w:val="26"/>
        </w:rPr>
        <w:t>and the proposed 201</w:t>
      </w:r>
      <w:r w:rsidR="003B0015" w:rsidRPr="00114FDD">
        <w:rPr>
          <w:sz w:val="26"/>
          <w:szCs w:val="26"/>
        </w:rPr>
        <w:t>3</w:t>
      </w:r>
      <w:r w:rsidR="001E1ED6" w:rsidRPr="00114FDD">
        <w:rPr>
          <w:sz w:val="26"/>
          <w:szCs w:val="26"/>
        </w:rPr>
        <w:t xml:space="preserve"> TRM </w:t>
      </w:r>
      <w:r w:rsidR="009A746C" w:rsidRPr="00114FDD">
        <w:rPr>
          <w:sz w:val="26"/>
          <w:szCs w:val="26"/>
        </w:rPr>
        <w:t>will be published in t</w:t>
      </w:r>
      <w:r w:rsidRPr="00114FDD">
        <w:rPr>
          <w:sz w:val="26"/>
          <w:szCs w:val="26"/>
        </w:rPr>
        <w:t xml:space="preserve">he </w:t>
      </w:r>
      <w:r w:rsidRPr="00114FDD">
        <w:rPr>
          <w:i/>
          <w:sz w:val="26"/>
          <w:szCs w:val="26"/>
        </w:rPr>
        <w:t>Pennsylvania Bulletin</w:t>
      </w:r>
      <w:r w:rsidRPr="00114FDD">
        <w:rPr>
          <w:sz w:val="26"/>
          <w:szCs w:val="26"/>
        </w:rPr>
        <w:t xml:space="preserve"> </w:t>
      </w:r>
      <w:r w:rsidR="009A746C" w:rsidRPr="00114FDD">
        <w:rPr>
          <w:sz w:val="26"/>
          <w:szCs w:val="26"/>
        </w:rPr>
        <w:t>with c</w:t>
      </w:r>
      <w:r w:rsidRPr="00114FDD">
        <w:rPr>
          <w:sz w:val="26"/>
          <w:szCs w:val="26"/>
        </w:rPr>
        <w:t xml:space="preserve">omments </w:t>
      </w:r>
      <w:r w:rsidR="009A746C" w:rsidRPr="00114FDD">
        <w:rPr>
          <w:sz w:val="26"/>
          <w:szCs w:val="26"/>
        </w:rPr>
        <w:t xml:space="preserve">on the </w:t>
      </w:r>
      <w:r w:rsidR="00DE2990" w:rsidRPr="00114FDD">
        <w:rPr>
          <w:sz w:val="26"/>
          <w:szCs w:val="26"/>
        </w:rPr>
        <w:t>proposed 201</w:t>
      </w:r>
      <w:r w:rsidR="003B0015" w:rsidRPr="00114FDD">
        <w:rPr>
          <w:sz w:val="26"/>
          <w:szCs w:val="26"/>
        </w:rPr>
        <w:t>3</w:t>
      </w:r>
      <w:r w:rsidR="007F5D18" w:rsidRPr="00114FDD">
        <w:rPr>
          <w:sz w:val="26"/>
          <w:szCs w:val="26"/>
        </w:rPr>
        <w:t xml:space="preserve"> TRM</w:t>
      </w:r>
      <w:r w:rsidRPr="00114FDD">
        <w:rPr>
          <w:sz w:val="26"/>
          <w:szCs w:val="26"/>
        </w:rPr>
        <w:t xml:space="preserve"> due </w:t>
      </w:r>
      <w:r w:rsidR="003B0015" w:rsidRPr="00114FDD">
        <w:rPr>
          <w:sz w:val="26"/>
          <w:szCs w:val="26"/>
        </w:rPr>
        <w:t>within 3</w:t>
      </w:r>
      <w:r w:rsidR="00991EB1" w:rsidRPr="00114FDD">
        <w:rPr>
          <w:sz w:val="26"/>
          <w:szCs w:val="26"/>
        </w:rPr>
        <w:t xml:space="preserve">0 days after publication of the </w:t>
      </w:r>
      <w:r w:rsidR="000A2B31">
        <w:rPr>
          <w:sz w:val="26"/>
          <w:szCs w:val="26"/>
        </w:rPr>
        <w:t>n</w:t>
      </w:r>
      <w:r w:rsidR="000A2B31" w:rsidRPr="00114FDD">
        <w:rPr>
          <w:sz w:val="26"/>
          <w:szCs w:val="26"/>
        </w:rPr>
        <w:t xml:space="preserve">otice </w:t>
      </w:r>
      <w:r w:rsidR="00991EB1" w:rsidRPr="00114FDD">
        <w:rPr>
          <w:sz w:val="26"/>
          <w:szCs w:val="26"/>
        </w:rPr>
        <w:t>and</w:t>
      </w:r>
      <w:r w:rsidRPr="00114FDD">
        <w:rPr>
          <w:sz w:val="26"/>
          <w:szCs w:val="26"/>
        </w:rPr>
        <w:t xml:space="preserve"> reply comments due </w:t>
      </w:r>
      <w:r w:rsidR="003B0015" w:rsidRPr="00114FDD">
        <w:rPr>
          <w:sz w:val="26"/>
          <w:szCs w:val="26"/>
        </w:rPr>
        <w:t>within 4</w:t>
      </w:r>
      <w:r w:rsidR="007F5D18" w:rsidRPr="00114FDD">
        <w:rPr>
          <w:sz w:val="26"/>
          <w:szCs w:val="26"/>
        </w:rPr>
        <w:t>0</w:t>
      </w:r>
      <w:r w:rsidR="00991EB1" w:rsidRPr="00114FDD">
        <w:rPr>
          <w:sz w:val="26"/>
          <w:szCs w:val="26"/>
        </w:rPr>
        <w:t xml:space="preserve"> days after publication of the </w:t>
      </w:r>
      <w:r w:rsidR="000A2B31">
        <w:rPr>
          <w:sz w:val="26"/>
          <w:szCs w:val="26"/>
        </w:rPr>
        <w:t>n</w:t>
      </w:r>
      <w:r w:rsidR="000A2B31" w:rsidRPr="00114FDD">
        <w:rPr>
          <w:sz w:val="26"/>
          <w:szCs w:val="26"/>
        </w:rPr>
        <w:t>otice</w:t>
      </w:r>
      <w:r w:rsidRPr="00114FDD">
        <w:rPr>
          <w:sz w:val="26"/>
          <w:szCs w:val="26"/>
        </w:rPr>
        <w:t>.</w:t>
      </w:r>
    </w:p>
    <w:p w:rsidR="00FA4295" w:rsidRPr="00114FDD" w:rsidRDefault="00FA4295" w:rsidP="00B64A9F">
      <w:pPr>
        <w:pStyle w:val="p3"/>
        <w:tabs>
          <w:tab w:val="clear" w:pos="204"/>
          <w:tab w:val="left" w:pos="720"/>
        </w:tabs>
        <w:spacing w:line="360" w:lineRule="auto"/>
        <w:ind w:firstLine="720"/>
        <w:rPr>
          <w:sz w:val="26"/>
          <w:szCs w:val="26"/>
        </w:rPr>
      </w:pPr>
    </w:p>
    <w:p w:rsidR="00B64A9F" w:rsidRPr="00114FDD" w:rsidRDefault="00B64A9F" w:rsidP="00B64A9F">
      <w:pPr>
        <w:pStyle w:val="p3"/>
        <w:tabs>
          <w:tab w:val="clear" w:pos="204"/>
          <w:tab w:val="left" w:pos="720"/>
        </w:tabs>
        <w:spacing w:line="360" w:lineRule="auto"/>
        <w:ind w:firstLine="720"/>
        <w:rPr>
          <w:sz w:val="26"/>
          <w:szCs w:val="26"/>
        </w:rPr>
      </w:pPr>
    </w:p>
    <w:p w:rsidR="00FA4295" w:rsidRPr="00114FDD" w:rsidRDefault="00FA4295" w:rsidP="00B64A9F">
      <w:pPr>
        <w:pStyle w:val="p3"/>
        <w:tabs>
          <w:tab w:val="clear" w:pos="204"/>
          <w:tab w:val="left" w:pos="720"/>
        </w:tabs>
        <w:spacing w:line="360" w:lineRule="auto"/>
        <w:jc w:val="center"/>
        <w:outlineLvl w:val="0"/>
        <w:rPr>
          <w:b/>
          <w:sz w:val="26"/>
          <w:szCs w:val="26"/>
        </w:rPr>
      </w:pPr>
      <w:bookmarkStart w:id="1" w:name="_Toc334174989"/>
      <w:r w:rsidRPr="00114FDD">
        <w:rPr>
          <w:b/>
          <w:sz w:val="26"/>
          <w:szCs w:val="26"/>
        </w:rPr>
        <w:t>DISCUSSION</w:t>
      </w:r>
      <w:bookmarkEnd w:id="1"/>
    </w:p>
    <w:p w:rsidR="00FA4295" w:rsidRPr="00114FDD" w:rsidRDefault="00FA4295" w:rsidP="00B64A9F">
      <w:pPr>
        <w:pStyle w:val="p3"/>
        <w:tabs>
          <w:tab w:val="clear" w:pos="204"/>
          <w:tab w:val="left" w:pos="720"/>
        </w:tabs>
        <w:spacing w:line="360" w:lineRule="auto"/>
        <w:jc w:val="center"/>
        <w:rPr>
          <w:sz w:val="26"/>
          <w:szCs w:val="26"/>
        </w:rPr>
      </w:pPr>
    </w:p>
    <w:p w:rsidR="00FA4295" w:rsidRPr="00114FDD" w:rsidRDefault="00E474AA" w:rsidP="00B64A9F">
      <w:pPr>
        <w:pStyle w:val="p3"/>
        <w:tabs>
          <w:tab w:val="clear" w:pos="204"/>
          <w:tab w:val="left" w:pos="720"/>
        </w:tabs>
        <w:spacing w:line="360" w:lineRule="auto"/>
        <w:ind w:firstLine="720"/>
        <w:rPr>
          <w:sz w:val="26"/>
          <w:szCs w:val="26"/>
        </w:rPr>
      </w:pPr>
      <w:r w:rsidRPr="00114FDD">
        <w:rPr>
          <w:sz w:val="26"/>
          <w:szCs w:val="26"/>
        </w:rPr>
        <w:t>The p</w:t>
      </w:r>
      <w:r w:rsidR="00FA4295" w:rsidRPr="00114FDD">
        <w:rPr>
          <w:sz w:val="26"/>
          <w:szCs w:val="26"/>
        </w:rPr>
        <w:t>roposed improvements to the TRM are based on more recent research</w:t>
      </w:r>
      <w:r w:rsidR="000A2B31">
        <w:rPr>
          <w:sz w:val="26"/>
          <w:szCs w:val="26"/>
        </w:rPr>
        <w:t>,</w:t>
      </w:r>
      <w:r w:rsidR="00FA4295" w:rsidRPr="00114FDD">
        <w:rPr>
          <w:sz w:val="26"/>
          <w:szCs w:val="26"/>
        </w:rPr>
        <w:t xml:space="preserve"> </w:t>
      </w:r>
      <w:r w:rsidR="00772098">
        <w:rPr>
          <w:sz w:val="26"/>
          <w:szCs w:val="26"/>
        </w:rPr>
        <w:t xml:space="preserve">a review of TRMs from other states </w:t>
      </w:r>
      <w:r w:rsidR="00FA4295" w:rsidRPr="00114FDD">
        <w:rPr>
          <w:sz w:val="26"/>
          <w:szCs w:val="26"/>
        </w:rPr>
        <w:t xml:space="preserve">and the needs </w:t>
      </w:r>
      <w:r w:rsidRPr="00114FDD">
        <w:rPr>
          <w:sz w:val="26"/>
          <w:szCs w:val="26"/>
        </w:rPr>
        <w:t xml:space="preserve">and experiences </w:t>
      </w:r>
      <w:r w:rsidR="00FA4295" w:rsidRPr="00114FDD">
        <w:rPr>
          <w:sz w:val="26"/>
          <w:szCs w:val="26"/>
        </w:rPr>
        <w:t xml:space="preserve">of the EDCs. </w:t>
      </w:r>
      <w:r w:rsidRPr="00114FDD">
        <w:rPr>
          <w:sz w:val="26"/>
          <w:szCs w:val="26"/>
        </w:rPr>
        <w:t xml:space="preserve"> The EDCs provided, through the SWE evaluation and verification process, m</w:t>
      </w:r>
      <w:r w:rsidR="00FA4295" w:rsidRPr="00114FDD">
        <w:rPr>
          <w:sz w:val="26"/>
          <w:szCs w:val="26"/>
        </w:rPr>
        <w:t xml:space="preserve">uch of the data that forms the basis of these recommended improvements. </w:t>
      </w:r>
      <w:r w:rsidRPr="00114FDD">
        <w:rPr>
          <w:sz w:val="26"/>
          <w:szCs w:val="26"/>
        </w:rPr>
        <w:t xml:space="preserve"> </w:t>
      </w:r>
      <w:r w:rsidR="00DF3FBE" w:rsidRPr="00114FDD">
        <w:rPr>
          <w:sz w:val="26"/>
          <w:szCs w:val="26"/>
        </w:rPr>
        <w:t>Specifically, t</w:t>
      </w:r>
      <w:r w:rsidR="00FA4295" w:rsidRPr="00114FDD">
        <w:rPr>
          <w:sz w:val="26"/>
          <w:szCs w:val="26"/>
        </w:rPr>
        <w:t xml:space="preserve">he current </w:t>
      </w:r>
      <w:r w:rsidR="00DF3FBE" w:rsidRPr="00114FDD">
        <w:rPr>
          <w:sz w:val="26"/>
          <w:szCs w:val="26"/>
        </w:rPr>
        <w:t xml:space="preserve">proposed </w:t>
      </w:r>
      <w:r w:rsidR="00FA4295" w:rsidRPr="00114FDD">
        <w:rPr>
          <w:sz w:val="26"/>
          <w:szCs w:val="26"/>
        </w:rPr>
        <w:t xml:space="preserve">improvements were the result of </w:t>
      </w:r>
      <w:r w:rsidR="00DF3FBE" w:rsidRPr="00114FDD">
        <w:rPr>
          <w:sz w:val="26"/>
          <w:szCs w:val="26"/>
        </w:rPr>
        <w:t>SWE site inspections</w:t>
      </w:r>
      <w:r w:rsidR="00FA4295" w:rsidRPr="00114FDD">
        <w:rPr>
          <w:sz w:val="26"/>
          <w:szCs w:val="26"/>
        </w:rPr>
        <w:t xml:space="preserve">, </w:t>
      </w:r>
      <w:r w:rsidR="004973D2" w:rsidRPr="00114FDD">
        <w:rPr>
          <w:sz w:val="26"/>
          <w:szCs w:val="26"/>
        </w:rPr>
        <w:t xml:space="preserve">and </w:t>
      </w:r>
      <w:r w:rsidR="000A2B31">
        <w:rPr>
          <w:sz w:val="26"/>
          <w:szCs w:val="26"/>
        </w:rPr>
        <w:t>c</w:t>
      </w:r>
      <w:r w:rsidR="000A2B31" w:rsidRPr="00114FDD">
        <w:rPr>
          <w:sz w:val="26"/>
          <w:szCs w:val="26"/>
        </w:rPr>
        <w:t xml:space="preserve">onservation </w:t>
      </w:r>
      <w:r w:rsidR="000A2B31">
        <w:rPr>
          <w:sz w:val="26"/>
          <w:szCs w:val="26"/>
        </w:rPr>
        <w:t>s</w:t>
      </w:r>
      <w:r w:rsidR="000A2B31" w:rsidRPr="00114FDD">
        <w:rPr>
          <w:sz w:val="26"/>
          <w:szCs w:val="26"/>
        </w:rPr>
        <w:t xml:space="preserve">ervice </w:t>
      </w:r>
      <w:r w:rsidR="000A2B31">
        <w:rPr>
          <w:sz w:val="26"/>
          <w:szCs w:val="26"/>
        </w:rPr>
        <w:lastRenderedPageBreak/>
        <w:t>p</w:t>
      </w:r>
      <w:r w:rsidR="000A2B31" w:rsidRPr="00114FDD">
        <w:rPr>
          <w:sz w:val="26"/>
          <w:szCs w:val="26"/>
        </w:rPr>
        <w:t xml:space="preserve">rovider </w:t>
      </w:r>
      <w:r w:rsidR="00DF3FBE" w:rsidRPr="00114FDD">
        <w:rPr>
          <w:sz w:val="26"/>
          <w:szCs w:val="26"/>
        </w:rPr>
        <w:t>(CSP)</w:t>
      </w:r>
      <w:r w:rsidR="0007435F" w:rsidRPr="00114FDD">
        <w:rPr>
          <w:sz w:val="26"/>
          <w:szCs w:val="26"/>
        </w:rPr>
        <w:t xml:space="preserve"> and</w:t>
      </w:r>
      <w:r w:rsidR="00FA4295" w:rsidRPr="00114FDD">
        <w:rPr>
          <w:sz w:val="26"/>
          <w:szCs w:val="26"/>
        </w:rPr>
        <w:t xml:space="preserve"> </w:t>
      </w:r>
      <w:r w:rsidR="000A2B31">
        <w:rPr>
          <w:sz w:val="26"/>
          <w:szCs w:val="26"/>
        </w:rPr>
        <w:t>EDC i</w:t>
      </w:r>
      <w:r w:rsidR="00DF3FBE" w:rsidRPr="00114FDD">
        <w:rPr>
          <w:sz w:val="26"/>
          <w:szCs w:val="26"/>
        </w:rPr>
        <w:t>ndependent</w:t>
      </w:r>
      <w:r w:rsidR="00FA4295" w:rsidRPr="00114FDD">
        <w:rPr>
          <w:sz w:val="26"/>
          <w:szCs w:val="26"/>
        </w:rPr>
        <w:t xml:space="preserve"> </w:t>
      </w:r>
      <w:r w:rsidR="000A2B31">
        <w:rPr>
          <w:sz w:val="26"/>
          <w:szCs w:val="26"/>
        </w:rPr>
        <w:t>e</w:t>
      </w:r>
      <w:r w:rsidR="000A2B31" w:rsidRPr="00114FDD">
        <w:rPr>
          <w:sz w:val="26"/>
          <w:szCs w:val="26"/>
        </w:rPr>
        <w:t xml:space="preserve">valuator </w:t>
      </w:r>
      <w:r w:rsidR="00106070" w:rsidRPr="00114FDD">
        <w:rPr>
          <w:sz w:val="26"/>
          <w:szCs w:val="26"/>
        </w:rPr>
        <w:t>comments</w:t>
      </w:r>
      <w:r w:rsidR="00FA4295" w:rsidRPr="00114FDD">
        <w:rPr>
          <w:sz w:val="26"/>
          <w:szCs w:val="26"/>
        </w:rPr>
        <w:t xml:space="preserve">. </w:t>
      </w:r>
      <w:r w:rsidR="008B7911" w:rsidRPr="00114FDD">
        <w:rPr>
          <w:sz w:val="26"/>
          <w:szCs w:val="26"/>
        </w:rPr>
        <w:t xml:space="preserve"> The proposed</w:t>
      </w:r>
      <w:r w:rsidR="00FA4295" w:rsidRPr="00114FDD">
        <w:rPr>
          <w:sz w:val="26"/>
          <w:szCs w:val="26"/>
        </w:rPr>
        <w:t xml:space="preserve"> </w:t>
      </w:r>
      <w:r w:rsidR="00084E4A" w:rsidRPr="00114FDD">
        <w:rPr>
          <w:sz w:val="26"/>
          <w:szCs w:val="26"/>
        </w:rPr>
        <w:t xml:space="preserve">updates </w:t>
      </w:r>
      <w:r w:rsidR="00590CE7" w:rsidRPr="00114FDD">
        <w:rPr>
          <w:sz w:val="26"/>
          <w:szCs w:val="26"/>
        </w:rPr>
        <w:t xml:space="preserve">mainly </w:t>
      </w:r>
      <w:r w:rsidR="00084E4A" w:rsidRPr="00114FDD">
        <w:rPr>
          <w:sz w:val="26"/>
          <w:szCs w:val="26"/>
        </w:rPr>
        <w:t>focus on improving assumptions for key parameters</w:t>
      </w:r>
      <w:r w:rsidR="00693A3D" w:rsidRPr="00114FDD">
        <w:rPr>
          <w:sz w:val="26"/>
          <w:szCs w:val="26"/>
        </w:rPr>
        <w:t>,</w:t>
      </w:r>
      <w:r w:rsidR="00084E4A" w:rsidRPr="00114FDD">
        <w:rPr>
          <w:sz w:val="26"/>
          <w:szCs w:val="26"/>
        </w:rPr>
        <w:t xml:space="preserve"> algorithms, deemed savings values and account</w:t>
      </w:r>
      <w:r w:rsidR="00693A3D" w:rsidRPr="00114FDD">
        <w:rPr>
          <w:sz w:val="26"/>
          <w:szCs w:val="26"/>
        </w:rPr>
        <w:t>ing</w:t>
      </w:r>
      <w:r w:rsidR="00084E4A" w:rsidRPr="00114FDD">
        <w:rPr>
          <w:sz w:val="26"/>
          <w:szCs w:val="26"/>
        </w:rPr>
        <w:t xml:space="preserve"> for new codes and standards for</w:t>
      </w:r>
      <w:r w:rsidR="008B7911" w:rsidRPr="00114FDD">
        <w:rPr>
          <w:sz w:val="26"/>
          <w:szCs w:val="26"/>
        </w:rPr>
        <w:t xml:space="preserve"> </w:t>
      </w:r>
      <w:r w:rsidR="00693A3D" w:rsidRPr="00114FDD">
        <w:rPr>
          <w:sz w:val="26"/>
          <w:szCs w:val="26"/>
        </w:rPr>
        <w:t xml:space="preserve">existing </w:t>
      </w:r>
      <w:r w:rsidR="000A2B31">
        <w:rPr>
          <w:sz w:val="26"/>
          <w:szCs w:val="26"/>
        </w:rPr>
        <w:t>r</w:t>
      </w:r>
      <w:r w:rsidR="000A2B31" w:rsidRPr="00114FDD">
        <w:rPr>
          <w:sz w:val="26"/>
          <w:szCs w:val="26"/>
        </w:rPr>
        <w:t>esidential</w:t>
      </w:r>
      <w:r w:rsidR="00084E4A" w:rsidRPr="00114FDD">
        <w:rPr>
          <w:sz w:val="26"/>
          <w:szCs w:val="26"/>
        </w:rPr>
        <w:t xml:space="preserve">, and </w:t>
      </w:r>
      <w:r w:rsidR="000A2B31">
        <w:rPr>
          <w:sz w:val="26"/>
          <w:szCs w:val="26"/>
        </w:rPr>
        <w:t>c</w:t>
      </w:r>
      <w:r w:rsidR="000A2B31" w:rsidRPr="00114FDD">
        <w:rPr>
          <w:sz w:val="26"/>
          <w:szCs w:val="26"/>
        </w:rPr>
        <w:t xml:space="preserve">ommercial </w:t>
      </w:r>
      <w:r w:rsidR="00084E4A" w:rsidRPr="00114FDD">
        <w:rPr>
          <w:sz w:val="26"/>
          <w:szCs w:val="26"/>
        </w:rPr>
        <w:t xml:space="preserve">and </w:t>
      </w:r>
      <w:r w:rsidR="000A2B31">
        <w:rPr>
          <w:sz w:val="26"/>
          <w:szCs w:val="26"/>
        </w:rPr>
        <w:t>i</w:t>
      </w:r>
      <w:r w:rsidR="000A2B31" w:rsidRPr="00114FDD">
        <w:rPr>
          <w:sz w:val="26"/>
          <w:szCs w:val="26"/>
        </w:rPr>
        <w:t xml:space="preserve">ndustrial </w:t>
      </w:r>
      <w:r w:rsidR="00084E4A" w:rsidRPr="00114FDD">
        <w:rPr>
          <w:sz w:val="26"/>
          <w:szCs w:val="26"/>
        </w:rPr>
        <w:t>(C&amp;I) EE&amp;C measures</w:t>
      </w:r>
      <w:r w:rsidR="00FA4295" w:rsidRPr="00114FDD">
        <w:rPr>
          <w:sz w:val="26"/>
          <w:szCs w:val="26"/>
        </w:rPr>
        <w:t xml:space="preserve">. </w:t>
      </w:r>
      <w:r w:rsidR="002D514E" w:rsidRPr="00114FDD">
        <w:rPr>
          <w:sz w:val="26"/>
          <w:szCs w:val="26"/>
        </w:rPr>
        <w:t xml:space="preserve"> </w:t>
      </w:r>
      <w:r w:rsidR="00FA4295" w:rsidRPr="00114FDD">
        <w:rPr>
          <w:sz w:val="26"/>
          <w:szCs w:val="26"/>
        </w:rPr>
        <w:t xml:space="preserve">The Commission believes that these </w:t>
      </w:r>
      <w:r w:rsidR="002D514E" w:rsidRPr="00114FDD">
        <w:rPr>
          <w:sz w:val="26"/>
          <w:szCs w:val="26"/>
        </w:rPr>
        <w:t xml:space="preserve">proposed </w:t>
      </w:r>
      <w:r w:rsidR="00FA4295" w:rsidRPr="00114FDD">
        <w:rPr>
          <w:sz w:val="26"/>
          <w:szCs w:val="26"/>
        </w:rPr>
        <w:t xml:space="preserve">changes will make the TRM a more effective and professional tool for validating </w:t>
      </w:r>
      <w:r w:rsidR="002D514E" w:rsidRPr="00114FDD">
        <w:rPr>
          <w:sz w:val="26"/>
          <w:szCs w:val="26"/>
        </w:rPr>
        <w:t xml:space="preserve">energy </w:t>
      </w:r>
      <w:r w:rsidR="00FA4295" w:rsidRPr="00114FDD">
        <w:rPr>
          <w:sz w:val="26"/>
          <w:szCs w:val="26"/>
        </w:rPr>
        <w:t xml:space="preserve">savings and providing support for the Act 129 goals.  The major goals of the </w:t>
      </w:r>
      <w:r w:rsidR="002D514E" w:rsidRPr="00114FDD">
        <w:rPr>
          <w:sz w:val="26"/>
          <w:szCs w:val="26"/>
        </w:rPr>
        <w:t xml:space="preserve">proposed </w:t>
      </w:r>
      <w:r w:rsidR="00FA4295" w:rsidRPr="00114FDD">
        <w:rPr>
          <w:sz w:val="26"/>
          <w:szCs w:val="26"/>
        </w:rPr>
        <w:t>modifications are as follows:</w:t>
      </w:r>
    </w:p>
    <w:p w:rsidR="00084E4A" w:rsidRPr="00114FDD" w:rsidRDefault="00084E4A" w:rsidP="00B64A9F">
      <w:pPr>
        <w:pStyle w:val="p3"/>
        <w:tabs>
          <w:tab w:val="clear" w:pos="204"/>
          <w:tab w:val="left" w:pos="720"/>
        </w:tabs>
        <w:spacing w:line="360" w:lineRule="auto"/>
        <w:rPr>
          <w:sz w:val="26"/>
          <w:szCs w:val="26"/>
        </w:rPr>
      </w:pPr>
    </w:p>
    <w:p w:rsidR="00FA4295" w:rsidRPr="00114FDD" w:rsidRDefault="00FA4295" w:rsidP="00B64A9F">
      <w:pPr>
        <w:numPr>
          <w:ilvl w:val="0"/>
          <w:numId w:val="1"/>
        </w:numPr>
        <w:tabs>
          <w:tab w:val="clear" w:pos="720"/>
          <w:tab w:val="num" w:pos="1080"/>
        </w:tabs>
        <w:spacing w:line="360" w:lineRule="auto"/>
        <w:ind w:left="1080"/>
        <w:rPr>
          <w:sz w:val="26"/>
          <w:szCs w:val="26"/>
        </w:rPr>
      </w:pPr>
      <w:r w:rsidRPr="00114FDD">
        <w:rPr>
          <w:sz w:val="26"/>
          <w:szCs w:val="26"/>
        </w:rPr>
        <w:t xml:space="preserve">To appropriately balance the integrity and accuracy of </w:t>
      </w:r>
      <w:r w:rsidR="00A00861" w:rsidRPr="00114FDD">
        <w:rPr>
          <w:sz w:val="26"/>
          <w:szCs w:val="26"/>
        </w:rPr>
        <w:t xml:space="preserve">claimed </w:t>
      </w:r>
      <w:r w:rsidR="00524930" w:rsidRPr="00114FDD">
        <w:rPr>
          <w:sz w:val="26"/>
          <w:szCs w:val="26"/>
        </w:rPr>
        <w:t xml:space="preserve">energy </w:t>
      </w:r>
      <w:r w:rsidRPr="00114FDD">
        <w:rPr>
          <w:sz w:val="26"/>
          <w:szCs w:val="26"/>
        </w:rPr>
        <w:t xml:space="preserve">savings estimates with costs incurred to measure </w:t>
      </w:r>
      <w:r w:rsidR="00A00861" w:rsidRPr="00114FDD">
        <w:rPr>
          <w:sz w:val="26"/>
          <w:szCs w:val="26"/>
        </w:rPr>
        <w:t>and verify the claimed energy</w:t>
      </w:r>
      <w:r w:rsidRPr="00114FDD">
        <w:rPr>
          <w:sz w:val="26"/>
          <w:szCs w:val="26"/>
        </w:rPr>
        <w:t xml:space="preserve"> savings;</w:t>
      </w:r>
    </w:p>
    <w:p w:rsidR="00FA4295" w:rsidRPr="00114FDD" w:rsidRDefault="00FA4295" w:rsidP="00B64A9F">
      <w:pPr>
        <w:numPr>
          <w:ilvl w:val="0"/>
          <w:numId w:val="1"/>
        </w:numPr>
        <w:tabs>
          <w:tab w:val="clear" w:pos="720"/>
          <w:tab w:val="num" w:pos="1080"/>
        </w:tabs>
        <w:spacing w:line="360" w:lineRule="auto"/>
        <w:ind w:left="1080"/>
        <w:rPr>
          <w:sz w:val="26"/>
          <w:szCs w:val="26"/>
        </w:rPr>
      </w:pPr>
      <w:r w:rsidRPr="00114FDD">
        <w:rPr>
          <w:sz w:val="26"/>
          <w:szCs w:val="26"/>
        </w:rPr>
        <w:t xml:space="preserve">To clarify </w:t>
      </w:r>
      <w:r w:rsidR="00A00861" w:rsidRPr="00114FDD">
        <w:rPr>
          <w:sz w:val="26"/>
          <w:szCs w:val="26"/>
        </w:rPr>
        <w:t>existing</w:t>
      </w:r>
      <w:r w:rsidRPr="00114FDD">
        <w:rPr>
          <w:sz w:val="26"/>
          <w:szCs w:val="26"/>
        </w:rPr>
        <w:t xml:space="preserve"> calculation methods;</w:t>
      </w:r>
    </w:p>
    <w:p w:rsidR="00FA4295" w:rsidRPr="00114FDD" w:rsidRDefault="00FA4295" w:rsidP="00B64A9F">
      <w:pPr>
        <w:numPr>
          <w:ilvl w:val="0"/>
          <w:numId w:val="1"/>
        </w:numPr>
        <w:tabs>
          <w:tab w:val="clear" w:pos="720"/>
          <w:tab w:val="num" w:pos="1080"/>
        </w:tabs>
        <w:spacing w:line="360" w:lineRule="auto"/>
        <w:ind w:left="1080"/>
        <w:rPr>
          <w:sz w:val="26"/>
          <w:szCs w:val="26"/>
        </w:rPr>
      </w:pPr>
      <w:r w:rsidRPr="00114FDD">
        <w:rPr>
          <w:sz w:val="26"/>
          <w:szCs w:val="26"/>
        </w:rPr>
        <w:t xml:space="preserve">To minimize the number of </w:t>
      </w:r>
      <w:r w:rsidR="00A00861" w:rsidRPr="00114FDD">
        <w:rPr>
          <w:sz w:val="26"/>
          <w:szCs w:val="26"/>
        </w:rPr>
        <w:t xml:space="preserve">EE&amp;C </w:t>
      </w:r>
      <w:r w:rsidRPr="00114FDD">
        <w:rPr>
          <w:sz w:val="26"/>
          <w:szCs w:val="26"/>
        </w:rPr>
        <w:t>measures that must be evaluated through custom protocols;</w:t>
      </w:r>
      <w:r w:rsidR="002A00C9" w:rsidRPr="00114FDD">
        <w:rPr>
          <w:sz w:val="26"/>
          <w:szCs w:val="26"/>
        </w:rPr>
        <w:t xml:space="preserve"> and</w:t>
      </w:r>
    </w:p>
    <w:p w:rsidR="00FA4295" w:rsidRPr="00114FDD" w:rsidRDefault="00FA4295" w:rsidP="00B64A9F">
      <w:pPr>
        <w:pStyle w:val="p14"/>
        <w:numPr>
          <w:ilvl w:val="0"/>
          <w:numId w:val="1"/>
        </w:numPr>
        <w:tabs>
          <w:tab w:val="clear" w:pos="720"/>
          <w:tab w:val="num" w:pos="1080"/>
        </w:tabs>
        <w:spacing w:line="360" w:lineRule="auto"/>
        <w:ind w:left="1080"/>
        <w:rPr>
          <w:sz w:val="26"/>
          <w:szCs w:val="26"/>
        </w:rPr>
      </w:pPr>
      <w:r w:rsidRPr="00114FDD">
        <w:rPr>
          <w:sz w:val="26"/>
          <w:szCs w:val="26"/>
        </w:rPr>
        <w:t xml:space="preserve">To provide additional </w:t>
      </w:r>
      <w:r w:rsidR="007F49C7" w:rsidRPr="00114FDD">
        <w:rPr>
          <w:sz w:val="26"/>
          <w:szCs w:val="26"/>
        </w:rPr>
        <w:t xml:space="preserve">reasonable </w:t>
      </w:r>
      <w:r w:rsidRPr="00114FDD">
        <w:rPr>
          <w:sz w:val="26"/>
          <w:szCs w:val="26"/>
        </w:rPr>
        <w:t xml:space="preserve">methods for measurement and verification of incremental energy savings </w:t>
      </w:r>
      <w:r w:rsidR="007F49C7" w:rsidRPr="00114FDD">
        <w:rPr>
          <w:sz w:val="26"/>
          <w:szCs w:val="26"/>
        </w:rPr>
        <w:t xml:space="preserve">associated with EE&amp;C measures </w:t>
      </w:r>
      <w:r w:rsidRPr="00114FDD">
        <w:rPr>
          <w:sz w:val="26"/>
          <w:szCs w:val="26"/>
        </w:rPr>
        <w:t xml:space="preserve">without unduly burdening </w:t>
      </w:r>
      <w:r w:rsidR="007F49C7" w:rsidRPr="00114FDD">
        <w:rPr>
          <w:sz w:val="26"/>
          <w:szCs w:val="26"/>
        </w:rPr>
        <w:t xml:space="preserve">EDC EE&amp;C </w:t>
      </w:r>
      <w:r w:rsidRPr="00114FDD">
        <w:rPr>
          <w:sz w:val="26"/>
          <w:szCs w:val="26"/>
        </w:rPr>
        <w:t xml:space="preserve">program </w:t>
      </w:r>
      <w:r w:rsidR="007F49C7" w:rsidRPr="00114FDD">
        <w:rPr>
          <w:sz w:val="26"/>
          <w:szCs w:val="26"/>
        </w:rPr>
        <w:t>and</w:t>
      </w:r>
      <w:r w:rsidR="00935227" w:rsidRPr="00114FDD">
        <w:rPr>
          <w:sz w:val="26"/>
          <w:szCs w:val="26"/>
        </w:rPr>
        <w:t xml:space="preserve"> evaluation staff</w:t>
      </w:r>
      <w:r w:rsidR="002A00C9" w:rsidRPr="00114FDD">
        <w:rPr>
          <w:sz w:val="26"/>
          <w:szCs w:val="26"/>
        </w:rPr>
        <w:t>.</w:t>
      </w:r>
    </w:p>
    <w:p w:rsidR="0007435F" w:rsidRPr="00114FDD" w:rsidRDefault="0007435F" w:rsidP="00B64A9F">
      <w:pPr>
        <w:pStyle w:val="p3"/>
        <w:tabs>
          <w:tab w:val="clear" w:pos="204"/>
          <w:tab w:val="left" w:pos="720"/>
        </w:tabs>
        <w:spacing w:line="360" w:lineRule="auto"/>
        <w:rPr>
          <w:sz w:val="26"/>
          <w:szCs w:val="26"/>
        </w:rPr>
      </w:pPr>
      <w:r w:rsidRPr="00114FDD">
        <w:rPr>
          <w:sz w:val="26"/>
          <w:szCs w:val="26"/>
        </w:rPr>
        <w:tab/>
      </w:r>
    </w:p>
    <w:p w:rsidR="00050E8B" w:rsidRPr="00114FDD" w:rsidRDefault="00050E8B" w:rsidP="00B64A9F">
      <w:pPr>
        <w:pStyle w:val="p3"/>
        <w:tabs>
          <w:tab w:val="clear" w:pos="204"/>
          <w:tab w:val="left" w:pos="720"/>
        </w:tabs>
        <w:spacing w:line="360" w:lineRule="auto"/>
        <w:rPr>
          <w:sz w:val="26"/>
          <w:szCs w:val="26"/>
        </w:rPr>
      </w:pPr>
      <w:r w:rsidRPr="00114FDD">
        <w:rPr>
          <w:sz w:val="26"/>
          <w:szCs w:val="26"/>
        </w:rPr>
        <w:t>A summary of the changes proposed in 2013 TRM update follows:</w:t>
      </w:r>
    </w:p>
    <w:p w:rsidR="002A00C9" w:rsidRPr="00114FDD" w:rsidRDefault="002A00C9" w:rsidP="00B64A9F">
      <w:pPr>
        <w:pStyle w:val="p3"/>
        <w:tabs>
          <w:tab w:val="clear" w:pos="204"/>
          <w:tab w:val="left" w:pos="720"/>
        </w:tabs>
        <w:spacing w:line="360" w:lineRule="auto"/>
        <w:rPr>
          <w:sz w:val="26"/>
          <w:szCs w:val="26"/>
        </w:rPr>
      </w:pPr>
    </w:p>
    <w:p w:rsidR="002A00C9" w:rsidRPr="00114FDD" w:rsidRDefault="002A00C9" w:rsidP="00B64A9F">
      <w:pPr>
        <w:pStyle w:val="p3"/>
        <w:numPr>
          <w:ilvl w:val="0"/>
          <w:numId w:val="2"/>
        </w:numPr>
        <w:tabs>
          <w:tab w:val="clear" w:pos="204"/>
          <w:tab w:val="left" w:pos="720"/>
        </w:tabs>
        <w:spacing w:line="360" w:lineRule="auto"/>
        <w:ind w:left="1080"/>
        <w:rPr>
          <w:sz w:val="26"/>
          <w:szCs w:val="26"/>
        </w:rPr>
      </w:pPr>
      <w:r w:rsidRPr="00114FDD">
        <w:rPr>
          <w:sz w:val="26"/>
          <w:szCs w:val="26"/>
        </w:rPr>
        <w:t>General Improvements to the TRM</w:t>
      </w:r>
    </w:p>
    <w:p w:rsidR="002A00C9" w:rsidRPr="00114FDD" w:rsidRDefault="002A00C9" w:rsidP="00B64A9F">
      <w:pPr>
        <w:pStyle w:val="p3"/>
        <w:numPr>
          <w:ilvl w:val="2"/>
          <w:numId w:val="2"/>
        </w:numPr>
        <w:tabs>
          <w:tab w:val="clear" w:pos="204"/>
          <w:tab w:val="left" w:pos="720"/>
        </w:tabs>
        <w:spacing w:line="360" w:lineRule="auto"/>
        <w:rPr>
          <w:sz w:val="26"/>
          <w:szCs w:val="26"/>
        </w:rPr>
      </w:pPr>
      <w:r w:rsidRPr="00114FDD">
        <w:rPr>
          <w:sz w:val="26"/>
          <w:szCs w:val="26"/>
        </w:rPr>
        <w:t>Clarification of Coincident Peak Window</w:t>
      </w:r>
      <w:r w:rsidR="000A2B31">
        <w:rPr>
          <w:sz w:val="26"/>
          <w:szCs w:val="26"/>
        </w:rPr>
        <w:t>.</w:t>
      </w:r>
    </w:p>
    <w:p w:rsidR="00050E8B" w:rsidRPr="00114FDD" w:rsidRDefault="00050E8B" w:rsidP="00B64A9F">
      <w:pPr>
        <w:pStyle w:val="p3"/>
        <w:numPr>
          <w:ilvl w:val="0"/>
          <w:numId w:val="2"/>
        </w:numPr>
        <w:tabs>
          <w:tab w:val="clear" w:pos="204"/>
          <w:tab w:val="left" w:pos="1080"/>
        </w:tabs>
        <w:spacing w:line="360" w:lineRule="auto"/>
        <w:ind w:left="1080"/>
        <w:rPr>
          <w:sz w:val="26"/>
          <w:szCs w:val="26"/>
        </w:rPr>
      </w:pPr>
      <w:r w:rsidRPr="00114FDD">
        <w:rPr>
          <w:sz w:val="26"/>
          <w:szCs w:val="26"/>
        </w:rPr>
        <w:t xml:space="preserve">Clarification of the following </w:t>
      </w:r>
      <w:r w:rsidR="000A2B31">
        <w:rPr>
          <w:sz w:val="26"/>
          <w:szCs w:val="26"/>
        </w:rPr>
        <w:t>r</w:t>
      </w:r>
      <w:r w:rsidR="000A2B31" w:rsidRPr="00114FDD">
        <w:rPr>
          <w:sz w:val="26"/>
          <w:szCs w:val="26"/>
        </w:rPr>
        <w:t xml:space="preserve">esidential </w:t>
      </w:r>
      <w:r w:rsidRPr="00114FDD">
        <w:rPr>
          <w:sz w:val="26"/>
          <w:szCs w:val="26"/>
        </w:rPr>
        <w:t>EE&amp;C measure deemed protocols:</w:t>
      </w:r>
    </w:p>
    <w:p w:rsidR="008F13E0" w:rsidRPr="00114FDD" w:rsidRDefault="008F13E0" w:rsidP="00B64A9F">
      <w:pPr>
        <w:pStyle w:val="p3"/>
        <w:numPr>
          <w:ilvl w:val="2"/>
          <w:numId w:val="2"/>
        </w:numPr>
        <w:tabs>
          <w:tab w:val="clear" w:pos="204"/>
          <w:tab w:val="left" w:pos="720"/>
        </w:tabs>
        <w:spacing w:line="360" w:lineRule="auto"/>
        <w:rPr>
          <w:sz w:val="26"/>
          <w:szCs w:val="26"/>
        </w:rPr>
      </w:pPr>
      <w:r w:rsidRPr="00114FDD">
        <w:rPr>
          <w:sz w:val="26"/>
          <w:szCs w:val="26"/>
        </w:rPr>
        <w:t>Modification of Heating, Vent</w:t>
      </w:r>
      <w:r w:rsidR="005552AB" w:rsidRPr="00114FDD">
        <w:rPr>
          <w:sz w:val="26"/>
          <w:szCs w:val="26"/>
        </w:rPr>
        <w:t>ilation, and Air Conditioning (HVAC) Equivalent Full Load Hours (EFLH</w:t>
      </w:r>
      <w:r w:rsidRPr="00114FDD">
        <w:rPr>
          <w:sz w:val="26"/>
          <w:szCs w:val="26"/>
        </w:rPr>
        <w:t xml:space="preserve">) and addition of </w:t>
      </w:r>
      <w:r w:rsidR="000A2B31">
        <w:rPr>
          <w:sz w:val="26"/>
          <w:szCs w:val="26"/>
        </w:rPr>
        <w:t xml:space="preserve">a </w:t>
      </w:r>
      <w:r w:rsidRPr="00114FDD">
        <w:rPr>
          <w:sz w:val="26"/>
          <w:szCs w:val="26"/>
        </w:rPr>
        <w:t>proper sizing savings algorithm</w:t>
      </w:r>
      <w:r w:rsidR="000A2B31">
        <w:rPr>
          <w:sz w:val="26"/>
          <w:szCs w:val="26"/>
        </w:rPr>
        <w:t>;</w:t>
      </w:r>
    </w:p>
    <w:p w:rsidR="008F13E0" w:rsidRPr="00114FDD" w:rsidRDefault="008F13E0" w:rsidP="00B64A9F">
      <w:pPr>
        <w:pStyle w:val="p3"/>
        <w:numPr>
          <w:ilvl w:val="2"/>
          <w:numId w:val="2"/>
        </w:numPr>
        <w:tabs>
          <w:tab w:val="clear" w:pos="204"/>
          <w:tab w:val="left" w:pos="720"/>
        </w:tabs>
        <w:spacing w:line="360" w:lineRule="auto"/>
        <w:rPr>
          <w:sz w:val="26"/>
          <w:szCs w:val="26"/>
        </w:rPr>
      </w:pPr>
      <w:r w:rsidRPr="00114FDD">
        <w:rPr>
          <w:sz w:val="26"/>
          <w:szCs w:val="26"/>
        </w:rPr>
        <w:t xml:space="preserve">Clarification of </w:t>
      </w:r>
      <w:r w:rsidR="000A2B31">
        <w:rPr>
          <w:sz w:val="26"/>
          <w:szCs w:val="26"/>
        </w:rPr>
        <w:t>l</w:t>
      </w:r>
      <w:r w:rsidR="000A2B31" w:rsidRPr="00114FDD">
        <w:rPr>
          <w:sz w:val="26"/>
          <w:szCs w:val="26"/>
        </w:rPr>
        <w:t xml:space="preserve">ighting </w:t>
      </w:r>
      <w:r w:rsidRPr="00114FDD">
        <w:rPr>
          <w:sz w:val="26"/>
          <w:szCs w:val="26"/>
        </w:rPr>
        <w:t>protocols r</w:t>
      </w:r>
      <w:r w:rsidR="005552AB" w:rsidRPr="00114FDD">
        <w:rPr>
          <w:sz w:val="26"/>
          <w:szCs w:val="26"/>
        </w:rPr>
        <w:t>egarding the hours of usage (HOU</w:t>
      </w:r>
      <w:r w:rsidRPr="00114FDD">
        <w:rPr>
          <w:sz w:val="26"/>
          <w:szCs w:val="26"/>
        </w:rPr>
        <w:t>)</w:t>
      </w:r>
      <w:r w:rsidR="005552AB" w:rsidRPr="00114FDD">
        <w:rPr>
          <w:sz w:val="26"/>
          <w:szCs w:val="26"/>
        </w:rPr>
        <w:t xml:space="preserve"> of compact fluorescent light </w:t>
      </w:r>
      <w:r w:rsidRPr="00114FDD">
        <w:rPr>
          <w:sz w:val="26"/>
          <w:szCs w:val="26"/>
        </w:rPr>
        <w:t>bulbs</w:t>
      </w:r>
      <w:r w:rsidR="000A2B31">
        <w:rPr>
          <w:sz w:val="26"/>
          <w:szCs w:val="26"/>
        </w:rPr>
        <w:t xml:space="preserve"> </w:t>
      </w:r>
      <w:r w:rsidR="000A2B31" w:rsidRPr="00114FDD">
        <w:rPr>
          <w:sz w:val="26"/>
          <w:szCs w:val="26"/>
        </w:rPr>
        <w:t>(CFL)</w:t>
      </w:r>
      <w:r w:rsidRPr="00114FDD">
        <w:rPr>
          <w:sz w:val="26"/>
          <w:szCs w:val="26"/>
        </w:rPr>
        <w:t xml:space="preserve">, updates to the </w:t>
      </w:r>
      <w:r w:rsidRPr="00114FDD">
        <w:rPr>
          <w:sz w:val="26"/>
          <w:szCs w:val="26"/>
        </w:rPr>
        <w:lastRenderedPageBreak/>
        <w:t xml:space="preserve">algorithms for ENERGY STAR lighting, and clarification regarding the implementation of federal legislation </w:t>
      </w:r>
      <w:r w:rsidR="000A2B31">
        <w:rPr>
          <w:sz w:val="26"/>
          <w:szCs w:val="26"/>
        </w:rPr>
        <w:t xml:space="preserve">and </w:t>
      </w:r>
      <w:r w:rsidRPr="00114FDD">
        <w:rPr>
          <w:sz w:val="26"/>
          <w:szCs w:val="26"/>
        </w:rPr>
        <w:t>regulations;</w:t>
      </w:r>
    </w:p>
    <w:p w:rsidR="008F13E0" w:rsidRPr="00114FDD" w:rsidRDefault="008F13E0" w:rsidP="00B64A9F">
      <w:pPr>
        <w:pStyle w:val="p3"/>
        <w:numPr>
          <w:ilvl w:val="2"/>
          <w:numId w:val="2"/>
        </w:numPr>
        <w:tabs>
          <w:tab w:val="clear" w:pos="204"/>
          <w:tab w:val="left" w:pos="720"/>
        </w:tabs>
        <w:spacing w:line="360" w:lineRule="auto"/>
        <w:rPr>
          <w:sz w:val="26"/>
          <w:szCs w:val="26"/>
        </w:rPr>
      </w:pPr>
      <w:r w:rsidRPr="00114FDD">
        <w:rPr>
          <w:sz w:val="26"/>
          <w:szCs w:val="26"/>
        </w:rPr>
        <w:t>Clarification of ENERGY STAR Appliances protocol</w:t>
      </w:r>
      <w:r w:rsidR="000A2B31">
        <w:rPr>
          <w:sz w:val="26"/>
          <w:szCs w:val="26"/>
        </w:rPr>
        <w:t>,</w:t>
      </w:r>
      <w:r w:rsidRPr="00114FDD">
        <w:rPr>
          <w:sz w:val="26"/>
          <w:szCs w:val="26"/>
        </w:rPr>
        <w:t xml:space="preserve"> including new protocols for each appliance, updated baseline assumptions, and inclusion of new and future standards; </w:t>
      </w:r>
    </w:p>
    <w:p w:rsidR="008F13E0" w:rsidRPr="00114FDD" w:rsidRDefault="008F13E0" w:rsidP="00B64A9F">
      <w:pPr>
        <w:pStyle w:val="p3"/>
        <w:numPr>
          <w:ilvl w:val="2"/>
          <w:numId w:val="2"/>
        </w:numPr>
        <w:tabs>
          <w:tab w:val="clear" w:pos="204"/>
          <w:tab w:val="left" w:pos="720"/>
        </w:tabs>
        <w:spacing w:line="360" w:lineRule="auto"/>
        <w:rPr>
          <w:sz w:val="26"/>
          <w:szCs w:val="26"/>
        </w:rPr>
      </w:pPr>
      <w:r w:rsidRPr="00114FDD">
        <w:rPr>
          <w:sz w:val="26"/>
          <w:szCs w:val="26"/>
        </w:rPr>
        <w:t>Update of Refrigerator/Freezer Replacement and Recycling protocols based on the latest available program data;</w:t>
      </w:r>
    </w:p>
    <w:p w:rsidR="008F13E0" w:rsidRPr="00114FDD" w:rsidRDefault="008F13E0" w:rsidP="00B64A9F">
      <w:pPr>
        <w:pStyle w:val="p3"/>
        <w:numPr>
          <w:ilvl w:val="2"/>
          <w:numId w:val="2"/>
        </w:numPr>
        <w:tabs>
          <w:tab w:val="clear" w:pos="204"/>
          <w:tab w:val="left" w:pos="720"/>
        </w:tabs>
        <w:spacing w:line="360" w:lineRule="auto"/>
        <w:rPr>
          <w:sz w:val="26"/>
          <w:szCs w:val="26"/>
        </w:rPr>
      </w:pPr>
      <w:r w:rsidRPr="00114FDD">
        <w:rPr>
          <w:sz w:val="26"/>
          <w:szCs w:val="26"/>
        </w:rPr>
        <w:t>Modification of electric hot water heater daily water usage assumption;</w:t>
      </w:r>
    </w:p>
    <w:p w:rsidR="008F13E0" w:rsidRPr="00114FDD" w:rsidRDefault="008F13E0" w:rsidP="00B64A9F">
      <w:pPr>
        <w:pStyle w:val="p3"/>
        <w:numPr>
          <w:ilvl w:val="2"/>
          <w:numId w:val="2"/>
        </w:numPr>
        <w:tabs>
          <w:tab w:val="clear" w:pos="204"/>
          <w:tab w:val="left" w:pos="720"/>
        </w:tabs>
        <w:spacing w:line="360" w:lineRule="auto"/>
        <w:rPr>
          <w:sz w:val="26"/>
          <w:szCs w:val="26"/>
        </w:rPr>
      </w:pPr>
      <w:r w:rsidRPr="00114FDD">
        <w:rPr>
          <w:sz w:val="26"/>
          <w:szCs w:val="26"/>
        </w:rPr>
        <w:t>Modification of low flow showerhead and faucet aerator assumptions;</w:t>
      </w:r>
      <w:r w:rsidR="005552AB" w:rsidRPr="00114FDD">
        <w:rPr>
          <w:sz w:val="26"/>
          <w:szCs w:val="26"/>
        </w:rPr>
        <w:t xml:space="preserve"> and</w:t>
      </w:r>
    </w:p>
    <w:p w:rsidR="00050E8B" w:rsidRPr="00114FDD" w:rsidRDefault="008F13E0" w:rsidP="00B64A9F">
      <w:pPr>
        <w:pStyle w:val="p3"/>
        <w:numPr>
          <w:ilvl w:val="2"/>
          <w:numId w:val="2"/>
        </w:numPr>
        <w:tabs>
          <w:tab w:val="clear" w:pos="204"/>
          <w:tab w:val="left" w:pos="720"/>
        </w:tabs>
        <w:spacing w:line="360" w:lineRule="auto"/>
        <w:rPr>
          <w:sz w:val="26"/>
          <w:szCs w:val="26"/>
        </w:rPr>
      </w:pPr>
      <w:r w:rsidRPr="00114FDD">
        <w:rPr>
          <w:sz w:val="26"/>
          <w:szCs w:val="26"/>
        </w:rPr>
        <w:t>Clarification of Residen</w:t>
      </w:r>
      <w:r w:rsidR="005552AB" w:rsidRPr="00114FDD">
        <w:rPr>
          <w:sz w:val="26"/>
          <w:szCs w:val="26"/>
        </w:rPr>
        <w:t>tial New Construction protocols.</w:t>
      </w:r>
    </w:p>
    <w:p w:rsidR="00050E8B" w:rsidRPr="00114FDD" w:rsidRDefault="00050E8B" w:rsidP="00B64A9F">
      <w:pPr>
        <w:pStyle w:val="p3"/>
        <w:numPr>
          <w:ilvl w:val="0"/>
          <w:numId w:val="2"/>
        </w:numPr>
        <w:tabs>
          <w:tab w:val="clear" w:pos="204"/>
        </w:tabs>
        <w:spacing w:line="360" w:lineRule="auto"/>
        <w:ind w:left="1080"/>
        <w:rPr>
          <w:sz w:val="26"/>
          <w:szCs w:val="26"/>
        </w:rPr>
      </w:pPr>
      <w:r w:rsidRPr="00114FDD">
        <w:rPr>
          <w:sz w:val="26"/>
          <w:szCs w:val="26"/>
        </w:rPr>
        <w:t xml:space="preserve">Clarification of the following </w:t>
      </w:r>
      <w:r w:rsidR="005552AB" w:rsidRPr="00114FDD">
        <w:rPr>
          <w:sz w:val="26"/>
          <w:szCs w:val="26"/>
        </w:rPr>
        <w:t>C&amp;I</w:t>
      </w:r>
      <w:r w:rsidRPr="00114FDD">
        <w:rPr>
          <w:sz w:val="26"/>
          <w:szCs w:val="26"/>
        </w:rPr>
        <w:t xml:space="preserve"> EE&amp;C measure deemed protocols: </w:t>
      </w:r>
    </w:p>
    <w:p w:rsidR="00050E8B" w:rsidRPr="00114FDD" w:rsidRDefault="00050E8B" w:rsidP="00B64A9F">
      <w:pPr>
        <w:pStyle w:val="p3"/>
        <w:numPr>
          <w:ilvl w:val="2"/>
          <w:numId w:val="2"/>
        </w:numPr>
        <w:spacing w:line="360" w:lineRule="auto"/>
        <w:ind w:hanging="360"/>
        <w:rPr>
          <w:sz w:val="26"/>
          <w:szCs w:val="26"/>
        </w:rPr>
      </w:pPr>
      <w:r w:rsidRPr="00114FDD">
        <w:rPr>
          <w:sz w:val="26"/>
          <w:szCs w:val="26"/>
        </w:rPr>
        <w:t xml:space="preserve">Clarification of </w:t>
      </w:r>
      <w:r w:rsidR="00397F71">
        <w:rPr>
          <w:sz w:val="26"/>
          <w:szCs w:val="26"/>
        </w:rPr>
        <w:t>l</w:t>
      </w:r>
      <w:r w:rsidR="00397F71" w:rsidRPr="00114FDD">
        <w:rPr>
          <w:sz w:val="26"/>
          <w:szCs w:val="26"/>
        </w:rPr>
        <w:t xml:space="preserve">ighting </w:t>
      </w:r>
      <w:r w:rsidRPr="00114FDD">
        <w:rPr>
          <w:sz w:val="26"/>
          <w:szCs w:val="26"/>
        </w:rPr>
        <w:t>protocols regarding the</w:t>
      </w:r>
      <w:r w:rsidR="005552AB" w:rsidRPr="00114FDD">
        <w:rPr>
          <w:sz w:val="26"/>
          <w:szCs w:val="26"/>
        </w:rPr>
        <w:t xml:space="preserve"> HOU </w:t>
      </w:r>
      <w:r w:rsidRPr="00114FDD">
        <w:rPr>
          <w:sz w:val="26"/>
          <w:szCs w:val="26"/>
        </w:rPr>
        <w:t>and coincidence factors (CF), building types, control technologies and savings factors, implementation of federal legislation and regulations, new construction calculator, and temperature ranges for interactive factor values;</w:t>
      </w:r>
    </w:p>
    <w:p w:rsidR="00050E8B" w:rsidRPr="00114FDD" w:rsidRDefault="00050E8B" w:rsidP="00B64A9F">
      <w:pPr>
        <w:pStyle w:val="p3"/>
        <w:numPr>
          <w:ilvl w:val="2"/>
          <w:numId w:val="2"/>
        </w:numPr>
        <w:tabs>
          <w:tab w:val="clear" w:pos="204"/>
        </w:tabs>
        <w:spacing w:line="360" w:lineRule="auto"/>
        <w:ind w:hanging="360"/>
        <w:rPr>
          <w:sz w:val="26"/>
          <w:szCs w:val="26"/>
        </w:rPr>
      </w:pPr>
      <w:r w:rsidRPr="00114FDD">
        <w:rPr>
          <w:sz w:val="26"/>
          <w:szCs w:val="26"/>
        </w:rPr>
        <w:t xml:space="preserve">Clarification of HVAC protocols regarding </w:t>
      </w:r>
      <w:r w:rsidR="00B36A01" w:rsidRPr="00114FDD">
        <w:rPr>
          <w:sz w:val="26"/>
          <w:szCs w:val="26"/>
        </w:rPr>
        <w:t>EFLH</w:t>
      </w:r>
      <w:r w:rsidRPr="00114FDD">
        <w:rPr>
          <w:sz w:val="26"/>
          <w:szCs w:val="26"/>
        </w:rPr>
        <w:t>;</w:t>
      </w:r>
    </w:p>
    <w:p w:rsidR="00050E8B" w:rsidRPr="00114FDD" w:rsidRDefault="00050E8B" w:rsidP="00B64A9F">
      <w:pPr>
        <w:pStyle w:val="p3"/>
        <w:numPr>
          <w:ilvl w:val="2"/>
          <w:numId w:val="2"/>
        </w:numPr>
        <w:tabs>
          <w:tab w:val="clear" w:pos="204"/>
        </w:tabs>
        <w:spacing w:line="360" w:lineRule="auto"/>
        <w:ind w:hanging="360"/>
        <w:rPr>
          <w:sz w:val="26"/>
          <w:szCs w:val="26"/>
        </w:rPr>
      </w:pPr>
      <w:r w:rsidRPr="00114FDD">
        <w:rPr>
          <w:sz w:val="26"/>
          <w:szCs w:val="26"/>
        </w:rPr>
        <w:t>Clarification of Motors</w:t>
      </w:r>
      <w:r w:rsidR="005552AB" w:rsidRPr="00114FDD">
        <w:rPr>
          <w:sz w:val="26"/>
          <w:szCs w:val="26"/>
        </w:rPr>
        <w:t xml:space="preserve"> and Variable Frequency Drive (VFD</w:t>
      </w:r>
      <w:r w:rsidRPr="00114FDD">
        <w:rPr>
          <w:sz w:val="26"/>
          <w:szCs w:val="26"/>
        </w:rPr>
        <w:t xml:space="preserve">) protocols regarding energy savings and demand savings factors, as well as operating hours; </w:t>
      </w:r>
    </w:p>
    <w:p w:rsidR="00050E8B" w:rsidRPr="00114FDD" w:rsidRDefault="00050E8B" w:rsidP="00B64A9F">
      <w:pPr>
        <w:pStyle w:val="p3"/>
        <w:numPr>
          <w:ilvl w:val="2"/>
          <w:numId w:val="2"/>
        </w:numPr>
        <w:tabs>
          <w:tab w:val="clear" w:pos="204"/>
        </w:tabs>
        <w:spacing w:line="360" w:lineRule="auto"/>
        <w:ind w:hanging="360"/>
        <w:rPr>
          <w:sz w:val="26"/>
          <w:szCs w:val="26"/>
        </w:rPr>
      </w:pPr>
      <w:r w:rsidRPr="00114FDD">
        <w:rPr>
          <w:sz w:val="26"/>
          <w:szCs w:val="26"/>
        </w:rPr>
        <w:t>Clarification of Office Equipment Network Power Management Systems protocol</w:t>
      </w:r>
      <w:r w:rsidR="00397F71">
        <w:rPr>
          <w:sz w:val="26"/>
          <w:szCs w:val="26"/>
        </w:rPr>
        <w:t>s</w:t>
      </w:r>
      <w:r w:rsidRPr="00114FDD">
        <w:rPr>
          <w:sz w:val="26"/>
          <w:szCs w:val="26"/>
        </w:rPr>
        <w:t xml:space="preserve"> regarding deemed savings values; </w:t>
      </w:r>
    </w:p>
    <w:p w:rsidR="00050E8B" w:rsidRPr="00114FDD" w:rsidRDefault="00050E8B" w:rsidP="00B64A9F">
      <w:pPr>
        <w:pStyle w:val="p3"/>
        <w:numPr>
          <w:ilvl w:val="2"/>
          <w:numId w:val="2"/>
        </w:numPr>
        <w:spacing w:line="360" w:lineRule="auto"/>
        <w:ind w:hanging="360"/>
        <w:rPr>
          <w:sz w:val="26"/>
          <w:szCs w:val="26"/>
        </w:rPr>
      </w:pPr>
      <w:r w:rsidRPr="00114FDD">
        <w:rPr>
          <w:sz w:val="26"/>
          <w:szCs w:val="26"/>
        </w:rPr>
        <w:t xml:space="preserve">Clarification of </w:t>
      </w:r>
      <w:r w:rsidR="005552AB" w:rsidRPr="00114FDD">
        <w:rPr>
          <w:sz w:val="26"/>
          <w:szCs w:val="26"/>
        </w:rPr>
        <w:t>Light-Emitting Diode (</w:t>
      </w:r>
      <w:r w:rsidRPr="00114FDD">
        <w:rPr>
          <w:sz w:val="26"/>
          <w:szCs w:val="26"/>
        </w:rPr>
        <w:t>LED</w:t>
      </w:r>
      <w:r w:rsidR="005552AB" w:rsidRPr="00114FDD">
        <w:rPr>
          <w:sz w:val="26"/>
          <w:szCs w:val="26"/>
        </w:rPr>
        <w:t>)</w:t>
      </w:r>
      <w:r w:rsidRPr="00114FDD">
        <w:rPr>
          <w:sz w:val="26"/>
          <w:szCs w:val="26"/>
        </w:rPr>
        <w:t xml:space="preserve"> Channel Signage protocol regarding savings algorithm, and assumptions table;</w:t>
      </w:r>
    </w:p>
    <w:p w:rsidR="00050E8B" w:rsidRPr="00114FDD" w:rsidRDefault="00050E8B" w:rsidP="00B64A9F">
      <w:pPr>
        <w:pStyle w:val="p3"/>
        <w:numPr>
          <w:ilvl w:val="2"/>
          <w:numId w:val="2"/>
        </w:numPr>
        <w:spacing w:line="360" w:lineRule="auto"/>
        <w:ind w:hanging="360"/>
        <w:rPr>
          <w:sz w:val="26"/>
          <w:szCs w:val="26"/>
        </w:rPr>
      </w:pPr>
      <w:r w:rsidRPr="00114FDD">
        <w:rPr>
          <w:sz w:val="26"/>
          <w:szCs w:val="26"/>
        </w:rPr>
        <w:t xml:space="preserve">Clarification of </w:t>
      </w:r>
      <w:r w:rsidR="00397F71">
        <w:rPr>
          <w:sz w:val="26"/>
          <w:szCs w:val="26"/>
        </w:rPr>
        <w:t>r</w:t>
      </w:r>
      <w:r w:rsidR="00397F71" w:rsidRPr="00114FDD">
        <w:rPr>
          <w:sz w:val="26"/>
          <w:szCs w:val="26"/>
        </w:rPr>
        <w:t xml:space="preserve">efrigeration </w:t>
      </w:r>
      <w:r w:rsidRPr="00114FDD">
        <w:rPr>
          <w:sz w:val="26"/>
          <w:szCs w:val="26"/>
        </w:rPr>
        <w:t>protocols reg</w:t>
      </w:r>
      <w:r w:rsidR="00B36A01" w:rsidRPr="00114FDD">
        <w:rPr>
          <w:sz w:val="26"/>
          <w:szCs w:val="26"/>
        </w:rPr>
        <w:t xml:space="preserve">arding </w:t>
      </w:r>
      <w:r w:rsidR="005552AB" w:rsidRPr="00114FDD">
        <w:rPr>
          <w:sz w:val="26"/>
          <w:szCs w:val="26"/>
        </w:rPr>
        <w:t>EFLH</w:t>
      </w:r>
      <w:r w:rsidRPr="00114FDD">
        <w:rPr>
          <w:sz w:val="26"/>
          <w:szCs w:val="26"/>
        </w:rPr>
        <w:t xml:space="preserve">;  </w:t>
      </w:r>
    </w:p>
    <w:p w:rsidR="00050E8B" w:rsidRPr="00114FDD" w:rsidRDefault="00050E8B" w:rsidP="00B64A9F">
      <w:pPr>
        <w:pStyle w:val="p3"/>
        <w:numPr>
          <w:ilvl w:val="2"/>
          <w:numId w:val="2"/>
        </w:numPr>
        <w:spacing w:line="360" w:lineRule="auto"/>
        <w:ind w:hanging="360"/>
        <w:rPr>
          <w:sz w:val="26"/>
          <w:szCs w:val="26"/>
        </w:rPr>
      </w:pPr>
      <w:r w:rsidRPr="00114FDD">
        <w:rPr>
          <w:sz w:val="26"/>
          <w:szCs w:val="26"/>
        </w:rPr>
        <w:t xml:space="preserve">Clarification of Low Flow Pre-Rinse Sprayers protocol regarding </w:t>
      </w:r>
      <w:r w:rsidRPr="00114FDD">
        <w:rPr>
          <w:sz w:val="26"/>
          <w:szCs w:val="26"/>
        </w:rPr>
        <w:lastRenderedPageBreak/>
        <w:t>minimum code requirement</w:t>
      </w:r>
      <w:r w:rsidR="00B36A01" w:rsidRPr="00114FDD">
        <w:rPr>
          <w:sz w:val="26"/>
          <w:szCs w:val="26"/>
        </w:rPr>
        <w:t xml:space="preserve"> for </w:t>
      </w:r>
      <w:r w:rsidR="000606EE" w:rsidRPr="00114FDD">
        <w:rPr>
          <w:sz w:val="26"/>
          <w:szCs w:val="26"/>
        </w:rPr>
        <w:t>time of sale</w:t>
      </w:r>
      <w:r w:rsidR="00DD4046" w:rsidRPr="00114FDD">
        <w:rPr>
          <w:sz w:val="26"/>
          <w:szCs w:val="26"/>
        </w:rPr>
        <w:t>/retail program type</w:t>
      </w:r>
      <w:r w:rsidRPr="00114FDD">
        <w:rPr>
          <w:sz w:val="26"/>
          <w:szCs w:val="26"/>
        </w:rPr>
        <w:t>;</w:t>
      </w:r>
    </w:p>
    <w:p w:rsidR="00050E8B" w:rsidRPr="00114FDD" w:rsidRDefault="00050E8B" w:rsidP="00B64A9F">
      <w:pPr>
        <w:pStyle w:val="p3"/>
        <w:numPr>
          <w:ilvl w:val="2"/>
          <w:numId w:val="2"/>
        </w:numPr>
        <w:spacing w:line="360" w:lineRule="auto"/>
        <w:ind w:hanging="360"/>
        <w:rPr>
          <w:sz w:val="26"/>
          <w:szCs w:val="26"/>
        </w:rPr>
      </w:pPr>
      <w:r w:rsidRPr="00114FDD">
        <w:rPr>
          <w:sz w:val="26"/>
          <w:szCs w:val="26"/>
        </w:rPr>
        <w:t xml:space="preserve">Clarification of Refrigeration – Evaporator Fan Controllers protocol regarding savings algorithm, </w:t>
      </w:r>
      <w:r w:rsidR="001209CA" w:rsidRPr="00114FDD">
        <w:rPr>
          <w:sz w:val="26"/>
          <w:szCs w:val="26"/>
        </w:rPr>
        <w:t xml:space="preserve">definitions, </w:t>
      </w:r>
      <w:r w:rsidRPr="00114FDD">
        <w:rPr>
          <w:sz w:val="26"/>
          <w:szCs w:val="26"/>
        </w:rPr>
        <w:t>and assumptions table;</w:t>
      </w:r>
    </w:p>
    <w:p w:rsidR="00050E8B" w:rsidRPr="00114FDD" w:rsidRDefault="00050E8B" w:rsidP="00B64A9F">
      <w:pPr>
        <w:pStyle w:val="p3"/>
        <w:numPr>
          <w:ilvl w:val="2"/>
          <w:numId w:val="2"/>
        </w:numPr>
        <w:tabs>
          <w:tab w:val="clear" w:pos="204"/>
        </w:tabs>
        <w:spacing w:line="360" w:lineRule="auto"/>
        <w:ind w:hanging="360"/>
        <w:rPr>
          <w:sz w:val="26"/>
          <w:szCs w:val="26"/>
        </w:rPr>
      </w:pPr>
      <w:r w:rsidRPr="00114FDD">
        <w:rPr>
          <w:sz w:val="26"/>
          <w:szCs w:val="26"/>
        </w:rPr>
        <w:t xml:space="preserve">Clarification of Geothermal Heat Pumps protocol regarding language and definitions;  </w:t>
      </w:r>
      <w:r w:rsidR="0071016C" w:rsidRPr="00114FDD">
        <w:rPr>
          <w:sz w:val="26"/>
          <w:szCs w:val="26"/>
        </w:rPr>
        <w:t>and</w:t>
      </w:r>
    </w:p>
    <w:p w:rsidR="00050E8B" w:rsidRPr="00114FDD" w:rsidRDefault="00050E8B" w:rsidP="00B64A9F">
      <w:pPr>
        <w:pStyle w:val="p3"/>
        <w:numPr>
          <w:ilvl w:val="2"/>
          <w:numId w:val="2"/>
        </w:numPr>
        <w:tabs>
          <w:tab w:val="clear" w:pos="204"/>
        </w:tabs>
        <w:spacing w:line="360" w:lineRule="auto"/>
        <w:ind w:hanging="360"/>
        <w:rPr>
          <w:sz w:val="26"/>
          <w:szCs w:val="26"/>
        </w:rPr>
      </w:pPr>
      <w:r w:rsidRPr="00114FDD">
        <w:rPr>
          <w:sz w:val="26"/>
          <w:szCs w:val="26"/>
        </w:rPr>
        <w:t>To improve the functionality an</w:t>
      </w:r>
      <w:r w:rsidR="00C74DF7">
        <w:rPr>
          <w:sz w:val="26"/>
          <w:szCs w:val="26"/>
        </w:rPr>
        <w:t>d scope of the TRM Appendix C (L</w:t>
      </w:r>
      <w:r w:rsidRPr="00114FDD">
        <w:rPr>
          <w:sz w:val="26"/>
          <w:szCs w:val="26"/>
        </w:rPr>
        <w:t xml:space="preserve">ighting </w:t>
      </w:r>
      <w:r w:rsidR="00C74DF7">
        <w:rPr>
          <w:sz w:val="26"/>
          <w:szCs w:val="26"/>
        </w:rPr>
        <w:t>I</w:t>
      </w:r>
      <w:r w:rsidRPr="00114FDD">
        <w:rPr>
          <w:sz w:val="26"/>
          <w:szCs w:val="26"/>
        </w:rPr>
        <w:t xml:space="preserve">nventory </w:t>
      </w:r>
      <w:r w:rsidR="00C74DF7">
        <w:rPr>
          <w:sz w:val="26"/>
          <w:szCs w:val="26"/>
        </w:rPr>
        <w:t>T</w:t>
      </w:r>
      <w:r w:rsidRPr="00114FDD">
        <w:rPr>
          <w:sz w:val="26"/>
          <w:szCs w:val="26"/>
        </w:rPr>
        <w:t>ool) and Appendix D (</w:t>
      </w:r>
      <w:r w:rsidR="00C74DF7">
        <w:rPr>
          <w:sz w:val="26"/>
          <w:szCs w:val="26"/>
        </w:rPr>
        <w:t>M</w:t>
      </w:r>
      <w:r w:rsidRPr="00114FDD">
        <w:rPr>
          <w:sz w:val="26"/>
          <w:szCs w:val="26"/>
        </w:rPr>
        <w:t xml:space="preserve">otor and </w:t>
      </w:r>
      <w:r w:rsidR="00C74DF7">
        <w:rPr>
          <w:sz w:val="26"/>
          <w:szCs w:val="26"/>
        </w:rPr>
        <w:t>Variable F</w:t>
      </w:r>
      <w:r w:rsidRPr="00114FDD">
        <w:rPr>
          <w:sz w:val="26"/>
          <w:szCs w:val="26"/>
        </w:rPr>
        <w:t xml:space="preserve">requency </w:t>
      </w:r>
      <w:r w:rsidR="00C74DF7">
        <w:rPr>
          <w:sz w:val="26"/>
          <w:szCs w:val="26"/>
        </w:rPr>
        <w:t>D</w:t>
      </w:r>
      <w:r w:rsidRPr="00114FDD">
        <w:rPr>
          <w:sz w:val="26"/>
          <w:szCs w:val="26"/>
        </w:rPr>
        <w:t xml:space="preserve">rive </w:t>
      </w:r>
      <w:r w:rsidR="00C74DF7">
        <w:rPr>
          <w:sz w:val="26"/>
          <w:szCs w:val="26"/>
        </w:rPr>
        <w:t>I</w:t>
      </w:r>
      <w:r w:rsidRPr="00114FDD">
        <w:rPr>
          <w:sz w:val="26"/>
          <w:szCs w:val="26"/>
        </w:rPr>
        <w:t xml:space="preserve">nventory </w:t>
      </w:r>
      <w:r w:rsidR="00C74DF7">
        <w:rPr>
          <w:sz w:val="26"/>
          <w:szCs w:val="26"/>
        </w:rPr>
        <w:t>T</w:t>
      </w:r>
      <w:r w:rsidRPr="00114FDD">
        <w:rPr>
          <w:sz w:val="26"/>
          <w:szCs w:val="26"/>
        </w:rPr>
        <w:t>ool)</w:t>
      </w:r>
      <w:r w:rsidR="005552AB" w:rsidRPr="00114FDD">
        <w:rPr>
          <w:sz w:val="26"/>
          <w:szCs w:val="26"/>
        </w:rPr>
        <w:t>.</w:t>
      </w:r>
    </w:p>
    <w:p w:rsidR="0071016C" w:rsidRPr="00114FDD" w:rsidRDefault="0071016C" w:rsidP="00B64A9F">
      <w:pPr>
        <w:pStyle w:val="p14"/>
        <w:spacing w:line="360" w:lineRule="auto"/>
        <w:ind w:firstLine="720"/>
        <w:rPr>
          <w:sz w:val="26"/>
          <w:szCs w:val="26"/>
        </w:rPr>
      </w:pPr>
    </w:p>
    <w:p w:rsidR="00FA4295" w:rsidRPr="00114FDD" w:rsidRDefault="00050E8B" w:rsidP="00B64A9F">
      <w:pPr>
        <w:pStyle w:val="p14"/>
        <w:spacing w:line="360" w:lineRule="auto"/>
        <w:ind w:firstLine="720"/>
        <w:rPr>
          <w:sz w:val="26"/>
          <w:szCs w:val="26"/>
        </w:rPr>
      </w:pPr>
      <w:r w:rsidRPr="00114FDD">
        <w:rPr>
          <w:sz w:val="26"/>
          <w:szCs w:val="26"/>
        </w:rPr>
        <w:t>Below, we will discuss in more detail the more significant proposed changes and updates.  Minor administrative changes will not be discussed.</w:t>
      </w:r>
    </w:p>
    <w:p w:rsidR="00B871DE" w:rsidRPr="00114FDD" w:rsidRDefault="00B871DE" w:rsidP="00B64A9F">
      <w:pPr>
        <w:pStyle w:val="p3"/>
        <w:tabs>
          <w:tab w:val="clear" w:pos="204"/>
          <w:tab w:val="left" w:pos="720"/>
        </w:tabs>
        <w:spacing w:line="360" w:lineRule="auto"/>
        <w:ind w:left="1080"/>
        <w:rPr>
          <w:sz w:val="26"/>
          <w:szCs w:val="26"/>
        </w:rPr>
      </w:pPr>
    </w:p>
    <w:p w:rsidR="007B19C4" w:rsidRPr="00114FDD" w:rsidRDefault="007B19C4" w:rsidP="00B64A9F">
      <w:pPr>
        <w:pStyle w:val="p3"/>
        <w:numPr>
          <w:ilvl w:val="0"/>
          <w:numId w:val="3"/>
        </w:numPr>
        <w:tabs>
          <w:tab w:val="clear" w:pos="204"/>
          <w:tab w:val="left" w:pos="-1800"/>
        </w:tabs>
        <w:spacing w:line="360" w:lineRule="auto"/>
        <w:ind w:hanging="720"/>
        <w:outlineLvl w:val="1"/>
        <w:rPr>
          <w:b/>
          <w:sz w:val="26"/>
          <w:szCs w:val="26"/>
        </w:rPr>
      </w:pPr>
      <w:bookmarkStart w:id="2" w:name="_Toc334174990"/>
      <w:r w:rsidRPr="00114FDD">
        <w:rPr>
          <w:b/>
          <w:sz w:val="26"/>
          <w:szCs w:val="26"/>
        </w:rPr>
        <w:t>General Improvements</w:t>
      </w:r>
      <w:bookmarkEnd w:id="2"/>
      <w:r w:rsidRPr="00114FDD">
        <w:rPr>
          <w:b/>
          <w:sz w:val="26"/>
          <w:szCs w:val="26"/>
        </w:rPr>
        <w:t xml:space="preserve"> </w:t>
      </w:r>
    </w:p>
    <w:p w:rsidR="005552AB" w:rsidRPr="00114FDD" w:rsidRDefault="00D576D6" w:rsidP="00DC3AAA">
      <w:pPr>
        <w:pStyle w:val="p3"/>
        <w:tabs>
          <w:tab w:val="clear" w:pos="204"/>
          <w:tab w:val="left" w:pos="720"/>
        </w:tabs>
        <w:spacing w:line="360" w:lineRule="auto"/>
        <w:rPr>
          <w:sz w:val="26"/>
          <w:szCs w:val="26"/>
        </w:rPr>
      </w:pPr>
      <w:r w:rsidRPr="00114FDD">
        <w:rPr>
          <w:sz w:val="26"/>
          <w:szCs w:val="26"/>
        </w:rPr>
        <w:tab/>
      </w:r>
    </w:p>
    <w:p w:rsidR="00666F83" w:rsidRPr="00114FDD" w:rsidRDefault="005552AB" w:rsidP="00B64A9F">
      <w:pPr>
        <w:pStyle w:val="p3"/>
        <w:tabs>
          <w:tab w:val="clear" w:pos="204"/>
          <w:tab w:val="left" w:pos="0"/>
          <w:tab w:val="left" w:pos="720"/>
        </w:tabs>
        <w:spacing w:line="360" w:lineRule="auto"/>
        <w:rPr>
          <w:b/>
          <w:sz w:val="26"/>
          <w:szCs w:val="26"/>
        </w:rPr>
      </w:pPr>
      <w:r w:rsidRPr="00114FDD">
        <w:rPr>
          <w:sz w:val="26"/>
          <w:szCs w:val="26"/>
        </w:rPr>
        <w:tab/>
      </w:r>
      <w:r w:rsidR="00666F83" w:rsidRPr="00114FDD">
        <w:rPr>
          <w:sz w:val="26"/>
          <w:szCs w:val="26"/>
        </w:rPr>
        <w:t>In Section 1.9 of</w:t>
      </w:r>
      <w:r w:rsidRPr="00114FDD">
        <w:rPr>
          <w:sz w:val="26"/>
          <w:szCs w:val="26"/>
        </w:rPr>
        <w:t xml:space="preserve"> the</w:t>
      </w:r>
      <w:r w:rsidR="00666F83" w:rsidRPr="00114FDD">
        <w:rPr>
          <w:sz w:val="26"/>
          <w:szCs w:val="26"/>
        </w:rPr>
        <w:t xml:space="preserve"> 2012 TRM, t</w:t>
      </w:r>
      <w:r w:rsidRPr="00114FDD">
        <w:rPr>
          <w:sz w:val="26"/>
          <w:szCs w:val="26"/>
        </w:rPr>
        <w:t>he off-peak energy savings time</w:t>
      </w:r>
      <w:r w:rsidR="00666F83" w:rsidRPr="00114FDD">
        <w:rPr>
          <w:sz w:val="26"/>
          <w:szCs w:val="26"/>
        </w:rPr>
        <w:t>frame has a time gap for weekends and holidays in Table 1-1</w:t>
      </w:r>
      <w:r w:rsidRPr="00114FDD">
        <w:rPr>
          <w:sz w:val="26"/>
          <w:szCs w:val="26"/>
        </w:rPr>
        <w:t>.</w:t>
      </w:r>
      <w:r w:rsidR="00666F83" w:rsidRPr="00114FDD">
        <w:rPr>
          <w:sz w:val="26"/>
          <w:szCs w:val="26"/>
          <w:vertAlign w:val="superscript"/>
        </w:rPr>
        <w:footnoteReference w:id="19"/>
      </w:r>
      <w:r w:rsidR="00666F83" w:rsidRPr="00114FDD">
        <w:rPr>
          <w:sz w:val="26"/>
          <w:szCs w:val="26"/>
        </w:rPr>
        <w:t xml:space="preserve"> </w:t>
      </w:r>
      <w:r w:rsidRPr="00114FDD">
        <w:rPr>
          <w:sz w:val="26"/>
          <w:szCs w:val="26"/>
        </w:rPr>
        <w:t xml:space="preserve"> </w:t>
      </w:r>
      <w:r w:rsidR="00666F83" w:rsidRPr="00114FDD">
        <w:rPr>
          <w:sz w:val="26"/>
          <w:szCs w:val="26"/>
        </w:rPr>
        <w:t xml:space="preserve">The 2012 TRM currently states 12 AM to 12 PM </w:t>
      </w:r>
      <w:r w:rsidR="007C3CB1" w:rsidRPr="00114FDD">
        <w:rPr>
          <w:sz w:val="26"/>
          <w:szCs w:val="26"/>
        </w:rPr>
        <w:t xml:space="preserve">on </w:t>
      </w:r>
      <w:r w:rsidRPr="00114FDD">
        <w:rPr>
          <w:sz w:val="26"/>
          <w:szCs w:val="26"/>
        </w:rPr>
        <w:t xml:space="preserve">Saturdays, </w:t>
      </w:r>
      <w:r w:rsidR="00666F83" w:rsidRPr="00114FDD">
        <w:rPr>
          <w:sz w:val="26"/>
          <w:szCs w:val="26"/>
        </w:rPr>
        <w:t>Sun</w:t>
      </w:r>
      <w:r w:rsidRPr="00114FDD">
        <w:rPr>
          <w:sz w:val="26"/>
          <w:szCs w:val="26"/>
        </w:rPr>
        <w:t xml:space="preserve">days and </w:t>
      </w:r>
      <w:r w:rsidR="00666F83" w:rsidRPr="00114FDD">
        <w:rPr>
          <w:sz w:val="26"/>
          <w:szCs w:val="26"/>
        </w:rPr>
        <w:t xml:space="preserve">holidays, </w:t>
      </w:r>
      <w:r w:rsidR="002A00C9" w:rsidRPr="00114FDD">
        <w:rPr>
          <w:sz w:val="26"/>
          <w:szCs w:val="26"/>
        </w:rPr>
        <w:t>which unintentionally omits</w:t>
      </w:r>
      <w:r w:rsidR="00666F83" w:rsidRPr="00114FDD">
        <w:rPr>
          <w:sz w:val="26"/>
          <w:szCs w:val="26"/>
        </w:rPr>
        <w:t xml:space="preserve"> the timeframe from 12 PM to 12 AM. </w:t>
      </w:r>
      <w:r w:rsidRPr="00114FDD">
        <w:rPr>
          <w:sz w:val="26"/>
          <w:szCs w:val="26"/>
        </w:rPr>
        <w:t xml:space="preserve"> </w:t>
      </w:r>
      <w:r w:rsidR="00666F83" w:rsidRPr="00114FDD">
        <w:rPr>
          <w:sz w:val="26"/>
          <w:szCs w:val="26"/>
        </w:rPr>
        <w:t>The Commission proposes to update th</w:t>
      </w:r>
      <w:r w:rsidR="007C3CB1" w:rsidRPr="00114FDD">
        <w:rPr>
          <w:sz w:val="26"/>
          <w:szCs w:val="26"/>
        </w:rPr>
        <w:t>e</w:t>
      </w:r>
      <w:r w:rsidR="00666F83" w:rsidRPr="00114FDD">
        <w:rPr>
          <w:sz w:val="26"/>
          <w:szCs w:val="26"/>
        </w:rPr>
        <w:t xml:space="preserve"> </w:t>
      </w:r>
      <w:r w:rsidR="007C3CB1" w:rsidRPr="00114FDD">
        <w:rPr>
          <w:sz w:val="26"/>
          <w:szCs w:val="26"/>
        </w:rPr>
        <w:t>time period</w:t>
      </w:r>
      <w:r w:rsidR="00666F83" w:rsidRPr="00114FDD">
        <w:rPr>
          <w:sz w:val="26"/>
          <w:szCs w:val="26"/>
        </w:rPr>
        <w:t xml:space="preserve"> </w:t>
      </w:r>
      <w:r w:rsidR="002A00C9" w:rsidRPr="00114FDD">
        <w:rPr>
          <w:sz w:val="26"/>
          <w:szCs w:val="26"/>
        </w:rPr>
        <w:t>to 12</w:t>
      </w:r>
      <w:r w:rsidRPr="00114FDD">
        <w:rPr>
          <w:sz w:val="26"/>
          <w:szCs w:val="26"/>
        </w:rPr>
        <w:t xml:space="preserve"> </w:t>
      </w:r>
      <w:r w:rsidR="002A00C9" w:rsidRPr="00114FDD">
        <w:rPr>
          <w:sz w:val="26"/>
          <w:szCs w:val="26"/>
        </w:rPr>
        <w:t>AM to 12</w:t>
      </w:r>
      <w:r w:rsidRPr="00114FDD">
        <w:rPr>
          <w:sz w:val="26"/>
          <w:szCs w:val="26"/>
        </w:rPr>
        <w:t xml:space="preserve"> </w:t>
      </w:r>
      <w:r w:rsidR="002A00C9" w:rsidRPr="00114FDD">
        <w:rPr>
          <w:sz w:val="26"/>
          <w:szCs w:val="26"/>
        </w:rPr>
        <w:t xml:space="preserve">AM </w:t>
      </w:r>
      <w:r w:rsidR="00666F83" w:rsidRPr="00114FDD">
        <w:rPr>
          <w:sz w:val="26"/>
          <w:szCs w:val="26"/>
        </w:rPr>
        <w:t>to incorporate all hours.</w:t>
      </w:r>
    </w:p>
    <w:p w:rsidR="007C3CB1" w:rsidRPr="00114FDD" w:rsidRDefault="007C3CB1" w:rsidP="00B64A9F">
      <w:pPr>
        <w:pStyle w:val="p3"/>
        <w:tabs>
          <w:tab w:val="clear" w:pos="204"/>
          <w:tab w:val="left" w:pos="720"/>
        </w:tabs>
        <w:spacing w:line="360" w:lineRule="auto"/>
        <w:rPr>
          <w:sz w:val="26"/>
          <w:szCs w:val="26"/>
        </w:rPr>
      </w:pPr>
    </w:p>
    <w:p w:rsidR="00036C90" w:rsidRDefault="008F4524" w:rsidP="00DC3AAA">
      <w:pPr>
        <w:pStyle w:val="p3"/>
        <w:numPr>
          <w:ilvl w:val="0"/>
          <w:numId w:val="3"/>
        </w:numPr>
        <w:tabs>
          <w:tab w:val="clear" w:pos="204"/>
        </w:tabs>
        <w:ind w:hanging="720"/>
        <w:outlineLvl w:val="1"/>
        <w:rPr>
          <w:b/>
          <w:sz w:val="26"/>
          <w:szCs w:val="26"/>
        </w:rPr>
      </w:pPr>
      <w:bookmarkStart w:id="3" w:name="_Toc334174991"/>
      <w:r w:rsidRPr="00114FDD">
        <w:rPr>
          <w:b/>
          <w:sz w:val="26"/>
          <w:szCs w:val="26"/>
        </w:rPr>
        <w:t>Residential EE&amp;C Measure Protocols and Processes</w:t>
      </w:r>
      <w:bookmarkEnd w:id="3"/>
    </w:p>
    <w:p w:rsidR="00036C90" w:rsidRPr="00114FDD" w:rsidRDefault="00036C90" w:rsidP="00B64A9F">
      <w:pPr>
        <w:pStyle w:val="p3"/>
        <w:tabs>
          <w:tab w:val="clear" w:pos="204"/>
          <w:tab w:val="left" w:pos="720"/>
        </w:tabs>
        <w:spacing w:line="360" w:lineRule="auto"/>
        <w:ind w:left="360"/>
        <w:rPr>
          <w:sz w:val="26"/>
          <w:szCs w:val="26"/>
        </w:rPr>
      </w:pPr>
    </w:p>
    <w:p w:rsidR="00036C90" w:rsidRPr="00114FDD" w:rsidRDefault="00036C90" w:rsidP="00B64A9F">
      <w:pPr>
        <w:pStyle w:val="p3"/>
        <w:tabs>
          <w:tab w:val="clear" w:pos="204"/>
          <w:tab w:val="left" w:pos="720"/>
        </w:tabs>
        <w:spacing w:line="360" w:lineRule="auto"/>
        <w:rPr>
          <w:sz w:val="26"/>
          <w:szCs w:val="26"/>
        </w:rPr>
      </w:pPr>
      <w:r w:rsidRPr="00114FDD">
        <w:rPr>
          <w:sz w:val="26"/>
          <w:szCs w:val="26"/>
        </w:rPr>
        <w:tab/>
        <w:t xml:space="preserve">The following sections describe clarifications and modifications to </w:t>
      </w:r>
      <w:r w:rsidR="00397F71">
        <w:rPr>
          <w:sz w:val="26"/>
          <w:szCs w:val="26"/>
        </w:rPr>
        <w:t>the r</w:t>
      </w:r>
      <w:r w:rsidRPr="00114FDD">
        <w:rPr>
          <w:sz w:val="26"/>
          <w:szCs w:val="26"/>
        </w:rPr>
        <w:t xml:space="preserve">esidential </w:t>
      </w:r>
      <w:r w:rsidR="00397F71">
        <w:rPr>
          <w:sz w:val="26"/>
          <w:szCs w:val="26"/>
        </w:rPr>
        <w:t xml:space="preserve">measure </w:t>
      </w:r>
      <w:r w:rsidRPr="00114FDD">
        <w:rPr>
          <w:sz w:val="26"/>
          <w:szCs w:val="26"/>
        </w:rPr>
        <w:t xml:space="preserve">protocols: </w:t>
      </w:r>
    </w:p>
    <w:p w:rsidR="00036C90" w:rsidRDefault="00036C90" w:rsidP="00B64A9F">
      <w:pPr>
        <w:spacing w:line="360" w:lineRule="auto"/>
        <w:rPr>
          <w:sz w:val="26"/>
          <w:szCs w:val="26"/>
        </w:rPr>
      </w:pPr>
    </w:p>
    <w:p w:rsidR="0033671A" w:rsidRDefault="0033671A" w:rsidP="00B64A9F">
      <w:pPr>
        <w:spacing w:line="360" w:lineRule="auto"/>
        <w:rPr>
          <w:sz w:val="26"/>
          <w:szCs w:val="26"/>
        </w:rPr>
      </w:pPr>
    </w:p>
    <w:p w:rsidR="0033671A" w:rsidRPr="00114FDD" w:rsidRDefault="0033671A" w:rsidP="00B64A9F">
      <w:pPr>
        <w:spacing w:line="360" w:lineRule="auto"/>
        <w:rPr>
          <w:sz w:val="26"/>
          <w:szCs w:val="26"/>
        </w:rPr>
      </w:pPr>
    </w:p>
    <w:p w:rsidR="00036C90" w:rsidRPr="00114FDD" w:rsidRDefault="00036C90" w:rsidP="00B64A9F">
      <w:pPr>
        <w:pStyle w:val="p3"/>
        <w:numPr>
          <w:ilvl w:val="1"/>
          <w:numId w:val="10"/>
        </w:numPr>
        <w:tabs>
          <w:tab w:val="clear" w:pos="204"/>
          <w:tab w:val="left" w:pos="720"/>
        </w:tabs>
        <w:spacing w:line="360" w:lineRule="auto"/>
        <w:ind w:hanging="720"/>
        <w:outlineLvl w:val="2"/>
        <w:rPr>
          <w:b/>
          <w:sz w:val="26"/>
          <w:szCs w:val="26"/>
        </w:rPr>
      </w:pPr>
      <w:bookmarkStart w:id="4" w:name="_Toc334174992"/>
      <w:r w:rsidRPr="00114FDD">
        <w:rPr>
          <w:b/>
          <w:sz w:val="26"/>
          <w:szCs w:val="26"/>
        </w:rPr>
        <w:lastRenderedPageBreak/>
        <w:t>Electric HVAC Protocols</w:t>
      </w:r>
      <w:bookmarkEnd w:id="4"/>
    </w:p>
    <w:p w:rsidR="00036C90" w:rsidRPr="00114FDD" w:rsidRDefault="00036C90" w:rsidP="00B64A9F">
      <w:pPr>
        <w:pStyle w:val="p3"/>
        <w:tabs>
          <w:tab w:val="clear" w:pos="204"/>
          <w:tab w:val="left" w:pos="720"/>
        </w:tabs>
        <w:spacing w:line="360" w:lineRule="auto"/>
        <w:ind w:left="1440"/>
        <w:rPr>
          <w:b/>
          <w:sz w:val="26"/>
          <w:szCs w:val="26"/>
        </w:rPr>
      </w:pPr>
    </w:p>
    <w:p w:rsidR="00036C90" w:rsidRPr="00114FDD" w:rsidRDefault="00036C90"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5" w:name="_Toc334174993"/>
      <w:r w:rsidRPr="00114FDD">
        <w:rPr>
          <w:b/>
          <w:sz w:val="26"/>
          <w:szCs w:val="26"/>
        </w:rPr>
        <w:t>Equivalent Full Load Hours</w:t>
      </w:r>
      <w:bookmarkEnd w:id="5"/>
      <w:r w:rsidRPr="00114FDD">
        <w:rPr>
          <w:b/>
          <w:sz w:val="26"/>
          <w:szCs w:val="26"/>
        </w:rPr>
        <w:t xml:space="preserve"> </w:t>
      </w:r>
    </w:p>
    <w:p w:rsidR="00036C90" w:rsidRPr="00114FDD" w:rsidRDefault="00036C90" w:rsidP="00B64A9F">
      <w:pPr>
        <w:pStyle w:val="p3"/>
        <w:tabs>
          <w:tab w:val="clear" w:pos="204"/>
          <w:tab w:val="left" w:pos="0"/>
          <w:tab w:val="left" w:pos="720"/>
        </w:tabs>
        <w:spacing w:line="360" w:lineRule="auto"/>
        <w:rPr>
          <w:sz w:val="26"/>
          <w:szCs w:val="26"/>
        </w:rPr>
      </w:pPr>
      <w:r w:rsidRPr="00114FDD">
        <w:rPr>
          <w:sz w:val="26"/>
          <w:szCs w:val="26"/>
        </w:rPr>
        <w:tab/>
      </w:r>
    </w:p>
    <w:p w:rsidR="00036C90" w:rsidRPr="00114FDD" w:rsidRDefault="00036C90" w:rsidP="00B64A9F">
      <w:pPr>
        <w:pStyle w:val="p3"/>
        <w:tabs>
          <w:tab w:val="clear" w:pos="204"/>
          <w:tab w:val="left" w:pos="720"/>
        </w:tabs>
        <w:spacing w:line="360" w:lineRule="auto"/>
        <w:rPr>
          <w:sz w:val="26"/>
          <w:szCs w:val="26"/>
        </w:rPr>
      </w:pPr>
      <w:r w:rsidRPr="00114FDD">
        <w:rPr>
          <w:sz w:val="26"/>
          <w:szCs w:val="26"/>
        </w:rPr>
        <w:tab/>
        <w:t>The EFLH for cooling and heating in the 2012 TRM</w:t>
      </w:r>
      <w:r w:rsidRPr="00114FDD">
        <w:rPr>
          <w:sz w:val="26"/>
          <w:szCs w:val="26"/>
          <w:vertAlign w:val="superscript"/>
        </w:rPr>
        <w:footnoteReference w:id="20"/>
      </w:r>
      <w:r w:rsidRPr="00114FDD">
        <w:rPr>
          <w:sz w:val="26"/>
          <w:szCs w:val="26"/>
        </w:rPr>
        <w:t xml:space="preserve"> </w:t>
      </w:r>
      <w:r w:rsidR="00397F71">
        <w:rPr>
          <w:sz w:val="26"/>
          <w:szCs w:val="26"/>
        </w:rPr>
        <w:t>were</w:t>
      </w:r>
      <w:r w:rsidR="00397F71" w:rsidRPr="00114FDD">
        <w:rPr>
          <w:sz w:val="26"/>
          <w:szCs w:val="26"/>
        </w:rPr>
        <w:t xml:space="preserve"> </w:t>
      </w:r>
      <w:r w:rsidRPr="00114FDD">
        <w:rPr>
          <w:sz w:val="26"/>
          <w:szCs w:val="26"/>
        </w:rPr>
        <w:t xml:space="preserve">taken from the ENERGY STAR calculators for central air conditioners and air-source heat pumps. </w:t>
      </w:r>
      <w:r w:rsidR="0019283A" w:rsidRPr="00114FDD">
        <w:rPr>
          <w:sz w:val="26"/>
          <w:szCs w:val="26"/>
        </w:rPr>
        <w:t xml:space="preserve"> </w:t>
      </w:r>
      <w:r w:rsidRPr="00114FDD">
        <w:rPr>
          <w:sz w:val="26"/>
          <w:szCs w:val="26"/>
        </w:rPr>
        <w:t>The source listed in the ENERGY STAR calculators for these values is “EPA 2002,” which is a reference to a program called ENERGY STAR Investor, which is no longer published and for which no further information is available</w:t>
      </w:r>
      <w:r w:rsidR="0019283A" w:rsidRPr="00114FDD">
        <w:rPr>
          <w:sz w:val="26"/>
          <w:szCs w:val="26"/>
        </w:rPr>
        <w:t>.</w:t>
      </w:r>
      <w:r w:rsidRPr="00114FDD">
        <w:rPr>
          <w:sz w:val="26"/>
          <w:szCs w:val="26"/>
        </w:rPr>
        <w:t xml:space="preserve"> </w:t>
      </w:r>
      <w:r w:rsidR="0019283A" w:rsidRPr="00114FDD">
        <w:rPr>
          <w:sz w:val="26"/>
          <w:szCs w:val="26"/>
        </w:rPr>
        <w:t xml:space="preserve"> </w:t>
      </w:r>
      <w:r w:rsidRPr="00114FDD">
        <w:rPr>
          <w:sz w:val="26"/>
          <w:szCs w:val="26"/>
        </w:rPr>
        <w:t xml:space="preserve">To determine whether the use of the ENERGY STAR EFLH values is still accurate, other state TRMs (Massachusetts, Mid-Atlantic, New Jersey, New York, Ohio, Rhode Island and Wisconsin) were examined. </w:t>
      </w:r>
      <w:r w:rsidR="0019283A" w:rsidRPr="00114FDD">
        <w:rPr>
          <w:sz w:val="26"/>
          <w:szCs w:val="26"/>
        </w:rPr>
        <w:t xml:space="preserve"> </w:t>
      </w:r>
      <w:r w:rsidRPr="00114FDD">
        <w:rPr>
          <w:sz w:val="26"/>
          <w:szCs w:val="26"/>
        </w:rPr>
        <w:t>None of the</w:t>
      </w:r>
      <w:r w:rsidR="00186A95">
        <w:rPr>
          <w:sz w:val="26"/>
          <w:szCs w:val="26"/>
        </w:rPr>
        <w:t>se</w:t>
      </w:r>
      <w:r w:rsidRPr="00114FDD">
        <w:rPr>
          <w:sz w:val="26"/>
          <w:szCs w:val="26"/>
        </w:rPr>
        <w:t xml:space="preserve"> states used the full ENERGY STAR EFLH values</w:t>
      </w:r>
      <w:r w:rsidR="00186A95">
        <w:rPr>
          <w:sz w:val="26"/>
          <w:szCs w:val="26"/>
        </w:rPr>
        <w:t>.</w:t>
      </w:r>
      <w:r w:rsidRPr="00114FDD">
        <w:rPr>
          <w:sz w:val="26"/>
          <w:szCs w:val="26"/>
        </w:rPr>
        <w:t xml:space="preserve"> </w:t>
      </w:r>
      <w:r w:rsidR="00186A95">
        <w:rPr>
          <w:sz w:val="26"/>
          <w:szCs w:val="26"/>
        </w:rPr>
        <w:t xml:space="preserve"> These TRMs had </w:t>
      </w:r>
      <w:r w:rsidRPr="00114FDD">
        <w:rPr>
          <w:sz w:val="26"/>
          <w:szCs w:val="26"/>
        </w:rPr>
        <w:t xml:space="preserve">cooling EFLH </w:t>
      </w:r>
      <w:r w:rsidR="00186A95">
        <w:rPr>
          <w:sz w:val="26"/>
          <w:szCs w:val="26"/>
        </w:rPr>
        <w:t xml:space="preserve">values that </w:t>
      </w:r>
      <w:r w:rsidRPr="00114FDD">
        <w:rPr>
          <w:sz w:val="26"/>
          <w:szCs w:val="26"/>
        </w:rPr>
        <w:t xml:space="preserve">were approximately 30-50% lower than </w:t>
      </w:r>
      <w:r w:rsidR="00186A95">
        <w:rPr>
          <w:sz w:val="26"/>
          <w:szCs w:val="26"/>
        </w:rPr>
        <w:t xml:space="preserve">the </w:t>
      </w:r>
      <w:r w:rsidRPr="00114FDD">
        <w:rPr>
          <w:sz w:val="26"/>
          <w:szCs w:val="26"/>
        </w:rPr>
        <w:t xml:space="preserve">ENERGY STAR values and heating EFLH </w:t>
      </w:r>
      <w:r w:rsidR="00186A95">
        <w:rPr>
          <w:sz w:val="26"/>
          <w:szCs w:val="26"/>
        </w:rPr>
        <w:t xml:space="preserve">values that </w:t>
      </w:r>
      <w:r w:rsidRPr="00114FDD">
        <w:rPr>
          <w:sz w:val="26"/>
          <w:szCs w:val="26"/>
        </w:rPr>
        <w:t xml:space="preserve">were approximately 35-55% lower than ENERGY STAR values. </w:t>
      </w:r>
      <w:r w:rsidR="0019283A" w:rsidRPr="00114FDD">
        <w:rPr>
          <w:sz w:val="26"/>
          <w:szCs w:val="26"/>
        </w:rPr>
        <w:t xml:space="preserve"> </w:t>
      </w:r>
      <w:r w:rsidRPr="00114FDD">
        <w:rPr>
          <w:sz w:val="26"/>
          <w:szCs w:val="26"/>
        </w:rPr>
        <w:t xml:space="preserve">A large part of this difference is </w:t>
      </w:r>
      <w:r w:rsidR="00186A95">
        <w:rPr>
          <w:sz w:val="26"/>
          <w:szCs w:val="26"/>
        </w:rPr>
        <w:t xml:space="preserve">due to </w:t>
      </w:r>
      <w:r w:rsidRPr="00114FDD">
        <w:rPr>
          <w:sz w:val="26"/>
          <w:szCs w:val="26"/>
        </w:rPr>
        <w:t xml:space="preserve">the </w:t>
      </w:r>
      <w:r w:rsidR="00186A95">
        <w:rPr>
          <w:sz w:val="26"/>
          <w:szCs w:val="26"/>
        </w:rPr>
        <w:t xml:space="preserve">fact that the </w:t>
      </w:r>
      <w:r w:rsidRPr="00114FDD">
        <w:rPr>
          <w:sz w:val="26"/>
          <w:szCs w:val="26"/>
        </w:rPr>
        <w:t>ENERGY STAR EFLH does not take into account the over-sizing of HVAC equipment that</w:t>
      </w:r>
      <w:r w:rsidR="00186A95">
        <w:rPr>
          <w:sz w:val="26"/>
          <w:szCs w:val="26"/>
        </w:rPr>
        <w:t xml:space="preserve"> often</w:t>
      </w:r>
      <w:r w:rsidRPr="00114FDD">
        <w:rPr>
          <w:sz w:val="26"/>
          <w:szCs w:val="26"/>
        </w:rPr>
        <w:t xml:space="preserve"> occurs in </w:t>
      </w:r>
      <w:r w:rsidR="00186A95">
        <w:rPr>
          <w:sz w:val="26"/>
          <w:szCs w:val="26"/>
        </w:rPr>
        <w:t>r</w:t>
      </w:r>
      <w:r w:rsidRPr="00114FDD">
        <w:rPr>
          <w:sz w:val="26"/>
          <w:szCs w:val="26"/>
        </w:rPr>
        <w:t xml:space="preserve">esidential homes. </w:t>
      </w:r>
      <w:r w:rsidR="0019283A" w:rsidRPr="00114FDD">
        <w:rPr>
          <w:sz w:val="26"/>
          <w:szCs w:val="26"/>
        </w:rPr>
        <w:t xml:space="preserve"> </w:t>
      </w:r>
      <w:r w:rsidRPr="00114FDD">
        <w:rPr>
          <w:sz w:val="26"/>
          <w:szCs w:val="26"/>
        </w:rPr>
        <w:t xml:space="preserve">An over-sized HVAC unit </w:t>
      </w:r>
      <w:r w:rsidR="00186A95">
        <w:rPr>
          <w:sz w:val="26"/>
          <w:szCs w:val="26"/>
        </w:rPr>
        <w:t>will</w:t>
      </w:r>
      <w:r w:rsidR="00186A95" w:rsidRPr="00114FDD">
        <w:rPr>
          <w:sz w:val="26"/>
          <w:szCs w:val="26"/>
        </w:rPr>
        <w:t xml:space="preserve"> </w:t>
      </w:r>
      <w:r w:rsidRPr="00114FDD">
        <w:rPr>
          <w:sz w:val="26"/>
          <w:szCs w:val="26"/>
        </w:rPr>
        <w:t>run fewer hours than a perfectly-sized unit installed in the same home.</w:t>
      </w:r>
      <w:r w:rsidR="0019283A" w:rsidRPr="00114FDD">
        <w:rPr>
          <w:sz w:val="26"/>
          <w:szCs w:val="26"/>
        </w:rPr>
        <w:t xml:space="preserve"> </w:t>
      </w:r>
      <w:r w:rsidRPr="00114FDD">
        <w:rPr>
          <w:sz w:val="26"/>
          <w:szCs w:val="26"/>
        </w:rPr>
        <w:t xml:space="preserve"> Therefore, </w:t>
      </w:r>
      <w:r w:rsidR="00186A95">
        <w:rPr>
          <w:sz w:val="26"/>
          <w:szCs w:val="26"/>
        </w:rPr>
        <w:t xml:space="preserve">we believe that </w:t>
      </w:r>
      <w:r w:rsidRPr="00114FDD">
        <w:rPr>
          <w:sz w:val="26"/>
          <w:szCs w:val="26"/>
        </w:rPr>
        <w:t xml:space="preserve">an update to the EFLH in the TRM </w:t>
      </w:r>
      <w:r w:rsidR="0019283A" w:rsidRPr="00114FDD">
        <w:rPr>
          <w:sz w:val="26"/>
          <w:szCs w:val="26"/>
        </w:rPr>
        <w:t>is</w:t>
      </w:r>
      <w:r w:rsidRPr="00114FDD">
        <w:rPr>
          <w:sz w:val="26"/>
          <w:szCs w:val="26"/>
        </w:rPr>
        <w:t xml:space="preserve"> needed</w:t>
      </w:r>
      <w:r w:rsidR="00186A95">
        <w:rPr>
          <w:sz w:val="26"/>
          <w:szCs w:val="26"/>
        </w:rPr>
        <w:t xml:space="preserve"> to account for the oversizing of residential HVAC equipment</w:t>
      </w:r>
      <w:r w:rsidRPr="00114FDD">
        <w:rPr>
          <w:sz w:val="26"/>
          <w:szCs w:val="26"/>
        </w:rPr>
        <w:t>.</w:t>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pStyle w:val="p3"/>
        <w:tabs>
          <w:tab w:val="clear" w:pos="204"/>
          <w:tab w:val="left" w:pos="720"/>
        </w:tabs>
        <w:spacing w:line="360" w:lineRule="auto"/>
        <w:rPr>
          <w:sz w:val="26"/>
          <w:szCs w:val="26"/>
        </w:rPr>
      </w:pPr>
      <w:r w:rsidRPr="00114FDD">
        <w:rPr>
          <w:sz w:val="26"/>
          <w:szCs w:val="26"/>
        </w:rPr>
        <w:tab/>
        <w:t xml:space="preserve">The methodology used to update the EFLH was a modeling approach because REM/Rate modeling was used for </w:t>
      </w:r>
      <w:r w:rsidR="00666A81">
        <w:rPr>
          <w:sz w:val="26"/>
          <w:szCs w:val="26"/>
        </w:rPr>
        <w:t>r</w:t>
      </w:r>
      <w:r w:rsidR="00666A81" w:rsidRPr="00114FDD">
        <w:rPr>
          <w:sz w:val="26"/>
          <w:szCs w:val="26"/>
        </w:rPr>
        <w:t xml:space="preserve">esidential </w:t>
      </w:r>
      <w:r w:rsidRPr="00114FDD">
        <w:rPr>
          <w:sz w:val="26"/>
          <w:szCs w:val="26"/>
        </w:rPr>
        <w:t xml:space="preserve">HVAC measures in the </w:t>
      </w:r>
      <w:r w:rsidR="0019283A" w:rsidRPr="00114FDD">
        <w:rPr>
          <w:sz w:val="26"/>
          <w:szCs w:val="26"/>
        </w:rPr>
        <w:t>SWE’s Electric Energy Efficiency Potential for Pennsylvania Final Report</w:t>
      </w:r>
      <w:r w:rsidRPr="00114FDD">
        <w:rPr>
          <w:sz w:val="26"/>
          <w:szCs w:val="26"/>
        </w:rPr>
        <w:t xml:space="preserve"> </w:t>
      </w:r>
      <w:r w:rsidR="0019283A" w:rsidRPr="00114FDD">
        <w:rPr>
          <w:sz w:val="26"/>
          <w:szCs w:val="26"/>
        </w:rPr>
        <w:t>(</w:t>
      </w:r>
      <w:r w:rsidRPr="00114FDD">
        <w:rPr>
          <w:sz w:val="26"/>
          <w:szCs w:val="26"/>
        </w:rPr>
        <w:t>Market Potential Study</w:t>
      </w:r>
      <w:r w:rsidR="0019283A" w:rsidRPr="00114FDD">
        <w:rPr>
          <w:sz w:val="26"/>
          <w:szCs w:val="26"/>
        </w:rPr>
        <w:t>)</w:t>
      </w:r>
      <w:r w:rsidRPr="00114FDD">
        <w:rPr>
          <w:sz w:val="26"/>
          <w:szCs w:val="26"/>
          <w:vertAlign w:val="superscript"/>
        </w:rPr>
        <w:footnoteReference w:id="21"/>
      </w:r>
      <w:r w:rsidRPr="00114FDD">
        <w:rPr>
          <w:sz w:val="26"/>
          <w:szCs w:val="26"/>
        </w:rPr>
        <w:t xml:space="preserve"> and many of the other state </w:t>
      </w:r>
      <w:r w:rsidR="00666A81">
        <w:rPr>
          <w:sz w:val="26"/>
          <w:szCs w:val="26"/>
        </w:rPr>
        <w:t>TRMs</w:t>
      </w:r>
      <w:r w:rsidR="00666A81" w:rsidRPr="00114FDD">
        <w:rPr>
          <w:sz w:val="26"/>
          <w:szCs w:val="26"/>
        </w:rPr>
        <w:t xml:space="preserve"> </w:t>
      </w:r>
      <w:r w:rsidRPr="00114FDD">
        <w:rPr>
          <w:sz w:val="26"/>
          <w:szCs w:val="26"/>
        </w:rPr>
        <w:t>used a modeling approach to develop EFLH estimates.</w:t>
      </w:r>
      <w:r w:rsidR="0019283A" w:rsidRPr="00114FDD">
        <w:rPr>
          <w:sz w:val="26"/>
          <w:szCs w:val="26"/>
        </w:rPr>
        <w:t xml:space="preserve"> </w:t>
      </w:r>
      <w:r w:rsidRPr="00114FDD">
        <w:rPr>
          <w:sz w:val="26"/>
          <w:szCs w:val="26"/>
        </w:rPr>
        <w:t xml:space="preserve"> The REM/Rate models used in the Market Potential Study, </w:t>
      </w:r>
      <w:r w:rsidR="00850EF0">
        <w:rPr>
          <w:sz w:val="26"/>
          <w:szCs w:val="26"/>
        </w:rPr>
        <w:t xml:space="preserve">were </w:t>
      </w:r>
      <w:r w:rsidRPr="00114FDD">
        <w:rPr>
          <w:sz w:val="26"/>
          <w:szCs w:val="26"/>
        </w:rPr>
        <w:t xml:space="preserve">based on average home characteristics for each EDC territory from the </w:t>
      </w:r>
      <w:r w:rsidR="0019283A" w:rsidRPr="00114FDD">
        <w:rPr>
          <w:sz w:val="26"/>
          <w:szCs w:val="26"/>
        </w:rPr>
        <w:t xml:space="preserve">SWE’s Pennsylvania Statewide </w:t>
      </w:r>
      <w:r w:rsidR="0019283A" w:rsidRPr="00114FDD">
        <w:rPr>
          <w:sz w:val="26"/>
          <w:szCs w:val="26"/>
        </w:rPr>
        <w:lastRenderedPageBreak/>
        <w:t xml:space="preserve">Residential End-Use and Saturation </w:t>
      </w:r>
      <w:r w:rsidRPr="00114FDD">
        <w:rPr>
          <w:sz w:val="26"/>
          <w:szCs w:val="26"/>
        </w:rPr>
        <w:t>Study</w:t>
      </w:r>
      <w:r w:rsidR="0019283A" w:rsidRPr="00114FDD">
        <w:rPr>
          <w:sz w:val="26"/>
          <w:szCs w:val="26"/>
        </w:rPr>
        <w:t xml:space="preserve"> (Residential Baseline Study)</w:t>
      </w:r>
      <w:r w:rsidRPr="00114FDD">
        <w:rPr>
          <w:sz w:val="26"/>
          <w:szCs w:val="26"/>
        </w:rPr>
        <w:t>,</w:t>
      </w:r>
      <w:r w:rsidR="0019283A" w:rsidRPr="00114FDD">
        <w:rPr>
          <w:rStyle w:val="FootnoteReference"/>
          <w:sz w:val="26"/>
          <w:szCs w:val="26"/>
        </w:rPr>
        <w:footnoteReference w:id="22"/>
      </w:r>
      <w:r w:rsidRPr="00114FDD">
        <w:rPr>
          <w:sz w:val="26"/>
          <w:szCs w:val="26"/>
        </w:rPr>
        <w:t xml:space="preserve"> </w:t>
      </w:r>
      <w:r w:rsidR="00850EF0">
        <w:rPr>
          <w:sz w:val="26"/>
          <w:szCs w:val="26"/>
        </w:rPr>
        <w:t xml:space="preserve">and </w:t>
      </w:r>
      <w:r w:rsidRPr="00114FDD">
        <w:rPr>
          <w:sz w:val="26"/>
          <w:szCs w:val="26"/>
        </w:rPr>
        <w:t xml:space="preserve">were used to develop </w:t>
      </w:r>
      <w:r w:rsidR="00850EF0">
        <w:rPr>
          <w:sz w:val="26"/>
          <w:szCs w:val="26"/>
        </w:rPr>
        <w:t xml:space="preserve">the </w:t>
      </w:r>
      <w:r w:rsidRPr="00114FDD">
        <w:rPr>
          <w:sz w:val="26"/>
          <w:szCs w:val="26"/>
        </w:rPr>
        <w:t>statewide EFLH estimates.</w:t>
      </w:r>
      <w:r w:rsidR="0019283A" w:rsidRPr="00114FDD">
        <w:rPr>
          <w:sz w:val="26"/>
          <w:szCs w:val="26"/>
        </w:rPr>
        <w:t xml:space="preserve"> </w:t>
      </w:r>
      <w:r w:rsidRPr="00114FDD">
        <w:rPr>
          <w:sz w:val="26"/>
          <w:szCs w:val="26"/>
        </w:rPr>
        <w:t xml:space="preserve"> </w:t>
      </w:r>
      <w:r w:rsidR="00850EF0">
        <w:rPr>
          <w:sz w:val="26"/>
          <w:szCs w:val="26"/>
        </w:rPr>
        <w:t xml:space="preserve">In addition, the </w:t>
      </w:r>
      <w:r w:rsidRPr="00114FDD">
        <w:rPr>
          <w:sz w:val="26"/>
          <w:szCs w:val="26"/>
        </w:rPr>
        <w:t>EFLH were estimated using cooling and heating kWh consumption and design loads calculated by REM/Rate</w:t>
      </w:r>
      <w:r w:rsidR="0019283A" w:rsidRPr="00114FDD">
        <w:rPr>
          <w:sz w:val="26"/>
          <w:szCs w:val="26"/>
        </w:rPr>
        <w:t xml:space="preserve"> modeling</w:t>
      </w:r>
      <w:r w:rsidRPr="00114FDD">
        <w:rPr>
          <w:sz w:val="26"/>
          <w:szCs w:val="26"/>
        </w:rPr>
        <w:t xml:space="preserve"> for each EDC housing characteristic model in each weather location. </w:t>
      </w:r>
      <w:r w:rsidR="0019283A" w:rsidRPr="00114FDD">
        <w:rPr>
          <w:sz w:val="26"/>
          <w:szCs w:val="26"/>
        </w:rPr>
        <w:t xml:space="preserve"> </w:t>
      </w:r>
      <w:r w:rsidRPr="00114FDD">
        <w:rPr>
          <w:sz w:val="26"/>
          <w:szCs w:val="26"/>
        </w:rPr>
        <w:t xml:space="preserve">These results were then scaled </w:t>
      </w:r>
      <w:r w:rsidR="00850EF0">
        <w:rPr>
          <w:sz w:val="26"/>
          <w:szCs w:val="26"/>
        </w:rPr>
        <w:t>f</w:t>
      </w:r>
      <w:r w:rsidRPr="00114FDD">
        <w:rPr>
          <w:sz w:val="26"/>
          <w:szCs w:val="26"/>
        </w:rPr>
        <w:t xml:space="preserve">or cooling </w:t>
      </w:r>
      <w:r w:rsidR="00850EF0">
        <w:rPr>
          <w:sz w:val="26"/>
          <w:szCs w:val="26"/>
        </w:rPr>
        <w:t xml:space="preserve">by </w:t>
      </w:r>
      <w:r w:rsidRPr="00114FDD">
        <w:rPr>
          <w:sz w:val="26"/>
          <w:szCs w:val="26"/>
        </w:rPr>
        <w:t xml:space="preserve">an over-sizing factor of 1.5 (50% oversized), based on a 1999 study of field data prepared for </w:t>
      </w:r>
      <w:r w:rsidR="00800F6C">
        <w:rPr>
          <w:sz w:val="26"/>
          <w:szCs w:val="26"/>
        </w:rPr>
        <w:t>the American Council for an Energy-Efficient Economy (</w:t>
      </w:r>
      <w:r w:rsidRPr="00114FDD">
        <w:rPr>
          <w:sz w:val="26"/>
          <w:szCs w:val="26"/>
        </w:rPr>
        <w:t>ACEEE</w:t>
      </w:r>
      <w:r w:rsidR="00800F6C">
        <w:rPr>
          <w:sz w:val="26"/>
          <w:szCs w:val="26"/>
        </w:rPr>
        <w:t>)</w:t>
      </w:r>
      <w:r w:rsidRPr="00114FDD">
        <w:rPr>
          <w:sz w:val="26"/>
          <w:szCs w:val="26"/>
          <w:vertAlign w:val="superscript"/>
        </w:rPr>
        <w:footnoteReference w:id="23"/>
      </w:r>
      <w:r w:rsidRPr="00114FDD">
        <w:rPr>
          <w:sz w:val="26"/>
          <w:szCs w:val="26"/>
        </w:rPr>
        <w:t xml:space="preserve"> and confirmed by a 2008 study by the Energy Center of Wisconsin</w:t>
      </w:r>
      <w:r w:rsidR="0019283A" w:rsidRPr="00114FDD">
        <w:rPr>
          <w:sz w:val="26"/>
          <w:szCs w:val="26"/>
        </w:rPr>
        <w:t>.</w:t>
      </w:r>
      <w:r w:rsidRPr="00114FDD">
        <w:rPr>
          <w:sz w:val="26"/>
          <w:szCs w:val="26"/>
          <w:vertAlign w:val="superscript"/>
        </w:rPr>
        <w:footnoteReference w:id="24"/>
      </w:r>
      <w:r w:rsidRPr="00114FDD">
        <w:rPr>
          <w:sz w:val="26"/>
          <w:szCs w:val="26"/>
        </w:rPr>
        <w:t xml:space="preserve"> </w:t>
      </w:r>
      <w:r w:rsidR="0019283A" w:rsidRPr="00114FDD">
        <w:rPr>
          <w:sz w:val="26"/>
          <w:szCs w:val="26"/>
        </w:rPr>
        <w:t xml:space="preserve"> </w:t>
      </w:r>
      <w:r w:rsidRPr="00114FDD">
        <w:rPr>
          <w:sz w:val="26"/>
          <w:szCs w:val="26"/>
        </w:rPr>
        <w:t xml:space="preserve">For heating, an over-sizing factor of 1.4 (40% oversized) was </w:t>
      </w:r>
      <w:r w:rsidR="00850EF0">
        <w:rPr>
          <w:sz w:val="26"/>
          <w:szCs w:val="26"/>
        </w:rPr>
        <w:t>used</w:t>
      </w:r>
      <w:r w:rsidRPr="00114FDD">
        <w:rPr>
          <w:sz w:val="26"/>
          <w:szCs w:val="26"/>
        </w:rPr>
        <w:t>, based on the Air Conditioning Contractors of America Manual S</w:t>
      </w:r>
      <w:r w:rsidRPr="00114FDD">
        <w:rPr>
          <w:sz w:val="26"/>
          <w:szCs w:val="26"/>
          <w:vertAlign w:val="superscript"/>
        </w:rPr>
        <w:footnoteReference w:id="25"/>
      </w:r>
      <w:r w:rsidRPr="00114FDD">
        <w:rPr>
          <w:sz w:val="26"/>
          <w:szCs w:val="26"/>
        </w:rPr>
        <w:t xml:space="preserve"> for proper sizing of HVAC equipment.</w:t>
      </w:r>
    </w:p>
    <w:p w:rsidR="00036C90" w:rsidRPr="00114FDD" w:rsidRDefault="00036C90" w:rsidP="00B64A9F">
      <w:pPr>
        <w:pStyle w:val="p3"/>
        <w:tabs>
          <w:tab w:val="clear" w:pos="204"/>
          <w:tab w:val="left" w:pos="0"/>
          <w:tab w:val="left" w:pos="720"/>
        </w:tabs>
        <w:spacing w:line="360" w:lineRule="auto"/>
        <w:rPr>
          <w:sz w:val="26"/>
          <w:szCs w:val="26"/>
        </w:rPr>
      </w:pPr>
    </w:p>
    <w:p w:rsidR="00850EF0" w:rsidRDefault="00EA3D7E"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 xml:space="preserve">Based on the above methodology, the Commission proposes adjusting the cooling and heating EFLH values. </w:t>
      </w:r>
      <w:r w:rsidR="00D56A43" w:rsidRPr="00114FDD">
        <w:rPr>
          <w:sz w:val="26"/>
          <w:szCs w:val="26"/>
        </w:rPr>
        <w:t xml:space="preserve"> </w:t>
      </w:r>
      <w:r w:rsidR="00036C90" w:rsidRPr="00114FDD">
        <w:rPr>
          <w:sz w:val="26"/>
          <w:szCs w:val="26"/>
        </w:rPr>
        <w:t>These new EFLH values shall affect the following sections of the 2012 TRM: Section 2.1 –  Electric HVAC,</w:t>
      </w:r>
      <w:r w:rsidR="00036C90" w:rsidRPr="00114FDD">
        <w:rPr>
          <w:sz w:val="26"/>
          <w:szCs w:val="26"/>
          <w:vertAlign w:val="superscript"/>
        </w:rPr>
        <w:footnoteReference w:id="26"/>
      </w:r>
      <w:r w:rsidR="00036C90" w:rsidRPr="00114FDD">
        <w:rPr>
          <w:sz w:val="26"/>
          <w:szCs w:val="26"/>
        </w:rPr>
        <w:t xml:space="preserve"> Section 2.5 – Furnace Whistle,</w:t>
      </w:r>
      <w:r w:rsidR="00036C90" w:rsidRPr="00114FDD">
        <w:rPr>
          <w:sz w:val="26"/>
          <w:szCs w:val="26"/>
          <w:vertAlign w:val="superscript"/>
        </w:rPr>
        <w:footnoteReference w:id="27"/>
      </w:r>
      <w:r w:rsidR="00036C90" w:rsidRPr="00114FDD">
        <w:rPr>
          <w:sz w:val="26"/>
          <w:szCs w:val="26"/>
        </w:rPr>
        <w:t xml:space="preserve"> Section 2.11 – Programmable Thermostat,</w:t>
      </w:r>
      <w:r w:rsidR="00036C90" w:rsidRPr="00114FDD">
        <w:rPr>
          <w:sz w:val="26"/>
          <w:szCs w:val="26"/>
          <w:vertAlign w:val="superscript"/>
        </w:rPr>
        <w:footnoteReference w:id="28"/>
      </w:r>
      <w:r w:rsidR="00036C90" w:rsidRPr="00114FDD">
        <w:rPr>
          <w:sz w:val="26"/>
          <w:szCs w:val="26"/>
        </w:rPr>
        <w:t xml:space="preserve"> Section  2.17 – Ductless Mini-Split Heat Pumps,</w:t>
      </w:r>
      <w:r w:rsidR="00036C90" w:rsidRPr="00114FDD">
        <w:rPr>
          <w:sz w:val="26"/>
          <w:szCs w:val="26"/>
          <w:vertAlign w:val="superscript"/>
        </w:rPr>
        <w:footnoteReference w:id="29"/>
      </w:r>
      <w:r w:rsidR="00036C90" w:rsidRPr="00114FDD">
        <w:rPr>
          <w:sz w:val="26"/>
          <w:szCs w:val="26"/>
        </w:rPr>
        <w:t xml:space="preserve"> Section 2.20 – Fuel Switching: Electric Heat to Gas Heat,</w:t>
      </w:r>
      <w:r w:rsidR="00036C90" w:rsidRPr="00114FDD">
        <w:rPr>
          <w:sz w:val="26"/>
          <w:szCs w:val="26"/>
          <w:vertAlign w:val="superscript"/>
        </w:rPr>
        <w:footnoteReference w:id="30"/>
      </w:r>
      <w:r w:rsidR="00036C90" w:rsidRPr="00114FDD">
        <w:rPr>
          <w:sz w:val="26"/>
          <w:szCs w:val="26"/>
        </w:rPr>
        <w:t xml:space="preserve"> </w:t>
      </w:r>
      <w:r w:rsidR="00C74DF7">
        <w:rPr>
          <w:sz w:val="26"/>
          <w:szCs w:val="26"/>
        </w:rPr>
        <w:t xml:space="preserve">and </w:t>
      </w:r>
      <w:r w:rsidR="00036C90" w:rsidRPr="00114FDD">
        <w:rPr>
          <w:sz w:val="26"/>
          <w:szCs w:val="26"/>
        </w:rPr>
        <w:t>Section 2.21 – Ceiling, Wall, and Attic Insulation.</w:t>
      </w:r>
      <w:r w:rsidR="00036C90" w:rsidRPr="00114FDD">
        <w:rPr>
          <w:sz w:val="26"/>
          <w:szCs w:val="26"/>
          <w:vertAlign w:val="superscript"/>
        </w:rPr>
        <w:footnoteReference w:id="31"/>
      </w:r>
      <w:r w:rsidR="00036C90" w:rsidRPr="00114FDD">
        <w:rPr>
          <w:sz w:val="26"/>
          <w:szCs w:val="26"/>
        </w:rPr>
        <w:t xml:space="preserve"> </w:t>
      </w:r>
      <w:r w:rsidR="00D56A43" w:rsidRPr="00114FDD">
        <w:rPr>
          <w:sz w:val="26"/>
          <w:szCs w:val="26"/>
        </w:rPr>
        <w:t xml:space="preserve"> </w:t>
      </w:r>
    </w:p>
    <w:p w:rsidR="00850EF0" w:rsidRDefault="00850EF0" w:rsidP="00B64A9F">
      <w:pPr>
        <w:pStyle w:val="p3"/>
        <w:tabs>
          <w:tab w:val="clear" w:pos="204"/>
          <w:tab w:val="left" w:pos="720"/>
        </w:tabs>
        <w:spacing w:line="360" w:lineRule="auto"/>
        <w:rPr>
          <w:sz w:val="26"/>
          <w:szCs w:val="26"/>
        </w:rPr>
      </w:pPr>
    </w:p>
    <w:p w:rsidR="00036C90" w:rsidRDefault="00850EF0" w:rsidP="00AC514A">
      <w:pPr>
        <w:pStyle w:val="p3"/>
        <w:tabs>
          <w:tab w:val="clear" w:pos="204"/>
          <w:tab w:val="left" w:pos="720"/>
        </w:tabs>
        <w:spacing w:line="360" w:lineRule="auto"/>
        <w:rPr>
          <w:sz w:val="26"/>
          <w:szCs w:val="26"/>
        </w:rPr>
      </w:pPr>
      <w:r>
        <w:rPr>
          <w:sz w:val="26"/>
          <w:szCs w:val="26"/>
        </w:rPr>
        <w:tab/>
      </w:r>
      <w:r w:rsidR="00AC514A" w:rsidRPr="00AC514A">
        <w:rPr>
          <w:sz w:val="26"/>
          <w:szCs w:val="26"/>
        </w:rPr>
        <w:t xml:space="preserve">Furthermore, the Commission proposes allowing an alternative, optional methodology for calculating estimating EFLH.  The Commission proposes that the EDCs </w:t>
      </w:r>
      <w:r w:rsidR="00AC514A" w:rsidRPr="00AC514A">
        <w:rPr>
          <w:sz w:val="26"/>
          <w:szCs w:val="26"/>
        </w:rPr>
        <w:lastRenderedPageBreak/>
        <w:t>be allowed to develop their own EFLH estimates based on billing data analysis from residential customers in their territories as an alternative to the default EFLH based on modeling</w:t>
      </w:r>
      <w:r w:rsidR="00AC514A">
        <w:rPr>
          <w:sz w:val="26"/>
          <w:szCs w:val="26"/>
        </w:rPr>
        <w:t>,</w:t>
      </w:r>
      <w:r w:rsidR="00AC514A" w:rsidRPr="00AC514A">
        <w:rPr>
          <w:sz w:val="26"/>
          <w:szCs w:val="26"/>
        </w:rPr>
        <w:t xml:space="preserve"> if they believe that the billing data analysis will provide more accurate EFLH estimates than the REM/Rate modeling and assumed over-sizing factors. </w:t>
      </w:r>
    </w:p>
    <w:p w:rsidR="00AC514A" w:rsidRPr="00114FDD" w:rsidRDefault="00AC514A" w:rsidP="00AC514A">
      <w:pPr>
        <w:pStyle w:val="p3"/>
        <w:tabs>
          <w:tab w:val="clear" w:pos="204"/>
          <w:tab w:val="left" w:pos="720"/>
        </w:tabs>
        <w:spacing w:line="360" w:lineRule="auto"/>
        <w:rPr>
          <w:sz w:val="26"/>
          <w:szCs w:val="26"/>
        </w:rPr>
      </w:pPr>
    </w:p>
    <w:p w:rsidR="00036C90" w:rsidRPr="00114FDD" w:rsidRDefault="00036C90"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6" w:name="_Toc334174994"/>
      <w:r w:rsidRPr="00114FDD">
        <w:rPr>
          <w:b/>
          <w:sz w:val="26"/>
          <w:szCs w:val="26"/>
        </w:rPr>
        <w:t>Sizing Algorithm</w:t>
      </w:r>
      <w:bookmarkEnd w:id="6"/>
    </w:p>
    <w:p w:rsidR="00036C90" w:rsidRPr="00114FDD" w:rsidRDefault="00036C90" w:rsidP="00B64A9F">
      <w:pPr>
        <w:pStyle w:val="p3"/>
        <w:tabs>
          <w:tab w:val="clear" w:pos="204"/>
          <w:tab w:val="left" w:pos="0"/>
          <w:tab w:val="left" w:pos="720"/>
        </w:tabs>
        <w:spacing w:line="360" w:lineRule="auto"/>
        <w:rPr>
          <w:sz w:val="26"/>
          <w:szCs w:val="26"/>
        </w:rPr>
      </w:pPr>
      <w:r w:rsidRPr="00114FDD">
        <w:rPr>
          <w:sz w:val="26"/>
          <w:szCs w:val="26"/>
        </w:rPr>
        <w:tab/>
      </w:r>
    </w:p>
    <w:p w:rsidR="00036C90" w:rsidRPr="00114FDD" w:rsidRDefault="00036C90" w:rsidP="00B64A9F">
      <w:pPr>
        <w:pStyle w:val="p3"/>
        <w:tabs>
          <w:tab w:val="clear" w:pos="204"/>
          <w:tab w:val="left" w:pos="720"/>
        </w:tabs>
        <w:spacing w:line="360" w:lineRule="auto"/>
        <w:rPr>
          <w:sz w:val="26"/>
          <w:szCs w:val="26"/>
        </w:rPr>
      </w:pPr>
      <w:r w:rsidRPr="00114FDD">
        <w:rPr>
          <w:sz w:val="26"/>
          <w:szCs w:val="26"/>
        </w:rPr>
        <w:tab/>
        <w:t xml:space="preserve">In the 2011 TRM, an algorithm existed for savings associated with the installation of a </w:t>
      </w:r>
      <w:r w:rsidR="007560F1" w:rsidRPr="00114FDD">
        <w:rPr>
          <w:sz w:val="26"/>
          <w:szCs w:val="26"/>
        </w:rPr>
        <w:t>properly-sized air conditioner.</w:t>
      </w:r>
      <w:r w:rsidRPr="00114FDD">
        <w:rPr>
          <w:sz w:val="26"/>
          <w:szCs w:val="26"/>
          <w:vertAlign w:val="superscript"/>
        </w:rPr>
        <w:footnoteReference w:id="32"/>
      </w:r>
      <w:r w:rsidR="007560F1" w:rsidRPr="00114FDD">
        <w:rPr>
          <w:sz w:val="26"/>
          <w:szCs w:val="26"/>
        </w:rPr>
        <w:t xml:space="preserve"> </w:t>
      </w:r>
      <w:r w:rsidRPr="00114FDD">
        <w:rPr>
          <w:sz w:val="26"/>
          <w:szCs w:val="26"/>
        </w:rPr>
        <w:t xml:space="preserve"> This algorithm was removed in the 2012 TRM update.</w:t>
      </w:r>
      <w:r w:rsidR="007560F1" w:rsidRPr="00114FDD">
        <w:rPr>
          <w:sz w:val="26"/>
          <w:szCs w:val="26"/>
        </w:rPr>
        <w:t xml:space="preserve"> </w:t>
      </w:r>
      <w:r w:rsidRPr="00114FDD">
        <w:rPr>
          <w:sz w:val="26"/>
          <w:szCs w:val="26"/>
        </w:rPr>
        <w:t xml:space="preserve"> Since the new cooling EFLH values will account for over-sizing and there is currently no algorithm for </w:t>
      </w:r>
      <w:r w:rsidR="007560F1" w:rsidRPr="00114FDD">
        <w:rPr>
          <w:sz w:val="26"/>
          <w:szCs w:val="26"/>
        </w:rPr>
        <w:t xml:space="preserve">the </w:t>
      </w:r>
      <w:r w:rsidRPr="00114FDD">
        <w:rPr>
          <w:sz w:val="26"/>
          <w:szCs w:val="26"/>
        </w:rPr>
        <w:t>proper sizing of air conditioners, EDCs that have programs which require contractors to prove proper sizing of equipment to receive a rebate will not receive the savings credit associated with proper sizing.</w:t>
      </w:r>
      <w:r w:rsidR="007560F1" w:rsidRPr="00114FDD">
        <w:rPr>
          <w:sz w:val="26"/>
          <w:szCs w:val="26"/>
        </w:rPr>
        <w:t xml:space="preserve"> </w:t>
      </w:r>
      <w:r w:rsidRPr="00114FDD">
        <w:rPr>
          <w:sz w:val="26"/>
          <w:szCs w:val="26"/>
        </w:rPr>
        <w:t xml:space="preserve"> A properly</w:t>
      </w:r>
      <w:r w:rsidR="007560F1" w:rsidRPr="00114FDD">
        <w:rPr>
          <w:sz w:val="26"/>
          <w:szCs w:val="26"/>
        </w:rPr>
        <w:t>-</w:t>
      </w:r>
      <w:r w:rsidRPr="00114FDD">
        <w:rPr>
          <w:sz w:val="26"/>
          <w:szCs w:val="26"/>
        </w:rPr>
        <w:t xml:space="preserve">sized air conditioner will run more efficiently because </w:t>
      </w:r>
      <w:r w:rsidR="007560F1" w:rsidRPr="00114FDD">
        <w:rPr>
          <w:sz w:val="26"/>
          <w:szCs w:val="26"/>
        </w:rPr>
        <w:t>it will cycle fewer times, draw</w:t>
      </w:r>
      <w:r w:rsidRPr="00114FDD">
        <w:rPr>
          <w:sz w:val="26"/>
          <w:szCs w:val="26"/>
        </w:rPr>
        <w:t xml:space="preserve"> less energy, and will provide both cooling and dehumidification at the proper rates.</w:t>
      </w:r>
    </w:p>
    <w:p w:rsidR="00DA781D" w:rsidRPr="00114FDD" w:rsidRDefault="00DA781D" w:rsidP="00B64A9F">
      <w:pPr>
        <w:pStyle w:val="p3"/>
        <w:tabs>
          <w:tab w:val="clear" w:pos="204"/>
          <w:tab w:val="left" w:pos="720"/>
        </w:tabs>
        <w:spacing w:line="360" w:lineRule="auto"/>
        <w:rPr>
          <w:sz w:val="26"/>
          <w:szCs w:val="26"/>
        </w:rPr>
      </w:pPr>
    </w:p>
    <w:p w:rsidR="00036C90" w:rsidRPr="00114FDD" w:rsidRDefault="00036C90" w:rsidP="00B64A9F">
      <w:pPr>
        <w:pStyle w:val="p3"/>
        <w:tabs>
          <w:tab w:val="clear" w:pos="204"/>
          <w:tab w:val="left" w:pos="720"/>
        </w:tabs>
        <w:spacing w:line="360" w:lineRule="auto"/>
        <w:rPr>
          <w:sz w:val="26"/>
          <w:szCs w:val="26"/>
        </w:rPr>
      </w:pPr>
      <w:r w:rsidRPr="00114FDD">
        <w:rPr>
          <w:sz w:val="26"/>
          <w:szCs w:val="26"/>
        </w:rPr>
        <w:tab/>
        <w:t xml:space="preserve">The Commission therefore proposes reinserting the proper sizing savings algorithm for cooling HVAC equipment to allow EDCs to claim savings for </w:t>
      </w:r>
      <w:r w:rsidR="00800F6C">
        <w:rPr>
          <w:sz w:val="26"/>
          <w:szCs w:val="26"/>
        </w:rPr>
        <w:t xml:space="preserve">a </w:t>
      </w:r>
      <w:r w:rsidRPr="00114FDD">
        <w:rPr>
          <w:sz w:val="26"/>
          <w:szCs w:val="26"/>
        </w:rPr>
        <w:t>proper</w:t>
      </w:r>
      <w:r w:rsidR="007213F8">
        <w:rPr>
          <w:sz w:val="26"/>
          <w:szCs w:val="26"/>
        </w:rPr>
        <w:t>ly</w:t>
      </w:r>
      <w:r w:rsidR="00800F6C">
        <w:rPr>
          <w:sz w:val="26"/>
          <w:szCs w:val="26"/>
        </w:rPr>
        <w:t>-</w:t>
      </w:r>
      <w:r w:rsidR="007213F8" w:rsidRPr="00114FDD">
        <w:rPr>
          <w:sz w:val="26"/>
          <w:szCs w:val="26"/>
        </w:rPr>
        <w:t>siz</w:t>
      </w:r>
      <w:r w:rsidR="007213F8">
        <w:rPr>
          <w:sz w:val="26"/>
          <w:szCs w:val="26"/>
        </w:rPr>
        <w:t>ed HVAC</w:t>
      </w:r>
      <w:r w:rsidR="007213F8" w:rsidRPr="00114FDD">
        <w:rPr>
          <w:sz w:val="26"/>
          <w:szCs w:val="26"/>
        </w:rPr>
        <w:t xml:space="preserve"> </w:t>
      </w:r>
      <w:r w:rsidRPr="00114FDD">
        <w:rPr>
          <w:sz w:val="26"/>
          <w:szCs w:val="26"/>
        </w:rPr>
        <w:t xml:space="preserve">and continue </w:t>
      </w:r>
      <w:r w:rsidR="007213F8">
        <w:rPr>
          <w:sz w:val="26"/>
          <w:szCs w:val="26"/>
        </w:rPr>
        <w:t>offering</w:t>
      </w:r>
      <w:r w:rsidR="007213F8" w:rsidRPr="00114FDD">
        <w:rPr>
          <w:sz w:val="26"/>
          <w:szCs w:val="26"/>
        </w:rPr>
        <w:t xml:space="preserve"> </w:t>
      </w:r>
      <w:r w:rsidRPr="00114FDD">
        <w:rPr>
          <w:sz w:val="26"/>
          <w:szCs w:val="26"/>
        </w:rPr>
        <w:t xml:space="preserve">programs </w:t>
      </w:r>
      <w:r w:rsidR="007213F8">
        <w:rPr>
          <w:sz w:val="26"/>
          <w:szCs w:val="26"/>
        </w:rPr>
        <w:t>that require</w:t>
      </w:r>
      <w:r w:rsidRPr="00114FDD">
        <w:rPr>
          <w:sz w:val="26"/>
          <w:szCs w:val="26"/>
        </w:rPr>
        <w:t xml:space="preserve"> proper sizing as a condition to receive rebates. </w:t>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pStyle w:val="p3"/>
        <w:numPr>
          <w:ilvl w:val="1"/>
          <w:numId w:val="10"/>
        </w:numPr>
        <w:tabs>
          <w:tab w:val="clear" w:pos="204"/>
          <w:tab w:val="left" w:pos="720"/>
        </w:tabs>
        <w:spacing w:line="360" w:lineRule="auto"/>
        <w:ind w:hanging="720"/>
        <w:outlineLvl w:val="2"/>
        <w:rPr>
          <w:b/>
          <w:sz w:val="26"/>
          <w:szCs w:val="26"/>
        </w:rPr>
      </w:pPr>
      <w:bookmarkStart w:id="7" w:name="_Toc334174995"/>
      <w:r w:rsidRPr="00114FDD">
        <w:rPr>
          <w:b/>
          <w:sz w:val="26"/>
          <w:szCs w:val="26"/>
        </w:rPr>
        <w:t>Lighting Protocols</w:t>
      </w:r>
      <w:bookmarkEnd w:id="7"/>
    </w:p>
    <w:p w:rsidR="00036C90" w:rsidRPr="00114FDD" w:rsidRDefault="00036C90" w:rsidP="00B64A9F">
      <w:pPr>
        <w:pStyle w:val="ListParagraph"/>
        <w:spacing w:after="0" w:line="360" w:lineRule="auto"/>
        <w:ind w:left="1440"/>
        <w:rPr>
          <w:rFonts w:ascii="Times New Roman" w:hAnsi="Times New Roman"/>
          <w:b/>
          <w:sz w:val="26"/>
          <w:szCs w:val="26"/>
        </w:rPr>
      </w:pPr>
    </w:p>
    <w:p w:rsidR="00036C90" w:rsidRPr="00114FDD" w:rsidRDefault="00036C90" w:rsidP="00B64A9F">
      <w:pPr>
        <w:pStyle w:val="p3"/>
        <w:numPr>
          <w:ilvl w:val="3"/>
          <w:numId w:val="10"/>
        </w:numPr>
        <w:tabs>
          <w:tab w:val="clear" w:pos="204"/>
          <w:tab w:val="left" w:pos="0"/>
          <w:tab w:val="left" w:pos="720"/>
        </w:tabs>
        <w:spacing w:line="360" w:lineRule="auto"/>
        <w:ind w:left="2160" w:hanging="720"/>
        <w:outlineLvl w:val="3"/>
        <w:rPr>
          <w:b/>
          <w:sz w:val="26"/>
          <w:szCs w:val="26"/>
        </w:rPr>
      </w:pPr>
      <w:r w:rsidRPr="00114FDD">
        <w:rPr>
          <w:b/>
          <w:sz w:val="26"/>
          <w:szCs w:val="26"/>
        </w:rPr>
        <w:t xml:space="preserve"> </w:t>
      </w:r>
      <w:bookmarkStart w:id="8" w:name="_Toc334174996"/>
      <w:r w:rsidRPr="00114FDD">
        <w:rPr>
          <w:b/>
          <w:sz w:val="26"/>
          <w:szCs w:val="26"/>
        </w:rPr>
        <w:t>CFL Hours of Operation per Day</w:t>
      </w:r>
      <w:bookmarkEnd w:id="8"/>
    </w:p>
    <w:p w:rsidR="00036C90" w:rsidRPr="00114FDD" w:rsidRDefault="00036C90" w:rsidP="00B64A9F">
      <w:pPr>
        <w:pStyle w:val="p3"/>
        <w:tabs>
          <w:tab w:val="clear" w:pos="204"/>
          <w:tab w:val="left" w:pos="0"/>
          <w:tab w:val="left" w:pos="720"/>
        </w:tabs>
        <w:spacing w:line="360" w:lineRule="auto"/>
        <w:ind w:left="1800"/>
        <w:rPr>
          <w:b/>
          <w:sz w:val="26"/>
          <w:szCs w:val="26"/>
        </w:rPr>
      </w:pPr>
    </w:p>
    <w:p w:rsidR="00036C90" w:rsidRPr="00114FDD" w:rsidRDefault="00DA781D"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The 2009</w:t>
      </w:r>
      <w:r w:rsidR="004F3245" w:rsidRPr="00114FDD">
        <w:rPr>
          <w:sz w:val="26"/>
          <w:szCs w:val="26"/>
        </w:rPr>
        <w:t>,</w:t>
      </w:r>
      <w:r w:rsidR="00036C90" w:rsidRPr="00114FDD">
        <w:rPr>
          <w:sz w:val="26"/>
          <w:szCs w:val="26"/>
          <w:vertAlign w:val="superscript"/>
        </w:rPr>
        <w:footnoteReference w:id="33"/>
      </w:r>
      <w:r w:rsidR="00036C90" w:rsidRPr="00114FDD">
        <w:rPr>
          <w:sz w:val="26"/>
          <w:szCs w:val="26"/>
        </w:rPr>
        <w:t xml:space="preserve"> 2010</w:t>
      </w:r>
      <w:r w:rsidR="00036C90" w:rsidRPr="00114FDD">
        <w:rPr>
          <w:sz w:val="26"/>
          <w:szCs w:val="26"/>
          <w:vertAlign w:val="superscript"/>
        </w:rPr>
        <w:footnoteReference w:id="34"/>
      </w:r>
      <w:r w:rsidR="00036C90" w:rsidRPr="00114FDD">
        <w:rPr>
          <w:sz w:val="26"/>
          <w:szCs w:val="26"/>
        </w:rPr>
        <w:t xml:space="preserve"> and 2011</w:t>
      </w:r>
      <w:r w:rsidR="00036C90" w:rsidRPr="00114FDD">
        <w:rPr>
          <w:sz w:val="26"/>
          <w:szCs w:val="26"/>
          <w:vertAlign w:val="superscript"/>
        </w:rPr>
        <w:footnoteReference w:id="35"/>
      </w:r>
      <w:r w:rsidR="00036C90" w:rsidRPr="00114FDD">
        <w:rPr>
          <w:sz w:val="26"/>
          <w:szCs w:val="26"/>
        </w:rPr>
        <w:t xml:space="preserve"> TRMs adopted a stipulated value of 3.0 </w:t>
      </w:r>
      <w:r w:rsidR="004F3245" w:rsidRPr="00114FDD">
        <w:rPr>
          <w:sz w:val="26"/>
          <w:szCs w:val="26"/>
        </w:rPr>
        <w:t xml:space="preserve">HOU </w:t>
      </w:r>
      <w:r w:rsidR="00036C90" w:rsidRPr="00114FDD">
        <w:rPr>
          <w:sz w:val="26"/>
          <w:szCs w:val="26"/>
        </w:rPr>
        <w:t xml:space="preserve">per </w:t>
      </w:r>
      <w:r w:rsidR="00036C90" w:rsidRPr="00114FDD">
        <w:rPr>
          <w:sz w:val="26"/>
          <w:szCs w:val="26"/>
        </w:rPr>
        <w:lastRenderedPageBreak/>
        <w:t xml:space="preserve">day for CFLs based on an ENERGY STAR calculator for residential lighting.  In the 2011 TRM Final Order, the Commission directed the </w:t>
      </w:r>
      <w:r w:rsidR="004F3245" w:rsidRPr="00114FDD">
        <w:rPr>
          <w:sz w:val="26"/>
          <w:szCs w:val="26"/>
        </w:rPr>
        <w:t>TWG</w:t>
      </w:r>
      <w:r w:rsidR="0067494D" w:rsidRPr="00114FDD">
        <w:rPr>
          <w:sz w:val="26"/>
          <w:szCs w:val="26"/>
        </w:rPr>
        <w:t xml:space="preserve"> </w:t>
      </w:r>
      <w:r w:rsidR="00036C90" w:rsidRPr="00114FDD">
        <w:rPr>
          <w:sz w:val="26"/>
          <w:szCs w:val="26"/>
        </w:rPr>
        <w:t>to “discuss and develop CFL HOU study proposals to be submitted to the Commission by June 1, 2011.”</w:t>
      </w:r>
      <w:r w:rsidR="00036C90" w:rsidRPr="00114FDD">
        <w:rPr>
          <w:sz w:val="26"/>
          <w:szCs w:val="26"/>
          <w:vertAlign w:val="superscript"/>
        </w:rPr>
        <w:footnoteReference w:id="36"/>
      </w:r>
      <w:r w:rsidR="00036C90" w:rsidRPr="00114FDD">
        <w:rPr>
          <w:sz w:val="26"/>
          <w:szCs w:val="26"/>
        </w:rPr>
        <w:t xml:space="preserve">  These proposals were to include a variety of factors including, but not limited to, market penetration, light metering, light logging, estimated costs and funding methodologies.  </w:t>
      </w:r>
    </w:p>
    <w:p w:rsidR="00DA781D" w:rsidRPr="00114FDD" w:rsidRDefault="00DA781D" w:rsidP="00B64A9F">
      <w:pPr>
        <w:pStyle w:val="p3"/>
        <w:tabs>
          <w:tab w:val="clear" w:pos="204"/>
          <w:tab w:val="left" w:pos="720"/>
        </w:tabs>
        <w:spacing w:line="360" w:lineRule="auto"/>
        <w:rPr>
          <w:sz w:val="26"/>
          <w:szCs w:val="26"/>
        </w:rPr>
      </w:pPr>
    </w:p>
    <w:p w:rsidR="00036C90" w:rsidRPr="00114FDD" w:rsidRDefault="00DA781D"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 xml:space="preserve">As part of the 2012 TRM </w:t>
      </w:r>
      <w:r w:rsidR="004F3245" w:rsidRPr="00114FDD">
        <w:rPr>
          <w:sz w:val="26"/>
          <w:szCs w:val="26"/>
        </w:rPr>
        <w:t>update, the SWE and Commission S</w:t>
      </w:r>
      <w:r w:rsidR="00036C90" w:rsidRPr="00114FDD">
        <w:rPr>
          <w:sz w:val="26"/>
          <w:szCs w:val="26"/>
        </w:rPr>
        <w:t>taff conducted an in-depth review of two lighting studies that were determined to be most applicable to Pennsylvania based on factors such as</w:t>
      </w:r>
      <w:r w:rsidR="00C74DF7">
        <w:rPr>
          <w:sz w:val="26"/>
          <w:szCs w:val="26"/>
        </w:rPr>
        <w:t xml:space="preserve"> the</w:t>
      </w:r>
      <w:r w:rsidR="00036C90" w:rsidRPr="00114FDD">
        <w:rPr>
          <w:sz w:val="26"/>
          <w:szCs w:val="26"/>
        </w:rPr>
        <w:t xml:space="preserve"> age of the program, the geographic location, demographics and sampling techniques.  Because geographical location affects hours of operation </w:t>
      </w:r>
      <w:r w:rsidR="00822976">
        <w:rPr>
          <w:sz w:val="26"/>
          <w:szCs w:val="26"/>
        </w:rPr>
        <w:t>for</w:t>
      </w:r>
      <w:r w:rsidR="00822976" w:rsidRPr="00114FDD">
        <w:rPr>
          <w:sz w:val="26"/>
          <w:szCs w:val="26"/>
        </w:rPr>
        <w:t xml:space="preserve"> </w:t>
      </w:r>
      <w:r w:rsidR="00036C90" w:rsidRPr="00114FDD">
        <w:rPr>
          <w:sz w:val="26"/>
          <w:szCs w:val="26"/>
        </w:rPr>
        <w:t>CFLs, more weight was given to this factor when determining a study’s applicability to Pennsylvania.</w:t>
      </w:r>
      <w:r w:rsidR="00036C90" w:rsidRPr="00114FDD">
        <w:rPr>
          <w:sz w:val="26"/>
          <w:szCs w:val="26"/>
          <w:vertAlign w:val="superscript"/>
        </w:rPr>
        <w:footnoteReference w:id="37"/>
      </w:r>
      <w:r w:rsidR="00036C90" w:rsidRPr="00114FDD">
        <w:rPr>
          <w:sz w:val="26"/>
          <w:szCs w:val="26"/>
        </w:rPr>
        <w:t xml:space="preserve">  The study selected as most applicable to Pennsylvania was performed by Navigant Consulting entitled “EmPOWER Maryland 2010 Interim Evaluation Report – Chapter 5: Lighting and Appliances” which was presented to Baltimore Gas and Electric, Potomac Electric Power Company, Delmarva Power and Light, Southern Maryland Electric Cooperative, and Allegheny Power.</w:t>
      </w:r>
      <w:r w:rsidR="00036C90" w:rsidRPr="00114FDD">
        <w:rPr>
          <w:sz w:val="26"/>
          <w:szCs w:val="26"/>
          <w:vertAlign w:val="superscript"/>
        </w:rPr>
        <w:footnoteReference w:id="38"/>
      </w:r>
      <w:r w:rsidR="00036C90" w:rsidRPr="00114FDD">
        <w:rPr>
          <w:sz w:val="26"/>
          <w:szCs w:val="26"/>
        </w:rPr>
        <w:t xml:space="preserve">   Based on the data analyzed and adjusting for hours of daylight across the year, Navigant developed a “mean-annualized HOU estimate of 2.98.”</w:t>
      </w:r>
      <w:r w:rsidR="00036C90" w:rsidRPr="00114FDD">
        <w:rPr>
          <w:sz w:val="26"/>
          <w:szCs w:val="26"/>
          <w:vertAlign w:val="superscript"/>
        </w:rPr>
        <w:footnoteReference w:id="39"/>
      </w:r>
    </w:p>
    <w:p w:rsidR="00DA781D" w:rsidRPr="00114FDD" w:rsidRDefault="00DA781D" w:rsidP="00B64A9F">
      <w:pPr>
        <w:pStyle w:val="p3"/>
        <w:tabs>
          <w:tab w:val="clear" w:pos="204"/>
          <w:tab w:val="left" w:pos="720"/>
        </w:tabs>
        <w:spacing w:line="360" w:lineRule="auto"/>
        <w:rPr>
          <w:sz w:val="26"/>
          <w:szCs w:val="26"/>
        </w:rPr>
      </w:pPr>
    </w:p>
    <w:p w:rsidR="00036C90" w:rsidRPr="00114FDD" w:rsidRDefault="00DA781D" w:rsidP="00B64A9F">
      <w:pPr>
        <w:pStyle w:val="p3"/>
        <w:tabs>
          <w:tab w:val="clear" w:pos="204"/>
          <w:tab w:val="left" w:pos="720"/>
        </w:tabs>
        <w:spacing w:line="360" w:lineRule="auto"/>
        <w:rPr>
          <w:sz w:val="26"/>
          <w:szCs w:val="26"/>
        </w:rPr>
      </w:pPr>
      <w:r w:rsidRPr="00114FDD">
        <w:rPr>
          <w:sz w:val="26"/>
          <w:szCs w:val="26"/>
        </w:rPr>
        <w:lastRenderedPageBreak/>
        <w:tab/>
      </w:r>
      <w:r w:rsidR="00036C90" w:rsidRPr="00114FDD">
        <w:rPr>
          <w:sz w:val="26"/>
          <w:szCs w:val="26"/>
        </w:rPr>
        <w:t>The 2012 TRM</w:t>
      </w:r>
      <w:r w:rsidR="00036C90" w:rsidRPr="00114FDD">
        <w:rPr>
          <w:sz w:val="26"/>
          <w:szCs w:val="26"/>
          <w:vertAlign w:val="superscript"/>
        </w:rPr>
        <w:footnoteReference w:id="40"/>
      </w:r>
      <w:r w:rsidR="00036C90" w:rsidRPr="00114FDD">
        <w:rPr>
          <w:sz w:val="26"/>
          <w:szCs w:val="26"/>
        </w:rPr>
        <w:t xml:space="preserve"> maintained 3.0 as the value for CFL HOU, based on the results of the Maryland study.  The Commission supported th</w:t>
      </w:r>
      <w:r w:rsidR="004F3245" w:rsidRPr="00114FDD">
        <w:rPr>
          <w:sz w:val="26"/>
          <w:szCs w:val="26"/>
        </w:rPr>
        <w:t>e values found in the Maryland S</w:t>
      </w:r>
      <w:r w:rsidR="00036C90" w:rsidRPr="00114FDD">
        <w:rPr>
          <w:sz w:val="26"/>
          <w:szCs w:val="26"/>
        </w:rPr>
        <w:t>tudy because the geographic attributes, weather and other factors are similar to Pennsylvania, and confirm the applicability of the existing 3.0 CFL HOU value for use in the 2012 TRM.</w:t>
      </w:r>
      <w:r w:rsidR="00036C90" w:rsidRPr="00114FDD">
        <w:rPr>
          <w:sz w:val="26"/>
          <w:szCs w:val="26"/>
          <w:vertAlign w:val="superscript"/>
        </w:rPr>
        <w:footnoteReference w:id="41"/>
      </w:r>
      <w:r w:rsidR="00036C90" w:rsidRPr="00114FDD">
        <w:rPr>
          <w:sz w:val="26"/>
          <w:szCs w:val="26"/>
        </w:rPr>
        <w:t xml:space="preserve">  However, the Commission directed the </w:t>
      </w:r>
      <w:r w:rsidR="004F3245" w:rsidRPr="00114FDD">
        <w:rPr>
          <w:sz w:val="26"/>
          <w:szCs w:val="26"/>
        </w:rPr>
        <w:t>TWG</w:t>
      </w:r>
      <w:r w:rsidR="0067494D" w:rsidRPr="00114FDD">
        <w:rPr>
          <w:sz w:val="26"/>
          <w:szCs w:val="26"/>
        </w:rPr>
        <w:t xml:space="preserve"> </w:t>
      </w:r>
      <w:r w:rsidR="00036C90" w:rsidRPr="00114FDD">
        <w:rPr>
          <w:sz w:val="26"/>
          <w:szCs w:val="26"/>
        </w:rPr>
        <w:t>“to monitor and review studies related to CFL HOU values in markets similar to Pennsylvania’s and provide recommendations for future TRM updates.”</w:t>
      </w:r>
      <w:r w:rsidR="00036C90" w:rsidRPr="00114FDD">
        <w:rPr>
          <w:sz w:val="26"/>
          <w:szCs w:val="26"/>
          <w:vertAlign w:val="superscript"/>
        </w:rPr>
        <w:footnoteReference w:id="42"/>
      </w:r>
      <w:r w:rsidR="00036C90" w:rsidRPr="00114FDD">
        <w:rPr>
          <w:sz w:val="26"/>
          <w:szCs w:val="26"/>
        </w:rPr>
        <w:t xml:space="preserve">  </w:t>
      </w:r>
    </w:p>
    <w:p w:rsidR="00DA781D" w:rsidRPr="00114FDD" w:rsidRDefault="00DA781D" w:rsidP="00B64A9F">
      <w:pPr>
        <w:tabs>
          <w:tab w:val="left" w:pos="720"/>
        </w:tabs>
        <w:spacing w:line="360" w:lineRule="auto"/>
        <w:rPr>
          <w:sz w:val="26"/>
          <w:szCs w:val="26"/>
        </w:rPr>
      </w:pPr>
    </w:p>
    <w:p w:rsidR="00036C90" w:rsidRPr="00114FDD" w:rsidRDefault="00DA781D"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Following this direction</w:t>
      </w:r>
      <w:r w:rsidR="00C74DF7">
        <w:rPr>
          <w:sz w:val="26"/>
          <w:szCs w:val="26"/>
        </w:rPr>
        <w:t>,</w:t>
      </w:r>
      <w:r w:rsidR="00036C90" w:rsidRPr="00114FDD">
        <w:rPr>
          <w:sz w:val="26"/>
          <w:szCs w:val="26"/>
        </w:rPr>
        <w:t xml:space="preserve"> the SWE, </w:t>
      </w:r>
      <w:r w:rsidR="0067494D" w:rsidRPr="00114FDD">
        <w:rPr>
          <w:sz w:val="26"/>
          <w:szCs w:val="26"/>
        </w:rPr>
        <w:t xml:space="preserve">PEG </w:t>
      </w:r>
      <w:r w:rsidR="00036C90" w:rsidRPr="00114FDD">
        <w:rPr>
          <w:sz w:val="26"/>
          <w:szCs w:val="26"/>
        </w:rPr>
        <w:t xml:space="preserve">and Commission </w:t>
      </w:r>
      <w:r w:rsidR="004F3245" w:rsidRPr="00114FDD">
        <w:rPr>
          <w:sz w:val="26"/>
          <w:szCs w:val="26"/>
        </w:rPr>
        <w:t>S</w:t>
      </w:r>
      <w:r w:rsidR="00036C90" w:rsidRPr="00114FDD">
        <w:rPr>
          <w:sz w:val="26"/>
          <w:szCs w:val="26"/>
        </w:rPr>
        <w:t xml:space="preserve">taff reviewed seven CFL metering studies completed over the past ten years.  The SWE also reviewed a U.S. Department of Energy </w:t>
      </w:r>
      <w:r w:rsidR="004F3245" w:rsidRPr="00114FDD">
        <w:rPr>
          <w:sz w:val="26"/>
          <w:szCs w:val="26"/>
        </w:rPr>
        <w:t xml:space="preserve">(DOE) </w:t>
      </w:r>
      <w:r w:rsidR="00036C90" w:rsidRPr="00114FDD">
        <w:rPr>
          <w:sz w:val="26"/>
          <w:szCs w:val="26"/>
        </w:rPr>
        <w:t>2010 U.S. Li</w:t>
      </w:r>
      <w:r w:rsidR="004F3245" w:rsidRPr="00114FDD">
        <w:rPr>
          <w:sz w:val="26"/>
          <w:szCs w:val="26"/>
        </w:rPr>
        <w:t>ghting Market Characterization r</w:t>
      </w:r>
      <w:r w:rsidR="00036C90" w:rsidRPr="00114FDD">
        <w:rPr>
          <w:sz w:val="26"/>
          <w:szCs w:val="26"/>
        </w:rPr>
        <w:t>eport, which indicated that operating hours vary from study to study due to differences in sample size, reside</w:t>
      </w:r>
      <w:r w:rsidR="00C74DF7">
        <w:rPr>
          <w:sz w:val="26"/>
          <w:szCs w:val="26"/>
        </w:rPr>
        <w:t>nce types, occupant</w:t>
      </w:r>
      <w:r w:rsidR="00036C90" w:rsidRPr="00114FDD">
        <w:rPr>
          <w:sz w:val="26"/>
          <w:szCs w:val="26"/>
        </w:rPr>
        <w:t xml:space="preserve"> habits, sample geographies, and other factors.  The report supported the use of a 2010 California study, which found 1.9 HOU as most representative of the national average because it is the most recent comprehensive study.</w:t>
      </w:r>
      <w:r w:rsidR="00036C90" w:rsidRPr="00114FDD">
        <w:rPr>
          <w:sz w:val="26"/>
          <w:szCs w:val="26"/>
          <w:vertAlign w:val="superscript"/>
        </w:rPr>
        <w:footnoteReference w:id="43"/>
      </w:r>
      <w:r w:rsidR="00036C90" w:rsidRPr="00114FDD">
        <w:rPr>
          <w:sz w:val="26"/>
          <w:szCs w:val="26"/>
        </w:rPr>
        <w:t xml:space="preserve">  A 2005 Wisconsin review of various metering studies determined that important limitations of studies were the duration of metering and number of loggers deployed</w:t>
      </w:r>
      <w:r w:rsidR="004F3245" w:rsidRPr="00114FDD">
        <w:rPr>
          <w:sz w:val="26"/>
          <w:szCs w:val="26"/>
        </w:rPr>
        <w:t>,</w:t>
      </w:r>
      <w:r w:rsidR="00036C90" w:rsidRPr="00114FDD">
        <w:rPr>
          <w:sz w:val="26"/>
          <w:szCs w:val="26"/>
        </w:rPr>
        <w:t xml:space="preserve"> because shorter duration studies relied on extrapolation techniques and a smaller sample is considered less reliable.</w:t>
      </w:r>
      <w:r w:rsidR="00036C90" w:rsidRPr="00114FDD">
        <w:rPr>
          <w:sz w:val="26"/>
          <w:szCs w:val="26"/>
          <w:vertAlign w:val="superscript"/>
        </w:rPr>
        <w:footnoteReference w:id="44"/>
      </w:r>
      <w:r w:rsidR="00036C90" w:rsidRPr="00114FDD">
        <w:rPr>
          <w:sz w:val="26"/>
          <w:szCs w:val="26"/>
        </w:rPr>
        <w:t xml:space="preserve">  Based on the DOE and Wisconsin reports, it was determined that</w:t>
      </w:r>
      <w:r w:rsidR="004F3245" w:rsidRPr="00114FDD">
        <w:rPr>
          <w:sz w:val="26"/>
          <w:szCs w:val="26"/>
        </w:rPr>
        <w:t>,</w:t>
      </w:r>
      <w:r w:rsidR="00036C90" w:rsidRPr="00114FDD">
        <w:rPr>
          <w:sz w:val="26"/>
          <w:szCs w:val="26"/>
        </w:rPr>
        <w:t xml:space="preserve"> in addition to geographical location, sample size and duration of metering were major criteria when reviewing </w:t>
      </w:r>
      <w:r w:rsidR="00822976">
        <w:rPr>
          <w:sz w:val="26"/>
          <w:szCs w:val="26"/>
        </w:rPr>
        <w:t xml:space="preserve">CFL HOU </w:t>
      </w:r>
      <w:r w:rsidR="00036C90" w:rsidRPr="00114FDD">
        <w:rPr>
          <w:sz w:val="26"/>
          <w:szCs w:val="26"/>
        </w:rPr>
        <w:t xml:space="preserve">studies. </w:t>
      </w:r>
    </w:p>
    <w:p w:rsidR="00DA781D" w:rsidRPr="00114FDD" w:rsidRDefault="00DA781D" w:rsidP="00B64A9F">
      <w:pPr>
        <w:pStyle w:val="p3"/>
        <w:tabs>
          <w:tab w:val="clear" w:pos="204"/>
          <w:tab w:val="left" w:pos="720"/>
        </w:tabs>
        <w:spacing w:line="360" w:lineRule="auto"/>
        <w:rPr>
          <w:sz w:val="26"/>
          <w:szCs w:val="26"/>
        </w:rPr>
      </w:pPr>
    </w:p>
    <w:p w:rsidR="00036C90" w:rsidRPr="00114FDD" w:rsidRDefault="00DA781D"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 xml:space="preserve">The SWE, </w:t>
      </w:r>
      <w:r w:rsidR="0067494D" w:rsidRPr="00114FDD">
        <w:rPr>
          <w:sz w:val="26"/>
          <w:szCs w:val="26"/>
        </w:rPr>
        <w:t xml:space="preserve">PEG </w:t>
      </w:r>
      <w:r w:rsidR="00036C90" w:rsidRPr="00114FDD">
        <w:rPr>
          <w:sz w:val="26"/>
          <w:szCs w:val="26"/>
        </w:rPr>
        <w:t xml:space="preserve">and Commission </w:t>
      </w:r>
      <w:r w:rsidR="004F3245" w:rsidRPr="00114FDD">
        <w:rPr>
          <w:sz w:val="26"/>
          <w:szCs w:val="26"/>
        </w:rPr>
        <w:t>S</w:t>
      </w:r>
      <w:r w:rsidR="00036C90" w:rsidRPr="00114FDD">
        <w:rPr>
          <w:sz w:val="26"/>
          <w:szCs w:val="26"/>
        </w:rPr>
        <w:t xml:space="preserve">taff reviewed metering studies from New </w:t>
      </w:r>
      <w:r w:rsidR="00036C90" w:rsidRPr="00114FDD">
        <w:rPr>
          <w:sz w:val="26"/>
          <w:szCs w:val="26"/>
        </w:rPr>
        <w:lastRenderedPageBreak/>
        <w:t>England</w:t>
      </w:r>
      <w:r w:rsidR="004F3245" w:rsidRPr="00114FDD">
        <w:rPr>
          <w:sz w:val="26"/>
          <w:szCs w:val="26"/>
        </w:rPr>
        <w:t>,</w:t>
      </w:r>
      <w:r w:rsidR="00036C90" w:rsidRPr="00114FDD">
        <w:rPr>
          <w:sz w:val="26"/>
          <w:szCs w:val="26"/>
          <w:vertAlign w:val="superscript"/>
        </w:rPr>
        <w:footnoteReference w:id="45"/>
      </w:r>
      <w:r w:rsidR="00036C90" w:rsidRPr="00114FDD">
        <w:rPr>
          <w:sz w:val="26"/>
          <w:szCs w:val="26"/>
        </w:rPr>
        <w:t xml:space="preserve"> California</w:t>
      </w:r>
      <w:r w:rsidR="004F3245" w:rsidRPr="00114FDD">
        <w:rPr>
          <w:sz w:val="26"/>
          <w:szCs w:val="26"/>
        </w:rPr>
        <w:t>,</w:t>
      </w:r>
      <w:r w:rsidR="00036C90" w:rsidRPr="00114FDD">
        <w:rPr>
          <w:sz w:val="26"/>
          <w:szCs w:val="26"/>
          <w:vertAlign w:val="superscript"/>
        </w:rPr>
        <w:footnoteReference w:id="46"/>
      </w:r>
      <w:r w:rsidR="004F3245" w:rsidRPr="00114FDD">
        <w:rPr>
          <w:sz w:val="26"/>
          <w:szCs w:val="26"/>
        </w:rPr>
        <w:t xml:space="preserve"> </w:t>
      </w:r>
      <w:r w:rsidR="00036C90" w:rsidRPr="00114FDD">
        <w:rPr>
          <w:sz w:val="26"/>
          <w:szCs w:val="26"/>
        </w:rPr>
        <w:t>Maine</w:t>
      </w:r>
      <w:r w:rsidR="004F3245" w:rsidRPr="00114FDD">
        <w:rPr>
          <w:sz w:val="26"/>
          <w:szCs w:val="26"/>
        </w:rPr>
        <w:t>,</w:t>
      </w:r>
      <w:r w:rsidR="00036C90" w:rsidRPr="00114FDD">
        <w:rPr>
          <w:sz w:val="26"/>
          <w:szCs w:val="26"/>
          <w:vertAlign w:val="superscript"/>
        </w:rPr>
        <w:footnoteReference w:id="47"/>
      </w:r>
      <w:r w:rsidR="00036C90" w:rsidRPr="00114FDD">
        <w:rPr>
          <w:sz w:val="26"/>
          <w:szCs w:val="26"/>
        </w:rPr>
        <w:t xml:space="preserve"> Maryland</w:t>
      </w:r>
      <w:r w:rsidR="00672CB5">
        <w:rPr>
          <w:sz w:val="26"/>
          <w:szCs w:val="26"/>
        </w:rPr>
        <w:t>,</w:t>
      </w:r>
      <w:r w:rsidR="00036C90" w:rsidRPr="00114FDD">
        <w:rPr>
          <w:sz w:val="26"/>
          <w:szCs w:val="26"/>
          <w:vertAlign w:val="superscript"/>
        </w:rPr>
        <w:footnoteReference w:id="48"/>
      </w:r>
      <w:r w:rsidR="00036C90" w:rsidRPr="00114FDD">
        <w:rPr>
          <w:sz w:val="26"/>
          <w:szCs w:val="26"/>
        </w:rPr>
        <w:t xml:space="preserve"> and North and South Carolina</w:t>
      </w:r>
      <w:r w:rsidR="004F3245" w:rsidRPr="00114FDD">
        <w:rPr>
          <w:sz w:val="26"/>
          <w:szCs w:val="26"/>
        </w:rPr>
        <w:t>.</w:t>
      </w:r>
      <w:r w:rsidR="00036C90" w:rsidRPr="00114FDD">
        <w:rPr>
          <w:sz w:val="26"/>
          <w:szCs w:val="26"/>
          <w:vertAlign w:val="superscript"/>
        </w:rPr>
        <w:footnoteReference w:id="49"/>
      </w:r>
      <w:r w:rsidR="00036C90" w:rsidRPr="00114FDD">
        <w:rPr>
          <w:sz w:val="26"/>
          <w:szCs w:val="26"/>
        </w:rPr>
        <w:t xml:space="preserve">  The length of the study, number of homes, meters installed and geographical location of the study were all analyzed as part of the review.  The California studies were included in the analysis because the sample sizes of these studies were much larger than all of the other studies.  The 2010 California </w:t>
      </w:r>
      <w:r w:rsidR="004F3245" w:rsidRPr="00114FDD">
        <w:rPr>
          <w:sz w:val="26"/>
          <w:szCs w:val="26"/>
        </w:rPr>
        <w:t>S</w:t>
      </w:r>
      <w:r w:rsidR="00036C90" w:rsidRPr="00114FDD">
        <w:rPr>
          <w:sz w:val="26"/>
          <w:szCs w:val="26"/>
        </w:rPr>
        <w:t>tudy installed 7,299 light loggers</w:t>
      </w:r>
      <w:r w:rsidR="00672CB5">
        <w:rPr>
          <w:sz w:val="26"/>
          <w:szCs w:val="26"/>
        </w:rPr>
        <w:t>.</w:t>
      </w:r>
      <w:r w:rsidR="00036C90" w:rsidRPr="00114FDD">
        <w:rPr>
          <w:sz w:val="26"/>
          <w:szCs w:val="26"/>
        </w:rPr>
        <w:t xml:space="preserve"> </w:t>
      </w:r>
      <w:r w:rsidR="00672CB5">
        <w:rPr>
          <w:sz w:val="26"/>
          <w:szCs w:val="26"/>
        </w:rPr>
        <w:t xml:space="preserve"> T</w:t>
      </w:r>
      <w:r w:rsidR="00036C90" w:rsidRPr="00114FDD">
        <w:rPr>
          <w:sz w:val="26"/>
          <w:szCs w:val="26"/>
        </w:rPr>
        <w:t>he next largest study reviewed was the 20</w:t>
      </w:r>
      <w:r w:rsidR="004F3245" w:rsidRPr="00114FDD">
        <w:rPr>
          <w:sz w:val="26"/>
          <w:szCs w:val="26"/>
        </w:rPr>
        <w:t>05 California S</w:t>
      </w:r>
      <w:r w:rsidR="00036C90" w:rsidRPr="00114FDD">
        <w:rPr>
          <w:sz w:val="26"/>
          <w:szCs w:val="26"/>
        </w:rPr>
        <w:t>tudy, which deployed 752 light loggers.  The largest east coast study rev</w:t>
      </w:r>
      <w:r w:rsidR="004F3245" w:rsidRPr="00114FDD">
        <w:rPr>
          <w:sz w:val="26"/>
          <w:szCs w:val="26"/>
        </w:rPr>
        <w:t>iewed was the 2009 New England S</w:t>
      </w:r>
      <w:r w:rsidR="00036C90" w:rsidRPr="00114FDD">
        <w:rPr>
          <w:sz w:val="26"/>
          <w:szCs w:val="26"/>
        </w:rPr>
        <w:t xml:space="preserve">tudy which collected data from 657 light loggers. </w:t>
      </w:r>
      <w:r w:rsidR="004F3245" w:rsidRPr="00114FDD">
        <w:rPr>
          <w:sz w:val="26"/>
          <w:szCs w:val="26"/>
        </w:rPr>
        <w:t xml:space="preserve"> </w:t>
      </w:r>
      <w:r w:rsidR="00036C90" w:rsidRPr="00114FDD">
        <w:rPr>
          <w:sz w:val="26"/>
          <w:szCs w:val="26"/>
        </w:rPr>
        <w:t>Th</w:t>
      </w:r>
      <w:r w:rsidR="004F3245" w:rsidRPr="00114FDD">
        <w:rPr>
          <w:sz w:val="26"/>
          <w:szCs w:val="26"/>
        </w:rPr>
        <w:t>e 2007 Maine and 2011 Maryland S</w:t>
      </w:r>
      <w:r w:rsidR="00036C90" w:rsidRPr="00114FDD">
        <w:rPr>
          <w:sz w:val="26"/>
          <w:szCs w:val="26"/>
        </w:rPr>
        <w:t>tudies were the only studies to report a higher HOU value than 2.8; however these two studies together deployed loggers in 84 homes compared to 1,780 homes collectively for the five other studies analyzed.</w:t>
      </w:r>
    </w:p>
    <w:p w:rsidR="00DA781D" w:rsidRPr="00114FDD" w:rsidRDefault="00DA781D" w:rsidP="00B64A9F">
      <w:pPr>
        <w:pStyle w:val="p3"/>
        <w:tabs>
          <w:tab w:val="clear" w:pos="204"/>
          <w:tab w:val="left" w:pos="720"/>
        </w:tabs>
        <w:spacing w:line="360" w:lineRule="auto"/>
        <w:rPr>
          <w:sz w:val="26"/>
          <w:szCs w:val="26"/>
        </w:rPr>
      </w:pPr>
    </w:p>
    <w:p w:rsidR="00036C90" w:rsidRPr="00114FDD" w:rsidRDefault="00DA781D"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 xml:space="preserve">In addition, the SWE, </w:t>
      </w:r>
      <w:r w:rsidR="0067494D" w:rsidRPr="00114FDD">
        <w:rPr>
          <w:sz w:val="26"/>
          <w:szCs w:val="26"/>
        </w:rPr>
        <w:t xml:space="preserve">PEG </w:t>
      </w:r>
      <w:r w:rsidR="00036C90" w:rsidRPr="00114FDD">
        <w:rPr>
          <w:sz w:val="26"/>
          <w:szCs w:val="26"/>
        </w:rPr>
        <w:t xml:space="preserve">and Commission </w:t>
      </w:r>
      <w:r w:rsidR="004619A4" w:rsidRPr="00114FDD">
        <w:rPr>
          <w:sz w:val="26"/>
          <w:szCs w:val="26"/>
        </w:rPr>
        <w:t>S</w:t>
      </w:r>
      <w:r w:rsidR="00036C90" w:rsidRPr="00114FDD">
        <w:rPr>
          <w:sz w:val="26"/>
          <w:szCs w:val="26"/>
        </w:rPr>
        <w:t>taff reviewed seven TRMs from other states and regions</w:t>
      </w:r>
      <w:r w:rsidR="00C74DF7">
        <w:rPr>
          <w:sz w:val="26"/>
          <w:szCs w:val="26"/>
        </w:rPr>
        <w:t>:</w:t>
      </w:r>
      <w:r w:rsidR="00036C90" w:rsidRPr="00114FDD">
        <w:rPr>
          <w:sz w:val="26"/>
          <w:szCs w:val="26"/>
        </w:rPr>
        <w:t xml:space="preserve"> Connecticut</w:t>
      </w:r>
      <w:r w:rsidR="004619A4" w:rsidRPr="00114FDD">
        <w:rPr>
          <w:sz w:val="26"/>
          <w:szCs w:val="26"/>
        </w:rPr>
        <w:t>,</w:t>
      </w:r>
      <w:r w:rsidR="00036C90" w:rsidRPr="00114FDD">
        <w:rPr>
          <w:sz w:val="26"/>
          <w:szCs w:val="26"/>
          <w:vertAlign w:val="superscript"/>
        </w:rPr>
        <w:footnoteReference w:id="50"/>
      </w:r>
      <w:r w:rsidR="00036C90" w:rsidRPr="00114FDD">
        <w:rPr>
          <w:sz w:val="26"/>
          <w:szCs w:val="26"/>
        </w:rPr>
        <w:t xml:space="preserve"> Illinois</w:t>
      </w:r>
      <w:r w:rsidR="004619A4" w:rsidRPr="00114FDD">
        <w:rPr>
          <w:sz w:val="26"/>
          <w:szCs w:val="26"/>
        </w:rPr>
        <w:t>,</w:t>
      </w:r>
      <w:r w:rsidR="00036C90" w:rsidRPr="00114FDD">
        <w:rPr>
          <w:sz w:val="26"/>
          <w:szCs w:val="26"/>
          <w:vertAlign w:val="superscript"/>
        </w:rPr>
        <w:footnoteReference w:id="51"/>
      </w:r>
      <w:r w:rsidR="00036C90" w:rsidRPr="00114FDD">
        <w:rPr>
          <w:sz w:val="26"/>
          <w:szCs w:val="26"/>
        </w:rPr>
        <w:t xml:space="preserve"> Maine</w:t>
      </w:r>
      <w:r w:rsidR="004619A4" w:rsidRPr="00114FDD">
        <w:rPr>
          <w:sz w:val="26"/>
          <w:szCs w:val="26"/>
        </w:rPr>
        <w:t>,</w:t>
      </w:r>
      <w:r w:rsidR="00036C90" w:rsidRPr="00114FDD">
        <w:rPr>
          <w:sz w:val="26"/>
          <w:szCs w:val="26"/>
          <w:vertAlign w:val="superscript"/>
        </w:rPr>
        <w:footnoteReference w:id="52"/>
      </w:r>
      <w:r w:rsidR="00036C90" w:rsidRPr="00114FDD">
        <w:rPr>
          <w:sz w:val="26"/>
          <w:szCs w:val="26"/>
        </w:rPr>
        <w:t xml:space="preserve"> the Mid-Atlantic</w:t>
      </w:r>
      <w:r w:rsidR="004619A4" w:rsidRPr="00114FDD">
        <w:rPr>
          <w:sz w:val="26"/>
          <w:szCs w:val="26"/>
        </w:rPr>
        <w:t>,</w:t>
      </w:r>
      <w:r w:rsidR="00036C90" w:rsidRPr="00114FDD">
        <w:rPr>
          <w:sz w:val="26"/>
          <w:szCs w:val="26"/>
          <w:vertAlign w:val="superscript"/>
        </w:rPr>
        <w:footnoteReference w:id="53"/>
      </w:r>
      <w:r w:rsidR="00036C90" w:rsidRPr="00114FDD">
        <w:rPr>
          <w:sz w:val="26"/>
          <w:szCs w:val="26"/>
        </w:rPr>
        <w:t xml:space="preserve"> New Jersey</w:t>
      </w:r>
      <w:r w:rsidR="004619A4" w:rsidRPr="00114FDD">
        <w:rPr>
          <w:sz w:val="26"/>
          <w:szCs w:val="26"/>
        </w:rPr>
        <w:t>,</w:t>
      </w:r>
      <w:r w:rsidR="00036C90" w:rsidRPr="00114FDD">
        <w:rPr>
          <w:sz w:val="26"/>
          <w:szCs w:val="26"/>
          <w:vertAlign w:val="superscript"/>
        </w:rPr>
        <w:footnoteReference w:id="54"/>
      </w:r>
      <w:r w:rsidR="00036C90" w:rsidRPr="00114FDD">
        <w:rPr>
          <w:sz w:val="26"/>
          <w:szCs w:val="26"/>
        </w:rPr>
        <w:t xml:space="preserve"> New York</w:t>
      </w:r>
      <w:r w:rsidR="00036C90" w:rsidRPr="00114FDD">
        <w:rPr>
          <w:sz w:val="26"/>
          <w:szCs w:val="26"/>
          <w:vertAlign w:val="superscript"/>
        </w:rPr>
        <w:footnoteReference w:id="55"/>
      </w:r>
      <w:r w:rsidR="00036C90" w:rsidRPr="00114FDD">
        <w:rPr>
          <w:sz w:val="26"/>
          <w:szCs w:val="26"/>
        </w:rPr>
        <w:t xml:space="preserve"> and Ohio</w:t>
      </w:r>
      <w:r w:rsidR="004619A4" w:rsidRPr="00114FDD">
        <w:rPr>
          <w:sz w:val="26"/>
          <w:szCs w:val="26"/>
        </w:rPr>
        <w:t>.</w:t>
      </w:r>
      <w:r w:rsidR="00036C90" w:rsidRPr="00114FDD">
        <w:rPr>
          <w:sz w:val="26"/>
          <w:szCs w:val="26"/>
          <w:vertAlign w:val="superscript"/>
        </w:rPr>
        <w:footnoteReference w:id="56"/>
      </w:r>
      <w:r w:rsidR="00036C90" w:rsidRPr="00114FDD">
        <w:rPr>
          <w:sz w:val="26"/>
          <w:szCs w:val="26"/>
        </w:rPr>
        <w:t xml:space="preserve">  Five of the seven states use a deemed HOU value for </w:t>
      </w:r>
      <w:r w:rsidR="00036C90" w:rsidRPr="00114FDD">
        <w:rPr>
          <w:sz w:val="26"/>
          <w:szCs w:val="26"/>
        </w:rPr>
        <w:lastRenderedPageBreak/>
        <w:t>CFLs that is within 0.1 hours of 2.8.</w:t>
      </w:r>
    </w:p>
    <w:p w:rsidR="00DA781D" w:rsidRPr="00114FDD" w:rsidRDefault="00DA781D" w:rsidP="00B64A9F">
      <w:pPr>
        <w:pStyle w:val="p3"/>
        <w:tabs>
          <w:tab w:val="clear" w:pos="204"/>
          <w:tab w:val="left" w:pos="720"/>
        </w:tabs>
        <w:spacing w:line="360" w:lineRule="auto"/>
        <w:rPr>
          <w:sz w:val="26"/>
          <w:szCs w:val="26"/>
        </w:rPr>
      </w:pPr>
    </w:p>
    <w:p w:rsidR="00036C90" w:rsidRPr="00114FDD" w:rsidRDefault="00DA781D" w:rsidP="00B64A9F">
      <w:pPr>
        <w:pStyle w:val="p3"/>
        <w:tabs>
          <w:tab w:val="clear" w:pos="204"/>
          <w:tab w:val="left" w:pos="720"/>
        </w:tabs>
        <w:spacing w:line="360" w:lineRule="auto"/>
        <w:rPr>
          <w:sz w:val="26"/>
          <w:szCs w:val="26"/>
        </w:rPr>
      </w:pPr>
      <w:r w:rsidRPr="00114FDD">
        <w:rPr>
          <w:sz w:val="26"/>
          <w:szCs w:val="26"/>
        </w:rPr>
        <w:tab/>
      </w:r>
      <w:r w:rsidR="00672CB5">
        <w:rPr>
          <w:sz w:val="26"/>
          <w:szCs w:val="26"/>
        </w:rPr>
        <w:t>Based on this research and analysis, t</w:t>
      </w:r>
      <w:r w:rsidR="00036C90" w:rsidRPr="00114FDD">
        <w:rPr>
          <w:sz w:val="26"/>
          <w:szCs w:val="26"/>
        </w:rPr>
        <w:t>he Commission proposes revi</w:t>
      </w:r>
      <w:r w:rsidR="004619A4" w:rsidRPr="00114FDD">
        <w:rPr>
          <w:sz w:val="26"/>
          <w:szCs w:val="26"/>
        </w:rPr>
        <w:t>sing the CFL HOU value to 2.8 for</w:t>
      </w:r>
      <w:r w:rsidR="00036C90" w:rsidRPr="00114FDD">
        <w:rPr>
          <w:sz w:val="26"/>
          <w:szCs w:val="26"/>
        </w:rPr>
        <w:t xml:space="preserve"> the 2013 TRM.  The collective evidence </w:t>
      </w:r>
      <w:r w:rsidR="00672CB5" w:rsidRPr="00114FDD">
        <w:rPr>
          <w:sz w:val="26"/>
          <w:szCs w:val="26"/>
        </w:rPr>
        <w:t>support</w:t>
      </w:r>
      <w:r w:rsidR="00672CB5">
        <w:rPr>
          <w:sz w:val="26"/>
          <w:szCs w:val="26"/>
        </w:rPr>
        <w:t>s</w:t>
      </w:r>
      <w:r w:rsidR="00672CB5" w:rsidRPr="00114FDD">
        <w:rPr>
          <w:sz w:val="26"/>
          <w:szCs w:val="26"/>
        </w:rPr>
        <w:t xml:space="preserve"> </w:t>
      </w:r>
      <w:r w:rsidR="00036C90" w:rsidRPr="00114FDD">
        <w:rPr>
          <w:sz w:val="26"/>
          <w:szCs w:val="26"/>
        </w:rPr>
        <w:t xml:space="preserve">an HOU value lower than 3.0.  </w:t>
      </w:r>
      <w:r w:rsidR="00672CB5">
        <w:rPr>
          <w:sz w:val="26"/>
          <w:szCs w:val="26"/>
        </w:rPr>
        <w:t>Specifically, f</w:t>
      </w:r>
      <w:r w:rsidR="00036C90" w:rsidRPr="00114FDD">
        <w:rPr>
          <w:sz w:val="26"/>
          <w:szCs w:val="26"/>
        </w:rPr>
        <w:t xml:space="preserve">ive of the seven studies analyzed reported </w:t>
      </w:r>
      <w:r w:rsidR="00672CB5">
        <w:rPr>
          <w:sz w:val="26"/>
          <w:szCs w:val="26"/>
        </w:rPr>
        <w:t xml:space="preserve">an </w:t>
      </w:r>
      <w:r w:rsidR="00036C90" w:rsidRPr="00114FDD">
        <w:rPr>
          <w:sz w:val="26"/>
          <w:szCs w:val="26"/>
        </w:rPr>
        <w:t>HOU of 2.8 hours or less and five of the</w:t>
      </w:r>
      <w:r w:rsidR="00C74DF7">
        <w:rPr>
          <w:sz w:val="26"/>
          <w:szCs w:val="26"/>
        </w:rPr>
        <w:t xml:space="preserve"> seven</w:t>
      </w:r>
      <w:r w:rsidR="00036C90" w:rsidRPr="00114FDD">
        <w:rPr>
          <w:sz w:val="26"/>
          <w:szCs w:val="26"/>
        </w:rPr>
        <w:t xml:space="preserve"> TRMs deemed an HOU value within 0.1 of 2.8.  </w:t>
      </w:r>
      <w:r w:rsidR="00672CB5">
        <w:rPr>
          <w:sz w:val="26"/>
          <w:szCs w:val="26"/>
        </w:rPr>
        <w:t>Furthermore,</w:t>
      </w:r>
      <w:r w:rsidR="00036C90" w:rsidRPr="00114FDD">
        <w:rPr>
          <w:sz w:val="26"/>
          <w:szCs w:val="26"/>
        </w:rPr>
        <w:t xml:space="preserve"> </w:t>
      </w:r>
      <w:r w:rsidR="00672CB5">
        <w:rPr>
          <w:sz w:val="26"/>
          <w:szCs w:val="26"/>
        </w:rPr>
        <w:t xml:space="preserve">we find </w:t>
      </w:r>
      <w:r w:rsidR="00036C90" w:rsidRPr="00114FDD">
        <w:rPr>
          <w:sz w:val="26"/>
          <w:szCs w:val="26"/>
        </w:rPr>
        <w:t xml:space="preserve">the 2.8 HOU from the 2009 New England </w:t>
      </w:r>
      <w:r w:rsidR="004619A4" w:rsidRPr="00114FDD">
        <w:rPr>
          <w:sz w:val="26"/>
          <w:szCs w:val="26"/>
        </w:rPr>
        <w:t>S</w:t>
      </w:r>
      <w:r w:rsidR="00036C90" w:rsidRPr="00114FDD">
        <w:rPr>
          <w:sz w:val="26"/>
          <w:szCs w:val="26"/>
        </w:rPr>
        <w:t xml:space="preserve">tudy </w:t>
      </w:r>
      <w:r w:rsidR="00672CB5">
        <w:rPr>
          <w:sz w:val="26"/>
          <w:szCs w:val="26"/>
        </w:rPr>
        <w:t xml:space="preserve">significant, </w:t>
      </w:r>
      <w:r w:rsidR="00036C90" w:rsidRPr="00114FDD">
        <w:rPr>
          <w:sz w:val="26"/>
          <w:szCs w:val="26"/>
        </w:rPr>
        <w:t xml:space="preserve">given that New England is geographically proximate to Pennsylvania and the </w:t>
      </w:r>
      <w:r w:rsidR="00672CB5">
        <w:rPr>
          <w:sz w:val="26"/>
          <w:szCs w:val="26"/>
        </w:rPr>
        <w:t>s</w:t>
      </w:r>
      <w:r w:rsidR="00672CB5" w:rsidRPr="00114FDD">
        <w:rPr>
          <w:sz w:val="26"/>
          <w:szCs w:val="26"/>
        </w:rPr>
        <w:t xml:space="preserve">tudy </w:t>
      </w:r>
      <w:r w:rsidR="00036C90" w:rsidRPr="00114FDD">
        <w:rPr>
          <w:sz w:val="26"/>
          <w:szCs w:val="26"/>
        </w:rPr>
        <w:t>deployed more loggers and metered for a longer duration of time than all other regional studies combined.</w:t>
      </w:r>
    </w:p>
    <w:p w:rsidR="00DA781D" w:rsidRPr="00114FDD" w:rsidRDefault="00DA781D" w:rsidP="00B64A9F">
      <w:pPr>
        <w:pStyle w:val="p3"/>
        <w:tabs>
          <w:tab w:val="clear" w:pos="204"/>
          <w:tab w:val="left" w:pos="720"/>
        </w:tabs>
        <w:spacing w:line="360" w:lineRule="auto"/>
        <w:rPr>
          <w:sz w:val="26"/>
          <w:szCs w:val="26"/>
        </w:rPr>
      </w:pPr>
    </w:p>
    <w:p w:rsidR="00036C90" w:rsidRPr="00114FDD" w:rsidRDefault="00DA781D"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In addition to the ENERGY STAR Lighting protocol, the revised HOU value affects the following sections of the 2012 TRM: Section 2.7 - Home Energy Conservation Kits</w:t>
      </w:r>
      <w:r w:rsidR="004619A4" w:rsidRPr="00114FDD">
        <w:rPr>
          <w:sz w:val="26"/>
          <w:szCs w:val="26"/>
        </w:rPr>
        <w:t>,</w:t>
      </w:r>
      <w:r w:rsidR="00036C90" w:rsidRPr="00114FDD">
        <w:rPr>
          <w:sz w:val="26"/>
          <w:szCs w:val="26"/>
          <w:vertAlign w:val="superscript"/>
        </w:rPr>
        <w:footnoteReference w:id="57"/>
      </w:r>
      <w:r w:rsidR="00036C90" w:rsidRPr="00114FDD">
        <w:rPr>
          <w:sz w:val="26"/>
          <w:szCs w:val="26"/>
        </w:rPr>
        <w:t xml:space="preserve"> Section 2.32 - ENERGY STAR LEDs</w:t>
      </w:r>
      <w:r w:rsidR="004619A4" w:rsidRPr="00114FDD">
        <w:rPr>
          <w:sz w:val="26"/>
          <w:szCs w:val="26"/>
        </w:rPr>
        <w:t>,</w:t>
      </w:r>
      <w:r w:rsidR="00036C90" w:rsidRPr="00114FDD">
        <w:rPr>
          <w:sz w:val="26"/>
          <w:szCs w:val="26"/>
          <w:vertAlign w:val="superscript"/>
        </w:rPr>
        <w:footnoteReference w:id="58"/>
      </w:r>
      <w:r w:rsidR="00036C90" w:rsidRPr="00114FDD">
        <w:rPr>
          <w:sz w:val="26"/>
          <w:szCs w:val="26"/>
        </w:rPr>
        <w:t xml:space="preserve"> Section 2.33 - Residential Occupancy Sensors</w:t>
      </w:r>
      <w:r w:rsidR="00036C90" w:rsidRPr="00114FDD">
        <w:rPr>
          <w:sz w:val="26"/>
          <w:szCs w:val="26"/>
          <w:vertAlign w:val="superscript"/>
        </w:rPr>
        <w:footnoteReference w:id="59"/>
      </w:r>
      <w:r w:rsidR="00036C90" w:rsidRPr="00114FDD">
        <w:rPr>
          <w:sz w:val="26"/>
          <w:szCs w:val="26"/>
        </w:rPr>
        <w:t xml:space="preserve"> and Section 2.35 - Low Income Lighting</w:t>
      </w:r>
      <w:r w:rsidR="00036C90" w:rsidRPr="00114FDD">
        <w:rPr>
          <w:sz w:val="26"/>
          <w:szCs w:val="26"/>
          <w:vertAlign w:val="superscript"/>
        </w:rPr>
        <w:footnoteReference w:id="60"/>
      </w:r>
      <w:r w:rsidR="00036C90" w:rsidRPr="00114FDD">
        <w:rPr>
          <w:sz w:val="26"/>
          <w:szCs w:val="26"/>
        </w:rPr>
        <w:t xml:space="preserve"> protocols.</w:t>
      </w:r>
      <w:r w:rsidR="00036C90" w:rsidRPr="00114FDD">
        <w:rPr>
          <w:sz w:val="26"/>
          <w:szCs w:val="26"/>
        </w:rPr>
        <w:br/>
      </w:r>
    </w:p>
    <w:p w:rsidR="00036C90" w:rsidRPr="00114FDD" w:rsidRDefault="00036C90" w:rsidP="00DC3AAA">
      <w:pPr>
        <w:pStyle w:val="p3"/>
        <w:numPr>
          <w:ilvl w:val="3"/>
          <w:numId w:val="10"/>
        </w:numPr>
        <w:tabs>
          <w:tab w:val="clear" w:pos="204"/>
          <w:tab w:val="left" w:pos="0"/>
          <w:tab w:val="left" w:pos="720"/>
        </w:tabs>
        <w:ind w:left="2160" w:hanging="720"/>
        <w:outlineLvl w:val="3"/>
        <w:rPr>
          <w:b/>
          <w:sz w:val="26"/>
          <w:szCs w:val="26"/>
        </w:rPr>
      </w:pPr>
      <w:bookmarkStart w:id="9" w:name="_Toc334174997"/>
      <w:r w:rsidRPr="00114FDD">
        <w:rPr>
          <w:b/>
          <w:sz w:val="26"/>
          <w:szCs w:val="26"/>
        </w:rPr>
        <w:t>ENERGY STAR Torchieres, Indoor Fixtures, Outdoor Fixtures and Ceiling Fan Algorithms</w:t>
      </w:r>
      <w:bookmarkEnd w:id="9"/>
    </w:p>
    <w:p w:rsidR="00036C90" w:rsidRPr="00114FDD" w:rsidRDefault="00036C90" w:rsidP="00B64A9F">
      <w:pPr>
        <w:pStyle w:val="p3"/>
        <w:tabs>
          <w:tab w:val="clear" w:pos="204"/>
          <w:tab w:val="left" w:pos="0"/>
          <w:tab w:val="left" w:pos="720"/>
        </w:tabs>
        <w:spacing w:line="360" w:lineRule="auto"/>
        <w:ind w:left="1800"/>
        <w:rPr>
          <w:b/>
          <w:sz w:val="26"/>
          <w:szCs w:val="26"/>
        </w:rPr>
      </w:pPr>
    </w:p>
    <w:p w:rsidR="00A51975" w:rsidRPr="00114FDD" w:rsidRDefault="00A51975"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The 2012 TRM deemed the delta watts for all ENERGY STAR Lighting measures, except CFLs.</w:t>
      </w:r>
      <w:r w:rsidR="00036C90" w:rsidRPr="00114FDD">
        <w:rPr>
          <w:sz w:val="26"/>
          <w:szCs w:val="26"/>
          <w:vertAlign w:val="superscript"/>
        </w:rPr>
        <w:footnoteReference w:id="61"/>
      </w:r>
      <w:r w:rsidR="001324E3">
        <w:rPr>
          <w:sz w:val="26"/>
          <w:szCs w:val="26"/>
        </w:rPr>
        <w:t xml:space="preserve">  </w:t>
      </w:r>
      <w:r w:rsidR="001324E3" w:rsidRPr="00114FDD">
        <w:rPr>
          <w:sz w:val="26"/>
          <w:szCs w:val="26"/>
        </w:rPr>
        <w:t xml:space="preserve">The delta watts is defined as the difference between an efficient CFL bulb wattage and baseline bulb wattage.  </w:t>
      </w:r>
      <w:r w:rsidR="0092490A" w:rsidRPr="00114FDD">
        <w:rPr>
          <w:sz w:val="26"/>
          <w:szCs w:val="26"/>
        </w:rPr>
        <w:t xml:space="preserve">The Commission proposes that the algorithm for ENERGY STAR Torchieres, Indoor Fixtures and Outdoor Fixtures be </w:t>
      </w:r>
      <w:r w:rsidR="0092490A" w:rsidRPr="00114FDD">
        <w:rPr>
          <w:sz w:val="26"/>
          <w:szCs w:val="26"/>
        </w:rPr>
        <w:lastRenderedPageBreak/>
        <w:t xml:space="preserve">revised to a form that matches ENERGY STAR CFL Bulbs, where the HOU for one year is multiplied by the in-service rate and the delta watts.  </w:t>
      </w:r>
      <w:r w:rsidR="00036C90" w:rsidRPr="00114FDD">
        <w:rPr>
          <w:sz w:val="26"/>
          <w:szCs w:val="26"/>
        </w:rPr>
        <w:t xml:space="preserve">The new methodology would allow EDCs that track wattage information to deviate from the single deemed delta watts value in the 2012 </w:t>
      </w:r>
      <w:r w:rsidR="0092490A" w:rsidRPr="00114FDD">
        <w:rPr>
          <w:sz w:val="26"/>
          <w:szCs w:val="26"/>
        </w:rPr>
        <w:t>TRM for each respective measure.  The 2012 TRM</w:t>
      </w:r>
      <w:r w:rsidR="00036C90" w:rsidRPr="00114FDD">
        <w:rPr>
          <w:sz w:val="26"/>
          <w:szCs w:val="26"/>
        </w:rPr>
        <w:t xml:space="preserve"> provided the same savings regardless of the baseline and efficient lamp wattage installed.  In the case where installed lamp information is known, savings are calculated based on the mapping methodology for CFLs in the 2012 TRM.</w:t>
      </w:r>
      <w:r w:rsidR="00036C90" w:rsidRPr="00114FDD">
        <w:rPr>
          <w:sz w:val="26"/>
          <w:szCs w:val="26"/>
          <w:vertAlign w:val="superscript"/>
        </w:rPr>
        <w:footnoteReference w:id="62"/>
      </w:r>
      <w:r w:rsidR="00036C90" w:rsidRPr="00114FDD">
        <w:rPr>
          <w:sz w:val="26"/>
          <w:szCs w:val="26"/>
        </w:rPr>
        <w:t xml:space="preserve">  In the absence of EDC data gathering, default energy and demand savings are maintained for each measure.</w:t>
      </w:r>
    </w:p>
    <w:p w:rsidR="005655D4" w:rsidRPr="00114FDD" w:rsidRDefault="005655D4" w:rsidP="00B64A9F">
      <w:pPr>
        <w:pStyle w:val="p3"/>
        <w:tabs>
          <w:tab w:val="clear" w:pos="204"/>
          <w:tab w:val="left" w:pos="720"/>
        </w:tabs>
        <w:spacing w:line="360" w:lineRule="auto"/>
        <w:rPr>
          <w:sz w:val="26"/>
          <w:szCs w:val="26"/>
        </w:rPr>
      </w:pPr>
    </w:p>
    <w:p w:rsidR="00036C90" w:rsidRPr="00114FDD" w:rsidRDefault="00A51975"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In addition, the 2012 TRM deemed energy and demand savings for ENERGY STAR Ceiling Fans.</w:t>
      </w:r>
      <w:r w:rsidR="00036C90" w:rsidRPr="00114FDD">
        <w:rPr>
          <w:sz w:val="26"/>
          <w:szCs w:val="26"/>
          <w:vertAlign w:val="superscript"/>
        </w:rPr>
        <w:footnoteReference w:id="63"/>
      </w:r>
      <w:r w:rsidR="00036C90" w:rsidRPr="00114FDD">
        <w:rPr>
          <w:sz w:val="26"/>
          <w:szCs w:val="26"/>
        </w:rPr>
        <w:t xml:space="preserve">  The protocol did not offer any algorithms or assumptions and was based on data that was over ten years old.</w:t>
      </w:r>
      <w:r w:rsidR="00036C90" w:rsidRPr="00114FDD">
        <w:rPr>
          <w:sz w:val="26"/>
          <w:szCs w:val="26"/>
          <w:vertAlign w:val="superscript"/>
        </w:rPr>
        <w:footnoteReference w:id="64"/>
      </w:r>
      <w:r w:rsidR="00036C90" w:rsidRPr="00114FDD">
        <w:rPr>
          <w:sz w:val="26"/>
          <w:szCs w:val="26"/>
        </w:rPr>
        <w:t xml:space="preserve">  The Commission proposes updating the protocol to include an algorithm that matches the other ENERGY STAR </w:t>
      </w:r>
      <w:r w:rsidR="0092490A" w:rsidRPr="00114FDD">
        <w:rPr>
          <w:sz w:val="26"/>
          <w:szCs w:val="26"/>
        </w:rPr>
        <w:t>L</w:t>
      </w:r>
      <w:r w:rsidRPr="00114FDD">
        <w:rPr>
          <w:sz w:val="26"/>
          <w:szCs w:val="26"/>
        </w:rPr>
        <w:t>ighting</w:t>
      </w:r>
      <w:r w:rsidR="00036C90" w:rsidRPr="00114FDD">
        <w:rPr>
          <w:sz w:val="26"/>
          <w:szCs w:val="26"/>
        </w:rPr>
        <w:t xml:space="preserve"> measures (multiplying </w:t>
      </w:r>
      <w:r w:rsidR="0092490A" w:rsidRPr="00114FDD">
        <w:rPr>
          <w:sz w:val="26"/>
          <w:szCs w:val="26"/>
        </w:rPr>
        <w:t xml:space="preserve">the hours of usage in one year by the </w:t>
      </w:r>
      <w:r w:rsidR="00036C90" w:rsidRPr="00114FDD">
        <w:rPr>
          <w:sz w:val="26"/>
          <w:szCs w:val="26"/>
        </w:rPr>
        <w:t xml:space="preserve">in-service rate and </w:t>
      </w:r>
      <w:r w:rsidR="0092490A" w:rsidRPr="00114FDD">
        <w:rPr>
          <w:sz w:val="26"/>
          <w:szCs w:val="26"/>
        </w:rPr>
        <w:t xml:space="preserve">the </w:t>
      </w:r>
      <w:r w:rsidR="00036C90" w:rsidRPr="00114FDD">
        <w:rPr>
          <w:sz w:val="26"/>
          <w:szCs w:val="26"/>
        </w:rPr>
        <w:t>delta watts) with default values if lamp wattage is not known.  The HOU value for this measure is 3.5, based on the ENERGY STAR Calculator for the Mid-Atlantic region.</w:t>
      </w:r>
      <w:r w:rsidR="00036C90" w:rsidRPr="00114FDD">
        <w:rPr>
          <w:sz w:val="26"/>
          <w:szCs w:val="26"/>
          <w:vertAlign w:val="superscript"/>
        </w:rPr>
        <w:footnoteReference w:id="65"/>
      </w:r>
      <w:r w:rsidR="00036C90" w:rsidRPr="00114FDD">
        <w:rPr>
          <w:sz w:val="26"/>
          <w:szCs w:val="26"/>
        </w:rPr>
        <w:t xml:space="preserve">  The Commission proposes adopting this value and not the HOU value for CFLs or Indoor Fixtures because ceiling fans are typically installed in higher</w:t>
      </w:r>
      <w:r w:rsidR="0092490A" w:rsidRPr="00114FDD">
        <w:rPr>
          <w:sz w:val="26"/>
          <w:szCs w:val="26"/>
        </w:rPr>
        <w:t>-</w:t>
      </w:r>
      <w:r w:rsidR="00036C90" w:rsidRPr="00114FDD">
        <w:rPr>
          <w:sz w:val="26"/>
          <w:szCs w:val="26"/>
        </w:rPr>
        <w:t>use locations</w:t>
      </w:r>
      <w:r w:rsidR="00C74DF7">
        <w:rPr>
          <w:sz w:val="26"/>
          <w:szCs w:val="26"/>
        </w:rPr>
        <w:t>,</w:t>
      </w:r>
      <w:r w:rsidR="00036C90" w:rsidRPr="00114FDD">
        <w:rPr>
          <w:sz w:val="26"/>
          <w:szCs w:val="26"/>
        </w:rPr>
        <w:t xml:space="preserve"> such as living rooms, dining rooms and kitchens.    </w:t>
      </w:r>
    </w:p>
    <w:p w:rsidR="00036C90" w:rsidRPr="00114FDD" w:rsidRDefault="00036C90" w:rsidP="00B64A9F">
      <w:pPr>
        <w:spacing w:line="360" w:lineRule="auto"/>
        <w:ind w:firstLine="720"/>
        <w:rPr>
          <w:sz w:val="26"/>
          <w:szCs w:val="26"/>
        </w:rPr>
      </w:pPr>
    </w:p>
    <w:p w:rsidR="00036C90" w:rsidRPr="00114FDD" w:rsidRDefault="00036C90" w:rsidP="00DC3AAA">
      <w:pPr>
        <w:pStyle w:val="p3"/>
        <w:numPr>
          <w:ilvl w:val="3"/>
          <w:numId w:val="10"/>
        </w:numPr>
        <w:tabs>
          <w:tab w:val="clear" w:pos="204"/>
          <w:tab w:val="left" w:pos="0"/>
          <w:tab w:val="left" w:pos="720"/>
        </w:tabs>
        <w:ind w:left="2160" w:hanging="720"/>
        <w:outlineLvl w:val="3"/>
        <w:rPr>
          <w:b/>
          <w:sz w:val="26"/>
          <w:szCs w:val="26"/>
        </w:rPr>
      </w:pPr>
      <w:bookmarkStart w:id="10" w:name="_Toc334174998"/>
      <w:r w:rsidRPr="00114FDD">
        <w:rPr>
          <w:b/>
          <w:sz w:val="26"/>
          <w:szCs w:val="26"/>
        </w:rPr>
        <w:t xml:space="preserve">Federal Legislation </w:t>
      </w:r>
      <w:r w:rsidR="004F5CA4">
        <w:rPr>
          <w:b/>
          <w:sz w:val="26"/>
          <w:szCs w:val="26"/>
        </w:rPr>
        <w:t xml:space="preserve">and </w:t>
      </w:r>
      <w:r w:rsidRPr="00114FDD">
        <w:rPr>
          <w:b/>
          <w:sz w:val="26"/>
          <w:szCs w:val="26"/>
        </w:rPr>
        <w:t>Regulations</w:t>
      </w:r>
      <w:bookmarkEnd w:id="10"/>
      <w:r w:rsidRPr="00114FDD">
        <w:rPr>
          <w:b/>
          <w:sz w:val="26"/>
          <w:szCs w:val="26"/>
        </w:rPr>
        <w:t xml:space="preserve"> </w:t>
      </w:r>
    </w:p>
    <w:p w:rsidR="0092490A" w:rsidRPr="00114FDD" w:rsidRDefault="00A51975" w:rsidP="00B64A9F">
      <w:pPr>
        <w:pStyle w:val="p3"/>
        <w:tabs>
          <w:tab w:val="clear" w:pos="204"/>
          <w:tab w:val="left" w:pos="720"/>
        </w:tabs>
        <w:spacing w:line="360" w:lineRule="auto"/>
        <w:rPr>
          <w:sz w:val="26"/>
          <w:szCs w:val="26"/>
        </w:rPr>
      </w:pPr>
      <w:r w:rsidRPr="00114FDD">
        <w:rPr>
          <w:sz w:val="26"/>
          <w:szCs w:val="26"/>
        </w:rPr>
        <w:tab/>
      </w:r>
    </w:p>
    <w:p w:rsidR="00036C90" w:rsidRPr="00114FDD" w:rsidRDefault="0092490A"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The Energy Independ</w:t>
      </w:r>
      <w:r w:rsidRPr="00114FDD">
        <w:rPr>
          <w:sz w:val="26"/>
          <w:szCs w:val="26"/>
        </w:rPr>
        <w:t>ence and Security Act of 2007 (</w:t>
      </w:r>
      <w:r w:rsidR="00036C90" w:rsidRPr="00114FDD">
        <w:rPr>
          <w:sz w:val="26"/>
          <w:szCs w:val="26"/>
        </w:rPr>
        <w:t>EISA 2007)</w:t>
      </w:r>
      <w:r w:rsidR="00036C90" w:rsidRPr="00114FDD">
        <w:rPr>
          <w:sz w:val="26"/>
          <w:szCs w:val="26"/>
          <w:vertAlign w:val="superscript"/>
        </w:rPr>
        <w:footnoteReference w:id="66"/>
      </w:r>
      <w:r w:rsidR="00036C90" w:rsidRPr="00114FDD">
        <w:rPr>
          <w:sz w:val="26"/>
          <w:szCs w:val="26"/>
        </w:rPr>
        <w:t xml:space="preserve"> introduced new minimum efficacy standards for general service bulbs, effectively phasing out </w:t>
      </w:r>
      <w:r w:rsidR="00036C90" w:rsidRPr="00114FDD">
        <w:rPr>
          <w:sz w:val="26"/>
          <w:szCs w:val="26"/>
        </w:rPr>
        <w:lastRenderedPageBreak/>
        <w:t xml:space="preserve">current incandescent bulbs between 2012 and 2014.  New standards </w:t>
      </w:r>
      <w:r w:rsidR="004F5CA4">
        <w:rPr>
          <w:sz w:val="26"/>
          <w:szCs w:val="26"/>
        </w:rPr>
        <w:t>become effective</w:t>
      </w:r>
      <w:r w:rsidR="00036C90" w:rsidRPr="00114FDD">
        <w:rPr>
          <w:sz w:val="26"/>
          <w:szCs w:val="26"/>
        </w:rPr>
        <w:t xml:space="preserve"> January 1st of each of the associated years, starting with the 100</w:t>
      </w:r>
      <w:r w:rsidRPr="00114FDD">
        <w:rPr>
          <w:sz w:val="26"/>
          <w:szCs w:val="26"/>
        </w:rPr>
        <w:t>-</w:t>
      </w:r>
      <w:r w:rsidR="00036C90" w:rsidRPr="00114FDD">
        <w:rPr>
          <w:sz w:val="26"/>
          <w:szCs w:val="26"/>
        </w:rPr>
        <w:t>watt bulb in 2012, 75</w:t>
      </w:r>
      <w:r w:rsidRPr="00114FDD">
        <w:rPr>
          <w:sz w:val="26"/>
          <w:szCs w:val="26"/>
        </w:rPr>
        <w:t>-</w:t>
      </w:r>
      <w:r w:rsidR="00036C90" w:rsidRPr="00114FDD">
        <w:rPr>
          <w:sz w:val="26"/>
          <w:szCs w:val="26"/>
        </w:rPr>
        <w:t>watt bulb in 2013, and 60</w:t>
      </w:r>
      <w:r w:rsidRPr="00114FDD">
        <w:rPr>
          <w:sz w:val="26"/>
          <w:szCs w:val="26"/>
        </w:rPr>
        <w:t>-</w:t>
      </w:r>
      <w:r w:rsidR="00036C90" w:rsidRPr="00114FDD">
        <w:rPr>
          <w:sz w:val="26"/>
          <w:szCs w:val="26"/>
        </w:rPr>
        <w:t>watt and 40</w:t>
      </w:r>
      <w:r w:rsidRPr="00114FDD">
        <w:rPr>
          <w:sz w:val="26"/>
          <w:szCs w:val="26"/>
        </w:rPr>
        <w:t>-</w:t>
      </w:r>
      <w:r w:rsidR="00036C90" w:rsidRPr="00114FDD">
        <w:rPr>
          <w:sz w:val="26"/>
          <w:szCs w:val="26"/>
        </w:rPr>
        <w:t>watt bulbs in 2014.  This effectively reduces the energy consumption of a standard incandescent bulb and the energy savings of any measure using the incandescent bulb as the baseline.</w:t>
      </w:r>
    </w:p>
    <w:p w:rsidR="00A51975" w:rsidRPr="00114FDD" w:rsidRDefault="00A51975" w:rsidP="00B64A9F">
      <w:pPr>
        <w:pStyle w:val="p3"/>
        <w:tabs>
          <w:tab w:val="clear" w:pos="204"/>
          <w:tab w:val="left" w:pos="720"/>
        </w:tabs>
        <w:spacing w:line="360" w:lineRule="auto"/>
        <w:rPr>
          <w:sz w:val="26"/>
          <w:szCs w:val="26"/>
        </w:rPr>
      </w:pPr>
    </w:p>
    <w:p w:rsidR="00036C90" w:rsidRPr="00DC3AAA" w:rsidRDefault="00A51975"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The Commission proposes that the baseline for Indoor Fixtures, Outdoor Fixtures, and ENERGY STAR Ceiling Fans</w:t>
      </w:r>
      <w:r w:rsidR="00036C90" w:rsidRPr="00114FDD">
        <w:rPr>
          <w:sz w:val="26"/>
          <w:szCs w:val="26"/>
          <w:vertAlign w:val="superscript"/>
        </w:rPr>
        <w:footnoteReference w:id="67"/>
      </w:r>
      <w:r w:rsidR="00036C90" w:rsidRPr="00114FDD">
        <w:rPr>
          <w:sz w:val="26"/>
          <w:szCs w:val="26"/>
        </w:rPr>
        <w:t xml:space="preserve"> be updated per the EISA 2007 standards.  The default savings adjustment for Indoor Fixtures and Outdoor Fixtures will occur at the midpoint of the EISA 2007 phase-in schedule, namely the 2013 TRM.  The rationale is that the source of the default delta watts value</w:t>
      </w:r>
      <w:r w:rsidR="0092490A" w:rsidRPr="00114FDD">
        <w:rPr>
          <w:sz w:val="26"/>
          <w:szCs w:val="26"/>
        </w:rPr>
        <w:t xml:space="preserve"> does not define the mix of 100-</w:t>
      </w:r>
      <w:r w:rsidR="00036C90" w:rsidRPr="00114FDD">
        <w:rPr>
          <w:sz w:val="26"/>
          <w:szCs w:val="26"/>
        </w:rPr>
        <w:t>watt, 75</w:t>
      </w:r>
      <w:r w:rsidR="0092490A" w:rsidRPr="00114FDD">
        <w:rPr>
          <w:sz w:val="26"/>
          <w:szCs w:val="26"/>
        </w:rPr>
        <w:t>-</w:t>
      </w:r>
      <w:r w:rsidR="00036C90" w:rsidRPr="00114FDD">
        <w:rPr>
          <w:sz w:val="26"/>
          <w:szCs w:val="26"/>
        </w:rPr>
        <w:t>watt, 60</w:t>
      </w:r>
      <w:r w:rsidR="0092490A" w:rsidRPr="00114FDD">
        <w:rPr>
          <w:sz w:val="26"/>
          <w:szCs w:val="26"/>
        </w:rPr>
        <w:t>-</w:t>
      </w:r>
      <w:r w:rsidR="00036C90" w:rsidRPr="00114FDD">
        <w:rPr>
          <w:sz w:val="26"/>
          <w:szCs w:val="26"/>
        </w:rPr>
        <w:t>watt and 40</w:t>
      </w:r>
      <w:r w:rsidR="0092490A" w:rsidRPr="00114FDD">
        <w:rPr>
          <w:sz w:val="26"/>
          <w:szCs w:val="26"/>
        </w:rPr>
        <w:t>-</w:t>
      </w:r>
      <w:r w:rsidR="00036C90" w:rsidRPr="00114FDD">
        <w:rPr>
          <w:sz w:val="26"/>
          <w:szCs w:val="26"/>
        </w:rPr>
        <w:t>watt bulbs that were used to calculate the value.  Therefore</w:t>
      </w:r>
      <w:r w:rsidR="0092490A" w:rsidRPr="00114FDD">
        <w:rPr>
          <w:sz w:val="26"/>
          <w:szCs w:val="26"/>
        </w:rPr>
        <w:t>,</w:t>
      </w:r>
      <w:r w:rsidR="00036C90" w:rsidRPr="00114FDD">
        <w:rPr>
          <w:sz w:val="26"/>
          <w:szCs w:val="26"/>
        </w:rPr>
        <w:t xml:space="preserve"> applying the average EISA 2007 baseline adjustment factor at the </w:t>
      </w:r>
      <w:r w:rsidR="0092490A" w:rsidRPr="00114FDD">
        <w:rPr>
          <w:sz w:val="26"/>
          <w:szCs w:val="26"/>
        </w:rPr>
        <w:t>midpoint of the EISA 2007 three-</w:t>
      </w:r>
      <w:r w:rsidR="00036C90" w:rsidRPr="00114FDD">
        <w:rPr>
          <w:sz w:val="26"/>
          <w:szCs w:val="26"/>
        </w:rPr>
        <w:t xml:space="preserve">year </w:t>
      </w:r>
      <w:r w:rsidR="00036C90" w:rsidRPr="00DC3AAA">
        <w:rPr>
          <w:sz w:val="26"/>
          <w:szCs w:val="26"/>
        </w:rPr>
        <w:t>phase-in is recommended and supported by the method used in the</w:t>
      </w:r>
      <w:r w:rsidR="00C74DF7" w:rsidRPr="00DC3AAA">
        <w:rPr>
          <w:sz w:val="26"/>
          <w:szCs w:val="26"/>
        </w:rPr>
        <w:t xml:space="preserve"> 2011</w:t>
      </w:r>
      <w:r w:rsidR="00036C90" w:rsidRPr="00DC3AAA">
        <w:rPr>
          <w:sz w:val="26"/>
          <w:szCs w:val="26"/>
        </w:rPr>
        <w:t xml:space="preserve"> Mid-Atlantic TRM.</w:t>
      </w:r>
      <w:r w:rsidR="00036C90" w:rsidRPr="00DC3AAA">
        <w:rPr>
          <w:sz w:val="26"/>
          <w:szCs w:val="26"/>
          <w:vertAlign w:val="superscript"/>
        </w:rPr>
        <w:footnoteReference w:id="68"/>
      </w:r>
    </w:p>
    <w:p w:rsidR="00A51975" w:rsidRPr="00DC3AAA" w:rsidRDefault="00A51975" w:rsidP="00B64A9F">
      <w:pPr>
        <w:pStyle w:val="p3"/>
        <w:tabs>
          <w:tab w:val="clear" w:pos="204"/>
          <w:tab w:val="left" w:pos="720"/>
        </w:tabs>
        <w:spacing w:line="360" w:lineRule="auto"/>
        <w:rPr>
          <w:sz w:val="26"/>
          <w:szCs w:val="26"/>
        </w:rPr>
      </w:pPr>
    </w:p>
    <w:p w:rsidR="00036C90" w:rsidRPr="00114FDD" w:rsidRDefault="00A51975" w:rsidP="00B64A9F">
      <w:pPr>
        <w:pStyle w:val="p3"/>
        <w:tabs>
          <w:tab w:val="clear" w:pos="204"/>
          <w:tab w:val="left" w:pos="720"/>
        </w:tabs>
        <w:spacing w:line="360" w:lineRule="auto"/>
        <w:rPr>
          <w:sz w:val="26"/>
          <w:szCs w:val="26"/>
        </w:rPr>
      </w:pPr>
      <w:r w:rsidRPr="00DC3AAA">
        <w:rPr>
          <w:sz w:val="26"/>
          <w:szCs w:val="26"/>
        </w:rPr>
        <w:tab/>
      </w:r>
      <w:r w:rsidR="00036C90" w:rsidRPr="00DC3AAA">
        <w:rPr>
          <w:sz w:val="26"/>
          <w:szCs w:val="26"/>
        </w:rPr>
        <w:t xml:space="preserve">The Commission </w:t>
      </w:r>
      <w:r w:rsidR="004F5CA4" w:rsidRPr="00DC3AAA">
        <w:rPr>
          <w:sz w:val="26"/>
          <w:szCs w:val="26"/>
        </w:rPr>
        <w:t xml:space="preserve">also </w:t>
      </w:r>
      <w:r w:rsidR="00036C90" w:rsidRPr="00DC3AAA">
        <w:rPr>
          <w:sz w:val="26"/>
          <w:szCs w:val="26"/>
        </w:rPr>
        <w:t>proposes adjusting the ENERGY STAR Ceiling Fans baseline to reflect the EISA 2007 standards.  The baseline assumption for this measure is a 60</w:t>
      </w:r>
      <w:r w:rsidR="0092490A" w:rsidRPr="00DC3AAA">
        <w:rPr>
          <w:sz w:val="26"/>
          <w:szCs w:val="26"/>
        </w:rPr>
        <w:t>-</w:t>
      </w:r>
      <w:r w:rsidR="00036C90" w:rsidRPr="00DC3AAA">
        <w:rPr>
          <w:sz w:val="26"/>
          <w:szCs w:val="26"/>
        </w:rPr>
        <w:t xml:space="preserve">watt incandescent bulb.  Therefore, </w:t>
      </w:r>
      <w:r w:rsidR="004F5CA4" w:rsidRPr="00DC3AAA">
        <w:rPr>
          <w:sz w:val="26"/>
          <w:szCs w:val="26"/>
        </w:rPr>
        <w:t>the Commission proposes that beginning on June 1,</w:t>
      </w:r>
      <w:r w:rsidR="00036C90" w:rsidRPr="00DC3AAA">
        <w:rPr>
          <w:sz w:val="26"/>
          <w:szCs w:val="26"/>
        </w:rPr>
        <w:t xml:space="preserve"> 2014, the default energy </w:t>
      </w:r>
      <w:r w:rsidR="0092490A" w:rsidRPr="00DC3AAA">
        <w:rPr>
          <w:sz w:val="26"/>
          <w:szCs w:val="26"/>
        </w:rPr>
        <w:t>and demand savings for ENERGY STAR Ceiling Fans would reflect a 43-</w:t>
      </w:r>
      <w:r w:rsidR="00036C90" w:rsidRPr="00DC3AAA">
        <w:rPr>
          <w:sz w:val="26"/>
          <w:szCs w:val="26"/>
        </w:rPr>
        <w:t>watt baseline.</w:t>
      </w:r>
    </w:p>
    <w:p w:rsidR="00A51975" w:rsidRPr="00114FDD" w:rsidRDefault="00A51975" w:rsidP="00B64A9F">
      <w:pPr>
        <w:pStyle w:val="p3"/>
        <w:tabs>
          <w:tab w:val="clear" w:pos="204"/>
          <w:tab w:val="left" w:pos="720"/>
        </w:tabs>
        <w:spacing w:line="360" w:lineRule="auto"/>
        <w:rPr>
          <w:sz w:val="26"/>
          <w:szCs w:val="26"/>
        </w:rPr>
      </w:pPr>
    </w:p>
    <w:p w:rsidR="00036C90" w:rsidRPr="00114FDD" w:rsidRDefault="00036C90" w:rsidP="00B64A9F">
      <w:pPr>
        <w:pStyle w:val="p3"/>
        <w:tabs>
          <w:tab w:val="clear" w:pos="204"/>
          <w:tab w:val="left" w:pos="720"/>
        </w:tabs>
        <w:spacing w:line="360" w:lineRule="auto"/>
        <w:rPr>
          <w:sz w:val="26"/>
          <w:szCs w:val="26"/>
        </w:rPr>
      </w:pPr>
      <w:r w:rsidRPr="00114FDD">
        <w:rPr>
          <w:sz w:val="26"/>
          <w:szCs w:val="26"/>
        </w:rPr>
        <w:tab/>
        <w:t>The Commission proposes that the baseline for CFLs in Section 2.7 - Home Energy Conservation Kits</w:t>
      </w:r>
      <w:r w:rsidRPr="00114FDD">
        <w:rPr>
          <w:sz w:val="26"/>
          <w:szCs w:val="26"/>
          <w:vertAlign w:val="superscript"/>
        </w:rPr>
        <w:footnoteReference w:id="69"/>
      </w:r>
      <w:r w:rsidRPr="00114FDD">
        <w:rPr>
          <w:sz w:val="26"/>
          <w:szCs w:val="26"/>
        </w:rPr>
        <w:t xml:space="preserve"> and Section 2.35 - Low Income Lighting</w:t>
      </w:r>
      <w:r w:rsidRPr="00114FDD">
        <w:rPr>
          <w:sz w:val="26"/>
          <w:szCs w:val="26"/>
          <w:vertAlign w:val="superscript"/>
        </w:rPr>
        <w:footnoteReference w:id="70"/>
      </w:r>
      <w:r w:rsidRPr="00114FDD">
        <w:rPr>
          <w:sz w:val="26"/>
          <w:szCs w:val="26"/>
        </w:rPr>
        <w:t xml:space="preserve"> of the 2012 TRM </w:t>
      </w:r>
      <w:r w:rsidR="004F5CA4">
        <w:rPr>
          <w:sz w:val="26"/>
          <w:szCs w:val="26"/>
        </w:rPr>
        <w:t xml:space="preserve">also </w:t>
      </w:r>
      <w:r w:rsidRPr="00114FDD">
        <w:rPr>
          <w:sz w:val="26"/>
          <w:szCs w:val="26"/>
        </w:rPr>
        <w:t>be updated per the EISA 2007 standards.</w:t>
      </w:r>
    </w:p>
    <w:p w:rsidR="00036C90" w:rsidRPr="00114FDD" w:rsidRDefault="00036C90"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11" w:name="_Toc334174999"/>
      <w:r w:rsidRPr="00114FDD">
        <w:rPr>
          <w:b/>
          <w:sz w:val="26"/>
          <w:szCs w:val="26"/>
        </w:rPr>
        <w:lastRenderedPageBreak/>
        <w:t>ENERGY STAR LED</w:t>
      </w:r>
      <w:r w:rsidR="00224CA6">
        <w:rPr>
          <w:b/>
          <w:sz w:val="26"/>
          <w:szCs w:val="26"/>
        </w:rPr>
        <w:t>s</w:t>
      </w:r>
      <w:bookmarkEnd w:id="11"/>
    </w:p>
    <w:p w:rsidR="00036C90" w:rsidRPr="00114FDD" w:rsidRDefault="00036C90" w:rsidP="00B64A9F">
      <w:pPr>
        <w:pStyle w:val="p3"/>
        <w:tabs>
          <w:tab w:val="clear" w:pos="204"/>
          <w:tab w:val="left" w:pos="0"/>
          <w:tab w:val="left" w:pos="720"/>
        </w:tabs>
        <w:spacing w:line="360" w:lineRule="auto"/>
        <w:ind w:left="1800"/>
        <w:rPr>
          <w:b/>
          <w:sz w:val="26"/>
          <w:szCs w:val="26"/>
        </w:rPr>
      </w:pPr>
    </w:p>
    <w:p w:rsidR="00036C90" w:rsidRPr="00114FDD" w:rsidRDefault="00036C90" w:rsidP="00B64A9F">
      <w:pPr>
        <w:pStyle w:val="p3"/>
        <w:tabs>
          <w:tab w:val="clear" w:pos="204"/>
          <w:tab w:val="left" w:pos="720"/>
        </w:tabs>
        <w:spacing w:line="360" w:lineRule="auto"/>
        <w:rPr>
          <w:sz w:val="26"/>
          <w:szCs w:val="26"/>
        </w:rPr>
      </w:pPr>
      <w:r w:rsidRPr="00114FDD">
        <w:rPr>
          <w:sz w:val="26"/>
          <w:szCs w:val="26"/>
        </w:rPr>
        <w:tab/>
        <w:t>The 2012 TRM included separate energy and demand algorithms for each baseline lamp type in the ENERGY STAR LED protocol</w:t>
      </w:r>
      <w:r w:rsidR="004F5CA4">
        <w:rPr>
          <w:sz w:val="26"/>
          <w:szCs w:val="26"/>
        </w:rPr>
        <w:t>s</w:t>
      </w:r>
      <w:r w:rsidRPr="00114FDD">
        <w:rPr>
          <w:sz w:val="26"/>
          <w:szCs w:val="26"/>
        </w:rPr>
        <w:t xml:space="preserve"> (four sets of energy and demand algori</w:t>
      </w:r>
      <w:r w:rsidR="00892EEC" w:rsidRPr="00114FDD">
        <w:rPr>
          <w:sz w:val="26"/>
          <w:szCs w:val="26"/>
        </w:rPr>
        <w:t>thms for the general service 40-</w:t>
      </w:r>
      <w:r w:rsidRPr="00114FDD">
        <w:rPr>
          <w:sz w:val="26"/>
          <w:szCs w:val="26"/>
        </w:rPr>
        <w:t>watt, 60</w:t>
      </w:r>
      <w:r w:rsidR="00892EEC" w:rsidRPr="00114FDD">
        <w:rPr>
          <w:sz w:val="26"/>
          <w:szCs w:val="26"/>
        </w:rPr>
        <w:t>-</w:t>
      </w:r>
      <w:r w:rsidRPr="00114FDD">
        <w:rPr>
          <w:sz w:val="26"/>
          <w:szCs w:val="26"/>
        </w:rPr>
        <w:t>watt, 75</w:t>
      </w:r>
      <w:r w:rsidR="00892EEC" w:rsidRPr="00114FDD">
        <w:rPr>
          <w:sz w:val="26"/>
          <w:szCs w:val="26"/>
        </w:rPr>
        <w:t>-watt and 100-</w:t>
      </w:r>
      <w:r w:rsidRPr="00114FDD">
        <w:rPr>
          <w:sz w:val="26"/>
          <w:szCs w:val="26"/>
        </w:rPr>
        <w:t>watt incandescent equivalent).</w:t>
      </w:r>
      <w:r w:rsidRPr="00114FDD">
        <w:rPr>
          <w:sz w:val="26"/>
          <w:szCs w:val="26"/>
          <w:vertAlign w:val="superscript"/>
        </w:rPr>
        <w:footnoteReference w:id="71"/>
      </w:r>
      <w:r w:rsidRPr="00114FDD">
        <w:rPr>
          <w:sz w:val="26"/>
          <w:szCs w:val="26"/>
        </w:rPr>
        <w:t xml:space="preserve">  The algorithms were identical and therefore the Commission proposes condensing</w:t>
      </w:r>
      <w:r w:rsidR="00892EEC" w:rsidRPr="00114FDD">
        <w:rPr>
          <w:sz w:val="26"/>
          <w:szCs w:val="26"/>
        </w:rPr>
        <w:t xml:space="preserve"> them</w:t>
      </w:r>
      <w:r w:rsidRPr="00114FDD">
        <w:rPr>
          <w:sz w:val="26"/>
          <w:szCs w:val="26"/>
        </w:rPr>
        <w:t xml:space="preserve"> into one set of energy and demand equations for general service lamps and one set for reflector lamps.</w:t>
      </w:r>
      <w:r w:rsidR="001324E3">
        <w:rPr>
          <w:sz w:val="26"/>
          <w:szCs w:val="26"/>
        </w:rPr>
        <w:t xml:space="preserve">  </w:t>
      </w:r>
    </w:p>
    <w:p w:rsidR="00036C90" w:rsidRPr="00114FDD" w:rsidRDefault="00036C90" w:rsidP="00B64A9F">
      <w:pPr>
        <w:spacing w:line="360" w:lineRule="auto"/>
        <w:rPr>
          <w:sz w:val="26"/>
          <w:szCs w:val="26"/>
        </w:rPr>
      </w:pPr>
    </w:p>
    <w:p w:rsidR="00036C90" w:rsidRPr="00114FDD" w:rsidRDefault="00036C90" w:rsidP="00B64A9F">
      <w:pPr>
        <w:pStyle w:val="p3"/>
        <w:numPr>
          <w:ilvl w:val="1"/>
          <w:numId w:val="10"/>
        </w:numPr>
        <w:tabs>
          <w:tab w:val="clear" w:pos="204"/>
          <w:tab w:val="left" w:pos="720"/>
        </w:tabs>
        <w:spacing w:line="360" w:lineRule="auto"/>
        <w:ind w:hanging="720"/>
        <w:outlineLvl w:val="2"/>
        <w:rPr>
          <w:b/>
          <w:sz w:val="26"/>
          <w:szCs w:val="26"/>
        </w:rPr>
      </w:pPr>
      <w:bookmarkStart w:id="12" w:name="_Toc334175000"/>
      <w:r w:rsidRPr="00114FDD">
        <w:rPr>
          <w:b/>
          <w:sz w:val="26"/>
          <w:szCs w:val="26"/>
        </w:rPr>
        <w:t>ENERGY STAR Appliances</w:t>
      </w:r>
      <w:bookmarkEnd w:id="12"/>
    </w:p>
    <w:p w:rsidR="00036C90" w:rsidRPr="00114FDD" w:rsidRDefault="00036C90" w:rsidP="00B64A9F">
      <w:pPr>
        <w:pStyle w:val="ListParagraph"/>
        <w:spacing w:after="0" w:line="360" w:lineRule="auto"/>
        <w:ind w:left="1440"/>
        <w:rPr>
          <w:rFonts w:ascii="Times New Roman" w:hAnsi="Times New Roman"/>
          <w:b/>
          <w:sz w:val="26"/>
          <w:szCs w:val="26"/>
        </w:rPr>
      </w:pPr>
    </w:p>
    <w:p w:rsidR="00036C90" w:rsidRPr="00114FDD" w:rsidRDefault="00036C90"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13" w:name="_Toc334175001"/>
      <w:r w:rsidRPr="00114FDD">
        <w:rPr>
          <w:b/>
          <w:sz w:val="26"/>
          <w:szCs w:val="26"/>
        </w:rPr>
        <w:t>Protocols</w:t>
      </w:r>
      <w:bookmarkEnd w:id="13"/>
      <w:r w:rsidRPr="00114FDD">
        <w:rPr>
          <w:b/>
          <w:sz w:val="26"/>
          <w:szCs w:val="26"/>
        </w:rPr>
        <w:t xml:space="preserve"> </w:t>
      </w:r>
    </w:p>
    <w:p w:rsidR="00036C90" w:rsidRPr="00114FDD" w:rsidRDefault="00036C90" w:rsidP="00B64A9F">
      <w:pPr>
        <w:pStyle w:val="ListParagraph"/>
        <w:spacing w:after="0" w:line="360" w:lineRule="auto"/>
        <w:ind w:left="1800"/>
        <w:rPr>
          <w:rFonts w:ascii="Times New Roman" w:hAnsi="Times New Roman"/>
          <w:b/>
          <w:sz w:val="26"/>
          <w:szCs w:val="26"/>
        </w:rPr>
      </w:pPr>
    </w:p>
    <w:p w:rsidR="00036C90" w:rsidRPr="00114FDD" w:rsidRDefault="006A213F"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The 2012 TRM provided deemed energy and demand savings for all ENERGY STAR appliances in one protocol.</w:t>
      </w:r>
      <w:r w:rsidR="00036C90" w:rsidRPr="00114FDD">
        <w:rPr>
          <w:sz w:val="26"/>
          <w:szCs w:val="26"/>
          <w:vertAlign w:val="superscript"/>
        </w:rPr>
        <w:footnoteReference w:id="72"/>
      </w:r>
      <w:r w:rsidR="00036C90" w:rsidRPr="00114FDD">
        <w:rPr>
          <w:sz w:val="26"/>
          <w:szCs w:val="26"/>
        </w:rPr>
        <w:t xml:space="preserve">  The protocol did not provide the underlying algorithms or assumptions for the baseline and efficient appliances.  </w:t>
      </w:r>
      <w:r w:rsidR="005E5F5E">
        <w:rPr>
          <w:sz w:val="26"/>
          <w:szCs w:val="26"/>
        </w:rPr>
        <w:t>As such</w:t>
      </w:r>
      <w:r w:rsidR="00892EEC" w:rsidRPr="00114FDD">
        <w:rPr>
          <w:sz w:val="26"/>
          <w:szCs w:val="26"/>
        </w:rPr>
        <w:t>,</w:t>
      </w:r>
      <w:r w:rsidR="00036C90" w:rsidRPr="00114FDD">
        <w:rPr>
          <w:sz w:val="26"/>
          <w:szCs w:val="26"/>
        </w:rPr>
        <w:t xml:space="preserve"> the protocol did allow </w:t>
      </w:r>
      <w:r w:rsidR="005E5F5E">
        <w:rPr>
          <w:sz w:val="26"/>
          <w:szCs w:val="26"/>
        </w:rPr>
        <w:t xml:space="preserve">EDCs </w:t>
      </w:r>
      <w:r w:rsidR="00036C90" w:rsidRPr="00114FDD">
        <w:rPr>
          <w:sz w:val="26"/>
          <w:szCs w:val="26"/>
        </w:rPr>
        <w:t>the opportunity to calculate model-specific savings if model information was known.</w:t>
      </w:r>
    </w:p>
    <w:p w:rsidR="006A213F" w:rsidRPr="00114FDD" w:rsidRDefault="006A213F" w:rsidP="00B64A9F">
      <w:pPr>
        <w:pStyle w:val="p3"/>
        <w:tabs>
          <w:tab w:val="clear" w:pos="204"/>
          <w:tab w:val="left" w:pos="720"/>
        </w:tabs>
        <w:spacing w:line="360" w:lineRule="auto"/>
        <w:rPr>
          <w:sz w:val="26"/>
          <w:szCs w:val="26"/>
        </w:rPr>
      </w:pPr>
    </w:p>
    <w:p w:rsidR="00036C90" w:rsidRPr="00114FDD" w:rsidRDefault="006A213F"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 xml:space="preserve">The Commission proposes </w:t>
      </w:r>
      <w:r w:rsidR="005655D4" w:rsidRPr="00114FDD">
        <w:rPr>
          <w:sz w:val="26"/>
          <w:szCs w:val="26"/>
        </w:rPr>
        <w:t xml:space="preserve">to divide the existing protocol into </w:t>
      </w:r>
      <w:r w:rsidR="00036C90" w:rsidRPr="00114FDD">
        <w:rPr>
          <w:sz w:val="26"/>
          <w:szCs w:val="26"/>
        </w:rPr>
        <w:t>individual protocols for each ENERGY STAR appliance, which include algorithms and underlying assumptions to calculate savings</w:t>
      </w:r>
      <w:r w:rsidR="00892EEC" w:rsidRPr="00114FDD">
        <w:rPr>
          <w:sz w:val="26"/>
          <w:szCs w:val="26"/>
        </w:rPr>
        <w:t>,</w:t>
      </w:r>
      <w:r w:rsidR="00036C90" w:rsidRPr="00114FDD">
        <w:rPr>
          <w:sz w:val="26"/>
          <w:szCs w:val="26"/>
        </w:rPr>
        <w:t xml:space="preserve"> if appliance information is </w:t>
      </w:r>
      <w:r w:rsidR="005E5F5E">
        <w:rPr>
          <w:sz w:val="26"/>
          <w:szCs w:val="26"/>
        </w:rPr>
        <w:t>known</w:t>
      </w:r>
      <w:r w:rsidR="00036C90" w:rsidRPr="00114FDD">
        <w:rPr>
          <w:sz w:val="26"/>
          <w:szCs w:val="26"/>
        </w:rPr>
        <w:t xml:space="preserve">.  The change to the ENERGY STAR </w:t>
      </w:r>
      <w:r w:rsidR="005E5F5E">
        <w:rPr>
          <w:sz w:val="26"/>
          <w:szCs w:val="26"/>
        </w:rPr>
        <w:t>a</w:t>
      </w:r>
      <w:r w:rsidR="005E5F5E" w:rsidRPr="00114FDD">
        <w:rPr>
          <w:sz w:val="26"/>
          <w:szCs w:val="26"/>
        </w:rPr>
        <w:t xml:space="preserve">ppliance </w:t>
      </w:r>
      <w:r w:rsidR="00036C90" w:rsidRPr="00114FDD">
        <w:rPr>
          <w:sz w:val="26"/>
          <w:szCs w:val="26"/>
        </w:rPr>
        <w:t>protocols should provide transparency and flexibility, which will aid in planning for future code and standards changes.  If appliance information is not tracked, default energy and demand savings are proposed in each protocol.</w:t>
      </w:r>
    </w:p>
    <w:p w:rsidR="00036C90" w:rsidRPr="00114FDD" w:rsidRDefault="00036C90" w:rsidP="00B64A9F">
      <w:pPr>
        <w:spacing w:line="360" w:lineRule="auto"/>
        <w:ind w:firstLine="720"/>
        <w:rPr>
          <w:sz w:val="26"/>
          <w:szCs w:val="26"/>
        </w:rPr>
      </w:pPr>
    </w:p>
    <w:p w:rsidR="00036C90" w:rsidRPr="00114FDD" w:rsidRDefault="00036C90" w:rsidP="00DC3AAA">
      <w:pPr>
        <w:pStyle w:val="p3"/>
        <w:numPr>
          <w:ilvl w:val="3"/>
          <w:numId w:val="10"/>
        </w:numPr>
        <w:tabs>
          <w:tab w:val="clear" w:pos="204"/>
          <w:tab w:val="left" w:pos="0"/>
          <w:tab w:val="left" w:pos="720"/>
        </w:tabs>
        <w:ind w:left="2160" w:hanging="720"/>
        <w:outlineLvl w:val="3"/>
        <w:rPr>
          <w:b/>
          <w:sz w:val="26"/>
          <w:szCs w:val="26"/>
        </w:rPr>
      </w:pPr>
      <w:bookmarkStart w:id="14" w:name="_Toc334175002"/>
      <w:r w:rsidRPr="00114FDD">
        <w:rPr>
          <w:b/>
          <w:sz w:val="26"/>
          <w:szCs w:val="26"/>
        </w:rPr>
        <w:lastRenderedPageBreak/>
        <w:t>Baseline</w:t>
      </w:r>
      <w:r w:rsidR="005E5F5E">
        <w:rPr>
          <w:b/>
          <w:sz w:val="26"/>
          <w:szCs w:val="26"/>
        </w:rPr>
        <w:t>s</w:t>
      </w:r>
      <w:r w:rsidRPr="00114FDD">
        <w:rPr>
          <w:b/>
          <w:sz w:val="26"/>
          <w:szCs w:val="26"/>
        </w:rPr>
        <w:t xml:space="preserve"> and Deemed Values</w:t>
      </w:r>
      <w:bookmarkEnd w:id="14"/>
    </w:p>
    <w:p w:rsidR="00036C90" w:rsidRPr="00114FDD" w:rsidRDefault="00036C90" w:rsidP="00B64A9F">
      <w:pPr>
        <w:pStyle w:val="ListParagraph"/>
        <w:spacing w:after="0" w:line="360" w:lineRule="auto"/>
        <w:ind w:left="1800"/>
        <w:rPr>
          <w:rFonts w:ascii="Times New Roman" w:hAnsi="Times New Roman"/>
          <w:b/>
          <w:sz w:val="26"/>
          <w:szCs w:val="26"/>
        </w:rPr>
      </w:pPr>
    </w:p>
    <w:p w:rsidR="005E5F5E" w:rsidRDefault="006A213F" w:rsidP="00B64A9F">
      <w:pPr>
        <w:pStyle w:val="p3"/>
        <w:tabs>
          <w:tab w:val="clear" w:pos="204"/>
          <w:tab w:val="left" w:pos="720"/>
        </w:tabs>
        <w:spacing w:line="360" w:lineRule="auto"/>
        <w:rPr>
          <w:sz w:val="26"/>
          <w:szCs w:val="26"/>
        </w:rPr>
      </w:pPr>
      <w:r w:rsidRPr="00114FDD">
        <w:rPr>
          <w:sz w:val="26"/>
          <w:szCs w:val="26"/>
        </w:rPr>
        <w:tab/>
      </w:r>
      <w:r w:rsidR="00036C90" w:rsidRPr="00114FDD">
        <w:rPr>
          <w:sz w:val="26"/>
          <w:szCs w:val="26"/>
        </w:rPr>
        <w:t>The 2012 TRM energy savings for ENERGY STAR Appliances were derived from the ENERGY STAR Savings Calculator.</w:t>
      </w:r>
      <w:r w:rsidR="00036C90" w:rsidRPr="00114FDD">
        <w:rPr>
          <w:sz w:val="26"/>
          <w:szCs w:val="26"/>
          <w:vertAlign w:val="superscript"/>
        </w:rPr>
        <w:footnoteReference w:id="73"/>
      </w:r>
      <w:r w:rsidR="00036C90" w:rsidRPr="00114FDD">
        <w:rPr>
          <w:sz w:val="26"/>
          <w:szCs w:val="26"/>
        </w:rPr>
        <w:t xml:space="preserve">  The ENERGY STAR Savings Calculators are typically updated every two to four years and are therefore not necessarily representative of the most current available models likely to be purchased by consumers.</w:t>
      </w:r>
    </w:p>
    <w:p w:rsidR="005E5F5E" w:rsidRDefault="005E5F5E" w:rsidP="00B64A9F">
      <w:pPr>
        <w:pStyle w:val="p3"/>
        <w:tabs>
          <w:tab w:val="clear" w:pos="204"/>
          <w:tab w:val="left" w:pos="720"/>
        </w:tabs>
        <w:spacing w:line="360" w:lineRule="auto"/>
        <w:rPr>
          <w:sz w:val="26"/>
          <w:szCs w:val="26"/>
        </w:rPr>
      </w:pPr>
    </w:p>
    <w:p w:rsidR="00036C90" w:rsidRPr="00114FDD" w:rsidRDefault="005E5F5E" w:rsidP="00B64A9F">
      <w:pPr>
        <w:pStyle w:val="p3"/>
        <w:tabs>
          <w:tab w:val="clear" w:pos="204"/>
          <w:tab w:val="left" w:pos="720"/>
        </w:tabs>
        <w:spacing w:line="360" w:lineRule="auto"/>
        <w:rPr>
          <w:sz w:val="26"/>
          <w:szCs w:val="26"/>
        </w:rPr>
      </w:pPr>
      <w:r>
        <w:rPr>
          <w:sz w:val="26"/>
          <w:szCs w:val="26"/>
        </w:rPr>
        <w:tab/>
      </w:r>
      <w:r w:rsidR="00036C90" w:rsidRPr="00114FDD">
        <w:rPr>
          <w:sz w:val="26"/>
          <w:szCs w:val="26"/>
        </w:rPr>
        <w:t>The Commission proposes that the ENERGY STAR default values be updated during each TRM update to reflect the energy usage of the ENERGY STAR models, and their equivalent baseline</w:t>
      </w:r>
      <w:r w:rsidR="006B0C48">
        <w:rPr>
          <w:sz w:val="26"/>
          <w:szCs w:val="26"/>
        </w:rPr>
        <w:t>s</w:t>
      </w:r>
      <w:r w:rsidR="00036C90" w:rsidRPr="00114FDD">
        <w:rPr>
          <w:sz w:val="26"/>
          <w:szCs w:val="26"/>
        </w:rPr>
        <w:t xml:space="preserve">, available at the time of the TRM update.  </w:t>
      </w:r>
      <w:r w:rsidR="00330D76" w:rsidRPr="00114FDD">
        <w:rPr>
          <w:sz w:val="26"/>
          <w:szCs w:val="26"/>
        </w:rPr>
        <w:t>ENERGY STAR periodically updates its qualified products list for each appliance, which contains information such as annual energy usage and equivalent federal baseline</w:t>
      </w:r>
      <w:r w:rsidR="006B0C48">
        <w:rPr>
          <w:sz w:val="26"/>
          <w:szCs w:val="26"/>
        </w:rPr>
        <w:t>s</w:t>
      </w:r>
      <w:r w:rsidR="00330D76" w:rsidRPr="00114FDD">
        <w:rPr>
          <w:sz w:val="26"/>
          <w:szCs w:val="26"/>
        </w:rPr>
        <w:t xml:space="preserve">.  For example, the equivalent federal baseline of each ENERGY STAR refrigerator is </w:t>
      </w:r>
      <w:r w:rsidR="00AA3E57" w:rsidRPr="00114FDD">
        <w:rPr>
          <w:sz w:val="26"/>
          <w:szCs w:val="26"/>
        </w:rPr>
        <w:t>determined</w:t>
      </w:r>
      <w:r w:rsidR="00330D76" w:rsidRPr="00114FDD">
        <w:rPr>
          <w:sz w:val="26"/>
          <w:szCs w:val="26"/>
        </w:rPr>
        <w:t xml:space="preserve"> based on volume and </w:t>
      </w:r>
      <w:r w:rsidR="00AA3E57" w:rsidRPr="00114FDD">
        <w:rPr>
          <w:sz w:val="26"/>
          <w:szCs w:val="26"/>
        </w:rPr>
        <w:t xml:space="preserve">refrigerator and freezer </w:t>
      </w:r>
      <w:r w:rsidR="00330D76" w:rsidRPr="00114FDD">
        <w:rPr>
          <w:sz w:val="26"/>
          <w:szCs w:val="26"/>
        </w:rPr>
        <w:t xml:space="preserve">configuration of </w:t>
      </w:r>
      <w:r w:rsidR="00AA3E57" w:rsidRPr="00114FDD">
        <w:rPr>
          <w:sz w:val="26"/>
          <w:szCs w:val="26"/>
        </w:rPr>
        <w:t>each ENERGY STAR</w:t>
      </w:r>
      <w:r w:rsidR="00184ADF" w:rsidRPr="00114FDD">
        <w:rPr>
          <w:sz w:val="26"/>
          <w:szCs w:val="26"/>
        </w:rPr>
        <w:t>-</w:t>
      </w:r>
      <w:r w:rsidR="00AA3E57" w:rsidRPr="00114FDD">
        <w:rPr>
          <w:sz w:val="26"/>
          <w:szCs w:val="26"/>
        </w:rPr>
        <w:t>qualified model</w:t>
      </w:r>
      <w:r w:rsidR="00330D76" w:rsidRPr="00114FDD">
        <w:rPr>
          <w:sz w:val="26"/>
          <w:szCs w:val="26"/>
        </w:rPr>
        <w:t>.</w:t>
      </w:r>
      <w:r w:rsidR="00AA3E57" w:rsidRPr="00114FDD">
        <w:rPr>
          <w:sz w:val="26"/>
          <w:szCs w:val="26"/>
        </w:rPr>
        <w:t xml:space="preserve">  Averaging the annual energy usage of ENERGY STAR products available to consumers and their equivalent federal baselines will produce </w:t>
      </w:r>
      <w:r w:rsidR="00FE75CF" w:rsidRPr="00114FDD">
        <w:rPr>
          <w:sz w:val="26"/>
          <w:szCs w:val="26"/>
        </w:rPr>
        <w:t xml:space="preserve">a credible estimation of savings that can be updated annually.  This method is also preferred as federal and ENERGY STAR standards for several appliances </w:t>
      </w:r>
      <w:r w:rsidR="006B0C48">
        <w:rPr>
          <w:sz w:val="26"/>
          <w:szCs w:val="26"/>
        </w:rPr>
        <w:t xml:space="preserve">will </w:t>
      </w:r>
      <w:r w:rsidR="00FE75CF" w:rsidRPr="00114FDD">
        <w:rPr>
          <w:sz w:val="26"/>
          <w:szCs w:val="26"/>
        </w:rPr>
        <w:t xml:space="preserve">change over the course of the next three years.  </w:t>
      </w:r>
    </w:p>
    <w:p w:rsidR="00036C90" w:rsidRPr="00114FDD" w:rsidRDefault="00036C90" w:rsidP="00B64A9F">
      <w:pPr>
        <w:spacing w:line="360" w:lineRule="auto"/>
        <w:rPr>
          <w:sz w:val="26"/>
          <w:szCs w:val="26"/>
        </w:rPr>
      </w:pPr>
    </w:p>
    <w:p w:rsidR="00036C90" w:rsidRPr="00114FDD" w:rsidRDefault="00036C90" w:rsidP="00DC3AAA">
      <w:pPr>
        <w:pStyle w:val="p3"/>
        <w:numPr>
          <w:ilvl w:val="3"/>
          <w:numId w:val="10"/>
        </w:numPr>
        <w:tabs>
          <w:tab w:val="clear" w:pos="204"/>
          <w:tab w:val="left" w:pos="0"/>
          <w:tab w:val="left" w:pos="720"/>
        </w:tabs>
        <w:ind w:left="2160" w:hanging="720"/>
        <w:outlineLvl w:val="3"/>
        <w:rPr>
          <w:b/>
          <w:sz w:val="26"/>
          <w:szCs w:val="26"/>
        </w:rPr>
      </w:pPr>
      <w:bookmarkStart w:id="15" w:name="_Toc334175003"/>
      <w:r w:rsidRPr="00114FDD">
        <w:rPr>
          <w:b/>
          <w:sz w:val="26"/>
          <w:szCs w:val="26"/>
        </w:rPr>
        <w:t>Future Federal and ENERGY STAR Standards</w:t>
      </w:r>
      <w:bookmarkEnd w:id="15"/>
      <w:r w:rsidRPr="00114FDD">
        <w:rPr>
          <w:b/>
          <w:sz w:val="26"/>
          <w:szCs w:val="26"/>
        </w:rPr>
        <w:t xml:space="preserve"> </w:t>
      </w:r>
    </w:p>
    <w:p w:rsidR="00036C90" w:rsidRPr="00114FDD" w:rsidRDefault="00036C90" w:rsidP="00B64A9F">
      <w:pPr>
        <w:pStyle w:val="ListParagraph"/>
        <w:spacing w:after="0" w:line="360" w:lineRule="auto"/>
        <w:ind w:left="1800"/>
        <w:rPr>
          <w:rFonts w:ascii="Times New Roman" w:hAnsi="Times New Roman"/>
          <w:b/>
          <w:sz w:val="26"/>
          <w:szCs w:val="26"/>
        </w:rPr>
      </w:pPr>
    </w:p>
    <w:p w:rsidR="001324E3" w:rsidRDefault="00036C90" w:rsidP="00B64A9F">
      <w:pPr>
        <w:spacing w:line="360" w:lineRule="auto"/>
        <w:ind w:firstLine="720"/>
        <w:rPr>
          <w:sz w:val="26"/>
          <w:szCs w:val="26"/>
        </w:rPr>
      </w:pPr>
      <w:r w:rsidRPr="00114FDD">
        <w:rPr>
          <w:sz w:val="26"/>
          <w:szCs w:val="26"/>
        </w:rPr>
        <w:t xml:space="preserve">There are several federal minimum efficiency and ENERGY STAR standards updates that will be occurring over the course of the next three years.  The Commission proposes the changes to the baseline and efficient appliances and their effective date, which is to coincide with the </w:t>
      </w:r>
      <w:r w:rsidR="006B0C48">
        <w:rPr>
          <w:sz w:val="26"/>
          <w:szCs w:val="26"/>
        </w:rPr>
        <w:t xml:space="preserve">beginning on the appropriate </w:t>
      </w:r>
      <w:r w:rsidR="008C550B">
        <w:rPr>
          <w:sz w:val="26"/>
          <w:szCs w:val="26"/>
        </w:rPr>
        <w:t>program</w:t>
      </w:r>
      <w:r w:rsidR="006B0C48">
        <w:rPr>
          <w:sz w:val="26"/>
          <w:szCs w:val="26"/>
        </w:rPr>
        <w:t xml:space="preserve"> year</w:t>
      </w:r>
      <w:r w:rsidRPr="00114FDD">
        <w:rPr>
          <w:sz w:val="26"/>
          <w:szCs w:val="26"/>
        </w:rPr>
        <w:t xml:space="preserve">, </w:t>
      </w:r>
      <w:r w:rsidR="006B0C48">
        <w:rPr>
          <w:sz w:val="26"/>
          <w:szCs w:val="26"/>
        </w:rPr>
        <w:t>for</w:t>
      </w:r>
      <w:r w:rsidR="006B0C48" w:rsidRPr="00114FDD">
        <w:rPr>
          <w:sz w:val="26"/>
          <w:szCs w:val="26"/>
        </w:rPr>
        <w:t xml:space="preserve"> </w:t>
      </w:r>
      <w:r w:rsidRPr="00114FDD">
        <w:rPr>
          <w:sz w:val="26"/>
          <w:szCs w:val="26"/>
        </w:rPr>
        <w:t xml:space="preserve">each appliance’s respective protocol.  The change in baseline or ENERGY STAR standard is </w:t>
      </w:r>
      <w:r w:rsidRPr="00114FDD">
        <w:rPr>
          <w:sz w:val="26"/>
          <w:szCs w:val="26"/>
        </w:rPr>
        <w:lastRenderedPageBreak/>
        <w:t xml:space="preserve">to coincide with the </w:t>
      </w:r>
      <w:r w:rsidR="006B0C48">
        <w:rPr>
          <w:sz w:val="26"/>
          <w:szCs w:val="26"/>
        </w:rPr>
        <w:t xml:space="preserve">beginning on the appropriate </w:t>
      </w:r>
      <w:r w:rsidR="008C550B">
        <w:rPr>
          <w:sz w:val="26"/>
          <w:szCs w:val="26"/>
        </w:rPr>
        <w:t>program</w:t>
      </w:r>
      <w:r w:rsidR="006B0C48">
        <w:rPr>
          <w:sz w:val="26"/>
          <w:szCs w:val="26"/>
        </w:rPr>
        <w:t xml:space="preserve"> year</w:t>
      </w:r>
      <w:r w:rsidRPr="00114FDD">
        <w:rPr>
          <w:sz w:val="26"/>
          <w:szCs w:val="26"/>
        </w:rPr>
        <w:t xml:space="preserve"> in order to prevent implementation and evaluation problems relating to changing deemed savings over the course of a program year.  The federal standard changes affect dehumidifiers and dishwashers as of </w:t>
      </w:r>
      <w:r w:rsidR="008C550B">
        <w:rPr>
          <w:sz w:val="26"/>
          <w:szCs w:val="26"/>
        </w:rPr>
        <w:t>June 1,</w:t>
      </w:r>
      <w:r w:rsidR="008C550B" w:rsidRPr="00114FDD">
        <w:rPr>
          <w:sz w:val="26"/>
          <w:szCs w:val="26"/>
        </w:rPr>
        <w:t xml:space="preserve"> </w:t>
      </w:r>
      <w:r w:rsidRPr="00114FDD">
        <w:rPr>
          <w:sz w:val="26"/>
          <w:szCs w:val="26"/>
        </w:rPr>
        <w:t>2013</w:t>
      </w:r>
      <w:r w:rsidR="001324E3">
        <w:rPr>
          <w:sz w:val="26"/>
          <w:szCs w:val="26"/>
        </w:rPr>
        <w:t xml:space="preserve">.  </w:t>
      </w:r>
    </w:p>
    <w:p w:rsidR="001324E3" w:rsidRDefault="001324E3" w:rsidP="00B64A9F">
      <w:pPr>
        <w:spacing w:line="360" w:lineRule="auto"/>
        <w:ind w:firstLine="720"/>
        <w:rPr>
          <w:sz w:val="26"/>
          <w:szCs w:val="26"/>
        </w:rPr>
      </w:pPr>
    </w:p>
    <w:p w:rsidR="001324E3" w:rsidRDefault="001324E3" w:rsidP="00B64A9F">
      <w:pPr>
        <w:spacing w:line="360" w:lineRule="auto"/>
        <w:ind w:firstLine="720"/>
        <w:rPr>
          <w:sz w:val="26"/>
          <w:szCs w:val="26"/>
        </w:rPr>
      </w:pPr>
      <w:r>
        <w:rPr>
          <w:sz w:val="26"/>
          <w:szCs w:val="26"/>
        </w:rPr>
        <w:t>Because</w:t>
      </w:r>
      <w:r w:rsidR="008F3C4B">
        <w:rPr>
          <w:sz w:val="26"/>
          <w:szCs w:val="26"/>
        </w:rPr>
        <w:t xml:space="preserve"> the federal standards changes would affect </w:t>
      </w:r>
      <w:r w:rsidR="00036C90" w:rsidRPr="00114FDD">
        <w:rPr>
          <w:sz w:val="26"/>
          <w:szCs w:val="26"/>
        </w:rPr>
        <w:t xml:space="preserve">room air conditioners </w:t>
      </w:r>
      <w:r w:rsidR="008F3C4B">
        <w:rPr>
          <w:sz w:val="26"/>
          <w:szCs w:val="26"/>
        </w:rPr>
        <w:t>in 2014</w:t>
      </w:r>
      <w:r>
        <w:rPr>
          <w:sz w:val="26"/>
          <w:szCs w:val="26"/>
        </w:rPr>
        <w:t xml:space="preserve"> and refrigerators, freezers and clothes washers </w:t>
      </w:r>
      <w:r w:rsidR="008F3C4B">
        <w:rPr>
          <w:sz w:val="26"/>
          <w:szCs w:val="26"/>
        </w:rPr>
        <w:t xml:space="preserve">in </w:t>
      </w:r>
      <w:r>
        <w:rPr>
          <w:sz w:val="26"/>
          <w:szCs w:val="26"/>
        </w:rPr>
        <w:t xml:space="preserve">2015, the Commission proposes that </w:t>
      </w:r>
      <w:r w:rsidR="008C550B">
        <w:rPr>
          <w:sz w:val="26"/>
          <w:szCs w:val="26"/>
        </w:rPr>
        <w:t>these protocols</w:t>
      </w:r>
      <w:r>
        <w:rPr>
          <w:sz w:val="26"/>
          <w:szCs w:val="26"/>
        </w:rPr>
        <w:t xml:space="preserve"> be </w:t>
      </w:r>
      <w:r w:rsidRPr="00114FDD">
        <w:rPr>
          <w:sz w:val="26"/>
          <w:szCs w:val="26"/>
        </w:rPr>
        <w:t>reviewed during future TRM updates in order to incorporate the changes at a more appropriate point in time</w:t>
      </w:r>
      <w:r>
        <w:rPr>
          <w:sz w:val="26"/>
          <w:szCs w:val="26"/>
        </w:rPr>
        <w:t>.</w:t>
      </w:r>
    </w:p>
    <w:p w:rsidR="00036C90" w:rsidRPr="00114FDD" w:rsidRDefault="00036C90" w:rsidP="008F3C4B">
      <w:pPr>
        <w:spacing w:line="360" w:lineRule="auto"/>
        <w:rPr>
          <w:sz w:val="26"/>
          <w:szCs w:val="26"/>
        </w:rPr>
      </w:pPr>
    </w:p>
    <w:p w:rsidR="00036C90" w:rsidRPr="00114FDD" w:rsidRDefault="00036C90"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16" w:name="_Toc334175004"/>
      <w:r w:rsidRPr="00114FDD">
        <w:rPr>
          <w:b/>
          <w:sz w:val="26"/>
          <w:szCs w:val="26"/>
        </w:rPr>
        <w:t>ENERGY STAR Most Efficient Appliances</w:t>
      </w:r>
      <w:bookmarkEnd w:id="16"/>
    </w:p>
    <w:p w:rsidR="00036C90" w:rsidRPr="00114FDD" w:rsidRDefault="00036C90" w:rsidP="00B64A9F">
      <w:pPr>
        <w:pStyle w:val="ListParagraph"/>
        <w:spacing w:after="0" w:line="360" w:lineRule="auto"/>
        <w:ind w:left="1800"/>
        <w:rPr>
          <w:rFonts w:ascii="Times New Roman" w:hAnsi="Times New Roman"/>
          <w:b/>
          <w:sz w:val="26"/>
          <w:szCs w:val="26"/>
        </w:rPr>
      </w:pPr>
    </w:p>
    <w:p w:rsidR="00036C90" w:rsidRPr="00114FDD" w:rsidRDefault="00036C90" w:rsidP="00B64A9F">
      <w:pPr>
        <w:spacing w:line="360" w:lineRule="auto"/>
        <w:ind w:firstLine="720"/>
        <w:rPr>
          <w:sz w:val="26"/>
          <w:szCs w:val="26"/>
        </w:rPr>
      </w:pPr>
      <w:r w:rsidRPr="00114FDD">
        <w:rPr>
          <w:sz w:val="26"/>
          <w:szCs w:val="26"/>
        </w:rPr>
        <w:t>In 2012</w:t>
      </w:r>
      <w:r w:rsidR="00184ADF" w:rsidRPr="00114FDD">
        <w:rPr>
          <w:sz w:val="26"/>
          <w:szCs w:val="26"/>
        </w:rPr>
        <w:t>,</w:t>
      </w:r>
      <w:r w:rsidRPr="00114FDD">
        <w:rPr>
          <w:sz w:val="26"/>
          <w:szCs w:val="26"/>
        </w:rPr>
        <w:t xml:space="preserve"> ENERGY STAR unveiled a new designation recognizing the most efficient of certain ENERGY STAR qualified products.</w:t>
      </w:r>
      <w:r w:rsidRPr="00114FDD">
        <w:rPr>
          <w:sz w:val="26"/>
          <w:szCs w:val="26"/>
          <w:vertAlign w:val="superscript"/>
        </w:rPr>
        <w:footnoteReference w:id="74"/>
      </w:r>
      <w:r w:rsidRPr="00114FDD">
        <w:rPr>
          <w:sz w:val="26"/>
          <w:szCs w:val="26"/>
        </w:rPr>
        <w:t xml:space="preserve">  </w:t>
      </w:r>
      <w:r w:rsidR="008C550B">
        <w:rPr>
          <w:sz w:val="26"/>
          <w:szCs w:val="26"/>
        </w:rPr>
        <w:t>T</w:t>
      </w:r>
      <w:r w:rsidRPr="00114FDD">
        <w:rPr>
          <w:sz w:val="26"/>
          <w:szCs w:val="26"/>
        </w:rPr>
        <w:t xml:space="preserve">he </w:t>
      </w:r>
      <w:r w:rsidR="00184ADF" w:rsidRPr="00114FDD">
        <w:rPr>
          <w:sz w:val="26"/>
          <w:szCs w:val="26"/>
        </w:rPr>
        <w:t xml:space="preserve">Commission </w:t>
      </w:r>
      <w:r w:rsidRPr="00114FDD">
        <w:rPr>
          <w:sz w:val="26"/>
          <w:szCs w:val="26"/>
        </w:rPr>
        <w:t xml:space="preserve">is proposing inclusion of ENERGY STAR Most Efficient deemed savings </w:t>
      </w:r>
      <w:r w:rsidR="008C550B">
        <w:rPr>
          <w:sz w:val="26"/>
          <w:szCs w:val="26"/>
        </w:rPr>
        <w:t>protocols for refrigerators and televisions</w:t>
      </w:r>
      <w:r w:rsidRPr="00114FDD">
        <w:rPr>
          <w:sz w:val="26"/>
          <w:szCs w:val="26"/>
        </w:rPr>
        <w:t xml:space="preserve">. </w:t>
      </w:r>
    </w:p>
    <w:p w:rsidR="00036C90" w:rsidRPr="00114FDD" w:rsidRDefault="00036C90" w:rsidP="00B64A9F">
      <w:pPr>
        <w:spacing w:line="360" w:lineRule="auto"/>
        <w:ind w:firstLine="720"/>
        <w:rPr>
          <w:sz w:val="26"/>
          <w:szCs w:val="26"/>
        </w:rPr>
      </w:pPr>
    </w:p>
    <w:p w:rsidR="00B03AF7" w:rsidRPr="00A47DBE" w:rsidRDefault="00B03AF7" w:rsidP="00B64A9F">
      <w:pPr>
        <w:pStyle w:val="p3"/>
        <w:numPr>
          <w:ilvl w:val="1"/>
          <w:numId w:val="10"/>
        </w:numPr>
        <w:tabs>
          <w:tab w:val="clear" w:pos="204"/>
          <w:tab w:val="left" w:pos="720"/>
        </w:tabs>
        <w:spacing w:line="360" w:lineRule="auto"/>
        <w:ind w:hanging="720"/>
        <w:outlineLvl w:val="2"/>
        <w:rPr>
          <w:b/>
          <w:sz w:val="26"/>
          <w:szCs w:val="26"/>
        </w:rPr>
      </w:pPr>
      <w:bookmarkStart w:id="17" w:name="_Toc334175005"/>
      <w:r w:rsidRPr="00A47DBE">
        <w:rPr>
          <w:b/>
          <w:sz w:val="26"/>
          <w:szCs w:val="26"/>
        </w:rPr>
        <w:t xml:space="preserve">Refrigerator/Freezer Replacement and Recycling </w:t>
      </w:r>
      <w:r w:rsidR="00BB60EA" w:rsidRPr="00A47DBE">
        <w:rPr>
          <w:b/>
          <w:sz w:val="26"/>
          <w:szCs w:val="26"/>
        </w:rPr>
        <w:t>P</w:t>
      </w:r>
      <w:r w:rsidRPr="00A47DBE">
        <w:rPr>
          <w:b/>
          <w:sz w:val="26"/>
          <w:szCs w:val="26"/>
        </w:rPr>
        <w:t>rotocols</w:t>
      </w:r>
      <w:bookmarkEnd w:id="17"/>
    </w:p>
    <w:p w:rsidR="00184ADF" w:rsidRPr="00A47DBE" w:rsidRDefault="00184ADF" w:rsidP="00B64A9F">
      <w:pPr>
        <w:spacing w:line="360" w:lineRule="auto"/>
        <w:ind w:firstLine="720"/>
        <w:rPr>
          <w:sz w:val="26"/>
          <w:szCs w:val="26"/>
        </w:rPr>
      </w:pPr>
    </w:p>
    <w:p w:rsidR="00143A90" w:rsidRPr="00860C07" w:rsidRDefault="00143A90" w:rsidP="00143A90">
      <w:pPr>
        <w:spacing w:line="360" w:lineRule="auto"/>
        <w:ind w:firstLine="720"/>
        <w:rPr>
          <w:sz w:val="26"/>
          <w:szCs w:val="26"/>
        </w:rPr>
      </w:pPr>
      <w:r w:rsidRPr="00860C07">
        <w:rPr>
          <w:sz w:val="26"/>
          <w:szCs w:val="26"/>
        </w:rPr>
        <w:t xml:space="preserve">In the 2012 TRM Final Order, the Commission directed the TWG to investigate and evaluate alternative savings protocols for refrigerator/freezer replacement and recycling used in other jurisdictions to inform future TRM updates.  Specifically, the Commission directed the TWG to evaluate the applicability of the California regression </w:t>
      </w:r>
      <w:r w:rsidRPr="00860C07">
        <w:rPr>
          <w:sz w:val="26"/>
          <w:szCs w:val="26"/>
        </w:rPr>
        <w:lastRenderedPageBreak/>
        <w:t>model</w:t>
      </w:r>
      <w:r w:rsidRPr="00860C07">
        <w:rPr>
          <w:rStyle w:val="FootnoteReference"/>
          <w:sz w:val="26"/>
          <w:szCs w:val="26"/>
        </w:rPr>
        <w:footnoteReference w:id="75"/>
      </w:r>
      <w:r w:rsidRPr="00860C07">
        <w:rPr>
          <w:sz w:val="26"/>
          <w:szCs w:val="26"/>
        </w:rPr>
        <w:t xml:space="preserve"> to Pennsylvania to improve savings estimates and propose any applicable changes for future TRM updates.</w:t>
      </w:r>
      <w:r w:rsidRPr="00860C07">
        <w:rPr>
          <w:rStyle w:val="FootnoteReference"/>
          <w:sz w:val="26"/>
          <w:szCs w:val="26"/>
        </w:rPr>
        <w:footnoteReference w:id="76"/>
      </w:r>
      <w:r w:rsidRPr="00860C07">
        <w:rPr>
          <w:sz w:val="26"/>
          <w:szCs w:val="26"/>
        </w:rPr>
        <w:t xml:space="preserve">  </w:t>
      </w:r>
    </w:p>
    <w:p w:rsidR="00143A90" w:rsidRPr="00860C07" w:rsidRDefault="00143A90" w:rsidP="00143A90">
      <w:pPr>
        <w:spacing w:line="360" w:lineRule="auto"/>
        <w:ind w:firstLine="720"/>
        <w:rPr>
          <w:sz w:val="26"/>
          <w:szCs w:val="26"/>
        </w:rPr>
      </w:pPr>
    </w:p>
    <w:p w:rsidR="00143A90" w:rsidRPr="00860C07" w:rsidRDefault="00143A90" w:rsidP="00143A90">
      <w:pPr>
        <w:spacing w:line="360" w:lineRule="auto"/>
        <w:ind w:firstLine="720"/>
        <w:rPr>
          <w:sz w:val="26"/>
          <w:szCs w:val="26"/>
        </w:rPr>
      </w:pPr>
      <w:r w:rsidRPr="00860C07">
        <w:rPr>
          <w:sz w:val="26"/>
          <w:szCs w:val="26"/>
        </w:rPr>
        <w:t>The SWE and Commission Staff reviewed three methods for calculating the annual kWh savings relating to removal and/or replacement of refrigerators and freezers.  The three methods are as follows:</w:t>
      </w:r>
    </w:p>
    <w:p w:rsidR="00143A90" w:rsidRPr="00860C07" w:rsidRDefault="00143A90" w:rsidP="00143A90">
      <w:pPr>
        <w:pStyle w:val="ListParagraph"/>
        <w:numPr>
          <w:ilvl w:val="0"/>
          <w:numId w:val="13"/>
        </w:numPr>
        <w:overflowPunct/>
        <w:autoSpaceDE/>
        <w:autoSpaceDN/>
        <w:adjustRightInd/>
        <w:spacing w:after="0" w:line="360" w:lineRule="auto"/>
        <w:contextualSpacing/>
        <w:textAlignment w:val="auto"/>
        <w:rPr>
          <w:rFonts w:ascii="Times New Roman" w:hAnsi="Times New Roman"/>
          <w:sz w:val="26"/>
          <w:szCs w:val="26"/>
        </w:rPr>
      </w:pPr>
      <w:r w:rsidRPr="00860C07">
        <w:rPr>
          <w:rFonts w:ascii="Times New Roman" w:hAnsi="Times New Roman"/>
          <w:sz w:val="26"/>
          <w:szCs w:val="26"/>
        </w:rPr>
        <w:t xml:space="preserve">Calculation based on the US Environmental Protection Agency (US EPA) ENERGY STAR calculator for removed refrigerators and freezers; </w:t>
      </w:r>
    </w:p>
    <w:p w:rsidR="00143A90" w:rsidRPr="00860C07" w:rsidRDefault="00143A90" w:rsidP="00143A90">
      <w:pPr>
        <w:pStyle w:val="ListParagraph"/>
        <w:numPr>
          <w:ilvl w:val="0"/>
          <w:numId w:val="13"/>
        </w:numPr>
        <w:overflowPunct/>
        <w:autoSpaceDE/>
        <w:autoSpaceDN/>
        <w:adjustRightInd/>
        <w:spacing w:after="0" w:line="360" w:lineRule="auto"/>
        <w:contextualSpacing/>
        <w:textAlignment w:val="auto"/>
        <w:rPr>
          <w:rFonts w:ascii="Times New Roman" w:hAnsi="Times New Roman"/>
          <w:sz w:val="26"/>
          <w:szCs w:val="26"/>
        </w:rPr>
      </w:pPr>
      <w:r w:rsidRPr="00860C07">
        <w:rPr>
          <w:rFonts w:ascii="Times New Roman" w:hAnsi="Times New Roman"/>
          <w:sz w:val="26"/>
          <w:szCs w:val="26"/>
        </w:rPr>
        <w:t>Calculation based on regression analysis of metered data on kWh consumption from other states; and</w:t>
      </w:r>
    </w:p>
    <w:p w:rsidR="00143A90" w:rsidRPr="00860C07" w:rsidRDefault="00143A90" w:rsidP="00143A90">
      <w:pPr>
        <w:pStyle w:val="ListParagraph"/>
        <w:numPr>
          <w:ilvl w:val="0"/>
          <w:numId w:val="13"/>
        </w:numPr>
        <w:overflowPunct/>
        <w:autoSpaceDE/>
        <w:autoSpaceDN/>
        <w:adjustRightInd/>
        <w:spacing w:after="0" w:line="360" w:lineRule="auto"/>
        <w:contextualSpacing/>
        <w:textAlignment w:val="auto"/>
        <w:rPr>
          <w:rFonts w:ascii="Times New Roman" w:hAnsi="Times New Roman"/>
          <w:sz w:val="26"/>
          <w:szCs w:val="26"/>
        </w:rPr>
      </w:pPr>
      <w:r w:rsidRPr="00860C07">
        <w:rPr>
          <w:rFonts w:ascii="Times New Roman" w:hAnsi="Times New Roman"/>
          <w:sz w:val="26"/>
          <w:szCs w:val="26"/>
        </w:rPr>
        <w:t xml:space="preserve">Calculation based on an </w:t>
      </w:r>
      <w:r w:rsidRPr="00860C07">
        <w:rPr>
          <w:rFonts w:ascii="Times New Roman" w:hAnsi="Times New Roman"/>
          <w:i/>
          <w:sz w:val="26"/>
          <w:szCs w:val="26"/>
        </w:rPr>
        <w:t>in situ</w:t>
      </w:r>
      <w:r w:rsidRPr="00860C07">
        <w:rPr>
          <w:rFonts w:ascii="Times New Roman" w:hAnsi="Times New Roman"/>
          <w:sz w:val="26"/>
          <w:szCs w:val="26"/>
        </w:rPr>
        <w:t xml:space="preserve"> metering study conducted in Pennsylvania.</w:t>
      </w:r>
    </w:p>
    <w:p w:rsidR="00143A90" w:rsidRPr="00860C07" w:rsidRDefault="00143A90" w:rsidP="00143A90">
      <w:pPr>
        <w:spacing w:line="360" w:lineRule="auto"/>
        <w:jc w:val="both"/>
        <w:rPr>
          <w:sz w:val="26"/>
          <w:szCs w:val="26"/>
        </w:rPr>
      </w:pPr>
    </w:p>
    <w:p w:rsidR="00143A90" w:rsidRPr="00860C07" w:rsidRDefault="00143A90" w:rsidP="00143A90">
      <w:pPr>
        <w:spacing w:line="360" w:lineRule="auto"/>
        <w:ind w:firstLine="720"/>
        <w:rPr>
          <w:sz w:val="26"/>
          <w:szCs w:val="26"/>
        </w:rPr>
      </w:pPr>
      <w:r w:rsidRPr="00860C07">
        <w:rPr>
          <w:sz w:val="26"/>
          <w:szCs w:val="26"/>
        </w:rPr>
        <w:t xml:space="preserve">After reviewing the advantages and disadvantages of these three methods, the Commission proposes the use of the second method, a regression analysis of metered data from other states, to determine deemed kWh savings for removed and/or replaced refrigerators and freezers. </w:t>
      </w:r>
    </w:p>
    <w:p w:rsidR="00143A90" w:rsidRPr="00860C07" w:rsidRDefault="00143A90" w:rsidP="00143A90">
      <w:pPr>
        <w:spacing w:line="360" w:lineRule="auto"/>
        <w:jc w:val="both"/>
        <w:rPr>
          <w:sz w:val="26"/>
          <w:szCs w:val="26"/>
        </w:rPr>
      </w:pPr>
    </w:p>
    <w:p w:rsidR="00143A90" w:rsidRPr="00860C07" w:rsidRDefault="00143A90" w:rsidP="00143A90">
      <w:pPr>
        <w:spacing w:line="360" w:lineRule="auto"/>
        <w:ind w:firstLine="720"/>
        <w:rPr>
          <w:sz w:val="26"/>
          <w:szCs w:val="26"/>
        </w:rPr>
      </w:pPr>
      <w:r w:rsidRPr="00860C07">
        <w:rPr>
          <w:sz w:val="26"/>
          <w:szCs w:val="26"/>
        </w:rPr>
        <w:t>The Commission proposes to report deemed energy savings for refrigerators/freezers for the following three scenarios:</w:t>
      </w:r>
    </w:p>
    <w:p w:rsidR="00143A90" w:rsidRPr="00860C07" w:rsidRDefault="00143A90" w:rsidP="00143A90">
      <w:pPr>
        <w:pStyle w:val="ListParagraph"/>
        <w:numPr>
          <w:ilvl w:val="0"/>
          <w:numId w:val="14"/>
        </w:numPr>
        <w:overflowPunct/>
        <w:autoSpaceDE/>
        <w:autoSpaceDN/>
        <w:adjustRightInd/>
        <w:spacing w:after="0" w:line="360" w:lineRule="auto"/>
        <w:contextualSpacing/>
        <w:rPr>
          <w:rFonts w:ascii="Times New Roman" w:hAnsi="Times New Roman"/>
          <w:sz w:val="26"/>
          <w:szCs w:val="26"/>
        </w:rPr>
      </w:pPr>
      <w:r w:rsidRPr="00860C07">
        <w:rPr>
          <w:rFonts w:ascii="Times New Roman" w:hAnsi="Times New Roman"/>
          <w:sz w:val="26"/>
          <w:szCs w:val="26"/>
        </w:rPr>
        <w:t>Refrigerator/freezer removed but not replaced;</w:t>
      </w:r>
    </w:p>
    <w:p w:rsidR="00143A90" w:rsidRPr="00860C07" w:rsidRDefault="00143A90" w:rsidP="00143A90">
      <w:pPr>
        <w:pStyle w:val="ListParagraph"/>
        <w:numPr>
          <w:ilvl w:val="0"/>
          <w:numId w:val="14"/>
        </w:numPr>
        <w:overflowPunct/>
        <w:autoSpaceDE/>
        <w:autoSpaceDN/>
        <w:adjustRightInd/>
        <w:spacing w:after="0" w:line="360" w:lineRule="auto"/>
        <w:contextualSpacing/>
        <w:rPr>
          <w:rFonts w:ascii="Times New Roman" w:hAnsi="Times New Roman"/>
          <w:sz w:val="26"/>
          <w:szCs w:val="26"/>
        </w:rPr>
      </w:pPr>
      <w:r w:rsidRPr="00860C07">
        <w:rPr>
          <w:rFonts w:ascii="Times New Roman" w:hAnsi="Times New Roman"/>
          <w:sz w:val="26"/>
          <w:szCs w:val="26"/>
        </w:rPr>
        <w:t>Refrigerator/freezer removed and replaced with an ENERGY STAR unit; and</w:t>
      </w:r>
    </w:p>
    <w:p w:rsidR="00143A90" w:rsidRDefault="00143A90" w:rsidP="00143A90">
      <w:pPr>
        <w:pStyle w:val="ListParagraph"/>
        <w:numPr>
          <w:ilvl w:val="0"/>
          <w:numId w:val="14"/>
        </w:numPr>
        <w:overflowPunct/>
        <w:autoSpaceDE/>
        <w:autoSpaceDN/>
        <w:adjustRightInd/>
        <w:spacing w:after="0" w:line="360" w:lineRule="auto"/>
        <w:contextualSpacing/>
        <w:rPr>
          <w:rFonts w:ascii="Times New Roman" w:hAnsi="Times New Roman"/>
          <w:sz w:val="26"/>
          <w:szCs w:val="26"/>
        </w:rPr>
      </w:pPr>
      <w:r w:rsidRPr="00860C07">
        <w:rPr>
          <w:rFonts w:ascii="Times New Roman" w:hAnsi="Times New Roman"/>
          <w:sz w:val="26"/>
          <w:szCs w:val="26"/>
        </w:rPr>
        <w:t>Refrigerator/freezer removed and replaced with a non-ENERGY STAR unit.</w:t>
      </w:r>
    </w:p>
    <w:p w:rsidR="00951987" w:rsidRDefault="00951987" w:rsidP="00A47DBE">
      <w:pPr>
        <w:pStyle w:val="p3"/>
        <w:tabs>
          <w:tab w:val="clear" w:pos="204"/>
          <w:tab w:val="left" w:pos="0"/>
          <w:tab w:val="left" w:pos="720"/>
        </w:tabs>
        <w:spacing w:line="360" w:lineRule="auto"/>
        <w:ind w:left="2160"/>
        <w:outlineLvl w:val="3"/>
        <w:rPr>
          <w:b/>
          <w:sz w:val="26"/>
          <w:szCs w:val="26"/>
        </w:rPr>
      </w:pPr>
    </w:p>
    <w:p w:rsidR="0033671A" w:rsidRDefault="0033671A" w:rsidP="00A47DBE">
      <w:pPr>
        <w:pStyle w:val="p3"/>
        <w:tabs>
          <w:tab w:val="clear" w:pos="204"/>
          <w:tab w:val="left" w:pos="0"/>
          <w:tab w:val="left" w:pos="720"/>
        </w:tabs>
        <w:spacing w:line="360" w:lineRule="auto"/>
        <w:ind w:left="2160"/>
        <w:outlineLvl w:val="3"/>
        <w:rPr>
          <w:b/>
          <w:sz w:val="26"/>
          <w:szCs w:val="26"/>
        </w:rPr>
      </w:pPr>
    </w:p>
    <w:p w:rsidR="0033671A" w:rsidRDefault="0033671A" w:rsidP="00A47DBE">
      <w:pPr>
        <w:pStyle w:val="p3"/>
        <w:tabs>
          <w:tab w:val="clear" w:pos="204"/>
          <w:tab w:val="left" w:pos="0"/>
          <w:tab w:val="left" w:pos="720"/>
        </w:tabs>
        <w:spacing w:line="360" w:lineRule="auto"/>
        <w:ind w:left="2160"/>
        <w:outlineLvl w:val="3"/>
        <w:rPr>
          <w:b/>
          <w:sz w:val="26"/>
          <w:szCs w:val="26"/>
        </w:rPr>
      </w:pPr>
    </w:p>
    <w:p w:rsidR="0033671A" w:rsidRDefault="0033671A" w:rsidP="00A47DBE">
      <w:pPr>
        <w:pStyle w:val="p3"/>
        <w:tabs>
          <w:tab w:val="clear" w:pos="204"/>
          <w:tab w:val="left" w:pos="0"/>
          <w:tab w:val="left" w:pos="720"/>
        </w:tabs>
        <w:spacing w:line="360" w:lineRule="auto"/>
        <w:ind w:left="2160"/>
        <w:outlineLvl w:val="3"/>
        <w:rPr>
          <w:b/>
          <w:sz w:val="26"/>
          <w:szCs w:val="26"/>
        </w:rPr>
      </w:pPr>
    </w:p>
    <w:p w:rsidR="008C550B" w:rsidRPr="00A47DBE" w:rsidRDefault="008C550B" w:rsidP="008C550B">
      <w:pPr>
        <w:pStyle w:val="p3"/>
        <w:numPr>
          <w:ilvl w:val="3"/>
          <w:numId w:val="10"/>
        </w:numPr>
        <w:tabs>
          <w:tab w:val="clear" w:pos="204"/>
          <w:tab w:val="left" w:pos="0"/>
          <w:tab w:val="left" w:pos="720"/>
        </w:tabs>
        <w:spacing w:line="360" w:lineRule="auto"/>
        <w:ind w:left="2160" w:hanging="720"/>
        <w:outlineLvl w:val="3"/>
        <w:rPr>
          <w:b/>
          <w:sz w:val="26"/>
          <w:szCs w:val="26"/>
        </w:rPr>
      </w:pPr>
      <w:bookmarkStart w:id="18" w:name="_Toc334175006"/>
      <w:r w:rsidRPr="00A47DBE">
        <w:rPr>
          <w:b/>
          <w:sz w:val="26"/>
          <w:szCs w:val="26"/>
        </w:rPr>
        <w:lastRenderedPageBreak/>
        <w:t>Refrigerator Deemed Savings</w:t>
      </w:r>
      <w:bookmarkEnd w:id="18"/>
    </w:p>
    <w:p w:rsidR="008C550B" w:rsidRPr="00A47DBE" w:rsidRDefault="008C550B" w:rsidP="008C550B">
      <w:pPr>
        <w:spacing w:line="360" w:lineRule="auto"/>
        <w:rPr>
          <w:sz w:val="26"/>
          <w:szCs w:val="26"/>
        </w:rPr>
      </w:pPr>
    </w:p>
    <w:p w:rsidR="00143A90" w:rsidRPr="00860C07" w:rsidRDefault="00143A90" w:rsidP="00143A90">
      <w:pPr>
        <w:spacing w:line="360" w:lineRule="auto"/>
        <w:ind w:firstLine="720"/>
        <w:rPr>
          <w:sz w:val="26"/>
          <w:szCs w:val="26"/>
        </w:rPr>
      </w:pPr>
      <w:r w:rsidRPr="00860C07">
        <w:rPr>
          <w:sz w:val="26"/>
          <w:szCs w:val="26"/>
        </w:rPr>
        <w:t>The SWE and Commission Staff reviewed multiple documents and data sources</w:t>
      </w:r>
      <w:r w:rsidRPr="00860C07">
        <w:rPr>
          <w:rStyle w:val="FootnoteReference"/>
          <w:sz w:val="26"/>
          <w:szCs w:val="26"/>
        </w:rPr>
        <w:footnoteReference w:id="77"/>
      </w:r>
      <w:r w:rsidRPr="00860C07">
        <w:rPr>
          <w:sz w:val="26"/>
          <w:szCs w:val="26"/>
          <w:vertAlign w:val="superscript"/>
        </w:rPr>
        <w:t>,</w:t>
      </w:r>
      <w:r w:rsidRPr="00860C07">
        <w:rPr>
          <w:rStyle w:val="FootnoteReference"/>
          <w:sz w:val="26"/>
          <w:szCs w:val="26"/>
        </w:rPr>
        <w:footnoteReference w:id="78"/>
      </w:r>
      <w:r w:rsidRPr="00860C07">
        <w:rPr>
          <w:sz w:val="26"/>
          <w:szCs w:val="26"/>
          <w:vertAlign w:val="superscript"/>
        </w:rPr>
        <w:t>,</w:t>
      </w:r>
      <w:r w:rsidRPr="00860C07">
        <w:rPr>
          <w:rStyle w:val="FootnoteReference"/>
          <w:sz w:val="26"/>
          <w:szCs w:val="26"/>
        </w:rPr>
        <w:footnoteReference w:id="79"/>
      </w:r>
      <w:r w:rsidRPr="00860C07">
        <w:rPr>
          <w:sz w:val="26"/>
          <w:szCs w:val="26"/>
          <w:vertAlign w:val="superscript"/>
        </w:rPr>
        <w:t>,</w:t>
      </w:r>
      <w:r w:rsidRPr="00860C07">
        <w:rPr>
          <w:rStyle w:val="FootnoteReference"/>
          <w:sz w:val="26"/>
          <w:szCs w:val="26"/>
        </w:rPr>
        <w:footnoteReference w:id="80"/>
      </w:r>
      <w:r w:rsidRPr="00860C07">
        <w:rPr>
          <w:sz w:val="26"/>
          <w:szCs w:val="26"/>
        </w:rPr>
        <w:t xml:space="preserve"> to obtain the regression equation used to develop the proposed deemed savings</w:t>
      </w:r>
      <w:r w:rsidRPr="00860C07">
        <w:rPr>
          <w:rStyle w:val="FootnoteReference"/>
          <w:sz w:val="26"/>
          <w:szCs w:val="26"/>
        </w:rPr>
        <w:footnoteReference w:id="81"/>
      </w:r>
      <w:r w:rsidRPr="00860C07">
        <w:rPr>
          <w:sz w:val="26"/>
          <w:szCs w:val="26"/>
        </w:rPr>
        <w:t xml:space="preserve"> for removal and/or replacement of a refrigerator in Pennsylvania.  After reviewing approaches by other jurisdictions, the Commission proposes to use the regression equation from the US DOE Uniform Methods Project for the 2013 TRM as the basis for deemed savings for refrigerator removal/replacement. </w:t>
      </w:r>
    </w:p>
    <w:p w:rsidR="008C550B" w:rsidRDefault="008C550B" w:rsidP="008C550B">
      <w:pPr>
        <w:spacing w:line="360" w:lineRule="auto"/>
        <w:ind w:firstLine="720"/>
        <w:rPr>
          <w:sz w:val="26"/>
          <w:szCs w:val="26"/>
        </w:rPr>
      </w:pPr>
    </w:p>
    <w:p w:rsidR="0033671A" w:rsidRDefault="0033671A" w:rsidP="008C550B">
      <w:pPr>
        <w:spacing w:line="360" w:lineRule="auto"/>
        <w:ind w:firstLine="720"/>
        <w:rPr>
          <w:sz w:val="26"/>
          <w:szCs w:val="26"/>
        </w:rPr>
      </w:pPr>
    </w:p>
    <w:p w:rsidR="0033671A" w:rsidRDefault="0033671A" w:rsidP="008C550B">
      <w:pPr>
        <w:spacing w:line="360" w:lineRule="auto"/>
        <w:ind w:firstLine="720"/>
        <w:rPr>
          <w:sz w:val="26"/>
          <w:szCs w:val="26"/>
        </w:rPr>
      </w:pPr>
    </w:p>
    <w:p w:rsidR="0033671A" w:rsidRDefault="0033671A" w:rsidP="008C550B">
      <w:pPr>
        <w:spacing w:line="360" w:lineRule="auto"/>
        <w:ind w:firstLine="720"/>
        <w:rPr>
          <w:sz w:val="26"/>
          <w:szCs w:val="26"/>
        </w:rPr>
      </w:pPr>
    </w:p>
    <w:p w:rsidR="0033671A" w:rsidRDefault="0033671A" w:rsidP="008C550B">
      <w:pPr>
        <w:spacing w:line="360" w:lineRule="auto"/>
        <w:ind w:firstLine="720"/>
        <w:rPr>
          <w:sz w:val="26"/>
          <w:szCs w:val="26"/>
        </w:rPr>
      </w:pPr>
    </w:p>
    <w:p w:rsidR="0033671A" w:rsidRPr="00A47DBE" w:rsidRDefault="0033671A" w:rsidP="008C550B">
      <w:pPr>
        <w:spacing w:line="360" w:lineRule="auto"/>
        <w:ind w:firstLine="720"/>
        <w:rPr>
          <w:sz w:val="26"/>
          <w:szCs w:val="26"/>
        </w:rPr>
      </w:pPr>
    </w:p>
    <w:p w:rsidR="008C550B" w:rsidRPr="00A47DBE" w:rsidRDefault="008C550B" w:rsidP="008C550B">
      <w:pPr>
        <w:pStyle w:val="p3"/>
        <w:tabs>
          <w:tab w:val="clear" w:pos="204"/>
          <w:tab w:val="left" w:pos="0"/>
          <w:tab w:val="left" w:pos="720"/>
        </w:tabs>
        <w:spacing w:line="360" w:lineRule="auto"/>
        <w:ind w:left="2880" w:hanging="720"/>
        <w:outlineLvl w:val="4"/>
        <w:rPr>
          <w:b/>
          <w:sz w:val="26"/>
          <w:szCs w:val="26"/>
        </w:rPr>
      </w:pPr>
      <w:bookmarkStart w:id="19" w:name="_Toc334175007"/>
      <w:r w:rsidRPr="00A47DBE">
        <w:rPr>
          <w:b/>
          <w:sz w:val="26"/>
          <w:szCs w:val="26"/>
        </w:rPr>
        <w:lastRenderedPageBreak/>
        <w:t>i.</w:t>
      </w:r>
      <w:r w:rsidRPr="00A47DBE">
        <w:rPr>
          <w:b/>
          <w:sz w:val="26"/>
          <w:szCs w:val="26"/>
        </w:rPr>
        <w:tab/>
        <w:t>Refrigerators Removed but not Replaced</w:t>
      </w:r>
      <w:bookmarkEnd w:id="19"/>
    </w:p>
    <w:p w:rsidR="008C550B" w:rsidRPr="00A47DBE" w:rsidRDefault="008C550B" w:rsidP="008C550B">
      <w:pPr>
        <w:spacing w:line="360" w:lineRule="auto"/>
        <w:ind w:firstLine="720"/>
        <w:rPr>
          <w:sz w:val="26"/>
          <w:szCs w:val="26"/>
        </w:rPr>
      </w:pPr>
    </w:p>
    <w:p w:rsidR="00143A90" w:rsidRPr="00860C07" w:rsidRDefault="00143A90" w:rsidP="00143A90">
      <w:pPr>
        <w:spacing w:line="360" w:lineRule="auto"/>
        <w:ind w:firstLine="720"/>
        <w:rPr>
          <w:sz w:val="26"/>
          <w:szCs w:val="26"/>
        </w:rPr>
      </w:pPr>
      <w:r w:rsidRPr="00860C07">
        <w:rPr>
          <w:sz w:val="26"/>
          <w:szCs w:val="26"/>
        </w:rPr>
        <w:t>Using a regression analysis, the Commission proposes a unit energy consumption (UEC) of 967 kWh</w:t>
      </w:r>
      <w:r w:rsidRPr="00860C07">
        <w:rPr>
          <w:sz w:val="26"/>
          <w:szCs w:val="26"/>
          <w:vertAlign w:val="superscript"/>
        </w:rPr>
        <w:footnoteReference w:id="82"/>
      </w:r>
      <w:r w:rsidRPr="00860C07">
        <w:rPr>
          <w:sz w:val="26"/>
          <w:szCs w:val="26"/>
        </w:rPr>
        <w:t xml:space="preserve"> for refrigerators removed through the Act 129 refrigerator removal program, before adjustment with the part-use factor.  The Commission proposes a part-use factor of 96.9%.</w:t>
      </w:r>
      <w:r w:rsidRPr="00860C07">
        <w:rPr>
          <w:sz w:val="26"/>
          <w:szCs w:val="26"/>
          <w:vertAlign w:val="superscript"/>
        </w:rPr>
        <w:footnoteReference w:id="83"/>
      </w:r>
      <w:r w:rsidRPr="00860C07">
        <w:rPr>
          <w:sz w:val="26"/>
          <w:szCs w:val="26"/>
        </w:rPr>
        <w:t xml:space="preserve">  After adjustment for part use, the proposed deemed kWh savings per refrigerator are 937 kWh annually for a refrigerator that is removed but not replaced.  The refrigerator summer pea</w:t>
      </w:r>
      <w:r>
        <w:rPr>
          <w:sz w:val="26"/>
          <w:szCs w:val="26"/>
        </w:rPr>
        <w:t>k demand deemed savings is 0.116</w:t>
      </w:r>
      <w:r w:rsidRPr="00860C07">
        <w:rPr>
          <w:sz w:val="26"/>
          <w:szCs w:val="26"/>
        </w:rPr>
        <w:t xml:space="preserve"> kW.</w:t>
      </w:r>
    </w:p>
    <w:p w:rsidR="00143A90" w:rsidRPr="00860C07" w:rsidRDefault="00143A90" w:rsidP="00143A90">
      <w:pPr>
        <w:spacing w:line="360" w:lineRule="auto"/>
        <w:ind w:firstLine="720"/>
        <w:rPr>
          <w:sz w:val="26"/>
          <w:szCs w:val="26"/>
        </w:rPr>
      </w:pPr>
    </w:p>
    <w:p w:rsidR="00143A90" w:rsidRPr="00860C07" w:rsidRDefault="00143A90" w:rsidP="00143A90">
      <w:pPr>
        <w:spacing w:line="360" w:lineRule="auto"/>
        <w:ind w:firstLine="720"/>
        <w:rPr>
          <w:sz w:val="26"/>
          <w:szCs w:val="26"/>
        </w:rPr>
      </w:pPr>
      <w:r w:rsidRPr="00860C07">
        <w:rPr>
          <w:sz w:val="26"/>
          <w:szCs w:val="26"/>
        </w:rPr>
        <w:t xml:space="preserve">The following methodology is used to calculate the proposed deemed energy savings value of 937 kWh annually: </w:t>
      </w:r>
    </w:p>
    <w:p w:rsidR="00143A90" w:rsidRPr="00860C07" w:rsidRDefault="00143A90" w:rsidP="00143A90">
      <w:pPr>
        <w:spacing w:line="360" w:lineRule="auto"/>
        <w:rPr>
          <w:sz w:val="26"/>
          <w:szCs w:val="26"/>
        </w:rPr>
      </w:pPr>
    </w:p>
    <w:p w:rsidR="00143A90" w:rsidRPr="00860C07" w:rsidRDefault="00143A90" w:rsidP="00143A90">
      <w:pPr>
        <w:spacing w:line="360" w:lineRule="auto"/>
        <w:ind w:firstLine="720"/>
        <w:rPr>
          <w:sz w:val="26"/>
          <w:szCs w:val="26"/>
        </w:rPr>
      </w:pPr>
      <w:r w:rsidRPr="00860C07">
        <w:rPr>
          <w:sz w:val="26"/>
          <w:szCs w:val="26"/>
        </w:rPr>
        <w:t>DEEMED_kWh</w:t>
      </w:r>
      <w:r w:rsidRPr="00860C07">
        <w:rPr>
          <w:sz w:val="26"/>
          <w:szCs w:val="26"/>
          <w:vertAlign w:val="subscript"/>
        </w:rPr>
        <w:t>saved</w:t>
      </w:r>
      <w:r w:rsidRPr="00860C07">
        <w:rPr>
          <w:sz w:val="26"/>
          <w:szCs w:val="26"/>
        </w:rPr>
        <w:t xml:space="preserve"> Per Unit</w:t>
      </w:r>
      <w:r w:rsidRPr="00860C07">
        <w:rPr>
          <w:sz w:val="26"/>
          <w:szCs w:val="26"/>
        </w:rPr>
        <w:tab/>
        <w:t xml:space="preserve">= EXISTING_UEC * PART_USE </w:t>
      </w:r>
    </w:p>
    <w:p w:rsidR="00143A90" w:rsidRPr="00860C07" w:rsidRDefault="00143A90" w:rsidP="00143A90">
      <w:pPr>
        <w:spacing w:line="360" w:lineRule="auto"/>
        <w:rPr>
          <w:sz w:val="26"/>
          <w:szCs w:val="26"/>
        </w:rPr>
      </w:pPr>
    </w:p>
    <w:p w:rsidR="00143A90" w:rsidRPr="00860C07" w:rsidRDefault="00143A90" w:rsidP="00143A90">
      <w:pPr>
        <w:spacing w:line="360" w:lineRule="auto"/>
        <w:ind w:firstLine="720"/>
        <w:rPr>
          <w:sz w:val="26"/>
          <w:szCs w:val="26"/>
        </w:rPr>
      </w:pPr>
      <w:r w:rsidRPr="00860C07">
        <w:rPr>
          <w:sz w:val="26"/>
          <w:szCs w:val="26"/>
        </w:rPr>
        <w:t>Where:</w:t>
      </w:r>
    </w:p>
    <w:p w:rsidR="00143A90" w:rsidRPr="00860C07" w:rsidRDefault="00143A90" w:rsidP="00143A90">
      <w:pPr>
        <w:spacing w:line="360" w:lineRule="auto"/>
        <w:ind w:firstLine="720"/>
        <w:rPr>
          <w:sz w:val="26"/>
          <w:szCs w:val="26"/>
        </w:rPr>
      </w:pPr>
    </w:p>
    <w:p w:rsidR="00143A90" w:rsidRPr="00860C07" w:rsidRDefault="00143A90" w:rsidP="00143A90">
      <w:pPr>
        <w:spacing w:line="360" w:lineRule="auto"/>
        <w:ind w:left="3600" w:hanging="2880"/>
        <w:rPr>
          <w:sz w:val="26"/>
          <w:szCs w:val="26"/>
        </w:rPr>
      </w:pPr>
      <w:r w:rsidRPr="00860C07">
        <w:rPr>
          <w:sz w:val="26"/>
          <w:szCs w:val="26"/>
        </w:rPr>
        <w:t xml:space="preserve">DEEMED_kWhsaved </w:t>
      </w:r>
      <w:r w:rsidRPr="00860C07">
        <w:rPr>
          <w:sz w:val="26"/>
          <w:szCs w:val="26"/>
        </w:rPr>
        <w:tab/>
        <w:t>= Annual electricity savings per unit measured in kilowatt hours after adjustment for part-use factor.</w:t>
      </w:r>
    </w:p>
    <w:p w:rsidR="00143A90" w:rsidRPr="00860C07" w:rsidRDefault="00143A90" w:rsidP="00143A90">
      <w:pPr>
        <w:spacing w:line="360" w:lineRule="auto"/>
        <w:ind w:left="2880" w:hanging="2160"/>
        <w:rPr>
          <w:sz w:val="26"/>
          <w:szCs w:val="26"/>
        </w:rPr>
      </w:pPr>
      <w:r w:rsidRPr="00860C07">
        <w:rPr>
          <w:sz w:val="26"/>
          <w:szCs w:val="26"/>
        </w:rPr>
        <w:t xml:space="preserve">EXISTING_UEC </w:t>
      </w:r>
      <w:r w:rsidRPr="00860C07">
        <w:rPr>
          <w:sz w:val="26"/>
          <w:szCs w:val="26"/>
        </w:rPr>
        <w:tab/>
        <w:t xml:space="preserve">= The average annual unit energy consumption of participating refrigerators.  The PY3 value is 966.996 kWh. </w:t>
      </w:r>
    </w:p>
    <w:p w:rsidR="00143A90" w:rsidRPr="00860C07" w:rsidRDefault="00143A90" w:rsidP="00143A90">
      <w:pPr>
        <w:spacing w:line="360" w:lineRule="auto"/>
        <w:ind w:left="2880" w:hanging="2160"/>
        <w:rPr>
          <w:sz w:val="26"/>
          <w:szCs w:val="26"/>
        </w:rPr>
      </w:pPr>
      <w:r w:rsidRPr="00860C07">
        <w:rPr>
          <w:sz w:val="26"/>
          <w:szCs w:val="26"/>
        </w:rPr>
        <w:t>PART_USE</w:t>
      </w:r>
      <w:r w:rsidRPr="00860C07">
        <w:rPr>
          <w:sz w:val="26"/>
          <w:szCs w:val="26"/>
        </w:rPr>
        <w:tab/>
        <w:t>= The portion of the year the average refrigerator would likely have operated if not recycled through the program.  For PY3, the average refrigerator was plugged in 96.9% of the year.</w:t>
      </w:r>
    </w:p>
    <w:p w:rsidR="00143A90" w:rsidRPr="00860C07" w:rsidRDefault="00143A90" w:rsidP="00143A90">
      <w:pPr>
        <w:spacing w:line="360" w:lineRule="auto"/>
        <w:jc w:val="both"/>
        <w:rPr>
          <w:sz w:val="26"/>
          <w:szCs w:val="26"/>
        </w:rPr>
      </w:pPr>
    </w:p>
    <w:p w:rsidR="00143A90" w:rsidRPr="00860C07" w:rsidRDefault="00143A90" w:rsidP="00143A90">
      <w:pPr>
        <w:spacing w:line="360" w:lineRule="auto"/>
        <w:ind w:firstLine="720"/>
        <w:rPr>
          <w:sz w:val="26"/>
          <w:szCs w:val="26"/>
        </w:rPr>
      </w:pPr>
      <w:r w:rsidRPr="00860C07">
        <w:rPr>
          <w:sz w:val="26"/>
          <w:szCs w:val="26"/>
        </w:rPr>
        <w:lastRenderedPageBreak/>
        <w:t>For removed refrigerators, the annual UEC is based upon a regression analysis of data from 452 refrigerators metered and recycled through five utilities:</w:t>
      </w:r>
      <w:r w:rsidRPr="00860C07">
        <w:rPr>
          <w:sz w:val="26"/>
          <w:szCs w:val="26"/>
          <w:vertAlign w:val="superscript"/>
        </w:rPr>
        <w:footnoteReference w:id="84"/>
      </w:r>
    </w:p>
    <w:p w:rsidR="00143A90" w:rsidRPr="00860C07" w:rsidRDefault="00143A90" w:rsidP="00143A90">
      <w:pPr>
        <w:spacing w:line="360" w:lineRule="auto"/>
        <w:rPr>
          <w:sz w:val="26"/>
          <w:szCs w:val="26"/>
        </w:rPr>
      </w:pPr>
      <w:r w:rsidRPr="00860C07">
        <w:rPr>
          <w:sz w:val="26"/>
          <w:szCs w:val="26"/>
        </w:rPr>
        <w:tab/>
      </w:r>
    </w:p>
    <w:p w:rsidR="00143A90" w:rsidRPr="00860C07" w:rsidRDefault="00143A90" w:rsidP="00143A90">
      <w:pPr>
        <w:spacing w:line="360" w:lineRule="auto"/>
        <w:ind w:firstLine="720"/>
        <w:rPr>
          <w:sz w:val="26"/>
          <w:szCs w:val="26"/>
        </w:rPr>
      </w:pPr>
      <w:r w:rsidRPr="00860C07">
        <w:rPr>
          <w:sz w:val="26"/>
          <w:szCs w:val="26"/>
        </w:rPr>
        <w:t>Existing UEC</w:t>
      </w:r>
    </w:p>
    <w:p w:rsidR="00143A90" w:rsidRPr="00860C07" w:rsidRDefault="00143A90" w:rsidP="00143A90">
      <w:pPr>
        <w:spacing w:line="360" w:lineRule="auto"/>
        <w:ind w:firstLine="720"/>
        <w:rPr>
          <w:sz w:val="26"/>
          <w:szCs w:val="26"/>
        </w:rPr>
      </w:pPr>
      <w:r w:rsidRPr="00860C07">
        <w:rPr>
          <w:sz w:val="26"/>
          <w:szCs w:val="26"/>
        </w:rPr>
        <w:tab/>
      </w:r>
      <w:r w:rsidRPr="00860C07">
        <w:rPr>
          <w:sz w:val="26"/>
          <w:szCs w:val="26"/>
        </w:rPr>
        <w:tab/>
        <w:t>= 365.25 * [0.487 + 0.015 * (26.617 years) + 0.782</w:t>
      </w:r>
    </w:p>
    <w:p w:rsidR="00143A90" w:rsidRPr="00860C07" w:rsidRDefault="00143A90" w:rsidP="00143A90">
      <w:pPr>
        <w:spacing w:line="360" w:lineRule="auto"/>
        <w:ind w:firstLine="720"/>
        <w:rPr>
          <w:sz w:val="26"/>
          <w:szCs w:val="26"/>
        </w:rPr>
      </w:pPr>
      <w:r w:rsidRPr="00860C07">
        <w:rPr>
          <w:sz w:val="26"/>
          <w:szCs w:val="26"/>
        </w:rPr>
        <w:tab/>
      </w:r>
      <w:r w:rsidRPr="00860C07">
        <w:rPr>
          <w:sz w:val="26"/>
          <w:szCs w:val="26"/>
        </w:rPr>
        <w:tab/>
        <w:t>* (65.8% manufactured before 1990) + 0.084 * (17.870 ft</w:t>
      </w:r>
      <w:r w:rsidRPr="00860C07">
        <w:rPr>
          <w:sz w:val="26"/>
          <w:szCs w:val="26"/>
          <w:vertAlign w:val="superscript"/>
        </w:rPr>
        <w:t>3</w:t>
      </w:r>
      <w:r w:rsidRPr="00860C07">
        <w:rPr>
          <w:sz w:val="26"/>
          <w:szCs w:val="26"/>
        </w:rPr>
        <w:t>) – 1.442</w:t>
      </w:r>
    </w:p>
    <w:p w:rsidR="00143A90" w:rsidRPr="00860C07" w:rsidRDefault="00143A90" w:rsidP="00143A90">
      <w:pPr>
        <w:spacing w:line="360" w:lineRule="auto"/>
        <w:ind w:left="2160"/>
        <w:rPr>
          <w:sz w:val="26"/>
          <w:szCs w:val="26"/>
        </w:rPr>
      </w:pPr>
      <w:r w:rsidRPr="00860C07">
        <w:rPr>
          <w:sz w:val="26"/>
          <w:szCs w:val="26"/>
        </w:rPr>
        <w:t>* (9.25% single door units) + 1.090 * (16.1% side – by – side) + 0.544 * (22.6% primary usage) + 0.02 * (3.347 unconditioned CDDs) – 0.045 * (10.791 unconditioned HDDs)] = 966.996</w:t>
      </w:r>
    </w:p>
    <w:p w:rsidR="00143A90" w:rsidRPr="00860C07" w:rsidRDefault="00143A90" w:rsidP="00143A90">
      <w:pPr>
        <w:spacing w:line="360" w:lineRule="auto"/>
        <w:rPr>
          <w:sz w:val="26"/>
          <w:szCs w:val="26"/>
        </w:rPr>
      </w:pPr>
    </w:p>
    <w:p w:rsidR="00143A90" w:rsidRPr="00860C07" w:rsidRDefault="00143A90" w:rsidP="00143A90">
      <w:pPr>
        <w:spacing w:line="360" w:lineRule="auto"/>
        <w:ind w:firstLine="720"/>
        <w:rPr>
          <w:sz w:val="26"/>
          <w:szCs w:val="26"/>
        </w:rPr>
      </w:pPr>
      <w:r w:rsidRPr="00860C07">
        <w:rPr>
          <w:sz w:val="26"/>
          <w:szCs w:val="26"/>
        </w:rPr>
        <w:t>The Commission proposes using the above regression equation based on</w:t>
      </w:r>
      <w:r w:rsidRPr="00860C07">
        <w:rPr>
          <w:i/>
          <w:sz w:val="26"/>
          <w:szCs w:val="26"/>
        </w:rPr>
        <w:t xml:space="preserve"> in situ </w:t>
      </w:r>
      <w:r w:rsidRPr="00860C07">
        <w:rPr>
          <w:sz w:val="26"/>
          <w:szCs w:val="26"/>
        </w:rPr>
        <w:t xml:space="preserve">metering study results from these five other utilities as an </w:t>
      </w:r>
      <w:r w:rsidRPr="00860C07">
        <w:rPr>
          <w:i/>
          <w:sz w:val="26"/>
          <w:szCs w:val="26"/>
        </w:rPr>
        <w:t>in situ</w:t>
      </w:r>
      <w:r w:rsidRPr="00860C07">
        <w:rPr>
          <w:sz w:val="26"/>
          <w:szCs w:val="26"/>
        </w:rPr>
        <w:t xml:space="preserve"> metering study for Pennsylvania is not currently available.  The Commission has computed the values that are needed as inputs to the regression equation based on Act 129 Program Year Three (PY3) data for removed refrigerators.  Once these input values were determined, they were substituted into the above equation in order to estimate the UEC for removed refrigerators.  The details related to equation inputs and values</w:t>
      </w:r>
      <w:r w:rsidRPr="00860C07">
        <w:rPr>
          <w:sz w:val="26"/>
          <w:szCs w:val="26"/>
          <w:vertAlign w:val="superscript"/>
        </w:rPr>
        <w:footnoteReference w:id="85"/>
      </w:r>
      <w:r w:rsidRPr="00860C07">
        <w:rPr>
          <w:sz w:val="26"/>
          <w:szCs w:val="26"/>
        </w:rPr>
        <w:t xml:space="preserve"> used to calculate the UEC for removed refrigerators is described in more detail in the proposed 2013 TRM. </w:t>
      </w:r>
    </w:p>
    <w:p w:rsidR="00143A90" w:rsidRPr="00860C07" w:rsidRDefault="00143A90" w:rsidP="00143A90">
      <w:pPr>
        <w:spacing w:line="360" w:lineRule="auto"/>
        <w:jc w:val="both"/>
        <w:rPr>
          <w:sz w:val="26"/>
          <w:szCs w:val="26"/>
        </w:rPr>
      </w:pPr>
    </w:p>
    <w:p w:rsidR="00143A90" w:rsidRPr="00860C07" w:rsidRDefault="00143A90" w:rsidP="00143A90">
      <w:pPr>
        <w:spacing w:line="360" w:lineRule="auto"/>
        <w:ind w:firstLine="720"/>
        <w:rPr>
          <w:sz w:val="26"/>
          <w:szCs w:val="26"/>
        </w:rPr>
      </w:pPr>
      <w:r w:rsidRPr="00860C07">
        <w:rPr>
          <w:sz w:val="26"/>
          <w:szCs w:val="26"/>
        </w:rPr>
        <w:t>When calculating per-unit deemed kWh savings for a removed refrigerator, it is necessary to calculate and apply a “part-use” factor.  Part-use is an appliance recycling-specific adjustment factor used to convert the UEC (determined through the methods detailed above) into an average per-unit deemed savings value.  The UEC itself is not equal to the deemed savings value, because the UEC model yields an estimate of annual consumption and not all recycled refrigerators would have operated year-round.</w:t>
      </w:r>
    </w:p>
    <w:p w:rsidR="00143A90" w:rsidRPr="00860C07" w:rsidRDefault="00143A90" w:rsidP="00143A90">
      <w:pPr>
        <w:spacing w:line="360" w:lineRule="auto"/>
        <w:jc w:val="both"/>
        <w:rPr>
          <w:sz w:val="26"/>
          <w:szCs w:val="26"/>
        </w:rPr>
      </w:pPr>
    </w:p>
    <w:p w:rsidR="00143A90" w:rsidRPr="00860C07" w:rsidRDefault="00143A90" w:rsidP="00143A90">
      <w:pPr>
        <w:spacing w:line="360" w:lineRule="auto"/>
        <w:ind w:firstLine="720"/>
        <w:rPr>
          <w:sz w:val="26"/>
          <w:szCs w:val="26"/>
        </w:rPr>
      </w:pPr>
      <w:r w:rsidRPr="00860C07">
        <w:rPr>
          <w:sz w:val="26"/>
          <w:szCs w:val="26"/>
        </w:rPr>
        <w:lastRenderedPageBreak/>
        <w:t xml:space="preserve">In PY3, the Commission determined that the average removed refrigerator was plugged in and used 96.9% of the year.  Thus, the deemed value the Commission proposes for the part-use factor is 96.9% based on PY3 data for all EDCs.  The Commission proposes that the EDCs be allowed the option of calculating their own territory-specific part-use factor.  In the event an EDC desires to calculate an EDC-specific part-use factor, the Commission proposes that, using participant surveys, EDC evaluators should determine the amount of time a removed refrigerator was plugged in. </w:t>
      </w:r>
    </w:p>
    <w:p w:rsidR="008C550B" w:rsidRPr="00A47DBE" w:rsidRDefault="008C550B" w:rsidP="008C550B">
      <w:pPr>
        <w:spacing w:line="360" w:lineRule="auto"/>
        <w:jc w:val="both"/>
        <w:rPr>
          <w:sz w:val="26"/>
          <w:szCs w:val="26"/>
        </w:rPr>
      </w:pPr>
    </w:p>
    <w:p w:rsidR="008C550B" w:rsidRPr="00A47DBE" w:rsidRDefault="008C550B" w:rsidP="00A47DBE">
      <w:pPr>
        <w:pStyle w:val="p3"/>
        <w:tabs>
          <w:tab w:val="clear" w:pos="204"/>
          <w:tab w:val="left" w:pos="0"/>
          <w:tab w:val="left" w:pos="720"/>
        </w:tabs>
        <w:ind w:left="2880" w:hanging="720"/>
        <w:outlineLvl w:val="4"/>
        <w:rPr>
          <w:b/>
          <w:sz w:val="26"/>
          <w:szCs w:val="26"/>
        </w:rPr>
      </w:pPr>
      <w:bookmarkStart w:id="20" w:name="_Toc334175008"/>
      <w:r w:rsidRPr="00A47DBE">
        <w:rPr>
          <w:b/>
          <w:sz w:val="26"/>
          <w:szCs w:val="26"/>
        </w:rPr>
        <w:t>ii.</w:t>
      </w:r>
      <w:r w:rsidRPr="00A47DBE">
        <w:rPr>
          <w:b/>
          <w:sz w:val="26"/>
          <w:szCs w:val="26"/>
        </w:rPr>
        <w:tab/>
        <w:t>Refrigerators Removed and Replaced</w:t>
      </w:r>
      <w:bookmarkEnd w:id="20"/>
      <w:r w:rsidRPr="00A47DBE">
        <w:rPr>
          <w:b/>
          <w:sz w:val="26"/>
          <w:szCs w:val="26"/>
        </w:rPr>
        <w:t xml:space="preserve"> </w:t>
      </w:r>
    </w:p>
    <w:p w:rsidR="008C550B" w:rsidRPr="00A47DBE" w:rsidRDefault="008C550B" w:rsidP="008C550B">
      <w:pPr>
        <w:spacing w:line="360" w:lineRule="auto"/>
        <w:jc w:val="both"/>
        <w:rPr>
          <w:sz w:val="26"/>
          <w:szCs w:val="26"/>
        </w:rPr>
      </w:pPr>
    </w:p>
    <w:p w:rsidR="00A47DBE" w:rsidRPr="00860C07" w:rsidRDefault="00A47DBE" w:rsidP="00A47DBE">
      <w:pPr>
        <w:spacing w:line="360" w:lineRule="auto"/>
        <w:ind w:firstLine="720"/>
        <w:rPr>
          <w:sz w:val="26"/>
          <w:szCs w:val="26"/>
        </w:rPr>
      </w:pPr>
      <w:r w:rsidRPr="00860C07">
        <w:rPr>
          <w:sz w:val="26"/>
          <w:szCs w:val="26"/>
        </w:rPr>
        <w:t>If a refrigerator is removed and replaced with a new ENERGY STAR unit, the proposed annual savings are 533 kWh.  If a refrigerator is removed and replaced with a new non-ENERGY STAR unit, the proposed annual savings are 417 kWh.  The following methodology is used to calculate an energy savings value of 533 kWh for refrigerators that are removed and replaced with new ENERGY STAR refrigerators and an energy savings value of 417 kWh for refrigerators that are removed and replaced with new non-ENERGY STAR refrigerators:</w:t>
      </w:r>
    </w:p>
    <w:p w:rsidR="00A47DBE" w:rsidRPr="00860C07" w:rsidRDefault="00A47DBE" w:rsidP="00A47DBE">
      <w:pPr>
        <w:spacing w:line="360" w:lineRule="auto"/>
        <w:rPr>
          <w:i/>
          <w:iCs/>
          <w:sz w:val="26"/>
          <w:szCs w:val="26"/>
        </w:rPr>
      </w:pPr>
    </w:p>
    <w:p w:rsidR="00A47DBE" w:rsidRPr="00860C07" w:rsidRDefault="00A47DBE" w:rsidP="00A47DBE">
      <w:pPr>
        <w:spacing w:line="360" w:lineRule="auto"/>
        <w:ind w:left="3600" w:hanging="2880"/>
        <w:rPr>
          <w:sz w:val="26"/>
          <w:szCs w:val="26"/>
        </w:rPr>
      </w:pPr>
      <w:r w:rsidRPr="00860C07">
        <w:rPr>
          <w:sz w:val="26"/>
          <w:szCs w:val="26"/>
        </w:rPr>
        <w:t>NET_kWh</w:t>
      </w:r>
      <w:r w:rsidRPr="00860C07">
        <w:rPr>
          <w:sz w:val="26"/>
          <w:szCs w:val="26"/>
          <w:vertAlign w:val="subscript"/>
        </w:rPr>
        <w:t>saved</w:t>
      </w:r>
      <w:r w:rsidRPr="00860C07">
        <w:rPr>
          <w:sz w:val="26"/>
          <w:szCs w:val="26"/>
        </w:rPr>
        <w:t xml:space="preserve"> Per Unit </w:t>
      </w:r>
      <w:r w:rsidRPr="00860C07">
        <w:rPr>
          <w:sz w:val="26"/>
          <w:szCs w:val="26"/>
        </w:rPr>
        <w:tab/>
        <w:t>= DEEMED kWh</w:t>
      </w:r>
      <w:r w:rsidRPr="00860C07">
        <w:rPr>
          <w:sz w:val="26"/>
          <w:szCs w:val="26"/>
          <w:vertAlign w:val="subscript"/>
        </w:rPr>
        <w:t>saved</w:t>
      </w:r>
      <w:r w:rsidRPr="00860C07">
        <w:rPr>
          <w:sz w:val="26"/>
          <w:szCs w:val="26"/>
        </w:rPr>
        <w:t xml:space="preserve"> Per Unit – (REPLACEMENTUEC * PART_USE)</w:t>
      </w:r>
    </w:p>
    <w:p w:rsidR="00A47DBE" w:rsidRPr="00860C07" w:rsidRDefault="00A47DBE" w:rsidP="00A47DBE">
      <w:pPr>
        <w:spacing w:line="360" w:lineRule="auto"/>
        <w:ind w:firstLine="720"/>
        <w:rPr>
          <w:sz w:val="26"/>
          <w:szCs w:val="26"/>
        </w:rPr>
      </w:pPr>
      <w:r w:rsidRPr="00860C07">
        <w:rPr>
          <w:sz w:val="26"/>
          <w:szCs w:val="26"/>
        </w:rPr>
        <w:t>Where:</w:t>
      </w:r>
    </w:p>
    <w:p w:rsidR="00A47DBE" w:rsidRPr="00860C07" w:rsidRDefault="00A47DBE" w:rsidP="00A47DBE">
      <w:pPr>
        <w:spacing w:line="360" w:lineRule="auto"/>
        <w:ind w:left="3600" w:hanging="2880"/>
        <w:rPr>
          <w:sz w:val="26"/>
          <w:szCs w:val="26"/>
        </w:rPr>
      </w:pPr>
    </w:p>
    <w:p w:rsidR="00A47DBE" w:rsidRPr="00860C07" w:rsidRDefault="00A47DBE" w:rsidP="00A47DBE">
      <w:pPr>
        <w:spacing w:line="360" w:lineRule="auto"/>
        <w:ind w:left="3600" w:hanging="2880"/>
        <w:rPr>
          <w:sz w:val="26"/>
          <w:szCs w:val="26"/>
        </w:rPr>
      </w:pPr>
      <w:r w:rsidRPr="00860C07">
        <w:rPr>
          <w:sz w:val="26"/>
          <w:szCs w:val="26"/>
        </w:rPr>
        <w:t xml:space="preserve">REPLACEMENTUEC </w:t>
      </w:r>
      <w:r w:rsidRPr="00860C07">
        <w:rPr>
          <w:sz w:val="26"/>
          <w:szCs w:val="26"/>
        </w:rPr>
        <w:tab/>
        <w:t>= The annual unit energy consumption of the average replacement unit. This comes from the ENERGY STAR calculator and is equal to 416.600 kWh for a new ENERGY STAR refrigerator, and 536.600 for a new non-ENERGY STAR refrigerator.</w:t>
      </w:r>
    </w:p>
    <w:p w:rsidR="00A47DBE" w:rsidRPr="00860C07" w:rsidRDefault="00A47DBE" w:rsidP="00A47DBE">
      <w:pPr>
        <w:spacing w:line="360" w:lineRule="auto"/>
        <w:ind w:left="3600" w:hanging="2880"/>
        <w:rPr>
          <w:sz w:val="26"/>
          <w:szCs w:val="26"/>
        </w:rPr>
      </w:pPr>
      <w:r w:rsidRPr="00860C07">
        <w:rPr>
          <w:sz w:val="26"/>
          <w:szCs w:val="26"/>
        </w:rPr>
        <w:lastRenderedPageBreak/>
        <w:t xml:space="preserve">PART_USE </w:t>
      </w:r>
      <w:r w:rsidRPr="00860C07">
        <w:rPr>
          <w:sz w:val="26"/>
          <w:szCs w:val="26"/>
        </w:rPr>
        <w:tab/>
        <w:t>= The portion of the year the average replacement refrigerator is likely to operate. For PY3, the average refrigerator was plugged in 96.9% of the time.</w:t>
      </w:r>
    </w:p>
    <w:p w:rsidR="008C550B" w:rsidRPr="00A47DBE" w:rsidRDefault="008C550B" w:rsidP="008C550B">
      <w:pPr>
        <w:spacing w:line="360" w:lineRule="auto"/>
        <w:jc w:val="both"/>
        <w:rPr>
          <w:b/>
          <w:sz w:val="26"/>
          <w:szCs w:val="26"/>
        </w:rPr>
      </w:pPr>
    </w:p>
    <w:p w:rsidR="008C550B" w:rsidRPr="00A47DBE" w:rsidRDefault="008C550B" w:rsidP="008C550B">
      <w:pPr>
        <w:pStyle w:val="p3"/>
        <w:numPr>
          <w:ilvl w:val="3"/>
          <w:numId w:val="10"/>
        </w:numPr>
        <w:tabs>
          <w:tab w:val="clear" w:pos="204"/>
          <w:tab w:val="left" w:pos="0"/>
          <w:tab w:val="left" w:pos="720"/>
        </w:tabs>
        <w:spacing w:line="360" w:lineRule="auto"/>
        <w:ind w:left="2160" w:hanging="720"/>
        <w:outlineLvl w:val="3"/>
        <w:rPr>
          <w:b/>
          <w:sz w:val="26"/>
          <w:szCs w:val="26"/>
        </w:rPr>
      </w:pPr>
      <w:bookmarkStart w:id="21" w:name="_Toc334175009"/>
      <w:r w:rsidRPr="00A47DBE">
        <w:rPr>
          <w:b/>
          <w:sz w:val="26"/>
          <w:szCs w:val="26"/>
        </w:rPr>
        <w:t>Freezer Deemed Savings</w:t>
      </w:r>
      <w:r w:rsidR="002C20CE">
        <w:rPr>
          <w:b/>
          <w:sz w:val="26"/>
          <w:szCs w:val="26"/>
        </w:rPr>
        <w:t xml:space="preserve"> Values</w:t>
      </w:r>
      <w:bookmarkEnd w:id="21"/>
    </w:p>
    <w:p w:rsidR="008C550B" w:rsidRPr="00A47DBE" w:rsidRDefault="008C550B" w:rsidP="008C550B">
      <w:pPr>
        <w:spacing w:line="360" w:lineRule="auto"/>
        <w:jc w:val="both"/>
        <w:rPr>
          <w:sz w:val="26"/>
          <w:szCs w:val="26"/>
        </w:rPr>
      </w:pPr>
    </w:p>
    <w:p w:rsidR="00A47DBE" w:rsidRPr="00860C07" w:rsidRDefault="00A47DBE" w:rsidP="00A47DBE">
      <w:pPr>
        <w:spacing w:line="360" w:lineRule="auto"/>
        <w:ind w:firstLine="720"/>
        <w:rPr>
          <w:sz w:val="26"/>
          <w:szCs w:val="26"/>
        </w:rPr>
      </w:pPr>
      <w:r w:rsidRPr="00860C07">
        <w:rPr>
          <w:sz w:val="26"/>
          <w:szCs w:val="26"/>
        </w:rPr>
        <w:t>The SWE and Commission staff reviewed multiple documents and data sources to obtain the regression equation proposed to develop deemed savings</w:t>
      </w:r>
      <w:r w:rsidRPr="00860C07">
        <w:rPr>
          <w:rStyle w:val="FootnoteReference"/>
          <w:sz w:val="26"/>
          <w:szCs w:val="26"/>
        </w:rPr>
        <w:footnoteReference w:id="86"/>
      </w:r>
      <w:r w:rsidRPr="00860C07">
        <w:rPr>
          <w:sz w:val="26"/>
          <w:szCs w:val="26"/>
        </w:rPr>
        <w:t xml:space="preserve"> for removal and/or replacement of a freezer in Pennsylvania.</w:t>
      </w:r>
      <w:r w:rsidRPr="00860C07">
        <w:rPr>
          <w:rStyle w:val="FootnoteReference"/>
          <w:sz w:val="26"/>
          <w:szCs w:val="26"/>
        </w:rPr>
        <w:footnoteReference w:id="87"/>
      </w:r>
      <w:r w:rsidRPr="00860C07">
        <w:rPr>
          <w:sz w:val="26"/>
          <w:szCs w:val="26"/>
          <w:vertAlign w:val="superscript"/>
        </w:rPr>
        <w:t>,</w:t>
      </w:r>
      <w:r w:rsidRPr="00860C07">
        <w:rPr>
          <w:rStyle w:val="FootnoteReference"/>
          <w:sz w:val="26"/>
          <w:szCs w:val="26"/>
        </w:rPr>
        <w:t xml:space="preserve"> </w:t>
      </w:r>
      <w:r w:rsidRPr="00860C07">
        <w:rPr>
          <w:rStyle w:val="FootnoteReference"/>
          <w:sz w:val="26"/>
          <w:szCs w:val="26"/>
        </w:rPr>
        <w:footnoteReference w:id="88"/>
      </w:r>
      <w:r w:rsidRPr="00860C07">
        <w:rPr>
          <w:rStyle w:val="FootnoteReference"/>
          <w:sz w:val="26"/>
          <w:szCs w:val="26"/>
        </w:rPr>
        <w:t xml:space="preserve">, </w:t>
      </w:r>
      <w:r w:rsidRPr="00860C07">
        <w:rPr>
          <w:rStyle w:val="FootnoteReference"/>
          <w:sz w:val="26"/>
          <w:szCs w:val="26"/>
        </w:rPr>
        <w:footnoteReference w:id="89"/>
      </w:r>
      <w:r w:rsidRPr="00860C07">
        <w:rPr>
          <w:sz w:val="26"/>
          <w:szCs w:val="26"/>
        </w:rPr>
        <w:t xml:space="preserve">  After reviewing approaches by other jurisdictions, the Commission proposes to use the regression equation from the Cadmus Memo for the 2013 TRM as the basis for deemed savings for freezer removal/replacement.</w:t>
      </w:r>
    </w:p>
    <w:p w:rsidR="008C550B" w:rsidRPr="00A47DBE" w:rsidRDefault="008C550B" w:rsidP="008C550B">
      <w:pPr>
        <w:spacing w:line="360" w:lineRule="auto"/>
        <w:ind w:firstLine="720"/>
        <w:rPr>
          <w:sz w:val="26"/>
          <w:szCs w:val="26"/>
        </w:rPr>
      </w:pPr>
    </w:p>
    <w:p w:rsidR="008C550B" w:rsidRPr="00A47DBE" w:rsidRDefault="008C550B" w:rsidP="008C550B">
      <w:pPr>
        <w:pStyle w:val="Heading5"/>
        <w:numPr>
          <w:ilvl w:val="0"/>
          <w:numId w:val="0"/>
        </w:numPr>
        <w:spacing w:after="0" w:line="360" w:lineRule="auto"/>
        <w:ind w:left="2880" w:hanging="720"/>
        <w:jc w:val="left"/>
        <w:rPr>
          <w:rFonts w:ascii="Times New Roman" w:hAnsi="Times New Roman"/>
          <w:b/>
          <w:sz w:val="26"/>
          <w:szCs w:val="26"/>
        </w:rPr>
      </w:pPr>
      <w:bookmarkStart w:id="22" w:name="_Toc334175010"/>
      <w:r w:rsidRPr="00A47DBE">
        <w:rPr>
          <w:rFonts w:ascii="Times New Roman" w:hAnsi="Times New Roman"/>
          <w:b/>
          <w:sz w:val="26"/>
          <w:szCs w:val="26"/>
        </w:rPr>
        <w:t>i.</w:t>
      </w:r>
      <w:r w:rsidRPr="00A47DBE">
        <w:rPr>
          <w:rFonts w:ascii="Times New Roman" w:hAnsi="Times New Roman"/>
          <w:b/>
          <w:sz w:val="26"/>
          <w:szCs w:val="26"/>
        </w:rPr>
        <w:tab/>
        <w:t>Freezers Removed but not Replaced</w:t>
      </w:r>
      <w:bookmarkEnd w:id="22"/>
    </w:p>
    <w:p w:rsidR="008C550B" w:rsidRPr="00A47DBE" w:rsidRDefault="008C550B" w:rsidP="008C550B">
      <w:pPr>
        <w:spacing w:line="360" w:lineRule="auto"/>
        <w:ind w:firstLine="720"/>
        <w:rPr>
          <w:sz w:val="26"/>
          <w:szCs w:val="26"/>
        </w:rPr>
      </w:pPr>
    </w:p>
    <w:p w:rsidR="00A47DBE" w:rsidRPr="00860C07" w:rsidRDefault="00A47DBE" w:rsidP="00A47DBE">
      <w:pPr>
        <w:spacing w:line="360" w:lineRule="auto"/>
        <w:ind w:firstLine="720"/>
        <w:rPr>
          <w:sz w:val="26"/>
          <w:szCs w:val="26"/>
        </w:rPr>
      </w:pPr>
      <w:r w:rsidRPr="00860C07">
        <w:rPr>
          <w:sz w:val="26"/>
          <w:szCs w:val="26"/>
        </w:rPr>
        <w:t xml:space="preserve">The Commission proposes a UEC for freezers removed through the Act 129 freezer removal program of 1,188 kWh, before adjustment by the part-use factor.  The </w:t>
      </w:r>
      <w:r w:rsidRPr="00860C07">
        <w:rPr>
          <w:sz w:val="26"/>
          <w:szCs w:val="26"/>
        </w:rPr>
        <w:lastRenderedPageBreak/>
        <w:t>Commission proposes a part-use factor of 98.5%.</w:t>
      </w:r>
      <w:r w:rsidRPr="00860C07">
        <w:rPr>
          <w:rStyle w:val="FootnoteReference"/>
          <w:sz w:val="26"/>
          <w:szCs w:val="26"/>
        </w:rPr>
        <w:footnoteReference w:id="90"/>
      </w:r>
      <w:r w:rsidRPr="00860C07">
        <w:rPr>
          <w:sz w:val="26"/>
          <w:szCs w:val="26"/>
        </w:rPr>
        <w:t xml:space="preserve">  After adjustment using a part-use factor, the deemed kWh savings per freezer is 1,170 kWh annually for a freezer that is removed but not replaced.  The freezer summer</w:t>
      </w:r>
      <w:r w:rsidR="00AC514A">
        <w:rPr>
          <w:sz w:val="26"/>
          <w:szCs w:val="26"/>
        </w:rPr>
        <w:t xml:space="preserve"> peak demand deemed savings is </w:t>
      </w:r>
      <w:r w:rsidRPr="00860C07">
        <w:rPr>
          <w:sz w:val="26"/>
          <w:szCs w:val="26"/>
        </w:rPr>
        <w:t>0.</w:t>
      </w:r>
      <w:r>
        <w:rPr>
          <w:sz w:val="26"/>
          <w:szCs w:val="26"/>
        </w:rPr>
        <w:t xml:space="preserve">145 </w:t>
      </w:r>
      <w:r w:rsidRPr="00860C07">
        <w:rPr>
          <w:sz w:val="26"/>
          <w:szCs w:val="26"/>
        </w:rPr>
        <w:t xml:space="preserve">kW.  </w:t>
      </w:r>
    </w:p>
    <w:p w:rsidR="00A47DBE" w:rsidRPr="00860C07" w:rsidRDefault="00A47DBE" w:rsidP="00A47DBE">
      <w:pPr>
        <w:spacing w:line="360" w:lineRule="auto"/>
        <w:rPr>
          <w:sz w:val="26"/>
          <w:szCs w:val="26"/>
        </w:rPr>
      </w:pPr>
    </w:p>
    <w:p w:rsidR="00A47DBE" w:rsidRPr="00860C07" w:rsidRDefault="00A47DBE" w:rsidP="00A47DBE">
      <w:pPr>
        <w:spacing w:line="360" w:lineRule="auto"/>
        <w:ind w:firstLine="720"/>
        <w:rPr>
          <w:sz w:val="26"/>
          <w:szCs w:val="26"/>
        </w:rPr>
      </w:pPr>
      <w:r w:rsidRPr="00860C07">
        <w:rPr>
          <w:sz w:val="26"/>
          <w:szCs w:val="26"/>
        </w:rPr>
        <w:t>The following methodology is used to calculate the proposed deemed energy savings value of 1,170 kWh annually for a freezer that is removed but not replaced:</w:t>
      </w:r>
    </w:p>
    <w:p w:rsidR="00A47DBE" w:rsidRPr="00860C07" w:rsidRDefault="00A47DBE" w:rsidP="00A47DBE">
      <w:pPr>
        <w:spacing w:line="360" w:lineRule="auto"/>
        <w:jc w:val="both"/>
        <w:rPr>
          <w:b/>
          <w:sz w:val="26"/>
          <w:szCs w:val="26"/>
        </w:rPr>
      </w:pPr>
    </w:p>
    <w:p w:rsidR="00A47DBE" w:rsidRPr="00860C07" w:rsidRDefault="00A47DBE" w:rsidP="00A47DBE">
      <w:pPr>
        <w:spacing w:line="360" w:lineRule="auto"/>
        <w:ind w:firstLine="720"/>
        <w:rPr>
          <w:sz w:val="26"/>
          <w:szCs w:val="26"/>
        </w:rPr>
      </w:pPr>
      <w:r w:rsidRPr="00860C07">
        <w:rPr>
          <w:sz w:val="26"/>
          <w:szCs w:val="26"/>
        </w:rPr>
        <w:t>DEEMED_kWh</w:t>
      </w:r>
      <w:r w:rsidRPr="00860C07">
        <w:rPr>
          <w:sz w:val="26"/>
          <w:szCs w:val="26"/>
          <w:vertAlign w:val="subscript"/>
        </w:rPr>
        <w:t>saved</w:t>
      </w:r>
      <w:r w:rsidRPr="00860C07">
        <w:rPr>
          <w:sz w:val="26"/>
          <w:szCs w:val="26"/>
        </w:rPr>
        <w:t xml:space="preserve"> Per Unit</w:t>
      </w:r>
      <w:r w:rsidRPr="00860C07">
        <w:rPr>
          <w:sz w:val="26"/>
          <w:szCs w:val="26"/>
        </w:rPr>
        <w:tab/>
        <w:t>= EXISTING_UEC * PART_USE</w:t>
      </w:r>
    </w:p>
    <w:p w:rsidR="00A47DBE" w:rsidRPr="00860C07" w:rsidRDefault="00A47DBE" w:rsidP="00A47DBE">
      <w:pPr>
        <w:spacing w:line="360" w:lineRule="auto"/>
        <w:rPr>
          <w:sz w:val="26"/>
          <w:szCs w:val="26"/>
        </w:rPr>
      </w:pPr>
    </w:p>
    <w:p w:rsidR="00A47DBE" w:rsidRPr="00860C07" w:rsidRDefault="00A47DBE" w:rsidP="00A47DBE">
      <w:pPr>
        <w:spacing w:line="360" w:lineRule="auto"/>
        <w:ind w:firstLine="720"/>
        <w:rPr>
          <w:sz w:val="26"/>
          <w:szCs w:val="26"/>
        </w:rPr>
      </w:pPr>
      <w:r w:rsidRPr="00860C07">
        <w:rPr>
          <w:sz w:val="26"/>
          <w:szCs w:val="26"/>
        </w:rPr>
        <w:t>Where:</w:t>
      </w:r>
    </w:p>
    <w:p w:rsidR="00A47DBE" w:rsidRPr="00860C07" w:rsidRDefault="00A47DBE" w:rsidP="00A47DBE">
      <w:pPr>
        <w:spacing w:line="360" w:lineRule="auto"/>
        <w:ind w:firstLine="720"/>
        <w:rPr>
          <w:sz w:val="26"/>
          <w:szCs w:val="26"/>
        </w:rPr>
      </w:pPr>
    </w:p>
    <w:p w:rsidR="00A47DBE" w:rsidRPr="00860C07" w:rsidRDefault="00A47DBE" w:rsidP="00A47DBE">
      <w:pPr>
        <w:spacing w:line="360" w:lineRule="auto"/>
        <w:ind w:left="3600" w:hanging="2880"/>
        <w:rPr>
          <w:sz w:val="26"/>
          <w:szCs w:val="26"/>
        </w:rPr>
      </w:pPr>
      <w:r w:rsidRPr="00860C07">
        <w:rPr>
          <w:sz w:val="26"/>
          <w:szCs w:val="26"/>
        </w:rPr>
        <w:t xml:space="preserve">DEEMED_kWhsaved </w:t>
      </w:r>
      <w:r w:rsidRPr="00860C07">
        <w:rPr>
          <w:sz w:val="26"/>
          <w:szCs w:val="26"/>
        </w:rPr>
        <w:tab/>
        <w:t>= Annual electricity savings measured in kilowatt hours after adjustment for part-use factor.</w:t>
      </w:r>
    </w:p>
    <w:p w:rsidR="00A47DBE" w:rsidRPr="00860C07" w:rsidRDefault="00A47DBE" w:rsidP="00A47DBE">
      <w:pPr>
        <w:spacing w:line="360" w:lineRule="auto"/>
        <w:ind w:left="3600" w:hanging="2880"/>
        <w:rPr>
          <w:sz w:val="26"/>
          <w:szCs w:val="26"/>
        </w:rPr>
      </w:pPr>
      <w:r w:rsidRPr="00860C07">
        <w:rPr>
          <w:sz w:val="26"/>
          <w:szCs w:val="26"/>
        </w:rPr>
        <w:t xml:space="preserve">EXISTING_UEC </w:t>
      </w:r>
      <w:r w:rsidRPr="00860C07">
        <w:rPr>
          <w:sz w:val="26"/>
          <w:szCs w:val="26"/>
        </w:rPr>
        <w:tab/>
        <w:t xml:space="preserve">= The average annual unit energy consumption of participating </w:t>
      </w:r>
      <w:r w:rsidR="00BC29C4">
        <w:rPr>
          <w:sz w:val="26"/>
          <w:szCs w:val="26"/>
        </w:rPr>
        <w:t>freezers</w:t>
      </w:r>
      <w:r w:rsidRPr="00860C07">
        <w:rPr>
          <w:sz w:val="26"/>
          <w:szCs w:val="26"/>
        </w:rPr>
        <w:t>. The PY3 value is 1,187.475 kWh.</w:t>
      </w:r>
    </w:p>
    <w:p w:rsidR="00A47DBE" w:rsidRPr="00860C07" w:rsidRDefault="00A47DBE" w:rsidP="00A47DBE">
      <w:pPr>
        <w:spacing w:line="360" w:lineRule="auto"/>
        <w:ind w:left="3600" w:hanging="2880"/>
        <w:rPr>
          <w:sz w:val="26"/>
          <w:szCs w:val="26"/>
        </w:rPr>
      </w:pPr>
      <w:r w:rsidRPr="00860C07">
        <w:rPr>
          <w:sz w:val="26"/>
          <w:szCs w:val="26"/>
        </w:rPr>
        <w:t xml:space="preserve">PART_USE </w:t>
      </w:r>
      <w:r w:rsidRPr="00860C07">
        <w:rPr>
          <w:sz w:val="26"/>
          <w:szCs w:val="26"/>
        </w:rPr>
        <w:tab/>
        <w:t>= The portion of the year the average freezer would likely have operated if not recycled through the program. For PY3, the average freezer was plugged in 98.5% of the year.</w:t>
      </w:r>
    </w:p>
    <w:p w:rsidR="00A47DBE" w:rsidRPr="00860C07" w:rsidRDefault="00A47DBE" w:rsidP="00A47DBE">
      <w:pPr>
        <w:spacing w:line="360" w:lineRule="auto"/>
        <w:rPr>
          <w:sz w:val="26"/>
          <w:szCs w:val="26"/>
        </w:rPr>
      </w:pPr>
    </w:p>
    <w:p w:rsidR="00A47DBE" w:rsidRPr="00860C07" w:rsidRDefault="00A47DBE" w:rsidP="00A47DBE">
      <w:pPr>
        <w:spacing w:line="360" w:lineRule="auto"/>
        <w:ind w:firstLine="720"/>
        <w:rPr>
          <w:sz w:val="26"/>
          <w:szCs w:val="26"/>
        </w:rPr>
      </w:pPr>
      <w:r w:rsidRPr="00860C07">
        <w:rPr>
          <w:sz w:val="26"/>
          <w:szCs w:val="26"/>
        </w:rPr>
        <w:t>For removed freezers, the annual UEC is based on the following proposed regression equation:</w:t>
      </w:r>
      <w:r w:rsidRPr="00860C07">
        <w:rPr>
          <w:sz w:val="26"/>
          <w:szCs w:val="26"/>
          <w:vertAlign w:val="superscript"/>
        </w:rPr>
        <w:footnoteReference w:id="91"/>
      </w:r>
    </w:p>
    <w:p w:rsidR="00A47DBE" w:rsidRDefault="00A47DBE" w:rsidP="00A47DBE">
      <w:pPr>
        <w:spacing w:line="360" w:lineRule="auto"/>
        <w:ind w:firstLine="720"/>
        <w:rPr>
          <w:sz w:val="26"/>
          <w:szCs w:val="26"/>
        </w:rPr>
      </w:pPr>
    </w:p>
    <w:p w:rsidR="0033671A" w:rsidRPr="00860C07" w:rsidRDefault="0033671A" w:rsidP="00A47DBE">
      <w:pPr>
        <w:spacing w:line="360" w:lineRule="auto"/>
        <w:ind w:firstLine="720"/>
        <w:rPr>
          <w:sz w:val="26"/>
          <w:szCs w:val="26"/>
        </w:rPr>
      </w:pPr>
    </w:p>
    <w:p w:rsidR="00A47DBE" w:rsidRPr="00860C07" w:rsidRDefault="00A47DBE" w:rsidP="00A47DBE">
      <w:pPr>
        <w:spacing w:line="360" w:lineRule="auto"/>
        <w:ind w:firstLine="720"/>
        <w:rPr>
          <w:sz w:val="26"/>
          <w:szCs w:val="26"/>
        </w:rPr>
      </w:pPr>
      <w:r w:rsidRPr="00860C07">
        <w:rPr>
          <w:sz w:val="26"/>
          <w:szCs w:val="26"/>
        </w:rPr>
        <w:lastRenderedPageBreak/>
        <w:t>Freezer UEC</w:t>
      </w:r>
      <w:r w:rsidRPr="00860C07">
        <w:rPr>
          <w:sz w:val="26"/>
          <w:szCs w:val="26"/>
        </w:rPr>
        <w:tab/>
      </w:r>
      <w:r w:rsidRPr="00860C07">
        <w:rPr>
          <w:sz w:val="26"/>
          <w:szCs w:val="26"/>
        </w:rPr>
        <w:tab/>
      </w:r>
    </w:p>
    <w:p w:rsidR="00A47DBE" w:rsidRPr="00860C07" w:rsidRDefault="00A47DBE" w:rsidP="00A47DBE">
      <w:pPr>
        <w:spacing w:line="360" w:lineRule="auto"/>
        <w:ind w:left="1440" w:hanging="720"/>
        <w:rPr>
          <w:sz w:val="26"/>
          <w:szCs w:val="26"/>
        </w:rPr>
      </w:pPr>
      <w:r w:rsidRPr="00860C07">
        <w:rPr>
          <w:sz w:val="26"/>
          <w:szCs w:val="26"/>
        </w:rPr>
        <w:tab/>
        <w:t>= 365.25 days * [-2.297 + 0.067 * (31.300 years old) + 0.401 * (81.8% units manufactured pre-1993) + 0.150 * (16.030 ft</w:t>
      </w:r>
      <w:r w:rsidRPr="00860C07">
        <w:rPr>
          <w:sz w:val="26"/>
          <w:szCs w:val="26"/>
          <w:vertAlign w:val="superscript"/>
        </w:rPr>
        <w:t>3</w:t>
      </w:r>
      <w:r w:rsidRPr="00860C07">
        <w:rPr>
          <w:sz w:val="26"/>
          <w:szCs w:val="26"/>
        </w:rPr>
        <w:t>) + 0.854 * (35.0% units that are chest freezers) + 0.1046 * [4.010 CDDs)] = 1,187.475 kWh</w:t>
      </w:r>
    </w:p>
    <w:p w:rsidR="00A47DBE" w:rsidRPr="00860C07" w:rsidRDefault="00A47DBE" w:rsidP="00A47DBE">
      <w:pPr>
        <w:spacing w:line="360" w:lineRule="auto"/>
        <w:jc w:val="both"/>
        <w:rPr>
          <w:sz w:val="26"/>
          <w:szCs w:val="26"/>
        </w:rPr>
      </w:pPr>
    </w:p>
    <w:p w:rsidR="00A47DBE" w:rsidRPr="00860C07" w:rsidRDefault="00A47DBE" w:rsidP="00A47DBE">
      <w:pPr>
        <w:spacing w:line="360" w:lineRule="auto"/>
        <w:ind w:firstLine="720"/>
        <w:rPr>
          <w:sz w:val="26"/>
          <w:szCs w:val="26"/>
        </w:rPr>
      </w:pPr>
      <w:r w:rsidRPr="00860C07">
        <w:rPr>
          <w:sz w:val="26"/>
          <w:szCs w:val="26"/>
        </w:rPr>
        <w:t>The Commission has computed the values that are needed as inputs to the regression equation based on Act 129 PY3 data for removed freezers.  Once these input values were determined, they were substituted into the above equation in order to estimate the UEC for removed freezers.  Information related to equation inputs and values</w:t>
      </w:r>
      <w:r w:rsidRPr="00860C07">
        <w:rPr>
          <w:sz w:val="26"/>
          <w:szCs w:val="26"/>
          <w:vertAlign w:val="superscript"/>
        </w:rPr>
        <w:footnoteReference w:id="92"/>
      </w:r>
      <w:r w:rsidRPr="00860C07">
        <w:rPr>
          <w:sz w:val="26"/>
          <w:szCs w:val="26"/>
        </w:rPr>
        <w:t xml:space="preserve"> used to calculate the UEC for removed refrigerators is described in more detail in the proposed 2013 TRM. </w:t>
      </w:r>
    </w:p>
    <w:p w:rsidR="00A47DBE" w:rsidRPr="00860C07" w:rsidRDefault="00A47DBE" w:rsidP="00A47DBE">
      <w:pPr>
        <w:spacing w:line="360" w:lineRule="auto"/>
        <w:ind w:firstLine="720"/>
        <w:rPr>
          <w:sz w:val="26"/>
          <w:szCs w:val="26"/>
        </w:rPr>
      </w:pPr>
    </w:p>
    <w:p w:rsidR="00A47DBE" w:rsidRPr="00860C07" w:rsidRDefault="00A47DBE" w:rsidP="00A47DBE">
      <w:pPr>
        <w:spacing w:line="360" w:lineRule="auto"/>
        <w:ind w:firstLine="720"/>
        <w:rPr>
          <w:sz w:val="26"/>
          <w:szCs w:val="26"/>
        </w:rPr>
      </w:pPr>
      <w:r w:rsidRPr="00860C07">
        <w:rPr>
          <w:sz w:val="26"/>
          <w:szCs w:val="26"/>
        </w:rPr>
        <w:t>As with refrigerators, when calculating deemed per-unit kWh savings for a removed freezer, it is necessary to calculate and apply a part-use factor.  In PY3, the Commission determined that the average removed freezer was plugged in and used 98.5% of the year.  Thus, the proposed deemed value for the part-use factor is 98.5% based on PY3 data for all EDCs.  The Commission proposes that the EDCs be allowed the option of calculating its own territory-specific part-use factor.  In the event an EDC desires to calculate an EDC-specific part-use factor, the Commission proposes that, using participant surveys, EDC evaluators should determine the amount of time a removed freezer was plugged in.</w:t>
      </w:r>
    </w:p>
    <w:p w:rsidR="008C550B" w:rsidRPr="00A47DBE" w:rsidRDefault="008C550B" w:rsidP="00A47DBE">
      <w:pPr>
        <w:spacing w:line="360" w:lineRule="auto"/>
        <w:ind w:firstLine="720"/>
        <w:rPr>
          <w:sz w:val="26"/>
          <w:szCs w:val="26"/>
        </w:rPr>
      </w:pPr>
    </w:p>
    <w:p w:rsidR="008C550B" w:rsidRPr="00A47DBE" w:rsidRDefault="008C550B" w:rsidP="00A47DBE">
      <w:pPr>
        <w:pStyle w:val="Heading5"/>
        <w:numPr>
          <w:ilvl w:val="0"/>
          <w:numId w:val="0"/>
        </w:numPr>
        <w:spacing w:after="0" w:line="360" w:lineRule="auto"/>
        <w:ind w:left="2880" w:right="-187" w:hanging="720"/>
        <w:jc w:val="left"/>
        <w:rPr>
          <w:rFonts w:ascii="Times New Roman" w:hAnsi="Times New Roman"/>
          <w:b/>
          <w:sz w:val="26"/>
          <w:szCs w:val="26"/>
        </w:rPr>
      </w:pPr>
      <w:bookmarkStart w:id="23" w:name="_Toc334175011"/>
      <w:r w:rsidRPr="00A47DBE">
        <w:rPr>
          <w:rFonts w:ascii="Times New Roman" w:hAnsi="Times New Roman"/>
          <w:b/>
          <w:sz w:val="26"/>
          <w:szCs w:val="26"/>
        </w:rPr>
        <w:t>ii.</w:t>
      </w:r>
      <w:r w:rsidRPr="00A47DBE">
        <w:rPr>
          <w:rFonts w:ascii="Times New Roman" w:hAnsi="Times New Roman"/>
          <w:b/>
          <w:sz w:val="26"/>
          <w:szCs w:val="26"/>
        </w:rPr>
        <w:tab/>
        <w:t>Freezers Removed and Replaced</w:t>
      </w:r>
      <w:bookmarkEnd w:id="23"/>
      <w:r w:rsidRPr="00A47DBE">
        <w:rPr>
          <w:rFonts w:ascii="Times New Roman" w:hAnsi="Times New Roman"/>
          <w:b/>
          <w:sz w:val="26"/>
          <w:szCs w:val="26"/>
        </w:rPr>
        <w:t xml:space="preserve"> </w:t>
      </w:r>
    </w:p>
    <w:p w:rsidR="008C550B" w:rsidRPr="00A47DBE" w:rsidRDefault="008C550B" w:rsidP="00A47DBE">
      <w:pPr>
        <w:spacing w:line="360" w:lineRule="auto"/>
      </w:pPr>
    </w:p>
    <w:p w:rsidR="00A47DBE" w:rsidRPr="00860C07" w:rsidRDefault="00A47DBE" w:rsidP="00A47DBE">
      <w:pPr>
        <w:spacing w:line="360" w:lineRule="auto"/>
        <w:ind w:firstLine="720"/>
        <w:rPr>
          <w:sz w:val="26"/>
          <w:szCs w:val="26"/>
        </w:rPr>
      </w:pPr>
      <w:r w:rsidRPr="00860C07">
        <w:rPr>
          <w:sz w:val="26"/>
          <w:szCs w:val="26"/>
        </w:rPr>
        <w:t xml:space="preserve">If a freezer is removed and replaced with a new ENERGY STAR unit, the proposed annual savings are 753 kWh.  If a freezer is removed and replaced with a new </w:t>
      </w:r>
      <w:r w:rsidRPr="00860C07">
        <w:rPr>
          <w:sz w:val="26"/>
          <w:szCs w:val="26"/>
        </w:rPr>
        <w:lastRenderedPageBreak/>
        <w:t>non-ENERGY STAR unit, the proposed annual savings are 667 kWh.  The following methodology is used to calculate energy savings value of 753 kWh for freezers that are removed and replaced with new ENERGY STAR freezers and energy savings value of 667 kWh for freezers that are removed and replaced with new non-ENERGY STAR freezers:</w:t>
      </w:r>
    </w:p>
    <w:p w:rsidR="00A47DBE" w:rsidRPr="00860C07" w:rsidRDefault="00A47DBE" w:rsidP="00A47DBE">
      <w:pPr>
        <w:spacing w:line="360" w:lineRule="auto"/>
        <w:ind w:left="720"/>
        <w:rPr>
          <w:i/>
          <w:sz w:val="26"/>
          <w:szCs w:val="26"/>
        </w:rPr>
      </w:pPr>
    </w:p>
    <w:p w:rsidR="00A47DBE" w:rsidRPr="00860C07" w:rsidRDefault="00A47DBE" w:rsidP="00A47DBE">
      <w:pPr>
        <w:spacing w:line="360" w:lineRule="auto"/>
        <w:ind w:left="3600" w:hanging="2880"/>
        <w:rPr>
          <w:sz w:val="26"/>
          <w:szCs w:val="26"/>
        </w:rPr>
      </w:pPr>
      <w:r w:rsidRPr="00860C07">
        <w:rPr>
          <w:sz w:val="26"/>
          <w:szCs w:val="26"/>
        </w:rPr>
        <w:t xml:space="preserve">NET_kWhsaved Per Unit </w:t>
      </w:r>
      <w:r w:rsidRPr="00860C07">
        <w:rPr>
          <w:sz w:val="26"/>
          <w:szCs w:val="26"/>
        </w:rPr>
        <w:tab/>
        <w:t xml:space="preserve">= DEEMED kWhsaved Per Unit </w:t>
      </w:r>
      <w:r w:rsidR="00BC29C4">
        <w:rPr>
          <w:sz w:val="26"/>
          <w:szCs w:val="26"/>
        </w:rPr>
        <w:t>-</w:t>
      </w:r>
      <w:r w:rsidRPr="00860C07">
        <w:rPr>
          <w:sz w:val="26"/>
          <w:szCs w:val="26"/>
        </w:rPr>
        <w:t xml:space="preserve"> (REPLACEMENTUEC * PART_USE)</w:t>
      </w:r>
      <w:r w:rsidRPr="00860C07">
        <w:rPr>
          <w:sz w:val="26"/>
          <w:szCs w:val="26"/>
        </w:rPr>
        <w:br/>
      </w:r>
    </w:p>
    <w:p w:rsidR="00A47DBE" w:rsidRPr="00860C07" w:rsidRDefault="00A47DBE" w:rsidP="00A47DBE">
      <w:pPr>
        <w:spacing w:line="360" w:lineRule="auto"/>
        <w:ind w:firstLine="720"/>
        <w:rPr>
          <w:sz w:val="26"/>
          <w:szCs w:val="26"/>
        </w:rPr>
      </w:pPr>
      <w:r w:rsidRPr="00860C07">
        <w:rPr>
          <w:sz w:val="26"/>
          <w:szCs w:val="26"/>
        </w:rPr>
        <w:t>Where:</w:t>
      </w:r>
    </w:p>
    <w:p w:rsidR="00A47DBE" w:rsidRPr="00860C07" w:rsidRDefault="00A47DBE" w:rsidP="00A47DBE">
      <w:pPr>
        <w:spacing w:line="360" w:lineRule="auto"/>
        <w:ind w:firstLine="720"/>
        <w:rPr>
          <w:sz w:val="26"/>
          <w:szCs w:val="26"/>
        </w:rPr>
      </w:pPr>
    </w:p>
    <w:p w:rsidR="00A47DBE" w:rsidRPr="00860C07" w:rsidRDefault="00A47DBE" w:rsidP="00A47DBE">
      <w:pPr>
        <w:spacing w:line="360" w:lineRule="auto"/>
        <w:ind w:left="3600" w:hanging="2880"/>
        <w:rPr>
          <w:sz w:val="26"/>
          <w:szCs w:val="26"/>
        </w:rPr>
      </w:pPr>
      <w:r w:rsidRPr="00860C07">
        <w:rPr>
          <w:sz w:val="26"/>
          <w:szCs w:val="26"/>
        </w:rPr>
        <w:t xml:space="preserve">REPLACEMENTUEC </w:t>
      </w:r>
      <w:r w:rsidRPr="00860C07">
        <w:rPr>
          <w:sz w:val="26"/>
          <w:szCs w:val="26"/>
        </w:rPr>
        <w:tab/>
        <w:t xml:space="preserve">= The annual unit energy consumption of the average replacement unit. This comes from the ENERGY STAR calculator and is equal to 423.000 kWh for a new ENERGY STAR </w:t>
      </w:r>
      <w:r w:rsidR="00BC29C4">
        <w:rPr>
          <w:sz w:val="26"/>
          <w:szCs w:val="26"/>
        </w:rPr>
        <w:t>freezer</w:t>
      </w:r>
      <w:r w:rsidRPr="00860C07">
        <w:rPr>
          <w:sz w:val="26"/>
          <w:szCs w:val="26"/>
        </w:rPr>
        <w:t>, and 510.000 for a new non-ENERGY STAR freezer.</w:t>
      </w:r>
    </w:p>
    <w:p w:rsidR="00A47DBE" w:rsidRPr="00860C07" w:rsidRDefault="00A47DBE" w:rsidP="00A47DBE">
      <w:pPr>
        <w:spacing w:line="360" w:lineRule="auto"/>
        <w:ind w:left="3600" w:hanging="2880"/>
        <w:rPr>
          <w:sz w:val="26"/>
          <w:szCs w:val="26"/>
        </w:rPr>
      </w:pPr>
      <w:r w:rsidRPr="00860C07">
        <w:rPr>
          <w:sz w:val="26"/>
          <w:szCs w:val="26"/>
        </w:rPr>
        <w:t xml:space="preserve">PART_USE </w:t>
      </w:r>
      <w:r w:rsidRPr="00860C07">
        <w:rPr>
          <w:sz w:val="26"/>
          <w:szCs w:val="26"/>
        </w:rPr>
        <w:tab/>
        <w:t>= The portion of the year the average replacement freezer is likely to operate. For PY3, the average freezer was plugged in 98.5% of the time.</w:t>
      </w:r>
    </w:p>
    <w:p w:rsidR="00A47DBE" w:rsidRDefault="00A47DBE" w:rsidP="00A47DBE"/>
    <w:p w:rsidR="00036C90" w:rsidRPr="00114FDD" w:rsidRDefault="00036C90" w:rsidP="00B64A9F">
      <w:pPr>
        <w:pStyle w:val="p3"/>
        <w:numPr>
          <w:ilvl w:val="1"/>
          <w:numId w:val="10"/>
        </w:numPr>
        <w:tabs>
          <w:tab w:val="clear" w:pos="204"/>
          <w:tab w:val="left" w:pos="720"/>
        </w:tabs>
        <w:spacing w:line="360" w:lineRule="auto"/>
        <w:ind w:hanging="720"/>
        <w:outlineLvl w:val="2"/>
        <w:rPr>
          <w:b/>
          <w:sz w:val="26"/>
          <w:szCs w:val="26"/>
        </w:rPr>
      </w:pPr>
      <w:bookmarkStart w:id="24" w:name="_Toc334175012"/>
      <w:r w:rsidRPr="00114FDD">
        <w:rPr>
          <w:b/>
          <w:sz w:val="26"/>
          <w:szCs w:val="26"/>
        </w:rPr>
        <w:t>Electric Hot Water Heater Protocols</w:t>
      </w:r>
      <w:bookmarkEnd w:id="24"/>
    </w:p>
    <w:p w:rsidR="00036C90" w:rsidRPr="00114FDD" w:rsidRDefault="00036C90" w:rsidP="00B64A9F">
      <w:pPr>
        <w:pStyle w:val="p3"/>
        <w:tabs>
          <w:tab w:val="clear" w:pos="204"/>
          <w:tab w:val="left" w:pos="0"/>
          <w:tab w:val="left" w:pos="720"/>
        </w:tabs>
        <w:spacing w:line="360" w:lineRule="auto"/>
        <w:rPr>
          <w:sz w:val="26"/>
          <w:szCs w:val="26"/>
        </w:rPr>
      </w:pPr>
      <w:r w:rsidRPr="00114FDD">
        <w:rPr>
          <w:sz w:val="26"/>
          <w:szCs w:val="26"/>
        </w:rPr>
        <w:tab/>
      </w:r>
    </w:p>
    <w:p w:rsidR="00307D0A" w:rsidRDefault="00036C90" w:rsidP="00B64A9F">
      <w:pPr>
        <w:spacing w:line="360" w:lineRule="auto"/>
        <w:ind w:firstLine="720"/>
        <w:rPr>
          <w:sz w:val="26"/>
          <w:szCs w:val="26"/>
        </w:rPr>
      </w:pPr>
      <w:r w:rsidRPr="00114FDD">
        <w:rPr>
          <w:sz w:val="26"/>
          <w:szCs w:val="26"/>
        </w:rPr>
        <w:t>The 2012 TRM assumes a daily hot water usage per household of 64.3 gallons per day, taken from the 1998 electric water heater testing protocols</w:t>
      </w:r>
      <w:r w:rsidR="00271B84" w:rsidRPr="00114FDD">
        <w:rPr>
          <w:sz w:val="26"/>
          <w:szCs w:val="26"/>
        </w:rPr>
        <w:t>,</w:t>
      </w:r>
      <w:r w:rsidRPr="00114FDD">
        <w:rPr>
          <w:sz w:val="26"/>
          <w:szCs w:val="26"/>
          <w:vertAlign w:val="superscript"/>
        </w:rPr>
        <w:footnoteReference w:id="93"/>
      </w:r>
      <w:r w:rsidRPr="00114FDD">
        <w:rPr>
          <w:sz w:val="26"/>
          <w:szCs w:val="26"/>
        </w:rPr>
        <w:t xml:space="preserve"> which are currently still in effect. </w:t>
      </w:r>
      <w:r w:rsidR="00271B84" w:rsidRPr="00114FDD">
        <w:rPr>
          <w:sz w:val="26"/>
          <w:szCs w:val="26"/>
        </w:rPr>
        <w:t xml:space="preserve"> </w:t>
      </w:r>
      <w:r w:rsidRPr="00114FDD">
        <w:rPr>
          <w:sz w:val="26"/>
          <w:szCs w:val="26"/>
        </w:rPr>
        <w:t>This same document, however, states that</w:t>
      </w:r>
      <w:r w:rsidR="00271B84" w:rsidRPr="00114FDD">
        <w:rPr>
          <w:sz w:val="26"/>
          <w:szCs w:val="26"/>
        </w:rPr>
        <w:t>,</w:t>
      </w:r>
      <w:r w:rsidRPr="00114FDD">
        <w:rPr>
          <w:sz w:val="26"/>
          <w:szCs w:val="26"/>
        </w:rPr>
        <w:t xml:space="preserve"> </w:t>
      </w:r>
      <w:r w:rsidR="00271B84" w:rsidRPr="00114FDD">
        <w:rPr>
          <w:sz w:val="26"/>
          <w:szCs w:val="26"/>
        </w:rPr>
        <w:t xml:space="preserve">while 64.3 gallons per </w:t>
      </w:r>
      <w:r w:rsidRPr="00114FDD">
        <w:rPr>
          <w:sz w:val="26"/>
          <w:szCs w:val="26"/>
        </w:rPr>
        <w:t xml:space="preserve">day is the </w:t>
      </w:r>
      <w:r w:rsidRPr="00114FDD">
        <w:rPr>
          <w:sz w:val="26"/>
          <w:szCs w:val="26"/>
        </w:rPr>
        <w:lastRenderedPageBreak/>
        <w:t>testing standard, it is most likely too high of an assumption and the actual usage of a household is closer to 50 gallons per day.</w:t>
      </w:r>
      <w:r w:rsidRPr="00114FDD">
        <w:rPr>
          <w:sz w:val="26"/>
          <w:szCs w:val="26"/>
          <w:vertAlign w:val="superscript"/>
        </w:rPr>
        <w:footnoteReference w:id="94"/>
      </w:r>
      <w:r w:rsidRPr="00114FDD">
        <w:rPr>
          <w:sz w:val="26"/>
          <w:szCs w:val="26"/>
        </w:rPr>
        <w:t xml:space="preserve"> </w:t>
      </w:r>
      <w:r w:rsidR="00271B84" w:rsidRPr="00114FDD">
        <w:rPr>
          <w:sz w:val="26"/>
          <w:szCs w:val="26"/>
        </w:rPr>
        <w:t xml:space="preserve"> </w:t>
      </w:r>
    </w:p>
    <w:p w:rsidR="00307D0A" w:rsidRDefault="00307D0A" w:rsidP="00B64A9F">
      <w:pPr>
        <w:spacing w:line="360" w:lineRule="auto"/>
        <w:ind w:firstLine="720"/>
        <w:rPr>
          <w:sz w:val="26"/>
          <w:szCs w:val="26"/>
        </w:rPr>
      </w:pPr>
    </w:p>
    <w:p w:rsidR="00036C90" w:rsidRPr="00114FDD" w:rsidRDefault="00036C90" w:rsidP="00B64A9F">
      <w:pPr>
        <w:spacing w:line="360" w:lineRule="auto"/>
        <w:ind w:firstLine="720"/>
        <w:rPr>
          <w:sz w:val="26"/>
          <w:szCs w:val="26"/>
        </w:rPr>
      </w:pPr>
      <w:r w:rsidRPr="00114FDD">
        <w:rPr>
          <w:sz w:val="26"/>
          <w:szCs w:val="26"/>
        </w:rPr>
        <w:t>Other studies confirm that 50 gallons per day is a more accurate assumption.</w:t>
      </w:r>
      <w:r w:rsidR="00307D0A">
        <w:rPr>
          <w:sz w:val="26"/>
          <w:szCs w:val="26"/>
        </w:rPr>
        <w:t xml:space="preserve">  </w:t>
      </w:r>
      <w:r w:rsidRPr="00114FDD">
        <w:rPr>
          <w:sz w:val="26"/>
          <w:szCs w:val="26"/>
        </w:rPr>
        <w:t>In a 1998 sub-group analysis of</w:t>
      </w:r>
      <w:r w:rsidR="00D70259" w:rsidRPr="00114FDD">
        <w:rPr>
          <w:sz w:val="26"/>
          <w:szCs w:val="26"/>
        </w:rPr>
        <w:t xml:space="preserve"> </w:t>
      </w:r>
      <w:r w:rsidR="00E03E2A">
        <w:rPr>
          <w:sz w:val="26"/>
          <w:szCs w:val="26"/>
        </w:rPr>
        <w:t xml:space="preserve">the </w:t>
      </w:r>
      <w:r w:rsidR="00D70259" w:rsidRPr="00114FDD">
        <w:rPr>
          <w:sz w:val="26"/>
          <w:szCs w:val="26"/>
        </w:rPr>
        <w:t>Retail Energy Consumption Survey</w:t>
      </w:r>
      <w:r w:rsidRPr="00114FDD">
        <w:rPr>
          <w:sz w:val="26"/>
          <w:szCs w:val="26"/>
        </w:rPr>
        <w:t xml:space="preserve"> </w:t>
      </w:r>
      <w:r w:rsidR="00D70259" w:rsidRPr="00114FDD">
        <w:rPr>
          <w:sz w:val="26"/>
          <w:szCs w:val="26"/>
        </w:rPr>
        <w:t>(</w:t>
      </w:r>
      <w:r w:rsidRPr="00114FDD">
        <w:rPr>
          <w:sz w:val="26"/>
          <w:szCs w:val="26"/>
        </w:rPr>
        <w:t>RECS</w:t>
      </w:r>
      <w:r w:rsidR="00D70259" w:rsidRPr="00114FDD">
        <w:rPr>
          <w:sz w:val="26"/>
          <w:szCs w:val="26"/>
        </w:rPr>
        <w:t>)</w:t>
      </w:r>
      <w:r w:rsidRPr="00114FDD">
        <w:rPr>
          <w:sz w:val="26"/>
          <w:szCs w:val="26"/>
        </w:rPr>
        <w:t xml:space="preserve"> data for residential hot water heaters, the average hot water usage per day was found to be 46.9 gallons.</w:t>
      </w:r>
      <w:r w:rsidRPr="00114FDD">
        <w:rPr>
          <w:sz w:val="26"/>
          <w:szCs w:val="26"/>
          <w:vertAlign w:val="superscript"/>
        </w:rPr>
        <w:footnoteReference w:id="95"/>
      </w:r>
      <w:r w:rsidRPr="00114FDD">
        <w:rPr>
          <w:sz w:val="26"/>
          <w:szCs w:val="26"/>
        </w:rPr>
        <w:t xml:space="preserve"> </w:t>
      </w:r>
      <w:r w:rsidR="00D70259" w:rsidRPr="00114FDD">
        <w:rPr>
          <w:sz w:val="26"/>
          <w:szCs w:val="26"/>
        </w:rPr>
        <w:t xml:space="preserve"> </w:t>
      </w:r>
      <w:r w:rsidRPr="00114FDD">
        <w:rPr>
          <w:sz w:val="26"/>
          <w:szCs w:val="26"/>
        </w:rPr>
        <w:t>A 2001 water heater technical support document using the Lawrence Berkeley National Laboratory draw model estimated daily consumption ranging from 45.3-49.9 gallons.</w:t>
      </w:r>
      <w:r w:rsidRPr="00114FDD">
        <w:rPr>
          <w:sz w:val="26"/>
          <w:szCs w:val="26"/>
          <w:vertAlign w:val="superscript"/>
        </w:rPr>
        <w:footnoteReference w:id="96"/>
      </w:r>
      <w:r w:rsidRPr="00114FDD">
        <w:rPr>
          <w:sz w:val="26"/>
          <w:szCs w:val="26"/>
        </w:rPr>
        <w:t xml:space="preserve"> </w:t>
      </w:r>
      <w:r w:rsidR="00D70259" w:rsidRPr="00114FDD">
        <w:rPr>
          <w:sz w:val="26"/>
          <w:szCs w:val="26"/>
        </w:rPr>
        <w:t xml:space="preserve"> </w:t>
      </w:r>
      <w:r w:rsidRPr="00114FDD">
        <w:rPr>
          <w:sz w:val="26"/>
          <w:szCs w:val="26"/>
        </w:rPr>
        <w:t>Additionally, Natural Resources Canada, the organization that provided the background for the initial 64.3 gallons per day standard, recently found that daily hot water usage has decreased to an average of 49 gallons per day.</w:t>
      </w:r>
      <w:r w:rsidRPr="00114FDD">
        <w:rPr>
          <w:sz w:val="26"/>
          <w:szCs w:val="26"/>
          <w:vertAlign w:val="superscript"/>
        </w:rPr>
        <w:footnoteReference w:id="97"/>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spacing w:line="360" w:lineRule="auto"/>
        <w:ind w:firstLine="720"/>
        <w:rPr>
          <w:sz w:val="26"/>
          <w:szCs w:val="26"/>
        </w:rPr>
      </w:pPr>
      <w:r w:rsidRPr="00114FDD">
        <w:rPr>
          <w:sz w:val="26"/>
          <w:szCs w:val="26"/>
        </w:rPr>
        <w:t>The Commission</w:t>
      </w:r>
      <w:r w:rsidR="00E03E2A">
        <w:rPr>
          <w:sz w:val="26"/>
          <w:szCs w:val="26"/>
        </w:rPr>
        <w:t>,</w:t>
      </w:r>
      <w:r w:rsidRPr="00114FDD">
        <w:rPr>
          <w:sz w:val="26"/>
          <w:szCs w:val="26"/>
        </w:rPr>
        <w:t xml:space="preserve"> therefore</w:t>
      </w:r>
      <w:r w:rsidR="00E03E2A">
        <w:rPr>
          <w:sz w:val="26"/>
          <w:szCs w:val="26"/>
        </w:rPr>
        <w:t>,</w:t>
      </w:r>
      <w:r w:rsidRPr="00114FDD">
        <w:rPr>
          <w:sz w:val="26"/>
          <w:szCs w:val="26"/>
        </w:rPr>
        <w:t xml:space="preserve"> proposes the use of the DOE</w:t>
      </w:r>
      <w:r w:rsidR="00D70259" w:rsidRPr="00114FDD">
        <w:rPr>
          <w:sz w:val="26"/>
          <w:szCs w:val="26"/>
        </w:rPr>
        <w:t>-</w:t>
      </w:r>
      <w:r w:rsidRPr="00114FDD">
        <w:rPr>
          <w:sz w:val="26"/>
          <w:szCs w:val="26"/>
        </w:rPr>
        <w:t xml:space="preserve">supported assumption of 50 gallons per day as the hot water usage assumption per household. </w:t>
      </w:r>
      <w:r w:rsidR="00D70259" w:rsidRPr="00114FDD">
        <w:rPr>
          <w:sz w:val="26"/>
          <w:szCs w:val="26"/>
        </w:rPr>
        <w:t xml:space="preserve"> </w:t>
      </w:r>
      <w:r w:rsidRPr="00114FDD">
        <w:rPr>
          <w:sz w:val="26"/>
          <w:szCs w:val="26"/>
        </w:rPr>
        <w:t xml:space="preserve">This change affects the following </w:t>
      </w:r>
      <w:r w:rsidR="00307D0A">
        <w:rPr>
          <w:sz w:val="26"/>
          <w:szCs w:val="26"/>
        </w:rPr>
        <w:t xml:space="preserve">2012 </w:t>
      </w:r>
      <w:r w:rsidRPr="00114FDD">
        <w:rPr>
          <w:sz w:val="26"/>
          <w:szCs w:val="26"/>
        </w:rPr>
        <w:t>TRM sections: Section 2.3 – Efficient Electric Water Heaters,</w:t>
      </w:r>
      <w:r w:rsidRPr="00114FDD">
        <w:rPr>
          <w:sz w:val="26"/>
          <w:szCs w:val="26"/>
          <w:vertAlign w:val="superscript"/>
        </w:rPr>
        <w:footnoteReference w:id="98"/>
      </w:r>
      <w:r w:rsidRPr="00114FDD">
        <w:rPr>
          <w:sz w:val="26"/>
          <w:szCs w:val="26"/>
        </w:rPr>
        <w:t xml:space="preserve"> Section 2.6 – Heat Pump Water Heaters,</w:t>
      </w:r>
      <w:r w:rsidRPr="00114FDD">
        <w:rPr>
          <w:sz w:val="26"/>
          <w:szCs w:val="26"/>
          <w:vertAlign w:val="superscript"/>
        </w:rPr>
        <w:footnoteReference w:id="99"/>
      </w:r>
      <w:r w:rsidRPr="00114FDD">
        <w:rPr>
          <w:sz w:val="26"/>
          <w:szCs w:val="26"/>
        </w:rPr>
        <w:t xml:space="preserve"> Section 2.14 – Solar Water Heaters,</w:t>
      </w:r>
      <w:r w:rsidRPr="00114FDD">
        <w:rPr>
          <w:sz w:val="26"/>
          <w:szCs w:val="26"/>
          <w:vertAlign w:val="superscript"/>
        </w:rPr>
        <w:footnoteReference w:id="100"/>
      </w:r>
      <w:r w:rsidRPr="00114FDD">
        <w:rPr>
          <w:sz w:val="26"/>
          <w:szCs w:val="26"/>
        </w:rPr>
        <w:t xml:space="preserve"> Section 2.15 – Electric Water Heater Pipe Insulation,</w:t>
      </w:r>
      <w:r w:rsidRPr="00114FDD">
        <w:rPr>
          <w:sz w:val="26"/>
          <w:szCs w:val="26"/>
          <w:vertAlign w:val="superscript"/>
        </w:rPr>
        <w:footnoteReference w:id="101"/>
      </w:r>
      <w:r w:rsidRPr="00114FDD">
        <w:rPr>
          <w:sz w:val="26"/>
          <w:szCs w:val="26"/>
        </w:rPr>
        <w:t xml:space="preserve"> Section 2.18 – Fuel Switching: Domestic Hot Water Electric to Gas,</w:t>
      </w:r>
      <w:r w:rsidRPr="00114FDD">
        <w:rPr>
          <w:sz w:val="26"/>
          <w:szCs w:val="26"/>
          <w:vertAlign w:val="superscript"/>
        </w:rPr>
        <w:footnoteReference w:id="102"/>
      </w:r>
      <w:r w:rsidRPr="00114FDD">
        <w:rPr>
          <w:sz w:val="26"/>
          <w:szCs w:val="26"/>
        </w:rPr>
        <w:t xml:space="preserve"> </w:t>
      </w:r>
      <w:r w:rsidR="00307D0A">
        <w:rPr>
          <w:sz w:val="26"/>
          <w:szCs w:val="26"/>
        </w:rPr>
        <w:t xml:space="preserve">and </w:t>
      </w:r>
      <w:r w:rsidRPr="00114FDD">
        <w:rPr>
          <w:sz w:val="26"/>
          <w:szCs w:val="26"/>
        </w:rPr>
        <w:t>Section 2.19 – Fuel Switching: Heat Pump Water Heater to Gas Water Heater.</w:t>
      </w:r>
      <w:r w:rsidRPr="00114FDD">
        <w:rPr>
          <w:sz w:val="26"/>
          <w:szCs w:val="26"/>
          <w:vertAlign w:val="superscript"/>
        </w:rPr>
        <w:footnoteReference w:id="103"/>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pStyle w:val="p3"/>
        <w:numPr>
          <w:ilvl w:val="1"/>
          <w:numId w:val="10"/>
        </w:numPr>
        <w:tabs>
          <w:tab w:val="clear" w:pos="204"/>
          <w:tab w:val="left" w:pos="720"/>
        </w:tabs>
        <w:spacing w:line="360" w:lineRule="auto"/>
        <w:ind w:hanging="720"/>
        <w:outlineLvl w:val="2"/>
        <w:rPr>
          <w:b/>
          <w:sz w:val="26"/>
          <w:szCs w:val="26"/>
        </w:rPr>
      </w:pPr>
      <w:bookmarkStart w:id="25" w:name="_Toc334175013"/>
      <w:r w:rsidRPr="00114FDD">
        <w:rPr>
          <w:b/>
          <w:sz w:val="26"/>
          <w:szCs w:val="26"/>
        </w:rPr>
        <w:lastRenderedPageBreak/>
        <w:t>Low Flow Faucet Aerator and Showerhead Protocols</w:t>
      </w:r>
      <w:bookmarkEnd w:id="25"/>
    </w:p>
    <w:p w:rsidR="00036C90" w:rsidRPr="00114FDD" w:rsidRDefault="00036C90" w:rsidP="00B64A9F">
      <w:pPr>
        <w:pStyle w:val="p3"/>
        <w:tabs>
          <w:tab w:val="clear" w:pos="204"/>
          <w:tab w:val="left" w:pos="720"/>
        </w:tabs>
        <w:spacing w:line="360" w:lineRule="auto"/>
        <w:ind w:left="1440"/>
        <w:rPr>
          <w:b/>
          <w:sz w:val="26"/>
          <w:szCs w:val="26"/>
        </w:rPr>
      </w:pPr>
    </w:p>
    <w:p w:rsidR="00036C90" w:rsidRPr="00114FDD" w:rsidRDefault="00036C90"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26" w:name="_Toc334175014"/>
      <w:r w:rsidRPr="00114FDD">
        <w:rPr>
          <w:b/>
          <w:sz w:val="26"/>
          <w:szCs w:val="26"/>
        </w:rPr>
        <w:t>Recovery Efficiency</w:t>
      </w:r>
      <w:bookmarkEnd w:id="26"/>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spacing w:line="360" w:lineRule="auto"/>
        <w:ind w:firstLine="720"/>
        <w:rPr>
          <w:sz w:val="26"/>
          <w:szCs w:val="26"/>
        </w:rPr>
      </w:pPr>
      <w:r w:rsidRPr="00114FDD">
        <w:rPr>
          <w:sz w:val="26"/>
          <w:szCs w:val="26"/>
        </w:rPr>
        <w:t xml:space="preserve">The 2012 TRM incorrectly values the recovery efficiency of an electric water heater as equal to the energy factor of an electric water heater, </w:t>
      </w:r>
      <w:r w:rsidR="00E03E2A">
        <w:rPr>
          <w:sz w:val="26"/>
          <w:szCs w:val="26"/>
        </w:rPr>
        <w:t xml:space="preserve">or </w:t>
      </w:r>
      <w:r w:rsidRPr="00114FDD">
        <w:rPr>
          <w:sz w:val="26"/>
          <w:szCs w:val="26"/>
        </w:rPr>
        <w:t>0.904.</w:t>
      </w:r>
      <w:r w:rsidRPr="00114FDD">
        <w:rPr>
          <w:sz w:val="26"/>
          <w:szCs w:val="26"/>
          <w:vertAlign w:val="superscript"/>
        </w:rPr>
        <w:footnoteReference w:id="104"/>
      </w:r>
      <w:r w:rsidRPr="00114FDD">
        <w:rPr>
          <w:sz w:val="26"/>
          <w:szCs w:val="26"/>
        </w:rPr>
        <w:t xml:space="preserve"> </w:t>
      </w:r>
      <w:r w:rsidR="00BC20D2" w:rsidRPr="00114FDD">
        <w:rPr>
          <w:sz w:val="26"/>
          <w:szCs w:val="26"/>
        </w:rPr>
        <w:t xml:space="preserve"> </w:t>
      </w:r>
      <w:r w:rsidRPr="00114FDD">
        <w:rPr>
          <w:sz w:val="26"/>
          <w:szCs w:val="26"/>
        </w:rPr>
        <w:t>The recovery efficiency of an electric water heater is defined as “how efficiently the heat from the energy source is transferred to the water</w:t>
      </w:r>
      <w:r w:rsidR="00E03E2A">
        <w:rPr>
          <w:sz w:val="26"/>
          <w:szCs w:val="26"/>
        </w:rPr>
        <w:t>.</w:t>
      </w:r>
      <w:r w:rsidRPr="00114FDD">
        <w:rPr>
          <w:sz w:val="26"/>
          <w:szCs w:val="26"/>
        </w:rPr>
        <w:t xml:space="preserve">” </w:t>
      </w:r>
      <w:r w:rsidR="00E03E2A">
        <w:rPr>
          <w:sz w:val="26"/>
          <w:szCs w:val="26"/>
        </w:rPr>
        <w:t xml:space="preserve"> </w:t>
      </w:r>
      <w:r w:rsidR="00DC3AAA">
        <w:rPr>
          <w:sz w:val="26"/>
          <w:szCs w:val="26"/>
        </w:rPr>
        <w:t>The</w:t>
      </w:r>
      <w:r w:rsidRPr="00114FDD">
        <w:rPr>
          <w:sz w:val="26"/>
          <w:szCs w:val="26"/>
        </w:rPr>
        <w:t xml:space="preserve"> energy factor is the overall efficiency which includes the recovery efficiency, standby losses and cycling losses.</w:t>
      </w:r>
      <w:r w:rsidRPr="00114FDD">
        <w:rPr>
          <w:sz w:val="26"/>
          <w:szCs w:val="26"/>
          <w:vertAlign w:val="superscript"/>
        </w:rPr>
        <w:footnoteReference w:id="105"/>
      </w:r>
      <w:r w:rsidR="00BC20D2" w:rsidRPr="00114FDD">
        <w:rPr>
          <w:sz w:val="26"/>
          <w:szCs w:val="26"/>
        </w:rPr>
        <w:t xml:space="preserve"> </w:t>
      </w:r>
      <w:r w:rsidRPr="00114FDD">
        <w:rPr>
          <w:sz w:val="26"/>
          <w:szCs w:val="26"/>
        </w:rPr>
        <w:t xml:space="preserve"> </w:t>
      </w:r>
      <w:r w:rsidR="00E03E2A">
        <w:rPr>
          <w:sz w:val="26"/>
          <w:szCs w:val="26"/>
        </w:rPr>
        <w:t>As such, the correct</w:t>
      </w:r>
      <w:r w:rsidRPr="00114FDD">
        <w:rPr>
          <w:sz w:val="26"/>
          <w:szCs w:val="26"/>
        </w:rPr>
        <w:t xml:space="preserve"> recovery efficiency of an electric water heater </w:t>
      </w:r>
      <w:r w:rsidR="00E03E2A">
        <w:rPr>
          <w:sz w:val="26"/>
          <w:szCs w:val="26"/>
        </w:rPr>
        <w:t>should be</w:t>
      </w:r>
      <w:r w:rsidR="00E03E2A" w:rsidRPr="00114FDD">
        <w:rPr>
          <w:sz w:val="26"/>
          <w:szCs w:val="26"/>
        </w:rPr>
        <w:t xml:space="preserve"> </w:t>
      </w:r>
      <w:r w:rsidRPr="00114FDD">
        <w:rPr>
          <w:sz w:val="26"/>
          <w:szCs w:val="26"/>
        </w:rPr>
        <w:t>0.98.</w:t>
      </w:r>
      <w:r w:rsidRPr="00114FDD">
        <w:rPr>
          <w:sz w:val="26"/>
          <w:szCs w:val="26"/>
          <w:vertAlign w:val="superscript"/>
        </w:rPr>
        <w:footnoteReference w:id="106"/>
      </w:r>
      <w:r w:rsidRPr="00114FDD">
        <w:rPr>
          <w:sz w:val="26"/>
          <w:szCs w:val="26"/>
        </w:rPr>
        <w:t xml:space="preserve"> </w:t>
      </w:r>
      <w:r w:rsidR="00BC20D2" w:rsidRPr="00114FDD">
        <w:rPr>
          <w:sz w:val="26"/>
          <w:szCs w:val="26"/>
        </w:rPr>
        <w:t xml:space="preserve"> </w:t>
      </w:r>
      <w:r w:rsidRPr="00114FDD">
        <w:rPr>
          <w:sz w:val="26"/>
          <w:szCs w:val="26"/>
        </w:rPr>
        <w:t>The Commission therefore proposes correcting the value from 0.904 to 0.98 in both Sections 2.9 – Low Flow Faucet Aerators and Section 2.10 – Low Flow Showerheads.</w:t>
      </w:r>
    </w:p>
    <w:p w:rsidR="00036C90" w:rsidRPr="00114FDD" w:rsidRDefault="00036C90" w:rsidP="00B64A9F">
      <w:pPr>
        <w:pStyle w:val="p3"/>
        <w:tabs>
          <w:tab w:val="clear" w:pos="204"/>
          <w:tab w:val="left" w:pos="0"/>
          <w:tab w:val="left" w:pos="720"/>
        </w:tabs>
        <w:spacing w:line="360" w:lineRule="auto"/>
        <w:rPr>
          <w:sz w:val="26"/>
          <w:szCs w:val="26"/>
          <w:shd w:val="clear" w:color="auto" w:fill="FFFFFF"/>
        </w:rPr>
      </w:pPr>
    </w:p>
    <w:p w:rsidR="00036C90" w:rsidRPr="00114FDD" w:rsidRDefault="00036C90" w:rsidP="00DC3AAA">
      <w:pPr>
        <w:pStyle w:val="p3"/>
        <w:numPr>
          <w:ilvl w:val="3"/>
          <w:numId w:val="10"/>
        </w:numPr>
        <w:tabs>
          <w:tab w:val="clear" w:pos="204"/>
          <w:tab w:val="left" w:pos="0"/>
          <w:tab w:val="left" w:pos="720"/>
        </w:tabs>
        <w:ind w:left="2160" w:hanging="720"/>
        <w:outlineLvl w:val="3"/>
        <w:rPr>
          <w:b/>
          <w:sz w:val="26"/>
          <w:szCs w:val="26"/>
        </w:rPr>
      </w:pPr>
      <w:bookmarkStart w:id="27" w:name="_Toc334175015"/>
      <w:r w:rsidRPr="00114FDD">
        <w:rPr>
          <w:b/>
          <w:sz w:val="26"/>
          <w:szCs w:val="26"/>
        </w:rPr>
        <w:t>Single Family and Multifamily Low Flow Showerhead Protocols</w:t>
      </w:r>
      <w:bookmarkEnd w:id="27"/>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spacing w:line="360" w:lineRule="auto"/>
        <w:ind w:firstLine="720"/>
        <w:rPr>
          <w:sz w:val="26"/>
          <w:szCs w:val="26"/>
        </w:rPr>
      </w:pPr>
      <w:r w:rsidRPr="00114FDD">
        <w:rPr>
          <w:sz w:val="26"/>
          <w:szCs w:val="26"/>
        </w:rPr>
        <w:t xml:space="preserve">The 2012 TRM deemed a single, statewide savings estimate for an aerator or showerhead installed in </w:t>
      </w:r>
      <w:r w:rsidR="00E03E2A">
        <w:rPr>
          <w:sz w:val="26"/>
          <w:szCs w:val="26"/>
        </w:rPr>
        <w:t>r</w:t>
      </w:r>
      <w:r w:rsidR="00E03E2A" w:rsidRPr="00114FDD">
        <w:rPr>
          <w:sz w:val="26"/>
          <w:szCs w:val="26"/>
        </w:rPr>
        <w:t xml:space="preserve">esidential </w:t>
      </w:r>
      <w:r w:rsidRPr="00114FDD">
        <w:rPr>
          <w:sz w:val="26"/>
          <w:szCs w:val="26"/>
        </w:rPr>
        <w:t xml:space="preserve">homes. </w:t>
      </w:r>
      <w:r w:rsidR="006722B9" w:rsidRPr="00114FDD">
        <w:rPr>
          <w:sz w:val="26"/>
          <w:szCs w:val="26"/>
        </w:rPr>
        <w:t xml:space="preserve"> </w:t>
      </w:r>
      <w:r w:rsidRPr="00114FDD">
        <w:rPr>
          <w:sz w:val="26"/>
          <w:szCs w:val="26"/>
        </w:rPr>
        <w:t>With the completion of the Residential Baseline Study</w:t>
      </w:r>
      <w:r w:rsidR="006722B9" w:rsidRPr="00114FDD">
        <w:rPr>
          <w:sz w:val="26"/>
          <w:szCs w:val="26"/>
        </w:rPr>
        <w:t>, there was enough Pennsylvania-</w:t>
      </w:r>
      <w:r w:rsidRPr="00114FDD">
        <w:rPr>
          <w:sz w:val="26"/>
          <w:szCs w:val="26"/>
        </w:rPr>
        <w:t>specific data to estimate deemed savings by housing type</w:t>
      </w:r>
      <w:r w:rsidR="00E03E2A">
        <w:rPr>
          <w:sz w:val="26"/>
          <w:szCs w:val="26"/>
        </w:rPr>
        <w:t>, both</w:t>
      </w:r>
      <w:r w:rsidRPr="00114FDD">
        <w:rPr>
          <w:sz w:val="26"/>
          <w:szCs w:val="26"/>
        </w:rPr>
        <w:t xml:space="preserve"> single family and multifamily. </w:t>
      </w:r>
      <w:r w:rsidR="006722B9" w:rsidRPr="00114FDD">
        <w:rPr>
          <w:sz w:val="26"/>
          <w:szCs w:val="26"/>
        </w:rPr>
        <w:t xml:space="preserve"> </w:t>
      </w:r>
      <w:r w:rsidRPr="00114FDD">
        <w:rPr>
          <w:sz w:val="26"/>
          <w:szCs w:val="26"/>
        </w:rPr>
        <w:t xml:space="preserve">Having different deemed savings values for these two housing types </w:t>
      </w:r>
      <w:r w:rsidR="00E03E2A">
        <w:rPr>
          <w:sz w:val="26"/>
          <w:szCs w:val="26"/>
        </w:rPr>
        <w:t>should</w:t>
      </w:r>
      <w:r w:rsidR="00E03E2A" w:rsidRPr="00114FDD">
        <w:rPr>
          <w:sz w:val="26"/>
          <w:szCs w:val="26"/>
        </w:rPr>
        <w:t xml:space="preserve"> </w:t>
      </w:r>
      <w:r w:rsidRPr="00114FDD">
        <w:rPr>
          <w:sz w:val="26"/>
          <w:szCs w:val="26"/>
        </w:rPr>
        <w:t xml:space="preserve">provide more accurate estimations of savings for low flow faucet aerators and showerheads. </w:t>
      </w:r>
      <w:r w:rsidR="006722B9" w:rsidRPr="00114FDD">
        <w:rPr>
          <w:sz w:val="26"/>
          <w:szCs w:val="26"/>
        </w:rPr>
        <w:t xml:space="preserve"> </w:t>
      </w:r>
      <w:r w:rsidRPr="00114FDD">
        <w:rPr>
          <w:sz w:val="26"/>
          <w:szCs w:val="26"/>
        </w:rPr>
        <w:t>For faucet aerators, using the separate housing types did not produce significantly different deemed savings based on</w:t>
      </w:r>
      <w:r w:rsidR="006722B9" w:rsidRPr="00114FDD">
        <w:rPr>
          <w:sz w:val="26"/>
          <w:szCs w:val="26"/>
        </w:rPr>
        <w:t xml:space="preserve"> </w:t>
      </w:r>
      <w:r w:rsidR="00E03E2A">
        <w:rPr>
          <w:sz w:val="26"/>
          <w:szCs w:val="26"/>
        </w:rPr>
        <w:t xml:space="preserve">the </w:t>
      </w:r>
      <w:r w:rsidR="006722B9" w:rsidRPr="00114FDD">
        <w:rPr>
          <w:sz w:val="26"/>
          <w:szCs w:val="26"/>
        </w:rPr>
        <w:t xml:space="preserve">Residential </w:t>
      </w:r>
      <w:r w:rsidRPr="00114FDD">
        <w:rPr>
          <w:sz w:val="26"/>
          <w:szCs w:val="26"/>
        </w:rPr>
        <w:t xml:space="preserve">Baseline Study data. </w:t>
      </w:r>
      <w:r w:rsidR="006722B9" w:rsidRPr="00114FDD">
        <w:rPr>
          <w:sz w:val="26"/>
          <w:szCs w:val="26"/>
        </w:rPr>
        <w:t xml:space="preserve"> </w:t>
      </w:r>
      <w:r w:rsidRPr="00114FDD">
        <w:rPr>
          <w:sz w:val="26"/>
          <w:szCs w:val="26"/>
        </w:rPr>
        <w:t>Showerheads, however, showed significant difference between the two housing types.</w:t>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A968FE" w:rsidP="00B64A9F">
      <w:pPr>
        <w:spacing w:line="360" w:lineRule="auto"/>
        <w:rPr>
          <w:sz w:val="26"/>
          <w:szCs w:val="26"/>
        </w:rPr>
      </w:pPr>
      <w:r w:rsidRPr="00114FDD">
        <w:rPr>
          <w:sz w:val="26"/>
          <w:szCs w:val="26"/>
        </w:rPr>
        <w:lastRenderedPageBreak/>
        <w:t xml:space="preserve"> </w:t>
      </w:r>
      <w:r w:rsidRPr="00114FDD">
        <w:rPr>
          <w:sz w:val="26"/>
          <w:szCs w:val="26"/>
        </w:rPr>
        <w:tab/>
      </w:r>
      <w:r w:rsidR="00036C90" w:rsidRPr="00114FDD">
        <w:rPr>
          <w:sz w:val="26"/>
          <w:szCs w:val="26"/>
        </w:rPr>
        <w:t xml:space="preserve">The Commission proposes to keep a single statewide savings value for faucet aerators and </w:t>
      </w:r>
      <w:r w:rsidR="00974A66" w:rsidRPr="00114FDD">
        <w:rPr>
          <w:sz w:val="26"/>
          <w:szCs w:val="26"/>
        </w:rPr>
        <w:t xml:space="preserve">to </w:t>
      </w:r>
      <w:r w:rsidR="00036C90" w:rsidRPr="00114FDD">
        <w:rPr>
          <w:sz w:val="26"/>
          <w:szCs w:val="26"/>
        </w:rPr>
        <w:t>have both single family and multifamily savings values</w:t>
      </w:r>
      <w:r w:rsidR="00974A66" w:rsidRPr="00114FDD">
        <w:rPr>
          <w:sz w:val="26"/>
          <w:szCs w:val="26"/>
        </w:rPr>
        <w:t>,</w:t>
      </w:r>
      <w:r w:rsidR="00036C90" w:rsidRPr="00114FDD">
        <w:rPr>
          <w:sz w:val="26"/>
          <w:szCs w:val="26"/>
        </w:rPr>
        <w:t xml:space="preserve"> in addition to a statewide value, for showerheads. </w:t>
      </w:r>
      <w:r w:rsidR="00974A66" w:rsidRPr="00114FDD">
        <w:rPr>
          <w:sz w:val="26"/>
          <w:szCs w:val="26"/>
        </w:rPr>
        <w:t xml:space="preserve"> </w:t>
      </w:r>
      <w:r w:rsidR="00036C90" w:rsidRPr="00114FDD">
        <w:rPr>
          <w:sz w:val="26"/>
          <w:szCs w:val="26"/>
        </w:rPr>
        <w:t>This will allow EDCs to more accurately account for the savings achieved through programs which distribute these measures and track the housing type in which they are installed.</w:t>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DC3AAA">
      <w:pPr>
        <w:pStyle w:val="p3"/>
        <w:numPr>
          <w:ilvl w:val="3"/>
          <w:numId w:val="10"/>
        </w:numPr>
        <w:tabs>
          <w:tab w:val="clear" w:pos="204"/>
          <w:tab w:val="left" w:pos="0"/>
          <w:tab w:val="left" w:pos="720"/>
        </w:tabs>
        <w:ind w:left="2160" w:hanging="720"/>
        <w:outlineLvl w:val="3"/>
        <w:rPr>
          <w:b/>
          <w:sz w:val="26"/>
          <w:szCs w:val="26"/>
        </w:rPr>
      </w:pPr>
      <w:bookmarkStart w:id="28" w:name="_Toc334175016"/>
      <w:r w:rsidRPr="00114FDD">
        <w:rPr>
          <w:b/>
          <w:sz w:val="26"/>
          <w:szCs w:val="26"/>
        </w:rPr>
        <w:t>Low Flow Faucet Aerator Algorithm and Assumptions</w:t>
      </w:r>
      <w:bookmarkEnd w:id="28"/>
    </w:p>
    <w:p w:rsidR="00036C90" w:rsidRPr="00114FDD" w:rsidRDefault="00036C90" w:rsidP="00B64A9F">
      <w:pPr>
        <w:pStyle w:val="p3"/>
        <w:tabs>
          <w:tab w:val="clear" w:pos="204"/>
          <w:tab w:val="left" w:pos="0"/>
          <w:tab w:val="left" w:pos="720"/>
        </w:tabs>
        <w:spacing w:line="360" w:lineRule="auto"/>
        <w:rPr>
          <w:b/>
          <w:sz w:val="26"/>
          <w:szCs w:val="26"/>
        </w:rPr>
      </w:pPr>
    </w:p>
    <w:p w:rsidR="00036C90" w:rsidRPr="00114FDD" w:rsidRDefault="00036C90" w:rsidP="00B64A9F">
      <w:pPr>
        <w:spacing w:line="360" w:lineRule="auto"/>
        <w:rPr>
          <w:sz w:val="26"/>
          <w:szCs w:val="26"/>
        </w:rPr>
      </w:pPr>
      <w:r w:rsidRPr="00114FDD">
        <w:rPr>
          <w:sz w:val="26"/>
          <w:szCs w:val="26"/>
        </w:rPr>
        <w:tab/>
        <w:t xml:space="preserve">The 2012 TRM algorithm for low flow faucet aerators assumes the baseline and low flow rates of the faucet are equal to the rated flow rates of the baseline and low flow aerators. </w:t>
      </w:r>
      <w:r w:rsidR="00974A66" w:rsidRPr="00114FDD">
        <w:rPr>
          <w:sz w:val="26"/>
          <w:szCs w:val="26"/>
        </w:rPr>
        <w:t xml:space="preserve"> </w:t>
      </w:r>
      <w:r w:rsidRPr="00114FDD">
        <w:rPr>
          <w:sz w:val="26"/>
          <w:szCs w:val="26"/>
        </w:rPr>
        <w:t>This assumption would be correct if the faucet were always operating at full flow.</w:t>
      </w:r>
      <w:r w:rsidR="00974A66" w:rsidRPr="00114FDD">
        <w:rPr>
          <w:sz w:val="26"/>
          <w:szCs w:val="26"/>
        </w:rPr>
        <w:t xml:space="preserve"> </w:t>
      </w:r>
      <w:r w:rsidRPr="00114FDD">
        <w:rPr>
          <w:sz w:val="26"/>
          <w:szCs w:val="26"/>
        </w:rPr>
        <w:t xml:space="preserve"> In </w:t>
      </w:r>
      <w:r w:rsidR="00E618A5">
        <w:rPr>
          <w:sz w:val="26"/>
          <w:szCs w:val="26"/>
        </w:rPr>
        <w:t>r</w:t>
      </w:r>
      <w:r w:rsidR="00E618A5" w:rsidRPr="00114FDD">
        <w:rPr>
          <w:sz w:val="26"/>
          <w:szCs w:val="26"/>
        </w:rPr>
        <w:t xml:space="preserve">esidential </w:t>
      </w:r>
      <w:r w:rsidRPr="00114FDD">
        <w:rPr>
          <w:sz w:val="26"/>
          <w:szCs w:val="26"/>
        </w:rPr>
        <w:t xml:space="preserve">homes, faucet flow is throttled and is not always equal to the rated flow rates. </w:t>
      </w:r>
      <w:r w:rsidR="00974A66" w:rsidRPr="00114FDD">
        <w:rPr>
          <w:sz w:val="26"/>
          <w:szCs w:val="26"/>
        </w:rPr>
        <w:t xml:space="preserve"> </w:t>
      </w:r>
      <w:r w:rsidRPr="00114FDD">
        <w:rPr>
          <w:sz w:val="26"/>
          <w:szCs w:val="26"/>
        </w:rPr>
        <w:t xml:space="preserve">A more appropriate assumption for flow rates would be the average flow of water over an extended period of time rather than an instantaneous, maximum flow measurement. </w:t>
      </w:r>
      <w:r w:rsidR="00974A66" w:rsidRPr="00114FDD">
        <w:rPr>
          <w:sz w:val="26"/>
          <w:szCs w:val="26"/>
        </w:rPr>
        <w:t xml:space="preserve"> </w:t>
      </w:r>
      <w:r w:rsidRPr="00114FDD">
        <w:rPr>
          <w:sz w:val="26"/>
          <w:szCs w:val="26"/>
        </w:rPr>
        <w:t>Furthermore, the 2012 TRM cites only a single source for the average usage of a faucet per person per day.</w:t>
      </w:r>
      <w:r w:rsidRPr="00114FDD">
        <w:rPr>
          <w:sz w:val="26"/>
          <w:szCs w:val="26"/>
          <w:vertAlign w:val="superscript"/>
        </w:rPr>
        <w:footnoteReference w:id="107"/>
      </w:r>
      <w:r w:rsidRPr="00114FDD">
        <w:rPr>
          <w:sz w:val="26"/>
          <w:szCs w:val="26"/>
        </w:rPr>
        <w:t xml:space="preserve"> </w:t>
      </w:r>
      <w:r w:rsidR="00974A66" w:rsidRPr="00114FDD">
        <w:rPr>
          <w:sz w:val="26"/>
          <w:szCs w:val="26"/>
        </w:rPr>
        <w:t xml:space="preserve"> </w:t>
      </w:r>
      <w:r w:rsidRPr="00114FDD">
        <w:rPr>
          <w:sz w:val="26"/>
          <w:szCs w:val="26"/>
        </w:rPr>
        <w:t xml:space="preserve">There are many studies with conflicting findings on this value, and thus a single study may not be accurate. </w:t>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spacing w:line="360" w:lineRule="auto"/>
        <w:rPr>
          <w:sz w:val="26"/>
          <w:szCs w:val="26"/>
        </w:rPr>
      </w:pPr>
      <w:r w:rsidRPr="00114FDD">
        <w:rPr>
          <w:sz w:val="26"/>
          <w:szCs w:val="26"/>
        </w:rPr>
        <w:tab/>
        <w:t xml:space="preserve">Additionally, the current algorithm claims savings for all flow that passes through an aerator. </w:t>
      </w:r>
      <w:r w:rsidR="00974A66" w:rsidRPr="00114FDD">
        <w:rPr>
          <w:sz w:val="26"/>
          <w:szCs w:val="26"/>
        </w:rPr>
        <w:t xml:space="preserve"> </w:t>
      </w:r>
      <w:r w:rsidRPr="00114FDD">
        <w:rPr>
          <w:sz w:val="26"/>
          <w:szCs w:val="26"/>
        </w:rPr>
        <w:t>If the faucet is used to fill a container of fixed volume</w:t>
      </w:r>
      <w:r w:rsidR="00307D0A">
        <w:rPr>
          <w:sz w:val="26"/>
          <w:szCs w:val="26"/>
        </w:rPr>
        <w:t>,</w:t>
      </w:r>
      <w:r w:rsidRPr="00114FDD">
        <w:rPr>
          <w:sz w:val="26"/>
          <w:szCs w:val="26"/>
        </w:rPr>
        <w:t xml:space="preserve"> such as a cup or bowl, the same amount of water, and therefore energy, is consumed whether or not a low flow aerator is used</w:t>
      </w:r>
      <w:r w:rsidR="00E618A5">
        <w:rPr>
          <w:sz w:val="26"/>
          <w:szCs w:val="26"/>
        </w:rPr>
        <w:t>, resulting in</w:t>
      </w:r>
      <w:r w:rsidRPr="00114FDD">
        <w:rPr>
          <w:sz w:val="26"/>
          <w:szCs w:val="26"/>
        </w:rPr>
        <w:t xml:space="preserve"> no savings</w:t>
      </w:r>
      <w:r w:rsidR="00E618A5">
        <w:rPr>
          <w:sz w:val="26"/>
          <w:szCs w:val="26"/>
        </w:rPr>
        <w:t xml:space="preserve">. </w:t>
      </w:r>
      <w:r w:rsidRPr="00114FDD">
        <w:rPr>
          <w:sz w:val="26"/>
          <w:szCs w:val="26"/>
        </w:rPr>
        <w:t xml:space="preserve"> </w:t>
      </w:r>
      <w:r w:rsidR="00E618A5">
        <w:rPr>
          <w:sz w:val="26"/>
          <w:szCs w:val="26"/>
        </w:rPr>
        <w:t>S</w:t>
      </w:r>
      <w:r w:rsidRPr="00114FDD">
        <w:rPr>
          <w:sz w:val="26"/>
          <w:szCs w:val="26"/>
        </w:rPr>
        <w:t>avings are only achieved for flow that goes down the drain.</w:t>
      </w:r>
      <w:r w:rsidR="00974A66" w:rsidRPr="00114FDD">
        <w:rPr>
          <w:sz w:val="26"/>
          <w:szCs w:val="26"/>
        </w:rPr>
        <w:t xml:space="preserve"> </w:t>
      </w:r>
      <w:r w:rsidRPr="00114FDD">
        <w:rPr>
          <w:sz w:val="26"/>
          <w:szCs w:val="26"/>
        </w:rPr>
        <w:t xml:space="preserve"> Also, the definition used for the parameter “</w:t>
      </w:r>
      <w:r w:rsidRPr="00114FDD">
        <w:rPr>
          <w:sz w:val="26"/>
          <w:szCs w:val="26"/>
        </w:rPr>
        <w:sym w:font="Symbol" w:char="F044"/>
      </w:r>
      <w:r w:rsidRPr="00114FDD">
        <w:rPr>
          <w:sz w:val="26"/>
          <w:szCs w:val="26"/>
        </w:rPr>
        <w:t>T” is incorrect.</w:t>
      </w:r>
      <w:r w:rsidR="00974A66" w:rsidRPr="00114FDD">
        <w:rPr>
          <w:sz w:val="26"/>
          <w:szCs w:val="26"/>
        </w:rPr>
        <w:t xml:space="preserve"> </w:t>
      </w:r>
      <w:r w:rsidRPr="00114FDD">
        <w:rPr>
          <w:sz w:val="26"/>
          <w:szCs w:val="26"/>
        </w:rPr>
        <w:t xml:space="preserve"> The 2012 TRM defines “</w:t>
      </w:r>
      <w:r w:rsidRPr="00114FDD">
        <w:rPr>
          <w:sz w:val="26"/>
          <w:szCs w:val="26"/>
        </w:rPr>
        <w:sym w:font="Symbol" w:char="F044"/>
      </w:r>
      <w:r w:rsidRPr="00114FDD">
        <w:rPr>
          <w:sz w:val="26"/>
          <w:szCs w:val="26"/>
        </w:rPr>
        <w:t>T” as “average temperature differential between hot and cold water.”</w:t>
      </w:r>
      <w:r w:rsidRPr="00114FDD">
        <w:rPr>
          <w:sz w:val="26"/>
          <w:szCs w:val="26"/>
          <w:vertAlign w:val="superscript"/>
        </w:rPr>
        <w:footnoteReference w:id="108"/>
      </w:r>
      <w:r w:rsidRPr="00114FDD">
        <w:rPr>
          <w:sz w:val="26"/>
          <w:szCs w:val="26"/>
        </w:rPr>
        <w:t xml:space="preserve"> </w:t>
      </w:r>
      <w:r w:rsidR="00974A66" w:rsidRPr="00114FDD">
        <w:rPr>
          <w:sz w:val="26"/>
          <w:szCs w:val="26"/>
        </w:rPr>
        <w:t xml:space="preserve"> </w:t>
      </w:r>
      <w:r w:rsidRPr="00114FDD">
        <w:rPr>
          <w:sz w:val="26"/>
          <w:szCs w:val="26"/>
        </w:rPr>
        <w:t>This definition is incorrect because the water that flows through the aerator is a mix of both hot and cold water, not solely hot water.</w:t>
      </w:r>
    </w:p>
    <w:p w:rsidR="00036C90" w:rsidRPr="00114FDD" w:rsidRDefault="00036C90" w:rsidP="00B64A9F">
      <w:pPr>
        <w:spacing w:line="360" w:lineRule="auto"/>
        <w:rPr>
          <w:sz w:val="26"/>
          <w:szCs w:val="26"/>
        </w:rPr>
      </w:pPr>
      <w:r w:rsidRPr="00114FDD">
        <w:rPr>
          <w:sz w:val="26"/>
          <w:szCs w:val="26"/>
        </w:rPr>
        <w:lastRenderedPageBreak/>
        <w:tab/>
      </w:r>
      <w:r w:rsidR="00E618A5">
        <w:rPr>
          <w:sz w:val="26"/>
          <w:szCs w:val="26"/>
        </w:rPr>
        <w:t>Based on these facts</w:t>
      </w:r>
      <w:r w:rsidRPr="00114FDD">
        <w:rPr>
          <w:sz w:val="26"/>
          <w:szCs w:val="26"/>
        </w:rPr>
        <w:t xml:space="preserve">, the Commission proposes adjusting the baseline and low flow aerator flow rates. </w:t>
      </w:r>
      <w:r w:rsidR="00974A66" w:rsidRPr="00114FDD">
        <w:rPr>
          <w:sz w:val="26"/>
          <w:szCs w:val="26"/>
        </w:rPr>
        <w:t xml:space="preserve"> </w:t>
      </w:r>
      <w:r w:rsidRPr="00114FDD">
        <w:rPr>
          <w:sz w:val="26"/>
          <w:szCs w:val="26"/>
        </w:rPr>
        <w:t>The new values, from the 2012 Illinois TRM,</w:t>
      </w:r>
      <w:r w:rsidRPr="00114FDD">
        <w:rPr>
          <w:sz w:val="26"/>
          <w:szCs w:val="26"/>
          <w:vertAlign w:val="superscript"/>
        </w:rPr>
        <w:footnoteReference w:id="109"/>
      </w:r>
      <w:r w:rsidRPr="00114FDD">
        <w:rPr>
          <w:sz w:val="26"/>
          <w:szCs w:val="26"/>
        </w:rPr>
        <w:t xml:space="preserve"> take throttling into account and are confirmed by multiple sources. </w:t>
      </w:r>
      <w:r w:rsidR="00974A66" w:rsidRPr="00114FDD">
        <w:rPr>
          <w:sz w:val="26"/>
          <w:szCs w:val="26"/>
        </w:rPr>
        <w:t xml:space="preserve"> </w:t>
      </w:r>
      <w:r w:rsidR="00E618A5">
        <w:rPr>
          <w:sz w:val="26"/>
          <w:szCs w:val="26"/>
        </w:rPr>
        <w:t>As such</w:t>
      </w:r>
      <w:r w:rsidRPr="00114FDD">
        <w:rPr>
          <w:sz w:val="26"/>
          <w:szCs w:val="26"/>
        </w:rPr>
        <w:t>, the Commission propose</w:t>
      </w:r>
      <w:r w:rsidR="00974A66" w:rsidRPr="00114FDD">
        <w:rPr>
          <w:sz w:val="26"/>
          <w:szCs w:val="26"/>
        </w:rPr>
        <w:t>s</w:t>
      </w:r>
      <w:r w:rsidRPr="00114FDD">
        <w:rPr>
          <w:sz w:val="26"/>
          <w:szCs w:val="26"/>
        </w:rPr>
        <w:t xml:space="preserve"> the adoption of the daily faucet water usage assumption from the 2012 Illinois TRM of 9.85 minutes per person per day,</w:t>
      </w:r>
      <w:r w:rsidRPr="00114FDD">
        <w:rPr>
          <w:sz w:val="26"/>
          <w:szCs w:val="26"/>
          <w:vertAlign w:val="superscript"/>
        </w:rPr>
        <w:footnoteReference w:id="110"/>
      </w:r>
      <w:r w:rsidRPr="00114FDD">
        <w:rPr>
          <w:sz w:val="26"/>
          <w:szCs w:val="26"/>
        </w:rPr>
        <w:t xml:space="preserve"> an increase from the current assumption of 4.95 minutes per person per day.</w:t>
      </w:r>
      <w:r w:rsidRPr="00114FDD">
        <w:rPr>
          <w:sz w:val="26"/>
          <w:szCs w:val="26"/>
          <w:vertAlign w:val="superscript"/>
        </w:rPr>
        <w:footnoteReference w:id="111"/>
      </w:r>
      <w:r w:rsidRPr="00114FDD">
        <w:rPr>
          <w:sz w:val="26"/>
          <w:szCs w:val="26"/>
        </w:rPr>
        <w:t xml:space="preserve"> </w:t>
      </w:r>
      <w:r w:rsidR="00974A66" w:rsidRPr="00114FDD">
        <w:rPr>
          <w:sz w:val="26"/>
          <w:szCs w:val="26"/>
        </w:rPr>
        <w:t xml:space="preserve"> </w:t>
      </w:r>
      <w:r w:rsidRPr="00114FDD">
        <w:rPr>
          <w:sz w:val="26"/>
          <w:szCs w:val="26"/>
        </w:rPr>
        <w:t>The new value is consistent with the range of values cited in Illinois TRM from multiple sources.</w:t>
      </w:r>
    </w:p>
    <w:p w:rsidR="00036C90" w:rsidRPr="00114FDD" w:rsidRDefault="00036C90" w:rsidP="00B64A9F">
      <w:pPr>
        <w:pStyle w:val="p3"/>
        <w:tabs>
          <w:tab w:val="clear" w:pos="204"/>
          <w:tab w:val="left" w:pos="0"/>
          <w:tab w:val="left" w:pos="720"/>
        </w:tabs>
        <w:spacing w:line="360" w:lineRule="auto"/>
        <w:rPr>
          <w:sz w:val="26"/>
          <w:szCs w:val="26"/>
        </w:rPr>
      </w:pPr>
      <w:r w:rsidRPr="00114FDD">
        <w:rPr>
          <w:sz w:val="26"/>
          <w:szCs w:val="26"/>
        </w:rPr>
        <w:tab/>
      </w:r>
    </w:p>
    <w:p w:rsidR="00036C90" w:rsidRPr="00114FDD" w:rsidRDefault="00036C90" w:rsidP="00B64A9F">
      <w:pPr>
        <w:spacing w:line="360" w:lineRule="auto"/>
        <w:rPr>
          <w:sz w:val="26"/>
          <w:szCs w:val="26"/>
        </w:rPr>
      </w:pPr>
      <w:r w:rsidRPr="00114FDD">
        <w:rPr>
          <w:sz w:val="26"/>
          <w:szCs w:val="26"/>
        </w:rPr>
        <w:tab/>
      </w:r>
      <w:r w:rsidR="00E618A5">
        <w:rPr>
          <w:sz w:val="26"/>
          <w:szCs w:val="26"/>
        </w:rPr>
        <w:t>In addition</w:t>
      </w:r>
      <w:r w:rsidRPr="00114FDD">
        <w:rPr>
          <w:sz w:val="26"/>
          <w:szCs w:val="26"/>
        </w:rPr>
        <w:t>, the Commission proposes adding a “Drain Factor” of 79.5% to account for the fact that not all water that flows through an aerator goes down the drain.</w:t>
      </w:r>
      <w:r w:rsidRPr="00114FDD">
        <w:rPr>
          <w:sz w:val="26"/>
          <w:szCs w:val="26"/>
          <w:vertAlign w:val="superscript"/>
        </w:rPr>
        <w:footnoteReference w:id="112"/>
      </w:r>
      <w:r w:rsidRPr="00114FDD">
        <w:rPr>
          <w:sz w:val="26"/>
          <w:szCs w:val="26"/>
        </w:rPr>
        <w:t xml:space="preserve"> </w:t>
      </w:r>
      <w:r w:rsidR="00974A66" w:rsidRPr="00114FDD">
        <w:rPr>
          <w:sz w:val="26"/>
          <w:szCs w:val="26"/>
        </w:rPr>
        <w:t xml:space="preserve"> </w:t>
      </w:r>
      <w:r w:rsidR="00E618A5">
        <w:rPr>
          <w:sz w:val="26"/>
          <w:szCs w:val="26"/>
        </w:rPr>
        <w:t>Finally</w:t>
      </w:r>
      <w:r w:rsidRPr="00114FDD">
        <w:rPr>
          <w:sz w:val="26"/>
          <w:szCs w:val="26"/>
        </w:rPr>
        <w:t xml:space="preserve">, the Commission proposes updating the definition </w:t>
      </w:r>
      <w:r w:rsidR="00E618A5">
        <w:rPr>
          <w:sz w:val="26"/>
          <w:szCs w:val="26"/>
        </w:rPr>
        <w:t>for</w:t>
      </w:r>
      <w:r w:rsidR="00E618A5" w:rsidRPr="00114FDD">
        <w:rPr>
          <w:sz w:val="26"/>
          <w:szCs w:val="26"/>
        </w:rPr>
        <w:t xml:space="preserve"> </w:t>
      </w:r>
      <w:r w:rsidRPr="00114FDD">
        <w:rPr>
          <w:sz w:val="26"/>
          <w:szCs w:val="26"/>
        </w:rPr>
        <w:t>“</w:t>
      </w:r>
      <w:r w:rsidRPr="00114FDD">
        <w:rPr>
          <w:sz w:val="26"/>
          <w:szCs w:val="26"/>
        </w:rPr>
        <w:sym w:font="Symbol" w:char="F044"/>
      </w:r>
      <w:r w:rsidRPr="00114FDD">
        <w:rPr>
          <w:sz w:val="26"/>
          <w:szCs w:val="26"/>
        </w:rPr>
        <w:t xml:space="preserve">T” to </w:t>
      </w:r>
      <w:r w:rsidR="00E618A5">
        <w:rPr>
          <w:sz w:val="26"/>
          <w:szCs w:val="26"/>
        </w:rPr>
        <w:t xml:space="preserve">the </w:t>
      </w:r>
      <w:r w:rsidRPr="00114FDD">
        <w:rPr>
          <w:sz w:val="26"/>
          <w:szCs w:val="26"/>
        </w:rPr>
        <w:t>“</w:t>
      </w:r>
      <w:r w:rsidR="00E618A5">
        <w:rPr>
          <w:sz w:val="26"/>
          <w:szCs w:val="26"/>
        </w:rPr>
        <w:t>a</w:t>
      </w:r>
      <w:r w:rsidRPr="00114FDD">
        <w:rPr>
          <w:sz w:val="26"/>
          <w:szCs w:val="26"/>
        </w:rPr>
        <w:t>verage temperature differential between outgoing mixed faucet water and supply water” and updating the value to 35°F to reflect this change in definition.</w:t>
      </w:r>
      <w:r w:rsidRPr="00114FDD">
        <w:rPr>
          <w:sz w:val="26"/>
          <w:szCs w:val="26"/>
          <w:vertAlign w:val="superscript"/>
        </w:rPr>
        <w:footnoteReference w:id="113"/>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DC3AAA">
      <w:pPr>
        <w:pStyle w:val="p3"/>
        <w:numPr>
          <w:ilvl w:val="3"/>
          <w:numId w:val="10"/>
        </w:numPr>
        <w:tabs>
          <w:tab w:val="clear" w:pos="204"/>
          <w:tab w:val="left" w:pos="0"/>
          <w:tab w:val="left" w:pos="720"/>
        </w:tabs>
        <w:ind w:left="2160" w:hanging="720"/>
        <w:outlineLvl w:val="3"/>
        <w:rPr>
          <w:b/>
          <w:sz w:val="26"/>
          <w:szCs w:val="26"/>
        </w:rPr>
      </w:pPr>
      <w:bookmarkStart w:id="29" w:name="_Toc334175017"/>
      <w:r w:rsidRPr="00114FDD">
        <w:rPr>
          <w:b/>
          <w:sz w:val="26"/>
          <w:szCs w:val="26"/>
        </w:rPr>
        <w:t>Low Flow Showerhead Temperature Assumption</w:t>
      </w:r>
      <w:r w:rsidR="003975B5">
        <w:rPr>
          <w:b/>
          <w:sz w:val="26"/>
          <w:szCs w:val="26"/>
        </w:rPr>
        <w:t>s</w:t>
      </w:r>
      <w:bookmarkEnd w:id="29"/>
    </w:p>
    <w:p w:rsidR="00036C90" w:rsidRPr="00114FDD" w:rsidRDefault="00036C90" w:rsidP="00B64A9F">
      <w:pPr>
        <w:pStyle w:val="p3"/>
        <w:tabs>
          <w:tab w:val="clear" w:pos="204"/>
          <w:tab w:val="left" w:pos="0"/>
          <w:tab w:val="left" w:pos="720"/>
        </w:tabs>
        <w:spacing w:line="360" w:lineRule="auto"/>
        <w:rPr>
          <w:b/>
          <w:sz w:val="26"/>
          <w:szCs w:val="26"/>
        </w:rPr>
      </w:pPr>
    </w:p>
    <w:p w:rsidR="00036C90" w:rsidRPr="00114FDD" w:rsidRDefault="00036C90" w:rsidP="00B64A9F">
      <w:pPr>
        <w:spacing w:line="360" w:lineRule="auto"/>
        <w:rPr>
          <w:sz w:val="26"/>
          <w:szCs w:val="26"/>
        </w:rPr>
      </w:pPr>
      <w:r w:rsidRPr="00114FDD">
        <w:rPr>
          <w:b/>
          <w:sz w:val="26"/>
          <w:szCs w:val="26"/>
        </w:rPr>
        <w:tab/>
      </w:r>
      <w:r w:rsidRPr="00114FDD">
        <w:rPr>
          <w:sz w:val="26"/>
          <w:szCs w:val="26"/>
        </w:rPr>
        <w:t>The 2012 TRM assumes a temperature of 120°F as the average temperature of water used by a shower.</w:t>
      </w:r>
      <w:r w:rsidRPr="00114FDD">
        <w:rPr>
          <w:sz w:val="26"/>
          <w:szCs w:val="26"/>
          <w:vertAlign w:val="superscript"/>
        </w:rPr>
        <w:footnoteReference w:id="114"/>
      </w:r>
      <w:r w:rsidRPr="00114FDD">
        <w:rPr>
          <w:sz w:val="26"/>
          <w:szCs w:val="26"/>
        </w:rPr>
        <w:t xml:space="preserve"> </w:t>
      </w:r>
      <w:r w:rsidR="00974A66" w:rsidRPr="00114FDD">
        <w:rPr>
          <w:sz w:val="26"/>
          <w:szCs w:val="26"/>
        </w:rPr>
        <w:t xml:space="preserve"> </w:t>
      </w:r>
      <w:r w:rsidRPr="00114FDD">
        <w:rPr>
          <w:sz w:val="26"/>
          <w:szCs w:val="26"/>
        </w:rPr>
        <w:t>This assumption is fundamentally incorrect</w:t>
      </w:r>
      <w:r w:rsidR="00E618A5">
        <w:rPr>
          <w:sz w:val="26"/>
          <w:szCs w:val="26"/>
        </w:rPr>
        <w:t xml:space="preserve"> as</w:t>
      </w:r>
      <w:r w:rsidRPr="00114FDD">
        <w:rPr>
          <w:sz w:val="26"/>
          <w:szCs w:val="26"/>
        </w:rPr>
        <w:t xml:space="preserve"> a shower uses a mix of both hot and cold water</w:t>
      </w:r>
      <w:r w:rsidR="00950CF4">
        <w:rPr>
          <w:sz w:val="26"/>
          <w:szCs w:val="26"/>
        </w:rPr>
        <w:t>, resulting in</w:t>
      </w:r>
      <w:r w:rsidRPr="00114FDD">
        <w:rPr>
          <w:sz w:val="26"/>
          <w:szCs w:val="26"/>
        </w:rPr>
        <w:t xml:space="preserve"> the mixed temperature </w:t>
      </w:r>
      <w:r w:rsidR="00950CF4">
        <w:rPr>
          <w:sz w:val="26"/>
          <w:szCs w:val="26"/>
        </w:rPr>
        <w:t>being</w:t>
      </w:r>
      <w:r w:rsidRPr="00114FDD">
        <w:rPr>
          <w:sz w:val="26"/>
          <w:szCs w:val="26"/>
        </w:rPr>
        <w:t xml:space="preserve"> lower than 120°F, the temperature of water leaving the electric water heater.</w:t>
      </w:r>
      <w:r w:rsidR="00974A66" w:rsidRPr="00114FDD">
        <w:rPr>
          <w:sz w:val="26"/>
          <w:szCs w:val="26"/>
        </w:rPr>
        <w:t xml:space="preserve"> </w:t>
      </w:r>
      <w:r w:rsidRPr="00114FDD">
        <w:rPr>
          <w:sz w:val="26"/>
          <w:szCs w:val="26"/>
        </w:rPr>
        <w:t xml:space="preserve"> </w:t>
      </w:r>
      <w:r w:rsidR="00950CF4">
        <w:rPr>
          <w:sz w:val="26"/>
          <w:szCs w:val="26"/>
        </w:rPr>
        <w:t>We believe a</w:t>
      </w:r>
      <w:r w:rsidRPr="00114FDD">
        <w:rPr>
          <w:sz w:val="26"/>
          <w:szCs w:val="26"/>
        </w:rPr>
        <w:t xml:space="preserve"> more appropriate assumption </w:t>
      </w:r>
      <w:r w:rsidR="00950CF4">
        <w:rPr>
          <w:sz w:val="26"/>
          <w:szCs w:val="26"/>
        </w:rPr>
        <w:t>should be the</w:t>
      </w:r>
      <w:r w:rsidR="00950CF4" w:rsidRPr="00114FDD">
        <w:rPr>
          <w:sz w:val="26"/>
          <w:szCs w:val="26"/>
        </w:rPr>
        <w:t xml:space="preserve"> </w:t>
      </w:r>
      <w:r w:rsidRPr="00114FDD">
        <w:rPr>
          <w:sz w:val="26"/>
          <w:szCs w:val="26"/>
        </w:rPr>
        <w:t xml:space="preserve">105°F </w:t>
      </w:r>
      <w:r w:rsidR="00950CF4">
        <w:rPr>
          <w:sz w:val="26"/>
          <w:szCs w:val="26"/>
        </w:rPr>
        <w:t>found</w:t>
      </w:r>
      <w:r w:rsidRPr="00114FDD">
        <w:rPr>
          <w:sz w:val="26"/>
          <w:szCs w:val="26"/>
        </w:rPr>
        <w:t xml:space="preserve"> in the</w:t>
      </w:r>
      <w:r w:rsidR="00307D0A">
        <w:rPr>
          <w:sz w:val="26"/>
          <w:szCs w:val="26"/>
        </w:rPr>
        <w:t xml:space="preserve">2012 </w:t>
      </w:r>
      <w:r w:rsidRPr="00114FDD">
        <w:rPr>
          <w:sz w:val="26"/>
          <w:szCs w:val="26"/>
        </w:rPr>
        <w:t xml:space="preserve">Illinois TRM. </w:t>
      </w:r>
      <w:r w:rsidR="00974A66" w:rsidRPr="00114FDD">
        <w:rPr>
          <w:sz w:val="26"/>
          <w:szCs w:val="26"/>
        </w:rPr>
        <w:t xml:space="preserve"> </w:t>
      </w:r>
      <w:r w:rsidRPr="00114FDD">
        <w:rPr>
          <w:sz w:val="26"/>
          <w:szCs w:val="26"/>
        </w:rPr>
        <w:t>The Commission</w:t>
      </w:r>
      <w:r w:rsidR="00950CF4">
        <w:rPr>
          <w:sz w:val="26"/>
          <w:szCs w:val="26"/>
        </w:rPr>
        <w:t>,</w:t>
      </w:r>
      <w:r w:rsidRPr="00114FDD">
        <w:rPr>
          <w:sz w:val="26"/>
          <w:szCs w:val="26"/>
        </w:rPr>
        <w:t xml:space="preserve"> therefore</w:t>
      </w:r>
      <w:r w:rsidR="00950CF4">
        <w:rPr>
          <w:sz w:val="26"/>
          <w:szCs w:val="26"/>
        </w:rPr>
        <w:t>,</w:t>
      </w:r>
      <w:r w:rsidRPr="00114FDD">
        <w:rPr>
          <w:sz w:val="26"/>
          <w:szCs w:val="26"/>
        </w:rPr>
        <w:t xml:space="preserve"> proposes changing the assumed temperature leaving the shower </w:t>
      </w:r>
      <w:r w:rsidRPr="00114FDD">
        <w:rPr>
          <w:sz w:val="26"/>
          <w:szCs w:val="26"/>
        </w:rPr>
        <w:lastRenderedPageBreak/>
        <w:t>from 120°F t</w:t>
      </w:r>
      <w:r w:rsidR="00307D0A">
        <w:rPr>
          <w:sz w:val="26"/>
          <w:szCs w:val="26"/>
        </w:rPr>
        <w:t xml:space="preserve">o 105°F, consistent with the </w:t>
      </w:r>
      <w:r w:rsidRPr="00114FDD">
        <w:rPr>
          <w:sz w:val="26"/>
          <w:szCs w:val="26"/>
        </w:rPr>
        <w:t>2012 Illinois TRM</w:t>
      </w:r>
      <w:r w:rsidR="00307D0A">
        <w:rPr>
          <w:sz w:val="26"/>
          <w:szCs w:val="26"/>
        </w:rPr>
        <w:t>, as well as the 2011 Mid-Atlantic TRM</w:t>
      </w:r>
      <w:r w:rsidRPr="00114FDD">
        <w:rPr>
          <w:sz w:val="26"/>
          <w:szCs w:val="26"/>
        </w:rPr>
        <w:t>.</w:t>
      </w:r>
      <w:r w:rsidR="00974A66" w:rsidRPr="00114FDD">
        <w:rPr>
          <w:sz w:val="26"/>
          <w:szCs w:val="26"/>
          <w:vertAlign w:val="superscript"/>
        </w:rPr>
        <w:footnoteReference w:id="115"/>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pStyle w:val="p3"/>
        <w:numPr>
          <w:ilvl w:val="1"/>
          <w:numId w:val="10"/>
        </w:numPr>
        <w:tabs>
          <w:tab w:val="clear" w:pos="204"/>
          <w:tab w:val="left" w:pos="720"/>
        </w:tabs>
        <w:spacing w:line="360" w:lineRule="auto"/>
        <w:ind w:hanging="720"/>
        <w:outlineLvl w:val="2"/>
        <w:rPr>
          <w:b/>
          <w:sz w:val="26"/>
          <w:szCs w:val="26"/>
        </w:rPr>
      </w:pPr>
      <w:bookmarkStart w:id="30" w:name="_Toc334175018"/>
      <w:r w:rsidRPr="00114FDD">
        <w:rPr>
          <w:b/>
          <w:sz w:val="26"/>
          <w:szCs w:val="26"/>
        </w:rPr>
        <w:t>Residential New Construction Protocols</w:t>
      </w:r>
      <w:bookmarkEnd w:id="30"/>
    </w:p>
    <w:p w:rsidR="00036C90" w:rsidRPr="00114FDD" w:rsidRDefault="00036C90" w:rsidP="00B64A9F">
      <w:pPr>
        <w:pStyle w:val="p3"/>
        <w:tabs>
          <w:tab w:val="clear" w:pos="204"/>
          <w:tab w:val="left" w:pos="0"/>
          <w:tab w:val="left" w:pos="720"/>
        </w:tabs>
        <w:spacing w:line="360" w:lineRule="auto"/>
        <w:rPr>
          <w:b/>
          <w:sz w:val="26"/>
          <w:szCs w:val="26"/>
        </w:rPr>
      </w:pPr>
    </w:p>
    <w:p w:rsidR="00A30A1C" w:rsidRPr="00114FDD" w:rsidRDefault="00036C90" w:rsidP="00B64A9F">
      <w:pPr>
        <w:spacing w:line="360" w:lineRule="auto"/>
        <w:rPr>
          <w:sz w:val="26"/>
          <w:szCs w:val="26"/>
        </w:rPr>
      </w:pPr>
      <w:r w:rsidRPr="00114FDD">
        <w:rPr>
          <w:b/>
          <w:sz w:val="26"/>
          <w:szCs w:val="26"/>
        </w:rPr>
        <w:tab/>
      </w:r>
      <w:r w:rsidRPr="00114FDD">
        <w:rPr>
          <w:sz w:val="26"/>
          <w:szCs w:val="26"/>
        </w:rPr>
        <w:t>The Residential New Construction section of the 2012 TRM is comprised of three sections: 1) Insulation Up-Grades, Efficient Windows, Air Sealing, Efficient HVAC Equipment and Duct Sealing; 2) Lighting and Appliances; and 3) Ventilation Equipment.</w:t>
      </w:r>
      <w:r w:rsidRPr="00114FDD">
        <w:rPr>
          <w:sz w:val="26"/>
          <w:szCs w:val="26"/>
          <w:vertAlign w:val="superscript"/>
        </w:rPr>
        <w:footnoteReference w:id="116"/>
      </w:r>
      <w:r w:rsidRPr="00114FDD">
        <w:rPr>
          <w:sz w:val="26"/>
          <w:szCs w:val="26"/>
        </w:rPr>
        <w:t xml:space="preserve"> </w:t>
      </w:r>
      <w:r w:rsidR="00167255" w:rsidRPr="00114FDD">
        <w:rPr>
          <w:sz w:val="26"/>
          <w:szCs w:val="26"/>
        </w:rPr>
        <w:t xml:space="preserve"> </w:t>
      </w:r>
      <w:r w:rsidRPr="00114FDD">
        <w:rPr>
          <w:sz w:val="26"/>
          <w:szCs w:val="26"/>
        </w:rPr>
        <w:t xml:space="preserve">The section for Insulation Up-Grades, Efficient Windows, Air Sealing, Efficient HVAC Equipment and Duct Sealing states that energy savings for these measures shall be a direct output of </w:t>
      </w:r>
      <w:r w:rsidR="00950CF4">
        <w:rPr>
          <w:sz w:val="26"/>
          <w:szCs w:val="26"/>
        </w:rPr>
        <w:t>the</w:t>
      </w:r>
      <w:r w:rsidR="00950CF4" w:rsidRPr="00114FDD">
        <w:rPr>
          <w:sz w:val="26"/>
          <w:szCs w:val="26"/>
        </w:rPr>
        <w:t xml:space="preserve"> </w:t>
      </w:r>
      <w:r w:rsidRPr="00114FDD">
        <w:rPr>
          <w:sz w:val="26"/>
          <w:szCs w:val="26"/>
        </w:rPr>
        <w:t xml:space="preserve">Home Energy Ratings (HERS) software, while demand savings will be estimated using algorithms presented in the section. </w:t>
      </w:r>
      <w:r w:rsidR="00167255" w:rsidRPr="00114FDD">
        <w:rPr>
          <w:sz w:val="26"/>
          <w:szCs w:val="26"/>
        </w:rPr>
        <w:t xml:space="preserve"> </w:t>
      </w:r>
      <w:r w:rsidRPr="00114FDD">
        <w:rPr>
          <w:sz w:val="26"/>
          <w:szCs w:val="26"/>
        </w:rPr>
        <w:t>The algorithms for demand savings estimation include the use of the</w:t>
      </w:r>
      <w:r w:rsidR="00167255" w:rsidRPr="00114FDD">
        <w:rPr>
          <w:sz w:val="26"/>
          <w:szCs w:val="26"/>
        </w:rPr>
        <w:t xml:space="preserve"> Seasonal Energy Efficiency Ratio (</w:t>
      </w:r>
      <w:r w:rsidRPr="00114FDD">
        <w:rPr>
          <w:sz w:val="26"/>
          <w:szCs w:val="26"/>
        </w:rPr>
        <w:t>SEER</w:t>
      </w:r>
      <w:r w:rsidR="00167255" w:rsidRPr="00114FDD">
        <w:rPr>
          <w:sz w:val="26"/>
          <w:szCs w:val="26"/>
        </w:rPr>
        <w:t>)</w:t>
      </w:r>
      <w:r w:rsidRPr="00114FDD">
        <w:rPr>
          <w:sz w:val="26"/>
          <w:szCs w:val="26"/>
        </w:rPr>
        <w:t xml:space="preserve"> of the HVAC unit for the baseline home multiplied by a </w:t>
      </w:r>
      <w:r w:rsidR="00167255" w:rsidRPr="00114FDD">
        <w:rPr>
          <w:sz w:val="26"/>
          <w:szCs w:val="26"/>
        </w:rPr>
        <w:t>Baseline Energy Efficiency Ratio (</w:t>
      </w:r>
      <w:r w:rsidRPr="00114FDD">
        <w:rPr>
          <w:sz w:val="26"/>
          <w:szCs w:val="26"/>
        </w:rPr>
        <w:t>BLEER</w:t>
      </w:r>
      <w:r w:rsidR="00167255" w:rsidRPr="00114FDD">
        <w:rPr>
          <w:sz w:val="26"/>
          <w:szCs w:val="26"/>
        </w:rPr>
        <w:t>)</w:t>
      </w:r>
      <w:r w:rsidRPr="00114FDD">
        <w:rPr>
          <w:sz w:val="26"/>
          <w:szCs w:val="26"/>
        </w:rPr>
        <w:t xml:space="preserve"> factor, which converts SEER to </w:t>
      </w:r>
      <w:r w:rsidR="00167255" w:rsidRPr="00114FDD">
        <w:rPr>
          <w:sz w:val="26"/>
          <w:szCs w:val="26"/>
        </w:rPr>
        <w:t>Energy Efficiency Ratio (</w:t>
      </w:r>
      <w:r w:rsidRPr="00114FDD">
        <w:rPr>
          <w:sz w:val="26"/>
          <w:szCs w:val="26"/>
        </w:rPr>
        <w:t>EER</w:t>
      </w:r>
      <w:r w:rsidR="00167255" w:rsidRPr="00114FDD">
        <w:rPr>
          <w:sz w:val="26"/>
          <w:szCs w:val="26"/>
        </w:rPr>
        <w:t>)</w:t>
      </w:r>
      <w:r w:rsidRPr="00114FDD">
        <w:rPr>
          <w:sz w:val="26"/>
          <w:szCs w:val="26"/>
        </w:rPr>
        <w:t xml:space="preserve">, and the use of the EER of the HVAC unit for the qualifying home. </w:t>
      </w:r>
      <w:r w:rsidR="006D2CEF" w:rsidRPr="00114FDD">
        <w:rPr>
          <w:sz w:val="26"/>
          <w:szCs w:val="26"/>
        </w:rPr>
        <w:t xml:space="preserve"> </w:t>
      </w:r>
    </w:p>
    <w:p w:rsidR="00A30A1C" w:rsidRPr="00114FDD" w:rsidRDefault="00A30A1C" w:rsidP="00B64A9F">
      <w:pPr>
        <w:spacing w:line="360" w:lineRule="auto"/>
        <w:rPr>
          <w:sz w:val="26"/>
          <w:szCs w:val="26"/>
        </w:rPr>
      </w:pPr>
    </w:p>
    <w:p w:rsidR="00036C90" w:rsidRPr="00114FDD" w:rsidRDefault="00036C90" w:rsidP="00B64A9F">
      <w:pPr>
        <w:spacing w:line="360" w:lineRule="auto"/>
        <w:ind w:firstLine="720"/>
        <w:rPr>
          <w:sz w:val="26"/>
          <w:szCs w:val="26"/>
        </w:rPr>
      </w:pPr>
      <w:r w:rsidRPr="00114FDD">
        <w:rPr>
          <w:sz w:val="26"/>
          <w:szCs w:val="26"/>
        </w:rPr>
        <w:t>The Lighting and Appliances section states that all</w:t>
      </w:r>
      <w:r w:rsidR="00A30A1C" w:rsidRPr="00114FDD">
        <w:rPr>
          <w:sz w:val="26"/>
          <w:szCs w:val="26"/>
        </w:rPr>
        <w:t xml:space="preserve"> additional savings due to </w:t>
      </w:r>
      <w:r w:rsidRPr="00114FDD">
        <w:rPr>
          <w:sz w:val="26"/>
          <w:szCs w:val="26"/>
        </w:rPr>
        <w:t>the addition of high-efficienc</w:t>
      </w:r>
      <w:r w:rsidR="00A30A1C" w:rsidRPr="00114FDD">
        <w:rPr>
          <w:sz w:val="26"/>
          <w:szCs w:val="26"/>
        </w:rPr>
        <w:t>y lighting and clothes washers</w:t>
      </w:r>
      <w:r w:rsidRPr="00114FDD">
        <w:rPr>
          <w:sz w:val="26"/>
          <w:szCs w:val="26"/>
          <w:vertAlign w:val="superscript"/>
        </w:rPr>
        <w:footnoteReference w:id="117"/>
      </w:r>
      <w:r w:rsidRPr="00114FDD">
        <w:rPr>
          <w:sz w:val="26"/>
          <w:szCs w:val="26"/>
        </w:rPr>
        <w:t xml:space="preserve"> will be based on the algorithms for each appliance in the ENERGY STAR Appliances section of the TRM. </w:t>
      </w:r>
      <w:r w:rsidR="006D2CEF" w:rsidRPr="00114FDD">
        <w:rPr>
          <w:sz w:val="26"/>
          <w:szCs w:val="26"/>
        </w:rPr>
        <w:t xml:space="preserve"> </w:t>
      </w:r>
      <w:r w:rsidRPr="00114FDD">
        <w:rPr>
          <w:sz w:val="26"/>
          <w:szCs w:val="26"/>
        </w:rPr>
        <w:t>The Ventilation Equipment section adds 175 kWh and 0.060 kW of savings to each home to account for the installation of high-efficiency ventilation equipment.</w:t>
      </w:r>
      <w:r w:rsidR="00307D0A">
        <w:rPr>
          <w:rStyle w:val="FootnoteReference"/>
          <w:sz w:val="26"/>
          <w:szCs w:val="26"/>
        </w:rPr>
        <w:footnoteReference w:id="118"/>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spacing w:line="360" w:lineRule="auto"/>
        <w:rPr>
          <w:sz w:val="26"/>
          <w:szCs w:val="26"/>
        </w:rPr>
      </w:pPr>
      <w:r w:rsidRPr="00114FDD">
        <w:rPr>
          <w:sz w:val="26"/>
          <w:szCs w:val="26"/>
        </w:rPr>
        <w:lastRenderedPageBreak/>
        <w:tab/>
        <w:t xml:space="preserve">First, the Commission proposes </w:t>
      </w:r>
      <w:r w:rsidR="00950CF4">
        <w:rPr>
          <w:sz w:val="26"/>
          <w:szCs w:val="26"/>
        </w:rPr>
        <w:t>to refer to the</w:t>
      </w:r>
      <w:r w:rsidRPr="00114FDD">
        <w:rPr>
          <w:sz w:val="26"/>
          <w:szCs w:val="26"/>
        </w:rPr>
        <w:t xml:space="preserve"> Insulation Up-Grades, Efficient Windows, Air Sealing, Efficient HVAC Equipment and Duct Sealing as “Weather-Sensitive Measures” and Lighting and Appliances as “Non-Weather-Sensitive Measures.” </w:t>
      </w:r>
      <w:r w:rsidR="00A30A1C" w:rsidRPr="00114FDD">
        <w:rPr>
          <w:sz w:val="26"/>
          <w:szCs w:val="26"/>
        </w:rPr>
        <w:t xml:space="preserve"> </w:t>
      </w:r>
      <w:r w:rsidRPr="00114FDD">
        <w:rPr>
          <w:sz w:val="26"/>
          <w:szCs w:val="26"/>
        </w:rPr>
        <w:t xml:space="preserve">This will help prevent confusion between the methodologies used for estimating savings for the two different categories of measures. </w:t>
      </w:r>
      <w:r w:rsidR="00A30A1C" w:rsidRPr="00114FDD">
        <w:rPr>
          <w:sz w:val="26"/>
          <w:szCs w:val="26"/>
        </w:rPr>
        <w:t xml:space="preserve"> The algorithm for Weather-</w:t>
      </w:r>
      <w:r w:rsidRPr="00114FDD">
        <w:rPr>
          <w:sz w:val="26"/>
          <w:szCs w:val="26"/>
        </w:rPr>
        <w:t xml:space="preserve">Sensitive Measures is also being modified to allow for the use of either </w:t>
      </w:r>
      <w:r w:rsidR="00D25DD5" w:rsidRPr="00114FDD">
        <w:rPr>
          <w:sz w:val="26"/>
          <w:szCs w:val="26"/>
        </w:rPr>
        <w:t xml:space="preserve">the unit’s actual EER or the product of </w:t>
      </w:r>
      <w:r w:rsidRPr="00114FDD">
        <w:rPr>
          <w:sz w:val="26"/>
          <w:szCs w:val="26"/>
        </w:rPr>
        <w:t xml:space="preserve">SEER </w:t>
      </w:r>
      <w:r w:rsidR="00A30A1C" w:rsidRPr="00114FDD">
        <w:rPr>
          <w:sz w:val="26"/>
          <w:szCs w:val="26"/>
        </w:rPr>
        <w:t>multiplied by</w:t>
      </w:r>
      <w:r w:rsidRPr="00114FDD">
        <w:rPr>
          <w:sz w:val="26"/>
          <w:szCs w:val="26"/>
        </w:rPr>
        <w:t xml:space="preserve"> BLEER</w:t>
      </w:r>
      <w:r w:rsidR="00D25DD5" w:rsidRPr="00114FDD">
        <w:rPr>
          <w:sz w:val="26"/>
          <w:szCs w:val="26"/>
        </w:rPr>
        <w:t xml:space="preserve">, a method of estimating the </w:t>
      </w:r>
      <w:r w:rsidR="00A356B4" w:rsidRPr="00114FDD">
        <w:rPr>
          <w:sz w:val="26"/>
          <w:szCs w:val="26"/>
        </w:rPr>
        <w:t>EER when only the SEER is known, f</w:t>
      </w:r>
      <w:r w:rsidRPr="00114FDD">
        <w:rPr>
          <w:sz w:val="26"/>
          <w:szCs w:val="26"/>
        </w:rPr>
        <w:t xml:space="preserve">or both the baseline and qualifying homes. </w:t>
      </w:r>
      <w:r w:rsidR="00A30A1C" w:rsidRPr="00114FDD">
        <w:rPr>
          <w:sz w:val="26"/>
          <w:szCs w:val="26"/>
        </w:rPr>
        <w:t xml:space="preserve"> </w:t>
      </w:r>
      <w:r w:rsidRPr="00114FDD">
        <w:rPr>
          <w:sz w:val="26"/>
          <w:szCs w:val="26"/>
        </w:rPr>
        <w:t>This makes the algorithm consistent between the baseline and qualifying home.</w:t>
      </w:r>
    </w:p>
    <w:p w:rsidR="00036C90" w:rsidRPr="00114FDD" w:rsidRDefault="00036C90" w:rsidP="00B64A9F">
      <w:pPr>
        <w:pStyle w:val="p3"/>
        <w:tabs>
          <w:tab w:val="clear" w:pos="204"/>
          <w:tab w:val="left" w:pos="0"/>
          <w:tab w:val="left" w:pos="720"/>
        </w:tabs>
        <w:spacing w:line="360" w:lineRule="auto"/>
        <w:rPr>
          <w:sz w:val="26"/>
          <w:szCs w:val="26"/>
        </w:rPr>
      </w:pPr>
    </w:p>
    <w:p w:rsidR="00036C90" w:rsidRPr="00114FDD" w:rsidRDefault="00036C90" w:rsidP="00B64A9F">
      <w:pPr>
        <w:spacing w:line="360" w:lineRule="auto"/>
        <w:rPr>
          <w:sz w:val="26"/>
          <w:szCs w:val="26"/>
        </w:rPr>
      </w:pPr>
      <w:r w:rsidRPr="00114FDD">
        <w:rPr>
          <w:sz w:val="26"/>
          <w:szCs w:val="26"/>
        </w:rPr>
        <w:tab/>
        <w:t xml:space="preserve">Second, the Commission proposes to make the Non-Weather-Sensitive </w:t>
      </w:r>
      <w:r w:rsidR="00307D0A">
        <w:rPr>
          <w:sz w:val="26"/>
          <w:szCs w:val="26"/>
        </w:rPr>
        <w:t xml:space="preserve">Measures </w:t>
      </w:r>
      <w:r w:rsidRPr="00114FDD">
        <w:rPr>
          <w:sz w:val="26"/>
          <w:szCs w:val="26"/>
        </w:rPr>
        <w:t xml:space="preserve">section more general to allow for the inclusion of all appliances, rather than specifically listing only high-efficiency lighting and clothes washers. </w:t>
      </w:r>
      <w:r w:rsidR="00A30A1C" w:rsidRPr="00114FDD">
        <w:rPr>
          <w:sz w:val="26"/>
          <w:szCs w:val="26"/>
        </w:rPr>
        <w:t xml:space="preserve"> </w:t>
      </w:r>
      <w:r w:rsidRPr="00114FDD">
        <w:rPr>
          <w:sz w:val="26"/>
          <w:szCs w:val="26"/>
        </w:rPr>
        <w:t>This will allow EDC</w:t>
      </w:r>
      <w:r w:rsidR="00A30A1C" w:rsidRPr="00114FDD">
        <w:rPr>
          <w:sz w:val="26"/>
          <w:szCs w:val="26"/>
        </w:rPr>
        <w:t>s to claim savings for all high-</w:t>
      </w:r>
      <w:r w:rsidRPr="00114FDD">
        <w:rPr>
          <w:sz w:val="26"/>
          <w:szCs w:val="26"/>
        </w:rPr>
        <w:t>efficiency non-weather-sensitive appliances installed in a new home.</w:t>
      </w:r>
    </w:p>
    <w:p w:rsidR="00036C90" w:rsidRPr="00114FDD" w:rsidRDefault="00036C90" w:rsidP="00B64A9F">
      <w:pPr>
        <w:pStyle w:val="p3"/>
        <w:tabs>
          <w:tab w:val="clear" w:pos="204"/>
          <w:tab w:val="left" w:pos="0"/>
          <w:tab w:val="left" w:pos="720"/>
        </w:tabs>
        <w:spacing w:line="360" w:lineRule="auto"/>
        <w:rPr>
          <w:sz w:val="26"/>
          <w:szCs w:val="26"/>
        </w:rPr>
      </w:pPr>
      <w:r w:rsidRPr="00114FDD">
        <w:rPr>
          <w:sz w:val="26"/>
          <w:szCs w:val="26"/>
        </w:rPr>
        <w:tab/>
      </w:r>
    </w:p>
    <w:p w:rsidR="00546BAA" w:rsidRPr="00114FDD" w:rsidRDefault="00036C90" w:rsidP="00B64A9F">
      <w:pPr>
        <w:spacing w:line="360" w:lineRule="auto"/>
        <w:rPr>
          <w:sz w:val="26"/>
          <w:szCs w:val="26"/>
        </w:rPr>
      </w:pPr>
      <w:r w:rsidRPr="00114FDD">
        <w:rPr>
          <w:sz w:val="26"/>
          <w:szCs w:val="26"/>
        </w:rPr>
        <w:tab/>
      </w:r>
      <w:r w:rsidR="00950CF4">
        <w:rPr>
          <w:sz w:val="26"/>
          <w:szCs w:val="26"/>
        </w:rPr>
        <w:t>Lastly</w:t>
      </w:r>
      <w:r w:rsidRPr="00114FDD">
        <w:rPr>
          <w:sz w:val="26"/>
          <w:szCs w:val="26"/>
        </w:rPr>
        <w:t xml:space="preserve">, the Commission proposes the removal of the Ventilation Equipment section. </w:t>
      </w:r>
      <w:r w:rsidR="00A30A1C" w:rsidRPr="00114FDD">
        <w:rPr>
          <w:sz w:val="26"/>
          <w:szCs w:val="26"/>
        </w:rPr>
        <w:t xml:space="preserve"> </w:t>
      </w:r>
      <w:r w:rsidRPr="00114FDD">
        <w:rPr>
          <w:sz w:val="26"/>
          <w:szCs w:val="26"/>
        </w:rPr>
        <w:t>The modeling software already takes into account mechanical ventilation equipment, and therefore</w:t>
      </w:r>
      <w:r w:rsidR="00307D0A">
        <w:rPr>
          <w:sz w:val="26"/>
          <w:szCs w:val="26"/>
        </w:rPr>
        <w:t>,</w:t>
      </w:r>
      <w:r w:rsidRPr="00114FDD">
        <w:rPr>
          <w:sz w:val="26"/>
          <w:szCs w:val="26"/>
        </w:rPr>
        <w:t xml:space="preserve"> the addition of kWh and kW savings leads to double-counting of savings for homes that have mechanical ventilation and overstatement of savings for homes which do not have mechanical ventilation.</w:t>
      </w:r>
    </w:p>
    <w:p w:rsidR="00912977" w:rsidRPr="00114FDD" w:rsidRDefault="00912977" w:rsidP="00B64A9F">
      <w:pPr>
        <w:pStyle w:val="p3"/>
        <w:tabs>
          <w:tab w:val="clear" w:pos="204"/>
          <w:tab w:val="left" w:pos="720"/>
        </w:tabs>
        <w:spacing w:line="360" w:lineRule="auto"/>
        <w:rPr>
          <w:b/>
          <w:sz w:val="26"/>
          <w:szCs w:val="26"/>
        </w:rPr>
      </w:pPr>
    </w:p>
    <w:p w:rsidR="00D939E8" w:rsidRPr="00D939E8" w:rsidRDefault="00D939E8" w:rsidP="00D939E8">
      <w:pPr>
        <w:pStyle w:val="p3"/>
        <w:numPr>
          <w:ilvl w:val="0"/>
          <w:numId w:val="3"/>
        </w:numPr>
        <w:tabs>
          <w:tab w:val="clear" w:pos="204"/>
        </w:tabs>
        <w:ind w:hanging="720"/>
        <w:outlineLvl w:val="1"/>
        <w:rPr>
          <w:b/>
          <w:sz w:val="26"/>
          <w:szCs w:val="26"/>
        </w:rPr>
      </w:pPr>
      <w:bookmarkStart w:id="31" w:name="_Toc334175019"/>
      <w:r w:rsidRPr="00114FDD">
        <w:rPr>
          <w:b/>
          <w:sz w:val="26"/>
          <w:szCs w:val="26"/>
        </w:rPr>
        <w:t>Commercial and Industrial EE&amp;C Measure Protocols and Processes</w:t>
      </w:r>
      <w:bookmarkEnd w:id="31"/>
    </w:p>
    <w:p w:rsidR="00050E8B" w:rsidRPr="00114FDD" w:rsidRDefault="008601DF" w:rsidP="00B64A9F">
      <w:pPr>
        <w:pStyle w:val="p3"/>
        <w:tabs>
          <w:tab w:val="clear" w:pos="204"/>
          <w:tab w:val="left" w:pos="720"/>
        </w:tabs>
        <w:spacing w:line="360" w:lineRule="auto"/>
        <w:rPr>
          <w:b/>
          <w:sz w:val="26"/>
          <w:szCs w:val="26"/>
        </w:rPr>
      </w:pPr>
      <w:r w:rsidRPr="00114FDD">
        <w:rPr>
          <w:sz w:val="26"/>
          <w:szCs w:val="26"/>
        </w:rPr>
        <w:tab/>
      </w:r>
    </w:p>
    <w:p w:rsidR="00050E8B" w:rsidRPr="00114FDD" w:rsidRDefault="00D939E8" w:rsidP="00D939E8">
      <w:pPr>
        <w:pStyle w:val="p3"/>
        <w:tabs>
          <w:tab w:val="clear" w:pos="204"/>
          <w:tab w:val="left" w:pos="-2070"/>
        </w:tabs>
        <w:spacing w:line="360" w:lineRule="auto"/>
        <w:ind w:left="1440" w:hanging="720"/>
        <w:outlineLvl w:val="2"/>
        <w:rPr>
          <w:b/>
          <w:sz w:val="26"/>
          <w:szCs w:val="26"/>
        </w:rPr>
      </w:pPr>
      <w:bookmarkStart w:id="32" w:name="_Toc334175020"/>
      <w:r>
        <w:rPr>
          <w:b/>
          <w:sz w:val="26"/>
          <w:szCs w:val="26"/>
        </w:rPr>
        <w:t xml:space="preserve">1. </w:t>
      </w:r>
      <w:r>
        <w:rPr>
          <w:b/>
          <w:sz w:val="26"/>
          <w:szCs w:val="26"/>
        </w:rPr>
        <w:tab/>
      </w:r>
      <w:r w:rsidR="00050E8B" w:rsidRPr="00114FDD">
        <w:rPr>
          <w:b/>
          <w:sz w:val="26"/>
          <w:szCs w:val="26"/>
        </w:rPr>
        <w:t>Lighting Protocols</w:t>
      </w:r>
      <w:bookmarkEnd w:id="32"/>
    </w:p>
    <w:p w:rsidR="00050E8B" w:rsidRPr="00114FDD" w:rsidRDefault="00050E8B" w:rsidP="00B64A9F">
      <w:pPr>
        <w:pStyle w:val="p3"/>
        <w:tabs>
          <w:tab w:val="clear" w:pos="204"/>
          <w:tab w:val="left" w:pos="720"/>
        </w:tabs>
        <w:spacing w:line="360" w:lineRule="auto"/>
        <w:ind w:left="1440"/>
        <w:rPr>
          <w:b/>
          <w:sz w:val="26"/>
          <w:szCs w:val="26"/>
        </w:rPr>
      </w:pPr>
    </w:p>
    <w:p w:rsidR="00050E8B" w:rsidRPr="00114FDD" w:rsidRDefault="00050E8B"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33" w:name="_Toc334175021"/>
      <w:r w:rsidRPr="00114FDD">
        <w:rPr>
          <w:b/>
          <w:sz w:val="26"/>
          <w:szCs w:val="26"/>
        </w:rPr>
        <w:t>Hours of Use and Coincidence Factor Values</w:t>
      </w:r>
      <w:bookmarkEnd w:id="33"/>
    </w:p>
    <w:p w:rsidR="00050E8B" w:rsidRPr="00114FDD" w:rsidRDefault="00050E8B" w:rsidP="00B64A9F">
      <w:pPr>
        <w:pStyle w:val="p3"/>
        <w:tabs>
          <w:tab w:val="clear" w:pos="204"/>
          <w:tab w:val="left" w:pos="0"/>
          <w:tab w:val="left" w:pos="720"/>
        </w:tabs>
        <w:spacing w:line="360" w:lineRule="auto"/>
        <w:ind w:left="1800"/>
        <w:rPr>
          <w:b/>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The HOU and C</w:t>
      </w:r>
      <w:r w:rsidR="007538E4" w:rsidRPr="00114FDD">
        <w:rPr>
          <w:sz w:val="26"/>
          <w:szCs w:val="26"/>
        </w:rPr>
        <w:t>F</w:t>
      </w:r>
      <w:r w:rsidRPr="00114FDD">
        <w:rPr>
          <w:sz w:val="26"/>
          <w:szCs w:val="26"/>
        </w:rPr>
        <w:t xml:space="preserve"> values </w:t>
      </w:r>
      <w:r w:rsidR="006227AA" w:rsidRPr="00114FDD">
        <w:rPr>
          <w:sz w:val="26"/>
          <w:szCs w:val="26"/>
        </w:rPr>
        <w:t xml:space="preserve">for 22 of </w:t>
      </w:r>
      <w:r w:rsidR="007538E4" w:rsidRPr="00114FDD">
        <w:rPr>
          <w:sz w:val="26"/>
          <w:szCs w:val="26"/>
        </w:rPr>
        <w:t xml:space="preserve">the </w:t>
      </w:r>
      <w:r w:rsidR="006227AA" w:rsidRPr="00114FDD">
        <w:rPr>
          <w:sz w:val="26"/>
          <w:szCs w:val="26"/>
        </w:rPr>
        <w:t xml:space="preserve">37 different building types </w:t>
      </w:r>
      <w:r w:rsidR="00FF6735" w:rsidRPr="00114FDD">
        <w:rPr>
          <w:sz w:val="26"/>
          <w:szCs w:val="26"/>
        </w:rPr>
        <w:t xml:space="preserve">listed </w:t>
      </w:r>
      <w:r w:rsidRPr="00114FDD">
        <w:rPr>
          <w:sz w:val="26"/>
          <w:szCs w:val="26"/>
        </w:rPr>
        <w:t xml:space="preserve">in </w:t>
      </w:r>
      <w:r w:rsidR="00FF6735" w:rsidRPr="00114FDD">
        <w:rPr>
          <w:sz w:val="26"/>
          <w:szCs w:val="26"/>
        </w:rPr>
        <w:t>Table 3-</w:t>
      </w:r>
      <w:r w:rsidR="00FF6735" w:rsidRPr="00114FDD">
        <w:rPr>
          <w:sz w:val="26"/>
          <w:szCs w:val="26"/>
        </w:rPr>
        <w:lastRenderedPageBreak/>
        <w:t xml:space="preserve">4 of </w:t>
      </w:r>
      <w:r w:rsidRPr="00114FDD">
        <w:rPr>
          <w:sz w:val="26"/>
          <w:szCs w:val="26"/>
        </w:rPr>
        <w:t>2012 TRM</w:t>
      </w:r>
      <w:r w:rsidR="00A045B5" w:rsidRPr="00114FDD">
        <w:rPr>
          <w:rStyle w:val="FootnoteReference"/>
          <w:sz w:val="26"/>
          <w:szCs w:val="26"/>
        </w:rPr>
        <w:footnoteReference w:id="119"/>
      </w:r>
      <w:r w:rsidRPr="00114FDD">
        <w:rPr>
          <w:sz w:val="26"/>
          <w:szCs w:val="26"/>
        </w:rPr>
        <w:t xml:space="preserve"> were adopted from the 2009 New Jersey TRM</w:t>
      </w:r>
      <w:r w:rsidR="007538E4" w:rsidRPr="00114FDD">
        <w:rPr>
          <w:sz w:val="26"/>
          <w:szCs w:val="26"/>
        </w:rPr>
        <w:t>,</w:t>
      </w:r>
      <w:r w:rsidRPr="00114FDD">
        <w:rPr>
          <w:sz w:val="26"/>
          <w:szCs w:val="26"/>
          <w:vertAlign w:val="superscript"/>
        </w:rPr>
        <w:footnoteReference w:id="120"/>
      </w:r>
      <w:r w:rsidRPr="00114FDD">
        <w:rPr>
          <w:sz w:val="26"/>
          <w:szCs w:val="26"/>
        </w:rPr>
        <w:t xml:space="preserve"> which were derived from</w:t>
      </w:r>
      <w:r w:rsidR="007538E4" w:rsidRPr="00114FDD">
        <w:rPr>
          <w:sz w:val="26"/>
          <w:szCs w:val="26"/>
        </w:rPr>
        <w:t xml:space="preserve"> a</w:t>
      </w:r>
      <w:r w:rsidRPr="00114FDD">
        <w:rPr>
          <w:sz w:val="26"/>
          <w:szCs w:val="26"/>
        </w:rPr>
        <w:t xml:space="preserve"> 1999 Pacific Gas &amp; Electric (PG&amp;E) study</w:t>
      </w:r>
      <w:r w:rsidRPr="00114FDD">
        <w:rPr>
          <w:sz w:val="26"/>
          <w:szCs w:val="26"/>
          <w:vertAlign w:val="superscript"/>
        </w:rPr>
        <w:footnoteReference w:id="121"/>
      </w:r>
      <w:r w:rsidRPr="00114FDD">
        <w:rPr>
          <w:sz w:val="26"/>
          <w:szCs w:val="26"/>
        </w:rPr>
        <w:t xml:space="preserve"> in California</w:t>
      </w:r>
      <w:r w:rsidR="007538E4" w:rsidRPr="00114FDD">
        <w:rPr>
          <w:sz w:val="26"/>
          <w:szCs w:val="26"/>
        </w:rPr>
        <w:t>,</w:t>
      </w:r>
      <w:r w:rsidRPr="00114FDD">
        <w:rPr>
          <w:sz w:val="26"/>
          <w:szCs w:val="26"/>
        </w:rPr>
        <w:t xml:space="preserve"> and are dated. </w:t>
      </w:r>
      <w:r w:rsidR="007538E4" w:rsidRPr="00114FDD">
        <w:rPr>
          <w:sz w:val="26"/>
          <w:szCs w:val="26"/>
        </w:rPr>
        <w:t xml:space="preserve"> </w:t>
      </w:r>
      <w:r w:rsidRPr="00114FDD">
        <w:rPr>
          <w:sz w:val="26"/>
          <w:szCs w:val="26"/>
        </w:rPr>
        <w:t xml:space="preserve">These values have not been through a major update since 2009. </w:t>
      </w:r>
      <w:r w:rsidR="007538E4" w:rsidRPr="00114FDD">
        <w:rPr>
          <w:sz w:val="26"/>
          <w:szCs w:val="26"/>
        </w:rPr>
        <w:t xml:space="preserve"> </w:t>
      </w:r>
      <w:r w:rsidRPr="00114FDD">
        <w:rPr>
          <w:sz w:val="26"/>
          <w:szCs w:val="26"/>
        </w:rPr>
        <w:t>Other secondary sources</w:t>
      </w:r>
      <w:r w:rsidR="00EB3166" w:rsidRPr="00114FDD">
        <w:rPr>
          <w:rStyle w:val="FootnoteReference"/>
          <w:sz w:val="26"/>
          <w:szCs w:val="26"/>
        </w:rPr>
        <w:footnoteReference w:id="122"/>
      </w:r>
      <w:r w:rsidRPr="00114FDD">
        <w:rPr>
          <w:sz w:val="26"/>
          <w:szCs w:val="26"/>
        </w:rPr>
        <w:t xml:space="preserve"> are used to report HOU values for </w:t>
      </w:r>
      <w:r w:rsidR="00A045B5">
        <w:rPr>
          <w:sz w:val="26"/>
          <w:szCs w:val="26"/>
        </w:rPr>
        <w:t xml:space="preserve">the </w:t>
      </w:r>
      <w:r w:rsidRPr="00114FDD">
        <w:rPr>
          <w:sz w:val="26"/>
          <w:szCs w:val="26"/>
        </w:rPr>
        <w:t>remaining 15 building types in</w:t>
      </w:r>
      <w:r w:rsidR="007538E4" w:rsidRPr="00114FDD">
        <w:rPr>
          <w:sz w:val="26"/>
          <w:szCs w:val="26"/>
        </w:rPr>
        <w:t xml:space="preserve"> the</w:t>
      </w:r>
      <w:r w:rsidRPr="00114FDD">
        <w:rPr>
          <w:sz w:val="26"/>
          <w:szCs w:val="26"/>
        </w:rPr>
        <w:t xml:space="preserve"> 2012 TRM. </w:t>
      </w:r>
    </w:p>
    <w:p w:rsidR="00050E8B" w:rsidRPr="00114FDD" w:rsidRDefault="00050E8B" w:rsidP="00B64A9F">
      <w:pPr>
        <w:pStyle w:val="p3"/>
        <w:tabs>
          <w:tab w:val="clear" w:pos="204"/>
          <w:tab w:val="left" w:pos="0"/>
          <w:tab w:val="left" w:pos="720"/>
        </w:tabs>
        <w:spacing w:line="360" w:lineRule="auto"/>
        <w:rPr>
          <w:sz w:val="26"/>
          <w:szCs w:val="26"/>
        </w:rPr>
      </w:pPr>
    </w:p>
    <w:p w:rsidR="00050E8B" w:rsidRPr="00114FDD" w:rsidRDefault="000E0983" w:rsidP="00B64A9F">
      <w:pPr>
        <w:pStyle w:val="p3"/>
        <w:tabs>
          <w:tab w:val="clear" w:pos="204"/>
          <w:tab w:val="left" w:pos="0"/>
          <w:tab w:val="left" w:pos="720"/>
        </w:tabs>
        <w:spacing w:line="360" w:lineRule="auto"/>
        <w:rPr>
          <w:sz w:val="26"/>
          <w:szCs w:val="26"/>
        </w:rPr>
      </w:pPr>
      <w:r w:rsidRPr="00114FDD">
        <w:rPr>
          <w:sz w:val="26"/>
          <w:szCs w:val="26"/>
        </w:rPr>
        <w:tab/>
        <w:t>The SWE and Commission S</w:t>
      </w:r>
      <w:r w:rsidR="00050E8B" w:rsidRPr="00114FDD">
        <w:rPr>
          <w:sz w:val="26"/>
          <w:szCs w:val="26"/>
        </w:rPr>
        <w:t xml:space="preserve">taff did further research aimed </w:t>
      </w:r>
      <w:r w:rsidR="00A045B5">
        <w:rPr>
          <w:sz w:val="26"/>
          <w:szCs w:val="26"/>
        </w:rPr>
        <w:t>at</w:t>
      </w:r>
      <w:r w:rsidR="00A045B5" w:rsidRPr="00114FDD">
        <w:rPr>
          <w:sz w:val="26"/>
          <w:szCs w:val="26"/>
        </w:rPr>
        <w:t xml:space="preserve"> improv</w:t>
      </w:r>
      <w:r w:rsidR="00A045B5">
        <w:rPr>
          <w:sz w:val="26"/>
          <w:szCs w:val="26"/>
        </w:rPr>
        <w:t>ing</w:t>
      </w:r>
      <w:r w:rsidR="00A045B5" w:rsidRPr="00114FDD">
        <w:rPr>
          <w:sz w:val="26"/>
          <w:szCs w:val="26"/>
        </w:rPr>
        <w:t xml:space="preserve"> </w:t>
      </w:r>
      <w:r w:rsidR="00050E8B" w:rsidRPr="00114FDD">
        <w:rPr>
          <w:sz w:val="26"/>
          <w:szCs w:val="26"/>
        </w:rPr>
        <w:t>current assumptions based on more recent evaluations</w:t>
      </w:r>
      <w:r w:rsidR="006D35EB" w:rsidRPr="00114FDD">
        <w:rPr>
          <w:sz w:val="26"/>
          <w:szCs w:val="26"/>
        </w:rPr>
        <w:t>,</w:t>
      </w:r>
      <w:r w:rsidR="00050E8B" w:rsidRPr="00114FDD">
        <w:rPr>
          <w:sz w:val="26"/>
          <w:szCs w:val="26"/>
        </w:rPr>
        <w:t xml:space="preserve"> metering studies and TRMs</w:t>
      </w:r>
      <w:r w:rsidRPr="00114FDD">
        <w:rPr>
          <w:sz w:val="26"/>
          <w:szCs w:val="26"/>
        </w:rPr>
        <w:t xml:space="preserve"> from other states, including Pennsylvania-</w:t>
      </w:r>
      <w:r w:rsidR="00050E8B" w:rsidRPr="00114FDD">
        <w:rPr>
          <w:sz w:val="26"/>
          <w:szCs w:val="26"/>
        </w:rPr>
        <w:t>specific data collected by the EDCs and their evaluators</w:t>
      </w:r>
      <w:r w:rsidR="008F2665" w:rsidRPr="00114FDD">
        <w:rPr>
          <w:sz w:val="26"/>
          <w:szCs w:val="26"/>
        </w:rPr>
        <w:t>,</w:t>
      </w:r>
      <w:r w:rsidR="00050E8B" w:rsidRPr="00114FDD">
        <w:rPr>
          <w:sz w:val="26"/>
          <w:szCs w:val="26"/>
        </w:rPr>
        <w:t xml:space="preserve"> that were not available during previous </w:t>
      </w:r>
      <w:r w:rsidR="00A045B5">
        <w:rPr>
          <w:sz w:val="26"/>
          <w:szCs w:val="26"/>
        </w:rPr>
        <w:t xml:space="preserve">TRM </w:t>
      </w:r>
      <w:r w:rsidR="00050E8B" w:rsidRPr="00114FDD">
        <w:rPr>
          <w:sz w:val="26"/>
          <w:szCs w:val="26"/>
        </w:rPr>
        <w:t xml:space="preserve">update cycles.  The primary data collected by the EDC evaluators through the normal evaluation process was used as an indicator to identify measure assumptions that need </w:t>
      </w:r>
      <w:r w:rsidR="00A045B5">
        <w:rPr>
          <w:sz w:val="26"/>
          <w:szCs w:val="26"/>
        </w:rPr>
        <w:t xml:space="preserve">updating. </w:t>
      </w:r>
      <w:r w:rsidR="00050E8B" w:rsidRPr="00114FDD">
        <w:rPr>
          <w:sz w:val="26"/>
          <w:szCs w:val="26"/>
        </w:rPr>
        <w:t xml:space="preserve"> </w:t>
      </w:r>
    </w:p>
    <w:p w:rsidR="00036C90" w:rsidRPr="00114FDD" w:rsidRDefault="00036C90" w:rsidP="00B64A9F">
      <w:pPr>
        <w:pStyle w:val="p3"/>
        <w:tabs>
          <w:tab w:val="clear" w:pos="204"/>
          <w:tab w:val="left" w:pos="0"/>
          <w:tab w:val="left" w:pos="720"/>
        </w:tabs>
        <w:spacing w:line="360" w:lineRule="auto"/>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8F2665" w:rsidRPr="00114FDD">
        <w:rPr>
          <w:sz w:val="26"/>
          <w:szCs w:val="26"/>
        </w:rPr>
        <w:t>T</w:t>
      </w:r>
      <w:r w:rsidRPr="00114FDD">
        <w:rPr>
          <w:sz w:val="26"/>
          <w:szCs w:val="26"/>
        </w:rPr>
        <w:t xml:space="preserve">he SWE </w:t>
      </w:r>
      <w:r w:rsidR="000E0983" w:rsidRPr="00114FDD">
        <w:rPr>
          <w:sz w:val="26"/>
          <w:szCs w:val="26"/>
        </w:rPr>
        <w:t>and Commission S</w:t>
      </w:r>
      <w:r w:rsidR="00840645" w:rsidRPr="00114FDD">
        <w:rPr>
          <w:sz w:val="26"/>
          <w:szCs w:val="26"/>
        </w:rPr>
        <w:t xml:space="preserve">taff </w:t>
      </w:r>
      <w:r w:rsidR="00A757F3" w:rsidRPr="00114FDD">
        <w:rPr>
          <w:sz w:val="26"/>
          <w:szCs w:val="26"/>
        </w:rPr>
        <w:t>conducted</w:t>
      </w:r>
      <w:r w:rsidRPr="00114FDD">
        <w:rPr>
          <w:sz w:val="26"/>
          <w:szCs w:val="26"/>
        </w:rPr>
        <w:t xml:space="preserve"> a cross-sectional study to compare HOU and CF values by building type </w:t>
      </w:r>
      <w:r w:rsidR="00A045B5">
        <w:rPr>
          <w:sz w:val="26"/>
          <w:szCs w:val="26"/>
        </w:rPr>
        <w:t xml:space="preserve">found </w:t>
      </w:r>
      <w:r w:rsidRPr="00114FDD">
        <w:rPr>
          <w:sz w:val="26"/>
          <w:szCs w:val="26"/>
        </w:rPr>
        <w:t>in</w:t>
      </w:r>
      <w:r w:rsidR="00A045B5">
        <w:rPr>
          <w:sz w:val="26"/>
          <w:szCs w:val="26"/>
        </w:rPr>
        <w:t xml:space="preserve"> the</w:t>
      </w:r>
      <w:r w:rsidRPr="00114FDD">
        <w:rPr>
          <w:sz w:val="26"/>
          <w:szCs w:val="26"/>
        </w:rPr>
        <w:t xml:space="preserve"> 2012 </w:t>
      </w:r>
      <w:r w:rsidR="005748BA" w:rsidRPr="00114FDD">
        <w:rPr>
          <w:sz w:val="26"/>
          <w:szCs w:val="26"/>
        </w:rPr>
        <w:t>TRM with TRMs from other regions</w:t>
      </w:r>
      <w:r w:rsidRPr="00114FDD">
        <w:rPr>
          <w:sz w:val="26"/>
          <w:szCs w:val="26"/>
        </w:rPr>
        <w:t xml:space="preserve"> </w:t>
      </w:r>
      <w:r w:rsidR="005748BA" w:rsidRPr="00114FDD">
        <w:rPr>
          <w:sz w:val="26"/>
          <w:szCs w:val="26"/>
        </w:rPr>
        <w:t>(</w:t>
      </w:r>
      <w:r w:rsidR="00307D0A">
        <w:rPr>
          <w:sz w:val="26"/>
          <w:szCs w:val="26"/>
        </w:rPr>
        <w:t xml:space="preserve">2011 </w:t>
      </w:r>
      <w:r w:rsidR="005748BA" w:rsidRPr="00114FDD">
        <w:rPr>
          <w:sz w:val="26"/>
          <w:szCs w:val="26"/>
        </w:rPr>
        <w:t>Mid-Atlantic</w:t>
      </w:r>
      <w:r w:rsidR="00307D0A">
        <w:rPr>
          <w:sz w:val="26"/>
          <w:szCs w:val="26"/>
        </w:rPr>
        <w:t xml:space="preserve"> TRM</w:t>
      </w:r>
      <w:r w:rsidR="000E0983" w:rsidRPr="00114FDD">
        <w:rPr>
          <w:sz w:val="26"/>
          <w:szCs w:val="26"/>
        </w:rPr>
        <w:t>,</w:t>
      </w:r>
      <w:r w:rsidR="005748BA" w:rsidRPr="00114FDD">
        <w:rPr>
          <w:sz w:val="26"/>
          <w:szCs w:val="26"/>
        </w:rPr>
        <w:t xml:space="preserve"> Wisconsin</w:t>
      </w:r>
      <w:r w:rsidR="000E0983" w:rsidRPr="00114FDD">
        <w:rPr>
          <w:sz w:val="26"/>
          <w:szCs w:val="26"/>
        </w:rPr>
        <w:t>,</w:t>
      </w:r>
      <w:r w:rsidR="00B124E2" w:rsidRPr="00114FDD">
        <w:rPr>
          <w:rStyle w:val="FootnoteReference"/>
          <w:sz w:val="26"/>
          <w:szCs w:val="26"/>
        </w:rPr>
        <w:footnoteReference w:id="123"/>
      </w:r>
      <w:r w:rsidR="005748BA" w:rsidRPr="00114FDD">
        <w:rPr>
          <w:sz w:val="26"/>
          <w:szCs w:val="26"/>
        </w:rPr>
        <w:t xml:space="preserve"> California</w:t>
      </w:r>
      <w:r w:rsidR="000E0983" w:rsidRPr="00114FDD">
        <w:rPr>
          <w:sz w:val="26"/>
          <w:szCs w:val="26"/>
        </w:rPr>
        <w:t>,</w:t>
      </w:r>
      <w:r w:rsidR="00B124E2" w:rsidRPr="00114FDD">
        <w:rPr>
          <w:rStyle w:val="FootnoteReference"/>
          <w:sz w:val="26"/>
          <w:szCs w:val="26"/>
        </w:rPr>
        <w:footnoteReference w:id="124"/>
      </w:r>
      <w:r w:rsidR="005748BA" w:rsidRPr="00114FDD">
        <w:rPr>
          <w:sz w:val="26"/>
          <w:szCs w:val="26"/>
        </w:rPr>
        <w:t xml:space="preserve"> </w:t>
      </w:r>
      <w:r w:rsidR="00307D0A">
        <w:rPr>
          <w:sz w:val="26"/>
          <w:szCs w:val="26"/>
        </w:rPr>
        <w:t xml:space="preserve">2012 </w:t>
      </w:r>
      <w:r w:rsidR="005748BA" w:rsidRPr="00114FDD">
        <w:rPr>
          <w:sz w:val="26"/>
          <w:szCs w:val="26"/>
        </w:rPr>
        <w:t>Connecticut</w:t>
      </w:r>
      <w:r w:rsidR="00307D0A">
        <w:rPr>
          <w:sz w:val="26"/>
          <w:szCs w:val="26"/>
        </w:rPr>
        <w:t xml:space="preserve"> TRM</w:t>
      </w:r>
      <w:r w:rsidR="000E0983" w:rsidRPr="00114FDD">
        <w:rPr>
          <w:sz w:val="26"/>
          <w:szCs w:val="26"/>
        </w:rPr>
        <w:t>,</w:t>
      </w:r>
      <w:r w:rsidR="005748BA" w:rsidRPr="00114FDD">
        <w:rPr>
          <w:sz w:val="26"/>
          <w:szCs w:val="26"/>
        </w:rPr>
        <w:t xml:space="preserve"> New York</w:t>
      </w:r>
      <w:r w:rsidR="000E0983" w:rsidRPr="00114FDD">
        <w:rPr>
          <w:sz w:val="26"/>
          <w:szCs w:val="26"/>
        </w:rPr>
        <w:t>,</w:t>
      </w:r>
      <w:r w:rsidR="00B124E2" w:rsidRPr="00114FDD">
        <w:rPr>
          <w:rStyle w:val="FootnoteReference"/>
          <w:sz w:val="26"/>
          <w:szCs w:val="26"/>
        </w:rPr>
        <w:footnoteReference w:id="125"/>
      </w:r>
      <w:r w:rsidR="005748BA" w:rsidRPr="00114FDD">
        <w:rPr>
          <w:sz w:val="26"/>
          <w:szCs w:val="26"/>
        </w:rPr>
        <w:t xml:space="preserve"> Vermont</w:t>
      </w:r>
      <w:r w:rsidR="000E0983" w:rsidRPr="00114FDD">
        <w:rPr>
          <w:sz w:val="26"/>
          <w:szCs w:val="26"/>
        </w:rPr>
        <w:t>,</w:t>
      </w:r>
      <w:r w:rsidR="00B124E2" w:rsidRPr="00114FDD">
        <w:rPr>
          <w:rStyle w:val="FootnoteReference"/>
          <w:sz w:val="26"/>
          <w:szCs w:val="26"/>
        </w:rPr>
        <w:footnoteReference w:id="126"/>
      </w:r>
      <w:r w:rsidR="005748BA" w:rsidRPr="00114FDD">
        <w:rPr>
          <w:sz w:val="26"/>
          <w:szCs w:val="26"/>
        </w:rPr>
        <w:t xml:space="preserve"> </w:t>
      </w:r>
      <w:r w:rsidR="00307D0A">
        <w:rPr>
          <w:sz w:val="26"/>
          <w:szCs w:val="26"/>
        </w:rPr>
        <w:t xml:space="preserve">2010 </w:t>
      </w:r>
      <w:r w:rsidR="005748BA" w:rsidRPr="00114FDD">
        <w:rPr>
          <w:sz w:val="26"/>
          <w:szCs w:val="26"/>
        </w:rPr>
        <w:t>Ohio</w:t>
      </w:r>
      <w:r w:rsidR="00307D0A">
        <w:rPr>
          <w:sz w:val="26"/>
          <w:szCs w:val="26"/>
        </w:rPr>
        <w:t xml:space="preserve"> TRM,</w:t>
      </w:r>
      <w:r w:rsidR="005748BA" w:rsidRPr="00114FDD">
        <w:rPr>
          <w:sz w:val="26"/>
          <w:szCs w:val="26"/>
        </w:rPr>
        <w:t xml:space="preserve"> Delaware</w:t>
      </w:r>
      <w:r w:rsidR="000E0983" w:rsidRPr="00114FDD">
        <w:rPr>
          <w:sz w:val="26"/>
          <w:szCs w:val="26"/>
        </w:rPr>
        <w:t>,</w:t>
      </w:r>
      <w:r w:rsidR="00B124E2" w:rsidRPr="00114FDD">
        <w:rPr>
          <w:rStyle w:val="FootnoteReference"/>
          <w:sz w:val="26"/>
          <w:szCs w:val="26"/>
        </w:rPr>
        <w:footnoteReference w:id="127"/>
      </w:r>
      <w:r w:rsidR="005748BA" w:rsidRPr="00114FDD">
        <w:rPr>
          <w:sz w:val="26"/>
          <w:szCs w:val="26"/>
        </w:rPr>
        <w:t xml:space="preserve"> </w:t>
      </w:r>
      <w:r w:rsidR="00307D0A">
        <w:rPr>
          <w:sz w:val="26"/>
          <w:szCs w:val="26"/>
        </w:rPr>
        <w:t xml:space="preserve">2012 </w:t>
      </w:r>
      <w:r w:rsidR="005748BA" w:rsidRPr="00114FDD">
        <w:rPr>
          <w:sz w:val="26"/>
          <w:szCs w:val="26"/>
        </w:rPr>
        <w:t>Illinois</w:t>
      </w:r>
      <w:r w:rsidR="00307D0A">
        <w:rPr>
          <w:sz w:val="26"/>
          <w:szCs w:val="26"/>
        </w:rPr>
        <w:t xml:space="preserve"> TRM</w:t>
      </w:r>
      <w:r w:rsidR="000E0983" w:rsidRPr="00114FDD">
        <w:rPr>
          <w:sz w:val="26"/>
          <w:szCs w:val="26"/>
        </w:rPr>
        <w:t>,</w:t>
      </w:r>
      <w:r w:rsidR="005748BA" w:rsidRPr="00114FDD">
        <w:rPr>
          <w:sz w:val="26"/>
          <w:szCs w:val="26"/>
        </w:rPr>
        <w:t xml:space="preserve"> Massachusetts</w:t>
      </w:r>
      <w:r w:rsidR="00B124E2" w:rsidRPr="00114FDD">
        <w:rPr>
          <w:rStyle w:val="FootnoteReference"/>
          <w:sz w:val="26"/>
          <w:szCs w:val="26"/>
        </w:rPr>
        <w:footnoteReference w:id="128"/>
      </w:r>
      <w:r w:rsidR="005748BA" w:rsidRPr="00114FDD">
        <w:rPr>
          <w:sz w:val="26"/>
          <w:szCs w:val="26"/>
        </w:rPr>
        <w:t xml:space="preserve"> and Maine</w:t>
      </w:r>
      <w:r w:rsidR="00B124E2" w:rsidRPr="00114FDD">
        <w:rPr>
          <w:rStyle w:val="FootnoteReference"/>
          <w:sz w:val="26"/>
          <w:szCs w:val="26"/>
        </w:rPr>
        <w:footnoteReference w:id="129"/>
      </w:r>
      <w:r w:rsidR="005748BA" w:rsidRPr="00114FDD">
        <w:rPr>
          <w:sz w:val="26"/>
          <w:szCs w:val="26"/>
        </w:rPr>
        <w:t>)</w:t>
      </w:r>
      <w:r w:rsidRPr="00114FDD">
        <w:rPr>
          <w:sz w:val="26"/>
          <w:szCs w:val="26"/>
        </w:rPr>
        <w:t xml:space="preserve">. </w:t>
      </w:r>
      <w:r w:rsidR="000E0983" w:rsidRPr="00114FDD">
        <w:rPr>
          <w:sz w:val="26"/>
          <w:szCs w:val="26"/>
        </w:rPr>
        <w:t xml:space="preserve"> </w:t>
      </w:r>
      <w:r w:rsidRPr="00114FDD">
        <w:rPr>
          <w:sz w:val="26"/>
          <w:szCs w:val="26"/>
        </w:rPr>
        <w:t xml:space="preserve">The SWE </w:t>
      </w:r>
      <w:r w:rsidR="00840645" w:rsidRPr="00114FDD">
        <w:rPr>
          <w:sz w:val="26"/>
          <w:szCs w:val="26"/>
        </w:rPr>
        <w:t xml:space="preserve">and Commission </w:t>
      </w:r>
      <w:r w:rsidR="000E0983" w:rsidRPr="00114FDD">
        <w:rPr>
          <w:sz w:val="26"/>
          <w:szCs w:val="26"/>
        </w:rPr>
        <w:t>S</w:t>
      </w:r>
      <w:r w:rsidR="00840645" w:rsidRPr="00114FDD">
        <w:rPr>
          <w:sz w:val="26"/>
          <w:szCs w:val="26"/>
        </w:rPr>
        <w:t xml:space="preserve">taff </w:t>
      </w:r>
      <w:r w:rsidRPr="00114FDD">
        <w:rPr>
          <w:sz w:val="26"/>
          <w:szCs w:val="26"/>
        </w:rPr>
        <w:t xml:space="preserve">found that the HOU </w:t>
      </w:r>
      <w:r w:rsidRPr="00114FDD">
        <w:rPr>
          <w:sz w:val="26"/>
          <w:szCs w:val="26"/>
        </w:rPr>
        <w:lastRenderedPageBreak/>
        <w:t xml:space="preserve">and CF values varied widely depending on the actual source. </w:t>
      </w:r>
      <w:r w:rsidR="000E0983" w:rsidRPr="00114FDD">
        <w:rPr>
          <w:sz w:val="26"/>
          <w:szCs w:val="26"/>
        </w:rPr>
        <w:t xml:space="preserve"> </w:t>
      </w:r>
      <w:r w:rsidRPr="00114FDD">
        <w:rPr>
          <w:sz w:val="26"/>
          <w:szCs w:val="26"/>
        </w:rPr>
        <w:t xml:space="preserve">Some sources did not fully document the data sources and methods used to determine HOU and CF values. </w:t>
      </w:r>
      <w:r w:rsidR="000E0983" w:rsidRPr="00114FDD">
        <w:rPr>
          <w:sz w:val="26"/>
          <w:szCs w:val="26"/>
        </w:rPr>
        <w:t xml:space="preserve"> </w:t>
      </w:r>
      <w:r w:rsidRPr="00114FDD">
        <w:rPr>
          <w:sz w:val="26"/>
          <w:szCs w:val="26"/>
        </w:rPr>
        <w:t>Some sources were based on old data or studies.</w:t>
      </w:r>
      <w:r w:rsidR="000E0983" w:rsidRPr="00114FDD">
        <w:rPr>
          <w:sz w:val="26"/>
          <w:szCs w:val="26"/>
        </w:rPr>
        <w:t xml:space="preserve"> </w:t>
      </w:r>
      <w:r w:rsidRPr="00114FDD">
        <w:rPr>
          <w:sz w:val="26"/>
          <w:szCs w:val="26"/>
        </w:rPr>
        <w:t xml:space="preserve"> Some sources did not provide HOU values for important building types. </w:t>
      </w:r>
      <w:r w:rsidR="000E0983" w:rsidRPr="00114FDD">
        <w:rPr>
          <w:sz w:val="26"/>
          <w:szCs w:val="26"/>
        </w:rPr>
        <w:t xml:space="preserve"> </w:t>
      </w:r>
      <w:r w:rsidRPr="00114FDD">
        <w:rPr>
          <w:sz w:val="26"/>
          <w:szCs w:val="26"/>
        </w:rPr>
        <w:t xml:space="preserve">Most sources were not based on actual lighting logger data but instead used secondary research or referenced one or more TRMs from other states.      </w:t>
      </w:r>
      <w:r w:rsidR="00917985" w:rsidRPr="00114FDD">
        <w:rPr>
          <w:sz w:val="26"/>
          <w:szCs w:val="26"/>
        </w:rPr>
        <w:t xml:space="preserve"> </w:t>
      </w:r>
      <w:r w:rsidRPr="00114FDD">
        <w:rPr>
          <w:sz w:val="26"/>
          <w:szCs w:val="26"/>
        </w:rPr>
        <w:t xml:space="preserve"> </w:t>
      </w:r>
    </w:p>
    <w:p w:rsidR="00050E8B" w:rsidRPr="00114FDD" w:rsidRDefault="00050E8B" w:rsidP="00B64A9F">
      <w:pPr>
        <w:pStyle w:val="p3"/>
        <w:tabs>
          <w:tab w:val="clear" w:pos="204"/>
          <w:tab w:val="left" w:pos="0"/>
          <w:tab w:val="left" w:pos="720"/>
        </w:tabs>
        <w:spacing w:line="360" w:lineRule="auto"/>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7D40E9">
        <w:rPr>
          <w:sz w:val="26"/>
          <w:szCs w:val="26"/>
        </w:rPr>
        <w:t>After reviewing all of these sources, t</w:t>
      </w:r>
      <w:r w:rsidRPr="00114FDD">
        <w:rPr>
          <w:sz w:val="26"/>
          <w:szCs w:val="26"/>
        </w:rPr>
        <w:t xml:space="preserve">he Commission considers the </w:t>
      </w:r>
      <w:r w:rsidR="00307D0A">
        <w:rPr>
          <w:sz w:val="26"/>
          <w:szCs w:val="26"/>
        </w:rPr>
        <w:t xml:space="preserve">2011 </w:t>
      </w:r>
      <w:r w:rsidRPr="00114FDD">
        <w:rPr>
          <w:sz w:val="26"/>
          <w:szCs w:val="26"/>
        </w:rPr>
        <w:t>Mid-Atlantic TRM as the most applicable source for Pe</w:t>
      </w:r>
      <w:r w:rsidR="004D7951" w:rsidRPr="00114FDD">
        <w:rPr>
          <w:sz w:val="26"/>
          <w:szCs w:val="26"/>
        </w:rPr>
        <w:t>nnsylvania in the absence of Pennsylvania-s</w:t>
      </w:r>
      <w:r w:rsidRPr="00114FDD">
        <w:rPr>
          <w:sz w:val="26"/>
          <w:szCs w:val="26"/>
        </w:rPr>
        <w:t>pecific primary data</w:t>
      </w:r>
      <w:r w:rsidR="002A1AC3" w:rsidRPr="00114FDD">
        <w:rPr>
          <w:sz w:val="26"/>
          <w:szCs w:val="26"/>
        </w:rPr>
        <w:t xml:space="preserve">. </w:t>
      </w:r>
      <w:r w:rsidR="004D7951" w:rsidRPr="00114FDD">
        <w:rPr>
          <w:sz w:val="26"/>
          <w:szCs w:val="26"/>
        </w:rPr>
        <w:t xml:space="preserve"> </w:t>
      </w:r>
      <w:r w:rsidR="007D40E9">
        <w:rPr>
          <w:sz w:val="26"/>
          <w:szCs w:val="26"/>
        </w:rPr>
        <w:t>As such, t</w:t>
      </w:r>
      <w:r w:rsidR="002A1AC3" w:rsidRPr="00114FDD">
        <w:rPr>
          <w:sz w:val="26"/>
          <w:szCs w:val="26"/>
        </w:rPr>
        <w:t>he Commission</w:t>
      </w:r>
      <w:r w:rsidRPr="00114FDD">
        <w:rPr>
          <w:sz w:val="26"/>
          <w:szCs w:val="26"/>
        </w:rPr>
        <w:t xml:space="preserve"> </w:t>
      </w:r>
      <w:r w:rsidR="002A1AC3" w:rsidRPr="00114FDD">
        <w:rPr>
          <w:sz w:val="26"/>
          <w:szCs w:val="26"/>
        </w:rPr>
        <w:t>proposes to</w:t>
      </w:r>
      <w:r w:rsidRPr="00114FDD">
        <w:rPr>
          <w:sz w:val="26"/>
          <w:szCs w:val="26"/>
        </w:rPr>
        <w:t xml:space="preserve"> use </w:t>
      </w:r>
      <w:r w:rsidR="002A1AC3" w:rsidRPr="00114FDD">
        <w:rPr>
          <w:sz w:val="26"/>
          <w:szCs w:val="26"/>
        </w:rPr>
        <w:t>the</w:t>
      </w:r>
      <w:r w:rsidR="00307D0A">
        <w:rPr>
          <w:sz w:val="26"/>
          <w:szCs w:val="26"/>
        </w:rPr>
        <w:t xml:space="preserve"> 2011</w:t>
      </w:r>
      <w:r w:rsidR="002A1AC3" w:rsidRPr="00114FDD">
        <w:rPr>
          <w:sz w:val="26"/>
          <w:szCs w:val="26"/>
        </w:rPr>
        <w:t xml:space="preserve"> Mid-Atlantic TRM </w:t>
      </w:r>
      <w:r w:rsidRPr="00114FDD">
        <w:rPr>
          <w:sz w:val="26"/>
          <w:szCs w:val="26"/>
        </w:rPr>
        <w:t xml:space="preserve">as the primary source for reporting HOU and CF values in the 2013 TRM. </w:t>
      </w:r>
      <w:r w:rsidR="004D7951" w:rsidRPr="00114FDD">
        <w:rPr>
          <w:sz w:val="26"/>
          <w:szCs w:val="26"/>
        </w:rPr>
        <w:t xml:space="preserve"> </w:t>
      </w:r>
      <w:r w:rsidRPr="00114FDD">
        <w:rPr>
          <w:sz w:val="26"/>
          <w:szCs w:val="26"/>
        </w:rPr>
        <w:t xml:space="preserve">The HOU and CF values reported in the </w:t>
      </w:r>
      <w:r w:rsidR="00307D0A">
        <w:rPr>
          <w:sz w:val="26"/>
          <w:szCs w:val="26"/>
        </w:rPr>
        <w:t xml:space="preserve">2011 </w:t>
      </w:r>
      <w:r w:rsidRPr="00114FDD">
        <w:rPr>
          <w:sz w:val="26"/>
          <w:szCs w:val="26"/>
        </w:rPr>
        <w:t>Mid-Atlantic TRM are based on a secondary research study conducted by Itron, Inc. in December, 2010</w:t>
      </w:r>
      <w:r w:rsidR="007D40E9">
        <w:rPr>
          <w:sz w:val="26"/>
          <w:szCs w:val="26"/>
        </w:rPr>
        <w:t>,</w:t>
      </w:r>
      <w:r w:rsidRPr="00114FDD">
        <w:rPr>
          <w:sz w:val="26"/>
          <w:szCs w:val="26"/>
        </w:rPr>
        <w:t xml:space="preserve"> entitled </w:t>
      </w:r>
      <w:r w:rsidRPr="00DC3AAA">
        <w:rPr>
          <w:i/>
          <w:sz w:val="26"/>
          <w:szCs w:val="26"/>
        </w:rPr>
        <w:t>Development of Interior Lighting Hours of Use and Coincidence Factor Values for EmPOWER Maryland Commercial Lighting Program Evaluations</w:t>
      </w:r>
      <w:r w:rsidR="004D7951" w:rsidRPr="00114FDD">
        <w:rPr>
          <w:sz w:val="26"/>
          <w:szCs w:val="26"/>
        </w:rPr>
        <w:t>,</w:t>
      </w:r>
      <w:r w:rsidRPr="00114FDD">
        <w:rPr>
          <w:sz w:val="26"/>
          <w:szCs w:val="26"/>
        </w:rPr>
        <w:t xml:space="preserve"> which was presented to </w:t>
      </w:r>
      <w:r w:rsidR="007D40E9">
        <w:rPr>
          <w:sz w:val="26"/>
          <w:szCs w:val="26"/>
        </w:rPr>
        <w:t xml:space="preserve">the </w:t>
      </w:r>
      <w:r w:rsidRPr="00114FDD">
        <w:rPr>
          <w:sz w:val="26"/>
          <w:szCs w:val="26"/>
        </w:rPr>
        <w:t xml:space="preserve">Maryland Public Service Commission. </w:t>
      </w:r>
      <w:r w:rsidR="004D7951" w:rsidRPr="00114FDD">
        <w:rPr>
          <w:sz w:val="26"/>
          <w:szCs w:val="26"/>
        </w:rPr>
        <w:t xml:space="preserve"> </w:t>
      </w:r>
      <w:r w:rsidRPr="00114FDD">
        <w:rPr>
          <w:sz w:val="26"/>
          <w:szCs w:val="26"/>
        </w:rPr>
        <w:t>The results reported in the study were derived from the California 2006-2008 Commercial Lighting Study</w:t>
      </w:r>
      <w:r w:rsidRPr="00114FDD">
        <w:rPr>
          <w:sz w:val="26"/>
          <w:szCs w:val="26"/>
          <w:vertAlign w:val="superscript"/>
        </w:rPr>
        <w:footnoteReference w:id="130"/>
      </w:r>
      <w:r w:rsidRPr="00114FDD">
        <w:rPr>
          <w:sz w:val="26"/>
          <w:szCs w:val="26"/>
        </w:rPr>
        <w:t xml:space="preserve"> supplemented by the California Database fo</w:t>
      </w:r>
      <w:r w:rsidR="004D7951" w:rsidRPr="00114FDD">
        <w:rPr>
          <w:sz w:val="26"/>
          <w:szCs w:val="26"/>
        </w:rPr>
        <w:t>r Energy Efficiency Resources (</w:t>
      </w:r>
      <w:r w:rsidRPr="00114FDD">
        <w:rPr>
          <w:sz w:val="26"/>
          <w:szCs w:val="26"/>
        </w:rPr>
        <w:t>DEER)</w:t>
      </w:r>
      <w:r w:rsidR="00307D0A">
        <w:rPr>
          <w:sz w:val="26"/>
          <w:szCs w:val="26"/>
        </w:rPr>
        <w:t xml:space="preserve"> 2008</w:t>
      </w:r>
      <w:r w:rsidRPr="00114FDD">
        <w:rPr>
          <w:sz w:val="26"/>
          <w:szCs w:val="26"/>
        </w:rPr>
        <w:t xml:space="preserve"> Database</w:t>
      </w:r>
      <w:r w:rsidR="004D7951" w:rsidRPr="00114FDD">
        <w:rPr>
          <w:sz w:val="26"/>
          <w:szCs w:val="26"/>
        </w:rPr>
        <w:t>.</w:t>
      </w:r>
      <w:r w:rsidRPr="00114FDD">
        <w:rPr>
          <w:sz w:val="26"/>
          <w:szCs w:val="26"/>
          <w:vertAlign w:val="superscript"/>
        </w:rPr>
        <w:footnoteReference w:id="131"/>
      </w:r>
      <w:r w:rsidRPr="00114FDD">
        <w:rPr>
          <w:sz w:val="26"/>
          <w:szCs w:val="26"/>
        </w:rPr>
        <w:t xml:space="preserve">  </w:t>
      </w:r>
    </w:p>
    <w:p w:rsidR="00050E8B" w:rsidRPr="00114FDD" w:rsidRDefault="00050E8B" w:rsidP="00B64A9F">
      <w:pPr>
        <w:spacing w:line="360" w:lineRule="auto"/>
        <w:rPr>
          <w:sz w:val="26"/>
          <w:szCs w:val="26"/>
        </w:rPr>
      </w:pPr>
    </w:p>
    <w:p w:rsidR="00050E8B" w:rsidRPr="00114FDD" w:rsidRDefault="00050E8B" w:rsidP="00B64A9F">
      <w:pPr>
        <w:spacing w:line="360" w:lineRule="auto"/>
        <w:ind w:firstLine="720"/>
        <w:rPr>
          <w:sz w:val="26"/>
          <w:szCs w:val="26"/>
        </w:rPr>
      </w:pPr>
      <w:r w:rsidRPr="00114FDD">
        <w:rPr>
          <w:sz w:val="26"/>
          <w:szCs w:val="26"/>
        </w:rPr>
        <w:t xml:space="preserve">The Commission proposes using the </w:t>
      </w:r>
      <w:r w:rsidR="00307D0A">
        <w:rPr>
          <w:sz w:val="26"/>
          <w:szCs w:val="26"/>
        </w:rPr>
        <w:t xml:space="preserve">2011 </w:t>
      </w:r>
      <w:r w:rsidRPr="00114FDD">
        <w:rPr>
          <w:sz w:val="26"/>
          <w:szCs w:val="26"/>
        </w:rPr>
        <w:t xml:space="preserve">Mid-Atlantic TRM values for the following reasons: </w:t>
      </w:r>
    </w:p>
    <w:p w:rsidR="008F2665" w:rsidRPr="00114FDD" w:rsidRDefault="008F2665" w:rsidP="00B64A9F">
      <w:pPr>
        <w:spacing w:line="360" w:lineRule="auto"/>
        <w:ind w:firstLine="720"/>
        <w:rPr>
          <w:sz w:val="26"/>
          <w:szCs w:val="26"/>
        </w:rPr>
      </w:pPr>
    </w:p>
    <w:p w:rsidR="00050E8B" w:rsidRPr="00114FDD"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114FDD">
        <w:rPr>
          <w:rFonts w:ascii="Times New Roman" w:hAnsi="Times New Roman"/>
          <w:sz w:val="26"/>
          <w:szCs w:val="26"/>
        </w:rPr>
        <w:t xml:space="preserve">The California lighting study is the largest and most comprehensive study of lighting use ever conducted with a </w:t>
      </w:r>
      <w:r w:rsidR="00A83578">
        <w:rPr>
          <w:rFonts w:ascii="Times New Roman" w:hAnsi="Times New Roman"/>
          <w:sz w:val="26"/>
          <w:szCs w:val="26"/>
        </w:rPr>
        <w:t xml:space="preserve">random </w:t>
      </w:r>
      <w:r w:rsidRPr="00114FDD">
        <w:rPr>
          <w:rFonts w:ascii="Times New Roman" w:hAnsi="Times New Roman"/>
          <w:sz w:val="26"/>
          <w:szCs w:val="26"/>
        </w:rPr>
        <w:t>sample of 6,774 loggers installed in over 1,202 site</w:t>
      </w:r>
      <w:r w:rsidR="00307D0A">
        <w:rPr>
          <w:rFonts w:ascii="Times New Roman" w:hAnsi="Times New Roman"/>
          <w:sz w:val="26"/>
          <w:szCs w:val="26"/>
        </w:rPr>
        <w:t>s for two to three months each;</w:t>
      </w:r>
    </w:p>
    <w:p w:rsidR="00050E8B" w:rsidRPr="00114FDD"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114FDD">
        <w:rPr>
          <w:rFonts w:ascii="Times New Roman" w:hAnsi="Times New Roman"/>
          <w:sz w:val="26"/>
          <w:szCs w:val="26"/>
        </w:rPr>
        <w:lastRenderedPageBreak/>
        <w:t>The metered data is considered more accurate and valuable compared to estimates derived based on simulation modeling, customer surveys or averag</w:t>
      </w:r>
      <w:r w:rsidR="00307D0A">
        <w:rPr>
          <w:rFonts w:ascii="Times New Roman" w:hAnsi="Times New Roman"/>
          <w:sz w:val="26"/>
          <w:szCs w:val="26"/>
        </w:rPr>
        <w:t>es taken from different sources;</w:t>
      </w:r>
    </w:p>
    <w:p w:rsidR="00050E8B" w:rsidRPr="00114FDD"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114FDD">
        <w:rPr>
          <w:rFonts w:ascii="Times New Roman" w:hAnsi="Times New Roman"/>
          <w:sz w:val="26"/>
          <w:szCs w:val="26"/>
        </w:rPr>
        <w:t>The study provides HOU estimates for almost all of the 12 critical building types with</w:t>
      </w:r>
      <w:r w:rsidR="00307D0A">
        <w:rPr>
          <w:rFonts w:ascii="Times New Roman" w:hAnsi="Times New Roman"/>
          <w:sz w:val="26"/>
          <w:szCs w:val="26"/>
        </w:rPr>
        <w:t xml:space="preserve"> high precision and confidence;</w:t>
      </w:r>
    </w:p>
    <w:p w:rsidR="00050E8B" w:rsidRPr="00114FDD"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114FDD">
        <w:rPr>
          <w:rFonts w:ascii="Times New Roman" w:hAnsi="Times New Roman"/>
          <w:sz w:val="26"/>
          <w:szCs w:val="26"/>
        </w:rPr>
        <w:t>The data sources and methods are well documented and are less than five years old</w:t>
      </w:r>
      <w:r w:rsidR="007D40E9">
        <w:rPr>
          <w:rFonts w:ascii="Times New Roman" w:hAnsi="Times New Roman"/>
          <w:sz w:val="26"/>
          <w:szCs w:val="26"/>
        </w:rPr>
        <w:t>,</w:t>
      </w:r>
      <w:r w:rsidRPr="00114FDD">
        <w:rPr>
          <w:rFonts w:ascii="Times New Roman" w:hAnsi="Times New Roman"/>
          <w:sz w:val="26"/>
          <w:szCs w:val="26"/>
        </w:rPr>
        <w:t xml:space="preserve"> compared to the 2012 TRM where HOU values for </w:t>
      </w:r>
      <w:r w:rsidR="007D40E9">
        <w:rPr>
          <w:rFonts w:ascii="Times New Roman" w:hAnsi="Times New Roman"/>
          <w:sz w:val="26"/>
          <w:szCs w:val="26"/>
        </w:rPr>
        <w:t xml:space="preserve">the </w:t>
      </w:r>
      <w:r w:rsidRPr="00114FDD">
        <w:rPr>
          <w:rFonts w:ascii="Times New Roman" w:hAnsi="Times New Roman"/>
          <w:sz w:val="26"/>
          <w:szCs w:val="26"/>
        </w:rPr>
        <w:t>majority of the building types are based o</w:t>
      </w:r>
      <w:r w:rsidR="00307D0A">
        <w:rPr>
          <w:rFonts w:ascii="Times New Roman" w:hAnsi="Times New Roman"/>
          <w:sz w:val="26"/>
          <w:szCs w:val="26"/>
        </w:rPr>
        <w:t>n the 1999 PG&amp;E study; and</w:t>
      </w:r>
    </w:p>
    <w:p w:rsidR="00050E8B" w:rsidRPr="00114FDD" w:rsidRDefault="00050E8B" w:rsidP="00B64A9F">
      <w:pPr>
        <w:pStyle w:val="ListParagraph"/>
        <w:numPr>
          <w:ilvl w:val="0"/>
          <w:numId w:val="7"/>
        </w:numPr>
        <w:overflowPunct/>
        <w:autoSpaceDE/>
        <w:autoSpaceDN/>
        <w:adjustRightInd/>
        <w:spacing w:after="0" w:line="360" w:lineRule="auto"/>
        <w:contextualSpacing/>
        <w:textAlignment w:val="auto"/>
        <w:rPr>
          <w:rFonts w:ascii="Times New Roman" w:hAnsi="Times New Roman"/>
          <w:sz w:val="26"/>
          <w:szCs w:val="26"/>
        </w:rPr>
      </w:pPr>
      <w:r w:rsidRPr="00114FDD">
        <w:rPr>
          <w:rFonts w:ascii="Times New Roman" w:hAnsi="Times New Roman"/>
          <w:sz w:val="26"/>
          <w:szCs w:val="26"/>
        </w:rPr>
        <w:t xml:space="preserve">Methods used in the study to develop these estimates are not only transparent but the result of eight months of vigorous review by stakeholders in California. </w:t>
      </w:r>
    </w:p>
    <w:p w:rsidR="00050E8B" w:rsidRPr="00114FDD" w:rsidRDefault="00050E8B" w:rsidP="00B64A9F">
      <w:pPr>
        <w:spacing w:line="360" w:lineRule="auto"/>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 xml:space="preserve">The </w:t>
      </w:r>
      <w:r w:rsidR="008F2665" w:rsidRPr="00114FDD">
        <w:rPr>
          <w:sz w:val="26"/>
          <w:szCs w:val="26"/>
        </w:rPr>
        <w:t xml:space="preserve">Commission </w:t>
      </w:r>
      <w:r w:rsidRPr="00114FDD">
        <w:rPr>
          <w:sz w:val="26"/>
          <w:szCs w:val="26"/>
        </w:rPr>
        <w:t xml:space="preserve">realizes that there may be differences between California and Pennsylvania lighting conditions that could affect annual HOU for some building types. </w:t>
      </w:r>
      <w:r w:rsidR="004D7951" w:rsidRPr="00114FDD">
        <w:rPr>
          <w:sz w:val="26"/>
          <w:szCs w:val="26"/>
        </w:rPr>
        <w:t xml:space="preserve"> </w:t>
      </w:r>
      <w:r w:rsidRPr="00114FDD">
        <w:rPr>
          <w:sz w:val="26"/>
          <w:szCs w:val="26"/>
        </w:rPr>
        <w:t xml:space="preserve">These values, however, represent the best available information based on a comprehensive metering study and will be an improvement over the 2009 </w:t>
      </w:r>
      <w:r w:rsidR="004D7951" w:rsidRPr="00114FDD">
        <w:rPr>
          <w:sz w:val="26"/>
          <w:szCs w:val="26"/>
        </w:rPr>
        <w:t>New Jersey</w:t>
      </w:r>
      <w:r w:rsidRPr="00114FDD">
        <w:rPr>
          <w:sz w:val="26"/>
          <w:szCs w:val="26"/>
        </w:rPr>
        <w:t xml:space="preserve"> TRM, </w:t>
      </w:r>
      <w:r w:rsidR="005B6D3B" w:rsidRPr="00114FDD">
        <w:rPr>
          <w:sz w:val="26"/>
          <w:szCs w:val="26"/>
        </w:rPr>
        <w:t>which was used as the</w:t>
      </w:r>
      <w:r w:rsidRPr="00114FDD">
        <w:rPr>
          <w:sz w:val="26"/>
          <w:szCs w:val="26"/>
        </w:rPr>
        <w:t xml:space="preserve"> source for a number of building types in the </w:t>
      </w:r>
      <w:r w:rsidR="005B6D3B" w:rsidRPr="00114FDD">
        <w:rPr>
          <w:sz w:val="26"/>
          <w:szCs w:val="26"/>
        </w:rPr>
        <w:t>2012</w:t>
      </w:r>
      <w:r w:rsidRPr="00114FDD">
        <w:rPr>
          <w:sz w:val="26"/>
          <w:szCs w:val="26"/>
        </w:rPr>
        <w:t xml:space="preserve"> TRM. </w:t>
      </w:r>
      <w:r w:rsidR="004D7951" w:rsidRPr="00114FDD">
        <w:rPr>
          <w:sz w:val="26"/>
          <w:szCs w:val="26"/>
        </w:rPr>
        <w:t xml:space="preserve"> </w:t>
      </w:r>
      <w:r w:rsidRPr="00114FDD">
        <w:rPr>
          <w:sz w:val="26"/>
          <w:szCs w:val="26"/>
        </w:rPr>
        <w:t>The Commission clarifies that these</w:t>
      </w:r>
      <w:r w:rsidR="004D7951" w:rsidRPr="00114FDD">
        <w:rPr>
          <w:sz w:val="26"/>
          <w:szCs w:val="26"/>
        </w:rPr>
        <w:t xml:space="preserve"> values may be supplemented by Pennsylvania-specific</w:t>
      </w:r>
      <w:r w:rsidRPr="00114FDD">
        <w:rPr>
          <w:sz w:val="26"/>
          <w:szCs w:val="26"/>
        </w:rPr>
        <w:t xml:space="preserve"> primary logged data obtained from evaluations</w:t>
      </w:r>
      <w:r w:rsidR="004D7951" w:rsidRPr="00114FDD">
        <w:rPr>
          <w:sz w:val="26"/>
          <w:szCs w:val="26"/>
        </w:rPr>
        <w:t>,</w:t>
      </w:r>
      <w:r w:rsidRPr="00114FDD">
        <w:rPr>
          <w:sz w:val="26"/>
          <w:szCs w:val="26"/>
        </w:rPr>
        <w:t xml:space="preserve"> where possible</w:t>
      </w:r>
      <w:r w:rsidR="004D7951" w:rsidRPr="00114FDD">
        <w:rPr>
          <w:sz w:val="26"/>
          <w:szCs w:val="26"/>
        </w:rPr>
        <w:t>, during future TRM updates</w:t>
      </w:r>
      <w:r w:rsidRPr="00114FDD">
        <w:rPr>
          <w:sz w:val="26"/>
          <w:szCs w:val="26"/>
        </w:rPr>
        <w:t xml:space="preserve">. </w:t>
      </w:r>
      <w:r w:rsidR="004D7951" w:rsidRPr="00114FDD">
        <w:rPr>
          <w:sz w:val="26"/>
          <w:szCs w:val="26"/>
        </w:rPr>
        <w:t xml:space="preserve"> </w:t>
      </w:r>
      <w:r w:rsidRPr="00114FDD">
        <w:rPr>
          <w:sz w:val="26"/>
          <w:szCs w:val="26"/>
        </w:rPr>
        <w:t>In addition, the EDCs are also allowed to calculate and use site-spe</w:t>
      </w:r>
      <w:r w:rsidR="004D7951" w:rsidRPr="00114FDD">
        <w:rPr>
          <w:sz w:val="26"/>
          <w:szCs w:val="26"/>
        </w:rPr>
        <w:t>cific CFs using the non-weather-</w:t>
      </w:r>
      <w:r w:rsidRPr="00114FDD">
        <w:rPr>
          <w:sz w:val="26"/>
          <w:szCs w:val="26"/>
        </w:rPr>
        <w:t>dependent peak demand calculator in lieu of the recommended CFs</w:t>
      </w:r>
      <w:r w:rsidR="004D7951" w:rsidRPr="00114FDD">
        <w:rPr>
          <w:sz w:val="26"/>
          <w:szCs w:val="26"/>
        </w:rPr>
        <w:t>,</w:t>
      </w:r>
      <w:r w:rsidRPr="00114FDD">
        <w:rPr>
          <w:sz w:val="26"/>
          <w:szCs w:val="26"/>
        </w:rPr>
        <w:t xml:space="preserve"> if the operating schedules are known with reasonable certainty.</w:t>
      </w:r>
    </w:p>
    <w:p w:rsidR="00050E8B" w:rsidRPr="00114FDD" w:rsidRDefault="00050E8B" w:rsidP="00B64A9F">
      <w:pPr>
        <w:spacing w:line="360" w:lineRule="auto"/>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EA6EF0" w:rsidRPr="00114FDD">
        <w:rPr>
          <w:sz w:val="26"/>
          <w:szCs w:val="26"/>
        </w:rPr>
        <w:t xml:space="preserve">The </w:t>
      </w:r>
      <w:r w:rsidR="00EA6EF0">
        <w:rPr>
          <w:sz w:val="26"/>
          <w:szCs w:val="26"/>
        </w:rPr>
        <w:t xml:space="preserve">2011 </w:t>
      </w:r>
      <w:r w:rsidR="00EA6EF0" w:rsidRPr="00114FDD">
        <w:rPr>
          <w:sz w:val="26"/>
          <w:szCs w:val="26"/>
        </w:rPr>
        <w:t xml:space="preserve">Mid-Atlantic TRM is the proposed source </w:t>
      </w:r>
      <w:r w:rsidR="00F35948">
        <w:rPr>
          <w:sz w:val="26"/>
          <w:szCs w:val="26"/>
        </w:rPr>
        <w:t xml:space="preserve">to update HOU values </w:t>
      </w:r>
      <w:r w:rsidR="00EA6EF0" w:rsidRPr="00114FDD">
        <w:rPr>
          <w:sz w:val="26"/>
          <w:szCs w:val="26"/>
        </w:rPr>
        <w:t xml:space="preserve">for </w:t>
      </w:r>
      <w:r w:rsidR="00A83578">
        <w:rPr>
          <w:sz w:val="26"/>
          <w:szCs w:val="26"/>
        </w:rPr>
        <w:t xml:space="preserve">the </w:t>
      </w:r>
      <w:r w:rsidR="008E3959">
        <w:rPr>
          <w:sz w:val="26"/>
          <w:szCs w:val="26"/>
        </w:rPr>
        <w:t>11</w:t>
      </w:r>
      <w:r w:rsidR="00EA6EF0" w:rsidRPr="00114FDD">
        <w:rPr>
          <w:sz w:val="26"/>
          <w:szCs w:val="26"/>
        </w:rPr>
        <w:t xml:space="preserve"> </w:t>
      </w:r>
      <w:r w:rsidR="00EA6EF0">
        <w:rPr>
          <w:sz w:val="26"/>
          <w:szCs w:val="26"/>
        </w:rPr>
        <w:t xml:space="preserve">existing </w:t>
      </w:r>
      <w:r w:rsidR="00EA6EF0" w:rsidRPr="00114FDD">
        <w:rPr>
          <w:sz w:val="26"/>
          <w:szCs w:val="26"/>
        </w:rPr>
        <w:t xml:space="preserve">building types </w:t>
      </w:r>
      <w:r w:rsidR="00EA6EF0">
        <w:rPr>
          <w:sz w:val="26"/>
          <w:szCs w:val="26"/>
        </w:rPr>
        <w:t>in 2012 TRM</w:t>
      </w:r>
      <w:r w:rsidR="00B44426">
        <w:rPr>
          <w:sz w:val="26"/>
          <w:szCs w:val="26"/>
        </w:rPr>
        <w:t xml:space="preserve"> that use</w:t>
      </w:r>
      <w:r w:rsidR="00A23B48">
        <w:rPr>
          <w:sz w:val="26"/>
          <w:szCs w:val="26"/>
        </w:rPr>
        <w:t>d</w:t>
      </w:r>
      <w:r w:rsidR="00B44426">
        <w:rPr>
          <w:sz w:val="26"/>
          <w:szCs w:val="26"/>
        </w:rPr>
        <w:t xml:space="preserve"> the 2009 New Jersey TRM as the source</w:t>
      </w:r>
      <w:r w:rsidR="00EA6EF0">
        <w:rPr>
          <w:sz w:val="26"/>
          <w:szCs w:val="26"/>
        </w:rPr>
        <w:t xml:space="preserve">. </w:t>
      </w:r>
      <w:r w:rsidR="00A83578">
        <w:rPr>
          <w:sz w:val="26"/>
          <w:szCs w:val="26"/>
        </w:rPr>
        <w:t xml:space="preserve"> </w:t>
      </w:r>
      <w:r w:rsidR="00A23B48">
        <w:rPr>
          <w:sz w:val="26"/>
          <w:szCs w:val="26"/>
        </w:rPr>
        <w:t>For existing building types where t</w:t>
      </w:r>
      <w:r w:rsidR="00A23B48" w:rsidRPr="00114FDD">
        <w:rPr>
          <w:sz w:val="26"/>
          <w:szCs w:val="26"/>
        </w:rPr>
        <w:t>he</w:t>
      </w:r>
      <w:r w:rsidR="00A23B48">
        <w:rPr>
          <w:sz w:val="26"/>
          <w:szCs w:val="26"/>
        </w:rPr>
        <w:t xml:space="preserve"> </w:t>
      </w:r>
      <w:r w:rsidR="00307D0A">
        <w:rPr>
          <w:sz w:val="26"/>
          <w:szCs w:val="26"/>
        </w:rPr>
        <w:t>2011</w:t>
      </w:r>
      <w:r w:rsidRPr="00114FDD">
        <w:rPr>
          <w:sz w:val="26"/>
          <w:szCs w:val="26"/>
        </w:rPr>
        <w:t xml:space="preserve"> Mid-Atlantic TRM</w:t>
      </w:r>
      <w:r w:rsidR="00EA6EF0">
        <w:rPr>
          <w:sz w:val="26"/>
          <w:szCs w:val="26"/>
        </w:rPr>
        <w:t xml:space="preserve"> </w:t>
      </w:r>
      <w:r w:rsidRPr="00114FDD">
        <w:rPr>
          <w:sz w:val="26"/>
          <w:szCs w:val="26"/>
        </w:rPr>
        <w:t xml:space="preserve">does not report HOU values and where the </w:t>
      </w:r>
      <w:r w:rsidR="00A23B48">
        <w:rPr>
          <w:sz w:val="26"/>
          <w:szCs w:val="26"/>
        </w:rPr>
        <w:t xml:space="preserve">2012 TRM </w:t>
      </w:r>
      <w:r w:rsidRPr="00114FDD">
        <w:rPr>
          <w:sz w:val="26"/>
          <w:szCs w:val="26"/>
        </w:rPr>
        <w:t>source was the 2009 N</w:t>
      </w:r>
      <w:r w:rsidR="005B6D3B" w:rsidRPr="00114FDD">
        <w:rPr>
          <w:sz w:val="26"/>
          <w:szCs w:val="26"/>
        </w:rPr>
        <w:t>ew Jersey</w:t>
      </w:r>
      <w:r w:rsidRPr="00114FDD">
        <w:rPr>
          <w:sz w:val="26"/>
          <w:szCs w:val="26"/>
        </w:rPr>
        <w:t xml:space="preserve"> TRM, the </w:t>
      </w:r>
      <w:r w:rsidRPr="00114FDD">
        <w:rPr>
          <w:sz w:val="26"/>
          <w:szCs w:val="26"/>
        </w:rPr>
        <w:lastRenderedPageBreak/>
        <w:t>Commission pro</w:t>
      </w:r>
      <w:r w:rsidR="005B6D3B" w:rsidRPr="00114FDD">
        <w:rPr>
          <w:sz w:val="26"/>
          <w:szCs w:val="26"/>
        </w:rPr>
        <w:t>poses using values from the California</w:t>
      </w:r>
      <w:r w:rsidRPr="00114FDD">
        <w:rPr>
          <w:sz w:val="26"/>
          <w:szCs w:val="26"/>
        </w:rPr>
        <w:t xml:space="preserve"> DEER 2011 database</w:t>
      </w:r>
      <w:r w:rsidR="005B6D3B" w:rsidRPr="00114FDD">
        <w:rPr>
          <w:sz w:val="26"/>
          <w:szCs w:val="26"/>
        </w:rPr>
        <w:t>,</w:t>
      </w:r>
      <w:r w:rsidRPr="00114FDD">
        <w:rPr>
          <w:rStyle w:val="FootnoteReference"/>
          <w:sz w:val="26"/>
          <w:szCs w:val="26"/>
        </w:rPr>
        <w:footnoteReference w:id="132"/>
      </w:r>
      <w:r w:rsidRPr="00114FDD">
        <w:rPr>
          <w:sz w:val="26"/>
          <w:szCs w:val="26"/>
        </w:rPr>
        <w:t xml:space="preserve"> 2012 Illinois TRM</w:t>
      </w:r>
      <w:r w:rsidR="005B6D3B" w:rsidRPr="00114FDD">
        <w:rPr>
          <w:sz w:val="26"/>
          <w:szCs w:val="26"/>
        </w:rPr>
        <w:t>,</w:t>
      </w:r>
      <w:r w:rsidR="00307D0A">
        <w:rPr>
          <w:sz w:val="26"/>
          <w:szCs w:val="26"/>
        </w:rPr>
        <w:t xml:space="preserve"> 2010</w:t>
      </w:r>
      <w:r w:rsidRPr="00114FDD">
        <w:rPr>
          <w:sz w:val="26"/>
          <w:szCs w:val="26"/>
        </w:rPr>
        <w:t xml:space="preserve"> Ohio TRM</w:t>
      </w:r>
      <w:r w:rsidR="005B6D3B" w:rsidRPr="00114FDD">
        <w:rPr>
          <w:sz w:val="26"/>
          <w:szCs w:val="26"/>
        </w:rPr>
        <w:t>,</w:t>
      </w:r>
      <w:r w:rsidRPr="00114FDD">
        <w:rPr>
          <w:sz w:val="26"/>
          <w:szCs w:val="26"/>
        </w:rPr>
        <w:t xml:space="preserve"> 2010 Wisconsin </w:t>
      </w:r>
      <w:r w:rsidR="00307D0A">
        <w:rPr>
          <w:sz w:val="26"/>
          <w:szCs w:val="26"/>
        </w:rPr>
        <w:t>D</w:t>
      </w:r>
      <w:r w:rsidRPr="00114FDD">
        <w:rPr>
          <w:sz w:val="26"/>
          <w:szCs w:val="26"/>
        </w:rPr>
        <w:t>ee</w:t>
      </w:r>
      <w:r w:rsidR="00307D0A">
        <w:rPr>
          <w:sz w:val="26"/>
          <w:szCs w:val="26"/>
        </w:rPr>
        <w:t>med S</w:t>
      </w:r>
      <w:r w:rsidRPr="00114FDD">
        <w:rPr>
          <w:sz w:val="26"/>
          <w:szCs w:val="26"/>
        </w:rPr>
        <w:t xml:space="preserve">avings </w:t>
      </w:r>
      <w:r w:rsidR="00307D0A">
        <w:rPr>
          <w:sz w:val="26"/>
          <w:szCs w:val="26"/>
        </w:rPr>
        <w:t>M</w:t>
      </w:r>
      <w:r w:rsidRPr="00114FDD">
        <w:rPr>
          <w:sz w:val="26"/>
          <w:szCs w:val="26"/>
        </w:rPr>
        <w:t>anual</w:t>
      </w:r>
      <w:r w:rsidR="00307D0A">
        <w:rPr>
          <w:sz w:val="26"/>
          <w:szCs w:val="26"/>
        </w:rPr>
        <w:t xml:space="preserve"> and 2012</w:t>
      </w:r>
      <w:r w:rsidRPr="00114FDD">
        <w:rPr>
          <w:sz w:val="26"/>
          <w:szCs w:val="26"/>
        </w:rPr>
        <w:t xml:space="preserve"> Connecticut TRM to update the HOU</w:t>
      </w:r>
      <w:r w:rsidR="003227B2">
        <w:rPr>
          <w:sz w:val="26"/>
          <w:szCs w:val="26"/>
        </w:rPr>
        <w:t xml:space="preserve"> values</w:t>
      </w:r>
      <w:r w:rsidRPr="00114FDD">
        <w:rPr>
          <w:sz w:val="26"/>
          <w:szCs w:val="26"/>
        </w:rPr>
        <w:t>.</w:t>
      </w:r>
      <w:r w:rsidR="005B6D3B" w:rsidRPr="00114FDD">
        <w:rPr>
          <w:sz w:val="26"/>
          <w:szCs w:val="26"/>
        </w:rPr>
        <w:t xml:space="preserve">  </w:t>
      </w:r>
      <w:r w:rsidR="00EA6EF0">
        <w:rPr>
          <w:sz w:val="26"/>
          <w:szCs w:val="26"/>
        </w:rPr>
        <w:t>S</w:t>
      </w:r>
      <w:r w:rsidR="0020608D">
        <w:rPr>
          <w:sz w:val="26"/>
          <w:szCs w:val="26"/>
        </w:rPr>
        <w:t xml:space="preserve">ources </w:t>
      </w:r>
      <w:r w:rsidR="00EA6EF0">
        <w:rPr>
          <w:sz w:val="26"/>
          <w:szCs w:val="26"/>
        </w:rPr>
        <w:t xml:space="preserve">other than the 2011 Mid-Atlantic TRM listed above </w:t>
      </w:r>
      <w:r w:rsidR="0020608D">
        <w:rPr>
          <w:sz w:val="26"/>
          <w:szCs w:val="26"/>
        </w:rPr>
        <w:t xml:space="preserve">are proposed for six building types. </w:t>
      </w:r>
      <w:r w:rsidR="00A83578">
        <w:rPr>
          <w:sz w:val="26"/>
          <w:szCs w:val="26"/>
        </w:rPr>
        <w:t xml:space="preserve"> </w:t>
      </w:r>
      <w:r w:rsidR="0020608D">
        <w:rPr>
          <w:sz w:val="26"/>
          <w:szCs w:val="26"/>
        </w:rPr>
        <w:t xml:space="preserve">Of these, three are </w:t>
      </w:r>
      <w:r w:rsidR="00EA6EF0">
        <w:rPr>
          <w:sz w:val="26"/>
          <w:szCs w:val="26"/>
        </w:rPr>
        <w:t xml:space="preserve">existing building types in 2012 TRM and three are </w:t>
      </w:r>
      <w:r w:rsidR="0020608D">
        <w:rPr>
          <w:sz w:val="26"/>
          <w:szCs w:val="26"/>
        </w:rPr>
        <w:t xml:space="preserve">new building types </w:t>
      </w:r>
      <w:r w:rsidR="00EA6EF0">
        <w:rPr>
          <w:sz w:val="26"/>
          <w:szCs w:val="26"/>
        </w:rPr>
        <w:t>proposed for</w:t>
      </w:r>
      <w:r w:rsidR="0020608D">
        <w:rPr>
          <w:sz w:val="26"/>
          <w:szCs w:val="26"/>
        </w:rPr>
        <w:t xml:space="preserve"> 201</w:t>
      </w:r>
      <w:r w:rsidR="00EA6EF0">
        <w:rPr>
          <w:sz w:val="26"/>
          <w:szCs w:val="26"/>
        </w:rPr>
        <w:t>3</w:t>
      </w:r>
      <w:r w:rsidR="0020608D">
        <w:rPr>
          <w:sz w:val="26"/>
          <w:szCs w:val="26"/>
        </w:rPr>
        <w:t xml:space="preserve"> TRM. </w:t>
      </w:r>
      <w:r w:rsidRPr="00114FDD">
        <w:rPr>
          <w:sz w:val="26"/>
          <w:szCs w:val="26"/>
        </w:rPr>
        <w:t xml:space="preserve">For the building types where CF values are not available in the </w:t>
      </w:r>
      <w:r w:rsidR="00307D0A">
        <w:rPr>
          <w:sz w:val="26"/>
          <w:szCs w:val="26"/>
        </w:rPr>
        <w:t xml:space="preserve">2011 </w:t>
      </w:r>
      <w:r w:rsidRPr="00114FDD">
        <w:rPr>
          <w:sz w:val="26"/>
          <w:szCs w:val="26"/>
        </w:rPr>
        <w:t xml:space="preserve">Mid-Atlantic TRM, the Commission proposes to use a calculated average of CF values available for all building types in the </w:t>
      </w:r>
      <w:r w:rsidR="00307D0A">
        <w:rPr>
          <w:sz w:val="26"/>
          <w:szCs w:val="26"/>
        </w:rPr>
        <w:t xml:space="preserve">2011 </w:t>
      </w:r>
      <w:r w:rsidRPr="00114FDD">
        <w:rPr>
          <w:sz w:val="26"/>
          <w:szCs w:val="26"/>
        </w:rPr>
        <w:t xml:space="preserve">Mid-Atlantic TRM.  </w:t>
      </w:r>
      <w:r w:rsidR="0020608D">
        <w:rPr>
          <w:sz w:val="26"/>
          <w:szCs w:val="26"/>
        </w:rPr>
        <w:t xml:space="preserve"> </w:t>
      </w:r>
    </w:p>
    <w:p w:rsidR="00050E8B" w:rsidRDefault="00050E8B" w:rsidP="00B64A9F">
      <w:pPr>
        <w:pStyle w:val="p3"/>
        <w:tabs>
          <w:tab w:val="clear" w:pos="204"/>
          <w:tab w:val="left" w:pos="0"/>
          <w:tab w:val="left" w:pos="720"/>
        </w:tabs>
        <w:spacing w:line="360" w:lineRule="auto"/>
        <w:rPr>
          <w:sz w:val="26"/>
          <w:szCs w:val="26"/>
        </w:rPr>
      </w:pPr>
    </w:p>
    <w:p w:rsidR="00EA6EF0" w:rsidRDefault="00EA6EF0" w:rsidP="00B64A9F">
      <w:pPr>
        <w:pStyle w:val="p3"/>
        <w:tabs>
          <w:tab w:val="clear" w:pos="204"/>
          <w:tab w:val="left" w:pos="0"/>
          <w:tab w:val="left" w:pos="720"/>
        </w:tabs>
        <w:spacing w:line="360" w:lineRule="auto"/>
        <w:rPr>
          <w:sz w:val="26"/>
          <w:szCs w:val="26"/>
        </w:rPr>
      </w:pPr>
      <w:r>
        <w:rPr>
          <w:sz w:val="26"/>
          <w:szCs w:val="26"/>
        </w:rPr>
        <w:tab/>
        <w:t xml:space="preserve">In addition, the Commission proposes to use the same reference document to report HOU values listed in the 2012 TRM for 11 existing building types until better data is available. </w:t>
      </w:r>
      <w:r w:rsidR="00A83578">
        <w:rPr>
          <w:sz w:val="26"/>
          <w:szCs w:val="26"/>
        </w:rPr>
        <w:t xml:space="preserve"> </w:t>
      </w:r>
      <w:r>
        <w:rPr>
          <w:sz w:val="26"/>
          <w:szCs w:val="26"/>
        </w:rPr>
        <w:t xml:space="preserve">The Commission proposes to use a calculated average of CF values available for all building types in the 2011 Mid-Atlantic TRM and apply it to these 11 existing building types. </w:t>
      </w:r>
    </w:p>
    <w:p w:rsidR="00EA6EF0" w:rsidRPr="00114FDD" w:rsidRDefault="00EA6EF0" w:rsidP="00B64A9F">
      <w:pPr>
        <w:pStyle w:val="p3"/>
        <w:tabs>
          <w:tab w:val="clear" w:pos="204"/>
          <w:tab w:val="left" w:pos="0"/>
          <w:tab w:val="left" w:pos="720"/>
        </w:tabs>
        <w:spacing w:line="360" w:lineRule="auto"/>
        <w:rPr>
          <w:sz w:val="26"/>
          <w:szCs w:val="26"/>
        </w:rPr>
      </w:pPr>
      <w:r>
        <w:rPr>
          <w:sz w:val="26"/>
          <w:szCs w:val="26"/>
        </w:rPr>
        <w:t xml:space="preserve"> </w:t>
      </w:r>
    </w:p>
    <w:p w:rsidR="00050E8B" w:rsidRPr="00114FDD" w:rsidRDefault="008F2665" w:rsidP="00B64A9F">
      <w:pPr>
        <w:pStyle w:val="p3"/>
        <w:tabs>
          <w:tab w:val="clear" w:pos="204"/>
          <w:tab w:val="left" w:pos="0"/>
          <w:tab w:val="left" w:pos="720"/>
        </w:tabs>
        <w:spacing w:line="360" w:lineRule="auto"/>
        <w:rPr>
          <w:sz w:val="26"/>
          <w:szCs w:val="26"/>
        </w:rPr>
      </w:pPr>
      <w:r w:rsidRPr="00114FDD">
        <w:rPr>
          <w:sz w:val="26"/>
          <w:szCs w:val="26"/>
        </w:rPr>
        <w:tab/>
      </w:r>
      <w:r w:rsidR="00050E8B" w:rsidRPr="00114FDD">
        <w:rPr>
          <w:sz w:val="26"/>
          <w:szCs w:val="26"/>
        </w:rPr>
        <w:t>In sum, the Commission</w:t>
      </w:r>
      <w:r w:rsidR="0028170B" w:rsidRPr="00114FDD">
        <w:rPr>
          <w:sz w:val="26"/>
          <w:szCs w:val="26"/>
        </w:rPr>
        <w:t>-</w:t>
      </w:r>
      <w:r w:rsidR="00050E8B" w:rsidRPr="00114FDD">
        <w:rPr>
          <w:sz w:val="26"/>
          <w:szCs w:val="26"/>
        </w:rPr>
        <w:t>propose</w:t>
      </w:r>
      <w:r w:rsidR="0028170B" w:rsidRPr="00114FDD">
        <w:rPr>
          <w:sz w:val="26"/>
          <w:szCs w:val="26"/>
        </w:rPr>
        <w:t>d</w:t>
      </w:r>
      <w:r w:rsidR="00050E8B" w:rsidRPr="00114FDD">
        <w:rPr>
          <w:sz w:val="26"/>
          <w:szCs w:val="26"/>
        </w:rPr>
        <w:t xml:space="preserve"> list for </w:t>
      </w:r>
      <w:r w:rsidR="0028170B" w:rsidRPr="00114FDD">
        <w:rPr>
          <w:sz w:val="26"/>
          <w:szCs w:val="26"/>
        </w:rPr>
        <w:t xml:space="preserve">the </w:t>
      </w:r>
      <w:r w:rsidR="00050E8B" w:rsidRPr="00114FDD">
        <w:rPr>
          <w:sz w:val="26"/>
          <w:szCs w:val="26"/>
        </w:rPr>
        <w:t>2013</w:t>
      </w:r>
      <w:r w:rsidR="0028170B" w:rsidRPr="00114FDD">
        <w:rPr>
          <w:sz w:val="26"/>
          <w:szCs w:val="26"/>
        </w:rPr>
        <w:t xml:space="preserve"> </w:t>
      </w:r>
      <w:r w:rsidR="00050E8B" w:rsidRPr="00114FDD">
        <w:rPr>
          <w:sz w:val="26"/>
          <w:szCs w:val="26"/>
        </w:rPr>
        <w:t xml:space="preserve">TRM includes </w:t>
      </w:r>
      <w:r w:rsidR="0028170B" w:rsidRPr="00114FDD">
        <w:rPr>
          <w:sz w:val="26"/>
          <w:szCs w:val="26"/>
        </w:rPr>
        <w:t xml:space="preserve">a </w:t>
      </w:r>
      <w:r w:rsidR="00050E8B" w:rsidRPr="00114FDD">
        <w:rPr>
          <w:sz w:val="26"/>
          <w:szCs w:val="26"/>
        </w:rPr>
        <w:t xml:space="preserve">total of 28 building types. </w:t>
      </w:r>
      <w:r w:rsidR="0028170B" w:rsidRPr="00114FDD">
        <w:rPr>
          <w:sz w:val="26"/>
          <w:szCs w:val="26"/>
        </w:rPr>
        <w:t xml:space="preserve"> </w:t>
      </w:r>
      <w:r w:rsidR="00050E8B" w:rsidRPr="00114FDD">
        <w:rPr>
          <w:sz w:val="26"/>
          <w:szCs w:val="26"/>
        </w:rPr>
        <w:t xml:space="preserve">The </w:t>
      </w:r>
      <w:r w:rsidR="00307D0A">
        <w:rPr>
          <w:sz w:val="26"/>
          <w:szCs w:val="26"/>
        </w:rPr>
        <w:t xml:space="preserve">2011 </w:t>
      </w:r>
      <w:r w:rsidR="00050E8B" w:rsidRPr="00114FDD">
        <w:rPr>
          <w:sz w:val="26"/>
          <w:szCs w:val="26"/>
        </w:rPr>
        <w:t xml:space="preserve">Mid-Atlantic TRM is </w:t>
      </w:r>
      <w:r w:rsidR="0028170B" w:rsidRPr="00114FDD">
        <w:rPr>
          <w:sz w:val="26"/>
          <w:szCs w:val="26"/>
        </w:rPr>
        <w:t xml:space="preserve">the </w:t>
      </w:r>
      <w:r w:rsidR="00050E8B" w:rsidRPr="00114FDD">
        <w:rPr>
          <w:sz w:val="26"/>
          <w:szCs w:val="26"/>
        </w:rPr>
        <w:t>proposed</w:t>
      </w:r>
      <w:r w:rsidR="0028170B" w:rsidRPr="00114FDD">
        <w:rPr>
          <w:sz w:val="26"/>
          <w:szCs w:val="26"/>
        </w:rPr>
        <w:t xml:space="preserve"> source</w:t>
      </w:r>
      <w:r w:rsidR="00050E8B" w:rsidRPr="00114FDD">
        <w:rPr>
          <w:sz w:val="26"/>
          <w:szCs w:val="26"/>
        </w:rPr>
        <w:t xml:space="preserve"> for 11 building types</w:t>
      </w:r>
      <w:r w:rsidR="0028170B" w:rsidRPr="00114FDD">
        <w:rPr>
          <w:sz w:val="26"/>
          <w:szCs w:val="26"/>
        </w:rPr>
        <w:t>;</w:t>
      </w:r>
      <w:r w:rsidR="00050E8B" w:rsidRPr="00114FDD">
        <w:rPr>
          <w:sz w:val="26"/>
          <w:szCs w:val="26"/>
        </w:rPr>
        <w:t xml:space="preserve"> the same reference document listed in the 2012 TRM is </w:t>
      </w:r>
      <w:r w:rsidR="0028170B" w:rsidRPr="00114FDD">
        <w:rPr>
          <w:sz w:val="26"/>
          <w:szCs w:val="26"/>
        </w:rPr>
        <w:t xml:space="preserve">the proposed source </w:t>
      </w:r>
      <w:r w:rsidR="00050E8B" w:rsidRPr="00114FDD">
        <w:rPr>
          <w:sz w:val="26"/>
          <w:szCs w:val="26"/>
        </w:rPr>
        <w:t>for 11 existing building types (no changes were made to the HOU values)</w:t>
      </w:r>
      <w:r w:rsidR="0028170B" w:rsidRPr="00114FDD">
        <w:rPr>
          <w:sz w:val="26"/>
          <w:szCs w:val="26"/>
        </w:rPr>
        <w:t>;</w:t>
      </w:r>
      <w:r w:rsidR="00050E8B" w:rsidRPr="00114FDD">
        <w:rPr>
          <w:sz w:val="26"/>
          <w:szCs w:val="26"/>
        </w:rPr>
        <w:t xml:space="preserve"> and other sources (C</w:t>
      </w:r>
      <w:r w:rsidR="0028170B" w:rsidRPr="00114FDD">
        <w:rPr>
          <w:sz w:val="26"/>
          <w:szCs w:val="26"/>
        </w:rPr>
        <w:t>alifornia</w:t>
      </w:r>
      <w:r w:rsidR="00050E8B" w:rsidRPr="00114FDD">
        <w:rPr>
          <w:sz w:val="26"/>
          <w:szCs w:val="26"/>
        </w:rPr>
        <w:t xml:space="preserve"> DEER 2011 d</w:t>
      </w:r>
      <w:r w:rsidR="00307D0A">
        <w:rPr>
          <w:sz w:val="26"/>
          <w:szCs w:val="26"/>
        </w:rPr>
        <w:t>atabase, 2012 Illinois TRM, 2010</w:t>
      </w:r>
      <w:r w:rsidR="00050E8B" w:rsidRPr="00114FDD">
        <w:rPr>
          <w:sz w:val="26"/>
          <w:szCs w:val="26"/>
        </w:rPr>
        <w:t xml:space="preserve"> Ohio TRM and 2010 </w:t>
      </w:r>
      <w:r w:rsidR="00307D0A">
        <w:rPr>
          <w:sz w:val="26"/>
          <w:szCs w:val="26"/>
        </w:rPr>
        <w:t>Wisconsin Deemed Savings Manual</w:t>
      </w:r>
      <w:r w:rsidR="00050E8B" w:rsidRPr="00114FDD">
        <w:rPr>
          <w:sz w:val="26"/>
          <w:szCs w:val="26"/>
        </w:rPr>
        <w:t>) are proposed for 6 building types (of these</w:t>
      </w:r>
      <w:r w:rsidR="0028170B" w:rsidRPr="00114FDD">
        <w:rPr>
          <w:sz w:val="26"/>
          <w:szCs w:val="26"/>
        </w:rPr>
        <w:t>,</w:t>
      </w:r>
      <w:r w:rsidR="00050E8B" w:rsidRPr="00114FDD">
        <w:rPr>
          <w:sz w:val="26"/>
          <w:szCs w:val="26"/>
        </w:rPr>
        <w:t xml:space="preserve"> </w:t>
      </w:r>
      <w:r w:rsidR="0028170B" w:rsidRPr="00114FDD">
        <w:rPr>
          <w:sz w:val="26"/>
          <w:szCs w:val="26"/>
        </w:rPr>
        <w:t>three</w:t>
      </w:r>
      <w:r w:rsidR="00050E8B" w:rsidRPr="00114FDD">
        <w:rPr>
          <w:sz w:val="26"/>
          <w:szCs w:val="26"/>
        </w:rPr>
        <w:t xml:space="preserve"> are new building types). </w:t>
      </w:r>
    </w:p>
    <w:p w:rsidR="0028170B" w:rsidRPr="00114FDD" w:rsidRDefault="0028170B" w:rsidP="00B64A9F">
      <w:pPr>
        <w:pStyle w:val="p3"/>
        <w:tabs>
          <w:tab w:val="clear" w:pos="204"/>
          <w:tab w:val="left" w:pos="0"/>
          <w:tab w:val="left" w:pos="720"/>
        </w:tabs>
        <w:spacing w:line="360" w:lineRule="auto"/>
        <w:rPr>
          <w:sz w:val="26"/>
          <w:szCs w:val="26"/>
        </w:rPr>
      </w:pPr>
    </w:p>
    <w:p w:rsidR="00050E8B" w:rsidRPr="00114FDD" w:rsidRDefault="0028170B"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34" w:name="_Toc334175022"/>
      <w:r w:rsidRPr="00114FDD">
        <w:rPr>
          <w:b/>
          <w:sz w:val="26"/>
          <w:szCs w:val="26"/>
        </w:rPr>
        <w:t>Building T</w:t>
      </w:r>
      <w:r w:rsidR="00050E8B" w:rsidRPr="00114FDD">
        <w:rPr>
          <w:b/>
          <w:sz w:val="26"/>
          <w:szCs w:val="26"/>
        </w:rPr>
        <w:t>ypes</w:t>
      </w:r>
      <w:bookmarkEnd w:id="34"/>
    </w:p>
    <w:p w:rsidR="00050E8B" w:rsidRPr="00114FDD" w:rsidRDefault="00050E8B" w:rsidP="00B64A9F">
      <w:pPr>
        <w:pStyle w:val="p3"/>
        <w:tabs>
          <w:tab w:val="clear" w:pos="204"/>
          <w:tab w:val="left" w:pos="0"/>
          <w:tab w:val="left" w:pos="720"/>
        </w:tabs>
        <w:spacing w:line="360" w:lineRule="auto"/>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 xml:space="preserve">The Commission proposes to add three new building types to </w:t>
      </w:r>
      <w:r w:rsidR="00801E3B" w:rsidRPr="00114FDD">
        <w:rPr>
          <w:sz w:val="26"/>
          <w:szCs w:val="26"/>
        </w:rPr>
        <w:t>Table 3-4</w:t>
      </w:r>
      <w:r w:rsidR="00801E3B" w:rsidRPr="00114FDD">
        <w:rPr>
          <w:rStyle w:val="FootnoteReference"/>
          <w:sz w:val="26"/>
          <w:szCs w:val="26"/>
        </w:rPr>
        <w:footnoteReference w:id="133"/>
      </w:r>
      <w:r w:rsidR="00801E3B" w:rsidRPr="00114FDD">
        <w:rPr>
          <w:sz w:val="26"/>
          <w:szCs w:val="26"/>
        </w:rPr>
        <w:t xml:space="preserve"> of </w:t>
      </w:r>
      <w:r w:rsidR="00AE0C48" w:rsidRPr="00114FDD">
        <w:rPr>
          <w:sz w:val="26"/>
          <w:szCs w:val="26"/>
        </w:rPr>
        <w:t xml:space="preserve">the </w:t>
      </w:r>
      <w:r w:rsidRPr="00114FDD">
        <w:rPr>
          <w:sz w:val="26"/>
          <w:szCs w:val="26"/>
        </w:rPr>
        <w:lastRenderedPageBreak/>
        <w:t>201</w:t>
      </w:r>
      <w:r w:rsidR="00801E3B" w:rsidRPr="00114FDD">
        <w:rPr>
          <w:sz w:val="26"/>
          <w:szCs w:val="26"/>
        </w:rPr>
        <w:t>2</w:t>
      </w:r>
      <w:r w:rsidRPr="00114FDD">
        <w:rPr>
          <w:sz w:val="26"/>
          <w:szCs w:val="26"/>
        </w:rPr>
        <w:t xml:space="preserve"> TRM to provide additional granularity to the stipulated measure assumptions resulting in reduced uncertainty from averaged values. </w:t>
      </w:r>
      <w:r w:rsidR="00AE0C48" w:rsidRPr="00114FDD">
        <w:rPr>
          <w:sz w:val="26"/>
          <w:szCs w:val="26"/>
        </w:rPr>
        <w:t xml:space="preserve"> </w:t>
      </w:r>
      <w:r w:rsidRPr="00114FDD">
        <w:rPr>
          <w:sz w:val="26"/>
          <w:szCs w:val="26"/>
        </w:rPr>
        <w:t xml:space="preserve">The proposed list includes public assembly (one shift), public services (nonfood), and multifamily (common areas) building types. </w:t>
      </w:r>
      <w:r w:rsidR="00AE0C48" w:rsidRPr="00114FDD">
        <w:rPr>
          <w:sz w:val="26"/>
          <w:szCs w:val="26"/>
        </w:rPr>
        <w:t xml:space="preserve"> </w:t>
      </w:r>
      <w:r w:rsidRPr="00114FDD">
        <w:rPr>
          <w:sz w:val="26"/>
          <w:szCs w:val="26"/>
        </w:rPr>
        <w:t xml:space="preserve">The Commission elected to </w:t>
      </w:r>
      <w:r w:rsidR="008F2665" w:rsidRPr="00114FDD">
        <w:rPr>
          <w:sz w:val="26"/>
          <w:szCs w:val="26"/>
        </w:rPr>
        <w:t xml:space="preserve">minimize </w:t>
      </w:r>
      <w:r w:rsidRPr="00114FDD">
        <w:rPr>
          <w:sz w:val="26"/>
          <w:szCs w:val="26"/>
        </w:rPr>
        <w:t xml:space="preserve">the number of additional building types to reduce administrative burden on the </w:t>
      </w:r>
      <w:r w:rsidR="007D40E9">
        <w:rPr>
          <w:sz w:val="26"/>
          <w:szCs w:val="26"/>
        </w:rPr>
        <w:t>EDCs</w:t>
      </w:r>
      <w:r w:rsidRPr="00114FDD">
        <w:rPr>
          <w:sz w:val="26"/>
          <w:szCs w:val="26"/>
        </w:rPr>
        <w:t xml:space="preserve">. </w:t>
      </w:r>
    </w:p>
    <w:p w:rsidR="00050E8B" w:rsidRPr="00114FDD" w:rsidRDefault="00050E8B" w:rsidP="00B64A9F">
      <w:pPr>
        <w:pStyle w:val="p3"/>
        <w:tabs>
          <w:tab w:val="clear" w:pos="204"/>
          <w:tab w:val="left" w:pos="0"/>
        </w:tabs>
        <w:spacing w:line="360" w:lineRule="auto"/>
        <w:ind w:left="1800"/>
        <w:rPr>
          <w:b/>
          <w:sz w:val="26"/>
          <w:szCs w:val="26"/>
        </w:rPr>
      </w:pPr>
    </w:p>
    <w:p w:rsidR="00050E8B" w:rsidRPr="00114FDD" w:rsidRDefault="00AE0C48" w:rsidP="00DC3AAA">
      <w:pPr>
        <w:pStyle w:val="p3"/>
        <w:numPr>
          <w:ilvl w:val="3"/>
          <w:numId w:val="10"/>
        </w:numPr>
        <w:tabs>
          <w:tab w:val="clear" w:pos="204"/>
          <w:tab w:val="left" w:pos="0"/>
          <w:tab w:val="left" w:pos="720"/>
        </w:tabs>
        <w:ind w:left="2160" w:hanging="720"/>
        <w:outlineLvl w:val="3"/>
        <w:rPr>
          <w:b/>
          <w:sz w:val="26"/>
          <w:szCs w:val="26"/>
        </w:rPr>
      </w:pPr>
      <w:bookmarkStart w:id="35" w:name="_Toc334175023"/>
      <w:r w:rsidRPr="00114FDD">
        <w:rPr>
          <w:b/>
          <w:sz w:val="26"/>
          <w:szCs w:val="26"/>
        </w:rPr>
        <w:t>Lighting C</w:t>
      </w:r>
      <w:r w:rsidR="00050E8B" w:rsidRPr="00114FDD">
        <w:rPr>
          <w:b/>
          <w:sz w:val="26"/>
          <w:szCs w:val="26"/>
        </w:rPr>
        <w:t xml:space="preserve">ontrol </w:t>
      </w:r>
      <w:r w:rsidRPr="00114FDD">
        <w:rPr>
          <w:b/>
          <w:sz w:val="26"/>
          <w:szCs w:val="26"/>
        </w:rPr>
        <w:t>T</w:t>
      </w:r>
      <w:r w:rsidR="00050E8B" w:rsidRPr="00114FDD">
        <w:rPr>
          <w:b/>
          <w:sz w:val="26"/>
          <w:szCs w:val="26"/>
        </w:rPr>
        <w:t>echno</w:t>
      </w:r>
      <w:r w:rsidRPr="00114FDD">
        <w:rPr>
          <w:b/>
          <w:sz w:val="26"/>
          <w:szCs w:val="26"/>
        </w:rPr>
        <w:t>logies</w:t>
      </w:r>
      <w:bookmarkEnd w:id="35"/>
      <w:r w:rsidRPr="00114FDD">
        <w:rPr>
          <w:b/>
          <w:sz w:val="26"/>
          <w:szCs w:val="26"/>
        </w:rPr>
        <w:t xml:space="preserve"> </w:t>
      </w:r>
    </w:p>
    <w:p w:rsidR="00050E8B" w:rsidRPr="00114FDD" w:rsidRDefault="00050E8B" w:rsidP="00B64A9F">
      <w:pPr>
        <w:pStyle w:val="p3"/>
        <w:tabs>
          <w:tab w:val="clear" w:pos="204"/>
          <w:tab w:val="left" w:pos="0"/>
          <w:tab w:val="left" w:pos="720"/>
        </w:tabs>
        <w:spacing w:line="360" w:lineRule="auto"/>
        <w:ind w:left="1800"/>
        <w:rPr>
          <w:b/>
          <w:sz w:val="26"/>
          <w:szCs w:val="26"/>
        </w:rPr>
      </w:pPr>
    </w:p>
    <w:p w:rsidR="00050E8B" w:rsidRPr="00114FDD" w:rsidRDefault="00050E8B" w:rsidP="00B64A9F">
      <w:pPr>
        <w:pStyle w:val="p3"/>
        <w:tabs>
          <w:tab w:val="left" w:pos="0"/>
          <w:tab w:val="left" w:pos="720"/>
        </w:tabs>
        <w:spacing w:line="360" w:lineRule="auto"/>
        <w:rPr>
          <w:sz w:val="26"/>
          <w:szCs w:val="26"/>
        </w:rPr>
      </w:pPr>
      <w:r w:rsidRPr="00114FDD">
        <w:rPr>
          <w:sz w:val="26"/>
          <w:szCs w:val="26"/>
        </w:rPr>
        <w:tab/>
      </w:r>
      <w:r w:rsidRPr="00114FDD">
        <w:rPr>
          <w:sz w:val="26"/>
          <w:szCs w:val="26"/>
        </w:rPr>
        <w:tab/>
        <w:t xml:space="preserve">The Commission proposes to add 13 lighting control technologies with savings factors to </w:t>
      </w:r>
      <w:r w:rsidR="00DF1552" w:rsidRPr="00114FDD">
        <w:rPr>
          <w:sz w:val="26"/>
          <w:szCs w:val="26"/>
        </w:rPr>
        <w:t>Table 3-6</w:t>
      </w:r>
      <w:r w:rsidR="00DF1552" w:rsidRPr="00114FDD">
        <w:rPr>
          <w:rStyle w:val="FootnoteReference"/>
          <w:sz w:val="26"/>
          <w:szCs w:val="26"/>
        </w:rPr>
        <w:footnoteReference w:id="134"/>
      </w:r>
      <w:r w:rsidRPr="00114FDD">
        <w:rPr>
          <w:sz w:val="26"/>
          <w:szCs w:val="26"/>
        </w:rPr>
        <w:t xml:space="preserve"> </w:t>
      </w:r>
      <w:r w:rsidR="00DF1552" w:rsidRPr="00114FDD">
        <w:rPr>
          <w:sz w:val="26"/>
          <w:szCs w:val="26"/>
        </w:rPr>
        <w:t xml:space="preserve">of </w:t>
      </w:r>
      <w:r w:rsidR="00356941">
        <w:rPr>
          <w:sz w:val="26"/>
          <w:szCs w:val="26"/>
        </w:rPr>
        <w:t xml:space="preserve">the </w:t>
      </w:r>
      <w:r w:rsidRPr="00114FDD">
        <w:rPr>
          <w:sz w:val="26"/>
          <w:szCs w:val="26"/>
        </w:rPr>
        <w:t>201</w:t>
      </w:r>
      <w:r w:rsidR="00DF1552" w:rsidRPr="00114FDD">
        <w:rPr>
          <w:sz w:val="26"/>
          <w:szCs w:val="26"/>
        </w:rPr>
        <w:t>2</w:t>
      </w:r>
      <w:r w:rsidRPr="00114FDD">
        <w:rPr>
          <w:sz w:val="26"/>
          <w:szCs w:val="26"/>
        </w:rPr>
        <w:t xml:space="preserve"> TRM based on </w:t>
      </w:r>
      <w:r w:rsidR="00D80850" w:rsidRPr="00114FDD">
        <w:rPr>
          <w:sz w:val="26"/>
          <w:szCs w:val="26"/>
        </w:rPr>
        <w:t xml:space="preserve">a </w:t>
      </w:r>
      <w:r w:rsidRPr="00114FDD">
        <w:rPr>
          <w:sz w:val="26"/>
          <w:szCs w:val="26"/>
        </w:rPr>
        <w:t xml:space="preserve">more recent comprehensive study conducted by </w:t>
      </w:r>
      <w:r w:rsidR="00356941">
        <w:rPr>
          <w:sz w:val="26"/>
          <w:szCs w:val="26"/>
        </w:rPr>
        <w:t xml:space="preserve">the </w:t>
      </w:r>
      <w:r w:rsidRPr="00114FDD">
        <w:rPr>
          <w:sz w:val="26"/>
          <w:szCs w:val="26"/>
        </w:rPr>
        <w:t>Lawrence</w:t>
      </w:r>
      <w:r w:rsidR="00D80850" w:rsidRPr="00114FDD">
        <w:rPr>
          <w:sz w:val="26"/>
          <w:szCs w:val="26"/>
        </w:rPr>
        <w:t xml:space="preserve"> Berkeley National Laboratory</w:t>
      </w:r>
      <w:r w:rsidRPr="00114FDD">
        <w:rPr>
          <w:sz w:val="26"/>
          <w:szCs w:val="26"/>
        </w:rPr>
        <w:t xml:space="preserve"> in September 2011</w:t>
      </w:r>
      <w:r w:rsidR="00D80850" w:rsidRPr="00114FDD">
        <w:rPr>
          <w:sz w:val="26"/>
          <w:szCs w:val="26"/>
        </w:rPr>
        <w:t>,</w:t>
      </w:r>
      <w:r w:rsidRPr="00114FDD">
        <w:rPr>
          <w:sz w:val="26"/>
          <w:szCs w:val="26"/>
        </w:rPr>
        <w:t xml:space="preserve"> entitled </w:t>
      </w:r>
      <w:r w:rsidRPr="00DC3AAA">
        <w:rPr>
          <w:i/>
          <w:sz w:val="26"/>
          <w:szCs w:val="26"/>
        </w:rPr>
        <w:t>A Meta-Analysis of Energy Savings from Lighting Controls in Commercial Buildings</w:t>
      </w:r>
      <w:r w:rsidR="00D80850" w:rsidRPr="00114FDD">
        <w:rPr>
          <w:sz w:val="26"/>
          <w:szCs w:val="26"/>
        </w:rPr>
        <w:t>.</w:t>
      </w:r>
      <w:r w:rsidRPr="00114FDD">
        <w:rPr>
          <w:sz w:val="26"/>
          <w:szCs w:val="26"/>
          <w:vertAlign w:val="superscript"/>
        </w:rPr>
        <w:footnoteReference w:id="135"/>
      </w:r>
      <w:r w:rsidR="00D80850" w:rsidRPr="00114FDD">
        <w:rPr>
          <w:sz w:val="26"/>
          <w:szCs w:val="26"/>
        </w:rPr>
        <w:t xml:space="preserve"> </w:t>
      </w:r>
      <w:r w:rsidRPr="00114FDD">
        <w:rPr>
          <w:sz w:val="26"/>
          <w:szCs w:val="26"/>
        </w:rPr>
        <w:t xml:space="preserve"> The lighting controls measures are divided into </w:t>
      </w:r>
      <w:r w:rsidR="00A57936" w:rsidRPr="00114FDD">
        <w:rPr>
          <w:sz w:val="26"/>
          <w:szCs w:val="26"/>
        </w:rPr>
        <w:t xml:space="preserve">five </w:t>
      </w:r>
      <w:r w:rsidRPr="00114FDD">
        <w:rPr>
          <w:sz w:val="26"/>
          <w:szCs w:val="26"/>
        </w:rPr>
        <w:t xml:space="preserve">major strategies: occupancy, day lighting, personal tuning, institutional tuning and multiple types. </w:t>
      </w:r>
      <w:r w:rsidR="00D80850" w:rsidRPr="00114FDD">
        <w:rPr>
          <w:sz w:val="26"/>
          <w:szCs w:val="26"/>
        </w:rPr>
        <w:t xml:space="preserve"> </w:t>
      </w:r>
      <w:r w:rsidRPr="00114FDD">
        <w:rPr>
          <w:sz w:val="26"/>
          <w:szCs w:val="26"/>
        </w:rPr>
        <w:t xml:space="preserve">Each of these strategies may have one or more technologies. </w:t>
      </w:r>
      <w:r w:rsidR="00D80850" w:rsidRPr="00114FDD">
        <w:rPr>
          <w:sz w:val="26"/>
          <w:szCs w:val="26"/>
        </w:rPr>
        <w:t xml:space="preserve"> </w:t>
      </w:r>
      <w:r w:rsidR="007A1B66" w:rsidRPr="00114FDD">
        <w:rPr>
          <w:sz w:val="26"/>
          <w:szCs w:val="26"/>
        </w:rPr>
        <w:t xml:space="preserve">These strategies will replace the lighting control technologies and the corresponding savings factors in the 2012 TRM. </w:t>
      </w:r>
      <w:r w:rsidR="00D80850" w:rsidRPr="00114FDD">
        <w:rPr>
          <w:sz w:val="26"/>
          <w:szCs w:val="26"/>
        </w:rPr>
        <w:t xml:space="preserve"> </w:t>
      </w:r>
      <w:r w:rsidRPr="00114FDD">
        <w:rPr>
          <w:sz w:val="26"/>
          <w:szCs w:val="26"/>
        </w:rPr>
        <w:t xml:space="preserve">The Commission clarifies that the EDC </w:t>
      </w:r>
      <w:r w:rsidR="00356941">
        <w:rPr>
          <w:sz w:val="26"/>
          <w:szCs w:val="26"/>
        </w:rPr>
        <w:t>evaluators</w:t>
      </w:r>
      <w:r w:rsidRPr="00114FDD">
        <w:rPr>
          <w:sz w:val="26"/>
          <w:szCs w:val="26"/>
        </w:rPr>
        <w:t xml:space="preserve"> </w:t>
      </w:r>
      <w:r w:rsidR="00356941">
        <w:rPr>
          <w:sz w:val="26"/>
          <w:szCs w:val="26"/>
        </w:rPr>
        <w:t xml:space="preserve">will </w:t>
      </w:r>
      <w:r w:rsidR="00803EB9">
        <w:rPr>
          <w:sz w:val="26"/>
          <w:szCs w:val="26"/>
        </w:rPr>
        <w:t>be</w:t>
      </w:r>
      <w:r w:rsidRPr="00114FDD">
        <w:rPr>
          <w:sz w:val="26"/>
          <w:szCs w:val="26"/>
        </w:rPr>
        <w:t xml:space="preserve"> allowed to use site-specific HOU values or control savings factors based on actual metering results for all projects.</w:t>
      </w:r>
    </w:p>
    <w:p w:rsidR="00050E8B" w:rsidRPr="00114FDD" w:rsidRDefault="00050E8B" w:rsidP="00B64A9F">
      <w:pPr>
        <w:pStyle w:val="p3"/>
        <w:tabs>
          <w:tab w:val="clear" w:pos="204"/>
          <w:tab w:val="left" w:pos="0"/>
          <w:tab w:val="left" w:pos="720"/>
        </w:tabs>
        <w:spacing w:line="360" w:lineRule="auto"/>
        <w:ind w:left="1800"/>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 xml:space="preserve">In addition, the lighting protocol was constructed in such a way to account for energy savings only for lighting control retrofits. </w:t>
      </w:r>
      <w:r w:rsidR="009633DF" w:rsidRPr="00114FDD">
        <w:rPr>
          <w:sz w:val="26"/>
          <w:szCs w:val="26"/>
        </w:rPr>
        <w:t xml:space="preserve"> </w:t>
      </w:r>
      <w:r w:rsidRPr="00114FDD">
        <w:rPr>
          <w:sz w:val="26"/>
          <w:szCs w:val="26"/>
        </w:rPr>
        <w:t>The savings algorithms</w:t>
      </w:r>
      <w:r w:rsidR="001E6930" w:rsidRPr="00114FDD">
        <w:rPr>
          <w:rStyle w:val="FootnoteReference"/>
          <w:sz w:val="26"/>
          <w:szCs w:val="26"/>
        </w:rPr>
        <w:footnoteReference w:id="136"/>
      </w:r>
      <w:r w:rsidRPr="00114FDD">
        <w:rPr>
          <w:sz w:val="26"/>
          <w:szCs w:val="26"/>
        </w:rPr>
        <w:t xml:space="preserve"> do not account for demand savings. </w:t>
      </w:r>
      <w:r w:rsidR="009633DF" w:rsidRPr="00114FDD">
        <w:rPr>
          <w:sz w:val="26"/>
          <w:szCs w:val="26"/>
        </w:rPr>
        <w:t xml:space="preserve"> </w:t>
      </w:r>
      <w:r w:rsidRPr="00114FDD">
        <w:rPr>
          <w:sz w:val="26"/>
          <w:szCs w:val="26"/>
        </w:rPr>
        <w:t xml:space="preserve">The Commission proposes to modify the savings algorithms to allow the EDCs to claim demand savings for lighting control retrofits in addition to the energy savings.  </w:t>
      </w:r>
    </w:p>
    <w:p w:rsidR="007C1C5C" w:rsidRPr="00114FDD" w:rsidRDefault="007C1C5C" w:rsidP="00B64A9F">
      <w:pPr>
        <w:pStyle w:val="p3"/>
        <w:tabs>
          <w:tab w:val="clear" w:pos="204"/>
          <w:tab w:val="left" w:pos="0"/>
          <w:tab w:val="left" w:pos="720"/>
        </w:tabs>
        <w:spacing w:line="360" w:lineRule="auto"/>
        <w:rPr>
          <w:sz w:val="26"/>
          <w:szCs w:val="26"/>
        </w:rPr>
      </w:pPr>
    </w:p>
    <w:p w:rsidR="00050E8B" w:rsidRPr="00114FDD" w:rsidRDefault="00803EB9"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36" w:name="_Toc334175024"/>
      <w:r>
        <w:rPr>
          <w:b/>
          <w:sz w:val="26"/>
          <w:szCs w:val="26"/>
        </w:rPr>
        <w:lastRenderedPageBreak/>
        <w:t>New Construction C</w:t>
      </w:r>
      <w:r w:rsidR="00050E8B" w:rsidRPr="00114FDD">
        <w:rPr>
          <w:b/>
          <w:sz w:val="26"/>
          <w:szCs w:val="26"/>
        </w:rPr>
        <w:t>alculator</w:t>
      </w:r>
      <w:bookmarkEnd w:id="36"/>
    </w:p>
    <w:p w:rsidR="00050E8B" w:rsidRPr="00114FDD" w:rsidRDefault="00050E8B" w:rsidP="00B64A9F">
      <w:pPr>
        <w:pStyle w:val="p3"/>
        <w:tabs>
          <w:tab w:val="clear" w:pos="204"/>
          <w:tab w:val="left" w:pos="0"/>
          <w:tab w:val="left" w:pos="720"/>
        </w:tabs>
        <w:spacing w:line="360" w:lineRule="auto"/>
        <w:rPr>
          <w:b/>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 xml:space="preserve">Based on feedback from the EDCs, the Commission will provide </w:t>
      </w:r>
      <w:r w:rsidR="00356941">
        <w:rPr>
          <w:sz w:val="26"/>
          <w:szCs w:val="26"/>
        </w:rPr>
        <w:t>a</w:t>
      </w:r>
      <w:r w:rsidR="00356941" w:rsidRPr="00114FDD">
        <w:rPr>
          <w:sz w:val="26"/>
          <w:szCs w:val="26"/>
        </w:rPr>
        <w:t xml:space="preserve"> </w:t>
      </w:r>
      <w:r w:rsidRPr="00114FDD">
        <w:rPr>
          <w:sz w:val="26"/>
          <w:szCs w:val="26"/>
        </w:rPr>
        <w:t>New Construction calculator used to calculate the savings impacts for new construction lighting projects</w:t>
      </w:r>
      <w:r w:rsidR="00A83578">
        <w:rPr>
          <w:sz w:val="26"/>
          <w:szCs w:val="26"/>
        </w:rPr>
        <w:t xml:space="preserve"> as an optional tool for the EDCs.  The Commission believes this will help </w:t>
      </w:r>
      <w:r w:rsidRPr="00114FDD">
        <w:rPr>
          <w:sz w:val="26"/>
          <w:szCs w:val="26"/>
        </w:rPr>
        <w:t>EDC</w:t>
      </w:r>
      <w:r w:rsidR="00356941">
        <w:rPr>
          <w:sz w:val="26"/>
          <w:szCs w:val="26"/>
        </w:rPr>
        <w:t>s</w:t>
      </w:r>
      <w:r w:rsidRPr="00114FDD">
        <w:rPr>
          <w:sz w:val="26"/>
          <w:szCs w:val="26"/>
        </w:rPr>
        <w:t xml:space="preserve"> </w:t>
      </w:r>
      <w:r w:rsidR="00356941">
        <w:rPr>
          <w:sz w:val="26"/>
          <w:szCs w:val="26"/>
        </w:rPr>
        <w:t>by</w:t>
      </w:r>
      <w:r w:rsidR="00356941" w:rsidRPr="00114FDD">
        <w:rPr>
          <w:sz w:val="26"/>
          <w:szCs w:val="26"/>
        </w:rPr>
        <w:t xml:space="preserve"> </w:t>
      </w:r>
      <w:r w:rsidRPr="00114FDD">
        <w:rPr>
          <w:sz w:val="26"/>
          <w:szCs w:val="26"/>
        </w:rPr>
        <w:t>simplify their lighting application forms.</w:t>
      </w:r>
    </w:p>
    <w:p w:rsidR="00050E8B" w:rsidRPr="00114FDD" w:rsidRDefault="00050E8B" w:rsidP="00B64A9F">
      <w:pPr>
        <w:pStyle w:val="p3"/>
        <w:tabs>
          <w:tab w:val="clear" w:pos="204"/>
          <w:tab w:val="left" w:pos="0"/>
        </w:tabs>
        <w:spacing w:line="360" w:lineRule="auto"/>
        <w:rPr>
          <w:b/>
          <w:sz w:val="26"/>
          <w:szCs w:val="26"/>
        </w:rPr>
      </w:pPr>
    </w:p>
    <w:p w:rsidR="00050E8B" w:rsidRPr="00114FDD" w:rsidRDefault="00050E8B" w:rsidP="00B64A9F">
      <w:pPr>
        <w:pStyle w:val="p3"/>
        <w:numPr>
          <w:ilvl w:val="3"/>
          <w:numId w:val="10"/>
        </w:numPr>
        <w:tabs>
          <w:tab w:val="clear" w:pos="204"/>
          <w:tab w:val="left" w:pos="0"/>
          <w:tab w:val="left" w:pos="720"/>
        </w:tabs>
        <w:spacing w:line="360" w:lineRule="auto"/>
        <w:ind w:left="2160" w:hanging="720"/>
        <w:outlineLvl w:val="3"/>
        <w:rPr>
          <w:b/>
          <w:sz w:val="26"/>
          <w:szCs w:val="26"/>
        </w:rPr>
      </w:pPr>
      <w:bookmarkStart w:id="37" w:name="_Toc334175025"/>
      <w:r w:rsidRPr="00114FDD">
        <w:rPr>
          <w:b/>
          <w:sz w:val="26"/>
          <w:szCs w:val="26"/>
        </w:rPr>
        <w:t>Federal Legislation and Regulations</w:t>
      </w:r>
      <w:bookmarkEnd w:id="37"/>
      <w:r w:rsidRPr="00114FDD">
        <w:rPr>
          <w:b/>
          <w:sz w:val="26"/>
          <w:szCs w:val="26"/>
        </w:rPr>
        <w:t xml:space="preserve"> </w:t>
      </w:r>
    </w:p>
    <w:p w:rsidR="00050E8B" w:rsidRPr="00114FDD" w:rsidRDefault="00050E8B" w:rsidP="00B64A9F">
      <w:pPr>
        <w:pStyle w:val="p3"/>
        <w:tabs>
          <w:tab w:val="clear" w:pos="204"/>
          <w:tab w:val="left" w:pos="0"/>
          <w:tab w:val="left" w:pos="720"/>
        </w:tabs>
        <w:spacing w:line="360" w:lineRule="auto"/>
        <w:rPr>
          <w:b/>
          <w:sz w:val="26"/>
          <w:szCs w:val="26"/>
        </w:rPr>
      </w:pPr>
    </w:p>
    <w:p w:rsidR="00C47B7A" w:rsidRPr="00114FDD" w:rsidRDefault="00C47B7A" w:rsidP="00B64A9F">
      <w:pPr>
        <w:pStyle w:val="p3"/>
        <w:tabs>
          <w:tab w:val="clear" w:pos="204"/>
          <w:tab w:val="left" w:pos="0"/>
          <w:tab w:val="left" w:pos="720"/>
        </w:tabs>
        <w:spacing w:line="360" w:lineRule="auto"/>
        <w:rPr>
          <w:sz w:val="26"/>
          <w:szCs w:val="26"/>
        </w:rPr>
      </w:pPr>
      <w:r w:rsidRPr="00114FDD">
        <w:rPr>
          <w:b/>
          <w:sz w:val="26"/>
          <w:szCs w:val="26"/>
        </w:rPr>
        <w:tab/>
      </w:r>
      <w:r w:rsidRPr="00114FDD">
        <w:rPr>
          <w:sz w:val="26"/>
          <w:szCs w:val="26"/>
        </w:rPr>
        <w:t xml:space="preserve">In </w:t>
      </w:r>
      <w:r w:rsidR="00356941">
        <w:rPr>
          <w:sz w:val="26"/>
          <w:szCs w:val="26"/>
        </w:rPr>
        <w:t>the</w:t>
      </w:r>
      <w:r w:rsidR="00356941" w:rsidRPr="00114FDD">
        <w:rPr>
          <w:sz w:val="26"/>
          <w:szCs w:val="26"/>
        </w:rPr>
        <w:t xml:space="preserve"> </w:t>
      </w:r>
      <w:r w:rsidRPr="00114FDD">
        <w:rPr>
          <w:sz w:val="26"/>
          <w:szCs w:val="26"/>
        </w:rPr>
        <w:t>2012 TRM Final Order, the Commission directed the TWG to investigate the impacts of new lighting standards and recommend future adjustments to the TRM when necessary.</w:t>
      </w:r>
      <w:r w:rsidRPr="00114FDD">
        <w:rPr>
          <w:rStyle w:val="FootnoteReference"/>
          <w:sz w:val="26"/>
          <w:szCs w:val="26"/>
        </w:rPr>
        <w:footnoteReference w:id="137"/>
      </w:r>
    </w:p>
    <w:p w:rsidR="00C47B7A" w:rsidRPr="00114FDD" w:rsidRDefault="00C47B7A" w:rsidP="00B64A9F">
      <w:pPr>
        <w:pStyle w:val="p3"/>
        <w:tabs>
          <w:tab w:val="clear" w:pos="204"/>
          <w:tab w:val="left" w:pos="0"/>
          <w:tab w:val="left" w:pos="720"/>
        </w:tabs>
        <w:spacing w:line="360" w:lineRule="auto"/>
        <w:ind w:left="1800"/>
        <w:rPr>
          <w:b/>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53113F" w:rsidRPr="00114FDD">
        <w:rPr>
          <w:sz w:val="26"/>
          <w:szCs w:val="26"/>
        </w:rPr>
        <w:t>The Energy Policy Act of 2005 (</w:t>
      </w:r>
      <w:r w:rsidRPr="00114FDD">
        <w:rPr>
          <w:sz w:val="26"/>
          <w:szCs w:val="26"/>
        </w:rPr>
        <w:t>EPA</w:t>
      </w:r>
      <w:r w:rsidR="0053113F" w:rsidRPr="00114FDD">
        <w:rPr>
          <w:sz w:val="26"/>
          <w:szCs w:val="26"/>
        </w:rPr>
        <w:t>ct</w:t>
      </w:r>
      <w:r w:rsidRPr="00114FDD">
        <w:rPr>
          <w:sz w:val="26"/>
          <w:szCs w:val="26"/>
        </w:rPr>
        <w:t xml:space="preserve"> 2005)</w:t>
      </w:r>
      <w:r w:rsidRPr="00114FDD">
        <w:rPr>
          <w:rStyle w:val="FootnoteReference"/>
          <w:sz w:val="26"/>
          <w:szCs w:val="26"/>
        </w:rPr>
        <w:footnoteReference w:id="138"/>
      </w:r>
      <w:r w:rsidRPr="00114FDD">
        <w:rPr>
          <w:sz w:val="26"/>
          <w:szCs w:val="26"/>
        </w:rPr>
        <w:t xml:space="preserve"> and EISA 2007 standards introduced new efficacy standards for linear fluorescent bulbs and ballasts, effectively phasing out magnetic ballasts (</w:t>
      </w:r>
      <w:r w:rsidR="00DC253C" w:rsidRPr="00114FDD">
        <w:rPr>
          <w:sz w:val="26"/>
          <w:szCs w:val="26"/>
        </w:rPr>
        <w:t>effective October 1, 2010</w:t>
      </w:r>
      <w:r w:rsidRPr="00114FDD">
        <w:rPr>
          <w:sz w:val="26"/>
          <w:szCs w:val="26"/>
        </w:rPr>
        <w:t>) and T-12 bulbs (</w:t>
      </w:r>
      <w:r w:rsidR="00DC253C" w:rsidRPr="00114FDD">
        <w:rPr>
          <w:sz w:val="26"/>
          <w:szCs w:val="26"/>
        </w:rPr>
        <w:t>effective</w:t>
      </w:r>
      <w:r w:rsidRPr="00114FDD">
        <w:rPr>
          <w:sz w:val="26"/>
          <w:szCs w:val="26"/>
        </w:rPr>
        <w:t xml:space="preserve"> July 14, 2012).  This induces a shift in what a participant would have purchased in the absence of the program because T-12 bulbs on magnetic ballasts are no longer viable options and, therefore, adjusts the baseline assumption.  Leftover retail stock may sustain sales for T-12 bulbs and use of T-12 systems for a period, but its market share is expected to decrease naturally as T-8 systems are adopted and the existing stock of T-12s is exhausted. </w:t>
      </w:r>
      <w:r w:rsidR="00375D08" w:rsidRPr="00114FDD">
        <w:rPr>
          <w:sz w:val="26"/>
          <w:szCs w:val="26"/>
        </w:rPr>
        <w:t xml:space="preserve"> </w:t>
      </w:r>
      <w:r w:rsidR="008B1B3C" w:rsidRPr="00114FDD">
        <w:rPr>
          <w:sz w:val="26"/>
          <w:szCs w:val="26"/>
        </w:rPr>
        <w:t xml:space="preserve">In addition, </w:t>
      </w:r>
      <w:r w:rsidRPr="00114FDD">
        <w:rPr>
          <w:sz w:val="26"/>
          <w:szCs w:val="26"/>
        </w:rPr>
        <w:t>C&amp;I lighting retrofit projects for Act 129 are all considered early replacement scenarios, i.e. the baseline is defined as what was previously in place rather than minimally code compliant equipment.</w:t>
      </w: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 xml:space="preserve"> </w:t>
      </w:r>
    </w:p>
    <w:p w:rsidR="00050E8B" w:rsidRPr="00114FDD" w:rsidRDefault="00050E8B" w:rsidP="00B64A9F">
      <w:pPr>
        <w:spacing w:line="360" w:lineRule="auto"/>
        <w:ind w:firstLine="720"/>
        <w:rPr>
          <w:sz w:val="26"/>
          <w:szCs w:val="26"/>
        </w:rPr>
      </w:pPr>
      <w:r w:rsidRPr="00114FDD">
        <w:rPr>
          <w:sz w:val="26"/>
          <w:szCs w:val="26"/>
        </w:rPr>
        <w:lastRenderedPageBreak/>
        <w:t xml:space="preserve">The SWE </w:t>
      </w:r>
      <w:r w:rsidR="00AF7396" w:rsidRPr="00114FDD">
        <w:rPr>
          <w:sz w:val="26"/>
          <w:szCs w:val="26"/>
        </w:rPr>
        <w:t>and Commission S</w:t>
      </w:r>
      <w:r w:rsidR="008B1B3C" w:rsidRPr="00114FDD">
        <w:rPr>
          <w:sz w:val="26"/>
          <w:szCs w:val="26"/>
        </w:rPr>
        <w:t xml:space="preserve">taff </w:t>
      </w:r>
      <w:r w:rsidRPr="00114FDD">
        <w:rPr>
          <w:sz w:val="26"/>
          <w:szCs w:val="26"/>
        </w:rPr>
        <w:t xml:space="preserve">conducted research of existing </w:t>
      </w:r>
      <w:r w:rsidR="008F3C4B">
        <w:rPr>
          <w:sz w:val="26"/>
          <w:szCs w:val="26"/>
        </w:rPr>
        <w:t xml:space="preserve">energy efficiency </w:t>
      </w:r>
      <w:r w:rsidR="00912B65" w:rsidRPr="00114FDD">
        <w:rPr>
          <w:sz w:val="26"/>
          <w:szCs w:val="26"/>
        </w:rPr>
        <w:t>programs</w:t>
      </w:r>
      <w:r w:rsidRPr="00114FDD">
        <w:rPr>
          <w:sz w:val="26"/>
          <w:szCs w:val="26"/>
        </w:rPr>
        <w:t xml:space="preserve"> from various jurisdictions to understand the full impact of these</w:t>
      </w:r>
      <w:r w:rsidR="008B1B3C" w:rsidRPr="00114FDD">
        <w:rPr>
          <w:sz w:val="26"/>
          <w:szCs w:val="26"/>
        </w:rPr>
        <w:t xml:space="preserve"> upcoming regulatory changes in order to </w:t>
      </w:r>
      <w:r w:rsidRPr="00114FDD">
        <w:rPr>
          <w:sz w:val="26"/>
          <w:szCs w:val="26"/>
        </w:rPr>
        <w:t>mak</w:t>
      </w:r>
      <w:r w:rsidR="008B1B3C" w:rsidRPr="00114FDD">
        <w:rPr>
          <w:sz w:val="26"/>
          <w:szCs w:val="26"/>
        </w:rPr>
        <w:t>e</w:t>
      </w:r>
      <w:r w:rsidRPr="00114FDD">
        <w:rPr>
          <w:sz w:val="26"/>
          <w:szCs w:val="26"/>
        </w:rPr>
        <w:t xml:space="preserve"> reasonable modifications regarding savings values achieved by C&amp;I lighting measure</w:t>
      </w:r>
      <w:r w:rsidR="00912B65" w:rsidRPr="00114FDD">
        <w:rPr>
          <w:sz w:val="26"/>
          <w:szCs w:val="26"/>
        </w:rPr>
        <w:t>s</w:t>
      </w:r>
      <w:r w:rsidRPr="00114FDD">
        <w:rPr>
          <w:sz w:val="26"/>
          <w:szCs w:val="26"/>
        </w:rPr>
        <w:t xml:space="preserve"> when the existing lighting system contains T12 lamps and/or magnetic ballast.</w:t>
      </w:r>
    </w:p>
    <w:p w:rsidR="007C1C5C" w:rsidRPr="00114FDD" w:rsidRDefault="007C1C5C" w:rsidP="00B64A9F">
      <w:pPr>
        <w:spacing w:line="360" w:lineRule="auto"/>
        <w:ind w:firstLine="720"/>
        <w:rPr>
          <w:sz w:val="26"/>
          <w:szCs w:val="26"/>
        </w:rPr>
      </w:pPr>
    </w:p>
    <w:p w:rsidR="00050E8B" w:rsidRPr="00114FDD" w:rsidRDefault="007A1B66" w:rsidP="00B64A9F">
      <w:pPr>
        <w:spacing w:line="360" w:lineRule="auto"/>
        <w:ind w:firstLine="720"/>
        <w:rPr>
          <w:sz w:val="26"/>
          <w:szCs w:val="26"/>
        </w:rPr>
      </w:pPr>
      <w:r w:rsidRPr="00114FDD">
        <w:rPr>
          <w:sz w:val="26"/>
          <w:szCs w:val="26"/>
        </w:rPr>
        <w:t xml:space="preserve">After reviewing approaches by other jurisdictions, the </w:t>
      </w:r>
      <w:r w:rsidR="00050E8B" w:rsidRPr="00114FDD">
        <w:rPr>
          <w:sz w:val="26"/>
          <w:szCs w:val="26"/>
        </w:rPr>
        <w:t xml:space="preserve">Commission </w:t>
      </w:r>
      <w:r w:rsidR="00AD0D32">
        <w:rPr>
          <w:sz w:val="26"/>
          <w:szCs w:val="26"/>
        </w:rPr>
        <w:t>believes</w:t>
      </w:r>
      <w:r w:rsidR="00AD0D32" w:rsidRPr="00114FDD">
        <w:rPr>
          <w:sz w:val="26"/>
          <w:szCs w:val="26"/>
        </w:rPr>
        <w:t xml:space="preserve"> </w:t>
      </w:r>
      <w:r w:rsidR="00050E8B" w:rsidRPr="00114FDD">
        <w:rPr>
          <w:sz w:val="26"/>
          <w:szCs w:val="26"/>
        </w:rPr>
        <w:t xml:space="preserve">that the assumptions made by the 2012 Illinois TRM </w:t>
      </w:r>
      <w:r w:rsidR="00AD0D32">
        <w:rPr>
          <w:sz w:val="26"/>
          <w:szCs w:val="26"/>
        </w:rPr>
        <w:t>are</w:t>
      </w:r>
      <w:r w:rsidR="00050E8B" w:rsidRPr="00114FDD">
        <w:rPr>
          <w:sz w:val="26"/>
          <w:szCs w:val="26"/>
        </w:rPr>
        <w:t xml:space="preserve"> reasonable and </w:t>
      </w:r>
      <w:r w:rsidR="00912B65" w:rsidRPr="00114FDD">
        <w:rPr>
          <w:sz w:val="26"/>
          <w:szCs w:val="26"/>
        </w:rPr>
        <w:t xml:space="preserve">that </w:t>
      </w:r>
      <w:r w:rsidR="00050E8B" w:rsidRPr="00114FDD">
        <w:rPr>
          <w:sz w:val="26"/>
          <w:szCs w:val="26"/>
        </w:rPr>
        <w:t>the same methodology</w:t>
      </w:r>
      <w:r w:rsidR="00912B65" w:rsidRPr="00114FDD">
        <w:rPr>
          <w:sz w:val="26"/>
          <w:szCs w:val="26"/>
        </w:rPr>
        <w:t xml:space="preserve"> could</w:t>
      </w:r>
      <w:r w:rsidR="00050E8B" w:rsidRPr="00114FDD">
        <w:rPr>
          <w:sz w:val="26"/>
          <w:szCs w:val="26"/>
        </w:rPr>
        <w:t xml:space="preserve"> be used </w:t>
      </w:r>
      <w:r w:rsidR="00912B65" w:rsidRPr="00114FDD">
        <w:rPr>
          <w:sz w:val="26"/>
          <w:szCs w:val="26"/>
        </w:rPr>
        <w:t>in future TRM updates</w:t>
      </w:r>
      <w:r w:rsidR="00050E8B" w:rsidRPr="00114FDD">
        <w:rPr>
          <w:sz w:val="26"/>
          <w:szCs w:val="26"/>
        </w:rPr>
        <w:t xml:space="preserve"> to account for new code changes. </w:t>
      </w:r>
      <w:r w:rsidR="00912B65" w:rsidRPr="00114FDD">
        <w:rPr>
          <w:sz w:val="26"/>
          <w:szCs w:val="26"/>
        </w:rPr>
        <w:t xml:space="preserve"> </w:t>
      </w:r>
      <w:r w:rsidR="00050E8B" w:rsidRPr="00114FDD">
        <w:rPr>
          <w:sz w:val="26"/>
          <w:szCs w:val="26"/>
        </w:rPr>
        <w:t xml:space="preserve">The baseline for a lighting retrofit project will be the existing lighting system until 2016. </w:t>
      </w:r>
      <w:r w:rsidR="00912B65" w:rsidRPr="00114FDD">
        <w:rPr>
          <w:sz w:val="26"/>
          <w:szCs w:val="26"/>
        </w:rPr>
        <w:t xml:space="preserve"> </w:t>
      </w:r>
      <w:r w:rsidR="00050E8B" w:rsidRPr="00114FDD">
        <w:rPr>
          <w:sz w:val="26"/>
          <w:szCs w:val="26"/>
        </w:rPr>
        <w:t>This is to reflect the time required for the market to adjust to the new code standards, taking into account the fact that end-users may have an existing stock of T</w:t>
      </w:r>
      <w:r w:rsidR="00912B65" w:rsidRPr="00114FDD">
        <w:rPr>
          <w:sz w:val="26"/>
          <w:szCs w:val="26"/>
        </w:rPr>
        <w:t>-</w:t>
      </w:r>
      <w:r w:rsidR="00050E8B" w:rsidRPr="00114FDD">
        <w:rPr>
          <w:sz w:val="26"/>
          <w:szCs w:val="26"/>
        </w:rPr>
        <w:t xml:space="preserve">12s and do not need to purchase new replacement lamps for several years. </w:t>
      </w:r>
      <w:r w:rsidR="00912B65" w:rsidRPr="00114FDD">
        <w:rPr>
          <w:sz w:val="26"/>
          <w:szCs w:val="26"/>
        </w:rPr>
        <w:t xml:space="preserve"> </w:t>
      </w:r>
      <w:r w:rsidR="00050E8B" w:rsidRPr="00114FDD">
        <w:rPr>
          <w:sz w:val="26"/>
          <w:szCs w:val="26"/>
        </w:rPr>
        <w:t xml:space="preserve">For </w:t>
      </w:r>
      <w:r w:rsidR="00A12B36">
        <w:rPr>
          <w:sz w:val="26"/>
          <w:szCs w:val="26"/>
        </w:rPr>
        <w:t>Phase II, Program Year 1, we will assume the baseline is the T-12 system, but this assumption will be revisited in subsequent TRMs</w:t>
      </w:r>
      <w:r w:rsidR="00050E8B" w:rsidRPr="00114FDD">
        <w:rPr>
          <w:sz w:val="26"/>
          <w:szCs w:val="26"/>
        </w:rPr>
        <w:t xml:space="preserve">. </w:t>
      </w:r>
      <w:r w:rsidR="00912B65" w:rsidRPr="00114FDD">
        <w:rPr>
          <w:sz w:val="26"/>
          <w:szCs w:val="26"/>
        </w:rPr>
        <w:t xml:space="preserve"> </w:t>
      </w:r>
      <w:r w:rsidR="00050E8B" w:rsidRPr="00114FDD">
        <w:rPr>
          <w:sz w:val="26"/>
          <w:szCs w:val="26"/>
        </w:rPr>
        <w:t xml:space="preserve">With this understanding, the </w:t>
      </w:r>
      <w:r w:rsidR="008B1B3C" w:rsidRPr="00114FDD">
        <w:rPr>
          <w:sz w:val="26"/>
          <w:szCs w:val="26"/>
        </w:rPr>
        <w:t xml:space="preserve">Commission </w:t>
      </w:r>
      <w:r w:rsidR="00050E8B" w:rsidRPr="00114FDD">
        <w:rPr>
          <w:sz w:val="26"/>
          <w:szCs w:val="26"/>
        </w:rPr>
        <w:t>believes that there is no immediate need to incorporate these new c</w:t>
      </w:r>
      <w:r w:rsidR="00912B65" w:rsidRPr="00114FDD">
        <w:rPr>
          <w:sz w:val="26"/>
          <w:szCs w:val="26"/>
        </w:rPr>
        <w:t>ode standards into the 2013 TRM.  As such, the Commission proposes that these new code standards be reviewed during future TRM updates in order to incorporate the changes at a more appropriate point in time.</w:t>
      </w: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 xml:space="preserve">  </w:t>
      </w:r>
    </w:p>
    <w:p w:rsidR="00050E8B" w:rsidRPr="00114FDD" w:rsidRDefault="00265E77" w:rsidP="00DC3AAA">
      <w:pPr>
        <w:pStyle w:val="p3"/>
        <w:numPr>
          <w:ilvl w:val="3"/>
          <w:numId w:val="10"/>
        </w:numPr>
        <w:tabs>
          <w:tab w:val="clear" w:pos="204"/>
          <w:tab w:val="left" w:pos="0"/>
          <w:tab w:val="left" w:pos="720"/>
        </w:tabs>
        <w:ind w:left="2160" w:hanging="720"/>
        <w:outlineLvl w:val="3"/>
        <w:rPr>
          <w:b/>
          <w:sz w:val="26"/>
          <w:szCs w:val="26"/>
        </w:rPr>
      </w:pPr>
      <w:bookmarkStart w:id="38" w:name="_Toc334175026"/>
      <w:r w:rsidRPr="00114FDD">
        <w:rPr>
          <w:b/>
          <w:sz w:val="26"/>
          <w:szCs w:val="26"/>
        </w:rPr>
        <w:t>Temperature R</w:t>
      </w:r>
      <w:r w:rsidR="00050E8B" w:rsidRPr="00114FDD">
        <w:rPr>
          <w:b/>
          <w:sz w:val="26"/>
          <w:szCs w:val="26"/>
        </w:rPr>
        <w:t xml:space="preserve">anges </w:t>
      </w:r>
      <w:r w:rsidR="000864D9">
        <w:rPr>
          <w:b/>
          <w:sz w:val="26"/>
          <w:szCs w:val="26"/>
        </w:rPr>
        <w:t>of</w:t>
      </w:r>
      <w:r w:rsidR="000864D9" w:rsidRPr="00114FDD">
        <w:rPr>
          <w:b/>
          <w:sz w:val="26"/>
          <w:szCs w:val="26"/>
        </w:rPr>
        <w:t xml:space="preserve"> </w:t>
      </w:r>
      <w:r w:rsidRPr="00114FDD">
        <w:rPr>
          <w:b/>
          <w:sz w:val="26"/>
          <w:szCs w:val="26"/>
        </w:rPr>
        <w:t>S</w:t>
      </w:r>
      <w:r w:rsidR="00050E8B" w:rsidRPr="00114FDD">
        <w:rPr>
          <w:b/>
          <w:sz w:val="26"/>
          <w:szCs w:val="26"/>
        </w:rPr>
        <w:t xml:space="preserve">pace </w:t>
      </w:r>
      <w:r w:rsidRPr="00114FDD">
        <w:rPr>
          <w:b/>
          <w:sz w:val="26"/>
          <w:szCs w:val="26"/>
        </w:rPr>
        <w:t>T</w:t>
      </w:r>
      <w:r w:rsidR="00050E8B" w:rsidRPr="00114FDD">
        <w:rPr>
          <w:b/>
          <w:sz w:val="26"/>
          <w:szCs w:val="26"/>
        </w:rPr>
        <w:t xml:space="preserve">ypes for Interactive Factor </w:t>
      </w:r>
      <w:r w:rsidRPr="00114FDD">
        <w:rPr>
          <w:b/>
          <w:sz w:val="26"/>
          <w:szCs w:val="26"/>
        </w:rPr>
        <w:t>V</w:t>
      </w:r>
      <w:r w:rsidR="00050E8B" w:rsidRPr="00114FDD">
        <w:rPr>
          <w:b/>
          <w:sz w:val="26"/>
          <w:szCs w:val="26"/>
        </w:rPr>
        <w:t>alues</w:t>
      </w:r>
      <w:bookmarkEnd w:id="38"/>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p>
    <w:p w:rsidR="00050E8B" w:rsidRPr="00114FDD" w:rsidRDefault="00050E8B" w:rsidP="00B64A9F">
      <w:pPr>
        <w:pStyle w:val="p3"/>
        <w:tabs>
          <w:tab w:val="clear" w:pos="204"/>
          <w:tab w:val="left" w:pos="0"/>
          <w:tab w:val="left" w:pos="720"/>
        </w:tabs>
        <w:spacing w:line="360" w:lineRule="auto"/>
        <w:rPr>
          <w:b/>
          <w:sz w:val="26"/>
          <w:szCs w:val="26"/>
        </w:rPr>
      </w:pPr>
      <w:r w:rsidRPr="00114FDD">
        <w:rPr>
          <w:sz w:val="26"/>
          <w:szCs w:val="26"/>
        </w:rPr>
        <w:tab/>
      </w:r>
      <w:r w:rsidR="009F434B" w:rsidRPr="00114FDD">
        <w:rPr>
          <w:sz w:val="26"/>
          <w:szCs w:val="26"/>
        </w:rPr>
        <w:t>Table 3-5</w:t>
      </w:r>
      <w:r w:rsidR="009F434B" w:rsidRPr="00114FDD">
        <w:rPr>
          <w:rStyle w:val="FootnoteReference"/>
          <w:sz w:val="26"/>
          <w:szCs w:val="26"/>
        </w:rPr>
        <w:footnoteReference w:id="139"/>
      </w:r>
      <w:r w:rsidR="009F434B" w:rsidRPr="00114FDD">
        <w:rPr>
          <w:sz w:val="26"/>
          <w:szCs w:val="26"/>
        </w:rPr>
        <w:t xml:space="preserve"> of </w:t>
      </w:r>
      <w:r w:rsidRPr="00114FDD">
        <w:rPr>
          <w:sz w:val="26"/>
          <w:szCs w:val="26"/>
        </w:rPr>
        <w:t xml:space="preserve">2012 TRM lists interactive factor values for different space types defined by temperature ranges. </w:t>
      </w:r>
      <w:r w:rsidR="00974580" w:rsidRPr="00114FDD">
        <w:rPr>
          <w:sz w:val="26"/>
          <w:szCs w:val="26"/>
        </w:rPr>
        <w:t xml:space="preserve"> </w:t>
      </w:r>
      <w:r w:rsidR="000864D9">
        <w:rPr>
          <w:sz w:val="26"/>
          <w:szCs w:val="26"/>
        </w:rPr>
        <w:t>T</w:t>
      </w:r>
      <w:r w:rsidRPr="00114FDD">
        <w:rPr>
          <w:sz w:val="26"/>
          <w:szCs w:val="26"/>
        </w:rPr>
        <w:t>here are</w:t>
      </w:r>
      <w:r w:rsidR="000864D9">
        <w:rPr>
          <w:sz w:val="26"/>
          <w:szCs w:val="26"/>
        </w:rPr>
        <w:t>, however,</w:t>
      </w:r>
      <w:r w:rsidRPr="00114FDD">
        <w:rPr>
          <w:sz w:val="26"/>
          <w:szCs w:val="26"/>
        </w:rPr>
        <w:t xml:space="preserve"> </w:t>
      </w:r>
      <w:r w:rsidR="00974580" w:rsidRPr="00114FDD">
        <w:rPr>
          <w:sz w:val="26"/>
          <w:szCs w:val="26"/>
        </w:rPr>
        <w:t xml:space="preserve">a </w:t>
      </w:r>
      <w:r w:rsidRPr="00114FDD">
        <w:rPr>
          <w:sz w:val="26"/>
          <w:szCs w:val="26"/>
        </w:rPr>
        <w:t xml:space="preserve">few gaps in these temperature ranges. </w:t>
      </w:r>
      <w:r w:rsidR="00974580" w:rsidRPr="00114FDD">
        <w:rPr>
          <w:sz w:val="26"/>
          <w:szCs w:val="26"/>
        </w:rPr>
        <w:t xml:space="preserve"> The</w:t>
      </w:r>
      <w:r w:rsidRPr="00114FDD">
        <w:rPr>
          <w:sz w:val="26"/>
          <w:szCs w:val="26"/>
        </w:rPr>
        <w:t xml:space="preserve"> Commission proposes to update</w:t>
      </w:r>
      <w:r w:rsidR="000864D9">
        <w:rPr>
          <w:sz w:val="26"/>
          <w:szCs w:val="26"/>
        </w:rPr>
        <w:t xml:space="preserve"> the</w:t>
      </w:r>
      <w:r w:rsidRPr="00114FDD">
        <w:rPr>
          <w:sz w:val="26"/>
          <w:szCs w:val="26"/>
        </w:rPr>
        <w:t xml:space="preserve"> temperature ranges for freezer</w:t>
      </w:r>
      <w:r w:rsidR="000864D9">
        <w:rPr>
          <w:sz w:val="26"/>
          <w:szCs w:val="26"/>
        </w:rPr>
        <w:t>s</w:t>
      </w:r>
      <w:r w:rsidRPr="00114FDD">
        <w:rPr>
          <w:sz w:val="26"/>
          <w:szCs w:val="26"/>
        </w:rPr>
        <w:t xml:space="preserve"> from (-2</w:t>
      </w:r>
      <w:r w:rsidR="00974580" w:rsidRPr="00114FDD">
        <w:rPr>
          <w:sz w:val="26"/>
          <w:szCs w:val="26"/>
        </w:rPr>
        <w:t>0°F to 27°F) to (-35°F to 20°F);</w:t>
      </w:r>
      <w:r w:rsidRPr="00114FDD">
        <w:rPr>
          <w:sz w:val="26"/>
          <w:szCs w:val="26"/>
        </w:rPr>
        <w:t xml:space="preserve"> medium-temp refrigerated range</w:t>
      </w:r>
      <w:r w:rsidR="000864D9">
        <w:rPr>
          <w:sz w:val="26"/>
          <w:szCs w:val="26"/>
        </w:rPr>
        <w:t>s</w:t>
      </w:r>
      <w:r w:rsidRPr="00114FDD">
        <w:rPr>
          <w:sz w:val="26"/>
          <w:szCs w:val="26"/>
        </w:rPr>
        <w:t xml:space="preserve"> from (</w:t>
      </w:r>
      <w:r w:rsidR="00974580" w:rsidRPr="00114FDD">
        <w:rPr>
          <w:sz w:val="26"/>
          <w:szCs w:val="26"/>
        </w:rPr>
        <w:t>28°F to 40°F) to (20°F to 40°F);</w:t>
      </w:r>
      <w:r w:rsidRPr="00114FDD">
        <w:rPr>
          <w:sz w:val="26"/>
          <w:szCs w:val="26"/>
        </w:rPr>
        <w:t xml:space="preserve"> high-temp refrigerated range</w:t>
      </w:r>
      <w:r w:rsidR="000864D9">
        <w:rPr>
          <w:sz w:val="26"/>
          <w:szCs w:val="26"/>
        </w:rPr>
        <w:t>s</w:t>
      </w:r>
      <w:r w:rsidRPr="00114FDD">
        <w:rPr>
          <w:sz w:val="26"/>
          <w:szCs w:val="26"/>
        </w:rPr>
        <w:t xml:space="preserve"> from </w:t>
      </w:r>
      <w:r w:rsidR="00DF24CA" w:rsidRPr="00114FDD">
        <w:rPr>
          <w:sz w:val="26"/>
          <w:szCs w:val="26"/>
        </w:rPr>
        <w:t xml:space="preserve">(47°F to 60°F)  to </w:t>
      </w:r>
      <w:r w:rsidR="00974580" w:rsidRPr="00114FDD">
        <w:rPr>
          <w:sz w:val="26"/>
          <w:szCs w:val="26"/>
        </w:rPr>
        <w:t xml:space="preserve">(40°F to 60°F); </w:t>
      </w:r>
      <w:r w:rsidRPr="00114FDD">
        <w:rPr>
          <w:sz w:val="26"/>
          <w:szCs w:val="26"/>
        </w:rPr>
        <w:lastRenderedPageBreak/>
        <w:t>and cooled space range</w:t>
      </w:r>
      <w:r w:rsidR="000864D9">
        <w:rPr>
          <w:sz w:val="26"/>
          <w:szCs w:val="26"/>
        </w:rPr>
        <w:t>s</w:t>
      </w:r>
      <w:r w:rsidRPr="00114FDD">
        <w:rPr>
          <w:sz w:val="26"/>
          <w:szCs w:val="26"/>
        </w:rPr>
        <w:t xml:space="preserve"> from (68°F-79°F) to (60°F-79°F). </w:t>
      </w:r>
    </w:p>
    <w:p w:rsidR="00050E8B" w:rsidRPr="00114FDD" w:rsidRDefault="00050E8B" w:rsidP="00B64A9F">
      <w:pPr>
        <w:pStyle w:val="p3"/>
        <w:tabs>
          <w:tab w:val="clear" w:pos="204"/>
          <w:tab w:val="left" w:pos="0"/>
          <w:tab w:val="left" w:pos="720"/>
        </w:tabs>
        <w:spacing w:line="360" w:lineRule="auto"/>
        <w:rPr>
          <w:b/>
          <w:sz w:val="26"/>
          <w:szCs w:val="26"/>
        </w:rPr>
      </w:pPr>
    </w:p>
    <w:p w:rsidR="00050E8B" w:rsidRPr="00114FDD" w:rsidRDefault="00D939E8" w:rsidP="00D939E8">
      <w:pPr>
        <w:pStyle w:val="p3"/>
        <w:tabs>
          <w:tab w:val="clear" w:pos="204"/>
          <w:tab w:val="left" w:pos="0"/>
        </w:tabs>
        <w:spacing w:line="360" w:lineRule="auto"/>
        <w:ind w:left="1440" w:hanging="720"/>
        <w:outlineLvl w:val="2"/>
        <w:rPr>
          <w:b/>
          <w:sz w:val="26"/>
          <w:szCs w:val="26"/>
        </w:rPr>
      </w:pPr>
      <w:bookmarkStart w:id="39" w:name="_Toc334175027"/>
      <w:r>
        <w:rPr>
          <w:b/>
          <w:sz w:val="26"/>
          <w:szCs w:val="26"/>
        </w:rPr>
        <w:t xml:space="preserve">2. </w:t>
      </w:r>
      <w:r>
        <w:rPr>
          <w:b/>
          <w:sz w:val="26"/>
          <w:szCs w:val="26"/>
        </w:rPr>
        <w:tab/>
      </w:r>
      <w:r w:rsidR="00050E8B" w:rsidRPr="00114FDD">
        <w:rPr>
          <w:b/>
          <w:sz w:val="26"/>
          <w:szCs w:val="26"/>
        </w:rPr>
        <w:t>HVAC Protocols</w:t>
      </w:r>
      <w:bookmarkEnd w:id="39"/>
    </w:p>
    <w:p w:rsidR="00050E8B" w:rsidRPr="00114FDD" w:rsidRDefault="00050E8B" w:rsidP="00B64A9F">
      <w:pPr>
        <w:pStyle w:val="p3"/>
        <w:tabs>
          <w:tab w:val="clear" w:pos="204"/>
          <w:tab w:val="left" w:pos="0"/>
          <w:tab w:val="left" w:pos="720"/>
        </w:tabs>
        <w:spacing w:line="360" w:lineRule="auto"/>
        <w:ind w:left="1440"/>
        <w:rPr>
          <w:b/>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 xml:space="preserve">The </w:t>
      </w:r>
      <w:r w:rsidR="00724DD1" w:rsidRPr="00114FDD">
        <w:rPr>
          <w:sz w:val="26"/>
          <w:szCs w:val="26"/>
        </w:rPr>
        <w:t xml:space="preserve">2012 </w:t>
      </w:r>
      <w:r w:rsidR="008F3C4B">
        <w:rPr>
          <w:sz w:val="26"/>
          <w:szCs w:val="26"/>
        </w:rPr>
        <w:t>TRM calculates E</w:t>
      </w:r>
      <w:r w:rsidRPr="00114FDD">
        <w:rPr>
          <w:sz w:val="26"/>
          <w:szCs w:val="26"/>
        </w:rPr>
        <w:t>F</w:t>
      </w:r>
      <w:r w:rsidR="008F3C4B">
        <w:rPr>
          <w:sz w:val="26"/>
          <w:szCs w:val="26"/>
        </w:rPr>
        <w:t>L</w:t>
      </w:r>
      <w:r w:rsidRPr="00114FDD">
        <w:rPr>
          <w:sz w:val="26"/>
          <w:szCs w:val="26"/>
        </w:rPr>
        <w:t>H</w:t>
      </w:r>
      <w:r w:rsidR="00152EB5" w:rsidRPr="00114FDD">
        <w:rPr>
          <w:sz w:val="26"/>
          <w:szCs w:val="26"/>
          <w:vertAlign w:val="superscript"/>
        </w:rPr>
        <w:footnoteReference w:id="140"/>
      </w:r>
      <w:r w:rsidRPr="00114FDD">
        <w:rPr>
          <w:sz w:val="26"/>
          <w:szCs w:val="26"/>
        </w:rPr>
        <w:t xml:space="preserve"> for HVAC measures by adjusting EFLH values </w:t>
      </w:r>
      <w:r w:rsidR="00921225" w:rsidRPr="00114FDD">
        <w:rPr>
          <w:sz w:val="26"/>
          <w:szCs w:val="26"/>
        </w:rPr>
        <w:t>reported in</w:t>
      </w:r>
      <w:r w:rsidRPr="00114FDD">
        <w:rPr>
          <w:sz w:val="26"/>
          <w:szCs w:val="26"/>
        </w:rPr>
        <w:t xml:space="preserve"> the Connecticut Program Savings Documentation</w:t>
      </w:r>
      <w:r w:rsidRPr="00114FDD">
        <w:rPr>
          <w:sz w:val="26"/>
          <w:szCs w:val="26"/>
          <w:vertAlign w:val="superscript"/>
        </w:rPr>
        <w:footnoteReference w:id="141"/>
      </w:r>
      <w:r w:rsidRPr="00114FDD">
        <w:rPr>
          <w:sz w:val="26"/>
          <w:szCs w:val="26"/>
        </w:rPr>
        <w:t xml:space="preserve"> </w:t>
      </w:r>
      <w:r w:rsidR="00803EB9">
        <w:rPr>
          <w:sz w:val="26"/>
          <w:szCs w:val="26"/>
        </w:rPr>
        <w:t>using full load hours from the</w:t>
      </w:r>
      <w:r w:rsidRPr="00114FDD">
        <w:rPr>
          <w:sz w:val="26"/>
          <w:szCs w:val="26"/>
        </w:rPr>
        <w:t xml:space="preserve"> DOE ENERGY STAR Calculator</w:t>
      </w:r>
      <w:r w:rsidRPr="00114FDD">
        <w:rPr>
          <w:sz w:val="26"/>
          <w:szCs w:val="26"/>
          <w:vertAlign w:val="superscript"/>
        </w:rPr>
        <w:footnoteReference w:id="142"/>
      </w:r>
      <w:r w:rsidR="00921225" w:rsidRPr="00114FDD">
        <w:rPr>
          <w:sz w:val="26"/>
          <w:szCs w:val="26"/>
        </w:rPr>
        <w:t xml:space="preserve"> based on a</w:t>
      </w:r>
      <w:r w:rsidR="00654E01" w:rsidRPr="00114FDD">
        <w:rPr>
          <w:sz w:val="26"/>
          <w:szCs w:val="26"/>
        </w:rPr>
        <w:t xml:space="preserve"> </w:t>
      </w:r>
      <w:r w:rsidR="00152EB5" w:rsidRPr="00114FDD">
        <w:rPr>
          <w:sz w:val="26"/>
          <w:szCs w:val="26"/>
        </w:rPr>
        <w:t>degree-</w:t>
      </w:r>
      <w:r w:rsidR="00921225" w:rsidRPr="00114FDD">
        <w:rPr>
          <w:sz w:val="26"/>
          <w:szCs w:val="26"/>
        </w:rPr>
        <w:t>day scaling methodology</w:t>
      </w:r>
      <w:r w:rsidRPr="00114FDD">
        <w:rPr>
          <w:sz w:val="26"/>
          <w:szCs w:val="26"/>
        </w:rPr>
        <w:t xml:space="preserve">. </w:t>
      </w:r>
      <w:r w:rsidR="00152EB5" w:rsidRPr="00114FDD">
        <w:rPr>
          <w:sz w:val="26"/>
          <w:szCs w:val="26"/>
        </w:rPr>
        <w:t xml:space="preserve"> </w:t>
      </w:r>
      <w:r w:rsidRPr="00114FDD">
        <w:rPr>
          <w:sz w:val="26"/>
          <w:szCs w:val="26"/>
        </w:rPr>
        <w:t>Degree</w:t>
      </w:r>
      <w:r w:rsidR="00152EB5" w:rsidRPr="00114FDD">
        <w:rPr>
          <w:sz w:val="26"/>
          <w:szCs w:val="26"/>
        </w:rPr>
        <w:t>-</w:t>
      </w:r>
      <w:r w:rsidRPr="00114FDD">
        <w:rPr>
          <w:sz w:val="26"/>
          <w:szCs w:val="26"/>
        </w:rPr>
        <w:t xml:space="preserve">day scaling ratios were calculated </w:t>
      </w:r>
      <w:r w:rsidRPr="00114FDD" w:rsidDel="00AC2F04">
        <w:rPr>
          <w:sz w:val="26"/>
          <w:szCs w:val="26"/>
        </w:rPr>
        <w:t>using heating degree day and cooling degree day</w:t>
      </w:r>
      <w:r w:rsidRPr="00114FDD">
        <w:rPr>
          <w:sz w:val="26"/>
          <w:szCs w:val="26"/>
        </w:rPr>
        <w:t xml:space="preserve"> values</w:t>
      </w:r>
      <w:r w:rsidRPr="00114FDD" w:rsidDel="00AC2F04">
        <w:rPr>
          <w:sz w:val="26"/>
          <w:szCs w:val="26"/>
        </w:rPr>
        <w:t xml:space="preserve"> for seven Pennsylvania cities: Allentown, Erie, Harrisburg, Philadelphia, Pittsburgh, Scranton, and Williamsport. </w:t>
      </w:r>
      <w:r w:rsidR="00152EB5" w:rsidRPr="00114FDD">
        <w:rPr>
          <w:sz w:val="26"/>
          <w:szCs w:val="26"/>
        </w:rPr>
        <w:t xml:space="preserve"> </w:t>
      </w:r>
      <w:r w:rsidRPr="00114FDD" w:rsidDel="00AC2F04">
        <w:rPr>
          <w:sz w:val="26"/>
          <w:szCs w:val="26"/>
        </w:rPr>
        <w:t>These reference cities provide a representative sample of the various climate and utility regions in Pennsylvania.</w:t>
      </w:r>
      <w:r w:rsidRPr="00114FDD">
        <w:rPr>
          <w:sz w:val="26"/>
          <w:szCs w:val="26"/>
        </w:rPr>
        <w:t xml:space="preserve">  </w:t>
      </w:r>
    </w:p>
    <w:p w:rsidR="00050E8B" w:rsidRPr="00114FDD" w:rsidRDefault="00050E8B" w:rsidP="00B64A9F">
      <w:pPr>
        <w:spacing w:line="360" w:lineRule="auto"/>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 xml:space="preserve">The SWE and Commission </w:t>
      </w:r>
      <w:r w:rsidR="00152EB5" w:rsidRPr="00114FDD">
        <w:rPr>
          <w:sz w:val="26"/>
          <w:szCs w:val="26"/>
        </w:rPr>
        <w:t>S</w:t>
      </w:r>
      <w:r w:rsidRPr="00114FDD">
        <w:rPr>
          <w:sz w:val="26"/>
          <w:szCs w:val="26"/>
        </w:rPr>
        <w:t xml:space="preserve">taff did further research </w:t>
      </w:r>
      <w:r w:rsidR="00845F61">
        <w:rPr>
          <w:sz w:val="26"/>
          <w:szCs w:val="26"/>
        </w:rPr>
        <w:t>for</w:t>
      </w:r>
      <w:r w:rsidRPr="00114FDD">
        <w:rPr>
          <w:sz w:val="26"/>
          <w:szCs w:val="26"/>
        </w:rPr>
        <w:t xml:space="preserve"> more recent evaluation studies and TRMs from other regions. </w:t>
      </w:r>
      <w:r w:rsidR="00152EB5" w:rsidRPr="00114FDD">
        <w:rPr>
          <w:sz w:val="26"/>
          <w:szCs w:val="26"/>
        </w:rPr>
        <w:t xml:space="preserve"> </w:t>
      </w:r>
      <w:r w:rsidRPr="00114FDD">
        <w:rPr>
          <w:sz w:val="26"/>
          <w:szCs w:val="26"/>
        </w:rPr>
        <w:t xml:space="preserve">The SWE </w:t>
      </w:r>
      <w:r w:rsidR="00152EB5" w:rsidRPr="00114FDD">
        <w:rPr>
          <w:sz w:val="26"/>
          <w:szCs w:val="26"/>
        </w:rPr>
        <w:t>and Commission S</w:t>
      </w:r>
      <w:r w:rsidR="00026422" w:rsidRPr="00114FDD">
        <w:rPr>
          <w:sz w:val="26"/>
          <w:szCs w:val="26"/>
        </w:rPr>
        <w:t xml:space="preserve">taff </w:t>
      </w:r>
      <w:r w:rsidRPr="00114FDD">
        <w:rPr>
          <w:sz w:val="26"/>
          <w:szCs w:val="26"/>
        </w:rPr>
        <w:t xml:space="preserve">reviewed assumptions from other jurisdictions, </w:t>
      </w:r>
      <w:r w:rsidR="00845F61">
        <w:rPr>
          <w:sz w:val="26"/>
          <w:szCs w:val="26"/>
        </w:rPr>
        <w:t>focusing</w:t>
      </w:r>
      <w:r w:rsidR="00152EB5" w:rsidRPr="00114FDD">
        <w:rPr>
          <w:sz w:val="26"/>
          <w:szCs w:val="26"/>
        </w:rPr>
        <w:t xml:space="preserve"> on neighboring states, </w:t>
      </w:r>
      <w:r w:rsidR="00845F61">
        <w:rPr>
          <w:sz w:val="26"/>
          <w:szCs w:val="26"/>
        </w:rPr>
        <w:t>to include</w:t>
      </w:r>
      <w:r w:rsidR="00845F61" w:rsidRPr="00114FDD">
        <w:rPr>
          <w:sz w:val="26"/>
          <w:szCs w:val="26"/>
        </w:rPr>
        <w:t xml:space="preserve"> </w:t>
      </w:r>
      <w:r w:rsidRPr="00114FDD">
        <w:rPr>
          <w:sz w:val="26"/>
          <w:szCs w:val="26"/>
        </w:rPr>
        <w:t>Maryland</w:t>
      </w:r>
      <w:r w:rsidR="0098291F" w:rsidRPr="00114FDD">
        <w:rPr>
          <w:sz w:val="26"/>
          <w:szCs w:val="26"/>
        </w:rPr>
        <w:t xml:space="preserve">, </w:t>
      </w:r>
      <w:r w:rsidRPr="00114FDD">
        <w:rPr>
          <w:sz w:val="26"/>
          <w:szCs w:val="26"/>
        </w:rPr>
        <w:t xml:space="preserve">Delaware </w:t>
      </w:r>
      <w:r w:rsidR="0098291F" w:rsidRPr="00114FDD">
        <w:rPr>
          <w:sz w:val="26"/>
          <w:szCs w:val="26"/>
        </w:rPr>
        <w:t xml:space="preserve">and </w:t>
      </w:r>
      <w:r w:rsidR="00152EB5" w:rsidRPr="00114FDD">
        <w:rPr>
          <w:sz w:val="26"/>
          <w:szCs w:val="26"/>
        </w:rPr>
        <w:t xml:space="preserve">the </w:t>
      </w:r>
      <w:r w:rsidR="0098291F" w:rsidRPr="00114FDD">
        <w:rPr>
          <w:sz w:val="26"/>
          <w:szCs w:val="26"/>
        </w:rPr>
        <w:t>District of Columbia</w:t>
      </w:r>
      <w:r w:rsidR="00152EB5" w:rsidRPr="00114FDD">
        <w:rPr>
          <w:sz w:val="26"/>
          <w:szCs w:val="26"/>
        </w:rPr>
        <w:t>,</w:t>
      </w:r>
      <w:r w:rsidR="0098291F" w:rsidRPr="00114FDD">
        <w:rPr>
          <w:sz w:val="26"/>
          <w:szCs w:val="26"/>
        </w:rPr>
        <w:t xml:space="preserve"> </w:t>
      </w:r>
      <w:r w:rsidRPr="00114FDD">
        <w:rPr>
          <w:sz w:val="26"/>
          <w:szCs w:val="26"/>
        </w:rPr>
        <w:t xml:space="preserve">to minimize differences in weather conditions. </w:t>
      </w:r>
      <w:r w:rsidR="00026422" w:rsidRPr="00114FDD">
        <w:rPr>
          <w:sz w:val="26"/>
          <w:szCs w:val="26"/>
        </w:rPr>
        <w:t xml:space="preserve">  </w:t>
      </w:r>
      <w:r w:rsidR="0098291F" w:rsidRPr="00114FDD">
        <w:rPr>
          <w:sz w:val="26"/>
          <w:szCs w:val="26"/>
        </w:rPr>
        <w:t xml:space="preserve"> </w:t>
      </w:r>
    </w:p>
    <w:p w:rsidR="00050E8B" w:rsidRPr="00114FDD" w:rsidRDefault="00050E8B" w:rsidP="00B64A9F">
      <w:pPr>
        <w:pStyle w:val="p3"/>
        <w:tabs>
          <w:tab w:val="clear" w:pos="204"/>
          <w:tab w:val="left" w:pos="0"/>
          <w:tab w:val="left" w:pos="720"/>
        </w:tabs>
        <w:spacing w:line="360" w:lineRule="auto"/>
        <w:rPr>
          <w:sz w:val="26"/>
          <w:szCs w:val="26"/>
        </w:rPr>
      </w:pPr>
    </w:p>
    <w:p w:rsidR="00050E8B" w:rsidRPr="00AC514A" w:rsidRDefault="00050E8B" w:rsidP="0033671A">
      <w:pPr>
        <w:overflowPunct/>
        <w:autoSpaceDE/>
        <w:autoSpaceDN/>
        <w:adjustRightInd/>
        <w:spacing w:line="360" w:lineRule="auto"/>
        <w:rPr>
          <w:rFonts w:eastAsia="Calibri"/>
          <w:szCs w:val="24"/>
        </w:rPr>
      </w:pPr>
      <w:r w:rsidRPr="00114FDD">
        <w:rPr>
          <w:sz w:val="26"/>
          <w:szCs w:val="26"/>
        </w:rPr>
        <w:tab/>
        <w:t>The EFLH v</w:t>
      </w:r>
      <w:r w:rsidR="00803EB9">
        <w:rPr>
          <w:sz w:val="26"/>
          <w:szCs w:val="26"/>
        </w:rPr>
        <w:t>alues reported in the 2011</w:t>
      </w:r>
      <w:r w:rsidRPr="00114FDD">
        <w:rPr>
          <w:sz w:val="26"/>
          <w:szCs w:val="26"/>
        </w:rPr>
        <w:t xml:space="preserve"> Mid-Atlantic TRM and 2012 Delaware TRM are based on simulations performed for a set of prototypical small and large C&amp;I building types using eQUEST</w:t>
      </w:r>
      <w:r w:rsidR="00AC514A">
        <w:rPr>
          <w:rStyle w:val="FootnoteReference"/>
          <w:sz w:val="26"/>
          <w:szCs w:val="26"/>
        </w:rPr>
        <w:footnoteReference w:id="143"/>
      </w:r>
      <w:r w:rsidR="00AC514A">
        <w:rPr>
          <w:rFonts w:eastAsia="Calibri"/>
          <w:szCs w:val="24"/>
        </w:rPr>
        <w:t xml:space="preserve"> </w:t>
      </w:r>
      <w:r w:rsidRPr="00114FDD">
        <w:rPr>
          <w:sz w:val="26"/>
          <w:szCs w:val="26"/>
        </w:rPr>
        <w:t xml:space="preserve">modeling. </w:t>
      </w:r>
      <w:r w:rsidR="00152EB5" w:rsidRPr="00114FDD">
        <w:rPr>
          <w:sz w:val="26"/>
          <w:szCs w:val="26"/>
        </w:rPr>
        <w:t xml:space="preserve"> </w:t>
      </w:r>
      <w:r w:rsidRPr="00114FDD">
        <w:rPr>
          <w:sz w:val="26"/>
          <w:szCs w:val="26"/>
        </w:rPr>
        <w:t>These prototypical simulation models were derived from the publically</w:t>
      </w:r>
      <w:r w:rsidR="00152EB5" w:rsidRPr="00114FDD">
        <w:rPr>
          <w:sz w:val="26"/>
          <w:szCs w:val="26"/>
        </w:rPr>
        <w:t>-</w:t>
      </w:r>
      <w:r w:rsidRPr="00114FDD">
        <w:rPr>
          <w:sz w:val="26"/>
          <w:szCs w:val="26"/>
        </w:rPr>
        <w:t>available commercial building types created for the C</w:t>
      </w:r>
      <w:r w:rsidR="00152EB5" w:rsidRPr="00114FDD">
        <w:rPr>
          <w:sz w:val="26"/>
          <w:szCs w:val="26"/>
        </w:rPr>
        <w:t>alifornia DEER S</w:t>
      </w:r>
      <w:r w:rsidRPr="00114FDD">
        <w:rPr>
          <w:sz w:val="26"/>
          <w:szCs w:val="26"/>
        </w:rPr>
        <w:t xml:space="preserve">tudy, with adjustments made to the models for local building practices </w:t>
      </w:r>
      <w:r w:rsidRPr="00114FDD">
        <w:rPr>
          <w:sz w:val="26"/>
          <w:szCs w:val="26"/>
        </w:rPr>
        <w:lastRenderedPageBreak/>
        <w:t xml:space="preserve">and climate. </w:t>
      </w:r>
      <w:r w:rsidR="00152EB5" w:rsidRPr="00114FDD">
        <w:rPr>
          <w:sz w:val="26"/>
          <w:szCs w:val="26"/>
        </w:rPr>
        <w:t xml:space="preserve"> </w:t>
      </w:r>
      <w:r w:rsidRPr="00114FDD">
        <w:rPr>
          <w:sz w:val="26"/>
          <w:szCs w:val="26"/>
        </w:rPr>
        <w:t>A prototype was created for each building type and differed by HVAC system</w:t>
      </w:r>
      <w:r w:rsidR="00845F61">
        <w:rPr>
          <w:sz w:val="26"/>
          <w:szCs w:val="26"/>
        </w:rPr>
        <w:t>s</w:t>
      </w:r>
      <w:r w:rsidRPr="00114FDD">
        <w:rPr>
          <w:sz w:val="26"/>
          <w:szCs w:val="26"/>
        </w:rPr>
        <w:t xml:space="preserve"> and other building characteristics</w:t>
      </w:r>
      <w:r w:rsidR="00845F61">
        <w:rPr>
          <w:sz w:val="26"/>
          <w:szCs w:val="26"/>
        </w:rPr>
        <w:t>, including, but not limited to,</w:t>
      </w:r>
      <w:r w:rsidRPr="00114FDD">
        <w:rPr>
          <w:sz w:val="26"/>
          <w:szCs w:val="26"/>
        </w:rPr>
        <w:t xml:space="preserve"> operating schedule, facility size, number of floors, building envelope.    </w:t>
      </w:r>
    </w:p>
    <w:p w:rsidR="00050E8B" w:rsidRPr="00114FDD" w:rsidRDefault="00050E8B" w:rsidP="00B64A9F">
      <w:pPr>
        <w:spacing w:line="360" w:lineRule="auto"/>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845F61" w:rsidRPr="00114FDD">
        <w:rPr>
          <w:sz w:val="26"/>
          <w:szCs w:val="26"/>
        </w:rPr>
        <w:t>Th</w:t>
      </w:r>
      <w:r w:rsidR="00845F61">
        <w:rPr>
          <w:sz w:val="26"/>
          <w:szCs w:val="26"/>
        </w:rPr>
        <w:t>is</w:t>
      </w:r>
      <w:r w:rsidR="00845F61" w:rsidRPr="00114FDD">
        <w:rPr>
          <w:sz w:val="26"/>
          <w:szCs w:val="26"/>
        </w:rPr>
        <w:t xml:space="preserve"> </w:t>
      </w:r>
      <w:r w:rsidRPr="00114FDD">
        <w:rPr>
          <w:sz w:val="26"/>
          <w:szCs w:val="26"/>
        </w:rPr>
        <w:t xml:space="preserve">review revealed that the EFLH values derived from the </w:t>
      </w:r>
      <w:r w:rsidR="00803EB9">
        <w:rPr>
          <w:sz w:val="26"/>
          <w:szCs w:val="26"/>
        </w:rPr>
        <w:t xml:space="preserve">2011 </w:t>
      </w:r>
      <w:r w:rsidRPr="00114FDD">
        <w:rPr>
          <w:sz w:val="26"/>
          <w:szCs w:val="26"/>
        </w:rPr>
        <w:t>Mid-Atlantic TRM and the 2012 Delaware TRM do not provide any improvement over the methodology</w:t>
      </w:r>
      <w:r w:rsidR="00F87BC6">
        <w:rPr>
          <w:sz w:val="26"/>
          <w:szCs w:val="26"/>
        </w:rPr>
        <w:t xml:space="preserve"> used in the current TRM</w:t>
      </w:r>
      <w:r w:rsidRPr="00114FDD">
        <w:rPr>
          <w:sz w:val="26"/>
          <w:szCs w:val="26"/>
        </w:rPr>
        <w:t xml:space="preserve">. </w:t>
      </w:r>
      <w:r w:rsidR="00152EB5" w:rsidRPr="00114FDD">
        <w:rPr>
          <w:sz w:val="26"/>
          <w:szCs w:val="26"/>
        </w:rPr>
        <w:t xml:space="preserve"> </w:t>
      </w:r>
      <w:r w:rsidR="00F87BC6">
        <w:rPr>
          <w:sz w:val="26"/>
          <w:szCs w:val="26"/>
        </w:rPr>
        <w:t xml:space="preserve">Nor is there adequate </w:t>
      </w:r>
      <w:r w:rsidRPr="00114FDD">
        <w:rPr>
          <w:sz w:val="26"/>
          <w:szCs w:val="26"/>
        </w:rPr>
        <w:t xml:space="preserve">secondary </w:t>
      </w:r>
      <w:r w:rsidR="00F87BC6">
        <w:rPr>
          <w:sz w:val="26"/>
          <w:szCs w:val="26"/>
        </w:rPr>
        <w:t xml:space="preserve">source </w:t>
      </w:r>
      <w:r w:rsidRPr="00114FDD">
        <w:rPr>
          <w:sz w:val="26"/>
          <w:szCs w:val="26"/>
        </w:rPr>
        <w:t xml:space="preserve">information available to </w:t>
      </w:r>
      <w:r w:rsidR="00F87BC6">
        <w:rPr>
          <w:sz w:val="26"/>
          <w:szCs w:val="26"/>
        </w:rPr>
        <w:t xml:space="preserve">inform an </w:t>
      </w:r>
      <w:r w:rsidRPr="00114FDD">
        <w:rPr>
          <w:sz w:val="26"/>
          <w:szCs w:val="26"/>
        </w:rPr>
        <w:t xml:space="preserve">update </w:t>
      </w:r>
      <w:r w:rsidR="00F87BC6">
        <w:rPr>
          <w:sz w:val="26"/>
          <w:szCs w:val="26"/>
        </w:rPr>
        <w:t xml:space="preserve">to the </w:t>
      </w:r>
      <w:r w:rsidRPr="00114FDD">
        <w:rPr>
          <w:sz w:val="26"/>
          <w:szCs w:val="26"/>
        </w:rPr>
        <w:t xml:space="preserve">EFLH values for Pennsylvania.  </w:t>
      </w:r>
    </w:p>
    <w:p w:rsidR="00050E8B" w:rsidRPr="00114FDD" w:rsidRDefault="00050E8B" w:rsidP="00B64A9F">
      <w:pPr>
        <w:pStyle w:val="p3"/>
        <w:tabs>
          <w:tab w:val="clear" w:pos="204"/>
          <w:tab w:val="left" w:pos="0"/>
          <w:tab w:val="left" w:pos="720"/>
        </w:tabs>
        <w:spacing w:line="360" w:lineRule="auto"/>
        <w:rPr>
          <w:sz w:val="26"/>
          <w:szCs w:val="26"/>
        </w:rPr>
      </w:pPr>
    </w:p>
    <w:p w:rsidR="00773523"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E779B4" w:rsidRPr="00114FDD">
        <w:rPr>
          <w:sz w:val="26"/>
          <w:szCs w:val="26"/>
        </w:rPr>
        <w:t>Therefore, t</w:t>
      </w:r>
      <w:r w:rsidRPr="00114FDD">
        <w:rPr>
          <w:sz w:val="26"/>
          <w:szCs w:val="26"/>
        </w:rPr>
        <w:t>he Commission proposes to use the existing EFLH values in</w:t>
      </w:r>
      <w:r w:rsidR="00152EB5" w:rsidRPr="00114FDD">
        <w:rPr>
          <w:sz w:val="26"/>
          <w:szCs w:val="26"/>
        </w:rPr>
        <w:t xml:space="preserve"> the</w:t>
      </w:r>
      <w:r w:rsidRPr="00114FDD">
        <w:rPr>
          <w:sz w:val="26"/>
          <w:szCs w:val="26"/>
        </w:rPr>
        <w:t xml:space="preserve"> 2012 TRM for </w:t>
      </w:r>
      <w:r w:rsidR="00152EB5" w:rsidRPr="00114FDD">
        <w:rPr>
          <w:sz w:val="26"/>
          <w:szCs w:val="26"/>
        </w:rPr>
        <w:t xml:space="preserve">the </w:t>
      </w:r>
      <w:r w:rsidRPr="00114FDD">
        <w:rPr>
          <w:sz w:val="26"/>
          <w:szCs w:val="26"/>
        </w:rPr>
        <w:t xml:space="preserve">2013 TRM until more accurate information is available. </w:t>
      </w:r>
      <w:r w:rsidR="00152EB5" w:rsidRPr="00114FDD">
        <w:rPr>
          <w:sz w:val="26"/>
          <w:szCs w:val="26"/>
        </w:rPr>
        <w:t xml:space="preserve"> </w:t>
      </w:r>
      <w:r w:rsidRPr="00114FDD">
        <w:rPr>
          <w:sz w:val="26"/>
          <w:szCs w:val="26"/>
        </w:rPr>
        <w:t xml:space="preserve">The Commission proposes running computer simulation models to determine EFLH values for HVAC measures using eQUEST </w:t>
      </w:r>
      <w:r w:rsidR="005043CB" w:rsidRPr="00114FDD">
        <w:rPr>
          <w:sz w:val="26"/>
          <w:szCs w:val="26"/>
        </w:rPr>
        <w:t xml:space="preserve">software </w:t>
      </w:r>
      <w:r w:rsidRPr="00114FDD">
        <w:rPr>
          <w:sz w:val="26"/>
          <w:szCs w:val="26"/>
        </w:rPr>
        <w:t xml:space="preserve">for future </w:t>
      </w:r>
      <w:r w:rsidR="005043CB" w:rsidRPr="00114FDD">
        <w:rPr>
          <w:sz w:val="26"/>
          <w:szCs w:val="26"/>
        </w:rPr>
        <w:t xml:space="preserve">TRM </w:t>
      </w:r>
      <w:r w:rsidRPr="00114FDD">
        <w:rPr>
          <w:sz w:val="26"/>
          <w:szCs w:val="26"/>
        </w:rPr>
        <w:t>updates.</w:t>
      </w:r>
      <w:r w:rsidR="00152EB5" w:rsidRPr="00114FDD">
        <w:rPr>
          <w:sz w:val="26"/>
          <w:szCs w:val="26"/>
        </w:rPr>
        <w:t xml:space="preserve"> </w:t>
      </w:r>
      <w:r w:rsidRPr="00114FDD">
        <w:rPr>
          <w:sz w:val="26"/>
          <w:szCs w:val="26"/>
        </w:rPr>
        <w:t xml:space="preserve"> This will provide state-specific values that do not need to be scaled using degree-day</w:t>
      </w:r>
      <w:r w:rsidR="00F87BC6">
        <w:rPr>
          <w:sz w:val="26"/>
          <w:szCs w:val="26"/>
        </w:rPr>
        <w:t>s</w:t>
      </w:r>
      <w:r w:rsidRPr="00114FDD">
        <w:rPr>
          <w:sz w:val="26"/>
          <w:szCs w:val="26"/>
        </w:rPr>
        <w:t>.</w:t>
      </w:r>
    </w:p>
    <w:p w:rsidR="00050E8B" w:rsidRPr="00114FDD" w:rsidRDefault="00050E8B" w:rsidP="00B64A9F">
      <w:pPr>
        <w:pStyle w:val="p3"/>
        <w:tabs>
          <w:tab w:val="clear" w:pos="204"/>
          <w:tab w:val="left" w:pos="0"/>
          <w:tab w:val="left" w:pos="720"/>
        </w:tabs>
        <w:spacing w:line="360" w:lineRule="auto"/>
        <w:rPr>
          <w:sz w:val="26"/>
          <w:szCs w:val="26"/>
        </w:rPr>
      </w:pPr>
    </w:p>
    <w:p w:rsidR="00050E8B" w:rsidRPr="00114FDD" w:rsidRDefault="00D939E8" w:rsidP="00D939E8">
      <w:pPr>
        <w:pStyle w:val="p3"/>
        <w:tabs>
          <w:tab w:val="clear" w:pos="204"/>
          <w:tab w:val="left" w:pos="-1080"/>
          <w:tab w:val="left" w:pos="0"/>
        </w:tabs>
        <w:spacing w:line="360" w:lineRule="auto"/>
        <w:ind w:left="1440" w:hanging="720"/>
        <w:outlineLvl w:val="2"/>
        <w:rPr>
          <w:b/>
          <w:sz w:val="26"/>
          <w:szCs w:val="26"/>
        </w:rPr>
      </w:pPr>
      <w:bookmarkStart w:id="40" w:name="_Toc334175028"/>
      <w:r>
        <w:rPr>
          <w:b/>
          <w:sz w:val="26"/>
          <w:szCs w:val="26"/>
        </w:rPr>
        <w:t xml:space="preserve">3. </w:t>
      </w:r>
      <w:r>
        <w:rPr>
          <w:b/>
          <w:sz w:val="26"/>
          <w:szCs w:val="26"/>
        </w:rPr>
        <w:tab/>
      </w:r>
      <w:r w:rsidR="00050E8B" w:rsidRPr="00114FDD">
        <w:rPr>
          <w:b/>
          <w:sz w:val="26"/>
          <w:szCs w:val="26"/>
        </w:rPr>
        <w:t>Motor and Variable Frequency Drive Protocols</w:t>
      </w:r>
      <w:bookmarkEnd w:id="40"/>
    </w:p>
    <w:p w:rsidR="00050E8B" w:rsidRPr="00114FDD" w:rsidRDefault="00050E8B" w:rsidP="00B64A9F">
      <w:pPr>
        <w:pStyle w:val="p3"/>
        <w:tabs>
          <w:tab w:val="clear" w:pos="204"/>
          <w:tab w:val="left" w:pos="0"/>
          <w:tab w:val="left" w:pos="720"/>
        </w:tabs>
        <w:spacing w:line="360" w:lineRule="auto"/>
        <w:ind w:left="1440"/>
        <w:rPr>
          <w:b/>
          <w:sz w:val="26"/>
          <w:szCs w:val="26"/>
        </w:rPr>
      </w:pPr>
    </w:p>
    <w:p w:rsidR="00050E8B" w:rsidRPr="00114FDD" w:rsidRDefault="00D9140E" w:rsidP="00B64A9F">
      <w:pPr>
        <w:pStyle w:val="p3"/>
        <w:tabs>
          <w:tab w:val="clear" w:pos="204"/>
          <w:tab w:val="left" w:pos="0"/>
          <w:tab w:val="left" w:pos="720"/>
        </w:tabs>
        <w:spacing w:line="360" w:lineRule="auto"/>
        <w:rPr>
          <w:sz w:val="26"/>
          <w:szCs w:val="26"/>
        </w:rPr>
      </w:pPr>
      <w:r w:rsidRPr="00114FDD">
        <w:rPr>
          <w:sz w:val="26"/>
          <w:szCs w:val="26"/>
        </w:rPr>
        <w:tab/>
        <w:t>The</w:t>
      </w:r>
      <w:r w:rsidR="00050E8B" w:rsidRPr="00114FDD">
        <w:rPr>
          <w:sz w:val="26"/>
          <w:szCs w:val="26"/>
        </w:rPr>
        <w:t xml:space="preserve"> Commission proposes to update the Ener</w:t>
      </w:r>
      <w:r w:rsidRPr="00114FDD">
        <w:rPr>
          <w:sz w:val="26"/>
          <w:szCs w:val="26"/>
        </w:rPr>
        <w:t>gy Savings Factor (ESF) and Demand Savings Factor (DSF</w:t>
      </w:r>
      <w:r w:rsidR="00050E8B" w:rsidRPr="00114FDD">
        <w:rPr>
          <w:sz w:val="26"/>
          <w:szCs w:val="26"/>
        </w:rPr>
        <w:t xml:space="preserve">) values for VFDs using the </w:t>
      </w:r>
      <w:r w:rsidR="00803EB9">
        <w:rPr>
          <w:sz w:val="26"/>
          <w:szCs w:val="26"/>
        </w:rPr>
        <w:t>2012 Connecticut TRM</w:t>
      </w:r>
      <w:r w:rsidR="00050E8B" w:rsidRPr="00114FDD">
        <w:rPr>
          <w:sz w:val="26"/>
          <w:szCs w:val="26"/>
        </w:rPr>
        <w:t xml:space="preserve"> as the primary source. </w:t>
      </w:r>
      <w:r w:rsidRPr="00114FDD">
        <w:rPr>
          <w:sz w:val="26"/>
          <w:szCs w:val="26"/>
        </w:rPr>
        <w:t xml:space="preserve"> </w:t>
      </w:r>
      <w:r w:rsidR="00F87BC6">
        <w:rPr>
          <w:sz w:val="26"/>
          <w:szCs w:val="26"/>
        </w:rPr>
        <w:t>T</w:t>
      </w:r>
      <w:r w:rsidR="00050E8B" w:rsidRPr="00114FDD">
        <w:rPr>
          <w:sz w:val="26"/>
          <w:szCs w:val="26"/>
        </w:rPr>
        <w:t xml:space="preserve">he ESF and DSF values </w:t>
      </w:r>
      <w:r w:rsidR="00BB3351" w:rsidRPr="00114FDD">
        <w:rPr>
          <w:sz w:val="26"/>
          <w:szCs w:val="26"/>
        </w:rPr>
        <w:t xml:space="preserve">listed </w:t>
      </w:r>
      <w:r w:rsidR="00050E8B" w:rsidRPr="00114FDD">
        <w:rPr>
          <w:sz w:val="26"/>
          <w:szCs w:val="26"/>
        </w:rPr>
        <w:t xml:space="preserve">in </w:t>
      </w:r>
      <w:r w:rsidR="00BB3351" w:rsidRPr="00114FDD">
        <w:rPr>
          <w:sz w:val="26"/>
          <w:szCs w:val="26"/>
        </w:rPr>
        <w:t>Table 3-17</w:t>
      </w:r>
      <w:r w:rsidR="00BB3351" w:rsidRPr="00114FDD">
        <w:rPr>
          <w:rStyle w:val="FootnoteReference"/>
          <w:sz w:val="26"/>
          <w:szCs w:val="26"/>
        </w:rPr>
        <w:footnoteReference w:id="144"/>
      </w:r>
      <w:r w:rsidR="00BB3351" w:rsidRPr="00114FDD">
        <w:rPr>
          <w:sz w:val="26"/>
          <w:szCs w:val="26"/>
        </w:rPr>
        <w:t xml:space="preserve"> of </w:t>
      </w:r>
      <w:r w:rsidR="00F87BC6">
        <w:rPr>
          <w:sz w:val="26"/>
          <w:szCs w:val="26"/>
        </w:rPr>
        <w:t xml:space="preserve">the </w:t>
      </w:r>
      <w:r w:rsidR="00050E8B" w:rsidRPr="00114FDD">
        <w:rPr>
          <w:sz w:val="26"/>
          <w:szCs w:val="26"/>
        </w:rPr>
        <w:t xml:space="preserve">2012 TRM were taken from </w:t>
      </w:r>
      <w:r w:rsidR="00F87BC6">
        <w:rPr>
          <w:sz w:val="26"/>
          <w:szCs w:val="26"/>
        </w:rPr>
        <w:t xml:space="preserve">the </w:t>
      </w:r>
      <w:r w:rsidR="00803EB9">
        <w:rPr>
          <w:sz w:val="26"/>
          <w:szCs w:val="26"/>
        </w:rPr>
        <w:t xml:space="preserve">2011 </w:t>
      </w:r>
      <w:r w:rsidR="00050E8B" w:rsidRPr="00114FDD">
        <w:rPr>
          <w:sz w:val="26"/>
          <w:szCs w:val="26"/>
        </w:rPr>
        <w:t>Mid-Atlantic TRM</w:t>
      </w:r>
      <w:r w:rsidRPr="00114FDD">
        <w:rPr>
          <w:sz w:val="26"/>
          <w:szCs w:val="26"/>
        </w:rPr>
        <w:t>,</w:t>
      </w:r>
      <w:r w:rsidR="00050E8B" w:rsidRPr="00114FDD">
        <w:rPr>
          <w:sz w:val="26"/>
          <w:szCs w:val="26"/>
        </w:rPr>
        <w:t xml:space="preserve"> which references </w:t>
      </w:r>
      <w:r w:rsidR="00803EB9">
        <w:rPr>
          <w:sz w:val="26"/>
          <w:szCs w:val="26"/>
        </w:rPr>
        <w:t xml:space="preserve">the </w:t>
      </w:r>
      <w:r w:rsidR="00050E8B" w:rsidRPr="00114FDD">
        <w:rPr>
          <w:sz w:val="26"/>
          <w:szCs w:val="26"/>
        </w:rPr>
        <w:t xml:space="preserve">2009 Connecticut </w:t>
      </w:r>
      <w:r w:rsidR="00803EB9">
        <w:rPr>
          <w:sz w:val="26"/>
          <w:szCs w:val="26"/>
        </w:rPr>
        <w:t>TRM</w:t>
      </w:r>
      <w:r w:rsidR="00050E8B" w:rsidRPr="00114FDD">
        <w:rPr>
          <w:rStyle w:val="FootnoteReference"/>
          <w:sz w:val="26"/>
          <w:szCs w:val="26"/>
        </w:rPr>
        <w:footnoteReference w:id="145"/>
      </w:r>
      <w:r w:rsidR="00050E8B" w:rsidRPr="00114FDD">
        <w:rPr>
          <w:sz w:val="26"/>
          <w:szCs w:val="26"/>
        </w:rPr>
        <w:t xml:space="preserve"> as the source document. </w:t>
      </w:r>
      <w:r w:rsidRPr="00114FDD">
        <w:rPr>
          <w:sz w:val="26"/>
          <w:szCs w:val="26"/>
        </w:rPr>
        <w:t xml:space="preserve"> </w:t>
      </w:r>
      <w:r w:rsidR="00F87BC6">
        <w:rPr>
          <w:sz w:val="26"/>
          <w:szCs w:val="26"/>
        </w:rPr>
        <w:t>T</w:t>
      </w:r>
      <w:r w:rsidR="00050E8B" w:rsidRPr="00114FDD">
        <w:rPr>
          <w:sz w:val="26"/>
          <w:szCs w:val="26"/>
        </w:rPr>
        <w:t>he</w:t>
      </w:r>
      <w:r w:rsidR="00F87BC6">
        <w:rPr>
          <w:sz w:val="26"/>
          <w:szCs w:val="26"/>
        </w:rPr>
        <w:t>se</w:t>
      </w:r>
      <w:r w:rsidR="00050E8B" w:rsidRPr="00114FDD">
        <w:rPr>
          <w:sz w:val="26"/>
          <w:szCs w:val="26"/>
        </w:rPr>
        <w:t xml:space="preserve"> values</w:t>
      </w:r>
      <w:r w:rsidR="00F87BC6">
        <w:rPr>
          <w:sz w:val="26"/>
          <w:szCs w:val="26"/>
        </w:rPr>
        <w:t>, however,</w:t>
      </w:r>
      <w:r w:rsidR="00050E8B" w:rsidRPr="00114FDD">
        <w:rPr>
          <w:sz w:val="26"/>
          <w:szCs w:val="26"/>
        </w:rPr>
        <w:t xml:space="preserve"> do not match the 2009 C</w:t>
      </w:r>
      <w:r w:rsidRPr="00114FDD">
        <w:rPr>
          <w:sz w:val="26"/>
          <w:szCs w:val="26"/>
        </w:rPr>
        <w:t xml:space="preserve">onnecticut </w:t>
      </w:r>
      <w:r w:rsidR="00050E8B" w:rsidRPr="00114FDD">
        <w:rPr>
          <w:sz w:val="26"/>
          <w:szCs w:val="26"/>
        </w:rPr>
        <w:t>manual.</w:t>
      </w:r>
      <w:r w:rsidRPr="00114FDD">
        <w:rPr>
          <w:sz w:val="26"/>
          <w:szCs w:val="26"/>
        </w:rPr>
        <w:t xml:space="preserve"> </w:t>
      </w:r>
      <w:r w:rsidR="00050E8B" w:rsidRPr="00114FDD">
        <w:rPr>
          <w:sz w:val="26"/>
          <w:szCs w:val="26"/>
        </w:rPr>
        <w:t xml:space="preserve"> </w:t>
      </w:r>
      <w:r w:rsidR="00F87BC6">
        <w:rPr>
          <w:sz w:val="26"/>
          <w:szCs w:val="26"/>
        </w:rPr>
        <w:t>In addition</w:t>
      </w:r>
      <w:r w:rsidR="00050E8B" w:rsidRPr="00114FDD">
        <w:rPr>
          <w:sz w:val="26"/>
          <w:szCs w:val="26"/>
        </w:rPr>
        <w:t xml:space="preserve">, the algorithms used in </w:t>
      </w:r>
      <w:r w:rsidR="00F87BC6">
        <w:rPr>
          <w:sz w:val="26"/>
          <w:szCs w:val="26"/>
        </w:rPr>
        <w:t xml:space="preserve">the 2011 </w:t>
      </w:r>
      <w:r w:rsidR="00050E8B" w:rsidRPr="00114FDD">
        <w:rPr>
          <w:sz w:val="26"/>
          <w:szCs w:val="26"/>
        </w:rPr>
        <w:t xml:space="preserve">Mid-Atlantic TRM do not include </w:t>
      </w:r>
      <w:r w:rsidRPr="00114FDD">
        <w:rPr>
          <w:sz w:val="26"/>
          <w:szCs w:val="26"/>
        </w:rPr>
        <w:t xml:space="preserve">a </w:t>
      </w:r>
      <w:r w:rsidR="00050E8B" w:rsidRPr="00114FDD">
        <w:rPr>
          <w:sz w:val="26"/>
          <w:szCs w:val="26"/>
        </w:rPr>
        <w:t xml:space="preserve">load factor to calculate savings in contrast to </w:t>
      </w:r>
      <w:r w:rsidR="00F87BC6">
        <w:rPr>
          <w:sz w:val="26"/>
          <w:szCs w:val="26"/>
        </w:rPr>
        <w:t xml:space="preserve">the </w:t>
      </w:r>
      <w:r w:rsidR="00050E8B" w:rsidRPr="00114FDD">
        <w:rPr>
          <w:sz w:val="26"/>
          <w:szCs w:val="26"/>
        </w:rPr>
        <w:t>2012 TRM or 2009 C</w:t>
      </w:r>
      <w:r w:rsidRPr="00114FDD">
        <w:rPr>
          <w:sz w:val="26"/>
          <w:szCs w:val="26"/>
        </w:rPr>
        <w:t xml:space="preserve">onnecticut </w:t>
      </w:r>
      <w:r w:rsidR="00803EB9">
        <w:rPr>
          <w:sz w:val="26"/>
          <w:szCs w:val="26"/>
        </w:rPr>
        <w:t>TRM</w:t>
      </w:r>
      <w:r w:rsidR="00050E8B" w:rsidRPr="00114FDD">
        <w:rPr>
          <w:sz w:val="26"/>
          <w:szCs w:val="26"/>
        </w:rPr>
        <w:t xml:space="preserve">. </w:t>
      </w:r>
    </w:p>
    <w:p w:rsidR="00050E8B" w:rsidRPr="00114FDD" w:rsidRDefault="00050E8B" w:rsidP="00B64A9F">
      <w:pPr>
        <w:pStyle w:val="p3"/>
        <w:tabs>
          <w:tab w:val="clear" w:pos="204"/>
          <w:tab w:val="left" w:pos="0"/>
          <w:tab w:val="left" w:pos="720"/>
        </w:tabs>
        <w:spacing w:line="360" w:lineRule="auto"/>
        <w:rPr>
          <w:sz w:val="26"/>
          <w:szCs w:val="26"/>
        </w:rPr>
      </w:pPr>
    </w:p>
    <w:p w:rsidR="00773523"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F87BC6">
        <w:rPr>
          <w:sz w:val="26"/>
          <w:szCs w:val="26"/>
        </w:rPr>
        <w:t>T</w:t>
      </w:r>
      <w:r w:rsidRPr="00114FDD">
        <w:rPr>
          <w:sz w:val="26"/>
          <w:szCs w:val="26"/>
        </w:rPr>
        <w:t xml:space="preserve">he Commission </w:t>
      </w:r>
      <w:r w:rsidR="00F87BC6">
        <w:rPr>
          <w:sz w:val="26"/>
          <w:szCs w:val="26"/>
        </w:rPr>
        <w:t xml:space="preserve">also </w:t>
      </w:r>
      <w:r w:rsidRPr="00114FDD">
        <w:rPr>
          <w:sz w:val="26"/>
          <w:szCs w:val="26"/>
        </w:rPr>
        <w:t xml:space="preserve">proposes to use the 2012 Connecticut </w:t>
      </w:r>
      <w:r w:rsidR="00803EB9">
        <w:rPr>
          <w:sz w:val="26"/>
          <w:szCs w:val="26"/>
        </w:rPr>
        <w:t>TRM</w:t>
      </w:r>
      <w:r w:rsidRPr="00114FDD">
        <w:rPr>
          <w:sz w:val="26"/>
          <w:szCs w:val="26"/>
        </w:rPr>
        <w:t xml:space="preserve"> to update t</w:t>
      </w:r>
      <w:r w:rsidR="0090785D" w:rsidRPr="00114FDD">
        <w:rPr>
          <w:sz w:val="26"/>
          <w:szCs w:val="26"/>
        </w:rPr>
        <w:t xml:space="preserve">he </w:t>
      </w:r>
      <w:r w:rsidR="00D9140E" w:rsidRPr="00114FDD">
        <w:rPr>
          <w:sz w:val="26"/>
          <w:szCs w:val="26"/>
        </w:rPr>
        <w:lastRenderedPageBreak/>
        <w:t>motor and VFD</w:t>
      </w:r>
      <w:r w:rsidR="0090785D" w:rsidRPr="00114FDD">
        <w:rPr>
          <w:sz w:val="26"/>
          <w:szCs w:val="26"/>
        </w:rPr>
        <w:t xml:space="preserve"> operating hours listed in Table 3-14</w:t>
      </w:r>
      <w:r w:rsidR="0090785D" w:rsidRPr="00114FDD">
        <w:rPr>
          <w:rStyle w:val="FootnoteReference"/>
          <w:sz w:val="26"/>
          <w:szCs w:val="26"/>
        </w:rPr>
        <w:footnoteReference w:id="146"/>
      </w:r>
      <w:r w:rsidR="0090785D" w:rsidRPr="00114FDD">
        <w:rPr>
          <w:sz w:val="26"/>
          <w:szCs w:val="26"/>
        </w:rPr>
        <w:t xml:space="preserve"> of </w:t>
      </w:r>
      <w:r w:rsidR="00F87BC6">
        <w:rPr>
          <w:sz w:val="26"/>
          <w:szCs w:val="26"/>
        </w:rPr>
        <w:t xml:space="preserve">the </w:t>
      </w:r>
      <w:r w:rsidRPr="00114FDD">
        <w:rPr>
          <w:sz w:val="26"/>
          <w:szCs w:val="26"/>
        </w:rPr>
        <w:t>2012 TRM</w:t>
      </w:r>
      <w:r w:rsidR="00D9140E" w:rsidRPr="00114FDD">
        <w:rPr>
          <w:sz w:val="26"/>
          <w:szCs w:val="26"/>
        </w:rPr>
        <w:t>,</w:t>
      </w:r>
      <w:r w:rsidRPr="00114FDD">
        <w:rPr>
          <w:sz w:val="26"/>
          <w:szCs w:val="26"/>
        </w:rPr>
        <w:t xml:space="preserve"> similar to the source used for ESF and DSF values to accurately estimate savings.   </w:t>
      </w:r>
      <w:r w:rsidR="009F77B8">
        <w:rPr>
          <w:sz w:val="26"/>
          <w:szCs w:val="26"/>
        </w:rPr>
        <w:t>Furthermore, as indicated above,t</w:t>
      </w:r>
      <w:r w:rsidR="00773523" w:rsidRPr="00114FDD">
        <w:rPr>
          <w:sz w:val="26"/>
          <w:szCs w:val="26"/>
        </w:rPr>
        <w:t>he Commission proposes running computer simulation models to determine ESF and DSF values for VFD protocols and operating hours</w:t>
      </w:r>
      <w:r w:rsidR="00D9140E" w:rsidRPr="00114FDD">
        <w:rPr>
          <w:sz w:val="26"/>
          <w:szCs w:val="26"/>
        </w:rPr>
        <w:t xml:space="preserve"> for motor and </w:t>
      </w:r>
      <w:r w:rsidR="00773523" w:rsidRPr="00114FDD">
        <w:rPr>
          <w:sz w:val="26"/>
          <w:szCs w:val="26"/>
        </w:rPr>
        <w:t>VFD protocols using eQUEST software for future TRM updates.</w:t>
      </w:r>
      <w:r w:rsidR="00D9140E" w:rsidRPr="00114FDD">
        <w:rPr>
          <w:sz w:val="26"/>
          <w:szCs w:val="26"/>
        </w:rPr>
        <w:t xml:space="preserve"> </w:t>
      </w:r>
      <w:r w:rsidR="00773523" w:rsidRPr="00114FDD">
        <w:rPr>
          <w:sz w:val="26"/>
          <w:szCs w:val="26"/>
        </w:rPr>
        <w:t xml:space="preserve"> This will provide state-specific values which are considered to be the most credible information after metered data.</w:t>
      </w:r>
    </w:p>
    <w:p w:rsidR="00773523" w:rsidRPr="00114FDD" w:rsidRDefault="00773523" w:rsidP="00B64A9F">
      <w:pPr>
        <w:pStyle w:val="p3"/>
        <w:tabs>
          <w:tab w:val="clear" w:pos="204"/>
          <w:tab w:val="left" w:pos="0"/>
          <w:tab w:val="left" w:pos="720"/>
        </w:tabs>
        <w:spacing w:line="360" w:lineRule="auto"/>
        <w:rPr>
          <w:sz w:val="26"/>
          <w:szCs w:val="26"/>
        </w:rPr>
      </w:pPr>
    </w:p>
    <w:p w:rsidR="00050E8B" w:rsidRPr="00114FDD" w:rsidRDefault="00D939E8" w:rsidP="00D939E8">
      <w:pPr>
        <w:pStyle w:val="p3"/>
        <w:tabs>
          <w:tab w:val="clear" w:pos="204"/>
          <w:tab w:val="left" w:pos="-630"/>
          <w:tab w:val="left" w:pos="0"/>
        </w:tabs>
        <w:ind w:left="1440" w:hanging="720"/>
        <w:outlineLvl w:val="2"/>
        <w:rPr>
          <w:b/>
          <w:sz w:val="26"/>
          <w:szCs w:val="26"/>
        </w:rPr>
      </w:pPr>
      <w:bookmarkStart w:id="41" w:name="_Toc334175029"/>
      <w:r>
        <w:rPr>
          <w:b/>
          <w:sz w:val="26"/>
          <w:szCs w:val="26"/>
        </w:rPr>
        <w:t xml:space="preserve">4. </w:t>
      </w:r>
      <w:r>
        <w:rPr>
          <w:b/>
          <w:sz w:val="26"/>
          <w:szCs w:val="26"/>
        </w:rPr>
        <w:tab/>
      </w:r>
      <w:r w:rsidR="00050E8B" w:rsidRPr="00114FDD">
        <w:rPr>
          <w:b/>
          <w:sz w:val="26"/>
          <w:szCs w:val="26"/>
        </w:rPr>
        <w:t>Office Equipment Network Power Management Systems</w:t>
      </w:r>
      <w:bookmarkEnd w:id="41"/>
      <w:r w:rsidR="00050E8B" w:rsidRPr="00114FDD">
        <w:rPr>
          <w:b/>
          <w:sz w:val="26"/>
          <w:szCs w:val="26"/>
        </w:rPr>
        <w:t xml:space="preserve"> </w:t>
      </w:r>
    </w:p>
    <w:p w:rsidR="00050E8B" w:rsidRPr="00114FDD" w:rsidRDefault="00050E8B" w:rsidP="00B64A9F">
      <w:pPr>
        <w:pStyle w:val="p3"/>
        <w:tabs>
          <w:tab w:val="clear" w:pos="204"/>
          <w:tab w:val="left" w:pos="0"/>
          <w:tab w:val="left" w:pos="720"/>
        </w:tabs>
        <w:spacing w:line="360" w:lineRule="auto"/>
        <w:ind w:left="1440"/>
        <w:rPr>
          <w:b/>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The 2012 TRM</w:t>
      </w:r>
      <w:r w:rsidR="00590628" w:rsidRPr="00114FDD">
        <w:rPr>
          <w:rStyle w:val="FootnoteReference"/>
          <w:sz w:val="26"/>
          <w:szCs w:val="26"/>
        </w:rPr>
        <w:footnoteReference w:id="147"/>
      </w:r>
      <w:r w:rsidRPr="00114FDD">
        <w:rPr>
          <w:sz w:val="26"/>
          <w:szCs w:val="26"/>
        </w:rPr>
        <w:t xml:space="preserve"> deemed savings for the Office Equipment Network Power Management System measure </w:t>
      </w:r>
      <w:r w:rsidR="001B0EA5" w:rsidRPr="00114FDD">
        <w:rPr>
          <w:sz w:val="26"/>
          <w:szCs w:val="26"/>
        </w:rPr>
        <w:t>ar</w:t>
      </w:r>
      <w:r w:rsidRPr="00114FDD">
        <w:rPr>
          <w:sz w:val="26"/>
          <w:szCs w:val="26"/>
        </w:rPr>
        <w:t xml:space="preserve">e 148 kWh </w:t>
      </w:r>
      <w:r w:rsidR="009F77B8">
        <w:rPr>
          <w:sz w:val="26"/>
          <w:szCs w:val="26"/>
        </w:rPr>
        <w:t xml:space="preserve">per </w:t>
      </w:r>
      <w:r w:rsidRPr="00114FDD">
        <w:rPr>
          <w:sz w:val="26"/>
          <w:szCs w:val="26"/>
        </w:rPr>
        <w:t xml:space="preserve">unit and 0.020 kW </w:t>
      </w:r>
      <w:r w:rsidR="009F77B8">
        <w:rPr>
          <w:sz w:val="26"/>
          <w:szCs w:val="26"/>
        </w:rPr>
        <w:t xml:space="preserve">per </w:t>
      </w:r>
      <w:r w:rsidRPr="00114FDD">
        <w:rPr>
          <w:sz w:val="26"/>
          <w:szCs w:val="26"/>
        </w:rPr>
        <w:t xml:space="preserve">unit. </w:t>
      </w:r>
      <w:r w:rsidR="00D9140E" w:rsidRPr="00114FDD">
        <w:rPr>
          <w:sz w:val="26"/>
          <w:szCs w:val="26"/>
        </w:rPr>
        <w:t xml:space="preserve"> </w:t>
      </w:r>
      <w:r w:rsidRPr="00114FDD">
        <w:rPr>
          <w:sz w:val="26"/>
          <w:szCs w:val="26"/>
        </w:rPr>
        <w:t xml:space="preserve">The energy savings were based on actual field measurements for a single project in Duquesne’s service territory. </w:t>
      </w:r>
      <w:r w:rsidR="00D9140E" w:rsidRPr="00114FDD">
        <w:rPr>
          <w:sz w:val="26"/>
          <w:szCs w:val="26"/>
        </w:rPr>
        <w:t xml:space="preserve"> </w:t>
      </w:r>
      <w:r w:rsidRPr="00114FDD">
        <w:rPr>
          <w:sz w:val="26"/>
          <w:szCs w:val="26"/>
        </w:rPr>
        <w:t xml:space="preserve">The demand savings were taken from a study conducted by Southern California Edison over a period of one month. </w:t>
      </w:r>
      <w:r w:rsidR="00D9140E" w:rsidRPr="00114FDD">
        <w:rPr>
          <w:sz w:val="26"/>
          <w:szCs w:val="26"/>
        </w:rPr>
        <w:t xml:space="preserve"> T</w:t>
      </w:r>
      <w:r w:rsidRPr="00114FDD">
        <w:rPr>
          <w:sz w:val="26"/>
          <w:szCs w:val="26"/>
        </w:rPr>
        <w:t xml:space="preserve">he Commission proposes to update the deemed savings to 135 kWh </w:t>
      </w:r>
      <w:r w:rsidR="009F77B8">
        <w:rPr>
          <w:sz w:val="26"/>
          <w:szCs w:val="26"/>
        </w:rPr>
        <w:t xml:space="preserve">per </w:t>
      </w:r>
      <w:r w:rsidRPr="00114FDD">
        <w:rPr>
          <w:sz w:val="26"/>
          <w:szCs w:val="26"/>
        </w:rPr>
        <w:t>unit and 0.0078 kW</w:t>
      </w:r>
      <w:r w:rsidR="009F77B8">
        <w:rPr>
          <w:sz w:val="26"/>
          <w:szCs w:val="26"/>
        </w:rPr>
        <w:t xml:space="preserve"> per </w:t>
      </w:r>
      <w:r w:rsidRPr="00114FDD">
        <w:rPr>
          <w:sz w:val="26"/>
          <w:szCs w:val="26"/>
        </w:rPr>
        <w:t>unit based on a recent evaluation study conducted in Pacific Northwest</w:t>
      </w:r>
      <w:r w:rsidR="00D9140E" w:rsidRPr="00114FDD">
        <w:rPr>
          <w:sz w:val="26"/>
          <w:szCs w:val="26"/>
        </w:rPr>
        <w:t>.</w:t>
      </w:r>
      <w:r w:rsidRPr="00114FDD">
        <w:rPr>
          <w:sz w:val="26"/>
          <w:szCs w:val="26"/>
          <w:vertAlign w:val="superscript"/>
        </w:rPr>
        <w:footnoteReference w:id="148"/>
      </w:r>
      <w:r w:rsidR="007A1B66" w:rsidRPr="00114FDD">
        <w:rPr>
          <w:sz w:val="26"/>
          <w:szCs w:val="26"/>
        </w:rPr>
        <w:t xml:space="preserve"> </w:t>
      </w:r>
      <w:r w:rsidR="00D9140E" w:rsidRPr="00114FDD">
        <w:rPr>
          <w:sz w:val="26"/>
          <w:szCs w:val="26"/>
        </w:rPr>
        <w:t xml:space="preserve"> </w:t>
      </w:r>
      <w:r w:rsidR="007A1B66" w:rsidRPr="00114FDD">
        <w:rPr>
          <w:sz w:val="26"/>
          <w:szCs w:val="26"/>
        </w:rPr>
        <w:t xml:space="preserve">This study contains a broader sample and investigated a variety of applications that </w:t>
      </w:r>
      <w:r w:rsidR="009F77B8">
        <w:rPr>
          <w:sz w:val="26"/>
          <w:szCs w:val="26"/>
        </w:rPr>
        <w:t>are</w:t>
      </w:r>
      <w:r w:rsidR="009F77B8" w:rsidRPr="00114FDD">
        <w:rPr>
          <w:sz w:val="26"/>
          <w:szCs w:val="26"/>
        </w:rPr>
        <w:t xml:space="preserve"> </w:t>
      </w:r>
      <w:r w:rsidR="007A1B66" w:rsidRPr="00114FDD">
        <w:rPr>
          <w:sz w:val="26"/>
          <w:szCs w:val="26"/>
        </w:rPr>
        <w:t>more representative of this technology.</w:t>
      </w:r>
    </w:p>
    <w:p w:rsidR="00050E8B" w:rsidRPr="00114FDD" w:rsidRDefault="00050E8B" w:rsidP="00B64A9F">
      <w:pPr>
        <w:pStyle w:val="p3"/>
        <w:tabs>
          <w:tab w:val="clear" w:pos="204"/>
          <w:tab w:val="left" w:pos="0"/>
          <w:tab w:val="left" w:pos="720"/>
        </w:tabs>
        <w:spacing w:line="360" w:lineRule="auto"/>
        <w:rPr>
          <w:sz w:val="26"/>
          <w:szCs w:val="26"/>
        </w:rPr>
      </w:pPr>
    </w:p>
    <w:p w:rsidR="00050E8B" w:rsidRPr="00114FDD" w:rsidRDefault="00D939E8" w:rsidP="00D939E8">
      <w:pPr>
        <w:pStyle w:val="p3"/>
        <w:tabs>
          <w:tab w:val="clear" w:pos="204"/>
          <w:tab w:val="left" w:pos="0"/>
          <w:tab w:val="left" w:pos="720"/>
        </w:tabs>
        <w:spacing w:line="360" w:lineRule="auto"/>
        <w:ind w:left="1440" w:hanging="720"/>
        <w:outlineLvl w:val="2"/>
        <w:rPr>
          <w:b/>
          <w:sz w:val="26"/>
          <w:szCs w:val="26"/>
        </w:rPr>
      </w:pPr>
      <w:bookmarkStart w:id="42" w:name="_Toc334175030"/>
      <w:r>
        <w:rPr>
          <w:b/>
          <w:sz w:val="26"/>
          <w:szCs w:val="26"/>
        </w:rPr>
        <w:t xml:space="preserve">5. </w:t>
      </w:r>
      <w:r>
        <w:rPr>
          <w:b/>
          <w:sz w:val="26"/>
          <w:szCs w:val="26"/>
        </w:rPr>
        <w:tab/>
      </w:r>
      <w:r w:rsidR="00050E8B" w:rsidRPr="00114FDD">
        <w:rPr>
          <w:b/>
          <w:sz w:val="26"/>
          <w:szCs w:val="26"/>
        </w:rPr>
        <w:t>LED Channel Signage</w:t>
      </w:r>
      <w:bookmarkEnd w:id="42"/>
      <w:r w:rsidR="00050E8B" w:rsidRPr="00114FDD">
        <w:rPr>
          <w:b/>
          <w:sz w:val="26"/>
          <w:szCs w:val="26"/>
        </w:rPr>
        <w:t xml:space="preserve"> </w:t>
      </w:r>
    </w:p>
    <w:p w:rsidR="00050E8B" w:rsidRPr="00114FDD" w:rsidRDefault="00050E8B" w:rsidP="00B64A9F">
      <w:pPr>
        <w:pStyle w:val="p3"/>
        <w:tabs>
          <w:tab w:val="clear" w:pos="204"/>
          <w:tab w:val="left" w:pos="0"/>
          <w:tab w:val="left" w:pos="720"/>
        </w:tabs>
        <w:spacing w:line="360" w:lineRule="auto"/>
        <w:ind w:left="1440"/>
        <w:rPr>
          <w:b/>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D40CA7" w:rsidRPr="00114FDD">
        <w:rPr>
          <w:sz w:val="26"/>
          <w:szCs w:val="26"/>
        </w:rPr>
        <w:t>The</w:t>
      </w:r>
      <w:r w:rsidRPr="00114FDD">
        <w:rPr>
          <w:sz w:val="26"/>
          <w:szCs w:val="26"/>
        </w:rPr>
        <w:t xml:space="preserve"> Commission proposes to update the savings algorithms and assumptions table for </w:t>
      </w:r>
      <w:r w:rsidR="009F77B8">
        <w:rPr>
          <w:sz w:val="26"/>
          <w:szCs w:val="26"/>
        </w:rPr>
        <w:t>the LED Channel Signage</w:t>
      </w:r>
      <w:r w:rsidR="009F77B8" w:rsidRPr="00114FDD">
        <w:rPr>
          <w:sz w:val="26"/>
          <w:szCs w:val="26"/>
        </w:rPr>
        <w:t xml:space="preserve"> </w:t>
      </w:r>
      <w:r w:rsidRPr="00114FDD">
        <w:rPr>
          <w:sz w:val="26"/>
          <w:szCs w:val="26"/>
        </w:rPr>
        <w:t xml:space="preserve">measure. </w:t>
      </w:r>
      <w:r w:rsidR="00D40CA7" w:rsidRPr="00114FDD">
        <w:rPr>
          <w:sz w:val="26"/>
          <w:szCs w:val="26"/>
        </w:rPr>
        <w:t xml:space="preserve"> </w:t>
      </w:r>
      <w:r w:rsidRPr="00114FDD">
        <w:rPr>
          <w:sz w:val="26"/>
          <w:szCs w:val="26"/>
        </w:rPr>
        <w:t xml:space="preserve">The current algorithm in </w:t>
      </w:r>
      <w:r w:rsidR="009F77B8">
        <w:rPr>
          <w:sz w:val="26"/>
          <w:szCs w:val="26"/>
        </w:rPr>
        <w:t xml:space="preserve">the </w:t>
      </w:r>
      <w:r w:rsidRPr="00114FDD">
        <w:rPr>
          <w:sz w:val="26"/>
          <w:szCs w:val="26"/>
        </w:rPr>
        <w:t>2012 TRM</w:t>
      </w:r>
      <w:r w:rsidRPr="00114FDD">
        <w:rPr>
          <w:rStyle w:val="FootnoteReference"/>
          <w:sz w:val="26"/>
          <w:szCs w:val="26"/>
        </w:rPr>
        <w:footnoteReference w:id="149"/>
      </w:r>
      <w:r w:rsidRPr="00114FDD">
        <w:rPr>
          <w:sz w:val="26"/>
          <w:szCs w:val="26"/>
        </w:rPr>
        <w:t xml:space="preserve"> uses kW = kW/foot </w:t>
      </w:r>
      <w:r w:rsidR="00D40CA7" w:rsidRPr="00114FDD">
        <w:rPr>
          <w:sz w:val="26"/>
          <w:szCs w:val="26"/>
        </w:rPr>
        <w:t>*</w:t>
      </w:r>
      <w:r w:rsidRPr="00114FDD">
        <w:rPr>
          <w:sz w:val="26"/>
          <w:szCs w:val="26"/>
        </w:rPr>
        <w:t xml:space="preserve"> Q </w:t>
      </w:r>
      <w:r w:rsidR="00D40CA7" w:rsidRPr="00114FDD">
        <w:rPr>
          <w:sz w:val="26"/>
          <w:szCs w:val="26"/>
        </w:rPr>
        <w:t>*</w:t>
      </w:r>
      <w:r w:rsidRPr="00114FDD">
        <w:rPr>
          <w:sz w:val="26"/>
          <w:szCs w:val="26"/>
        </w:rPr>
        <w:t xml:space="preserve"> N.</w:t>
      </w:r>
      <w:r w:rsidR="00D40CA7" w:rsidRPr="00114FDD">
        <w:rPr>
          <w:sz w:val="26"/>
          <w:szCs w:val="26"/>
        </w:rPr>
        <w:t xml:space="preserve"> </w:t>
      </w:r>
      <w:r w:rsidRPr="00114FDD">
        <w:rPr>
          <w:sz w:val="26"/>
          <w:szCs w:val="26"/>
        </w:rPr>
        <w:t xml:space="preserve"> As Q represents average stroke length per letter width and N represents the number of letters in </w:t>
      </w:r>
      <w:r w:rsidR="009F77B8">
        <w:rPr>
          <w:sz w:val="26"/>
          <w:szCs w:val="26"/>
        </w:rPr>
        <w:t xml:space="preserve">the </w:t>
      </w:r>
      <w:r w:rsidRPr="00114FDD">
        <w:rPr>
          <w:sz w:val="26"/>
          <w:szCs w:val="26"/>
        </w:rPr>
        <w:t xml:space="preserve">sign, </w:t>
      </w:r>
      <w:r w:rsidR="009F77B8">
        <w:rPr>
          <w:sz w:val="26"/>
          <w:szCs w:val="26"/>
        </w:rPr>
        <w:t>which</w:t>
      </w:r>
      <w:r w:rsidR="009F77B8" w:rsidRPr="00114FDD">
        <w:rPr>
          <w:sz w:val="26"/>
          <w:szCs w:val="26"/>
        </w:rPr>
        <w:t xml:space="preserve"> </w:t>
      </w:r>
      <w:r w:rsidRPr="00114FDD">
        <w:rPr>
          <w:sz w:val="26"/>
          <w:szCs w:val="26"/>
        </w:rPr>
        <w:t xml:space="preserve">is equal to L, the total length of the </w:t>
      </w:r>
      <w:r w:rsidRPr="00114FDD">
        <w:rPr>
          <w:sz w:val="26"/>
          <w:szCs w:val="26"/>
        </w:rPr>
        <w:lastRenderedPageBreak/>
        <w:t xml:space="preserve">sign. </w:t>
      </w:r>
      <w:r w:rsidR="00D40CA7" w:rsidRPr="00114FDD">
        <w:rPr>
          <w:sz w:val="26"/>
          <w:szCs w:val="26"/>
        </w:rPr>
        <w:t xml:space="preserve"> </w:t>
      </w:r>
      <w:r w:rsidRPr="00114FDD">
        <w:rPr>
          <w:sz w:val="26"/>
          <w:szCs w:val="26"/>
        </w:rPr>
        <w:t>The Commission proposes to revise the algorithm to KW = KW/foot</w:t>
      </w:r>
      <w:r w:rsidR="00D40CA7" w:rsidRPr="00114FDD">
        <w:rPr>
          <w:sz w:val="26"/>
          <w:szCs w:val="26"/>
        </w:rPr>
        <w:t xml:space="preserve"> *</w:t>
      </w:r>
      <w:r w:rsidRPr="00114FDD">
        <w:rPr>
          <w:sz w:val="26"/>
          <w:szCs w:val="26"/>
        </w:rPr>
        <w:t xml:space="preserve"> L. </w:t>
      </w:r>
      <w:r w:rsidR="00D40CA7" w:rsidRPr="00114FDD">
        <w:rPr>
          <w:sz w:val="26"/>
          <w:szCs w:val="26"/>
        </w:rPr>
        <w:t xml:space="preserve"> </w:t>
      </w:r>
      <w:r w:rsidRPr="00114FDD">
        <w:rPr>
          <w:sz w:val="26"/>
          <w:szCs w:val="26"/>
        </w:rPr>
        <w:t xml:space="preserve">This will allow the </w:t>
      </w:r>
      <w:r w:rsidR="00D40CA7" w:rsidRPr="00114FDD">
        <w:rPr>
          <w:sz w:val="26"/>
          <w:szCs w:val="26"/>
        </w:rPr>
        <w:t>EDC</w:t>
      </w:r>
      <w:r w:rsidR="001B0EA5" w:rsidRPr="00114FDD">
        <w:rPr>
          <w:sz w:val="26"/>
          <w:szCs w:val="26"/>
        </w:rPr>
        <w:t>s</w:t>
      </w:r>
      <w:r w:rsidR="00D40CA7" w:rsidRPr="00114FDD">
        <w:rPr>
          <w:sz w:val="26"/>
          <w:szCs w:val="26"/>
        </w:rPr>
        <w:t>’</w:t>
      </w:r>
      <w:r w:rsidR="001B0EA5" w:rsidRPr="00114FDD">
        <w:rPr>
          <w:sz w:val="26"/>
          <w:szCs w:val="26"/>
        </w:rPr>
        <w:t xml:space="preserve"> </w:t>
      </w:r>
      <w:r w:rsidR="009F77B8">
        <w:rPr>
          <w:sz w:val="26"/>
          <w:szCs w:val="26"/>
        </w:rPr>
        <w:t>independent evaluators</w:t>
      </w:r>
      <w:r w:rsidRPr="00114FDD">
        <w:rPr>
          <w:sz w:val="26"/>
          <w:szCs w:val="26"/>
        </w:rPr>
        <w:t xml:space="preserve"> to calculate savings based on actual total length for installed channel signs</w:t>
      </w:r>
      <w:r w:rsidR="00D40CA7" w:rsidRPr="00114FDD">
        <w:rPr>
          <w:sz w:val="26"/>
          <w:szCs w:val="26"/>
        </w:rPr>
        <w:t>,</w:t>
      </w:r>
      <w:r w:rsidRPr="00114FDD">
        <w:rPr>
          <w:sz w:val="26"/>
          <w:szCs w:val="26"/>
        </w:rPr>
        <w:t xml:space="preserve"> result</w:t>
      </w:r>
      <w:r w:rsidR="009F77B8">
        <w:rPr>
          <w:sz w:val="26"/>
          <w:szCs w:val="26"/>
        </w:rPr>
        <w:t>ing</w:t>
      </w:r>
      <w:r w:rsidRPr="00114FDD">
        <w:rPr>
          <w:sz w:val="26"/>
          <w:szCs w:val="26"/>
        </w:rPr>
        <w:t xml:space="preserve"> in more accurate savings estimates.</w:t>
      </w:r>
      <w:r w:rsidR="00D40CA7" w:rsidRPr="00114FDD">
        <w:rPr>
          <w:sz w:val="26"/>
          <w:szCs w:val="26"/>
        </w:rPr>
        <w:t xml:space="preserve"> </w:t>
      </w:r>
      <w:r w:rsidRPr="00114FDD">
        <w:rPr>
          <w:sz w:val="26"/>
          <w:szCs w:val="26"/>
        </w:rPr>
        <w:t xml:space="preserve"> In addition, </w:t>
      </w:r>
      <w:r w:rsidR="001B0EA5" w:rsidRPr="00114FDD">
        <w:rPr>
          <w:sz w:val="26"/>
          <w:szCs w:val="26"/>
        </w:rPr>
        <w:t xml:space="preserve">the Commission will add </w:t>
      </w:r>
      <w:r w:rsidR="00D40CA7" w:rsidRPr="00114FDD">
        <w:rPr>
          <w:sz w:val="26"/>
          <w:szCs w:val="26"/>
        </w:rPr>
        <w:t xml:space="preserve">a </w:t>
      </w:r>
      <w:r w:rsidRPr="00114FDD">
        <w:rPr>
          <w:sz w:val="26"/>
          <w:szCs w:val="26"/>
        </w:rPr>
        <w:t xml:space="preserve">reference for </w:t>
      </w:r>
      <w:r w:rsidR="00D40CA7" w:rsidRPr="00114FDD">
        <w:rPr>
          <w:sz w:val="26"/>
          <w:szCs w:val="26"/>
        </w:rPr>
        <w:t>the SVG</w:t>
      </w:r>
      <w:r w:rsidRPr="00114FDD">
        <w:rPr>
          <w:sz w:val="26"/>
          <w:szCs w:val="26"/>
        </w:rPr>
        <w:t xml:space="preserve"> factor</w:t>
      </w:r>
      <w:r w:rsidR="00273195" w:rsidRPr="00114FDD">
        <w:rPr>
          <w:rStyle w:val="FootnoteReference"/>
          <w:sz w:val="26"/>
          <w:szCs w:val="26"/>
        </w:rPr>
        <w:footnoteReference w:id="150"/>
      </w:r>
      <w:r w:rsidRPr="00114FDD">
        <w:rPr>
          <w:sz w:val="26"/>
          <w:szCs w:val="26"/>
        </w:rPr>
        <w:t xml:space="preserve"> in Table 3-93 </w:t>
      </w:r>
      <w:r w:rsidR="00245D6B" w:rsidRPr="00114FDD">
        <w:rPr>
          <w:sz w:val="26"/>
          <w:szCs w:val="26"/>
        </w:rPr>
        <w:t>of</w:t>
      </w:r>
      <w:r w:rsidRPr="00114FDD">
        <w:rPr>
          <w:sz w:val="26"/>
          <w:szCs w:val="26"/>
        </w:rPr>
        <w:t xml:space="preserve"> </w:t>
      </w:r>
      <w:r w:rsidR="009F77B8">
        <w:rPr>
          <w:sz w:val="26"/>
          <w:szCs w:val="26"/>
        </w:rPr>
        <w:t xml:space="preserve">the </w:t>
      </w:r>
      <w:r w:rsidRPr="00114FDD">
        <w:rPr>
          <w:sz w:val="26"/>
          <w:szCs w:val="26"/>
        </w:rPr>
        <w:t>2012 TRM</w:t>
      </w:r>
      <w:r w:rsidR="00D40CA7" w:rsidRPr="00114FDD">
        <w:rPr>
          <w:sz w:val="26"/>
          <w:szCs w:val="26"/>
        </w:rPr>
        <w:t>.</w:t>
      </w:r>
      <w:r w:rsidRPr="00114FDD">
        <w:rPr>
          <w:sz w:val="26"/>
          <w:szCs w:val="26"/>
          <w:vertAlign w:val="superscript"/>
        </w:rPr>
        <w:footnoteReference w:id="151"/>
      </w:r>
    </w:p>
    <w:p w:rsidR="00050E8B" w:rsidRPr="00114FDD" w:rsidRDefault="00050E8B" w:rsidP="00B64A9F">
      <w:pPr>
        <w:pStyle w:val="p3"/>
        <w:tabs>
          <w:tab w:val="clear" w:pos="204"/>
          <w:tab w:val="left" w:pos="0"/>
          <w:tab w:val="left" w:pos="720"/>
        </w:tabs>
        <w:spacing w:line="360" w:lineRule="auto"/>
        <w:ind w:left="1440"/>
        <w:rPr>
          <w:b/>
          <w:sz w:val="26"/>
          <w:szCs w:val="26"/>
        </w:rPr>
      </w:pPr>
    </w:p>
    <w:p w:rsidR="00050E8B" w:rsidRPr="00114FDD" w:rsidRDefault="00D939E8" w:rsidP="00D939E8">
      <w:pPr>
        <w:pStyle w:val="p3"/>
        <w:tabs>
          <w:tab w:val="clear" w:pos="204"/>
          <w:tab w:val="left" w:pos="0"/>
          <w:tab w:val="left" w:pos="720"/>
        </w:tabs>
        <w:spacing w:line="360" w:lineRule="auto"/>
        <w:ind w:left="1440" w:hanging="720"/>
        <w:outlineLvl w:val="2"/>
        <w:rPr>
          <w:b/>
          <w:sz w:val="26"/>
          <w:szCs w:val="26"/>
        </w:rPr>
      </w:pPr>
      <w:bookmarkStart w:id="43" w:name="_Toc334175031"/>
      <w:r>
        <w:rPr>
          <w:b/>
          <w:sz w:val="26"/>
          <w:szCs w:val="26"/>
        </w:rPr>
        <w:t xml:space="preserve">6. </w:t>
      </w:r>
      <w:r>
        <w:rPr>
          <w:b/>
          <w:sz w:val="26"/>
          <w:szCs w:val="26"/>
        </w:rPr>
        <w:tab/>
      </w:r>
      <w:r w:rsidR="00050E8B" w:rsidRPr="00114FDD">
        <w:rPr>
          <w:b/>
          <w:sz w:val="26"/>
          <w:szCs w:val="26"/>
        </w:rPr>
        <w:t>Refrigeration</w:t>
      </w:r>
      <w:bookmarkEnd w:id="43"/>
      <w:r w:rsidR="00050E8B" w:rsidRPr="00114FDD">
        <w:rPr>
          <w:b/>
          <w:sz w:val="26"/>
          <w:szCs w:val="26"/>
        </w:rPr>
        <w:t xml:space="preserve"> </w:t>
      </w:r>
    </w:p>
    <w:p w:rsidR="00050E8B" w:rsidRPr="00114FDD" w:rsidRDefault="00050E8B" w:rsidP="00B64A9F">
      <w:pPr>
        <w:pStyle w:val="p3"/>
        <w:tabs>
          <w:tab w:val="clear" w:pos="204"/>
          <w:tab w:val="left" w:pos="0"/>
          <w:tab w:val="left" w:pos="720"/>
        </w:tabs>
        <w:spacing w:line="360" w:lineRule="auto"/>
        <w:ind w:left="1440"/>
        <w:rPr>
          <w:b/>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235C2A" w:rsidRPr="00114FDD">
        <w:rPr>
          <w:sz w:val="26"/>
          <w:szCs w:val="26"/>
        </w:rPr>
        <w:t>The</w:t>
      </w:r>
      <w:r w:rsidRPr="00114FDD">
        <w:rPr>
          <w:sz w:val="26"/>
          <w:szCs w:val="26"/>
        </w:rPr>
        <w:t xml:space="preserve"> SWE </w:t>
      </w:r>
      <w:r w:rsidR="00874ACE" w:rsidRPr="00114FDD">
        <w:rPr>
          <w:sz w:val="26"/>
          <w:szCs w:val="26"/>
        </w:rPr>
        <w:t xml:space="preserve">and Commission </w:t>
      </w:r>
      <w:r w:rsidR="00235C2A" w:rsidRPr="00114FDD">
        <w:rPr>
          <w:sz w:val="26"/>
          <w:szCs w:val="26"/>
        </w:rPr>
        <w:t>S</w:t>
      </w:r>
      <w:r w:rsidR="00874ACE" w:rsidRPr="00114FDD">
        <w:rPr>
          <w:sz w:val="26"/>
          <w:szCs w:val="26"/>
        </w:rPr>
        <w:t xml:space="preserve">taff </w:t>
      </w:r>
      <w:r w:rsidRPr="00114FDD">
        <w:rPr>
          <w:sz w:val="26"/>
          <w:szCs w:val="26"/>
        </w:rPr>
        <w:t xml:space="preserve">reviewed all </w:t>
      </w:r>
      <w:r w:rsidR="003103DB">
        <w:rPr>
          <w:sz w:val="26"/>
          <w:szCs w:val="26"/>
        </w:rPr>
        <w:t xml:space="preserve">of </w:t>
      </w:r>
      <w:r w:rsidRPr="00114FDD">
        <w:rPr>
          <w:sz w:val="26"/>
          <w:szCs w:val="26"/>
        </w:rPr>
        <w:t>the refrigeration measures in the 2012 TRM to ensure that the method</w:t>
      </w:r>
      <w:r w:rsidR="003103DB">
        <w:rPr>
          <w:sz w:val="26"/>
          <w:szCs w:val="26"/>
        </w:rPr>
        <w:t>s</w:t>
      </w:r>
      <w:r w:rsidRPr="00114FDD">
        <w:rPr>
          <w:sz w:val="26"/>
          <w:szCs w:val="26"/>
        </w:rPr>
        <w:t xml:space="preserve"> used to determine </w:t>
      </w:r>
      <w:r w:rsidR="00235C2A" w:rsidRPr="00114FDD">
        <w:rPr>
          <w:sz w:val="26"/>
          <w:szCs w:val="26"/>
        </w:rPr>
        <w:t>the EFLH</w:t>
      </w:r>
      <w:r w:rsidRPr="00114FDD">
        <w:rPr>
          <w:sz w:val="26"/>
          <w:szCs w:val="26"/>
        </w:rPr>
        <w:t xml:space="preserve"> value</w:t>
      </w:r>
      <w:r w:rsidR="003103DB">
        <w:rPr>
          <w:sz w:val="26"/>
          <w:szCs w:val="26"/>
        </w:rPr>
        <w:t>s</w:t>
      </w:r>
      <w:r w:rsidRPr="00114FDD">
        <w:rPr>
          <w:sz w:val="26"/>
          <w:szCs w:val="26"/>
        </w:rPr>
        <w:t xml:space="preserve"> </w:t>
      </w:r>
      <w:r w:rsidR="003103DB">
        <w:rPr>
          <w:sz w:val="26"/>
          <w:szCs w:val="26"/>
        </w:rPr>
        <w:t>wa</w:t>
      </w:r>
      <w:r w:rsidRPr="00114FDD">
        <w:rPr>
          <w:sz w:val="26"/>
          <w:szCs w:val="26"/>
        </w:rPr>
        <w:t xml:space="preserve">s consistent. </w:t>
      </w:r>
      <w:r w:rsidR="00235C2A" w:rsidRPr="00114FDD">
        <w:rPr>
          <w:sz w:val="26"/>
          <w:szCs w:val="26"/>
        </w:rPr>
        <w:t xml:space="preserve"> </w:t>
      </w:r>
      <w:r w:rsidRPr="00114FDD">
        <w:rPr>
          <w:sz w:val="26"/>
          <w:szCs w:val="26"/>
        </w:rPr>
        <w:t>The refrigeration measures</w:t>
      </w:r>
      <w:r w:rsidR="00235C2A" w:rsidRPr="00114FDD">
        <w:rPr>
          <w:sz w:val="26"/>
          <w:szCs w:val="26"/>
        </w:rPr>
        <w:t xml:space="preserve"> </w:t>
      </w:r>
      <w:r w:rsidR="003103DB">
        <w:rPr>
          <w:sz w:val="26"/>
          <w:szCs w:val="26"/>
        </w:rPr>
        <w:t>are found in</w:t>
      </w:r>
      <w:r w:rsidR="003103DB" w:rsidRPr="00114FDD">
        <w:rPr>
          <w:sz w:val="26"/>
          <w:szCs w:val="26"/>
        </w:rPr>
        <w:t xml:space="preserve"> </w:t>
      </w:r>
      <w:r w:rsidR="00235C2A" w:rsidRPr="00114FDD">
        <w:rPr>
          <w:sz w:val="26"/>
          <w:szCs w:val="26"/>
        </w:rPr>
        <w:t>S</w:t>
      </w:r>
      <w:r w:rsidRPr="00114FDD">
        <w:rPr>
          <w:sz w:val="26"/>
          <w:szCs w:val="26"/>
        </w:rPr>
        <w:t>ections 3.8, 3.9, 3.10, 3.11, 3.17, 3.21, 3.23, 3.24, 3.25, 3.26, and 3.33</w:t>
      </w:r>
      <w:r w:rsidR="003103DB">
        <w:rPr>
          <w:sz w:val="26"/>
          <w:szCs w:val="26"/>
        </w:rPr>
        <w:t>,with</w:t>
      </w:r>
      <w:r w:rsidR="00235C2A" w:rsidRPr="00114FDD">
        <w:rPr>
          <w:sz w:val="26"/>
          <w:szCs w:val="26"/>
        </w:rPr>
        <w:t xml:space="preserve"> </w:t>
      </w:r>
      <w:r w:rsidR="003103DB">
        <w:rPr>
          <w:sz w:val="26"/>
          <w:szCs w:val="26"/>
        </w:rPr>
        <w:t>o</w:t>
      </w:r>
      <w:r w:rsidR="00235C2A" w:rsidRPr="00114FDD">
        <w:rPr>
          <w:sz w:val="26"/>
          <w:szCs w:val="26"/>
        </w:rPr>
        <w:t>nly Sections 3.26 and 3</w:t>
      </w:r>
      <w:r w:rsidRPr="00114FDD">
        <w:rPr>
          <w:sz w:val="26"/>
          <w:szCs w:val="26"/>
        </w:rPr>
        <w:t xml:space="preserve">.33 </w:t>
      </w:r>
      <w:r w:rsidR="003103DB">
        <w:rPr>
          <w:sz w:val="26"/>
          <w:szCs w:val="26"/>
        </w:rPr>
        <w:t>using</w:t>
      </w:r>
      <w:r w:rsidR="003103DB" w:rsidRPr="00114FDD">
        <w:rPr>
          <w:sz w:val="26"/>
          <w:szCs w:val="26"/>
        </w:rPr>
        <w:t xml:space="preserve"> </w:t>
      </w:r>
      <w:r w:rsidRPr="00114FDD">
        <w:rPr>
          <w:sz w:val="26"/>
          <w:szCs w:val="26"/>
        </w:rPr>
        <w:t xml:space="preserve">EFLH values for calculating savings. </w:t>
      </w:r>
    </w:p>
    <w:p w:rsidR="00050E8B" w:rsidRPr="00114FDD" w:rsidRDefault="00050E8B" w:rsidP="00B64A9F">
      <w:pPr>
        <w:pStyle w:val="p3"/>
        <w:tabs>
          <w:tab w:val="clear" w:pos="204"/>
          <w:tab w:val="left" w:pos="0"/>
          <w:tab w:val="left" w:pos="720"/>
        </w:tabs>
        <w:spacing w:line="360" w:lineRule="auto"/>
        <w:rPr>
          <w:sz w:val="26"/>
          <w:szCs w:val="26"/>
        </w:rPr>
      </w:pPr>
    </w:p>
    <w:p w:rsidR="00050E8B" w:rsidRPr="00114FDD" w:rsidRDefault="00235C2A" w:rsidP="00B64A9F">
      <w:pPr>
        <w:pStyle w:val="p3"/>
        <w:tabs>
          <w:tab w:val="clear" w:pos="204"/>
          <w:tab w:val="left" w:pos="0"/>
          <w:tab w:val="left" w:pos="720"/>
        </w:tabs>
        <w:spacing w:line="360" w:lineRule="auto"/>
        <w:rPr>
          <w:sz w:val="26"/>
          <w:szCs w:val="26"/>
        </w:rPr>
      </w:pPr>
      <w:r w:rsidRPr="00114FDD">
        <w:rPr>
          <w:sz w:val="26"/>
          <w:szCs w:val="26"/>
        </w:rPr>
        <w:tab/>
        <w:t xml:space="preserve">Measure 3.26 - </w:t>
      </w:r>
      <w:r w:rsidR="00050E8B" w:rsidRPr="00114FDD">
        <w:rPr>
          <w:sz w:val="26"/>
          <w:szCs w:val="26"/>
        </w:rPr>
        <w:t xml:space="preserve">Evaporator </w:t>
      </w:r>
      <w:r w:rsidRPr="00114FDD">
        <w:rPr>
          <w:sz w:val="26"/>
          <w:szCs w:val="26"/>
        </w:rPr>
        <w:t xml:space="preserve">Fan Controllers - </w:t>
      </w:r>
      <w:r w:rsidR="00050E8B" w:rsidRPr="00114FDD">
        <w:rPr>
          <w:sz w:val="26"/>
          <w:szCs w:val="26"/>
        </w:rPr>
        <w:t xml:space="preserve">uses a variable Hours </w:t>
      </w:r>
      <w:r w:rsidR="00050E8B" w:rsidRPr="00114FDD">
        <w:rPr>
          <w:sz w:val="26"/>
          <w:szCs w:val="26"/>
          <w:vertAlign w:val="subscript"/>
        </w:rPr>
        <w:t>CP</w:t>
      </w:r>
      <w:r w:rsidR="00A84610" w:rsidRPr="00114FDD">
        <w:rPr>
          <w:sz w:val="26"/>
          <w:szCs w:val="26"/>
        </w:rPr>
        <w:t xml:space="preserve"> listed in Table 3-83</w:t>
      </w:r>
      <w:r w:rsidR="00A84610" w:rsidRPr="00114FDD">
        <w:rPr>
          <w:rStyle w:val="FootnoteReference"/>
          <w:sz w:val="26"/>
          <w:szCs w:val="26"/>
        </w:rPr>
        <w:footnoteReference w:id="152"/>
      </w:r>
      <w:r w:rsidR="00A84610" w:rsidRPr="00114FDD">
        <w:rPr>
          <w:sz w:val="26"/>
          <w:szCs w:val="26"/>
        </w:rPr>
        <w:t xml:space="preserve"> of </w:t>
      </w:r>
      <w:r w:rsidR="003103DB">
        <w:rPr>
          <w:sz w:val="26"/>
          <w:szCs w:val="26"/>
        </w:rPr>
        <w:t xml:space="preserve">the </w:t>
      </w:r>
      <w:r w:rsidR="00A84610" w:rsidRPr="00114FDD">
        <w:rPr>
          <w:sz w:val="26"/>
          <w:szCs w:val="26"/>
        </w:rPr>
        <w:t>2012 TRM</w:t>
      </w:r>
      <w:r w:rsidRPr="00114FDD">
        <w:rPr>
          <w:sz w:val="26"/>
          <w:szCs w:val="26"/>
        </w:rPr>
        <w:t>,</w:t>
      </w:r>
      <w:r w:rsidR="00A84610" w:rsidRPr="00114FDD">
        <w:rPr>
          <w:sz w:val="26"/>
          <w:szCs w:val="26"/>
        </w:rPr>
        <w:t xml:space="preserve"> </w:t>
      </w:r>
      <w:r w:rsidR="00050E8B" w:rsidRPr="00114FDD">
        <w:rPr>
          <w:sz w:val="26"/>
          <w:szCs w:val="26"/>
        </w:rPr>
        <w:t>which represents</w:t>
      </w:r>
      <w:r w:rsidRPr="00114FDD">
        <w:rPr>
          <w:sz w:val="26"/>
          <w:szCs w:val="26"/>
        </w:rPr>
        <w:t xml:space="preserve"> the</w:t>
      </w:r>
      <w:r w:rsidR="00050E8B" w:rsidRPr="00114FDD">
        <w:rPr>
          <w:sz w:val="26"/>
          <w:szCs w:val="26"/>
        </w:rPr>
        <w:t xml:space="preserve"> EFLH of compressor operation. </w:t>
      </w:r>
      <w:r w:rsidRPr="00114FDD">
        <w:rPr>
          <w:sz w:val="26"/>
          <w:szCs w:val="26"/>
        </w:rPr>
        <w:t xml:space="preserve"> </w:t>
      </w:r>
      <w:r w:rsidR="00050E8B" w:rsidRPr="00114FDD">
        <w:rPr>
          <w:sz w:val="26"/>
          <w:szCs w:val="26"/>
        </w:rPr>
        <w:t>There is no default value provided for this variable in the assumptions table.</w:t>
      </w:r>
      <w:r w:rsidRPr="00114FDD">
        <w:rPr>
          <w:sz w:val="26"/>
          <w:szCs w:val="26"/>
        </w:rPr>
        <w:t xml:space="preserve"> </w:t>
      </w:r>
      <w:r w:rsidR="00050E8B" w:rsidRPr="00114FDD">
        <w:rPr>
          <w:sz w:val="26"/>
          <w:szCs w:val="26"/>
        </w:rPr>
        <w:t xml:space="preserve"> </w:t>
      </w:r>
      <w:r w:rsidR="003103DB">
        <w:rPr>
          <w:sz w:val="26"/>
          <w:szCs w:val="26"/>
        </w:rPr>
        <w:t>As such, t</w:t>
      </w:r>
      <w:r w:rsidR="00050E8B" w:rsidRPr="00114FDD">
        <w:rPr>
          <w:sz w:val="26"/>
          <w:szCs w:val="26"/>
        </w:rPr>
        <w:t xml:space="preserve">he EDCs </w:t>
      </w:r>
      <w:r w:rsidR="003103DB">
        <w:rPr>
          <w:sz w:val="26"/>
          <w:szCs w:val="26"/>
        </w:rPr>
        <w:t>must</w:t>
      </w:r>
      <w:r w:rsidR="003103DB" w:rsidRPr="00114FDD">
        <w:rPr>
          <w:sz w:val="26"/>
          <w:szCs w:val="26"/>
        </w:rPr>
        <w:t xml:space="preserve"> </w:t>
      </w:r>
      <w:r w:rsidR="00050E8B" w:rsidRPr="00114FDD">
        <w:rPr>
          <w:sz w:val="26"/>
          <w:szCs w:val="26"/>
        </w:rPr>
        <w:t xml:space="preserve">collect this information. </w:t>
      </w:r>
      <w:r w:rsidRPr="00114FDD">
        <w:rPr>
          <w:sz w:val="26"/>
          <w:szCs w:val="26"/>
        </w:rPr>
        <w:t xml:space="preserve"> </w:t>
      </w:r>
      <w:r w:rsidR="00050E8B" w:rsidRPr="00114FDD">
        <w:rPr>
          <w:sz w:val="26"/>
          <w:szCs w:val="26"/>
        </w:rPr>
        <w:t>Measure 3.33</w:t>
      </w:r>
      <w:r w:rsidRPr="00114FDD">
        <w:rPr>
          <w:sz w:val="26"/>
          <w:szCs w:val="26"/>
        </w:rPr>
        <w:t xml:space="preserve"> - </w:t>
      </w:r>
      <w:r w:rsidR="00050E8B" w:rsidRPr="00114FDD">
        <w:rPr>
          <w:sz w:val="26"/>
          <w:szCs w:val="26"/>
        </w:rPr>
        <w:t xml:space="preserve">Special </w:t>
      </w:r>
      <w:r w:rsidRPr="00114FDD">
        <w:rPr>
          <w:sz w:val="26"/>
          <w:szCs w:val="26"/>
        </w:rPr>
        <w:t>Doors with L</w:t>
      </w:r>
      <w:r w:rsidR="00050E8B" w:rsidRPr="00114FDD">
        <w:rPr>
          <w:sz w:val="26"/>
          <w:szCs w:val="26"/>
        </w:rPr>
        <w:t xml:space="preserve">ow or </w:t>
      </w:r>
      <w:r w:rsidRPr="00114FDD">
        <w:rPr>
          <w:sz w:val="26"/>
          <w:szCs w:val="26"/>
        </w:rPr>
        <w:t>N</w:t>
      </w:r>
      <w:r w:rsidR="00050E8B" w:rsidRPr="00114FDD">
        <w:rPr>
          <w:sz w:val="26"/>
          <w:szCs w:val="26"/>
        </w:rPr>
        <w:t xml:space="preserve">o </w:t>
      </w:r>
      <w:r w:rsidRPr="00114FDD">
        <w:rPr>
          <w:sz w:val="26"/>
          <w:szCs w:val="26"/>
        </w:rPr>
        <w:t>A</w:t>
      </w:r>
      <w:r w:rsidR="00050E8B" w:rsidRPr="00114FDD">
        <w:rPr>
          <w:sz w:val="26"/>
          <w:szCs w:val="26"/>
        </w:rPr>
        <w:t>nti-</w:t>
      </w:r>
      <w:r w:rsidRPr="00114FDD">
        <w:rPr>
          <w:sz w:val="26"/>
          <w:szCs w:val="26"/>
        </w:rPr>
        <w:t>S</w:t>
      </w:r>
      <w:r w:rsidR="00050E8B" w:rsidRPr="00114FDD">
        <w:rPr>
          <w:sz w:val="26"/>
          <w:szCs w:val="26"/>
        </w:rPr>
        <w:t xml:space="preserve">weat </w:t>
      </w:r>
      <w:r w:rsidRPr="00114FDD">
        <w:rPr>
          <w:sz w:val="26"/>
          <w:szCs w:val="26"/>
        </w:rPr>
        <w:t>H</w:t>
      </w:r>
      <w:r w:rsidR="00050E8B" w:rsidRPr="00114FDD">
        <w:rPr>
          <w:sz w:val="26"/>
          <w:szCs w:val="26"/>
        </w:rPr>
        <w:t xml:space="preserve">eat for </w:t>
      </w:r>
      <w:r w:rsidRPr="00114FDD">
        <w:rPr>
          <w:sz w:val="26"/>
          <w:szCs w:val="26"/>
        </w:rPr>
        <w:t>L</w:t>
      </w:r>
      <w:r w:rsidR="00050E8B" w:rsidRPr="00114FDD">
        <w:rPr>
          <w:sz w:val="26"/>
          <w:szCs w:val="26"/>
        </w:rPr>
        <w:t xml:space="preserve">ow </w:t>
      </w:r>
      <w:r w:rsidRPr="00114FDD">
        <w:rPr>
          <w:sz w:val="26"/>
          <w:szCs w:val="26"/>
        </w:rPr>
        <w:t>T</w:t>
      </w:r>
      <w:r w:rsidR="00050E8B" w:rsidRPr="00114FDD">
        <w:rPr>
          <w:sz w:val="26"/>
          <w:szCs w:val="26"/>
        </w:rPr>
        <w:t xml:space="preserve">emp </w:t>
      </w:r>
      <w:r w:rsidRPr="00114FDD">
        <w:rPr>
          <w:sz w:val="26"/>
          <w:szCs w:val="26"/>
        </w:rPr>
        <w:t>C</w:t>
      </w:r>
      <w:r w:rsidR="00050E8B" w:rsidRPr="00114FDD">
        <w:rPr>
          <w:sz w:val="26"/>
          <w:szCs w:val="26"/>
        </w:rPr>
        <w:t>ase</w:t>
      </w:r>
      <w:r w:rsidRPr="00114FDD">
        <w:rPr>
          <w:sz w:val="26"/>
          <w:szCs w:val="26"/>
        </w:rPr>
        <w:t xml:space="preserve"> - </w:t>
      </w:r>
      <w:r w:rsidR="00050E8B" w:rsidRPr="00114FDD">
        <w:rPr>
          <w:sz w:val="26"/>
          <w:szCs w:val="26"/>
        </w:rPr>
        <w:t xml:space="preserve">includes </w:t>
      </w:r>
      <w:r w:rsidR="003103DB">
        <w:rPr>
          <w:sz w:val="26"/>
          <w:szCs w:val="26"/>
        </w:rPr>
        <w:t>a</w:t>
      </w:r>
      <w:r w:rsidR="003103DB" w:rsidRPr="00114FDD">
        <w:rPr>
          <w:sz w:val="26"/>
          <w:szCs w:val="26"/>
        </w:rPr>
        <w:t xml:space="preserve"> </w:t>
      </w:r>
      <w:r w:rsidR="00050E8B" w:rsidRPr="00114FDD">
        <w:rPr>
          <w:sz w:val="26"/>
          <w:szCs w:val="26"/>
        </w:rPr>
        <w:t>variable EFLH whose default value is 5</w:t>
      </w:r>
      <w:r w:rsidRPr="00114FDD">
        <w:rPr>
          <w:sz w:val="26"/>
          <w:szCs w:val="26"/>
        </w:rPr>
        <w:t>,</w:t>
      </w:r>
      <w:r w:rsidR="00050E8B" w:rsidRPr="00114FDD">
        <w:rPr>
          <w:sz w:val="26"/>
          <w:szCs w:val="26"/>
        </w:rPr>
        <w:t>700</w:t>
      </w:r>
      <w:r w:rsidR="00A84610" w:rsidRPr="00114FDD">
        <w:rPr>
          <w:sz w:val="26"/>
          <w:szCs w:val="26"/>
        </w:rPr>
        <w:t xml:space="preserve"> </w:t>
      </w:r>
      <w:r w:rsidR="003103DB">
        <w:rPr>
          <w:sz w:val="26"/>
          <w:szCs w:val="26"/>
        </w:rPr>
        <w:t>and found in</w:t>
      </w:r>
      <w:r w:rsidR="003103DB" w:rsidRPr="00114FDD">
        <w:rPr>
          <w:sz w:val="26"/>
          <w:szCs w:val="26"/>
        </w:rPr>
        <w:t xml:space="preserve"> </w:t>
      </w:r>
      <w:r w:rsidR="00A84610" w:rsidRPr="00114FDD">
        <w:rPr>
          <w:sz w:val="26"/>
          <w:szCs w:val="26"/>
        </w:rPr>
        <w:t>Table 3-97</w:t>
      </w:r>
      <w:r w:rsidR="00A84610" w:rsidRPr="00114FDD">
        <w:rPr>
          <w:rStyle w:val="FootnoteReference"/>
          <w:sz w:val="26"/>
          <w:szCs w:val="26"/>
        </w:rPr>
        <w:footnoteReference w:id="153"/>
      </w:r>
      <w:r w:rsidR="00A84610" w:rsidRPr="00114FDD">
        <w:rPr>
          <w:sz w:val="26"/>
          <w:szCs w:val="26"/>
        </w:rPr>
        <w:t xml:space="preserve"> of </w:t>
      </w:r>
      <w:r w:rsidR="003103DB">
        <w:rPr>
          <w:sz w:val="26"/>
          <w:szCs w:val="26"/>
        </w:rPr>
        <w:t xml:space="preserve">the </w:t>
      </w:r>
      <w:r w:rsidR="00A84610" w:rsidRPr="00114FDD">
        <w:rPr>
          <w:sz w:val="26"/>
          <w:szCs w:val="26"/>
        </w:rPr>
        <w:t>2012 TRM</w:t>
      </w:r>
      <w:r w:rsidR="00050E8B" w:rsidRPr="00114FDD">
        <w:rPr>
          <w:sz w:val="26"/>
          <w:szCs w:val="26"/>
        </w:rPr>
        <w:t>.</w:t>
      </w:r>
      <w:r w:rsidRPr="00114FDD">
        <w:rPr>
          <w:sz w:val="26"/>
          <w:szCs w:val="26"/>
        </w:rPr>
        <w:t xml:space="preserve"> </w:t>
      </w:r>
      <w:r w:rsidR="00050E8B" w:rsidRPr="00114FDD">
        <w:rPr>
          <w:sz w:val="26"/>
          <w:szCs w:val="26"/>
        </w:rPr>
        <w:t xml:space="preserve"> This value was determined by multiplying annual available operation hours of 8,760 by overall duty cycle factors. </w:t>
      </w:r>
      <w:r w:rsidRPr="00114FDD">
        <w:rPr>
          <w:sz w:val="26"/>
          <w:szCs w:val="26"/>
        </w:rPr>
        <w:t xml:space="preserve"> </w:t>
      </w:r>
      <w:r w:rsidR="00050E8B" w:rsidRPr="00114FDD">
        <w:rPr>
          <w:sz w:val="26"/>
          <w:szCs w:val="26"/>
        </w:rPr>
        <w:t xml:space="preserve">Duty cycle is a function of compressor capacity, defrost and weather. </w:t>
      </w:r>
      <w:r w:rsidRPr="00114FDD">
        <w:rPr>
          <w:sz w:val="26"/>
          <w:szCs w:val="26"/>
        </w:rPr>
        <w:t xml:space="preserve"> </w:t>
      </w:r>
      <w:r w:rsidR="00050E8B" w:rsidRPr="00114FDD">
        <w:rPr>
          <w:sz w:val="26"/>
          <w:szCs w:val="26"/>
        </w:rPr>
        <w:t>The Commission proposes a default value of 5</w:t>
      </w:r>
      <w:r w:rsidRPr="00114FDD">
        <w:rPr>
          <w:sz w:val="26"/>
          <w:szCs w:val="26"/>
        </w:rPr>
        <w:t>,700 for EFLH for M</w:t>
      </w:r>
      <w:r w:rsidR="00050E8B" w:rsidRPr="00114FDD">
        <w:rPr>
          <w:sz w:val="26"/>
          <w:szCs w:val="26"/>
        </w:rPr>
        <w:t>easure 3.26 to be consistent with</w:t>
      </w:r>
      <w:r w:rsidRPr="00114FDD">
        <w:rPr>
          <w:sz w:val="26"/>
          <w:szCs w:val="26"/>
        </w:rPr>
        <w:t xml:space="preserve"> M</w:t>
      </w:r>
      <w:r w:rsidR="00050E8B" w:rsidRPr="00114FDD">
        <w:rPr>
          <w:sz w:val="26"/>
          <w:szCs w:val="26"/>
        </w:rPr>
        <w:t>easure 3.33.</w:t>
      </w:r>
    </w:p>
    <w:p w:rsidR="00050E8B" w:rsidRPr="00114FDD" w:rsidRDefault="00D939E8" w:rsidP="00D939E8">
      <w:pPr>
        <w:pStyle w:val="p3"/>
        <w:tabs>
          <w:tab w:val="clear" w:pos="204"/>
          <w:tab w:val="left" w:pos="0"/>
          <w:tab w:val="left" w:pos="720"/>
        </w:tabs>
        <w:spacing w:line="360" w:lineRule="auto"/>
        <w:ind w:left="1440" w:hanging="720"/>
        <w:outlineLvl w:val="2"/>
        <w:rPr>
          <w:b/>
          <w:sz w:val="26"/>
          <w:szCs w:val="26"/>
        </w:rPr>
      </w:pPr>
      <w:bookmarkStart w:id="44" w:name="_Toc334175032"/>
      <w:r>
        <w:rPr>
          <w:b/>
          <w:sz w:val="26"/>
          <w:szCs w:val="26"/>
        </w:rPr>
        <w:t xml:space="preserve">7. </w:t>
      </w:r>
      <w:r>
        <w:rPr>
          <w:b/>
          <w:sz w:val="26"/>
          <w:szCs w:val="26"/>
        </w:rPr>
        <w:tab/>
      </w:r>
      <w:r w:rsidR="00050E8B" w:rsidRPr="00114FDD">
        <w:rPr>
          <w:b/>
          <w:sz w:val="26"/>
          <w:szCs w:val="26"/>
        </w:rPr>
        <w:t>Low Flow Pre-Rinse Sprayer</w:t>
      </w:r>
      <w:r w:rsidR="003975B5">
        <w:rPr>
          <w:b/>
          <w:sz w:val="26"/>
          <w:szCs w:val="26"/>
        </w:rPr>
        <w:t>s</w:t>
      </w:r>
      <w:bookmarkEnd w:id="44"/>
      <w:r w:rsidR="00050E8B" w:rsidRPr="00114FDD">
        <w:rPr>
          <w:b/>
          <w:sz w:val="26"/>
          <w:szCs w:val="26"/>
        </w:rPr>
        <w:t xml:space="preserve"> </w:t>
      </w:r>
    </w:p>
    <w:p w:rsidR="00050E8B" w:rsidRPr="00114FDD" w:rsidRDefault="00050E8B" w:rsidP="00B64A9F">
      <w:pPr>
        <w:pStyle w:val="p3"/>
        <w:tabs>
          <w:tab w:val="clear" w:pos="204"/>
          <w:tab w:val="left" w:pos="0"/>
          <w:tab w:val="left" w:pos="720"/>
        </w:tabs>
        <w:spacing w:line="360" w:lineRule="auto"/>
        <w:ind w:left="1440"/>
        <w:rPr>
          <w:b/>
          <w:sz w:val="26"/>
          <w:szCs w:val="26"/>
        </w:rPr>
      </w:pPr>
    </w:p>
    <w:p w:rsidR="000606EE"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 xml:space="preserve">The existing </w:t>
      </w:r>
      <w:r w:rsidR="00235C2A" w:rsidRPr="00114FDD">
        <w:rPr>
          <w:sz w:val="26"/>
          <w:szCs w:val="26"/>
        </w:rPr>
        <w:t xml:space="preserve">Low Flow Pre-Rinse Sprayer </w:t>
      </w:r>
      <w:r w:rsidRPr="00114FDD">
        <w:rPr>
          <w:sz w:val="26"/>
          <w:szCs w:val="26"/>
        </w:rPr>
        <w:t>protocol i</w:t>
      </w:r>
      <w:r w:rsidR="00235C2A" w:rsidRPr="00114FDD">
        <w:rPr>
          <w:sz w:val="26"/>
          <w:szCs w:val="26"/>
        </w:rPr>
        <w:t>n the</w:t>
      </w:r>
      <w:r w:rsidRPr="00114FDD">
        <w:rPr>
          <w:sz w:val="26"/>
          <w:szCs w:val="26"/>
        </w:rPr>
        <w:t xml:space="preserve"> 2012 TRM assumes </w:t>
      </w:r>
      <w:r w:rsidR="00235C2A" w:rsidRPr="00114FDD">
        <w:rPr>
          <w:sz w:val="26"/>
          <w:szCs w:val="26"/>
        </w:rPr>
        <w:t>a baseline flow rate of 2.25 gallons per minute (GPM)</w:t>
      </w:r>
      <w:r w:rsidR="00235C2A" w:rsidRPr="00114FDD">
        <w:rPr>
          <w:rStyle w:val="FootnoteReference"/>
          <w:sz w:val="26"/>
          <w:szCs w:val="26"/>
        </w:rPr>
        <w:footnoteReference w:id="154"/>
      </w:r>
      <w:r w:rsidRPr="00114FDD">
        <w:rPr>
          <w:sz w:val="26"/>
          <w:szCs w:val="26"/>
        </w:rPr>
        <w:t xml:space="preserve"> and 2.15 GPM</w:t>
      </w:r>
      <w:r w:rsidR="00235C2A" w:rsidRPr="00114FDD">
        <w:rPr>
          <w:rStyle w:val="FootnoteReference"/>
          <w:sz w:val="26"/>
          <w:szCs w:val="26"/>
        </w:rPr>
        <w:footnoteReference w:id="155"/>
      </w:r>
      <w:r w:rsidRPr="00114FDD">
        <w:rPr>
          <w:sz w:val="26"/>
          <w:szCs w:val="26"/>
        </w:rPr>
        <w:t xml:space="preserve"> for non-grocery and grocery applications</w:t>
      </w:r>
      <w:r w:rsidR="00235C2A" w:rsidRPr="00114FDD">
        <w:rPr>
          <w:sz w:val="26"/>
          <w:szCs w:val="26"/>
        </w:rPr>
        <w:t>,</w:t>
      </w:r>
      <w:r w:rsidRPr="00114FDD">
        <w:rPr>
          <w:sz w:val="26"/>
          <w:szCs w:val="26"/>
        </w:rPr>
        <w:t xml:space="preserve"> respectively</w:t>
      </w:r>
      <w:r w:rsidR="00235C2A" w:rsidRPr="00114FDD">
        <w:rPr>
          <w:sz w:val="26"/>
          <w:szCs w:val="26"/>
        </w:rPr>
        <w:t>,</w:t>
      </w:r>
      <w:r w:rsidRPr="00114FDD">
        <w:rPr>
          <w:sz w:val="26"/>
          <w:szCs w:val="26"/>
        </w:rPr>
        <w:t xml:space="preserve"> as listed in Table 3-94</w:t>
      </w:r>
      <w:r w:rsidR="003103DB">
        <w:rPr>
          <w:sz w:val="26"/>
          <w:szCs w:val="26"/>
        </w:rPr>
        <w:t>.</w:t>
      </w:r>
      <w:r w:rsidR="00235C2A" w:rsidRPr="00114FDD">
        <w:rPr>
          <w:rStyle w:val="FootnoteReference"/>
          <w:sz w:val="26"/>
          <w:szCs w:val="26"/>
        </w:rPr>
        <w:footnoteReference w:id="156"/>
      </w:r>
      <w:r w:rsidRPr="00114FDD">
        <w:rPr>
          <w:sz w:val="26"/>
          <w:szCs w:val="26"/>
        </w:rPr>
        <w:t xml:space="preserve"> </w:t>
      </w:r>
      <w:r w:rsidR="00235C2A" w:rsidRPr="00114FDD">
        <w:rPr>
          <w:sz w:val="26"/>
          <w:szCs w:val="26"/>
        </w:rPr>
        <w:t xml:space="preserve"> </w:t>
      </w:r>
      <w:r w:rsidR="003103DB">
        <w:rPr>
          <w:sz w:val="26"/>
          <w:szCs w:val="26"/>
        </w:rPr>
        <w:t>These flow rates, however, only</w:t>
      </w:r>
      <w:r w:rsidRPr="00114FDD">
        <w:rPr>
          <w:sz w:val="26"/>
          <w:szCs w:val="26"/>
        </w:rPr>
        <w:t xml:space="preserve"> </w:t>
      </w:r>
      <w:r w:rsidR="003103DB" w:rsidRPr="00114FDD">
        <w:rPr>
          <w:sz w:val="26"/>
          <w:szCs w:val="26"/>
        </w:rPr>
        <w:t>appl</w:t>
      </w:r>
      <w:r w:rsidR="003103DB">
        <w:rPr>
          <w:sz w:val="26"/>
          <w:szCs w:val="26"/>
        </w:rPr>
        <w:t>y</w:t>
      </w:r>
      <w:r w:rsidR="003103DB" w:rsidRPr="00114FDD">
        <w:rPr>
          <w:sz w:val="26"/>
          <w:szCs w:val="26"/>
        </w:rPr>
        <w:t xml:space="preserve"> </w:t>
      </w:r>
      <w:r w:rsidRPr="00114FDD">
        <w:rPr>
          <w:sz w:val="26"/>
          <w:szCs w:val="26"/>
        </w:rPr>
        <w:t xml:space="preserve">to retrofit applications. </w:t>
      </w:r>
      <w:r w:rsidR="00235C2A" w:rsidRPr="00114FDD">
        <w:rPr>
          <w:sz w:val="26"/>
          <w:szCs w:val="26"/>
        </w:rPr>
        <w:t xml:space="preserve"> T</w:t>
      </w:r>
      <w:r w:rsidRPr="00114FDD">
        <w:rPr>
          <w:sz w:val="26"/>
          <w:szCs w:val="26"/>
        </w:rPr>
        <w:t xml:space="preserve">he Commission proposes to add an additional option for a Time of Sale (TOS)/Retail </w:t>
      </w:r>
      <w:r w:rsidR="008047A3" w:rsidRPr="00114FDD">
        <w:rPr>
          <w:sz w:val="26"/>
          <w:szCs w:val="26"/>
        </w:rPr>
        <w:t xml:space="preserve">program </w:t>
      </w:r>
      <w:r w:rsidR="003103DB">
        <w:rPr>
          <w:sz w:val="26"/>
          <w:szCs w:val="26"/>
        </w:rPr>
        <w:t>protocol</w:t>
      </w:r>
      <w:r w:rsidR="00235C2A" w:rsidRPr="00114FDD">
        <w:rPr>
          <w:sz w:val="26"/>
          <w:szCs w:val="26"/>
        </w:rPr>
        <w:t>,</w:t>
      </w:r>
      <w:r w:rsidRPr="00114FDD">
        <w:rPr>
          <w:sz w:val="26"/>
          <w:szCs w:val="26"/>
        </w:rPr>
        <w:t xml:space="preserve"> </w:t>
      </w:r>
      <w:r w:rsidR="003103DB">
        <w:rPr>
          <w:sz w:val="26"/>
          <w:szCs w:val="26"/>
        </w:rPr>
        <w:t>with a</w:t>
      </w:r>
      <w:r w:rsidRPr="00114FDD">
        <w:rPr>
          <w:sz w:val="26"/>
          <w:szCs w:val="26"/>
        </w:rPr>
        <w:t xml:space="preserve"> </w:t>
      </w:r>
      <w:r w:rsidR="000606EE" w:rsidRPr="00114FDD">
        <w:rPr>
          <w:sz w:val="26"/>
          <w:szCs w:val="26"/>
        </w:rPr>
        <w:t xml:space="preserve">baseline </w:t>
      </w:r>
      <w:r w:rsidRPr="00114FDD">
        <w:rPr>
          <w:sz w:val="26"/>
          <w:szCs w:val="26"/>
        </w:rPr>
        <w:t>flow rate of 1.6 GPM</w:t>
      </w:r>
      <w:r w:rsidR="00235C2A" w:rsidRPr="00114FDD">
        <w:rPr>
          <w:rStyle w:val="FootnoteReference"/>
          <w:sz w:val="26"/>
          <w:szCs w:val="26"/>
        </w:rPr>
        <w:footnoteReference w:id="157"/>
      </w:r>
      <w:r w:rsidRPr="00114FDD">
        <w:rPr>
          <w:sz w:val="26"/>
          <w:szCs w:val="26"/>
        </w:rPr>
        <w:t xml:space="preserve"> to incorporate the </w:t>
      </w:r>
      <w:r w:rsidR="003103DB">
        <w:rPr>
          <w:sz w:val="26"/>
          <w:szCs w:val="26"/>
        </w:rPr>
        <w:t xml:space="preserve">current </w:t>
      </w:r>
      <w:r w:rsidRPr="00114FDD">
        <w:rPr>
          <w:sz w:val="26"/>
          <w:szCs w:val="26"/>
        </w:rPr>
        <w:t xml:space="preserve">minimum code requirement.   </w:t>
      </w:r>
    </w:p>
    <w:p w:rsidR="00050E8B" w:rsidRPr="00114FDD" w:rsidRDefault="00050E8B" w:rsidP="00B64A9F">
      <w:pPr>
        <w:pStyle w:val="p3"/>
        <w:tabs>
          <w:tab w:val="clear" w:pos="204"/>
          <w:tab w:val="left" w:pos="0"/>
          <w:tab w:val="left" w:pos="720"/>
        </w:tabs>
        <w:spacing w:line="360" w:lineRule="auto"/>
        <w:rPr>
          <w:b/>
          <w:sz w:val="26"/>
          <w:szCs w:val="26"/>
        </w:rPr>
      </w:pPr>
    </w:p>
    <w:p w:rsidR="00050E8B" w:rsidRPr="00114FDD" w:rsidRDefault="00050E8B" w:rsidP="00B64A9F">
      <w:pPr>
        <w:pStyle w:val="p3"/>
        <w:numPr>
          <w:ilvl w:val="1"/>
          <w:numId w:val="10"/>
        </w:numPr>
        <w:tabs>
          <w:tab w:val="clear" w:pos="204"/>
          <w:tab w:val="left" w:pos="0"/>
          <w:tab w:val="left" w:pos="720"/>
        </w:tabs>
        <w:spacing w:line="360" w:lineRule="auto"/>
        <w:ind w:hanging="720"/>
        <w:outlineLvl w:val="2"/>
        <w:rPr>
          <w:b/>
          <w:sz w:val="26"/>
          <w:szCs w:val="26"/>
        </w:rPr>
      </w:pPr>
      <w:bookmarkStart w:id="45" w:name="_Toc334175033"/>
      <w:r w:rsidRPr="00114FDD">
        <w:rPr>
          <w:b/>
          <w:sz w:val="26"/>
          <w:szCs w:val="26"/>
        </w:rPr>
        <w:t>Refrigeration – Evaporator Fan Controller</w:t>
      </w:r>
      <w:r w:rsidR="003975B5">
        <w:rPr>
          <w:b/>
          <w:sz w:val="26"/>
          <w:szCs w:val="26"/>
        </w:rPr>
        <w:t>s</w:t>
      </w:r>
      <w:bookmarkEnd w:id="45"/>
      <w:r w:rsidRPr="00114FDD">
        <w:rPr>
          <w:b/>
          <w:sz w:val="26"/>
          <w:szCs w:val="26"/>
        </w:rPr>
        <w:t xml:space="preserve"> </w:t>
      </w:r>
    </w:p>
    <w:p w:rsidR="00050E8B" w:rsidRPr="00114FDD" w:rsidRDefault="00050E8B" w:rsidP="00B64A9F">
      <w:pPr>
        <w:spacing w:line="360" w:lineRule="auto"/>
        <w:rPr>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The existing</w:t>
      </w:r>
      <w:r w:rsidR="002C6298" w:rsidRPr="00114FDD">
        <w:rPr>
          <w:sz w:val="26"/>
          <w:szCs w:val="26"/>
        </w:rPr>
        <w:t xml:space="preserve"> Refrigeration – Evaporator Fan Controller</w:t>
      </w:r>
      <w:r w:rsidRPr="00114FDD">
        <w:rPr>
          <w:sz w:val="26"/>
          <w:szCs w:val="26"/>
        </w:rPr>
        <w:t xml:space="preserve"> protocol in the 2012 TRM</w:t>
      </w:r>
      <w:r w:rsidR="00437582" w:rsidRPr="00114FDD">
        <w:rPr>
          <w:rStyle w:val="FootnoteReference"/>
          <w:sz w:val="26"/>
          <w:szCs w:val="26"/>
        </w:rPr>
        <w:footnoteReference w:id="158"/>
      </w:r>
      <w:r w:rsidRPr="00114FDD">
        <w:rPr>
          <w:sz w:val="26"/>
          <w:szCs w:val="26"/>
        </w:rPr>
        <w:t xml:space="preserve"> was taken from the 2011 Massachusetts TRM.</w:t>
      </w:r>
      <w:r w:rsidR="002C6298" w:rsidRPr="00114FDD">
        <w:rPr>
          <w:sz w:val="26"/>
          <w:szCs w:val="26"/>
        </w:rPr>
        <w:t xml:space="preserve"> </w:t>
      </w:r>
      <w:r w:rsidRPr="00114FDD">
        <w:rPr>
          <w:sz w:val="26"/>
          <w:szCs w:val="26"/>
        </w:rPr>
        <w:t xml:space="preserve"> </w:t>
      </w:r>
      <w:r w:rsidR="0001379C" w:rsidRPr="00114FDD">
        <w:rPr>
          <w:sz w:val="26"/>
          <w:szCs w:val="26"/>
        </w:rPr>
        <w:t>Th</w:t>
      </w:r>
      <w:r w:rsidR="0001379C">
        <w:rPr>
          <w:sz w:val="26"/>
          <w:szCs w:val="26"/>
        </w:rPr>
        <w:t>is</w:t>
      </w:r>
      <w:r w:rsidR="0001379C" w:rsidRPr="00114FDD">
        <w:rPr>
          <w:sz w:val="26"/>
          <w:szCs w:val="26"/>
        </w:rPr>
        <w:t xml:space="preserve"> </w:t>
      </w:r>
      <w:r w:rsidRPr="00114FDD">
        <w:rPr>
          <w:sz w:val="26"/>
          <w:szCs w:val="26"/>
        </w:rPr>
        <w:t>protocol</w:t>
      </w:r>
      <w:r w:rsidR="0001379C">
        <w:rPr>
          <w:sz w:val="26"/>
          <w:szCs w:val="26"/>
        </w:rPr>
        <w:t>, however,</w:t>
      </w:r>
      <w:r w:rsidRPr="00114FDD">
        <w:rPr>
          <w:sz w:val="26"/>
          <w:szCs w:val="26"/>
        </w:rPr>
        <w:t xml:space="preserve"> does not clearly define how to determine the power demand for </w:t>
      </w:r>
      <w:r w:rsidR="0001379C">
        <w:rPr>
          <w:sz w:val="26"/>
          <w:szCs w:val="26"/>
        </w:rPr>
        <w:t xml:space="preserve">the </w:t>
      </w:r>
      <w:r w:rsidRPr="00114FDD">
        <w:rPr>
          <w:sz w:val="26"/>
          <w:szCs w:val="26"/>
        </w:rPr>
        <w:t xml:space="preserve">evaporator fan (kW </w:t>
      </w:r>
      <w:r w:rsidRPr="00114FDD">
        <w:rPr>
          <w:sz w:val="26"/>
          <w:szCs w:val="26"/>
          <w:vertAlign w:val="subscript"/>
        </w:rPr>
        <w:t>Fan</w:t>
      </w:r>
      <w:r w:rsidRPr="00114FDD">
        <w:rPr>
          <w:sz w:val="26"/>
          <w:szCs w:val="26"/>
        </w:rPr>
        <w:t xml:space="preserve">) </w:t>
      </w:r>
      <w:r w:rsidR="0001379C">
        <w:rPr>
          <w:sz w:val="26"/>
          <w:szCs w:val="26"/>
        </w:rPr>
        <w:t>or the</w:t>
      </w:r>
      <w:r w:rsidR="0001379C" w:rsidRPr="00114FDD">
        <w:rPr>
          <w:sz w:val="26"/>
          <w:szCs w:val="26"/>
        </w:rPr>
        <w:t xml:space="preserve"> </w:t>
      </w:r>
      <w:r w:rsidRPr="00114FDD">
        <w:rPr>
          <w:sz w:val="26"/>
          <w:szCs w:val="26"/>
        </w:rPr>
        <w:t xml:space="preserve">compressor motor (kW </w:t>
      </w:r>
      <w:r w:rsidRPr="00114FDD">
        <w:rPr>
          <w:sz w:val="26"/>
          <w:szCs w:val="26"/>
          <w:vertAlign w:val="subscript"/>
        </w:rPr>
        <w:t>CP</w:t>
      </w:r>
      <w:r w:rsidRPr="00114FDD">
        <w:rPr>
          <w:sz w:val="26"/>
          <w:szCs w:val="26"/>
        </w:rPr>
        <w:t xml:space="preserve">). </w:t>
      </w:r>
      <w:r w:rsidR="002C6298" w:rsidRPr="00114FDD">
        <w:rPr>
          <w:sz w:val="26"/>
          <w:szCs w:val="26"/>
        </w:rPr>
        <w:t xml:space="preserve"> </w:t>
      </w:r>
      <w:r w:rsidRPr="00114FDD">
        <w:rPr>
          <w:sz w:val="26"/>
          <w:szCs w:val="26"/>
        </w:rPr>
        <w:t xml:space="preserve">The </w:t>
      </w:r>
      <w:r w:rsidR="002C6298" w:rsidRPr="00114FDD">
        <w:rPr>
          <w:sz w:val="26"/>
          <w:szCs w:val="26"/>
        </w:rPr>
        <w:t xml:space="preserve">Commission proposes the </w:t>
      </w:r>
      <w:r w:rsidRPr="00114FDD">
        <w:rPr>
          <w:sz w:val="26"/>
          <w:szCs w:val="26"/>
        </w:rPr>
        <w:t>following a</w:t>
      </w:r>
      <w:r w:rsidR="002C6298" w:rsidRPr="00114FDD">
        <w:rPr>
          <w:sz w:val="26"/>
          <w:szCs w:val="26"/>
        </w:rPr>
        <w:t>s</w:t>
      </w:r>
      <w:r w:rsidRPr="00114FDD">
        <w:rPr>
          <w:sz w:val="26"/>
          <w:szCs w:val="26"/>
        </w:rPr>
        <w:t xml:space="preserve"> acceptable methods for determining the kW </w:t>
      </w:r>
      <w:r w:rsidRPr="00114FDD">
        <w:rPr>
          <w:sz w:val="26"/>
          <w:szCs w:val="26"/>
          <w:vertAlign w:val="subscript"/>
        </w:rPr>
        <w:t>Fan</w:t>
      </w:r>
      <w:r w:rsidRPr="00114FDD">
        <w:rPr>
          <w:sz w:val="26"/>
          <w:szCs w:val="26"/>
        </w:rPr>
        <w:t xml:space="preserve"> and kW </w:t>
      </w:r>
      <w:r w:rsidRPr="00114FDD">
        <w:rPr>
          <w:sz w:val="26"/>
          <w:szCs w:val="26"/>
          <w:vertAlign w:val="subscript"/>
        </w:rPr>
        <w:t>CP</w:t>
      </w:r>
      <w:r w:rsidR="002C6298" w:rsidRPr="00114FDD">
        <w:rPr>
          <w:sz w:val="26"/>
          <w:szCs w:val="26"/>
        </w:rPr>
        <w:t xml:space="preserve"> variables:</w:t>
      </w:r>
    </w:p>
    <w:p w:rsidR="00050E8B" w:rsidRPr="00114FDD" w:rsidRDefault="00050E8B" w:rsidP="00B64A9F">
      <w:pPr>
        <w:spacing w:line="360" w:lineRule="auto"/>
        <w:rPr>
          <w:sz w:val="26"/>
          <w:szCs w:val="26"/>
        </w:rPr>
      </w:pPr>
      <w:r w:rsidRPr="00114FDD">
        <w:rPr>
          <w:sz w:val="26"/>
          <w:szCs w:val="26"/>
        </w:rPr>
        <w:t xml:space="preserve">  </w:t>
      </w:r>
    </w:p>
    <w:p w:rsidR="00050E8B" w:rsidRPr="00114FDD" w:rsidRDefault="00050E8B" w:rsidP="00B64A9F">
      <w:pPr>
        <w:pStyle w:val="p3"/>
        <w:numPr>
          <w:ilvl w:val="0"/>
          <w:numId w:val="8"/>
        </w:numPr>
        <w:tabs>
          <w:tab w:val="clear" w:pos="204"/>
          <w:tab w:val="left" w:pos="0"/>
          <w:tab w:val="left" w:pos="720"/>
        </w:tabs>
        <w:spacing w:line="360" w:lineRule="auto"/>
        <w:rPr>
          <w:sz w:val="26"/>
          <w:szCs w:val="26"/>
        </w:rPr>
      </w:pPr>
      <w:r w:rsidRPr="00114FDD">
        <w:rPr>
          <w:sz w:val="26"/>
          <w:szCs w:val="26"/>
        </w:rPr>
        <w:t xml:space="preserve">Calculate using the nameplate horsepower and load factor </w:t>
      </w:r>
    </w:p>
    <w:p w:rsidR="00050E8B" w:rsidRPr="00114FDD" w:rsidRDefault="00050E8B" w:rsidP="00B64A9F">
      <w:pPr>
        <w:pStyle w:val="p3"/>
        <w:numPr>
          <w:ilvl w:val="0"/>
          <w:numId w:val="9"/>
        </w:numPr>
        <w:tabs>
          <w:tab w:val="clear" w:pos="204"/>
          <w:tab w:val="left" w:pos="0"/>
          <w:tab w:val="left" w:pos="720"/>
        </w:tabs>
        <w:spacing w:line="360" w:lineRule="auto"/>
        <w:rPr>
          <w:sz w:val="26"/>
          <w:szCs w:val="26"/>
        </w:rPr>
      </w:pPr>
      <w:r w:rsidRPr="00114FDD">
        <w:rPr>
          <w:sz w:val="26"/>
          <w:szCs w:val="26"/>
        </w:rPr>
        <w:t xml:space="preserve">kW </w:t>
      </w:r>
      <w:r w:rsidRPr="00114FDD">
        <w:rPr>
          <w:sz w:val="26"/>
          <w:szCs w:val="26"/>
          <w:vertAlign w:val="subscript"/>
        </w:rPr>
        <w:t>Fan, CP</w:t>
      </w:r>
      <w:r w:rsidRPr="00114FDD">
        <w:rPr>
          <w:sz w:val="26"/>
          <w:szCs w:val="26"/>
        </w:rPr>
        <w:t xml:space="preserve"> = [(Motor HP * LF * 0.746 kW/HP) / Motor efficiency] where the HP and efficiency </w:t>
      </w:r>
      <w:r w:rsidR="00E91E99" w:rsidRPr="00114FDD">
        <w:rPr>
          <w:sz w:val="26"/>
          <w:szCs w:val="26"/>
        </w:rPr>
        <w:t>are</w:t>
      </w:r>
      <w:r w:rsidRPr="00114FDD">
        <w:rPr>
          <w:sz w:val="26"/>
          <w:szCs w:val="26"/>
        </w:rPr>
        <w:t xml:space="preserve"> taken from the nameplate and the load factor is </w:t>
      </w:r>
      <w:r w:rsidR="00E91E99" w:rsidRPr="00114FDD">
        <w:rPr>
          <w:sz w:val="26"/>
          <w:szCs w:val="26"/>
        </w:rPr>
        <w:t>assumed</w:t>
      </w:r>
      <w:r w:rsidRPr="00114FDD">
        <w:rPr>
          <w:sz w:val="26"/>
          <w:szCs w:val="26"/>
        </w:rPr>
        <w:t xml:space="preserve">. </w:t>
      </w:r>
    </w:p>
    <w:p w:rsidR="00050E8B" w:rsidRPr="00114FDD" w:rsidRDefault="00050E8B" w:rsidP="00B64A9F">
      <w:pPr>
        <w:pStyle w:val="p3"/>
        <w:numPr>
          <w:ilvl w:val="0"/>
          <w:numId w:val="8"/>
        </w:numPr>
        <w:tabs>
          <w:tab w:val="clear" w:pos="204"/>
          <w:tab w:val="left" w:pos="0"/>
          <w:tab w:val="left" w:pos="720"/>
        </w:tabs>
        <w:spacing w:line="360" w:lineRule="auto"/>
        <w:rPr>
          <w:sz w:val="26"/>
          <w:szCs w:val="26"/>
        </w:rPr>
      </w:pPr>
      <w:r w:rsidRPr="00114FDD">
        <w:rPr>
          <w:sz w:val="26"/>
          <w:szCs w:val="26"/>
        </w:rPr>
        <w:t xml:space="preserve">Calculate using the nameplate amps and volts and a power factor </w:t>
      </w:r>
    </w:p>
    <w:p w:rsidR="00050E8B" w:rsidRPr="00114FDD" w:rsidRDefault="00050E8B" w:rsidP="00B64A9F">
      <w:pPr>
        <w:pStyle w:val="p3"/>
        <w:numPr>
          <w:ilvl w:val="0"/>
          <w:numId w:val="9"/>
        </w:numPr>
        <w:tabs>
          <w:tab w:val="clear" w:pos="204"/>
          <w:tab w:val="left" w:pos="0"/>
          <w:tab w:val="left" w:pos="720"/>
        </w:tabs>
        <w:spacing w:line="360" w:lineRule="auto"/>
        <w:rPr>
          <w:sz w:val="26"/>
          <w:szCs w:val="26"/>
        </w:rPr>
      </w:pPr>
      <w:r w:rsidRPr="00114FDD">
        <w:rPr>
          <w:sz w:val="26"/>
          <w:szCs w:val="26"/>
        </w:rPr>
        <w:t xml:space="preserve">kW </w:t>
      </w:r>
      <w:r w:rsidRPr="00114FDD">
        <w:rPr>
          <w:sz w:val="26"/>
          <w:szCs w:val="26"/>
          <w:vertAlign w:val="subscript"/>
        </w:rPr>
        <w:t>Fan, CP</w:t>
      </w:r>
      <w:r w:rsidRPr="00114FDD">
        <w:rPr>
          <w:sz w:val="26"/>
          <w:szCs w:val="26"/>
        </w:rPr>
        <w:t xml:space="preserve"> = [V * A * PF motor * LF] where the volts and the amps </w:t>
      </w:r>
      <w:r w:rsidR="00E91E99" w:rsidRPr="00114FDD">
        <w:rPr>
          <w:sz w:val="26"/>
          <w:szCs w:val="26"/>
        </w:rPr>
        <w:t xml:space="preserve">are </w:t>
      </w:r>
      <w:r w:rsidRPr="00114FDD">
        <w:rPr>
          <w:sz w:val="26"/>
          <w:szCs w:val="26"/>
        </w:rPr>
        <w:t xml:space="preserve">taken from the nameplate, the power factor </w:t>
      </w:r>
      <w:r w:rsidR="00E91E99" w:rsidRPr="00114FDD">
        <w:rPr>
          <w:sz w:val="26"/>
          <w:szCs w:val="26"/>
        </w:rPr>
        <w:t xml:space="preserve">and </w:t>
      </w:r>
      <w:r w:rsidRPr="00114FDD">
        <w:rPr>
          <w:sz w:val="26"/>
          <w:szCs w:val="26"/>
        </w:rPr>
        <w:t xml:space="preserve">load factor is </w:t>
      </w:r>
      <w:r w:rsidR="00E91E99" w:rsidRPr="00114FDD">
        <w:rPr>
          <w:sz w:val="26"/>
          <w:szCs w:val="26"/>
        </w:rPr>
        <w:t>assumed</w:t>
      </w:r>
      <w:r w:rsidRPr="00114FDD">
        <w:rPr>
          <w:sz w:val="26"/>
          <w:szCs w:val="26"/>
        </w:rPr>
        <w:t xml:space="preserve">. </w:t>
      </w:r>
    </w:p>
    <w:p w:rsidR="00050E8B" w:rsidRPr="00114FDD" w:rsidRDefault="00050E8B" w:rsidP="00B64A9F">
      <w:pPr>
        <w:pStyle w:val="p3"/>
        <w:numPr>
          <w:ilvl w:val="0"/>
          <w:numId w:val="8"/>
        </w:numPr>
        <w:tabs>
          <w:tab w:val="clear" w:pos="204"/>
          <w:tab w:val="left" w:pos="0"/>
          <w:tab w:val="left" w:pos="720"/>
        </w:tabs>
        <w:spacing w:line="360" w:lineRule="auto"/>
        <w:rPr>
          <w:sz w:val="26"/>
          <w:szCs w:val="26"/>
        </w:rPr>
      </w:pPr>
      <w:r w:rsidRPr="00114FDD">
        <w:rPr>
          <w:sz w:val="26"/>
          <w:szCs w:val="26"/>
        </w:rPr>
        <w:t xml:space="preserve">Measure the input kW </w:t>
      </w:r>
      <w:r w:rsidR="00E91E99" w:rsidRPr="00114FDD">
        <w:rPr>
          <w:sz w:val="26"/>
          <w:szCs w:val="26"/>
          <w:vertAlign w:val="subscript"/>
        </w:rPr>
        <w:t>Fan, CP</w:t>
      </w:r>
      <w:r w:rsidRPr="00114FDD">
        <w:rPr>
          <w:sz w:val="26"/>
          <w:szCs w:val="26"/>
        </w:rPr>
        <w:t xml:space="preserve"> using a power meter reading true RMS power.  </w:t>
      </w:r>
    </w:p>
    <w:p w:rsidR="00050E8B" w:rsidRPr="00114FDD" w:rsidRDefault="00050E8B" w:rsidP="00B64A9F">
      <w:pPr>
        <w:pStyle w:val="ListParagraph"/>
        <w:spacing w:after="0" w:line="360" w:lineRule="auto"/>
        <w:rPr>
          <w:rFonts w:ascii="Times New Roman" w:hAnsi="Times New Roman"/>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In addition, the Commission proposes to upd</w:t>
      </w:r>
      <w:r w:rsidR="002C6298" w:rsidRPr="00114FDD">
        <w:rPr>
          <w:sz w:val="26"/>
          <w:szCs w:val="26"/>
        </w:rPr>
        <w:t>ate the assumptions table and amend the</w:t>
      </w:r>
      <w:r w:rsidRPr="00114FDD">
        <w:rPr>
          <w:sz w:val="26"/>
          <w:szCs w:val="26"/>
        </w:rPr>
        <w:t xml:space="preserve"> definitions for this measure accordingly. </w:t>
      </w:r>
    </w:p>
    <w:p w:rsidR="00050E8B" w:rsidRPr="00114FDD" w:rsidRDefault="00050E8B" w:rsidP="00B64A9F">
      <w:pPr>
        <w:pStyle w:val="p3"/>
        <w:tabs>
          <w:tab w:val="clear" w:pos="204"/>
          <w:tab w:val="left" w:pos="0"/>
          <w:tab w:val="left" w:pos="720"/>
        </w:tabs>
        <w:spacing w:line="360" w:lineRule="auto"/>
        <w:rPr>
          <w:b/>
          <w:sz w:val="26"/>
          <w:szCs w:val="26"/>
        </w:rPr>
      </w:pPr>
    </w:p>
    <w:p w:rsidR="00050E8B" w:rsidRPr="00114FDD" w:rsidRDefault="00050E8B" w:rsidP="00B64A9F">
      <w:pPr>
        <w:pStyle w:val="p3"/>
        <w:numPr>
          <w:ilvl w:val="1"/>
          <w:numId w:val="10"/>
        </w:numPr>
        <w:tabs>
          <w:tab w:val="clear" w:pos="204"/>
          <w:tab w:val="left" w:pos="0"/>
          <w:tab w:val="left" w:pos="720"/>
        </w:tabs>
        <w:spacing w:line="360" w:lineRule="auto"/>
        <w:ind w:hanging="720"/>
        <w:outlineLvl w:val="2"/>
        <w:rPr>
          <w:b/>
          <w:sz w:val="26"/>
          <w:szCs w:val="26"/>
        </w:rPr>
      </w:pPr>
      <w:bookmarkStart w:id="46" w:name="_Toc334175034"/>
      <w:r w:rsidRPr="00114FDD">
        <w:rPr>
          <w:b/>
          <w:sz w:val="26"/>
          <w:szCs w:val="26"/>
        </w:rPr>
        <w:t>Geothermal Heat Pump</w:t>
      </w:r>
      <w:r w:rsidR="003975B5">
        <w:rPr>
          <w:b/>
          <w:sz w:val="26"/>
          <w:szCs w:val="26"/>
        </w:rPr>
        <w:t>s</w:t>
      </w:r>
      <w:bookmarkEnd w:id="46"/>
      <w:r w:rsidRPr="00114FDD">
        <w:rPr>
          <w:b/>
          <w:sz w:val="26"/>
          <w:szCs w:val="26"/>
        </w:rPr>
        <w:t xml:space="preserve"> </w:t>
      </w:r>
    </w:p>
    <w:p w:rsidR="00050E8B" w:rsidRPr="00114FDD" w:rsidRDefault="00050E8B" w:rsidP="00B64A9F">
      <w:pPr>
        <w:pStyle w:val="p3"/>
        <w:tabs>
          <w:tab w:val="clear" w:pos="204"/>
          <w:tab w:val="left" w:pos="0"/>
          <w:tab w:val="left" w:pos="720"/>
        </w:tabs>
        <w:spacing w:line="360" w:lineRule="auto"/>
        <w:ind w:left="1440"/>
        <w:rPr>
          <w:b/>
          <w:sz w:val="26"/>
          <w:szCs w:val="26"/>
        </w:rPr>
      </w:pPr>
    </w:p>
    <w:p w:rsidR="00050E8B"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r>
      <w:r w:rsidR="002C6298" w:rsidRPr="00114FDD">
        <w:rPr>
          <w:sz w:val="26"/>
          <w:szCs w:val="26"/>
        </w:rPr>
        <w:t>The</w:t>
      </w:r>
      <w:r w:rsidRPr="00114FDD">
        <w:rPr>
          <w:sz w:val="26"/>
          <w:szCs w:val="26"/>
        </w:rPr>
        <w:t xml:space="preserve"> Commission propo</w:t>
      </w:r>
      <w:r w:rsidR="002C6298" w:rsidRPr="00114FDD">
        <w:rPr>
          <w:sz w:val="26"/>
          <w:szCs w:val="26"/>
        </w:rPr>
        <w:t xml:space="preserve">ses minor </w:t>
      </w:r>
      <w:r w:rsidR="0001379C" w:rsidRPr="00114FDD">
        <w:rPr>
          <w:sz w:val="26"/>
          <w:szCs w:val="26"/>
        </w:rPr>
        <w:t>editorial changes</w:t>
      </w:r>
      <w:r w:rsidR="002C6298" w:rsidRPr="00114FDD">
        <w:rPr>
          <w:sz w:val="26"/>
          <w:szCs w:val="26"/>
        </w:rPr>
        <w:t xml:space="preserve"> to the G</w:t>
      </w:r>
      <w:r w:rsidRPr="00114FDD">
        <w:rPr>
          <w:sz w:val="26"/>
          <w:szCs w:val="26"/>
        </w:rPr>
        <w:t xml:space="preserve">eothermal </w:t>
      </w:r>
      <w:r w:rsidR="002C6298" w:rsidRPr="00114FDD">
        <w:rPr>
          <w:sz w:val="26"/>
          <w:szCs w:val="26"/>
        </w:rPr>
        <w:t>H</w:t>
      </w:r>
      <w:r w:rsidRPr="00114FDD">
        <w:rPr>
          <w:sz w:val="26"/>
          <w:szCs w:val="26"/>
        </w:rPr>
        <w:t xml:space="preserve">eat </w:t>
      </w:r>
      <w:r w:rsidR="002C6298" w:rsidRPr="00114FDD">
        <w:rPr>
          <w:sz w:val="26"/>
          <w:szCs w:val="26"/>
        </w:rPr>
        <w:t>P</w:t>
      </w:r>
      <w:r w:rsidRPr="00114FDD">
        <w:rPr>
          <w:sz w:val="26"/>
          <w:szCs w:val="26"/>
        </w:rPr>
        <w:t>umps protocol</w:t>
      </w:r>
      <w:r w:rsidR="0001379C">
        <w:rPr>
          <w:sz w:val="26"/>
          <w:szCs w:val="26"/>
        </w:rPr>
        <w:t>.</w:t>
      </w:r>
      <w:r w:rsidRPr="00114FDD">
        <w:rPr>
          <w:sz w:val="26"/>
          <w:szCs w:val="26"/>
          <w:vertAlign w:val="superscript"/>
        </w:rPr>
        <w:footnoteReference w:id="159"/>
      </w:r>
      <w:r w:rsidRPr="00114FDD">
        <w:rPr>
          <w:sz w:val="26"/>
          <w:szCs w:val="26"/>
        </w:rPr>
        <w:t xml:space="preserve"> In addition, the Commission </w:t>
      </w:r>
      <w:r w:rsidR="007A1B66" w:rsidRPr="00114FDD">
        <w:rPr>
          <w:sz w:val="26"/>
          <w:szCs w:val="26"/>
        </w:rPr>
        <w:t xml:space="preserve">proposes the </w:t>
      </w:r>
      <w:r w:rsidRPr="00114FDD">
        <w:rPr>
          <w:sz w:val="26"/>
          <w:szCs w:val="26"/>
        </w:rPr>
        <w:t>add</w:t>
      </w:r>
      <w:r w:rsidR="007A1B66" w:rsidRPr="00114FDD">
        <w:rPr>
          <w:sz w:val="26"/>
          <w:szCs w:val="26"/>
        </w:rPr>
        <w:t>ition of a</w:t>
      </w:r>
      <w:r w:rsidRPr="00114FDD">
        <w:rPr>
          <w:sz w:val="26"/>
          <w:szCs w:val="26"/>
        </w:rPr>
        <w:t xml:space="preserve"> conversion factor for SEER to EER for </w:t>
      </w:r>
      <w:r w:rsidR="0001379C">
        <w:rPr>
          <w:sz w:val="26"/>
          <w:szCs w:val="26"/>
        </w:rPr>
        <w:t>this</w:t>
      </w:r>
      <w:r w:rsidRPr="00114FDD">
        <w:rPr>
          <w:sz w:val="26"/>
          <w:szCs w:val="26"/>
        </w:rPr>
        <w:t xml:space="preserve"> protocol.</w:t>
      </w:r>
    </w:p>
    <w:p w:rsidR="00050E8B" w:rsidRPr="00114FDD" w:rsidRDefault="00050E8B" w:rsidP="00B64A9F">
      <w:pPr>
        <w:pStyle w:val="p3"/>
        <w:tabs>
          <w:tab w:val="clear" w:pos="204"/>
          <w:tab w:val="left" w:pos="0"/>
          <w:tab w:val="left" w:pos="720"/>
        </w:tabs>
        <w:spacing w:line="360" w:lineRule="auto"/>
        <w:rPr>
          <w:b/>
          <w:sz w:val="26"/>
          <w:szCs w:val="26"/>
        </w:rPr>
      </w:pPr>
    </w:p>
    <w:p w:rsidR="00050E8B" w:rsidRPr="00114FDD" w:rsidRDefault="002C6298" w:rsidP="00DC3AAA">
      <w:pPr>
        <w:pStyle w:val="p3"/>
        <w:numPr>
          <w:ilvl w:val="1"/>
          <w:numId w:val="10"/>
        </w:numPr>
        <w:tabs>
          <w:tab w:val="clear" w:pos="204"/>
          <w:tab w:val="left" w:pos="0"/>
          <w:tab w:val="left" w:pos="720"/>
        </w:tabs>
        <w:ind w:hanging="720"/>
        <w:outlineLvl w:val="2"/>
        <w:rPr>
          <w:b/>
          <w:sz w:val="26"/>
          <w:szCs w:val="26"/>
        </w:rPr>
      </w:pPr>
      <w:bookmarkStart w:id="47" w:name="_Toc334175035"/>
      <w:r w:rsidRPr="00114FDD">
        <w:rPr>
          <w:b/>
          <w:sz w:val="26"/>
          <w:szCs w:val="26"/>
        </w:rPr>
        <w:t>Appendix C (Lighting I</w:t>
      </w:r>
      <w:r w:rsidR="00050E8B" w:rsidRPr="00114FDD">
        <w:rPr>
          <w:b/>
          <w:sz w:val="26"/>
          <w:szCs w:val="26"/>
        </w:rPr>
        <w:t xml:space="preserve">nventory </w:t>
      </w:r>
      <w:r w:rsidRPr="00114FDD">
        <w:rPr>
          <w:b/>
          <w:sz w:val="26"/>
          <w:szCs w:val="26"/>
        </w:rPr>
        <w:t>T</w:t>
      </w:r>
      <w:r w:rsidR="00050E8B" w:rsidRPr="00114FDD">
        <w:rPr>
          <w:b/>
          <w:sz w:val="26"/>
          <w:szCs w:val="26"/>
        </w:rPr>
        <w:t>ool) and Appendix D (</w:t>
      </w:r>
      <w:r w:rsidRPr="00114FDD">
        <w:rPr>
          <w:b/>
          <w:sz w:val="26"/>
          <w:szCs w:val="26"/>
        </w:rPr>
        <w:t>Motor and V</w:t>
      </w:r>
      <w:r w:rsidR="00050E8B" w:rsidRPr="00114FDD">
        <w:rPr>
          <w:b/>
          <w:sz w:val="26"/>
          <w:szCs w:val="26"/>
        </w:rPr>
        <w:t xml:space="preserve">ariable </w:t>
      </w:r>
      <w:r w:rsidRPr="00114FDD">
        <w:rPr>
          <w:b/>
          <w:sz w:val="26"/>
          <w:szCs w:val="26"/>
        </w:rPr>
        <w:t>Frequency D</w:t>
      </w:r>
      <w:r w:rsidR="00050E8B" w:rsidRPr="00114FDD">
        <w:rPr>
          <w:b/>
          <w:sz w:val="26"/>
          <w:szCs w:val="26"/>
        </w:rPr>
        <w:t xml:space="preserve">rive </w:t>
      </w:r>
      <w:r w:rsidRPr="00114FDD">
        <w:rPr>
          <w:b/>
          <w:sz w:val="26"/>
          <w:szCs w:val="26"/>
        </w:rPr>
        <w:t>I</w:t>
      </w:r>
      <w:r w:rsidR="00050E8B" w:rsidRPr="00114FDD">
        <w:rPr>
          <w:b/>
          <w:sz w:val="26"/>
          <w:szCs w:val="26"/>
        </w:rPr>
        <w:t xml:space="preserve">nventory </w:t>
      </w:r>
      <w:r w:rsidRPr="00114FDD">
        <w:rPr>
          <w:b/>
          <w:sz w:val="26"/>
          <w:szCs w:val="26"/>
        </w:rPr>
        <w:t>T</w:t>
      </w:r>
      <w:r w:rsidR="00050E8B" w:rsidRPr="00114FDD">
        <w:rPr>
          <w:b/>
          <w:sz w:val="26"/>
          <w:szCs w:val="26"/>
        </w:rPr>
        <w:t>ool)</w:t>
      </w:r>
      <w:bookmarkEnd w:id="47"/>
    </w:p>
    <w:p w:rsidR="00050E8B" w:rsidRPr="00114FDD" w:rsidRDefault="00050E8B" w:rsidP="00B64A9F">
      <w:pPr>
        <w:pStyle w:val="p14"/>
        <w:tabs>
          <w:tab w:val="clear" w:pos="204"/>
          <w:tab w:val="left" w:pos="1890"/>
        </w:tabs>
        <w:spacing w:line="360" w:lineRule="auto"/>
        <w:rPr>
          <w:sz w:val="26"/>
          <w:szCs w:val="26"/>
        </w:rPr>
      </w:pPr>
      <w:r w:rsidRPr="00114FDD">
        <w:rPr>
          <w:sz w:val="26"/>
          <w:szCs w:val="26"/>
        </w:rPr>
        <w:tab/>
      </w:r>
    </w:p>
    <w:p w:rsidR="002B44FC" w:rsidRPr="00114FDD" w:rsidRDefault="00050E8B" w:rsidP="00B64A9F">
      <w:pPr>
        <w:pStyle w:val="p3"/>
        <w:tabs>
          <w:tab w:val="clear" w:pos="204"/>
          <w:tab w:val="left" w:pos="0"/>
          <w:tab w:val="left" w:pos="720"/>
        </w:tabs>
        <w:spacing w:line="360" w:lineRule="auto"/>
        <w:rPr>
          <w:sz w:val="26"/>
          <w:szCs w:val="26"/>
        </w:rPr>
      </w:pPr>
      <w:r w:rsidRPr="00114FDD">
        <w:rPr>
          <w:sz w:val="26"/>
          <w:szCs w:val="26"/>
        </w:rPr>
        <w:tab/>
        <w:t>The proposed expansion and improvements to the C&amp;I Lighting protocols wil</w:t>
      </w:r>
      <w:r w:rsidR="002C6298" w:rsidRPr="00114FDD">
        <w:rPr>
          <w:sz w:val="26"/>
          <w:szCs w:val="26"/>
        </w:rPr>
        <w:t xml:space="preserve">l be captured in Appendix C - </w:t>
      </w:r>
      <w:r w:rsidRPr="00114FDD">
        <w:rPr>
          <w:sz w:val="26"/>
          <w:szCs w:val="26"/>
        </w:rPr>
        <w:t xml:space="preserve">Lighting Inventory Tool. </w:t>
      </w:r>
      <w:r w:rsidR="002C6298" w:rsidRPr="00114FDD">
        <w:rPr>
          <w:sz w:val="26"/>
          <w:szCs w:val="26"/>
        </w:rPr>
        <w:t xml:space="preserve"> </w:t>
      </w:r>
      <w:r w:rsidRPr="00114FDD">
        <w:rPr>
          <w:sz w:val="26"/>
          <w:szCs w:val="26"/>
        </w:rPr>
        <w:t xml:space="preserve">The </w:t>
      </w:r>
      <w:r w:rsidR="00B20396" w:rsidRPr="00114FDD">
        <w:rPr>
          <w:sz w:val="26"/>
          <w:szCs w:val="26"/>
        </w:rPr>
        <w:t xml:space="preserve">major </w:t>
      </w:r>
      <w:r w:rsidRPr="00114FDD">
        <w:rPr>
          <w:sz w:val="26"/>
          <w:szCs w:val="26"/>
        </w:rPr>
        <w:t xml:space="preserve">changes will include updating </w:t>
      </w:r>
      <w:r w:rsidR="0001379C">
        <w:rPr>
          <w:sz w:val="26"/>
          <w:szCs w:val="26"/>
        </w:rPr>
        <w:t xml:space="preserve">the </w:t>
      </w:r>
      <w:r w:rsidRPr="00114FDD">
        <w:rPr>
          <w:sz w:val="26"/>
          <w:szCs w:val="26"/>
        </w:rPr>
        <w:t xml:space="preserve">list of building types, HOU and CF values, control technologies, and savings factors. </w:t>
      </w:r>
      <w:r w:rsidR="0001379C">
        <w:rPr>
          <w:sz w:val="26"/>
          <w:szCs w:val="26"/>
        </w:rPr>
        <w:t xml:space="preserve"> </w:t>
      </w:r>
      <w:r w:rsidRPr="00114FDD">
        <w:rPr>
          <w:sz w:val="26"/>
          <w:szCs w:val="26"/>
        </w:rPr>
        <w:t xml:space="preserve">In addition, the Commission proposes minor </w:t>
      </w:r>
      <w:r w:rsidR="002C6298" w:rsidRPr="00114FDD">
        <w:rPr>
          <w:sz w:val="26"/>
          <w:szCs w:val="26"/>
        </w:rPr>
        <w:t>edits</w:t>
      </w:r>
      <w:r w:rsidRPr="00114FDD">
        <w:rPr>
          <w:sz w:val="26"/>
          <w:szCs w:val="26"/>
        </w:rPr>
        <w:t xml:space="preserve"> to Appendix D</w:t>
      </w:r>
      <w:r w:rsidR="002C6298" w:rsidRPr="00114FDD">
        <w:rPr>
          <w:sz w:val="26"/>
          <w:szCs w:val="26"/>
        </w:rPr>
        <w:t xml:space="preserve"> - </w:t>
      </w:r>
      <w:r w:rsidRPr="00114FDD">
        <w:rPr>
          <w:sz w:val="26"/>
          <w:szCs w:val="26"/>
        </w:rPr>
        <w:t>Motor and Variable Frequency Drive Inventory Tool</w:t>
      </w:r>
      <w:r w:rsidR="002C6298" w:rsidRPr="00114FDD">
        <w:rPr>
          <w:sz w:val="26"/>
          <w:szCs w:val="26"/>
        </w:rPr>
        <w:t xml:space="preserve"> - </w:t>
      </w:r>
      <w:r w:rsidRPr="00114FDD">
        <w:rPr>
          <w:sz w:val="26"/>
          <w:szCs w:val="26"/>
        </w:rPr>
        <w:t>to be consistent with the protocol in the TRM.</w:t>
      </w:r>
    </w:p>
    <w:p w:rsidR="00B366B3" w:rsidRPr="00114FDD" w:rsidRDefault="00B366B3" w:rsidP="00B64A9F">
      <w:pPr>
        <w:pStyle w:val="ListParagraph"/>
        <w:spacing w:after="0" w:line="360" w:lineRule="auto"/>
        <w:rPr>
          <w:rFonts w:ascii="Times New Roman" w:hAnsi="Times New Roman"/>
          <w:b/>
          <w:sz w:val="26"/>
          <w:szCs w:val="26"/>
        </w:rPr>
      </w:pPr>
    </w:p>
    <w:p w:rsidR="00FA4295" w:rsidRPr="00114FDD" w:rsidRDefault="00DD1479" w:rsidP="00B64A9F">
      <w:pPr>
        <w:pStyle w:val="p3"/>
        <w:numPr>
          <w:ilvl w:val="0"/>
          <w:numId w:val="10"/>
        </w:numPr>
        <w:tabs>
          <w:tab w:val="clear" w:pos="204"/>
          <w:tab w:val="left" w:pos="-1800"/>
        </w:tabs>
        <w:spacing w:line="360" w:lineRule="auto"/>
        <w:ind w:hanging="720"/>
        <w:outlineLvl w:val="1"/>
        <w:rPr>
          <w:b/>
          <w:sz w:val="26"/>
          <w:szCs w:val="26"/>
        </w:rPr>
      </w:pPr>
      <w:bookmarkStart w:id="48" w:name="_Toc334175036"/>
      <w:r w:rsidRPr="00114FDD">
        <w:rPr>
          <w:b/>
          <w:sz w:val="26"/>
          <w:szCs w:val="26"/>
        </w:rPr>
        <w:t>Demand Response</w:t>
      </w:r>
      <w:bookmarkEnd w:id="48"/>
    </w:p>
    <w:p w:rsidR="00A759AE" w:rsidRPr="00114FDD" w:rsidRDefault="00A759AE" w:rsidP="00B64A9F">
      <w:pPr>
        <w:spacing w:line="360" w:lineRule="auto"/>
        <w:rPr>
          <w:sz w:val="26"/>
          <w:szCs w:val="26"/>
        </w:rPr>
      </w:pPr>
    </w:p>
    <w:p w:rsidR="00894620" w:rsidRPr="00114FDD" w:rsidRDefault="00894620" w:rsidP="00B64A9F">
      <w:pPr>
        <w:spacing w:line="360" w:lineRule="auto"/>
        <w:ind w:firstLine="720"/>
        <w:rPr>
          <w:sz w:val="26"/>
          <w:szCs w:val="26"/>
        </w:rPr>
      </w:pPr>
      <w:r w:rsidRPr="00114FDD">
        <w:rPr>
          <w:sz w:val="26"/>
          <w:szCs w:val="26"/>
        </w:rPr>
        <w:t xml:space="preserve">In its </w:t>
      </w:r>
      <w:r w:rsidRPr="00114FDD">
        <w:rPr>
          <w:i/>
          <w:sz w:val="26"/>
          <w:szCs w:val="26"/>
        </w:rPr>
        <w:t>Phase II Implementation Order</w:t>
      </w:r>
      <w:r w:rsidRPr="00114FDD">
        <w:rPr>
          <w:sz w:val="26"/>
          <w:szCs w:val="26"/>
        </w:rPr>
        <w:t xml:space="preserve">, the Commission </w:t>
      </w:r>
      <w:r w:rsidR="003E0F4E" w:rsidRPr="00114FDD">
        <w:rPr>
          <w:sz w:val="26"/>
          <w:szCs w:val="26"/>
        </w:rPr>
        <w:t xml:space="preserve">determined that it must make a determination as to whether or not the benefits of a demand response program exceed the costs before it may set additional peak demand reduction targets.  As such, the </w:t>
      </w:r>
      <w:r w:rsidR="003E0F4E" w:rsidRPr="00114FDD">
        <w:rPr>
          <w:sz w:val="26"/>
          <w:szCs w:val="26"/>
        </w:rPr>
        <w:lastRenderedPageBreak/>
        <w:t>Commission declined to propose additional peak demand reduction targets in Phase II of the Act 129 EE&amp;C Program.</w:t>
      </w:r>
      <w:r w:rsidR="003E0F4E" w:rsidRPr="00114FDD">
        <w:rPr>
          <w:rStyle w:val="FootnoteReference"/>
          <w:sz w:val="26"/>
          <w:szCs w:val="26"/>
        </w:rPr>
        <w:footnoteReference w:id="160"/>
      </w:r>
      <w:r w:rsidR="003E0F4E" w:rsidRPr="00114FDD">
        <w:rPr>
          <w:sz w:val="26"/>
          <w:szCs w:val="26"/>
        </w:rPr>
        <w:t xml:space="preserve"> </w:t>
      </w:r>
    </w:p>
    <w:p w:rsidR="003E0F4E" w:rsidRPr="00114FDD" w:rsidRDefault="003E0F4E" w:rsidP="00B64A9F">
      <w:pPr>
        <w:spacing w:line="360" w:lineRule="auto"/>
        <w:ind w:firstLine="720"/>
        <w:rPr>
          <w:sz w:val="26"/>
          <w:szCs w:val="26"/>
        </w:rPr>
      </w:pPr>
    </w:p>
    <w:p w:rsidR="003E0F4E" w:rsidRPr="00114FDD" w:rsidRDefault="003E0F4E" w:rsidP="00B64A9F">
      <w:pPr>
        <w:spacing w:line="360" w:lineRule="auto"/>
        <w:ind w:firstLine="720"/>
        <w:rPr>
          <w:sz w:val="26"/>
          <w:szCs w:val="26"/>
        </w:rPr>
      </w:pPr>
      <w:r w:rsidRPr="00114FDD">
        <w:rPr>
          <w:sz w:val="26"/>
          <w:szCs w:val="26"/>
        </w:rPr>
        <w:t xml:space="preserve">As the 2013 TRM will be applicable for </w:t>
      </w:r>
      <w:r w:rsidR="0001379C">
        <w:rPr>
          <w:sz w:val="26"/>
          <w:szCs w:val="26"/>
        </w:rPr>
        <w:t xml:space="preserve">the first program year </w:t>
      </w:r>
      <w:r w:rsidRPr="00114FDD">
        <w:rPr>
          <w:sz w:val="26"/>
          <w:szCs w:val="26"/>
        </w:rPr>
        <w:t>of Phase II, the Commission does not deem it necessary to include a discussion of demand response in this update.  As such, Section</w:t>
      </w:r>
      <w:r w:rsidR="00B23EB7" w:rsidRPr="00114FDD">
        <w:rPr>
          <w:sz w:val="26"/>
          <w:szCs w:val="26"/>
        </w:rPr>
        <w:t xml:space="preserve"> </w:t>
      </w:r>
      <w:r w:rsidRPr="00114FDD">
        <w:rPr>
          <w:sz w:val="26"/>
          <w:szCs w:val="26"/>
        </w:rPr>
        <w:t>4 – Demand Response – of the 2012 TRM has been removed for the 2013 TRM update.</w:t>
      </w:r>
      <w:r w:rsidRPr="00114FDD">
        <w:rPr>
          <w:rStyle w:val="FootnoteReference"/>
          <w:sz w:val="26"/>
          <w:szCs w:val="26"/>
        </w:rPr>
        <w:footnoteReference w:id="161"/>
      </w:r>
      <w:r w:rsidRPr="00114FDD">
        <w:rPr>
          <w:sz w:val="26"/>
          <w:szCs w:val="26"/>
        </w:rPr>
        <w:t xml:space="preserve">  Should the Commission determine that demand response programs are cost-effective within Act 129 and set additional peak demand reduction targets for Phase III, it will address the</w:t>
      </w:r>
      <w:r w:rsidR="00B23EB7" w:rsidRPr="00114FDD">
        <w:rPr>
          <w:sz w:val="26"/>
          <w:szCs w:val="26"/>
        </w:rPr>
        <w:t xml:space="preserve"> associated</w:t>
      </w:r>
      <w:r w:rsidRPr="00114FDD">
        <w:rPr>
          <w:sz w:val="26"/>
          <w:szCs w:val="26"/>
        </w:rPr>
        <w:t xml:space="preserve"> </w:t>
      </w:r>
      <w:r w:rsidR="00D40CA7" w:rsidRPr="00114FDD">
        <w:rPr>
          <w:sz w:val="26"/>
          <w:szCs w:val="26"/>
        </w:rPr>
        <w:t xml:space="preserve">EM&amp;V </w:t>
      </w:r>
      <w:r w:rsidRPr="00114FDD">
        <w:rPr>
          <w:sz w:val="26"/>
          <w:szCs w:val="26"/>
        </w:rPr>
        <w:t>in its initial Phase III TRM.</w:t>
      </w:r>
    </w:p>
    <w:p w:rsidR="006D56C0" w:rsidRPr="00114FDD" w:rsidRDefault="006D56C0" w:rsidP="00B64A9F">
      <w:pPr>
        <w:spacing w:line="360" w:lineRule="auto"/>
        <w:rPr>
          <w:sz w:val="26"/>
          <w:szCs w:val="26"/>
        </w:rPr>
      </w:pPr>
    </w:p>
    <w:p w:rsidR="006D56C0" w:rsidRPr="00114FDD" w:rsidRDefault="006D56C0" w:rsidP="00B64A9F">
      <w:pPr>
        <w:spacing w:line="360" w:lineRule="auto"/>
        <w:rPr>
          <w:sz w:val="26"/>
          <w:szCs w:val="26"/>
        </w:rPr>
      </w:pPr>
    </w:p>
    <w:p w:rsidR="0033671A" w:rsidRDefault="0033671A">
      <w:pPr>
        <w:overflowPunct/>
        <w:autoSpaceDE/>
        <w:autoSpaceDN/>
        <w:adjustRightInd/>
        <w:rPr>
          <w:b/>
          <w:bCs/>
          <w:smallCaps/>
          <w:kern w:val="32"/>
          <w:sz w:val="26"/>
          <w:szCs w:val="26"/>
        </w:rPr>
      </w:pPr>
      <w:bookmarkStart w:id="49" w:name="_Toc334175037"/>
      <w:r>
        <w:rPr>
          <w:sz w:val="26"/>
          <w:szCs w:val="26"/>
        </w:rPr>
        <w:br w:type="page"/>
      </w:r>
    </w:p>
    <w:p w:rsidR="00282DD9" w:rsidRPr="00114FDD" w:rsidRDefault="00143CDE" w:rsidP="00B64A9F">
      <w:pPr>
        <w:pStyle w:val="Heading1"/>
        <w:spacing w:before="0" w:after="0" w:line="360" w:lineRule="auto"/>
        <w:jc w:val="center"/>
        <w:rPr>
          <w:rFonts w:ascii="Times New Roman" w:hAnsi="Times New Roman" w:cs="Times New Roman"/>
          <w:sz w:val="26"/>
          <w:szCs w:val="26"/>
        </w:rPr>
      </w:pPr>
      <w:r w:rsidRPr="00114FDD">
        <w:rPr>
          <w:rFonts w:ascii="Times New Roman" w:hAnsi="Times New Roman" w:cs="Times New Roman"/>
          <w:sz w:val="26"/>
          <w:szCs w:val="26"/>
        </w:rPr>
        <w:lastRenderedPageBreak/>
        <w:t>CONCLUSION</w:t>
      </w:r>
      <w:bookmarkEnd w:id="49"/>
    </w:p>
    <w:p w:rsidR="00143CDE" w:rsidRPr="00114FDD" w:rsidRDefault="00143CDE" w:rsidP="008601DF">
      <w:pPr>
        <w:spacing w:line="360" w:lineRule="auto"/>
        <w:rPr>
          <w:sz w:val="26"/>
          <w:szCs w:val="26"/>
        </w:rPr>
      </w:pPr>
    </w:p>
    <w:p w:rsidR="00EB401D" w:rsidRPr="00114FDD" w:rsidRDefault="00F42A0B" w:rsidP="008601DF">
      <w:pPr>
        <w:spacing w:line="360" w:lineRule="auto"/>
        <w:ind w:firstLine="720"/>
        <w:rPr>
          <w:sz w:val="26"/>
          <w:szCs w:val="26"/>
        </w:rPr>
      </w:pPr>
      <w:r w:rsidRPr="00114FDD">
        <w:rPr>
          <w:sz w:val="26"/>
          <w:szCs w:val="26"/>
        </w:rPr>
        <w:t xml:space="preserve">With this Tentative Order, the Commission </w:t>
      </w:r>
      <w:r w:rsidR="00A60761" w:rsidRPr="00114FDD">
        <w:rPr>
          <w:sz w:val="26"/>
          <w:szCs w:val="26"/>
        </w:rPr>
        <w:t>seeks</w:t>
      </w:r>
      <w:r w:rsidRPr="00114FDD">
        <w:rPr>
          <w:sz w:val="26"/>
          <w:szCs w:val="26"/>
        </w:rPr>
        <w:t xml:space="preserve"> comments on the proposed additions and updates to the TRM.  This Tentative Order represents the Commission’s continuing efforts in establishing a comprehensive TRM with a purpose of supporting both the AEPS Act and the EE&amp;C </w:t>
      </w:r>
      <w:r w:rsidR="000E3740" w:rsidRPr="00114FDD">
        <w:rPr>
          <w:sz w:val="26"/>
          <w:szCs w:val="26"/>
        </w:rPr>
        <w:t xml:space="preserve">Program </w:t>
      </w:r>
      <w:r w:rsidRPr="00114FDD">
        <w:rPr>
          <w:sz w:val="26"/>
          <w:szCs w:val="26"/>
        </w:rPr>
        <w:t xml:space="preserve">provisions of Act 129.  </w:t>
      </w:r>
      <w:r w:rsidR="001D6661" w:rsidRPr="00114FDD">
        <w:rPr>
          <w:sz w:val="26"/>
          <w:szCs w:val="26"/>
        </w:rPr>
        <w:t>We look forward to receiving comments from interested stakeholders regarding the proposed changes to the TRM.  This Tentative Order, the proposed TRM update and filed comments will be made available to the public</w:t>
      </w:r>
      <w:r w:rsidR="007F6F4A" w:rsidRPr="00114FDD">
        <w:rPr>
          <w:sz w:val="26"/>
          <w:szCs w:val="26"/>
        </w:rPr>
        <w:t xml:space="preserve"> on the Commission’s </w:t>
      </w:r>
      <w:r w:rsidR="008C48AD" w:rsidRPr="00114FDD">
        <w:rPr>
          <w:sz w:val="26"/>
          <w:szCs w:val="26"/>
        </w:rPr>
        <w:t>Act 129 Information</w:t>
      </w:r>
      <w:r w:rsidR="007E1679" w:rsidRPr="00114FDD">
        <w:rPr>
          <w:sz w:val="26"/>
          <w:szCs w:val="26"/>
        </w:rPr>
        <w:t xml:space="preserve"> web page.</w:t>
      </w:r>
      <w:r w:rsidR="00E45743" w:rsidRPr="00114FDD">
        <w:rPr>
          <w:rStyle w:val="FootnoteReference"/>
          <w:sz w:val="26"/>
          <w:szCs w:val="26"/>
        </w:rPr>
        <w:t xml:space="preserve"> </w:t>
      </w:r>
      <w:r w:rsidR="00E45743" w:rsidRPr="00114FDD">
        <w:rPr>
          <w:rStyle w:val="FootnoteReference"/>
          <w:sz w:val="26"/>
          <w:szCs w:val="26"/>
        </w:rPr>
        <w:footnoteReference w:id="162"/>
      </w:r>
      <w:r w:rsidR="007E1679" w:rsidRPr="00114FDD">
        <w:rPr>
          <w:sz w:val="26"/>
          <w:szCs w:val="26"/>
        </w:rPr>
        <w:t xml:space="preserve">  </w:t>
      </w:r>
    </w:p>
    <w:p w:rsidR="00143CDE" w:rsidRPr="00114FDD" w:rsidRDefault="007E1679" w:rsidP="00EB401D">
      <w:pPr>
        <w:spacing w:line="360" w:lineRule="auto"/>
        <w:rPr>
          <w:sz w:val="26"/>
          <w:szCs w:val="26"/>
        </w:rPr>
      </w:pPr>
      <w:r w:rsidRPr="00114FDD">
        <w:rPr>
          <w:b/>
          <w:sz w:val="26"/>
          <w:szCs w:val="26"/>
        </w:rPr>
        <w:t>THEREFORE,</w:t>
      </w:r>
    </w:p>
    <w:p w:rsidR="00326DC7" w:rsidRPr="00114FDD" w:rsidRDefault="00326DC7" w:rsidP="00FA4295">
      <w:pPr>
        <w:spacing w:line="360" w:lineRule="auto"/>
        <w:rPr>
          <w:sz w:val="26"/>
          <w:szCs w:val="26"/>
        </w:rPr>
      </w:pPr>
    </w:p>
    <w:p w:rsidR="007E1679" w:rsidRPr="00114FDD" w:rsidRDefault="007E1679" w:rsidP="00FA4295">
      <w:pPr>
        <w:spacing w:line="360" w:lineRule="auto"/>
        <w:rPr>
          <w:b/>
          <w:sz w:val="26"/>
          <w:szCs w:val="26"/>
        </w:rPr>
      </w:pPr>
      <w:r w:rsidRPr="00114FDD">
        <w:rPr>
          <w:sz w:val="26"/>
          <w:szCs w:val="26"/>
        </w:rPr>
        <w:tab/>
      </w:r>
      <w:r w:rsidRPr="00114FDD">
        <w:rPr>
          <w:b/>
          <w:sz w:val="26"/>
          <w:szCs w:val="26"/>
        </w:rPr>
        <w:t>IT IS ORDERED:</w:t>
      </w:r>
    </w:p>
    <w:p w:rsidR="007E1679" w:rsidRPr="00114FDD" w:rsidRDefault="007E1679" w:rsidP="00FA4295">
      <w:pPr>
        <w:spacing w:line="360" w:lineRule="auto"/>
        <w:rPr>
          <w:sz w:val="26"/>
          <w:szCs w:val="26"/>
        </w:rPr>
      </w:pPr>
    </w:p>
    <w:p w:rsidR="007E1679" w:rsidRPr="00114FDD" w:rsidRDefault="000E3740" w:rsidP="00FA4295">
      <w:pPr>
        <w:spacing w:line="360" w:lineRule="auto"/>
        <w:rPr>
          <w:sz w:val="26"/>
          <w:szCs w:val="26"/>
        </w:rPr>
      </w:pPr>
      <w:r w:rsidRPr="00114FDD">
        <w:rPr>
          <w:sz w:val="26"/>
          <w:szCs w:val="26"/>
        </w:rPr>
        <w:tab/>
        <w:t>1.</w:t>
      </w:r>
      <w:r w:rsidRPr="00114FDD">
        <w:rPr>
          <w:sz w:val="26"/>
          <w:szCs w:val="26"/>
        </w:rPr>
        <w:tab/>
        <w:t>That the proposed 201</w:t>
      </w:r>
      <w:r w:rsidR="003E0F4E" w:rsidRPr="00114FDD">
        <w:rPr>
          <w:sz w:val="26"/>
          <w:szCs w:val="26"/>
        </w:rPr>
        <w:t>3</w:t>
      </w:r>
      <w:r w:rsidRPr="00114FDD">
        <w:rPr>
          <w:sz w:val="26"/>
          <w:szCs w:val="26"/>
        </w:rPr>
        <w:t xml:space="preserve"> Technical Reference Manual update </w:t>
      </w:r>
      <w:r w:rsidR="00224CA6">
        <w:rPr>
          <w:sz w:val="26"/>
          <w:szCs w:val="26"/>
        </w:rPr>
        <w:t>be</w:t>
      </w:r>
      <w:r w:rsidR="00224CA6" w:rsidRPr="00114FDD">
        <w:rPr>
          <w:sz w:val="26"/>
          <w:szCs w:val="26"/>
        </w:rPr>
        <w:t xml:space="preserve"> </w:t>
      </w:r>
      <w:r w:rsidRPr="00114FDD">
        <w:rPr>
          <w:sz w:val="26"/>
          <w:szCs w:val="26"/>
        </w:rPr>
        <w:t>issued for comment.</w:t>
      </w:r>
    </w:p>
    <w:p w:rsidR="000E3740" w:rsidRPr="00114FDD" w:rsidRDefault="000E3740" w:rsidP="00FA4295">
      <w:pPr>
        <w:spacing w:line="360" w:lineRule="auto"/>
        <w:rPr>
          <w:sz w:val="26"/>
          <w:szCs w:val="26"/>
        </w:rPr>
      </w:pPr>
    </w:p>
    <w:p w:rsidR="000E3740" w:rsidRPr="00114FDD" w:rsidRDefault="000E3740" w:rsidP="00FA4295">
      <w:pPr>
        <w:spacing w:line="360" w:lineRule="auto"/>
        <w:rPr>
          <w:sz w:val="26"/>
          <w:szCs w:val="26"/>
        </w:rPr>
      </w:pPr>
      <w:r w:rsidRPr="00114FDD">
        <w:rPr>
          <w:sz w:val="26"/>
          <w:szCs w:val="26"/>
        </w:rPr>
        <w:tab/>
        <w:t>2.</w:t>
      </w:r>
      <w:r w:rsidRPr="00114FDD">
        <w:rPr>
          <w:sz w:val="26"/>
          <w:szCs w:val="26"/>
        </w:rPr>
        <w:tab/>
        <w:t xml:space="preserve">That a copy of this Tentative Order shall be served upon the Office of Consumer Advocate, the Office of Small Business Advocate, the </w:t>
      </w:r>
      <w:r w:rsidR="00E45743" w:rsidRPr="00114FDD">
        <w:rPr>
          <w:sz w:val="26"/>
          <w:szCs w:val="26"/>
        </w:rPr>
        <w:t>Commission’s Bureau of Investigation and Enforcement</w:t>
      </w:r>
      <w:r w:rsidRPr="00114FDD">
        <w:rPr>
          <w:sz w:val="26"/>
          <w:szCs w:val="26"/>
        </w:rPr>
        <w:t>, the Pennsylvania Department of Environmental Protection and all parties who commented on the 201</w:t>
      </w:r>
      <w:r w:rsidR="003E0F4E" w:rsidRPr="00114FDD">
        <w:rPr>
          <w:sz w:val="26"/>
          <w:szCs w:val="26"/>
        </w:rPr>
        <w:t>2</w:t>
      </w:r>
      <w:r w:rsidRPr="00114FDD">
        <w:rPr>
          <w:sz w:val="26"/>
          <w:szCs w:val="26"/>
        </w:rPr>
        <w:t xml:space="preserve"> Technical Reference Manual update.</w:t>
      </w:r>
    </w:p>
    <w:p w:rsidR="000E3740" w:rsidRPr="00114FDD" w:rsidRDefault="000E3740" w:rsidP="00FA4295">
      <w:pPr>
        <w:spacing w:line="360" w:lineRule="auto"/>
        <w:rPr>
          <w:sz w:val="26"/>
          <w:szCs w:val="26"/>
        </w:rPr>
      </w:pPr>
    </w:p>
    <w:p w:rsidR="000E3740" w:rsidRPr="00114FDD" w:rsidRDefault="000E3740" w:rsidP="00FA4295">
      <w:pPr>
        <w:spacing w:line="360" w:lineRule="auto"/>
        <w:rPr>
          <w:sz w:val="26"/>
          <w:szCs w:val="26"/>
        </w:rPr>
      </w:pPr>
      <w:r w:rsidRPr="00114FDD">
        <w:rPr>
          <w:sz w:val="26"/>
          <w:szCs w:val="26"/>
        </w:rPr>
        <w:tab/>
        <w:t>3.</w:t>
      </w:r>
      <w:r w:rsidRPr="00114FDD">
        <w:rPr>
          <w:sz w:val="26"/>
          <w:szCs w:val="26"/>
        </w:rPr>
        <w:tab/>
        <w:t xml:space="preserve">That the Secretary shall deposit a notice of this Tentative Order and </w:t>
      </w:r>
      <w:r w:rsidR="007009E3" w:rsidRPr="00114FDD">
        <w:rPr>
          <w:sz w:val="26"/>
          <w:szCs w:val="26"/>
        </w:rPr>
        <w:t>proposed 201</w:t>
      </w:r>
      <w:r w:rsidR="003E0F4E" w:rsidRPr="00114FDD">
        <w:rPr>
          <w:sz w:val="26"/>
          <w:szCs w:val="26"/>
        </w:rPr>
        <w:t>3</w:t>
      </w:r>
      <w:r w:rsidR="007009E3" w:rsidRPr="00114FDD">
        <w:rPr>
          <w:sz w:val="26"/>
          <w:szCs w:val="26"/>
        </w:rPr>
        <w:t xml:space="preserve"> version of the TRM</w:t>
      </w:r>
      <w:r w:rsidRPr="00114FDD">
        <w:rPr>
          <w:sz w:val="26"/>
          <w:szCs w:val="26"/>
        </w:rPr>
        <w:t xml:space="preserve"> with the Legislative Reference Bureau for publication in the </w:t>
      </w:r>
      <w:r w:rsidRPr="00114FDD">
        <w:rPr>
          <w:i/>
          <w:sz w:val="26"/>
          <w:szCs w:val="26"/>
        </w:rPr>
        <w:t>Pennsylvania Bulletin</w:t>
      </w:r>
      <w:r w:rsidRPr="00114FDD">
        <w:rPr>
          <w:sz w:val="26"/>
          <w:szCs w:val="26"/>
        </w:rPr>
        <w:t>.</w:t>
      </w:r>
    </w:p>
    <w:p w:rsidR="000E3740" w:rsidRPr="00114FDD" w:rsidRDefault="000E3740" w:rsidP="00FA4295">
      <w:pPr>
        <w:spacing w:line="360" w:lineRule="auto"/>
        <w:rPr>
          <w:sz w:val="26"/>
          <w:szCs w:val="26"/>
        </w:rPr>
      </w:pPr>
    </w:p>
    <w:p w:rsidR="000E3740" w:rsidRPr="00114FDD" w:rsidRDefault="00B55518" w:rsidP="00B55518">
      <w:pPr>
        <w:spacing w:line="360" w:lineRule="auto"/>
        <w:rPr>
          <w:sz w:val="26"/>
          <w:szCs w:val="26"/>
        </w:rPr>
      </w:pPr>
      <w:r w:rsidRPr="00114FDD">
        <w:rPr>
          <w:sz w:val="26"/>
          <w:szCs w:val="26"/>
        </w:rPr>
        <w:lastRenderedPageBreak/>
        <w:tab/>
        <w:t>4.</w:t>
      </w:r>
      <w:r w:rsidRPr="00114FDD">
        <w:rPr>
          <w:sz w:val="26"/>
          <w:szCs w:val="26"/>
        </w:rPr>
        <w:tab/>
        <w:t>That</w:t>
      </w:r>
      <w:r w:rsidR="003E0F4E" w:rsidRPr="00114FDD">
        <w:rPr>
          <w:sz w:val="26"/>
          <w:szCs w:val="26"/>
        </w:rPr>
        <w:t xml:space="preserve"> interested parties shall have 3</w:t>
      </w:r>
      <w:r w:rsidRPr="00114FDD">
        <w:rPr>
          <w:sz w:val="26"/>
          <w:szCs w:val="26"/>
        </w:rPr>
        <w:t xml:space="preserve">0 days from the date the notice is published in the </w:t>
      </w:r>
      <w:r w:rsidRPr="00114FDD">
        <w:rPr>
          <w:i/>
          <w:sz w:val="26"/>
          <w:szCs w:val="26"/>
        </w:rPr>
        <w:t>Pennsylvania Bulletin</w:t>
      </w:r>
      <w:r w:rsidRPr="00114FDD">
        <w:rPr>
          <w:sz w:val="26"/>
          <w:szCs w:val="26"/>
        </w:rPr>
        <w:t xml:space="preserve"> to file written comments referencing Docket Number </w:t>
      </w:r>
      <w:r w:rsidR="00224CA6" w:rsidRPr="00114FDD">
        <w:rPr>
          <w:sz w:val="26"/>
          <w:szCs w:val="26"/>
        </w:rPr>
        <w:t>M-2012-2313373</w:t>
      </w:r>
      <w:r w:rsidRPr="00114FDD">
        <w:rPr>
          <w:sz w:val="26"/>
          <w:szCs w:val="26"/>
        </w:rPr>
        <w:t xml:space="preserve"> to the Pennsylvania Public Utility Commission, Attention:  Secretary, P.O. Box 3265, Harrisburg, PA 17105</w:t>
      </w:r>
      <w:r w:rsidRPr="00114FDD">
        <w:rPr>
          <w:sz w:val="26"/>
          <w:szCs w:val="26"/>
        </w:rPr>
        <w:noBreakHyphen/>
        <w:t>3265.</w:t>
      </w:r>
    </w:p>
    <w:p w:rsidR="00B55518" w:rsidRPr="00114FDD" w:rsidRDefault="00B55518" w:rsidP="00B55518">
      <w:pPr>
        <w:spacing w:line="360" w:lineRule="auto"/>
        <w:rPr>
          <w:sz w:val="26"/>
          <w:szCs w:val="26"/>
        </w:rPr>
      </w:pPr>
    </w:p>
    <w:p w:rsidR="00B55518" w:rsidRPr="00114FDD" w:rsidRDefault="00B55518" w:rsidP="00B55518">
      <w:pPr>
        <w:spacing w:line="360" w:lineRule="auto"/>
        <w:rPr>
          <w:sz w:val="26"/>
          <w:szCs w:val="26"/>
        </w:rPr>
      </w:pPr>
      <w:r w:rsidRPr="00114FDD">
        <w:rPr>
          <w:sz w:val="26"/>
          <w:szCs w:val="26"/>
        </w:rPr>
        <w:tab/>
        <w:t>5.</w:t>
      </w:r>
      <w:r w:rsidRPr="00114FDD">
        <w:rPr>
          <w:sz w:val="26"/>
          <w:szCs w:val="26"/>
        </w:rPr>
        <w:tab/>
        <w:t>That</w:t>
      </w:r>
      <w:r w:rsidR="003E0F4E" w:rsidRPr="00114FDD">
        <w:rPr>
          <w:sz w:val="26"/>
          <w:szCs w:val="26"/>
        </w:rPr>
        <w:t xml:space="preserve"> interested parties shall have 4</w:t>
      </w:r>
      <w:r w:rsidR="007009E3" w:rsidRPr="00114FDD">
        <w:rPr>
          <w:sz w:val="26"/>
          <w:szCs w:val="26"/>
        </w:rPr>
        <w:t>0</w:t>
      </w:r>
      <w:r w:rsidRPr="00114FDD">
        <w:rPr>
          <w:sz w:val="26"/>
          <w:szCs w:val="26"/>
        </w:rPr>
        <w:t xml:space="preserve"> days from the date the notice is published </w:t>
      </w:r>
      <w:r w:rsidR="00E01963" w:rsidRPr="00114FDD">
        <w:rPr>
          <w:sz w:val="26"/>
          <w:szCs w:val="26"/>
        </w:rPr>
        <w:t xml:space="preserve">in the </w:t>
      </w:r>
      <w:r w:rsidR="00E01963" w:rsidRPr="00114FDD">
        <w:rPr>
          <w:i/>
          <w:sz w:val="26"/>
          <w:szCs w:val="26"/>
        </w:rPr>
        <w:t>Pennsylvania Bulletin</w:t>
      </w:r>
      <w:r w:rsidR="00E01963" w:rsidRPr="00114FDD">
        <w:rPr>
          <w:sz w:val="26"/>
          <w:szCs w:val="26"/>
        </w:rPr>
        <w:t xml:space="preserve"> to written </w:t>
      </w:r>
      <w:r w:rsidR="001833C9" w:rsidRPr="00114FDD">
        <w:rPr>
          <w:sz w:val="26"/>
          <w:szCs w:val="26"/>
        </w:rPr>
        <w:t xml:space="preserve">reply </w:t>
      </w:r>
      <w:r w:rsidR="00E01963" w:rsidRPr="00114FDD">
        <w:rPr>
          <w:sz w:val="26"/>
          <w:szCs w:val="26"/>
        </w:rPr>
        <w:t xml:space="preserve">comments referencing Docket Number </w:t>
      </w:r>
      <w:r w:rsidR="00224CA6" w:rsidRPr="00114FDD">
        <w:rPr>
          <w:sz w:val="26"/>
          <w:szCs w:val="26"/>
        </w:rPr>
        <w:t>M-2012-2313373</w:t>
      </w:r>
      <w:r w:rsidR="00E01963" w:rsidRPr="00114FDD">
        <w:rPr>
          <w:sz w:val="26"/>
          <w:szCs w:val="26"/>
        </w:rPr>
        <w:t xml:space="preserve"> to the Pennsylvania Public Utility Commission, Attention:  Secretary, P.O. Box 3265, Harrisburg, PA 17105</w:t>
      </w:r>
      <w:r w:rsidR="00E01963" w:rsidRPr="00114FDD">
        <w:rPr>
          <w:sz w:val="26"/>
          <w:szCs w:val="26"/>
        </w:rPr>
        <w:noBreakHyphen/>
        <w:t>3265.</w:t>
      </w:r>
    </w:p>
    <w:p w:rsidR="006D56C0" w:rsidRPr="00114FDD" w:rsidRDefault="006D56C0" w:rsidP="00B55518">
      <w:pPr>
        <w:spacing w:line="360" w:lineRule="auto"/>
        <w:rPr>
          <w:sz w:val="26"/>
          <w:szCs w:val="26"/>
        </w:rPr>
      </w:pPr>
    </w:p>
    <w:p w:rsidR="00E01963" w:rsidRPr="00114FDD" w:rsidRDefault="00E01963" w:rsidP="00B55518">
      <w:pPr>
        <w:spacing w:line="360" w:lineRule="auto"/>
        <w:rPr>
          <w:sz w:val="26"/>
          <w:szCs w:val="26"/>
        </w:rPr>
      </w:pPr>
      <w:r w:rsidRPr="00114FDD">
        <w:rPr>
          <w:sz w:val="26"/>
          <w:szCs w:val="26"/>
        </w:rPr>
        <w:tab/>
        <w:t>6.</w:t>
      </w:r>
      <w:r w:rsidRPr="00114FDD">
        <w:rPr>
          <w:sz w:val="26"/>
          <w:szCs w:val="26"/>
        </w:rPr>
        <w:tab/>
        <w:t>That</w:t>
      </w:r>
      <w:r w:rsidR="003E0F4E" w:rsidRPr="00114FDD">
        <w:rPr>
          <w:sz w:val="26"/>
          <w:szCs w:val="26"/>
        </w:rPr>
        <w:t xml:space="preserve"> a </w:t>
      </w:r>
      <w:r w:rsidR="00224CA6">
        <w:rPr>
          <w:sz w:val="26"/>
          <w:szCs w:val="26"/>
        </w:rPr>
        <w:t xml:space="preserve">Word formatted </w:t>
      </w:r>
      <w:r w:rsidR="003E0F4E" w:rsidRPr="00114FDD">
        <w:rPr>
          <w:sz w:val="26"/>
          <w:szCs w:val="26"/>
        </w:rPr>
        <w:t>copy of all</w:t>
      </w:r>
      <w:r w:rsidRPr="00114FDD">
        <w:rPr>
          <w:sz w:val="26"/>
          <w:szCs w:val="26"/>
        </w:rPr>
        <w:t xml:space="preserve"> comments and reply comments shall be electronically mailed to </w:t>
      </w:r>
      <w:r w:rsidR="003E0F4E" w:rsidRPr="00114FDD">
        <w:rPr>
          <w:sz w:val="26"/>
          <w:szCs w:val="26"/>
        </w:rPr>
        <w:t xml:space="preserve">Megan G. Good at </w:t>
      </w:r>
      <w:hyperlink r:id="rId10" w:history="1">
        <w:r w:rsidR="003E0F4E" w:rsidRPr="00114FDD">
          <w:rPr>
            <w:rStyle w:val="Hyperlink"/>
            <w:sz w:val="26"/>
            <w:szCs w:val="26"/>
          </w:rPr>
          <w:t>megagood@pa.gov</w:t>
        </w:r>
      </w:hyperlink>
      <w:r w:rsidR="003E0F4E" w:rsidRPr="00114FDD">
        <w:rPr>
          <w:sz w:val="26"/>
          <w:szCs w:val="26"/>
        </w:rPr>
        <w:t xml:space="preserve"> </w:t>
      </w:r>
      <w:r w:rsidRPr="00114FDD">
        <w:rPr>
          <w:sz w:val="26"/>
          <w:szCs w:val="26"/>
        </w:rPr>
        <w:t xml:space="preserve">and Kriss Brown at </w:t>
      </w:r>
      <w:hyperlink r:id="rId11" w:history="1">
        <w:r w:rsidR="002A7AC6" w:rsidRPr="00114FDD">
          <w:rPr>
            <w:rStyle w:val="Hyperlink"/>
            <w:sz w:val="26"/>
            <w:szCs w:val="26"/>
          </w:rPr>
          <w:t>kribrown@pa.gov</w:t>
        </w:r>
      </w:hyperlink>
      <w:r w:rsidRPr="00114FDD">
        <w:rPr>
          <w:sz w:val="26"/>
          <w:szCs w:val="26"/>
        </w:rPr>
        <w:t>.  Attachments may not exceed three megabytes.</w:t>
      </w:r>
    </w:p>
    <w:p w:rsidR="00E01963" w:rsidRPr="00114FDD" w:rsidRDefault="00E01963" w:rsidP="00B55518">
      <w:pPr>
        <w:spacing w:line="360" w:lineRule="auto"/>
        <w:rPr>
          <w:sz w:val="26"/>
          <w:szCs w:val="26"/>
        </w:rPr>
      </w:pPr>
    </w:p>
    <w:p w:rsidR="00E01963" w:rsidRPr="00114FDD" w:rsidRDefault="00E01963" w:rsidP="00B55518">
      <w:pPr>
        <w:spacing w:line="360" w:lineRule="auto"/>
        <w:rPr>
          <w:sz w:val="26"/>
          <w:szCs w:val="26"/>
        </w:rPr>
      </w:pPr>
      <w:r w:rsidRPr="00114FDD">
        <w:rPr>
          <w:sz w:val="26"/>
          <w:szCs w:val="26"/>
        </w:rPr>
        <w:tab/>
        <w:t>7.</w:t>
      </w:r>
      <w:r w:rsidRPr="00114FDD">
        <w:rPr>
          <w:sz w:val="26"/>
          <w:szCs w:val="26"/>
        </w:rPr>
        <w:tab/>
        <w:t>That this Tentative Order</w:t>
      </w:r>
      <w:r w:rsidR="007009E3" w:rsidRPr="00114FDD">
        <w:rPr>
          <w:sz w:val="26"/>
          <w:szCs w:val="26"/>
        </w:rPr>
        <w:t>,</w:t>
      </w:r>
      <w:r w:rsidRPr="00114FDD">
        <w:rPr>
          <w:sz w:val="26"/>
          <w:szCs w:val="26"/>
        </w:rPr>
        <w:t xml:space="preserve"> </w:t>
      </w:r>
      <w:r w:rsidR="007009E3" w:rsidRPr="00114FDD">
        <w:rPr>
          <w:sz w:val="26"/>
          <w:szCs w:val="26"/>
        </w:rPr>
        <w:t>the proposed 201</w:t>
      </w:r>
      <w:r w:rsidR="003E0F4E" w:rsidRPr="00114FDD">
        <w:rPr>
          <w:sz w:val="26"/>
          <w:szCs w:val="26"/>
        </w:rPr>
        <w:t>3</w:t>
      </w:r>
      <w:r w:rsidR="007009E3" w:rsidRPr="00114FDD">
        <w:rPr>
          <w:sz w:val="26"/>
          <w:szCs w:val="26"/>
        </w:rPr>
        <w:t xml:space="preserve"> version of the TRM</w:t>
      </w:r>
      <w:r w:rsidRPr="00114FDD">
        <w:rPr>
          <w:sz w:val="26"/>
          <w:szCs w:val="26"/>
        </w:rPr>
        <w:t xml:space="preserve"> and all filed comments and reply comments related to this Tentative Order be published on the Commission’s website.</w:t>
      </w:r>
    </w:p>
    <w:p w:rsidR="00E01963" w:rsidRPr="00114FDD" w:rsidRDefault="00E01963" w:rsidP="00B55518">
      <w:pPr>
        <w:spacing w:line="360" w:lineRule="auto"/>
        <w:rPr>
          <w:sz w:val="26"/>
          <w:szCs w:val="26"/>
        </w:rPr>
      </w:pPr>
    </w:p>
    <w:p w:rsidR="0033671A" w:rsidRDefault="0033671A">
      <w:pPr>
        <w:overflowPunct/>
        <w:autoSpaceDE/>
        <w:autoSpaceDN/>
        <w:adjustRightInd/>
        <w:rPr>
          <w:sz w:val="26"/>
          <w:szCs w:val="26"/>
        </w:rPr>
      </w:pPr>
      <w:r>
        <w:rPr>
          <w:sz w:val="26"/>
          <w:szCs w:val="26"/>
        </w:rPr>
        <w:br w:type="page"/>
      </w:r>
    </w:p>
    <w:p w:rsidR="00E01963" w:rsidRPr="00114FDD" w:rsidRDefault="00E01963" w:rsidP="006D56C0">
      <w:pPr>
        <w:spacing w:after="120" w:line="360" w:lineRule="auto"/>
        <w:rPr>
          <w:sz w:val="26"/>
          <w:szCs w:val="26"/>
        </w:rPr>
      </w:pPr>
      <w:r w:rsidRPr="00114FDD">
        <w:rPr>
          <w:sz w:val="26"/>
          <w:szCs w:val="26"/>
        </w:rPr>
        <w:lastRenderedPageBreak/>
        <w:tab/>
        <w:t>8.</w:t>
      </w:r>
      <w:r w:rsidRPr="00114FDD">
        <w:rPr>
          <w:sz w:val="26"/>
          <w:szCs w:val="26"/>
        </w:rPr>
        <w:tab/>
        <w:t xml:space="preserve">That the contact person for technical issues related to this Tentative Order </w:t>
      </w:r>
      <w:r w:rsidR="007009E3" w:rsidRPr="00114FDD">
        <w:rPr>
          <w:sz w:val="26"/>
          <w:szCs w:val="26"/>
        </w:rPr>
        <w:t>and the proposed 201</w:t>
      </w:r>
      <w:r w:rsidR="003E0F4E" w:rsidRPr="00114FDD">
        <w:rPr>
          <w:sz w:val="26"/>
          <w:szCs w:val="26"/>
        </w:rPr>
        <w:t>3</w:t>
      </w:r>
      <w:r w:rsidR="007009E3" w:rsidRPr="00114FDD">
        <w:rPr>
          <w:sz w:val="26"/>
          <w:szCs w:val="26"/>
        </w:rPr>
        <w:t xml:space="preserve"> version of the TRM </w:t>
      </w:r>
      <w:r w:rsidRPr="00114FDD">
        <w:rPr>
          <w:sz w:val="26"/>
          <w:szCs w:val="26"/>
        </w:rPr>
        <w:t xml:space="preserve">is </w:t>
      </w:r>
      <w:r w:rsidR="003E0F4E" w:rsidRPr="00114FDD">
        <w:rPr>
          <w:sz w:val="26"/>
          <w:szCs w:val="26"/>
        </w:rPr>
        <w:t>Megan G. Good</w:t>
      </w:r>
      <w:r w:rsidRPr="00114FDD">
        <w:rPr>
          <w:sz w:val="26"/>
          <w:szCs w:val="26"/>
        </w:rPr>
        <w:t xml:space="preserve">, Bureau of </w:t>
      </w:r>
      <w:r w:rsidR="004A5DB9" w:rsidRPr="00114FDD">
        <w:rPr>
          <w:sz w:val="26"/>
          <w:szCs w:val="26"/>
        </w:rPr>
        <w:t>Technical Utility Services</w:t>
      </w:r>
      <w:r w:rsidRPr="00114FDD">
        <w:rPr>
          <w:sz w:val="26"/>
          <w:szCs w:val="26"/>
        </w:rPr>
        <w:t>, 717-</w:t>
      </w:r>
      <w:r w:rsidR="003E0F4E" w:rsidRPr="00114FDD">
        <w:rPr>
          <w:sz w:val="26"/>
          <w:szCs w:val="26"/>
        </w:rPr>
        <w:t xml:space="preserve">425-7583 </w:t>
      </w:r>
      <w:r w:rsidRPr="00114FDD">
        <w:rPr>
          <w:sz w:val="26"/>
          <w:szCs w:val="26"/>
        </w:rPr>
        <w:t xml:space="preserve">or </w:t>
      </w:r>
      <w:hyperlink r:id="rId12" w:history="1">
        <w:r w:rsidR="003E0F4E" w:rsidRPr="00114FDD">
          <w:rPr>
            <w:rStyle w:val="Hyperlink"/>
            <w:sz w:val="26"/>
            <w:szCs w:val="26"/>
          </w:rPr>
          <w:t>megagood@pa.gov</w:t>
        </w:r>
      </w:hyperlink>
      <w:r w:rsidR="00B5604A" w:rsidRPr="00114FDD">
        <w:rPr>
          <w:sz w:val="26"/>
          <w:szCs w:val="26"/>
        </w:rPr>
        <w:t xml:space="preserve">. </w:t>
      </w:r>
      <w:r w:rsidRPr="00114FDD">
        <w:rPr>
          <w:sz w:val="26"/>
          <w:szCs w:val="26"/>
        </w:rPr>
        <w:t xml:space="preserve"> The contact person for legal and process issues related to this Tentative Order </w:t>
      </w:r>
      <w:r w:rsidR="007009E3" w:rsidRPr="00114FDD">
        <w:rPr>
          <w:sz w:val="26"/>
          <w:szCs w:val="26"/>
        </w:rPr>
        <w:t>and the proposed 201</w:t>
      </w:r>
      <w:r w:rsidR="003E0F4E" w:rsidRPr="00114FDD">
        <w:rPr>
          <w:sz w:val="26"/>
          <w:szCs w:val="26"/>
        </w:rPr>
        <w:t>3</w:t>
      </w:r>
      <w:r w:rsidR="007009E3" w:rsidRPr="00114FDD">
        <w:rPr>
          <w:sz w:val="26"/>
          <w:szCs w:val="26"/>
        </w:rPr>
        <w:t xml:space="preserve"> version of the TRM </w:t>
      </w:r>
      <w:r w:rsidRPr="00114FDD">
        <w:rPr>
          <w:sz w:val="26"/>
          <w:szCs w:val="26"/>
        </w:rPr>
        <w:t xml:space="preserve">is Kriss Brown, Law Bureau, 717-787-4518 or </w:t>
      </w:r>
      <w:hyperlink r:id="rId13" w:history="1">
        <w:r w:rsidR="00B5604A" w:rsidRPr="00114FDD">
          <w:rPr>
            <w:rStyle w:val="Hyperlink"/>
            <w:sz w:val="26"/>
            <w:szCs w:val="26"/>
          </w:rPr>
          <w:t>kribrown@pa.gov</w:t>
        </w:r>
      </w:hyperlink>
      <w:r w:rsidR="00B5604A" w:rsidRPr="00114FDD">
        <w:rPr>
          <w:sz w:val="26"/>
          <w:szCs w:val="26"/>
        </w:rPr>
        <w:t xml:space="preserve">. </w:t>
      </w:r>
      <w:r w:rsidR="002A7AC6" w:rsidRPr="00114FDD">
        <w:rPr>
          <w:sz w:val="26"/>
          <w:szCs w:val="26"/>
        </w:rPr>
        <w:t xml:space="preserve"> </w:t>
      </w:r>
    </w:p>
    <w:p w:rsidR="00B23EB7" w:rsidRPr="00114FDD" w:rsidRDefault="00B23EB7" w:rsidP="006D56C0">
      <w:pPr>
        <w:spacing w:after="120" w:line="360" w:lineRule="auto"/>
        <w:rPr>
          <w:sz w:val="26"/>
          <w:szCs w:val="26"/>
        </w:rPr>
      </w:pPr>
    </w:p>
    <w:p w:rsidR="00FA4295" w:rsidRDefault="00621C57" w:rsidP="00FA4295">
      <w:pPr>
        <w:pStyle w:val="p17"/>
        <w:ind w:left="5057"/>
        <w:rPr>
          <w:b/>
          <w:bCs/>
          <w:sz w:val="26"/>
          <w:szCs w:val="26"/>
        </w:rPr>
      </w:pPr>
      <w:r>
        <w:rPr>
          <w:noProof/>
        </w:rPr>
        <w:drawing>
          <wp:anchor distT="0" distB="0" distL="114300" distR="114300" simplePos="0" relativeHeight="251659264" behindDoc="1" locked="0" layoutInCell="1" allowOverlap="1" wp14:anchorId="5172EB43" wp14:editId="40B84EF1">
            <wp:simplePos x="0" y="0"/>
            <wp:positionH relativeFrom="column">
              <wp:posOffset>2809875</wp:posOffset>
            </wp:positionH>
            <wp:positionV relativeFrom="paragraph">
              <wp:posOffset>43815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A4295" w:rsidRPr="00114FDD">
        <w:rPr>
          <w:b/>
          <w:bCs/>
          <w:sz w:val="26"/>
          <w:szCs w:val="26"/>
        </w:rPr>
        <w:t>BY THE COMMISSION</w:t>
      </w:r>
    </w:p>
    <w:p w:rsidR="00621C57" w:rsidRPr="00114FDD" w:rsidRDefault="00621C57" w:rsidP="00FA4295">
      <w:pPr>
        <w:pStyle w:val="p17"/>
        <w:ind w:left="5057"/>
        <w:rPr>
          <w:b/>
          <w:bCs/>
          <w:sz w:val="26"/>
          <w:szCs w:val="26"/>
        </w:rPr>
      </w:pPr>
    </w:p>
    <w:p w:rsidR="00FA4295" w:rsidRPr="00114FDD" w:rsidRDefault="00FA4295" w:rsidP="00FA4295">
      <w:pPr>
        <w:tabs>
          <w:tab w:val="left" w:pos="5057"/>
        </w:tabs>
        <w:rPr>
          <w:bCs/>
          <w:sz w:val="26"/>
          <w:szCs w:val="26"/>
        </w:rPr>
      </w:pPr>
      <w:bookmarkStart w:id="50" w:name="_GoBack"/>
      <w:bookmarkEnd w:id="50"/>
    </w:p>
    <w:p w:rsidR="00FA4295" w:rsidRPr="00114FDD" w:rsidRDefault="00FA4295" w:rsidP="00FA4295">
      <w:pPr>
        <w:tabs>
          <w:tab w:val="left" w:pos="5057"/>
        </w:tabs>
        <w:rPr>
          <w:b/>
          <w:bCs/>
          <w:sz w:val="26"/>
          <w:szCs w:val="26"/>
        </w:rPr>
      </w:pPr>
    </w:p>
    <w:p w:rsidR="00FA4295" w:rsidRPr="00114FDD" w:rsidRDefault="00FA4295" w:rsidP="00FA4295">
      <w:pPr>
        <w:pStyle w:val="p18"/>
        <w:ind w:left="5062"/>
        <w:rPr>
          <w:sz w:val="26"/>
          <w:szCs w:val="26"/>
        </w:rPr>
      </w:pPr>
      <w:r w:rsidRPr="00114FDD">
        <w:rPr>
          <w:sz w:val="26"/>
          <w:szCs w:val="26"/>
        </w:rPr>
        <w:t>Rosemary Chiavetta</w:t>
      </w:r>
    </w:p>
    <w:p w:rsidR="00FA4295" w:rsidRPr="00114FDD" w:rsidRDefault="00FA4295" w:rsidP="00FA4295">
      <w:pPr>
        <w:pStyle w:val="p18"/>
        <w:ind w:left="5062"/>
        <w:rPr>
          <w:sz w:val="26"/>
          <w:szCs w:val="26"/>
        </w:rPr>
      </w:pPr>
      <w:r w:rsidRPr="00114FDD">
        <w:rPr>
          <w:sz w:val="26"/>
          <w:szCs w:val="26"/>
        </w:rPr>
        <w:t>Secretary</w:t>
      </w:r>
    </w:p>
    <w:p w:rsidR="00FA4295" w:rsidRPr="00114FDD" w:rsidRDefault="00FA4295" w:rsidP="00FA4295">
      <w:pPr>
        <w:tabs>
          <w:tab w:val="left" w:pos="5062"/>
        </w:tabs>
        <w:rPr>
          <w:sz w:val="26"/>
          <w:szCs w:val="26"/>
        </w:rPr>
      </w:pPr>
    </w:p>
    <w:p w:rsidR="00FA4295" w:rsidRPr="00114FDD" w:rsidRDefault="00FA4295" w:rsidP="00FA4295">
      <w:pPr>
        <w:pStyle w:val="p14"/>
        <w:rPr>
          <w:sz w:val="26"/>
          <w:szCs w:val="26"/>
        </w:rPr>
      </w:pPr>
      <w:r w:rsidRPr="00114FDD">
        <w:rPr>
          <w:sz w:val="26"/>
          <w:szCs w:val="26"/>
        </w:rPr>
        <w:t>(SEAL)</w:t>
      </w:r>
    </w:p>
    <w:p w:rsidR="00FA4295" w:rsidRPr="00114FDD" w:rsidRDefault="00FA4295" w:rsidP="00FA4295">
      <w:pPr>
        <w:tabs>
          <w:tab w:val="left" w:pos="204"/>
        </w:tabs>
        <w:rPr>
          <w:sz w:val="26"/>
          <w:szCs w:val="26"/>
        </w:rPr>
      </w:pPr>
    </w:p>
    <w:p w:rsidR="00FA4295" w:rsidRPr="00114FDD" w:rsidRDefault="00FA4295" w:rsidP="00FA4295">
      <w:pPr>
        <w:pStyle w:val="p14"/>
        <w:rPr>
          <w:sz w:val="26"/>
          <w:szCs w:val="26"/>
        </w:rPr>
      </w:pPr>
      <w:r w:rsidRPr="00114FDD">
        <w:rPr>
          <w:sz w:val="26"/>
          <w:szCs w:val="26"/>
        </w:rPr>
        <w:t xml:space="preserve">ORDER ADOPTED:  </w:t>
      </w:r>
      <w:r w:rsidR="003E0F4E" w:rsidRPr="00114FDD">
        <w:rPr>
          <w:sz w:val="26"/>
          <w:szCs w:val="26"/>
        </w:rPr>
        <w:t>September 13</w:t>
      </w:r>
      <w:r w:rsidR="009241B2" w:rsidRPr="00114FDD">
        <w:rPr>
          <w:sz w:val="26"/>
          <w:szCs w:val="26"/>
        </w:rPr>
        <w:t>, 201</w:t>
      </w:r>
      <w:r w:rsidR="003E0F4E" w:rsidRPr="00114FDD">
        <w:rPr>
          <w:sz w:val="26"/>
          <w:szCs w:val="26"/>
        </w:rPr>
        <w:t>2</w:t>
      </w:r>
    </w:p>
    <w:p w:rsidR="00FA4295" w:rsidRPr="00114FDD" w:rsidRDefault="00FA4295" w:rsidP="00FA4295">
      <w:pPr>
        <w:pStyle w:val="p14"/>
        <w:rPr>
          <w:sz w:val="26"/>
          <w:szCs w:val="26"/>
        </w:rPr>
      </w:pPr>
    </w:p>
    <w:p w:rsidR="00621C57" w:rsidRPr="00114FDD" w:rsidRDefault="00FA4295" w:rsidP="00FA4295">
      <w:pPr>
        <w:pStyle w:val="p14"/>
        <w:rPr>
          <w:sz w:val="26"/>
          <w:szCs w:val="26"/>
        </w:rPr>
      </w:pPr>
      <w:r w:rsidRPr="00114FDD">
        <w:rPr>
          <w:sz w:val="26"/>
          <w:szCs w:val="26"/>
        </w:rPr>
        <w:t xml:space="preserve">ORDER ENTERED:  </w:t>
      </w:r>
      <w:r w:rsidR="00621C57">
        <w:rPr>
          <w:sz w:val="26"/>
          <w:szCs w:val="26"/>
        </w:rPr>
        <w:t>September 13, 2012</w:t>
      </w:r>
    </w:p>
    <w:sectPr w:rsidR="00621C57" w:rsidRPr="00114FDD" w:rsidSect="007009E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79" w:rsidRDefault="00275D79" w:rsidP="00FA4295">
      <w:r>
        <w:separator/>
      </w:r>
    </w:p>
    <w:p w:rsidR="00275D79" w:rsidRDefault="00275D79"/>
  </w:endnote>
  <w:endnote w:type="continuationSeparator" w:id="0">
    <w:p w:rsidR="00275D79" w:rsidRDefault="00275D79" w:rsidP="00FA4295">
      <w:r>
        <w:continuationSeparator/>
      </w:r>
    </w:p>
    <w:p w:rsidR="00275D79" w:rsidRDefault="00275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A90" w:rsidRDefault="00143A90">
    <w:pPr>
      <w:pStyle w:val="Footer"/>
      <w:jc w:val="center"/>
    </w:pPr>
    <w:r>
      <w:fldChar w:fldCharType="begin"/>
    </w:r>
    <w:r>
      <w:instrText xml:space="preserve"> PAGE   \* MERGEFORMAT </w:instrText>
    </w:r>
    <w:r>
      <w:fldChar w:fldCharType="separate"/>
    </w:r>
    <w:r w:rsidR="00621C57">
      <w:rPr>
        <w:noProof/>
      </w:rPr>
      <w:t>54</w:t>
    </w:r>
    <w:r>
      <w:rPr>
        <w:noProof/>
      </w:rPr>
      <w:fldChar w:fldCharType="end"/>
    </w:r>
  </w:p>
  <w:p w:rsidR="00143A90" w:rsidRDefault="00143A90">
    <w:pPr>
      <w:pStyle w:val="Footer"/>
    </w:pPr>
  </w:p>
  <w:p w:rsidR="00143A90" w:rsidRDefault="00143A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79" w:rsidRDefault="00275D79" w:rsidP="00FA4295">
      <w:r>
        <w:separator/>
      </w:r>
    </w:p>
    <w:p w:rsidR="00275D79" w:rsidRDefault="00275D79"/>
  </w:footnote>
  <w:footnote w:type="continuationSeparator" w:id="0">
    <w:p w:rsidR="00275D79" w:rsidRDefault="00275D79" w:rsidP="00FA4295">
      <w:r>
        <w:continuationSeparator/>
      </w:r>
    </w:p>
    <w:p w:rsidR="00275D79" w:rsidRDefault="00275D79"/>
  </w:footnote>
  <w:footnote w:id="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Order entered on October 3, 2005, </w:t>
      </w:r>
      <w:r>
        <w:rPr>
          <w:sz w:val="22"/>
          <w:szCs w:val="22"/>
        </w:rPr>
        <w:t xml:space="preserve">at </w:t>
      </w:r>
      <w:r w:rsidRPr="00114FDD">
        <w:rPr>
          <w:sz w:val="22"/>
          <w:szCs w:val="22"/>
        </w:rPr>
        <w:t>Docket N</w:t>
      </w:r>
      <w:r>
        <w:rPr>
          <w:sz w:val="22"/>
          <w:szCs w:val="22"/>
        </w:rPr>
        <w:t xml:space="preserve">o. M-00051865 </w:t>
      </w:r>
      <w:r w:rsidRPr="00114FDD">
        <w:rPr>
          <w:sz w:val="22"/>
          <w:szCs w:val="22"/>
        </w:rPr>
        <w:t>(</w:t>
      </w:r>
      <w:r w:rsidRPr="00DC3AAA">
        <w:rPr>
          <w:sz w:val="22"/>
          <w:szCs w:val="22"/>
        </w:rPr>
        <w:t>October 3, 2005 Order</w:t>
      </w:r>
      <w:r w:rsidRPr="00114FDD">
        <w:rPr>
          <w:sz w:val="22"/>
          <w:szCs w:val="22"/>
        </w:rPr>
        <w:t>).</w:t>
      </w:r>
    </w:p>
  </w:footnote>
  <w:footnote w:id="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As of August 11, 2011, the Bureau of CEEP was eliminated and its functions and staff transferred to the newly created Bureau of Technical Utility Services.  </w:t>
      </w:r>
      <w:r w:rsidRPr="00114FDD">
        <w:rPr>
          <w:i/>
          <w:sz w:val="22"/>
          <w:szCs w:val="22"/>
        </w:rPr>
        <w:t>See Implementation of Act 129 of 2008; Organization of Bureaus and Offices</w:t>
      </w:r>
      <w:r w:rsidRPr="00114FDD">
        <w:rPr>
          <w:sz w:val="22"/>
          <w:szCs w:val="22"/>
        </w:rPr>
        <w:t>, Final Procedural Order, entered August 11, 2011, at Docket No. M-2008-2071852, at page 4.</w:t>
      </w:r>
    </w:p>
  </w:footnote>
  <w:footnote w:id="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w:t>
      </w:r>
      <w:r w:rsidRPr="00114FDD">
        <w:rPr>
          <w:sz w:val="22"/>
          <w:szCs w:val="22"/>
        </w:rPr>
        <w:t xml:space="preserve"> </w:t>
      </w:r>
      <w:r w:rsidRPr="00DC3AAA">
        <w:rPr>
          <w:sz w:val="22"/>
          <w:szCs w:val="22"/>
        </w:rPr>
        <w:t>October 3, 2005 Order</w:t>
      </w:r>
      <w:r w:rsidRPr="00114FDD">
        <w:rPr>
          <w:sz w:val="22"/>
          <w:szCs w:val="22"/>
        </w:rPr>
        <w:t xml:space="preserve"> at page 13.</w:t>
      </w:r>
    </w:p>
  </w:footnote>
  <w:footnote w:id="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 xml:space="preserve">See Energy Efficiency and Conservation Program </w:t>
      </w:r>
      <w:r w:rsidRPr="00114FDD">
        <w:rPr>
          <w:sz w:val="22"/>
          <w:szCs w:val="22"/>
        </w:rPr>
        <w:t>Implementation Order at Docket No. M-2008-2069887, (</w:t>
      </w:r>
      <w:r>
        <w:rPr>
          <w:sz w:val="22"/>
          <w:szCs w:val="22"/>
        </w:rPr>
        <w:t xml:space="preserve">Phase I </w:t>
      </w:r>
      <w:r w:rsidRPr="00DC3AAA">
        <w:rPr>
          <w:sz w:val="22"/>
          <w:szCs w:val="22"/>
        </w:rPr>
        <w:t>Implementation Order</w:t>
      </w:r>
      <w:r w:rsidRPr="00114FDD">
        <w:rPr>
          <w:sz w:val="22"/>
          <w:szCs w:val="22"/>
        </w:rPr>
        <w:t xml:space="preserve">), at page 13, entered January 16, 2009. </w:t>
      </w:r>
    </w:p>
  </w:footnote>
  <w:footnote w:id="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r w:rsidRPr="00114FDD">
        <w:rPr>
          <w:sz w:val="22"/>
          <w:szCs w:val="22"/>
        </w:rPr>
        <w:t>.</w:t>
      </w:r>
    </w:p>
  </w:footnote>
  <w:footnote w:id="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 xml:space="preserve">See Implementation of the Alternative Energy Portfolio Standards Act of 2004:  Standards for the Participation of Demand Side Management Resources – Technical Reference Manual </w:t>
      </w:r>
      <w:r w:rsidRPr="00DC3AAA">
        <w:rPr>
          <w:sz w:val="22"/>
          <w:szCs w:val="22"/>
        </w:rPr>
        <w:t>Update</w:t>
      </w:r>
      <w:r w:rsidRPr="00114FDD">
        <w:rPr>
          <w:sz w:val="22"/>
          <w:szCs w:val="22"/>
        </w:rPr>
        <w:t xml:space="preserve"> Order at Docket No. M</w:t>
      </w:r>
      <w:r w:rsidRPr="00114FDD">
        <w:rPr>
          <w:sz w:val="22"/>
          <w:szCs w:val="22"/>
        </w:rPr>
        <w:noBreakHyphen/>
        <w:t>00051865, (2009 TRM), entered June 1, 2009.</w:t>
      </w:r>
    </w:p>
  </w:footnote>
  <w:footnote w:id="7">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r w:rsidRPr="00114FDD">
        <w:rPr>
          <w:sz w:val="22"/>
          <w:szCs w:val="22"/>
        </w:rPr>
        <w:t>. at pages 17 and 18.</w:t>
      </w:r>
    </w:p>
  </w:footnote>
  <w:footnote w:id="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 Energy Efficiency and Conservation Program</w:t>
      </w:r>
      <w:r w:rsidRPr="00114FDD">
        <w:rPr>
          <w:sz w:val="22"/>
          <w:szCs w:val="22"/>
        </w:rPr>
        <w:t xml:space="preserve"> Implementation Order, at Docket No. M-2012-2289411, (</w:t>
      </w:r>
      <w:r w:rsidRPr="00114FDD">
        <w:rPr>
          <w:i/>
          <w:sz w:val="22"/>
          <w:szCs w:val="22"/>
        </w:rPr>
        <w:t>Phase II Implementation Order</w:t>
      </w:r>
      <w:r w:rsidRPr="00114FDD">
        <w:rPr>
          <w:sz w:val="22"/>
          <w:szCs w:val="22"/>
        </w:rPr>
        <w:t>), entered August 3, 2012, at page 71.</w:t>
      </w:r>
    </w:p>
  </w:footnote>
  <w:footnote w:id="9">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r w:rsidRPr="00114FDD">
        <w:rPr>
          <w:sz w:val="22"/>
          <w:szCs w:val="22"/>
        </w:rPr>
        <w:t>. at page 75.</w:t>
      </w:r>
    </w:p>
  </w:footnote>
  <w:footnote w:id="10">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The PEG is chaired by </w:t>
      </w:r>
      <w:r>
        <w:rPr>
          <w:sz w:val="22"/>
          <w:szCs w:val="22"/>
        </w:rPr>
        <w:t>Commission Staff</w:t>
      </w:r>
      <w:r w:rsidRPr="00114FDD">
        <w:rPr>
          <w:sz w:val="22"/>
          <w:szCs w:val="22"/>
        </w:rPr>
        <w:t xml:space="preserve"> and is comprised of representatives from the EDCs and </w:t>
      </w:r>
      <w:r>
        <w:rPr>
          <w:sz w:val="22"/>
          <w:szCs w:val="22"/>
        </w:rPr>
        <w:t>the SWE</w:t>
      </w:r>
      <w:r w:rsidRPr="00114FDD">
        <w:rPr>
          <w:sz w:val="22"/>
          <w:szCs w:val="22"/>
        </w:rPr>
        <w:t xml:space="preserve"> for the purpose of encouraging discussion of EDC program-specific issues and associated evaluation, measurement and verification.</w:t>
      </w:r>
    </w:p>
  </w:footnote>
  <w:footnote w:id="1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The TWG is chaired by </w:t>
      </w:r>
      <w:r>
        <w:rPr>
          <w:sz w:val="22"/>
          <w:szCs w:val="22"/>
        </w:rPr>
        <w:t>Commission Staff</w:t>
      </w:r>
      <w:r w:rsidRPr="00114FDD">
        <w:rPr>
          <w:sz w:val="22"/>
          <w:szCs w:val="22"/>
        </w:rPr>
        <w:t xml:space="preserve"> and is comprised of representatives from the EDCs, </w:t>
      </w:r>
      <w:r>
        <w:rPr>
          <w:sz w:val="22"/>
          <w:szCs w:val="22"/>
        </w:rPr>
        <w:t>the SWE</w:t>
      </w:r>
      <w:r w:rsidRPr="00114FDD">
        <w:rPr>
          <w:sz w:val="22"/>
          <w:szCs w:val="22"/>
        </w:rPr>
        <w:t xml:space="preserve"> and other interested parties for the purpose of encouraging discussion of the technical issues related to the evaluation, measurement and verification of savings programs to be implemented pursuant to Act 129.</w:t>
      </w:r>
    </w:p>
  </w:footnote>
  <w:footnote w:id="1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The Commission held a </w:t>
      </w:r>
      <w:r>
        <w:rPr>
          <w:sz w:val="22"/>
          <w:szCs w:val="22"/>
        </w:rPr>
        <w:t>TWG</w:t>
      </w:r>
      <w:r w:rsidRPr="00114FDD">
        <w:rPr>
          <w:sz w:val="22"/>
          <w:szCs w:val="22"/>
        </w:rPr>
        <w:t xml:space="preserve"> meeting on August 7, 2012, to provide stakeholders with the opportunity to review proposed high impact changes to residential, commercial and industrial measures, and also allow for a question and answer session regarding those changes.  Additionally, stakeholders had the opportunity to propose any other changes they would like to have made </w:t>
      </w:r>
      <w:r>
        <w:rPr>
          <w:sz w:val="22"/>
          <w:szCs w:val="22"/>
        </w:rPr>
        <w:t>to</w:t>
      </w:r>
      <w:r w:rsidRPr="00114FDD">
        <w:rPr>
          <w:sz w:val="22"/>
          <w:szCs w:val="22"/>
        </w:rPr>
        <w:t xml:space="preserve"> the  TRM.  </w:t>
      </w:r>
    </w:p>
  </w:footnote>
  <w:footnote w:id="1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 Implementation of the Alternative Energy Portfolio Standards Act of 2004:  Standards for the Participation of Demand Side Management Resources – Technical Reference Manual Update</w:t>
      </w:r>
      <w:r w:rsidRPr="00114FDD">
        <w:rPr>
          <w:sz w:val="22"/>
          <w:szCs w:val="22"/>
        </w:rPr>
        <w:t>, Tentative Order at Docket No. M</w:t>
      </w:r>
      <w:r w:rsidRPr="00114FDD">
        <w:rPr>
          <w:sz w:val="22"/>
          <w:szCs w:val="22"/>
        </w:rPr>
        <w:noBreakHyphen/>
        <w:t>00051865, entered February 2, 2010.</w:t>
      </w:r>
    </w:p>
  </w:footnote>
  <w:footnote w:id="1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 Implementation of the Alternative Energy Portfolio Standards Act of 2004:  Standards for the Participation of Demand Side Management Resources – Technical Reference Manual Update</w:t>
      </w:r>
      <w:r w:rsidRPr="00114FDD">
        <w:rPr>
          <w:sz w:val="22"/>
          <w:szCs w:val="22"/>
        </w:rPr>
        <w:t>, Final Order at Docket No. M-00051865, (2010 TRM), entered June 8, 2010.</w:t>
      </w:r>
    </w:p>
  </w:footnote>
  <w:footnote w:id="1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 Implementation of the Alternative Energy Portfolio Standards Act of 2004:  Standards for the Participation of Demand Side Management Resources – Technical Reference Manual Update</w:t>
      </w:r>
      <w:r w:rsidRPr="00114FDD">
        <w:rPr>
          <w:sz w:val="22"/>
          <w:szCs w:val="22"/>
        </w:rPr>
        <w:t>, Tentative Order at Docket No. M</w:t>
      </w:r>
      <w:r w:rsidRPr="00114FDD">
        <w:rPr>
          <w:sz w:val="22"/>
          <w:szCs w:val="22"/>
        </w:rPr>
        <w:noBreakHyphen/>
        <w:t>00051865, entered November 24, 2010.</w:t>
      </w:r>
    </w:p>
  </w:footnote>
  <w:footnote w:id="1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 Implementation of the Alternative Energy Portfolio Standards Act of 2004:  Standards for the Participation of Demand Side Management Resources – Technical Reference Manual Update</w:t>
      </w:r>
      <w:r w:rsidRPr="00114FDD">
        <w:rPr>
          <w:sz w:val="22"/>
          <w:szCs w:val="22"/>
        </w:rPr>
        <w:t>, Final Order at Docket No. M-00051865, (2011 TRM), entered February 28, 2011.</w:t>
      </w:r>
    </w:p>
  </w:footnote>
  <w:footnote w:id="17">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 Implementation of the Alternative Energy Portfolio Standards Act of 2004:  Standards for the Participation of Demand Side Management Resources – Technical Reference Manual 2012 Update</w:t>
      </w:r>
      <w:r w:rsidRPr="00114FDD">
        <w:rPr>
          <w:sz w:val="22"/>
          <w:szCs w:val="22"/>
        </w:rPr>
        <w:t>, Tentative Order at Docket No. M</w:t>
      </w:r>
      <w:r w:rsidRPr="00114FDD">
        <w:rPr>
          <w:sz w:val="22"/>
          <w:szCs w:val="22"/>
        </w:rPr>
        <w:noBreakHyphen/>
        <w:t>00051865, entered September 23, 2011.</w:t>
      </w:r>
    </w:p>
  </w:footnote>
  <w:footnote w:id="18">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114FDD">
        <w:rPr>
          <w:i/>
          <w:sz w:val="22"/>
          <w:szCs w:val="22"/>
        </w:rPr>
        <w:t>See Implementation of the Alternative Energy Portfolio Standards Act of 2004:  Standards for the Participation of Demand Side Management Resources – Technical Reference Manual 2012 Update</w:t>
      </w:r>
      <w:r w:rsidRPr="00114FDD">
        <w:rPr>
          <w:sz w:val="22"/>
          <w:szCs w:val="22"/>
        </w:rPr>
        <w:t>, Final Order at Docket No. M</w:t>
      </w:r>
      <w:r w:rsidRPr="00114FDD">
        <w:rPr>
          <w:sz w:val="22"/>
          <w:szCs w:val="22"/>
        </w:rPr>
        <w:noBreakHyphen/>
        <w:t>00051865, (2012 TRM), entered December 16, 2011.</w:t>
      </w:r>
    </w:p>
  </w:footnote>
  <w:footnote w:id="19">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1.9, page 6, of the 2012 TRM.</w:t>
      </w:r>
    </w:p>
  </w:footnote>
  <w:footnote w:id="20">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2.1.1,</w:t>
      </w:r>
      <w:r>
        <w:rPr>
          <w:sz w:val="22"/>
          <w:szCs w:val="22"/>
        </w:rPr>
        <w:t xml:space="preserve"> pages 15and 16,</w:t>
      </w:r>
      <w:r w:rsidRPr="00114FDD">
        <w:rPr>
          <w:sz w:val="22"/>
          <w:szCs w:val="22"/>
        </w:rPr>
        <w:t xml:space="preserve"> Table 2-1, of the 2012 TRM.</w:t>
      </w:r>
    </w:p>
  </w:footnote>
  <w:footnote w:id="2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The Market Potential Study can be found on the Commission’s website at </w:t>
      </w:r>
      <w:hyperlink r:id="rId1" w:history="1">
        <w:r w:rsidRPr="00114FDD">
          <w:rPr>
            <w:rStyle w:val="Hyperlink"/>
            <w:sz w:val="22"/>
            <w:szCs w:val="22"/>
          </w:rPr>
          <w:t>http://www.puc.state.pa.us/electric/Act_129_info.aspx</w:t>
        </w:r>
      </w:hyperlink>
      <w:r w:rsidRPr="00114FDD">
        <w:rPr>
          <w:sz w:val="22"/>
          <w:szCs w:val="22"/>
        </w:rPr>
        <w:t>.</w:t>
      </w:r>
    </w:p>
  </w:footnote>
  <w:footnote w:id="2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The Residential Baseline Study can be found on the Commission’s website at </w:t>
      </w:r>
      <w:hyperlink r:id="rId2" w:history="1">
        <w:r w:rsidRPr="00114FDD">
          <w:rPr>
            <w:rStyle w:val="Hyperlink"/>
            <w:sz w:val="22"/>
            <w:szCs w:val="22"/>
          </w:rPr>
          <w:t>http://www.puc.state.pa.us/electric/Act_129_info.aspx</w:t>
        </w:r>
      </w:hyperlink>
      <w:r w:rsidRPr="00114FDD">
        <w:rPr>
          <w:sz w:val="22"/>
          <w:szCs w:val="22"/>
        </w:rPr>
        <w:t xml:space="preserve">. </w:t>
      </w:r>
    </w:p>
  </w:footnote>
  <w:footnote w:id="2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Neme, Proctor, Nadal, “National Energy Savings Potential From Addressing Residential HVAC Installation Problems. ACEEE, February 1, 1999.</w:t>
      </w:r>
    </w:p>
  </w:footnote>
  <w:footnote w:id="2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 xml:space="preserve">Central Air Conditioning in Wisconsin, a compilation of recent field research. </w:t>
      </w:r>
      <w:r w:rsidRPr="00114FDD">
        <w:rPr>
          <w:sz w:val="22"/>
          <w:szCs w:val="22"/>
        </w:rPr>
        <w:t xml:space="preserve">Energy Center of Wisconsin. May 2008, </w:t>
      </w:r>
      <w:r>
        <w:rPr>
          <w:sz w:val="22"/>
          <w:szCs w:val="22"/>
        </w:rPr>
        <w:t>a</w:t>
      </w:r>
      <w:r w:rsidRPr="00114FDD">
        <w:rPr>
          <w:sz w:val="22"/>
          <w:szCs w:val="22"/>
        </w:rPr>
        <w:t>mended December 15, 2010.</w:t>
      </w:r>
    </w:p>
  </w:footnote>
  <w:footnote w:id="2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ACCA, “Verifying ACCA Manual S Procedures.” Accessed: </w:t>
      </w:r>
      <w:hyperlink r:id="rId3" w:history="1">
        <w:r w:rsidRPr="00114FDD">
          <w:rPr>
            <w:rStyle w:val="Hyperlink"/>
            <w:sz w:val="22"/>
            <w:szCs w:val="22"/>
          </w:rPr>
          <w:t>http://www.acca.org/Files/?id=67</w:t>
        </w:r>
      </w:hyperlink>
      <w:r w:rsidRPr="00114FDD">
        <w:rPr>
          <w:sz w:val="22"/>
          <w:szCs w:val="22"/>
        </w:rPr>
        <w:t>.</w:t>
      </w:r>
    </w:p>
  </w:footnote>
  <w:footnote w:id="26">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 page 15, Table 2-1</w:t>
      </w:r>
      <w:r>
        <w:rPr>
          <w:sz w:val="22"/>
          <w:szCs w:val="22"/>
        </w:rPr>
        <w:t>,</w:t>
      </w:r>
      <w:r w:rsidRPr="00114FDD">
        <w:rPr>
          <w:sz w:val="22"/>
          <w:szCs w:val="22"/>
        </w:rPr>
        <w:t xml:space="preserve"> of the 2012 TRM.</w:t>
      </w:r>
    </w:p>
  </w:footnote>
  <w:footnote w:id="27">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2.5, page 27, Table 2-6</w:t>
      </w:r>
      <w:r>
        <w:rPr>
          <w:sz w:val="22"/>
          <w:szCs w:val="22"/>
        </w:rPr>
        <w:t xml:space="preserve">, </w:t>
      </w:r>
      <w:r w:rsidRPr="00114FDD">
        <w:rPr>
          <w:sz w:val="22"/>
          <w:szCs w:val="22"/>
        </w:rPr>
        <w:t>of the 2012 TRM.</w:t>
      </w:r>
    </w:p>
  </w:footnote>
  <w:footnote w:id="2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2.11, page 48, Table 2-17, of the 2012 TRM.</w:t>
      </w:r>
    </w:p>
  </w:footnote>
  <w:footnote w:id="29">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2.17, page 69, Table 2-24, of the 2012 TRM.</w:t>
      </w:r>
    </w:p>
  </w:footnote>
  <w:footnote w:id="30">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2.20, page 84, Table 2-32, of the 2012 TRM.</w:t>
      </w:r>
    </w:p>
  </w:footnote>
  <w:footnote w:id="3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2.21, page 89, Table 2-34, of the 2012 TRM.</w:t>
      </w:r>
    </w:p>
  </w:footnote>
  <w:footnote w:id="3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2.1.1, page 12, of the 2011 TRM. </w:t>
      </w:r>
    </w:p>
  </w:footnote>
  <w:footnote w:id="3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Residential ENERGY STAR Lighting, pages 24-26, of the 2009 TRM.</w:t>
      </w:r>
    </w:p>
  </w:footnote>
  <w:footnote w:id="3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4.2: Residential ENERGY STAR Lighting, pages 24-26, of the 2010 TRM.</w:t>
      </w:r>
    </w:p>
  </w:footnote>
  <w:footnote w:id="3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2.26: Residential ENERGY STAR Lighting, pages 106-108, of the 2011 TRM.</w:t>
      </w:r>
    </w:p>
  </w:footnote>
  <w:footnote w:id="3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w:t>
      </w:r>
      <w:r w:rsidRPr="00114FDD">
        <w:rPr>
          <w:i/>
          <w:sz w:val="22"/>
          <w:szCs w:val="22"/>
        </w:rPr>
        <w:t>Implementation of the Alternative Energy Portfolio Standards Act of 2004:  Standards for the Participation of Demand Side Management Resources – Technical Reference Manual Update</w:t>
      </w:r>
      <w:r w:rsidRPr="00114FDD">
        <w:rPr>
          <w:sz w:val="22"/>
          <w:szCs w:val="22"/>
        </w:rPr>
        <w:t xml:space="preserve"> Order at Docket No. M</w:t>
      </w:r>
      <w:r w:rsidRPr="00114FDD">
        <w:rPr>
          <w:sz w:val="22"/>
          <w:szCs w:val="22"/>
        </w:rPr>
        <w:noBreakHyphen/>
        <w:t>00051865, entered February 28, 2011, at page 36.</w:t>
      </w:r>
      <w:r>
        <w:rPr>
          <w:sz w:val="22"/>
          <w:szCs w:val="22"/>
        </w:rPr>
        <w:t xml:space="preserve"> (2011 TRM Final Order) </w:t>
      </w:r>
    </w:p>
  </w:footnote>
  <w:footnote w:id="37">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See </w:t>
      </w:r>
      <w:r w:rsidRPr="00114FDD">
        <w:rPr>
          <w:i/>
          <w:sz w:val="22"/>
          <w:szCs w:val="22"/>
        </w:rPr>
        <w:t>Implementation of the Alternative Energy Portfolio Standards Act of 2004:  Standards for the Participation of Demand Side Management Resources – Technical Reference Manual Update</w:t>
      </w:r>
      <w:r w:rsidRPr="00114FDD">
        <w:rPr>
          <w:sz w:val="22"/>
          <w:szCs w:val="22"/>
        </w:rPr>
        <w:t xml:space="preserve"> Order at Docket No. M</w:t>
      </w:r>
      <w:r w:rsidRPr="00114FDD">
        <w:rPr>
          <w:sz w:val="22"/>
          <w:szCs w:val="22"/>
        </w:rPr>
        <w:noBreakHyphen/>
        <w:t>00051865, entered December 16, 2011, at page 42.</w:t>
      </w:r>
      <w:r>
        <w:rPr>
          <w:sz w:val="22"/>
          <w:szCs w:val="22"/>
        </w:rPr>
        <w:t xml:space="preserve"> (2012 TRM Final Order)</w:t>
      </w:r>
    </w:p>
  </w:footnote>
  <w:footnote w:id="3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“EmPOWER Maryland 2010 Interim Evaluation Report – Chapter 5: Lighting and Appliances” by Navigant Consulting.  Presented to Baltimore Gas and Electric, Potomac Electric Power Company, Delmarva Power and Light, Southern Maryland Electric Cooperative, and Allegheny Power.  Originally submitted January 15, 2011, and updated March 9, 2011. (Maryland Study)</w:t>
      </w:r>
    </w:p>
  </w:footnote>
  <w:footnote w:id="39">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r w:rsidRPr="00114FDD">
        <w:rPr>
          <w:sz w:val="22"/>
          <w:szCs w:val="22"/>
        </w:rPr>
        <w:t>. at page 43.</w:t>
      </w:r>
    </w:p>
  </w:footnote>
  <w:footnote w:id="40">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2.26</w:t>
      </w:r>
      <w:r w:rsidRPr="00114FDD">
        <w:rPr>
          <w:sz w:val="22"/>
          <w:szCs w:val="22"/>
        </w:rPr>
        <w:t>, pages 106-109, of the 2012 TRM.</w:t>
      </w:r>
    </w:p>
  </w:footnote>
  <w:footnote w:id="4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w:t>
      </w:r>
      <w:r>
        <w:rPr>
          <w:sz w:val="22"/>
          <w:szCs w:val="22"/>
        </w:rPr>
        <w:t>2012 TRM Final Order at</w:t>
      </w:r>
      <w:r w:rsidRPr="00114FDD">
        <w:rPr>
          <w:sz w:val="22"/>
          <w:szCs w:val="22"/>
        </w:rPr>
        <w:t xml:space="preserve"> page 42 and 43.</w:t>
      </w:r>
    </w:p>
  </w:footnote>
  <w:footnote w:id="42">
    <w:p w:rsidR="00143A90" w:rsidRPr="00114FDD" w:rsidRDefault="00143A90" w:rsidP="005E33E2">
      <w:pPr>
        <w:pStyle w:val="FootnoteText"/>
        <w:rPr>
          <w:sz w:val="22"/>
          <w:szCs w:val="22"/>
        </w:rPr>
      </w:pPr>
      <w:r w:rsidRPr="00114FDD">
        <w:rPr>
          <w:rStyle w:val="FootnoteReference"/>
          <w:sz w:val="22"/>
          <w:szCs w:val="22"/>
        </w:rPr>
        <w:footnoteRef/>
      </w:r>
      <w:r w:rsidRPr="00C74DF7">
        <w:rPr>
          <w:i/>
          <w:sz w:val="22"/>
          <w:szCs w:val="22"/>
        </w:rPr>
        <w:t xml:space="preserve"> Id</w:t>
      </w:r>
      <w:r w:rsidRPr="00114FDD">
        <w:rPr>
          <w:sz w:val="22"/>
          <w:szCs w:val="22"/>
        </w:rPr>
        <w:t>. at page 43.</w:t>
      </w:r>
    </w:p>
  </w:footnote>
  <w:footnote w:id="4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United States Department of Energy, “2010 U.S. Lighting Market Characterization.” January 2012.</w:t>
      </w:r>
    </w:p>
  </w:footnote>
  <w:footnote w:id="4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Glacier Consulting Group, LLC. “Adjustments to CFL Operating Hours-Residential.” Memo to Oscar Bloch, Wisconsin DOA. June 27, 2005.</w:t>
      </w:r>
    </w:p>
  </w:footnote>
  <w:footnote w:id="4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Nexus Market Research, “Impact Evaluation of the Massachusetts, Rhode Island and Vermont 2003 Residential Lighting Programs”, Final Report, October 1, 2004</w:t>
      </w:r>
      <w:r>
        <w:rPr>
          <w:sz w:val="22"/>
          <w:szCs w:val="22"/>
        </w:rPr>
        <w:t xml:space="preserve"> And </w:t>
      </w:r>
      <w:r w:rsidRPr="00114FDD">
        <w:rPr>
          <w:sz w:val="22"/>
          <w:szCs w:val="22"/>
        </w:rPr>
        <w:t>Nexus Market Research, "Residential Lighting Markdown Impact Evaluation", Final Report, January 20, 2009. (2009 New England Study)</w:t>
      </w:r>
    </w:p>
  </w:footnote>
  <w:footnote w:id="4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CFL Metering Study, Final Report. Prepared for PG&amp;E, SDG&amp;E, and SCE by KEMA, Inc. February 25, 2005 (2005 California Study)</w:t>
      </w:r>
      <w:r>
        <w:rPr>
          <w:sz w:val="22"/>
          <w:szCs w:val="22"/>
        </w:rPr>
        <w:t xml:space="preserve"> and </w:t>
      </w:r>
      <w:r w:rsidRPr="00114FDD">
        <w:rPr>
          <w:rStyle w:val="FootnoteReference"/>
          <w:sz w:val="22"/>
          <w:szCs w:val="22"/>
        </w:rPr>
        <w:footnoteRef/>
      </w:r>
      <w:r w:rsidRPr="00114FDD">
        <w:rPr>
          <w:sz w:val="22"/>
          <w:szCs w:val="22"/>
        </w:rPr>
        <w:t xml:space="preserve"> KEMA, Inc., "Final Evaluation Report: Upstream Lighting Program." Prepared from the California Public Utilities Commission, February 8, 2010 (2010 California Study)</w:t>
      </w:r>
      <w:r>
        <w:rPr>
          <w:sz w:val="22"/>
          <w:szCs w:val="22"/>
        </w:rPr>
        <w:t>.</w:t>
      </w:r>
    </w:p>
  </w:footnote>
  <w:footnote w:id="47">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Nexus Market Research, "Process and Impact Evaluation of the Efficiency Maine Lighting Program", April 2007. (2007 Maine Study)</w:t>
      </w:r>
    </w:p>
  </w:footnote>
  <w:footnote w:id="4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Itron, Inc. "Verification of Reported Energy and Peak Savings from the EmPOWER Maryland Energy Efficiency Programs." Prepared for the Maryland Public Service Commission, April 21, 2011 (2011 Maryland Study)</w:t>
      </w:r>
      <w:r>
        <w:rPr>
          <w:sz w:val="22"/>
          <w:szCs w:val="22"/>
        </w:rPr>
        <w:t>.</w:t>
      </w:r>
    </w:p>
  </w:footnote>
  <w:footnote w:id="49">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TecMarket Works, "Duke Energy Residential Smart Saver CFL Program in North Carolina and South Carolina", February 2011.</w:t>
      </w:r>
    </w:p>
  </w:footnote>
  <w:footnote w:id="50">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The United Illuminating Company and Connecticut Power and Light,</w:t>
      </w:r>
      <w:r w:rsidRPr="00114FDD">
        <w:rPr>
          <w:i/>
          <w:sz w:val="22"/>
          <w:szCs w:val="22"/>
        </w:rPr>
        <w:t xml:space="preserve"> Connecticut Program Savings Documentation for Program Year 2012</w:t>
      </w:r>
      <w:r w:rsidRPr="00114FDD">
        <w:rPr>
          <w:sz w:val="22"/>
          <w:szCs w:val="22"/>
        </w:rPr>
        <w:t>, September 2011</w:t>
      </w:r>
      <w:r>
        <w:rPr>
          <w:sz w:val="22"/>
          <w:szCs w:val="22"/>
        </w:rPr>
        <w:t xml:space="preserve"> (2012 Connecticut TRM).</w:t>
      </w:r>
    </w:p>
  </w:footnote>
  <w:footnote w:id="5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State of Illinois Energy Efficiency Technical Reference Manual</w:t>
      </w:r>
      <w:r w:rsidRPr="00114FDD">
        <w:rPr>
          <w:sz w:val="22"/>
          <w:szCs w:val="22"/>
        </w:rPr>
        <w:t>, June 2012</w:t>
      </w:r>
      <w:r>
        <w:rPr>
          <w:sz w:val="22"/>
          <w:szCs w:val="22"/>
        </w:rPr>
        <w:t xml:space="preserve"> (2012 Illinois TRM).</w:t>
      </w:r>
    </w:p>
  </w:footnote>
  <w:footnote w:id="5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Efficiency Maine Residential Technical Reference Manual No. 2009-1</w:t>
      </w:r>
      <w:r w:rsidRPr="00114FDD">
        <w:rPr>
          <w:sz w:val="22"/>
          <w:szCs w:val="22"/>
        </w:rPr>
        <w:t>, February 2009.</w:t>
      </w:r>
    </w:p>
  </w:footnote>
  <w:footnote w:id="5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Northeast Energy Efficiency Partnerships, </w:t>
      </w:r>
      <w:r w:rsidRPr="00114FDD">
        <w:rPr>
          <w:i/>
          <w:sz w:val="22"/>
          <w:szCs w:val="22"/>
        </w:rPr>
        <w:t>Mid-Atlantic Technical Reference Manual Version 2.0</w:t>
      </w:r>
      <w:r w:rsidRPr="00114FDD">
        <w:rPr>
          <w:sz w:val="22"/>
          <w:szCs w:val="22"/>
        </w:rPr>
        <w:t>, July 2011</w:t>
      </w:r>
      <w:r>
        <w:rPr>
          <w:sz w:val="22"/>
          <w:szCs w:val="22"/>
        </w:rPr>
        <w:t xml:space="preserve"> (2011 Mid-Atlantic TRM).</w:t>
      </w:r>
    </w:p>
  </w:footnote>
  <w:footnote w:id="5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New Jersey Board of Public Utilities, </w:t>
      </w:r>
      <w:r w:rsidRPr="00114FDD">
        <w:rPr>
          <w:i/>
          <w:sz w:val="22"/>
          <w:szCs w:val="22"/>
        </w:rPr>
        <w:t>New Jersey Clean Energy Program Protocols to Measure Resource Savings</w:t>
      </w:r>
      <w:r w:rsidRPr="00114FDD">
        <w:rPr>
          <w:sz w:val="22"/>
          <w:szCs w:val="22"/>
        </w:rPr>
        <w:t>, July 2011.</w:t>
      </w:r>
    </w:p>
  </w:footnote>
  <w:footnote w:id="5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New York Department of Public Service, </w:t>
      </w:r>
      <w:r w:rsidRPr="00114FDD">
        <w:rPr>
          <w:i/>
          <w:sz w:val="22"/>
          <w:szCs w:val="22"/>
        </w:rPr>
        <w:t>New York Standard Approach for Estimating Energy Savings from Energy Efficiency Programs</w:t>
      </w:r>
      <w:r w:rsidRPr="00114FDD">
        <w:rPr>
          <w:sz w:val="22"/>
          <w:szCs w:val="22"/>
        </w:rPr>
        <w:t>, October 2010.</w:t>
      </w:r>
    </w:p>
  </w:footnote>
  <w:footnote w:id="5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Prepared by Vermont Energy Efficiency Corporation for the Public Utilities Commission of Ohio, </w:t>
      </w:r>
      <w:r w:rsidRPr="00114FDD">
        <w:rPr>
          <w:i/>
          <w:sz w:val="22"/>
          <w:szCs w:val="22"/>
        </w:rPr>
        <w:t>State of Ohio Energy Efficiency Technical Reference Manual</w:t>
      </w:r>
      <w:r w:rsidRPr="00114FDD">
        <w:rPr>
          <w:sz w:val="22"/>
          <w:szCs w:val="22"/>
        </w:rPr>
        <w:t>, August 2010</w:t>
      </w:r>
      <w:r>
        <w:rPr>
          <w:sz w:val="22"/>
          <w:szCs w:val="22"/>
        </w:rPr>
        <w:t xml:space="preserve"> (2010 Ohio TRM).</w:t>
      </w:r>
    </w:p>
  </w:footnote>
  <w:footnote w:id="57">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 page 36, Table 2-14, of the 2012 TRM.</w:t>
      </w:r>
    </w:p>
  </w:footnote>
  <w:footnote w:id="5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2.32, page 129, Table 2-54, of the 2012 TRM.</w:t>
      </w:r>
    </w:p>
  </w:footnote>
  <w:footnote w:id="59">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2.33, page 130, Table 2-55 of the 2012 TRM.</w:t>
      </w:r>
    </w:p>
  </w:footnote>
  <w:footnote w:id="60">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2.35, page 135, Table 2-57 of the 2012 TRM.</w:t>
      </w:r>
    </w:p>
  </w:footnote>
  <w:footnote w:id="61">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2.26</w:t>
      </w:r>
      <w:r w:rsidRPr="00114FDD">
        <w:rPr>
          <w:sz w:val="22"/>
          <w:szCs w:val="22"/>
        </w:rPr>
        <w:t>, page 108, Table 2-42, of the 2012 TRM.</w:t>
      </w:r>
    </w:p>
  </w:footnote>
  <w:footnote w:id="6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Pr>
          <w:sz w:val="22"/>
          <w:szCs w:val="22"/>
        </w:rPr>
        <w:t xml:space="preserve"> Section 2.26, </w:t>
      </w:r>
      <w:r w:rsidRPr="00114FDD">
        <w:rPr>
          <w:sz w:val="22"/>
          <w:szCs w:val="22"/>
        </w:rPr>
        <w:t>page 109, T</w:t>
      </w:r>
      <w:r>
        <w:rPr>
          <w:sz w:val="22"/>
          <w:szCs w:val="22"/>
        </w:rPr>
        <w:t>able 2-43 of the 2012 TRM.</w:t>
      </w:r>
    </w:p>
  </w:footnote>
  <w:footnote w:id="63">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2.26, page 108, Table 2-42, of the 2012 TRM.</w:t>
      </w:r>
    </w:p>
  </w:footnote>
  <w:footnote w:id="6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Efficiency Vermont, </w:t>
      </w:r>
      <w:r w:rsidRPr="00114FDD">
        <w:rPr>
          <w:i/>
          <w:sz w:val="22"/>
          <w:szCs w:val="22"/>
        </w:rPr>
        <w:t>Technical Reference User Manual: Measure Savings Algorithms and Cost Assumptions,</w:t>
      </w:r>
      <w:r w:rsidRPr="00114FDD">
        <w:rPr>
          <w:sz w:val="22"/>
          <w:szCs w:val="22"/>
        </w:rPr>
        <w:t xml:space="preserve"> July 2008.</w:t>
      </w:r>
    </w:p>
  </w:footnote>
  <w:footnote w:id="6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ENERGY STAR Ceiling Fan Savings Calculator, updated April 2009.  </w:t>
      </w:r>
    </w:p>
  </w:footnote>
  <w:footnote w:id="6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 xml:space="preserve">See </w:t>
      </w:r>
      <w:r w:rsidRPr="00114FDD">
        <w:rPr>
          <w:sz w:val="22"/>
          <w:szCs w:val="22"/>
        </w:rPr>
        <w:t>42 U.S.C.A. § 6295(i) (West Supp. 2011) and 10 C.F.R. § 430.32(x) (2011).</w:t>
      </w:r>
    </w:p>
  </w:footnote>
  <w:footnote w:id="67">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w:t>
      </w:r>
      <w:r>
        <w:rPr>
          <w:sz w:val="22"/>
          <w:szCs w:val="22"/>
        </w:rPr>
        <w:t>2.26,</w:t>
      </w:r>
      <w:r w:rsidRPr="00114FDD">
        <w:rPr>
          <w:sz w:val="22"/>
          <w:szCs w:val="22"/>
        </w:rPr>
        <w:t xml:space="preserve"> pages 106-109, of the 2012 TRM.</w:t>
      </w:r>
    </w:p>
  </w:footnote>
  <w:footnote w:id="6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Pr>
          <w:sz w:val="22"/>
          <w:szCs w:val="22"/>
        </w:rPr>
        <w:t xml:space="preserve"> pages 21-29 of the 2011 Mid-Atlantic TRM.</w:t>
      </w:r>
    </w:p>
  </w:footnote>
  <w:footnote w:id="69">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2.6, page 36, Table 2-14, of the 2012 TRM.</w:t>
      </w:r>
    </w:p>
  </w:footnote>
  <w:footnote w:id="70">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2.35, page 136, Table 2-58, of the 2012 TRM.</w:t>
      </w:r>
    </w:p>
  </w:footnote>
  <w:footnote w:id="71">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2.32</w:t>
      </w:r>
      <w:r w:rsidRPr="00114FDD">
        <w:rPr>
          <w:sz w:val="22"/>
          <w:szCs w:val="22"/>
        </w:rPr>
        <w:t>, pages 126-128, of the 2012 TRM.</w:t>
      </w:r>
    </w:p>
  </w:footnote>
  <w:footnote w:id="72">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Pr>
          <w:i/>
          <w:sz w:val="22"/>
          <w:szCs w:val="22"/>
        </w:rPr>
        <w:t xml:space="preserve">See </w:t>
      </w:r>
      <w:r>
        <w:rPr>
          <w:sz w:val="22"/>
          <w:szCs w:val="22"/>
        </w:rPr>
        <w:t>Section 2.25</w:t>
      </w:r>
      <w:r w:rsidRPr="00114FDD">
        <w:rPr>
          <w:sz w:val="22"/>
          <w:szCs w:val="22"/>
        </w:rPr>
        <w:t>, pages 100-105, of the 2012 TRM.</w:t>
      </w:r>
    </w:p>
  </w:footnote>
  <w:footnote w:id="73">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Pr>
          <w:i/>
          <w:sz w:val="22"/>
          <w:szCs w:val="22"/>
        </w:rPr>
        <w:t xml:space="preserve">See </w:t>
      </w:r>
      <w:r>
        <w:rPr>
          <w:sz w:val="22"/>
          <w:szCs w:val="22"/>
        </w:rPr>
        <w:t>Section 2.25</w:t>
      </w:r>
      <w:r w:rsidRPr="00114FDD">
        <w:rPr>
          <w:sz w:val="22"/>
          <w:szCs w:val="22"/>
        </w:rPr>
        <w:t>, pages 102-104, Table 2-40 and Table 2-41, of the 2012 TRM.</w:t>
      </w:r>
    </w:p>
  </w:footnote>
  <w:footnote w:id="7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United States Department of Energy, “January 19, 2012 EPA Memo to Stakeholders,” January 19, 2012. </w:t>
      </w:r>
      <w:hyperlink r:id="rId4" w:history="1">
        <w:r w:rsidRPr="00114FDD">
          <w:rPr>
            <w:rStyle w:val="Hyperlink"/>
            <w:sz w:val="22"/>
            <w:szCs w:val="22"/>
          </w:rPr>
          <w:t>http://www.energystar.gov/ia/partners/downloads/EPA_Cover_Letter_ME_2012.pdf?2a4f-819c</w:t>
        </w:r>
      </w:hyperlink>
      <w:r w:rsidRPr="00114FDD">
        <w:rPr>
          <w:sz w:val="22"/>
          <w:szCs w:val="22"/>
        </w:rPr>
        <w:t xml:space="preserve">. </w:t>
      </w:r>
    </w:p>
  </w:footnote>
  <w:footnote w:id="75">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 xml:space="preserve"> The CA 2004-05 and 2006-08 regression models can be found within their respective evaluation reports at </w:t>
      </w:r>
      <w:hyperlink r:id="rId5" w:history="1">
        <w:r w:rsidRPr="00114FDD">
          <w:rPr>
            <w:rStyle w:val="Hyperlink"/>
            <w:sz w:val="22"/>
            <w:szCs w:val="22"/>
          </w:rPr>
          <w:t>www.calmac.org</w:t>
        </w:r>
      </w:hyperlink>
      <w:r w:rsidRPr="00114FDD">
        <w:rPr>
          <w:sz w:val="22"/>
          <w:szCs w:val="22"/>
        </w:rPr>
        <w:t xml:space="preserve">. </w:t>
      </w:r>
    </w:p>
  </w:footnote>
  <w:footnote w:id="76">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 xml:space="preserve"> See 2012 TRM Final Order at page 48.</w:t>
      </w:r>
    </w:p>
  </w:footnote>
  <w:footnote w:id="77">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 xml:space="preserve"> See U.S. Department of Energy, draft Uniform Methods Project protocol titled “Refrigerator Recycling Evaluation Protocol”, prepared by Doug Bruchs of the Cadmus Group, July 2012,</w:t>
      </w:r>
    </w:p>
    <w:p w:rsidR="00143A90" w:rsidRPr="00114FDD" w:rsidRDefault="00275D79" w:rsidP="00143A90">
      <w:pPr>
        <w:pStyle w:val="FootnoteText"/>
        <w:rPr>
          <w:sz w:val="22"/>
          <w:szCs w:val="22"/>
        </w:rPr>
      </w:pPr>
      <w:hyperlink r:id="rId6" w:history="1">
        <w:r w:rsidR="00143A90" w:rsidRPr="00114FDD">
          <w:rPr>
            <w:rStyle w:val="Hyperlink"/>
            <w:sz w:val="22"/>
            <w:szCs w:val="22"/>
          </w:rPr>
          <w:t>http://ump.pnnl.gov/showthread.php/4902-Refrigerator-Recycling-Evaluation-Protocol</w:t>
        </w:r>
      </w:hyperlink>
      <w:r w:rsidR="00143A90">
        <w:rPr>
          <w:sz w:val="22"/>
          <w:szCs w:val="22"/>
        </w:rPr>
        <w:t>. (US DOE Uniform Methods Project)</w:t>
      </w:r>
    </w:p>
  </w:footnote>
  <w:footnote w:id="78">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 xml:space="preserve"> 2009-2010 Pacific Power/Rocky Mountain Power Impact Evaluations - PacifiCorp has impact evaluations for CA, ID, UT, WA, and WY that contain an earlier version of the multi-state Appliance Recycling Program regression models for both refrigerators and freezers. The SWE and Commission staff reviewed the report for the State of Washington, but all states include the same models and are publicly available online.</w:t>
      </w:r>
    </w:p>
    <w:p w:rsidR="00143A90" w:rsidRPr="00114FDD" w:rsidRDefault="00275D79" w:rsidP="00143A90">
      <w:pPr>
        <w:pStyle w:val="FootnoteText"/>
        <w:rPr>
          <w:sz w:val="22"/>
          <w:szCs w:val="22"/>
        </w:rPr>
      </w:pPr>
      <w:hyperlink r:id="rId7" w:history="1">
        <w:r w:rsidR="00143A90" w:rsidRPr="00114FDD">
          <w:rPr>
            <w:rStyle w:val="Hyperlink"/>
            <w:sz w:val="22"/>
            <w:szCs w:val="22"/>
          </w:rPr>
          <w:t>http://www.pacificorp.com/content/dam/pacificorp/doc/Energy_Sources/Demand_Side_Management/WA_2011_SYLR_Final_Report.pdf</w:t>
        </w:r>
      </w:hyperlink>
      <w:r w:rsidR="00143A90" w:rsidRPr="00114FDD">
        <w:rPr>
          <w:sz w:val="22"/>
          <w:szCs w:val="22"/>
        </w:rPr>
        <w:t>.</w:t>
      </w:r>
    </w:p>
  </w:footnote>
  <w:footnote w:id="79">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 xml:space="preserve"> 2010 Ontario Power Authority Impact Evaluation - This evaluation report contains a regression equation for annual consumption for refrigerators only.</w:t>
      </w:r>
    </w:p>
    <w:p w:rsidR="00143A90" w:rsidRPr="00114FDD" w:rsidRDefault="00275D79" w:rsidP="00143A90">
      <w:pPr>
        <w:pStyle w:val="FootnoteText"/>
        <w:rPr>
          <w:sz w:val="22"/>
          <w:szCs w:val="22"/>
        </w:rPr>
      </w:pPr>
      <w:hyperlink r:id="rId8" w:history="1">
        <w:r w:rsidR="00143A90" w:rsidRPr="00114FDD">
          <w:rPr>
            <w:rStyle w:val="Hyperlink"/>
            <w:sz w:val="22"/>
            <w:szCs w:val="22"/>
          </w:rPr>
          <w:t>http://www.powerauthority.on.ca/sites/default/files/new_files/2010/2010%20Residential%20Great%20Refrigerator%20Roundup%20Program%20Evaluation.pdf</w:t>
        </w:r>
      </w:hyperlink>
      <w:r w:rsidR="00143A90" w:rsidRPr="00114FDD">
        <w:rPr>
          <w:sz w:val="22"/>
          <w:szCs w:val="22"/>
        </w:rPr>
        <w:t xml:space="preserve">. See page 10 for the regression equation. </w:t>
      </w:r>
    </w:p>
  </w:footnote>
  <w:footnote w:id="80">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 xml:space="preserve"> Cadmus Memo - August 20, 2012 Technical Memo from the Cadmus Group to the Michigan Evaluation Working Group on the topic of Appliance Recycling Measure Savings Study. This memo summarizes research on the energy savings of recycled refrigerators and freezers conducted by The Cadmus Group, Inc. and Opinion Dynamics (together known as the evaluation team) on behalf Consumers Energy (Consumers) and DTE Energy (DTE). This memo provides an overview of the research conducted and Cadmus’ recommendations for deemed per-unit energy and demand savings values for affected measures in the Michigan Energy Measures Database (MEMD).</w:t>
      </w:r>
    </w:p>
  </w:footnote>
  <w:footnote w:id="81">
    <w:p w:rsidR="00143A90" w:rsidRPr="000C1D95" w:rsidRDefault="00143A90" w:rsidP="00143A90">
      <w:pPr>
        <w:pStyle w:val="FootnoteText"/>
        <w:rPr>
          <w:sz w:val="22"/>
          <w:szCs w:val="22"/>
        </w:rPr>
      </w:pPr>
      <w:r w:rsidRPr="000C1D95">
        <w:rPr>
          <w:rStyle w:val="FootnoteReference"/>
          <w:sz w:val="22"/>
          <w:szCs w:val="22"/>
        </w:rPr>
        <w:footnoteRef/>
      </w:r>
      <w:r w:rsidRPr="000C1D95">
        <w:rPr>
          <w:sz w:val="22"/>
          <w:szCs w:val="22"/>
        </w:rPr>
        <w:t xml:space="preserve"> Rounding differences have been accounted for by providing deemed savings values rounded to the nearest kWh.</w:t>
      </w:r>
    </w:p>
  </w:footnote>
  <w:footnote w:id="82">
    <w:p w:rsidR="00143A90" w:rsidRPr="00114FDD" w:rsidRDefault="00143A90" w:rsidP="00143A90">
      <w:pPr>
        <w:pStyle w:val="FootnoteText"/>
        <w:rPr>
          <w:sz w:val="22"/>
          <w:szCs w:val="22"/>
        </w:rPr>
      </w:pPr>
      <w:r w:rsidRPr="00114FDD">
        <w:rPr>
          <w:sz w:val="22"/>
          <w:szCs w:val="22"/>
          <w:vertAlign w:val="superscript"/>
        </w:rPr>
        <w:footnoteRef/>
      </w:r>
      <w:r>
        <w:rPr>
          <w:sz w:val="22"/>
          <w:szCs w:val="22"/>
        </w:rPr>
        <w:t xml:space="preserve"> </w:t>
      </w:r>
      <w:r w:rsidRPr="00114FDD">
        <w:rPr>
          <w:sz w:val="22"/>
          <w:szCs w:val="22"/>
        </w:rPr>
        <w:t>The average annual unit energy consumption of pa</w:t>
      </w:r>
      <w:r>
        <w:rPr>
          <w:sz w:val="22"/>
          <w:szCs w:val="22"/>
        </w:rPr>
        <w:t>rticipating refrigerators is 967</w:t>
      </w:r>
      <w:r w:rsidRPr="00114FDD">
        <w:rPr>
          <w:sz w:val="22"/>
          <w:szCs w:val="22"/>
        </w:rPr>
        <w:t xml:space="preserve"> kWh based on the PY3 data.</w:t>
      </w:r>
    </w:p>
  </w:footnote>
  <w:footnote w:id="83">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The average refrigerator was plugged in 96</w:t>
      </w:r>
      <w:r>
        <w:rPr>
          <w:sz w:val="22"/>
          <w:szCs w:val="22"/>
        </w:rPr>
        <w:t>.9</w:t>
      </w:r>
      <w:r w:rsidRPr="00114FDD">
        <w:rPr>
          <w:sz w:val="22"/>
          <w:szCs w:val="22"/>
        </w:rPr>
        <w:t>% of the year based on PY3 data.</w:t>
      </w:r>
    </w:p>
  </w:footnote>
  <w:footnote w:id="84">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 xml:space="preserve"> </w:t>
      </w:r>
      <w:r>
        <w:rPr>
          <w:sz w:val="22"/>
          <w:szCs w:val="22"/>
        </w:rPr>
        <w:t xml:space="preserve">See </w:t>
      </w:r>
      <w:r w:rsidRPr="00114FDD">
        <w:rPr>
          <w:sz w:val="22"/>
          <w:szCs w:val="22"/>
        </w:rPr>
        <w:t xml:space="preserve">U.S. </w:t>
      </w:r>
      <w:r>
        <w:rPr>
          <w:sz w:val="22"/>
          <w:szCs w:val="22"/>
        </w:rPr>
        <w:t>DOE</w:t>
      </w:r>
      <w:r w:rsidRPr="00114FDD">
        <w:rPr>
          <w:sz w:val="22"/>
          <w:szCs w:val="22"/>
        </w:rPr>
        <w:t xml:space="preserve"> Uniform Methods Projec</w:t>
      </w:r>
      <w:r>
        <w:rPr>
          <w:sz w:val="22"/>
          <w:szCs w:val="22"/>
        </w:rPr>
        <w:t>t.</w:t>
      </w:r>
    </w:p>
  </w:footnote>
  <w:footnote w:id="85">
    <w:p w:rsidR="00143A90" w:rsidRPr="00114FDD" w:rsidRDefault="00143A90" w:rsidP="00143A90">
      <w:pPr>
        <w:pStyle w:val="FootnoteText"/>
        <w:rPr>
          <w:sz w:val="22"/>
          <w:szCs w:val="22"/>
        </w:rPr>
      </w:pPr>
      <w:r w:rsidRPr="00114FDD">
        <w:rPr>
          <w:rStyle w:val="FootnoteReference"/>
          <w:sz w:val="22"/>
          <w:szCs w:val="22"/>
        </w:rPr>
        <w:footnoteRef/>
      </w:r>
      <w:r w:rsidRPr="00114FDD">
        <w:rPr>
          <w:sz w:val="22"/>
          <w:szCs w:val="22"/>
        </w:rPr>
        <w:t xml:space="preserve"> Average values used for each independent variable in the regression equation are based upon the entire fleet of refrigerators for all Pennsylvania EDCs removed during Act 129 PY3. </w:t>
      </w:r>
    </w:p>
  </w:footnote>
  <w:footnote w:id="86">
    <w:p w:rsidR="00A47DBE" w:rsidRDefault="00A47DBE" w:rsidP="00A47DBE">
      <w:pPr>
        <w:pStyle w:val="FootnoteText"/>
      </w:pPr>
      <w:r>
        <w:rPr>
          <w:rStyle w:val="FootnoteReference"/>
        </w:rPr>
        <w:footnoteRef/>
      </w:r>
      <w:r>
        <w:t xml:space="preserve"> Rounding differences have been accounted for by providing deemed savings values rounded to the nearest kWh.</w:t>
      </w:r>
    </w:p>
  </w:footnote>
  <w:footnote w:id="87">
    <w:p w:rsidR="00A47DBE" w:rsidRPr="00114FDD" w:rsidRDefault="00A47DBE" w:rsidP="00A47DBE">
      <w:pPr>
        <w:pStyle w:val="FootnoteText"/>
        <w:rPr>
          <w:sz w:val="22"/>
          <w:szCs w:val="22"/>
        </w:rPr>
      </w:pPr>
      <w:r w:rsidRPr="00114FDD">
        <w:rPr>
          <w:rStyle w:val="FootnoteReference"/>
          <w:sz w:val="22"/>
          <w:szCs w:val="22"/>
        </w:rPr>
        <w:footnoteRef/>
      </w:r>
      <w:r w:rsidRPr="00114FDD">
        <w:rPr>
          <w:sz w:val="22"/>
          <w:szCs w:val="22"/>
        </w:rPr>
        <w:t xml:space="preserve"> See Cadmus Memo - August 20, 2012 Technical Memo from the Cadmus Group to the Michigan Evaluation Working Group on the topic of Appliance Recycling Measure Savings Study. This memo summarizes research on the energy savings of recycled refrigerators and freezers conducted by The Cadmus Group, Inc. and Opinion Dynamics (together known as the evaluation team) on behalf Consumers Energy (Consumers) and DTE Energy (DTE). This memo provides an overview of the research conducted and Cadmus’ recommendations for deemed per-unit energy and demand savings values for affected measures in the Michigan Energy Measures Database (MEMD)</w:t>
      </w:r>
      <w:r>
        <w:rPr>
          <w:sz w:val="22"/>
          <w:szCs w:val="22"/>
        </w:rPr>
        <w:t>. (Cadmus Memo)</w:t>
      </w:r>
    </w:p>
  </w:footnote>
  <w:footnote w:id="88">
    <w:p w:rsidR="00A47DBE" w:rsidRPr="00114FDD" w:rsidRDefault="00A47DBE" w:rsidP="00A47DBE">
      <w:pPr>
        <w:pStyle w:val="FootnoteText"/>
        <w:rPr>
          <w:sz w:val="22"/>
          <w:szCs w:val="22"/>
        </w:rPr>
      </w:pPr>
      <w:r w:rsidRPr="00114FDD">
        <w:rPr>
          <w:rStyle w:val="FootnoteReference"/>
          <w:sz w:val="22"/>
          <w:szCs w:val="22"/>
        </w:rPr>
        <w:footnoteRef/>
      </w:r>
      <w:r w:rsidRPr="00114FDD">
        <w:rPr>
          <w:sz w:val="22"/>
          <w:szCs w:val="22"/>
        </w:rPr>
        <w:t xml:space="preserve"> 2009-2010 Pacific Power/Rocky Mountain Power Impact Evaluations - PacifiCorp has impact evaluations for CA, ID, UT, WA, and WY that contain an earlier version of the multi-state Appliance Recycling Program regression models for both refrigerators and freezers. The SWE and Commission staff reviewed the report for the State of Washington, but all states include the same models and are publicly available online</w:t>
      </w:r>
    </w:p>
    <w:p w:rsidR="00A47DBE" w:rsidRPr="00114FDD" w:rsidRDefault="00275D79" w:rsidP="00A47DBE">
      <w:pPr>
        <w:pStyle w:val="FootnoteText"/>
        <w:rPr>
          <w:sz w:val="22"/>
          <w:szCs w:val="22"/>
        </w:rPr>
      </w:pPr>
      <w:hyperlink r:id="rId9" w:history="1">
        <w:r w:rsidR="00A47DBE" w:rsidRPr="00114FDD">
          <w:rPr>
            <w:rStyle w:val="Hyperlink"/>
            <w:sz w:val="22"/>
            <w:szCs w:val="22"/>
          </w:rPr>
          <w:t>http://www.pacificorp.com/content/dam/pacificorp/doc/Energy_Sources/Demand_Side_Management/WA_2011_SYLR_Final_Report.pdf</w:t>
        </w:r>
      </w:hyperlink>
      <w:r w:rsidR="00A47DBE" w:rsidRPr="00114FDD">
        <w:rPr>
          <w:sz w:val="22"/>
          <w:szCs w:val="22"/>
        </w:rPr>
        <w:t>.</w:t>
      </w:r>
    </w:p>
  </w:footnote>
  <w:footnote w:id="89">
    <w:p w:rsidR="00A47DBE" w:rsidRPr="00114FDD" w:rsidRDefault="00A47DBE" w:rsidP="00A47DBE">
      <w:pPr>
        <w:pStyle w:val="FootnoteText"/>
        <w:rPr>
          <w:sz w:val="22"/>
          <w:szCs w:val="22"/>
        </w:rPr>
      </w:pPr>
      <w:r w:rsidRPr="00114FDD">
        <w:rPr>
          <w:rStyle w:val="FootnoteReference"/>
          <w:sz w:val="22"/>
          <w:szCs w:val="22"/>
        </w:rPr>
        <w:footnoteRef/>
      </w:r>
      <w:r w:rsidRPr="00114FDD">
        <w:rPr>
          <w:sz w:val="22"/>
          <w:szCs w:val="22"/>
        </w:rPr>
        <w:t xml:space="preserve"> 2010 Ontario Power Authority Impact Evaluation - This evaluation report contains a regression equation for annual consumption for refrigerators only (the freezer sample was too small).</w:t>
      </w:r>
    </w:p>
    <w:p w:rsidR="00A47DBE" w:rsidRPr="00114FDD" w:rsidRDefault="00275D79" w:rsidP="00A47DBE">
      <w:pPr>
        <w:pStyle w:val="FootnoteText"/>
        <w:rPr>
          <w:sz w:val="22"/>
          <w:szCs w:val="22"/>
        </w:rPr>
      </w:pPr>
      <w:hyperlink r:id="rId10" w:history="1">
        <w:r w:rsidR="00A47DBE" w:rsidRPr="00114FDD">
          <w:rPr>
            <w:rStyle w:val="Hyperlink"/>
            <w:sz w:val="22"/>
            <w:szCs w:val="22"/>
          </w:rPr>
          <w:t>http://www.powerauthority.on.ca/sites/default/files/new_files/2010/2010%20Residential%20Great%20Refrigerator%20Roundup%20Program%20Evaluation.pdf</w:t>
        </w:r>
      </w:hyperlink>
      <w:r w:rsidR="00A47DBE" w:rsidRPr="00114FDD">
        <w:rPr>
          <w:sz w:val="22"/>
          <w:szCs w:val="22"/>
        </w:rPr>
        <w:t>. See page 10 for the regression equation.</w:t>
      </w:r>
    </w:p>
  </w:footnote>
  <w:footnote w:id="90">
    <w:p w:rsidR="00A47DBE" w:rsidRDefault="00A47DBE" w:rsidP="00A47DBE">
      <w:pPr>
        <w:pStyle w:val="FootnoteText"/>
      </w:pPr>
      <w:r>
        <w:rPr>
          <w:rStyle w:val="FootnoteReference"/>
        </w:rPr>
        <w:footnoteRef/>
      </w:r>
      <w:r>
        <w:t xml:space="preserve"> The average freezer was plugged in 98.5% fo the year based on PY3 data.</w:t>
      </w:r>
    </w:p>
  </w:footnote>
  <w:footnote w:id="91">
    <w:p w:rsidR="00A47DBE" w:rsidRPr="00114FDD" w:rsidRDefault="00A47DBE" w:rsidP="00A47DBE">
      <w:pPr>
        <w:pStyle w:val="FootnoteText"/>
        <w:rPr>
          <w:sz w:val="22"/>
          <w:szCs w:val="22"/>
        </w:rPr>
      </w:pPr>
      <w:r w:rsidRPr="00114FDD">
        <w:rPr>
          <w:rStyle w:val="FootnoteReference"/>
          <w:sz w:val="22"/>
          <w:szCs w:val="22"/>
        </w:rPr>
        <w:footnoteRef/>
      </w:r>
      <w:r w:rsidRPr="00114FDD">
        <w:rPr>
          <w:sz w:val="22"/>
          <w:szCs w:val="22"/>
        </w:rPr>
        <w:t xml:space="preserve"> </w:t>
      </w:r>
      <w:r>
        <w:rPr>
          <w:sz w:val="22"/>
          <w:szCs w:val="22"/>
        </w:rPr>
        <w:t>See Cadmus M</w:t>
      </w:r>
      <w:r w:rsidRPr="00114FDD">
        <w:rPr>
          <w:sz w:val="22"/>
          <w:szCs w:val="22"/>
        </w:rPr>
        <w:t>emo</w:t>
      </w:r>
      <w:r>
        <w:rPr>
          <w:sz w:val="22"/>
          <w:szCs w:val="22"/>
        </w:rPr>
        <w:t>.</w:t>
      </w:r>
    </w:p>
  </w:footnote>
  <w:footnote w:id="92">
    <w:p w:rsidR="00A47DBE" w:rsidRPr="00114FDD" w:rsidRDefault="00A47DBE" w:rsidP="00A47DBE">
      <w:pPr>
        <w:pStyle w:val="FootnoteText"/>
        <w:rPr>
          <w:sz w:val="22"/>
          <w:szCs w:val="22"/>
        </w:rPr>
      </w:pPr>
      <w:r w:rsidRPr="00114FDD">
        <w:rPr>
          <w:rStyle w:val="FootnoteReference"/>
          <w:sz w:val="22"/>
          <w:szCs w:val="22"/>
        </w:rPr>
        <w:footnoteRef/>
      </w:r>
      <w:r w:rsidRPr="00114FDD">
        <w:rPr>
          <w:sz w:val="22"/>
          <w:szCs w:val="22"/>
        </w:rPr>
        <w:t xml:space="preserve"> Average values used for each independent variable in the regression equation are based upon the entire fleet of refrigerators for all Pennsylvania EDCs removed during Act 129 PY3. </w:t>
      </w:r>
    </w:p>
  </w:footnote>
  <w:footnote w:id="93">
    <w:p w:rsidR="00143A90" w:rsidRPr="00114FDD" w:rsidRDefault="00143A90" w:rsidP="005E33E2">
      <w:pPr>
        <w:pStyle w:val="source1"/>
        <w:numPr>
          <w:ilvl w:val="0"/>
          <w:numId w:val="0"/>
        </w:numPr>
        <w:spacing w:after="0" w:line="240" w:lineRule="auto"/>
        <w:rPr>
          <w:rFonts w:ascii="Times New Roman" w:hAnsi="Times New Roman" w:cs="Times New Roman"/>
          <w:sz w:val="22"/>
          <w:szCs w:val="22"/>
        </w:rPr>
      </w:pPr>
      <w:r w:rsidRPr="00114FDD">
        <w:rPr>
          <w:rStyle w:val="FootnoteReference"/>
          <w:sz w:val="22"/>
          <w:szCs w:val="22"/>
        </w:rPr>
        <w:footnoteRef/>
      </w:r>
      <w:r w:rsidRPr="00114FDD">
        <w:rPr>
          <w:rFonts w:ascii="Times New Roman" w:hAnsi="Times New Roman" w:cs="Times New Roman"/>
          <w:sz w:val="22"/>
          <w:szCs w:val="22"/>
        </w:rPr>
        <w:t xml:space="preserve"> Energy Conservation Program for Consumer Products: Test Procedure for Water Heaters”, Federal Register / Vol. 63, No. 90, at page 25996.</w:t>
      </w:r>
    </w:p>
  </w:footnote>
  <w:footnote w:id="9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r w:rsidRPr="00114FDD">
        <w:rPr>
          <w:sz w:val="22"/>
          <w:szCs w:val="22"/>
        </w:rPr>
        <w:t xml:space="preserve"> at pages 26005 and 26006.</w:t>
      </w:r>
    </w:p>
  </w:footnote>
  <w:footnote w:id="9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U.S. DOE EERE Water Heaters Technical Support Document from January 17, 2001, Final Rule, Chapter 9: Life-Cycle Cost Analysis, at pages 9-14. </w:t>
      </w:r>
    </w:p>
  </w:footnote>
  <w:footnote w:id="9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Baseline Results and Methodology of the Consumer Sub-Group Analysis for Residential Water Heater Efficiency Standards</w:t>
      </w:r>
      <w:r w:rsidRPr="00114FDD">
        <w:rPr>
          <w:sz w:val="22"/>
          <w:szCs w:val="22"/>
        </w:rPr>
        <w:t>, Submitted to U.S. DOE, October 1998.</w:t>
      </w:r>
    </w:p>
  </w:footnote>
  <w:footnote w:id="97">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Thomas, M. et al. “A New Study of Hot Water Use in Canada” Natural Resources Canada. Presented at ASHRAE Winter Meeting, Las Vegas, NV (2011).</w:t>
      </w:r>
    </w:p>
  </w:footnote>
  <w:footnote w:id="9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2.3, page 22, Table 2-2, of the 2012 TRM.</w:t>
      </w:r>
    </w:p>
  </w:footnote>
  <w:footnote w:id="99">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2.6, page 32, Table 2-12, of the 2012 TRM.</w:t>
      </w:r>
    </w:p>
  </w:footnote>
  <w:footnote w:id="100">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2.14, page 58, Table 2-22, of the 2012 TRM.</w:t>
      </w:r>
    </w:p>
  </w:footnote>
  <w:footnote w:id="10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2.15, page 62, of the 2012 TRM.</w:t>
      </w:r>
    </w:p>
  </w:footnote>
  <w:footnote w:id="10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2.18, page 74, Table 2-26, of the 2012 TRM.</w:t>
      </w:r>
    </w:p>
  </w:footnote>
  <w:footnote w:id="10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2.19, page 78, Table 2-29, of the 2012 TRM.</w:t>
      </w:r>
    </w:p>
  </w:footnote>
  <w:footnote w:id="10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Sections 2.9 and 2.10, pages 42 and 45, of the 201</w:t>
      </w:r>
      <w:r>
        <w:rPr>
          <w:sz w:val="22"/>
          <w:szCs w:val="22"/>
        </w:rPr>
        <w:t>2</w:t>
      </w:r>
      <w:r w:rsidRPr="00114FDD">
        <w:rPr>
          <w:sz w:val="22"/>
          <w:szCs w:val="22"/>
        </w:rPr>
        <w:t xml:space="preserve"> TRM.</w:t>
      </w:r>
    </w:p>
  </w:footnote>
  <w:footnote w:id="10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U.S. DOE EERE Energy Savers, </w:t>
      </w:r>
      <w:hyperlink r:id="rId11" w:history="1">
        <w:r w:rsidRPr="00114FDD">
          <w:rPr>
            <w:rStyle w:val="Hyperlink"/>
            <w:sz w:val="22"/>
            <w:szCs w:val="22"/>
          </w:rPr>
          <w:t>http://www.energysavers.gov/your_home/water_heating/index.cfm/mytopic=13000</w:t>
        </w:r>
      </w:hyperlink>
      <w:r w:rsidRPr="00114FDD">
        <w:rPr>
          <w:sz w:val="22"/>
          <w:szCs w:val="22"/>
        </w:rPr>
        <w:t>.</w:t>
      </w:r>
    </w:p>
  </w:footnote>
  <w:footnote w:id="106">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See the 2010 Ohio TRM at page 90 and the 2011 Mid-Atlantic TRM at page 83.</w:t>
      </w:r>
    </w:p>
  </w:footnote>
  <w:footnote w:id="107">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2.9, page 42</w:t>
      </w:r>
      <w:r>
        <w:rPr>
          <w:sz w:val="22"/>
          <w:szCs w:val="22"/>
        </w:rPr>
        <w:t>,</w:t>
      </w:r>
      <w:r w:rsidRPr="00114FDD">
        <w:rPr>
          <w:sz w:val="22"/>
          <w:szCs w:val="22"/>
        </w:rPr>
        <w:t xml:space="preserve"> Table 2-16, of the 2012 TRM.</w:t>
      </w:r>
    </w:p>
  </w:footnote>
  <w:footnote w:id="10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2.9, page 42, of the 2012 TRM.</w:t>
      </w:r>
    </w:p>
  </w:footnote>
  <w:footnote w:id="109">
    <w:p w:rsidR="00143A90" w:rsidRPr="00114FDD" w:rsidRDefault="00143A90" w:rsidP="005E33E2">
      <w:pPr>
        <w:pStyle w:val="FootnoteText"/>
        <w:rPr>
          <w:i/>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7.4.4, page 412, of </w:t>
      </w:r>
      <w:r>
        <w:rPr>
          <w:sz w:val="22"/>
          <w:szCs w:val="22"/>
        </w:rPr>
        <w:t>the 2012 Illinois TRM.</w:t>
      </w:r>
    </w:p>
  </w:footnote>
  <w:footnote w:id="110">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r w:rsidRPr="00114FDD">
        <w:rPr>
          <w:sz w:val="22"/>
          <w:szCs w:val="22"/>
        </w:rPr>
        <w:t>., page 413.</w:t>
      </w:r>
    </w:p>
  </w:footnote>
  <w:footnote w:id="11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2.9, page 42, Table 2-16, of the 2012 </w:t>
      </w:r>
      <w:r>
        <w:rPr>
          <w:sz w:val="22"/>
          <w:szCs w:val="22"/>
        </w:rPr>
        <w:t>TRM.</w:t>
      </w:r>
    </w:p>
  </w:footnote>
  <w:footnote w:id="11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7.4.4, page 414, of the </w:t>
      </w:r>
      <w:r>
        <w:rPr>
          <w:sz w:val="22"/>
          <w:szCs w:val="22"/>
        </w:rPr>
        <w:t>2012 Illinois TRM.</w:t>
      </w:r>
    </w:p>
  </w:footnote>
  <w:footnote w:id="11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r w:rsidRPr="00114FDD">
        <w:rPr>
          <w:sz w:val="22"/>
          <w:szCs w:val="22"/>
        </w:rPr>
        <w:t>, page 414.</w:t>
      </w:r>
    </w:p>
  </w:footnote>
  <w:footnote w:id="11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2.10.3, page 45, of the 2012 </w:t>
      </w:r>
      <w:r>
        <w:rPr>
          <w:sz w:val="22"/>
          <w:szCs w:val="22"/>
        </w:rPr>
        <w:t>TRM</w:t>
      </w:r>
      <w:r w:rsidRPr="00114FDD">
        <w:rPr>
          <w:sz w:val="22"/>
          <w:szCs w:val="22"/>
        </w:rPr>
        <w:t>.</w:t>
      </w:r>
    </w:p>
  </w:footnote>
  <w:footnote w:id="115">
    <w:p w:rsidR="00143A90" w:rsidRPr="00307D0A" w:rsidRDefault="00143A90" w:rsidP="00974A66">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w:t>
      </w:r>
      <w:r>
        <w:rPr>
          <w:sz w:val="22"/>
          <w:szCs w:val="22"/>
        </w:rPr>
        <w:t>the 2012 Illinois TRM at page 422 and the 2011 Mid-Atlantic TRM at page 82.</w:t>
      </w:r>
    </w:p>
  </w:footnote>
  <w:footnote w:id="11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2.24, page 95</w:t>
      </w:r>
      <w:r>
        <w:rPr>
          <w:sz w:val="22"/>
          <w:szCs w:val="22"/>
        </w:rPr>
        <w:t>,</w:t>
      </w:r>
      <w:r w:rsidRPr="00114FDD">
        <w:rPr>
          <w:sz w:val="22"/>
          <w:szCs w:val="22"/>
        </w:rPr>
        <w:t xml:space="preserve"> of the 2012 TRM.</w:t>
      </w:r>
    </w:p>
  </w:footnote>
  <w:footnote w:id="117">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r w:rsidRPr="00114FDD">
        <w:rPr>
          <w:sz w:val="22"/>
          <w:szCs w:val="22"/>
        </w:rPr>
        <w:t>.</w:t>
      </w:r>
    </w:p>
  </w:footnote>
  <w:footnote w:id="118">
    <w:p w:rsidR="00143A90" w:rsidRPr="00DC3AAA" w:rsidRDefault="00143A90">
      <w:pPr>
        <w:pStyle w:val="FootnoteText"/>
        <w:rPr>
          <w:i/>
          <w:sz w:val="22"/>
          <w:szCs w:val="22"/>
        </w:rPr>
      </w:pPr>
      <w:r w:rsidRPr="00DC3AAA">
        <w:rPr>
          <w:rStyle w:val="FootnoteReference"/>
          <w:sz w:val="22"/>
          <w:szCs w:val="22"/>
        </w:rPr>
        <w:footnoteRef/>
      </w:r>
      <w:r w:rsidRPr="00DC3AAA">
        <w:rPr>
          <w:sz w:val="22"/>
          <w:szCs w:val="22"/>
        </w:rPr>
        <w:t xml:space="preserve"> </w:t>
      </w:r>
      <w:r w:rsidRPr="00DC3AAA">
        <w:rPr>
          <w:i/>
          <w:sz w:val="22"/>
          <w:szCs w:val="22"/>
        </w:rPr>
        <w:t>Id.</w:t>
      </w:r>
    </w:p>
  </w:footnote>
  <w:footnote w:id="119">
    <w:p w:rsidR="00143A90" w:rsidRPr="00114FDD" w:rsidRDefault="00143A90" w:rsidP="00A045B5">
      <w:pPr>
        <w:pStyle w:val="FootnoteText"/>
        <w:rPr>
          <w:sz w:val="22"/>
          <w:szCs w:val="22"/>
        </w:rPr>
      </w:pPr>
      <w:r w:rsidRPr="00114FDD">
        <w:rPr>
          <w:rStyle w:val="FootnoteReference"/>
          <w:sz w:val="22"/>
          <w:szCs w:val="22"/>
        </w:rPr>
        <w:footnoteRef/>
      </w:r>
      <w:r>
        <w:rPr>
          <w:sz w:val="22"/>
          <w:szCs w:val="22"/>
        </w:rPr>
        <w:t xml:space="preserve"> </w:t>
      </w:r>
      <w:r w:rsidRPr="00177DFB">
        <w:rPr>
          <w:i/>
          <w:sz w:val="22"/>
          <w:szCs w:val="22"/>
        </w:rPr>
        <w:t>See</w:t>
      </w:r>
      <w:r>
        <w:rPr>
          <w:sz w:val="22"/>
          <w:szCs w:val="22"/>
        </w:rPr>
        <w:t xml:space="preserve"> Section 3.2.7</w:t>
      </w:r>
      <w:r w:rsidRPr="00114FDD">
        <w:rPr>
          <w:sz w:val="22"/>
          <w:szCs w:val="22"/>
        </w:rPr>
        <w:t>, pages 159-160, of the 2012 TRM.</w:t>
      </w:r>
    </w:p>
  </w:footnote>
  <w:footnote w:id="120">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vertAlign w:val="superscript"/>
        </w:rPr>
        <w:t xml:space="preserve"> </w:t>
      </w:r>
      <w:r w:rsidRPr="00114FDD">
        <w:rPr>
          <w:sz w:val="22"/>
          <w:szCs w:val="22"/>
        </w:rPr>
        <w:t>New Jersey's Clean Energy Program Protocols, December 2009 (2009 New Jersey TRM)</w:t>
      </w:r>
      <w:r>
        <w:rPr>
          <w:sz w:val="22"/>
          <w:szCs w:val="22"/>
        </w:rPr>
        <w:t>.</w:t>
      </w:r>
    </w:p>
  </w:footnote>
  <w:footnote w:id="121">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vertAlign w:val="superscript"/>
        </w:rPr>
        <w:t xml:space="preserve"> </w:t>
      </w:r>
      <w:r w:rsidRPr="00114FDD">
        <w:rPr>
          <w:sz w:val="22"/>
          <w:szCs w:val="22"/>
        </w:rPr>
        <w:t>Quantum Consulting, Inc., for Pacific Gas &amp; Electric Company , Evaluation of Pacific Gas &amp; Electric Company’s 1997 Commercial Energy Efficiency Incentives Program: Lighting Technologies”, March 1, 1999 (1999 PG&amp;E Study)</w:t>
      </w:r>
      <w:r>
        <w:rPr>
          <w:sz w:val="22"/>
          <w:szCs w:val="22"/>
        </w:rPr>
        <w:t>.</w:t>
      </w:r>
    </w:p>
  </w:footnote>
  <w:footnote w:id="122">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3.2.7</w:t>
      </w:r>
      <w:r w:rsidRPr="00114FDD">
        <w:rPr>
          <w:sz w:val="22"/>
          <w:szCs w:val="22"/>
        </w:rPr>
        <w:t>, pages 160-161, of the 2012 TRM.</w:t>
      </w:r>
    </w:p>
  </w:footnote>
  <w:footnote w:id="123">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rPr>
        <w:t xml:space="preserve"> State of Wisconsin Public Service Commission of Wisconsin Focus on Energy Evaluation Business Programs: Deemed Savings Manual V1.0”, KEMA, March, 2010</w:t>
      </w:r>
      <w:r>
        <w:rPr>
          <w:sz w:val="22"/>
          <w:szCs w:val="22"/>
        </w:rPr>
        <w:t xml:space="preserve"> (2010 Wisconsin Deemed Savings Manual).</w:t>
      </w:r>
    </w:p>
  </w:footnote>
  <w:footnote w:id="124">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rPr>
        <w:t xml:space="preserve"> The Database for Energy Efficiency Resources (DEER) 2011– </w:t>
      </w:r>
      <w:hyperlink r:id="rId12" w:history="1">
        <w:r w:rsidRPr="00114FDD">
          <w:rPr>
            <w:rStyle w:val="Hyperlink"/>
            <w:sz w:val="22"/>
            <w:szCs w:val="22"/>
          </w:rPr>
          <w:t>http://www.deerresources.com</w:t>
        </w:r>
      </w:hyperlink>
      <w:r>
        <w:rPr>
          <w:rStyle w:val="Hyperlink"/>
          <w:sz w:val="22"/>
          <w:szCs w:val="22"/>
        </w:rPr>
        <w:t>.</w:t>
      </w:r>
      <w:r w:rsidRPr="00114FDD">
        <w:rPr>
          <w:sz w:val="22"/>
          <w:szCs w:val="22"/>
        </w:rPr>
        <w:t xml:space="preserve">  </w:t>
      </w:r>
    </w:p>
  </w:footnote>
  <w:footnote w:id="125">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rPr>
        <w:t xml:space="preserve"> New York Standard Approach for Estimating Energy Savings from Energy Efficiency Measures in Commercial and Industrial Programs, TecMarket Works, September 1, 2009.</w:t>
      </w:r>
    </w:p>
  </w:footnote>
  <w:footnote w:id="126">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rPr>
        <w:t xml:space="preserve"> Technical Reference User Manual (TRM) Measure Savings Algorithms and Cost Assumptions, Efficiency Vermont, February 2010.</w:t>
      </w:r>
    </w:p>
  </w:footnote>
  <w:footnote w:id="127">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rPr>
        <w:t xml:space="preserve"> Delaware Technical Reference Manual, Opinion Dynamics Corporation, April 2012</w:t>
      </w:r>
      <w:r>
        <w:rPr>
          <w:sz w:val="22"/>
          <w:szCs w:val="22"/>
        </w:rPr>
        <w:t xml:space="preserve"> (2012 Delaware TRM).</w:t>
      </w:r>
    </w:p>
  </w:footnote>
  <w:footnote w:id="128">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rPr>
        <w:t xml:space="preserve"> Massachusetts Technical Reference Manual for 2011 Program Year, October 2010</w:t>
      </w:r>
      <w:r>
        <w:rPr>
          <w:sz w:val="22"/>
          <w:szCs w:val="22"/>
        </w:rPr>
        <w:t xml:space="preserve"> (2011 Massachusetts TRM).</w:t>
      </w:r>
    </w:p>
  </w:footnote>
  <w:footnote w:id="129">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rPr>
        <w:t xml:space="preserve"> Technical Reference Manual, Efficiency Maine, August 2010.</w:t>
      </w:r>
    </w:p>
  </w:footnote>
  <w:footnote w:id="130">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vertAlign w:val="superscript"/>
        </w:rPr>
        <w:t xml:space="preserve"> </w:t>
      </w:r>
      <w:r w:rsidRPr="00114FDD">
        <w:rPr>
          <w:sz w:val="22"/>
          <w:szCs w:val="22"/>
        </w:rPr>
        <w:t>Small Commercial Contract Group Direct Impact Evaluation Report prepared by Itron for the California Public Utilities Commission Energy Division, February 9, 2010.</w:t>
      </w:r>
    </w:p>
  </w:footnote>
  <w:footnote w:id="131">
    <w:p w:rsidR="00143A90" w:rsidRPr="00114FDD" w:rsidRDefault="00143A90" w:rsidP="005E33E2">
      <w:pPr>
        <w:pStyle w:val="FootnoteText"/>
        <w:rPr>
          <w:sz w:val="22"/>
          <w:szCs w:val="22"/>
        </w:rPr>
      </w:pPr>
      <w:r w:rsidRPr="00114FDD">
        <w:rPr>
          <w:sz w:val="22"/>
          <w:szCs w:val="22"/>
          <w:vertAlign w:val="superscript"/>
        </w:rPr>
        <w:footnoteRef/>
      </w:r>
      <w:r w:rsidRPr="00114FDD">
        <w:rPr>
          <w:sz w:val="22"/>
          <w:szCs w:val="22"/>
          <w:vertAlign w:val="superscript"/>
        </w:rPr>
        <w:t xml:space="preserve"> </w:t>
      </w:r>
      <w:r w:rsidRPr="00114FDD">
        <w:rPr>
          <w:sz w:val="22"/>
          <w:szCs w:val="22"/>
        </w:rPr>
        <w:t xml:space="preserve">Database for Energy Efficiency Resources (2008 version) - </w:t>
      </w:r>
      <w:hyperlink r:id="rId13" w:history="1">
        <w:r w:rsidRPr="009C4D0D">
          <w:rPr>
            <w:rStyle w:val="Hyperlink"/>
            <w:sz w:val="22"/>
            <w:szCs w:val="22"/>
          </w:rPr>
          <w:t>http://www.deerresources.com/</w:t>
        </w:r>
      </w:hyperlink>
      <w:r>
        <w:rPr>
          <w:sz w:val="22"/>
          <w:szCs w:val="22"/>
        </w:rPr>
        <w:t xml:space="preserve"> .</w:t>
      </w:r>
    </w:p>
  </w:footnote>
  <w:footnote w:id="13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The Database for Energy Efficiency Resources (DEER) 2011– </w:t>
      </w:r>
      <w:hyperlink r:id="rId14" w:history="1">
        <w:r w:rsidRPr="00114FDD">
          <w:rPr>
            <w:rStyle w:val="Hyperlink"/>
            <w:sz w:val="22"/>
            <w:szCs w:val="22"/>
          </w:rPr>
          <w:t>http://www.deerresources.com/</w:t>
        </w:r>
      </w:hyperlink>
      <w:r w:rsidRPr="00114FDD">
        <w:rPr>
          <w:sz w:val="22"/>
          <w:szCs w:val="22"/>
        </w:rPr>
        <w:t xml:space="preserve">. </w:t>
      </w:r>
    </w:p>
  </w:footnote>
  <w:footnote w:id="133">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3.2.7</w:t>
      </w:r>
      <w:r w:rsidRPr="00114FDD">
        <w:rPr>
          <w:sz w:val="22"/>
          <w:szCs w:val="22"/>
        </w:rPr>
        <w:t>, pages 159</w:t>
      </w:r>
      <w:r>
        <w:rPr>
          <w:sz w:val="22"/>
          <w:szCs w:val="22"/>
        </w:rPr>
        <w:t xml:space="preserve"> and </w:t>
      </w:r>
      <w:r w:rsidRPr="00114FDD">
        <w:rPr>
          <w:sz w:val="22"/>
          <w:szCs w:val="22"/>
        </w:rPr>
        <w:t>160, of the 2012 TRM.</w:t>
      </w:r>
    </w:p>
  </w:footnote>
  <w:footnote w:id="134">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3.2.7</w:t>
      </w:r>
      <w:r w:rsidRPr="00114FDD">
        <w:rPr>
          <w:sz w:val="22"/>
          <w:szCs w:val="22"/>
        </w:rPr>
        <w:t>, page 163, of the 2012 TRM.</w:t>
      </w:r>
    </w:p>
  </w:footnote>
  <w:footnote w:id="135">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Pr>
          <w:sz w:val="22"/>
          <w:szCs w:val="22"/>
        </w:rPr>
        <w:t xml:space="preserve"> </w:t>
      </w:r>
      <w:hyperlink r:id="rId15" w:history="1">
        <w:r w:rsidRPr="00114FDD">
          <w:rPr>
            <w:rStyle w:val="Hyperlink"/>
            <w:sz w:val="22"/>
            <w:szCs w:val="22"/>
          </w:rPr>
          <w:t>http://efficiency.lbl.gov/drupal.files/ees/Lighting%20Controls%20in%20Commercial%20Buildings_LBNL-5095-E.pdf</w:t>
        </w:r>
      </w:hyperlink>
      <w:r>
        <w:rPr>
          <w:rStyle w:val="Hyperlink"/>
          <w:sz w:val="22"/>
          <w:szCs w:val="22"/>
        </w:rPr>
        <w:t>.</w:t>
      </w:r>
      <w:r w:rsidRPr="00114FDD">
        <w:rPr>
          <w:sz w:val="22"/>
          <w:szCs w:val="22"/>
        </w:rPr>
        <w:t xml:space="preserve"> </w:t>
      </w:r>
    </w:p>
  </w:footnote>
  <w:footnote w:id="136">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3.2.2</w:t>
      </w:r>
      <w:r w:rsidRPr="00114FDD">
        <w:rPr>
          <w:sz w:val="22"/>
          <w:szCs w:val="22"/>
        </w:rPr>
        <w:t>, page 151, of the 2012 TRM.</w:t>
      </w:r>
    </w:p>
  </w:footnote>
  <w:footnote w:id="137">
    <w:p w:rsidR="00143A90" w:rsidRPr="00114FDD" w:rsidRDefault="00143A90">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Pr>
          <w:sz w:val="22"/>
          <w:szCs w:val="22"/>
        </w:rPr>
        <w:t xml:space="preserve"> </w:t>
      </w:r>
      <w:r w:rsidRPr="00114FDD">
        <w:rPr>
          <w:sz w:val="22"/>
          <w:szCs w:val="22"/>
        </w:rPr>
        <w:t>2012 TRM Final Order at page 49.</w:t>
      </w:r>
    </w:p>
  </w:footnote>
  <w:footnote w:id="13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w:t>
      </w:r>
      <w:r w:rsidRPr="00114FDD">
        <w:rPr>
          <w:sz w:val="22"/>
          <w:szCs w:val="22"/>
        </w:rPr>
        <w:t xml:space="preserve"> 42 U.S.C.A. § 6295(g)(8) (West Supp. 2011).</w:t>
      </w:r>
    </w:p>
  </w:footnote>
  <w:footnote w:id="139">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3.2.7</w:t>
      </w:r>
      <w:r w:rsidRPr="00114FDD">
        <w:rPr>
          <w:sz w:val="22"/>
          <w:szCs w:val="22"/>
        </w:rPr>
        <w:t>, pages 162, of the 2012 TRM.</w:t>
      </w:r>
    </w:p>
  </w:footnote>
  <w:footnote w:id="140">
    <w:p w:rsidR="00143A90" w:rsidRPr="00114FDD" w:rsidRDefault="00143A90" w:rsidP="00152EB5">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3.6, pages 184</w:t>
      </w:r>
      <w:r>
        <w:rPr>
          <w:sz w:val="22"/>
          <w:szCs w:val="22"/>
        </w:rPr>
        <w:t xml:space="preserve"> and </w:t>
      </w:r>
      <w:r w:rsidRPr="00114FDD">
        <w:rPr>
          <w:sz w:val="22"/>
          <w:szCs w:val="22"/>
        </w:rPr>
        <w:t xml:space="preserve">185, of the 2012 TRM. </w:t>
      </w:r>
    </w:p>
  </w:footnote>
  <w:footnote w:id="14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UI and CL&amp;P Program Savings Documentation for 2008 Program Year, United Illuminating Company, September 2007.</w:t>
      </w:r>
    </w:p>
  </w:footnote>
  <w:footnote w:id="14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hyperlink r:id="rId16" w:history="1">
        <w:r w:rsidRPr="00114FDD">
          <w:rPr>
            <w:rStyle w:val="Hyperlink"/>
            <w:sz w:val="22"/>
            <w:szCs w:val="22"/>
          </w:rPr>
          <w:t>http://www.energystar.gov/ia/business/bulk_purchasing/bpsavings_calc/Calc_CAC.xls</w:t>
        </w:r>
      </w:hyperlink>
      <w:r>
        <w:rPr>
          <w:rStyle w:val="Hyperlink"/>
          <w:sz w:val="22"/>
          <w:szCs w:val="22"/>
        </w:rPr>
        <w:t>.</w:t>
      </w:r>
      <w:r w:rsidRPr="00114FDD">
        <w:rPr>
          <w:sz w:val="22"/>
          <w:szCs w:val="22"/>
        </w:rPr>
        <w:t xml:space="preserve"> </w:t>
      </w:r>
    </w:p>
  </w:footnote>
  <w:footnote w:id="143">
    <w:p w:rsidR="00AC514A" w:rsidRPr="00AC514A" w:rsidRDefault="00AC514A" w:rsidP="00AC514A">
      <w:pPr>
        <w:pStyle w:val="FootnoteText"/>
        <w:rPr>
          <w:sz w:val="22"/>
          <w:szCs w:val="22"/>
        </w:rPr>
      </w:pPr>
      <w:r w:rsidRPr="00AC514A">
        <w:rPr>
          <w:rStyle w:val="FootnoteReference"/>
          <w:sz w:val="22"/>
          <w:szCs w:val="22"/>
        </w:rPr>
        <w:footnoteRef/>
      </w:r>
      <w:r w:rsidRPr="00AC514A">
        <w:rPr>
          <w:sz w:val="22"/>
          <w:szCs w:val="22"/>
        </w:rPr>
        <w:t xml:space="preserve"> eQUEST stands for “the QUick Energy Simulation Tool” which is a building energy analysis tool used to perform detailed analysis of today's state-of-the-art building design technologies. </w:t>
      </w:r>
      <w:r>
        <w:rPr>
          <w:sz w:val="22"/>
          <w:szCs w:val="22"/>
        </w:rPr>
        <w:t xml:space="preserve"> </w:t>
      </w:r>
      <w:r w:rsidRPr="00AC514A">
        <w:rPr>
          <w:sz w:val="22"/>
          <w:szCs w:val="22"/>
        </w:rPr>
        <w:t xml:space="preserve">More information regarding the software can be found at: </w:t>
      </w:r>
      <w:hyperlink r:id="rId17" w:history="1">
        <w:r w:rsidRPr="00AC514A">
          <w:rPr>
            <w:rStyle w:val="Hyperlink"/>
            <w:sz w:val="22"/>
            <w:szCs w:val="22"/>
          </w:rPr>
          <w:t>http://doe2.com/equest/</w:t>
        </w:r>
      </w:hyperlink>
      <w:r>
        <w:rPr>
          <w:sz w:val="22"/>
          <w:szCs w:val="22"/>
        </w:rPr>
        <w:t>.</w:t>
      </w:r>
      <w:r w:rsidRPr="00AC514A">
        <w:rPr>
          <w:sz w:val="22"/>
          <w:szCs w:val="22"/>
        </w:rPr>
        <w:t xml:space="preserve"> </w:t>
      </w:r>
    </w:p>
  </w:footnote>
  <w:footnote w:id="144">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3.4, page 176, of the 2012 TRM.</w:t>
      </w:r>
    </w:p>
  </w:footnote>
  <w:footnote w:id="145">
    <w:p w:rsidR="00143A90" w:rsidRPr="00114FDD" w:rsidRDefault="00143A90" w:rsidP="005E33E2">
      <w:pPr>
        <w:pStyle w:val="NoSpacing"/>
        <w:rPr>
          <w:rFonts w:ascii="Times New Roman" w:hAnsi="Times New Roman" w:cs="Times New Roman"/>
        </w:rPr>
      </w:pPr>
      <w:r w:rsidRPr="00114FDD">
        <w:rPr>
          <w:rStyle w:val="FootnoteReference"/>
        </w:rPr>
        <w:footnoteRef/>
      </w:r>
      <w:r w:rsidRPr="00114FDD">
        <w:rPr>
          <w:rFonts w:ascii="Times New Roman" w:hAnsi="Times New Roman" w:cs="Times New Roman"/>
        </w:rPr>
        <w:t xml:space="preserve"> UI and CL&amp;P Program Savings Documentation for 2009 Program Year, United Illuminating Company, September 2008. (2009 Connecticut TRM)</w:t>
      </w:r>
    </w:p>
  </w:footnote>
  <w:footnote w:id="146">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3.2, pages 172</w:t>
      </w:r>
      <w:r>
        <w:rPr>
          <w:sz w:val="22"/>
          <w:szCs w:val="22"/>
        </w:rPr>
        <w:t xml:space="preserve"> and </w:t>
      </w:r>
      <w:r w:rsidRPr="00114FDD">
        <w:rPr>
          <w:sz w:val="22"/>
          <w:szCs w:val="22"/>
        </w:rPr>
        <w:t>173, of the 2012 TRM.</w:t>
      </w:r>
    </w:p>
  </w:footnote>
  <w:footnote w:id="147">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 3.22, page 258, of the 2012 TRM.</w:t>
      </w:r>
    </w:p>
  </w:footnote>
  <w:footnote w:id="14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hyperlink r:id="rId18" w:history="1">
        <w:r w:rsidRPr="00114FDD">
          <w:rPr>
            <w:rStyle w:val="Hyperlink"/>
            <w:sz w:val="22"/>
            <w:szCs w:val="22"/>
          </w:rPr>
          <w:t>http://www.nwcouncil.org/energy/rtf/measures/measure.asp?id=95&amp;decisionid=117</w:t>
        </w:r>
      </w:hyperlink>
      <w:r w:rsidRPr="00114FDD">
        <w:rPr>
          <w:sz w:val="22"/>
          <w:szCs w:val="22"/>
        </w:rPr>
        <w:t xml:space="preserve"> </w:t>
      </w:r>
    </w:p>
  </w:footnote>
  <w:footnote w:id="149">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3.30</w:t>
      </w:r>
      <w:r w:rsidRPr="00114FDD">
        <w:rPr>
          <w:sz w:val="22"/>
          <w:szCs w:val="22"/>
        </w:rPr>
        <w:t>, page 285, of the 2012 TRM.</w:t>
      </w:r>
    </w:p>
  </w:footnote>
  <w:footnote w:id="150">
    <w:p w:rsidR="00143A90" w:rsidRPr="00114FDD" w:rsidRDefault="00143A90">
      <w:pPr>
        <w:pStyle w:val="FootnoteText"/>
        <w:rPr>
          <w:sz w:val="22"/>
          <w:szCs w:val="22"/>
        </w:rPr>
      </w:pPr>
      <w:r w:rsidRPr="00114FDD">
        <w:rPr>
          <w:rStyle w:val="FootnoteReference"/>
          <w:sz w:val="22"/>
          <w:szCs w:val="22"/>
        </w:rPr>
        <w:footnoteRef/>
      </w:r>
      <w:r w:rsidRPr="00114FDD">
        <w:rPr>
          <w:sz w:val="22"/>
          <w:szCs w:val="22"/>
        </w:rPr>
        <w:t xml:space="preserve"> An SVG factor represents the percentage of time that lights are off due to lighting controls relative to the baseline controls system (typically manual switch).</w:t>
      </w:r>
    </w:p>
  </w:footnote>
  <w:footnote w:id="151">
    <w:p w:rsidR="00143A90" w:rsidRPr="00114FDD" w:rsidRDefault="00143A90" w:rsidP="005E33E2">
      <w:pPr>
        <w:pStyle w:val="FootnoteText"/>
        <w:rPr>
          <w:sz w:val="22"/>
          <w:szCs w:val="22"/>
        </w:rPr>
      </w:pPr>
      <w:r w:rsidRPr="00114FDD">
        <w:rPr>
          <w:rStyle w:val="FootnoteReference"/>
          <w:sz w:val="22"/>
          <w:szCs w:val="22"/>
        </w:rPr>
        <w:footnoteRef/>
      </w:r>
      <w:r>
        <w:rPr>
          <w:sz w:val="22"/>
          <w:szCs w:val="22"/>
        </w:rPr>
        <w:t xml:space="preserve"> </w:t>
      </w:r>
      <w:r w:rsidRPr="00DC3AAA">
        <w:rPr>
          <w:i/>
          <w:sz w:val="22"/>
          <w:szCs w:val="22"/>
        </w:rPr>
        <w:t>See</w:t>
      </w:r>
      <w:r>
        <w:rPr>
          <w:sz w:val="22"/>
          <w:szCs w:val="22"/>
        </w:rPr>
        <w:t xml:space="preserve"> Section 3.30</w:t>
      </w:r>
      <w:r w:rsidRPr="00114FDD">
        <w:rPr>
          <w:sz w:val="22"/>
          <w:szCs w:val="22"/>
        </w:rPr>
        <w:t>, page 287, of the 2012 TRM.</w:t>
      </w:r>
    </w:p>
  </w:footnote>
  <w:footnote w:id="15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Sections 3.26, page 268, of the 2012 TRM.</w:t>
      </w:r>
    </w:p>
  </w:footnote>
  <w:footnote w:id="153">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Sections 3.33, page 299, of the 2012 TRM.</w:t>
      </w:r>
    </w:p>
  </w:footnote>
  <w:footnote w:id="154">
    <w:p w:rsidR="00143A90" w:rsidRPr="00114FDD" w:rsidRDefault="00143A90">
      <w:pPr>
        <w:pStyle w:val="FootnoteText"/>
        <w:rPr>
          <w:sz w:val="22"/>
          <w:szCs w:val="22"/>
        </w:rPr>
      </w:pPr>
      <w:r w:rsidRPr="00114FDD">
        <w:rPr>
          <w:rStyle w:val="FootnoteReference"/>
          <w:sz w:val="22"/>
          <w:szCs w:val="22"/>
        </w:rPr>
        <w:footnoteRef/>
      </w:r>
      <w:r w:rsidRPr="00114FDD">
        <w:rPr>
          <w:sz w:val="22"/>
          <w:szCs w:val="22"/>
        </w:rPr>
        <w:t xml:space="preserve"> Impact and Process Evaluation Final Report for California Urban Water Conservation Council 2004-5 Pre-Rinse Spray Valve Installation Program (Phase 2), SBW Consulting, 2007, Table 3-4, p. 23. </w:t>
      </w:r>
    </w:p>
  </w:footnote>
  <w:footnote w:id="155">
    <w:p w:rsidR="00143A90" w:rsidRPr="00114FDD" w:rsidRDefault="00143A90">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Id.</w:t>
      </w:r>
    </w:p>
  </w:footnote>
  <w:footnote w:id="156">
    <w:p w:rsidR="00143A90" w:rsidRPr="00114FDD" w:rsidRDefault="00143A90">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Sections 3.31, page 291, of the 2012 TRM.</w:t>
      </w:r>
    </w:p>
  </w:footnote>
  <w:footnote w:id="157">
    <w:p w:rsidR="00143A90" w:rsidRPr="00114FDD" w:rsidRDefault="00143A90">
      <w:pPr>
        <w:pStyle w:val="FootnoteText"/>
        <w:rPr>
          <w:sz w:val="22"/>
          <w:szCs w:val="22"/>
        </w:rPr>
      </w:pPr>
      <w:r w:rsidRPr="00114FDD">
        <w:rPr>
          <w:rStyle w:val="FootnoteReference"/>
          <w:sz w:val="22"/>
          <w:szCs w:val="22"/>
        </w:rPr>
        <w:footnoteRef/>
      </w:r>
      <w:r>
        <w:rPr>
          <w:sz w:val="22"/>
          <w:szCs w:val="22"/>
        </w:rPr>
        <w:t xml:space="preserve"> </w:t>
      </w:r>
      <w:r w:rsidRPr="00114FDD">
        <w:rPr>
          <w:sz w:val="22"/>
          <w:szCs w:val="22"/>
        </w:rPr>
        <w:t>EPAct</w:t>
      </w:r>
      <w:r>
        <w:rPr>
          <w:sz w:val="22"/>
          <w:szCs w:val="22"/>
        </w:rPr>
        <w:t xml:space="preserve"> </w:t>
      </w:r>
      <w:r w:rsidRPr="00114FDD">
        <w:rPr>
          <w:sz w:val="22"/>
          <w:szCs w:val="22"/>
        </w:rPr>
        <w:t>2005 sets the maximum flow rate for pre-rinse spray valves at 1.6 GPM at 60 pounds per square inch of water pressure when tested in accordance with ASTM F2324-03. This performance standard went into effect January 1, 2006.</w:t>
      </w:r>
    </w:p>
  </w:footnote>
  <w:footnote w:id="158">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Sections 3.26, page 267, of the 2012 TRM.</w:t>
      </w:r>
    </w:p>
  </w:footnote>
  <w:footnote w:id="159">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sidRPr="00114FDD">
        <w:rPr>
          <w:sz w:val="22"/>
          <w:szCs w:val="22"/>
        </w:rPr>
        <w:t xml:space="preserve"> Sections 3.18, page 236-244, of the 2012 TRM.</w:t>
      </w:r>
    </w:p>
  </w:footnote>
  <w:footnote w:id="160">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114FDD">
        <w:rPr>
          <w:i/>
          <w:sz w:val="22"/>
          <w:szCs w:val="22"/>
        </w:rPr>
        <w:t>See Phase II Implementation Order</w:t>
      </w:r>
      <w:r w:rsidRPr="00114FDD">
        <w:rPr>
          <w:sz w:val="22"/>
          <w:szCs w:val="22"/>
        </w:rPr>
        <w:t xml:space="preserve"> at page 33.</w:t>
      </w:r>
    </w:p>
  </w:footnote>
  <w:footnote w:id="161">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r w:rsidRPr="00DC3AAA">
        <w:rPr>
          <w:i/>
          <w:sz w:val="22"/>
          <w:szCs w:val="22"/>
        </w:rPr>
        <w:t>See</w:t>
      </w:r>
      <w:r>
        <w:rPr>
          <w:sz w:val="22"/>
          <w:szCs w:val="22"/>
        </w:rPr>
        <w:t xml:space="preserve"> Section 4, pages 302-305, of the 2012 TRM</w:t>
      </w:r>
      <w:r w:rsidRPr="00114FDD">
        <w:rPr>
          <w:sz w:val="22"/>
          <w:szCs w:val="22"/>
        </w:rPr>
        <w:t>.</w:t>
      </w:r>
    </w:p>
  </w:footnote>
  <w:footnote w:id="162">
    <w:p w:rsidR="00143A90" w:rsidRPr="00114FDD" w:rsidRDefault="00143A90" w:rsidP="005E33E2">
      <w:pPr>
        <w:pStyle w:val="FootnoteText"/>
        <w:rPr>
          <w:sz w:val="22"/>
          <w:szCs w:val="22"/>
        </w:rPr>
      </w:pPr>
      <w:r w:rsidRPr="00114FDD">
        <w:rPr>
          <w:rStyle w:val="FootnoteReference"/>
          <w:sz w:val="22"/>
          <w:szCs w:val="22"/>
        </w:rPr>
        <w:footnoteRef/>
      </w:r>
      <w:r w:rsidRPr="00114FDD">
        <w:rPr>
          <w:sz w:val="22"/>
          <w:szCs w:val="22"/>
        </w:rPr>
        <w:t xml:space="preserve"> </w:t>
      </w:r>
      <w:hyperlink r:id="rId19" w:history="1">
        <w:r w:rsidRPr="00114FDD">
          <w:rPr>
            <w:rStyle w:val="Hyperlink"/>
            <w:sz w:val="22"/>
            <w:szCs w:val="22"/>
          </w:rPr>
          <w:t>http://www.puc.state.pa.us/electric/Act_129_info.aspx</w:t>
        </w:r>
      </w:hyperlink>
      <w:r w:rsidRPr="00114FDD">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D75"/>
    <w:multiLevelType w:val="hybridMultilevel"/>
    <w:tmpl w:val="6DB8A9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D2728DF"/>
    <w:multiLevelType w:val="hybridMultilevel"/>
    <w:tmpl w:val="5FF00F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B37C4"/>
    <w:multiLevelType w:val="hybridMultilevel"/>
    <w:tmpl w:val="15A82C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E723D3"/>
    <w:multiLevelType w:val="hybridMultilevel"/>
    <w:tmpl w:val="6FCEC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4F1DF5"/>
    <w:multiLevelType w:val="hybridMultilevel"/>
    <w:tmpl w:val="5F4ECBA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D256F5C"/>
    <w:multiLevelType w:val="hybridMultilevel"/>
    <w:tmpl w:val="5434C86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950C97"/>
    <w:multiLevelType w:val="hybridMultilevel"/>
    <w:tmpl w:val="A530B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F902DB"/>
    <w:multiLevelType w:val="hybridMultilevel"/>
    <w:tmpl w:val="570E2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FD0284"/>
    <w:multiLevelType w:val="hybridMultilevel"/>
    <w:tmpl w:val="4440A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4C29BC"/>
    <w:multiLevelType w:val="hybridMultilevel"/>
    <w:tmpl w:val="5F4ECBA2"/>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36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1"/>
  </w:num>
  <w:num w:numId="5">
    <w:abstractNumId w:val="2"/>
  </w:num>
  <w:num w:numId="6">
    <w:abstractNumId w:val="7"/>
  </w:num>
  <w:num w:numId="7">
    <w:abstractNumId w:val="12"/>
  </w:num>
  <w:num w:numId="8">
    <w:abstractNumId w:val="10"/>
  </w:num>
  <w:num w:numId="9">
    <w:abstractNumId w:val="5"/>
  </w:num>
  <w:num w:numId="10">
    <w:abstractNumId w:val="13"/>
  </w:num>
  <w:num w:numId="11">
    <w:abstractNumId w:val="4"/>
  </w:num>
  <w:num w:numId="12">
    <w:abstractNumId w:val="11"/>
  </w:num>
  <w:num w:numId="13">
    <w:abstractNumId w:val="3"/>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DF"/>
    <w:rsid w:val="0000137F"/>
    <w:rsid w:val="000018C3"/>
    <w:rsid w:val="00001D11"/>
    <w:rsid w:val="00002797"/>
    <w:rsid w:val="00002C0D"/>
    <w:rsid w:val="00005F22"/>
    <w:rsid w:val="00007203"/>
    <w:rsid w:val="0001030D"/>
    <w:rsid w:val="0001379C"/>
    <w:rsid w:val="0001450E"/>
    <w:rsid w:val="00014B69"/>
    <w:rsid w:val="00016D73"/>
    <w:rsid w:val="00017D88"/>
    <w:rsid w:val="00017F11"/>
    <w:rsid w:val="00021064"/>
    <w:rsid w:val="0002128B"/>
    <w:rsid w:val="00021578"/>
    <w:rsid w:val="000220F8"/>
    <w:rsid w:val="0002303B"/>
    <w:rsid w:val="00024660"/>
    <w:rsid w:val="00025DEC"/>
    <w:rsid w:val="00026422"/>
    <w:rsid w:val="00026F10"/>
    <w:rsid w:val="00031008"/>
    <w:rsid w:val="00033F2E"/>
    <w:rsid w:val="00036C90"/>
    <w:rsid w:val="00042145"/>
    <w:rsid w:val="000451A3"/>
    <w:rsid w:val="000454BD"/>
    <w:rsid w:val="000465C4"/>
    <w:rsid w:val="00046658"/>
    <w:rsid w:val="00046826"/>
    <w:rsid w:val="000474BB"/>
    <w:rsid w:val="00050E8B"/>
    <w:rsid w:val="0005254D"/>
    <w:rsid w:val="00053176"/>
    <w:rsid w:val="0005334A"/>
    <w:rsid w:val="00060497"/>
    <w:rsid w:val="000606EE"/>
    <w:rsid w:val="000633E2"/>
    <w:rsid w:val="00064C42"/>
    <w:rsid w:val="00066613"/>
    <w:rsid w:val="00070311"/>
    <w:rsid w:val="000716B6"/>
    <w:rsid w:val="00071C3F"/>
    <w:rsid w:val="00073086"/>
    <w:rsid w:val="0007435F"/>
    <w:rsid w:val="0007569B"/>
    <w:rsid w:val="0007698A"/>
    <w:rsid w:val="000771DE"/>
    <w:rsid w:val="000774AA"/>
    <w:rsid w:val="00077C83"/>
    <w:rsid w:val="00077E5A"/>
    <w:rsid w:val="00080B9F"/>
    <w:rsid w:val="000813D8"/>
    <w:rsid w:val="00081820"/>
    <w:rsid w:val="00081BB0"/>
    <w:rsid w:val="00082B41"/>
    <w:rsid w:val="00082F8F"/>
    <w:rsid w:val="00083F8F"/>
    <w:rsid w:val="0008417E"/>
    <w:rsid w:val="000843BE"/>
    <w:rsid w:val="00084E4A"/>
    <w:rsid w:val="00085649"/>
    <w:rsid w:val="00085FEA"/>
    <w:rsid w:val="000864D9"/>
    <w:rsid w:val="00091082"/>
    <w:rsid w:val="0009246B"/>
    <w:rsid w:val="0009259C"/>
    <w:rsid w:val="0009307B"/>
    <w:rsid w:val="00094D40"/>
    <w:rsid w:val="00095802"/>
    <w:rsid w:val="000959E0"/>
    <w:rsid w:val="00095D31"/>
    <w:rsid w:val="0009799B"/>
    <w:rsid w:val="000A1950"/>
    <w:rsid w:val="000A2007"/>
    <w:rsid w:val="000A2B31"/>
    <w:rsid w:val="000A3FE3"/>
    <w:rsid w:val="000A4286"/>
    <w:rsid w:val="000A602F"/>
    <w:rsid w:val="000A6810"/>
    <w:rsid w:val="000A7CCA"/>
    <w:rsid w:val="000B4850"/>
    <w:rsid w:val="000B5D5B"/>
    <w:rsid w:val="000B71FB"/>
    <w:rsid w:val="000B7BA1"/>
    <w:rsid w:val="000C216F"/>
    <w:rsid w:val="000C22CC"/>
    <w:rsid w:val="000C55A0"/>
    <w:rsid w:val="000C5FF3"/>
    <w:rsid w:val="000C7CFC"/>
    <w:rsid w:val="000D03D3"/>
    <w:rsid w:val="000D2856"/>
    <w:rsid w:val="000D798E"/>
    <w:rsid w:val="000E0805"/>
    <w:rsid w:val="000E0983"/>
    <w:rsid w:val="000E1F8F"/>
    <w:rsid w:val="000E3740"/>
    <w:rsid w:val="000E5AEC"/>
    <w:rsid w:val="000E5BC3"/>
    <w:rsid w:val="000F1120"/>
    <w:rsid w:val="000F25AE"/>
    <w:rsid w:val="00100BE3"/>
    <w:rsid w:val="0010151F"/>
    <w:rsid w:val="00101DB4"/>
    <w:rsid w:val="00103353"/>
    <w:rsid w:val="0010356E"/>
    <w:rsid w:val="00103755"/>
    <w:rsid w:val="00106070"/>
    <w:rsid w:val="0010724B"/>
    <w:rsid w:val="001077CE"/>
    <w:rsid w:val="00110926"/>
    <w:rsid w:val="00112A70"/>
    <w:rsid w:val="00114FDD"/>
    <w:rsid w:val="00115018"/>
    <w:rsid w:val="00116015"/>
    <w:rsid w:val="00116EF3"/>
    <w:rsid w:val="00117906"/>
    <w:rsid w:val="001209CA"/>
    <w:rsid w:val="001224A3"/>
    <w:rsid w:val="00123115"/>
    <w:rsid w:val="0012364F"/>
    <w:rsid w:val="0012570F"/>
    <w:rsid w:val="00125A76"/>
    <w:rsid w:val="00126E61"/>
    <w:rsid w:val="00127230"/>
    <w:rsid w:val="00127EC4"/>
    <w:rsid w:val="00127F73"/>
    <w:rsid w:val="001302A1"/>
    <w:rsid w:val="001324E3"/>
    <w:rsid w:val="001327F3"/>
    <w:rsid w:val="0013414E"/>
    <w:rsid w:val="00140B9E"/>
    <w:rsid w:val="00143A90"/>
    <w:rsid w:val="00143CDE"/>
    <w:rsid w:val="00143DE4"/>
    <w:rsid w:val="0014415B"/>
    <w:rsid w:val="0014564F"/>
    <w:rsid w:val="00146433"/>
    <w:rsid w:val="0014714D"/>
    <w:rsid w:val="0015085D"/>
    <w:rsid w:val="00150ECE"/>
    <w:rsid w:val="0015189D"/>
    <w:rsid w:val="00152EB5"/>
    <w:rsid w:val="0015309D"/>
    <w:rsid w:val="001541F6"/>
    <w:rsid w:val="00154826"/>
    <w:rsid w:val="001553CA"/>
    <w:rsid w:val="00156AD6"/>
    <w:rsid w:val="00161721"/>
    <w:rsid w:val="00161D97"/>
    <w:rsid w:val="00161FC4"/>
    <w:rsid w:val="001620D5"/>
    <w:rsid w:val="00162BB0"/>
    <w:rsid w:val="00163CD5"/>
    <w:rsid w:val="00164C3D"/>
    <w:rsid w:val="00165FCB"/>
    <w:rsid w:val="001663FA"/>
    <w:rsid w:val="00167255"/>
    <w:rsid w:val="001711AB"/>
    <w:rsid w:val="00171C97"/>
    <w:rsid w:val="0017288C"/>
    <w:rsid w:val="00173038"/>
    <w:rsid w:val="0017373A"/>
    <w:rsid w:val="00174339"/>
    <w:rsid w:val="00174955"/>
    <w:rsid w:val="0017507D"/>
    <w:rsid w:val="00175A69"/>
    <w:rsid w:val="001804A0"/>
    <w:rsid w:val="00181370"/>
    <w:rsid w:val="00181ED6"/>
    <w:rsid w:val="00182813"/>
    <w:rsid w:val="0018309B"/>
    <w:rsid w:val="001833C9"/>
    <w:rsid w:val="00183824"/>
    <w:rsid w:val="0018477A"/>
    <w:rsid w:val="00184ADF"/>
    <w:rsid w:val="00184D5B"/>
    <w:rsid w:val="00185B20"/>
    <w:rsid w:val="001863A6"/>
    <w:rsid w:val="00186443"/>
    <w:rsid w:val="00186702"/>
    <w:rsid w:val="001869C0"/>
    <w:rsid w:val="00186A95"/>
    <w:rsid w:val="00187A9D"/>
    <w:rsid w:val="001904B0"/>
    <w:rsid w:val="00190B80"/>
    <w:rsid w:val="0019156C"/>
    <w:rsid w:val="00192008"/>
    <w:rsid w:val="0019283A"/>
    <w:rsid w:val="001932AB"/>
    <w:rsid w:val="00193D4C"/>
    <w:rsid w:val="001946D5"/>
    <w:rsid w:val="00196B57"/>
    <w:rsid w:val="001A3E7D"/>
    <w:rsid w:val="001A45AE"/>
    <w:rsid w:val="001A588B"/>
    <w:rsid w:val="001A63CE"/>
    <w:rsid w:val="001A78EF"/>
    <w:rsid w:val="001B0EA5"/>
    <w:rsid w:val="001B2354"/>
    <w:rsid w:val="001B398F"/>
    <w:rsid w:val="001B3BB8"/>
    <w:rsid w:val="001B5A44"/>
    <w:rsid w:val="001B6068"/>
    <w:rsid w:val="001B6DA6"/>
    <w:rsid w:val="001B7B5A"/>
    <w:rsid w:val="001C08FB"/>
    <w:rsid w:val="001C0F2A"/>
    <w:rsid w:val="001C32B9"/>
    <w:rsid w:val="001C68CE"/>
    <w:rsid w:val="001C7E19"/>
    <w:rsid w:val="001D26A3"/>
    <w:rsid w:val="001D3523"/>
    <w:rsid w:val="001D4ACF"/>
    <w:rsid w:val="001D58A8"/>
    <w:rsid w:val="001D6661"/>
    <w:rsid w:val="001D7A4D"/>
    <w:rsid w:val="001E1ED6"/>
    <w:rsid w:val="001E3C2E"/>
    <w:rsid w:val="001E4196"/>
    <w:rsid w:val="001E482D"/>
    <w:rsid w:val="001E6930"/>
    <w:rsid w:val="001E6D70"/>
    <w:rsid w:val="001E716A"/>
    <w:rsid w:val="001E7614"/>
    <w:rsid w:val="001E7E31"/>
    <w:rsid w:val="001E7FEF"/>
    <w:rsid w:val="001F12A7"/>
    <w:rsid w:val="001F637A"/>
    <w:rsid w:val="001F6FB1"/>
    <w:rsid w:val="00201EC9"/>
    <w:rsid w:val="002029B8"/>
    <w:rsid w:val="00203750"/>
    <w:rsid w:val="00203EB9"/>
    <w:rsid w:val="002055A5"/>
    <w:rsid w:val="0020608D"/>
    <w:rsid w:val="00210CFD"/>
    <w:rsid w:val="00211CEA"/>
    <w:rsid w:val="002120AF"/>
    <w:rsid w:val="00212144"/>
    <w:rsid w:val="00212357"/>
    <w:rsid w:val="0021325D"/>
    <w:rsid w:val="0021451A"/>
    <w:rsid w:val="002153EF"/>
    <w:rsid w:val="002157ED"/>
    <w:rsid w:val="00217C55"/>
    <w:rsid w:val="002206C2"/>
    <w:rsid w:val="0022227D"/>
    <w:rsid w:val="00224CA6"/>
    <w:rsid w:val="002252BA"/>
    <w:rsid w:val="002269B0"/>
    <w:rsid w:val="00227F55"/>
    <w:rsid w:val="00230A47"/>
    <w:rsid w:val="002312BA"/>
    <w:rsid w:val="00232F3A"/>
    <w:rsid w:val="00235C2A"/>
    <w:rsid w:val="0024186F"/>
    <w:rsid w:val="00245D6B"/>
    <w:rsid w:val="002557A0"/>
    <w:rsid w:val="00256690"/>
    <w:rsid w:val="00256BD4"/>
    <w:rsid w:val="00257474"/>
    <w:rsid w:val="00257AAB"/>
    <w:rsid w:val="00260C1D"/>
    <w:rsid w:val="0026235D"/>
    <w:rsid w:val="00262940"/>
    <w:rsid w:val="00265E77"/>
    <w:rsid w:val="0026659F"/>
    <w:rsid w:val="00266DDB"/>
    <w:rsid w:val="0026775A"/>
    <w:rsid w:val="00270B2D"/>
    <w:rsid w:val="00271B84"/>
    <w:rsid w:val="00272381"/>
    <w:rsid w:val="00273195"/>
    <w:rsid w:val="00274333"/>
    <w:rsid w:val="00275561"/>
    <w:rsid w:val="00275D79"/>
    <w:rsid w:val="002770FB"/>
    <w:rsid w:val="0028014F"/>
    <w:rsid w:val="00280772"/>
    <w:rsid w:val="0028170B"/>
    <w:rsid w:val="00282DD9"/>
    <w:rsid w:val="002863A8"/>
    <w:rsid w:val="002903AF"/>
    <w:rsid w:val="00290A7F"/>
    <w:rsid w:val="002914CE"/>
    <w:rsid w:val="0029336E"/>
    <w:rsid w:val="00293B99"/>
    <w:rsid w:val="002966EA"/>
    <w:rsid w:val="00297816"/>
    <w:rsid w:val="002A00C9"/>
    <w:rsid w:val="002A1AC3"/>
    <w:rsid w:val="002A30E7"/>
    <w:rsid w:val="002A3454"/>
    <w:rsid w:val="002A54AB"/>
    <w:rsid w:val="002A70B2"/>
    <w:rsid w:val="002A7AC6"/>
    <w:rsid w:val="002B2BBE"/>
    <w:rsid w:val="002B3116"/>
    <w:rsid w:val="002B36EE"/>
    <w:rsid w:val="002B44FC"/>
    <w:rsid w:val="002B7189"/>
    <w:rsid w:val="002C01FB"/>
    <w:rsid w:val="002C1461"/>
    <w:rsid w:val="002C1D36"/>
    <w:rsid w:val="002C20CE"/>
    <w:rsid w:val="002C37DE"/>
    <w:rsid w:val="002C3B51"/>
    <w:rsid w:val="002C452F"/>
    <w:rsid w:val="002C46C8"/>
    <w:rsid w:val="002C4D6F"/>
    <w:rsid w:val="002C59CE"/>
    <w:rsid w:val="002C5A88"/>
    <w:rsid w:val="002C5EFF"/>
    <w:rsid w:val="002C61F1"/>
    <w:rsid w:val="002C6298"/>
    <w:rsid w:val="002C64ED"/>
    <w:rsid w:val="002D06E9"/>
    <w:rsid w:val="002D0C61"/>
    <w:rsid w:val="002D180A"/>
    <w:rsid w:val="002D1DB1"/>
    <w:rsid w:val="002D22CA"/>
    <w:rsid w:val="002D28F3"/>
    <w:rsid w:val="002D514E"/>
    <w:rsid w:val="002D6A33"/>
    <w:rsid w:val="002D740F"/>
    <w:rsid w:val="002D7DF9"/>
    <w:rsid w:val="002E05F5"/>
    <w:rsid w:val="002E0C00"/>
    <w:rsid w:val="002E12B5"/>
    <w:rsid w:val="002E1ED3"/>
    <w:rsid w:val="002E20E3"/>
    <w:rsid w:val="002E4A69"/>
    <w:rsid w:val="002E59CB"/>
    <w:rsid w:val="002E75C1"/>
    <w:rsid w:val="002E7C59"/>
    <w:rsid w:val="002F02E0"/>
    <w:rsid w:val="002F035F"/>
    <w:rsid w:val="002F0C19"/>
    <w:rsid w:val="002F123F"/>
    <w:rsid w:val="002F2319"/>
    <w:rsid w:val="002F497F"/>
    <w:rsid w:val="002F51C2"/>
    <w:rsid w:val="002F6DF9"/>
    <w:rsid w:val="00302309"/>
    <w:rsid w:val="0030265E"/>
    <w:rsid w:val="00303378"/>
    <w:rsid w:val="003036C1"/>
    <w:rsid w:val="0030554D"/>
    <w:rsid w:val="00307D0A"/>
    <w:rsid w:val="003103DB"/>
    <w:rsid w:val="00310A07"/>
    <w:rsid w:val="0031159C"/>
    <w:rsid w:val="00311B4C"/>
    <w:rsid w:val="0031212A"/>
    <w:rsid w:val="00312E37"/>
    <w:rsid w:val="00313605"/>
    <w:rsid w:val="003227B2"/>
    <w:rsid w:val="0032291B"/>
    <w:rsid w:val="00323673"/>
    <w:rsid w:val="0032385A"/>
    <w:rsid w:val="003239BD"/>
    <w:rsid w:val="003243F9"/>
    <w:rsid w:val="00326DC7"/>
    <w:rsid w:val="0032719C"/>
    <w:rsid w:val="003302A1"/>
    <w:rsid w:val="003307FA"/>
    <w:rsid w:val="00330D76"/>
    <w:rsid w:val="00333344"/>
    <w:rsid w:val="00333519"/>
    <w:rsid w:val="00333913"/>
    <w:rsid w:val="0033596D"/>
    <w:rsid w:val="00335AD5"/>
    <w:rsid w:val="0033671A"/>
    <w:rsid w:val="003404C1"/>
    <w:rsid w:val="00340CFB"/>
    <w:rsid w:val="0034267B"/>
    <w:rsid w:val="00344400"/>
    <w:rsid w:val="00345438"/>
    <w:rsid w:val="00345493"/>
    <w:rsid w:val="0034731D"/>
    <w:rsid w:val="00350905"/>
    <w:rsid w:val="00350F05"/>
    <w:rsid w:val="0035264B"/>
    <w:rsid w:val="003536B1"/>
    <w:rsid w:val="003541B3"/>
    <w:rsid w:val="0035594A"/>
    <w:rsid w:val="00356941"/>
    <w:rsid w:val="003609E9"/>
    <w:rsid w:val="0036134B"/>
    <w:rsid w:val="003613F4"/>
    <w:rsid w:val="00362BB3"/>
    <w:rsid w:val="0036307B"/>
    <w:rsid w:val="0036332C"/>
    <w:rsid w:val="00365197"/>
    <w:rsid w:val="0036543C"/>
    <w:rsid w:val="003678D1"/>
    <w:rsid w:val="00367E49"/>
    <w:rsid w:val="0037312D"/>
    <w:rsid w:val="003731F1"/>
    <w:rsid w:val="003746DD"/>
    <w:rsid w:val="00375D08"/>
    <w:rsid w:val="003769EF"/>
    <w:rsid w:val="00382836"/>
    <w:rsid w:val="003831EE"/>
    <w:rsid w:val="00386FB6"/>
    <w:rsid w:val="003914C0"/>
    <w:rsid w:val="00391B7B"/>
    <w:rsid w:val="00394267"/>
    <w:rsid w:val="00394A84"/>
    <w:rsid w:val="00395D5E"/>
    <w:rsid w:val="00396A88"/>
    <w:rsid w:val="00397124"/>
    <w:rsid w:val="003975B5"/>
    <w:rsid w:val="00397F71"/>
    <w:rsid w:val="003A24F6"/>
    <w:rsid w:val="003A5FDD"/>
    <w:rsid w:val="003A60A6"/>
    <w:rsid w:val="003A6B02"/>
    <w:rsid w:val="003A6CFC"/>
    <w:rsid w:val="003A78B9"/>
    <w:rsid w:val="003B0015"/>
    <w:rsid w:val="003B1721"/>
    <w:rsid w:val="003B1D6D"/>
    <w:rsid w:val="003B2320"/>
    <w:rsid w:val="003B2871"/>
    <w:rsid w:val="003B3726"/>
    <w:rsid w:val="003B3A96"/>
    <w:rsid w:val="003B3B50"/>
    <w:rsid w:val="003B4118"/>
    <w:rsid w:val="003B5C90"/>
    <w:rsid w:val="003B6239"/>
    <w:rsid w:val="003B78B5"/>
    <w:rsid w:val="003B7EE3"/>
    <w:rsid w:val="003C00F9"/>
    <w:rsid w:val="003C1156"/>
    <w:rsid w:val="003C120F"/>
    <w:rsid w:val="003C40F7"/>
    <w:rsid w:val="003C45B8"/>
    <w:rsid w:val="003C563F"/>
    <w:rsid w:val="003C77E1"/>
    <w:rsid w:val="003C7C4B"/>
    <w:rsid w:val="003D6527"/>
    <w:rsid w:val="003D6B00"/>
    <w:rsid w:val="003D7B84"/>
    <w:rsid w:val="003E0F4E"/>
    <w:rsid w:val="003E1950"/>
    <w:rsid w:val="003E3905"/>
    <w:rsid w:val="003F0143"/>
    <w:rsid w:val="003F100F"/>
    <w:rsid w:val="003F1C61"/>
    <w:rsid w:val="003F2873"/>
    <w:rsid w:val="003F2B47"/>
    <w:rsid w:val="003F3562"/>
    <w:rsid w:val="003F385F"/>
    <w:rsid w:val="003F3DCA"/>
    <w:rsid w:val="003F45AF"/>
    <w:rsid w:val="003F4D3B"/>
    <w:rsid w:val="003F7946"/>
    <w:rsid w:val="004046A0"/>
    <w:rsid w:val="00404703"/>
    <w:rsid w:val="0040515A"/>
    <w:rsid w:val="00405770"/>
    <w:rsid w:val="004064DB"/>
    <w:rsid w:val="00406558"/>
    <w:rsid w:val="00406607"/>
    <w:rsid w:val="00407A5C"/>
    <w:rsid w:val="00407AE5"/>
    <w:rsid w:val="00407FB2"/>
    <w:rsid w:val="004114A8"/>
    <w:rsid w:val="004140C3"/>
    <w:rsid w:val="004144FE"/>
    <w:rsid w:val="00414930"/>
    <w:rsid w:val="004156A1"/>
    <w:rsid w:val="0041676D"/>
    <w:rsid w:val="00422D1D"/>
    <w:rsid w:val="00423C03"/>
    <w:rsid w:val="00424A18"/>
    <w:rsid w:val="004251E0"/>
    <w:rsid w:val="004259A2"/>
    <w:rsid w:val="00427189"/>
    <w:rsid w:val="004275F7"/>
    <w:rsid w:val="00430417"/>
    <w:rsid w:val="00433C34"/>
    <w:rsid w:val="00435F0C"/>
    <w:rsid w:val="00435FE4"/>
    <w:rsid w:val="00436301"/>
    <w:rsid w:val="0043746D"/>
    <w:rsid w:val="00437582"/>
    <w:rsid w:val="004376EB"/>
    <w:rsid w:val="0044058F"/>
    <w:rsid w:val="00445082"/>
    <w:rsid w:val="00447F1E"/>
    <w:rsid w:val="004504CB"/>
    <w:rsid w:val="004505EF"/>
    <w:rsid w:val="004507E5"/>
    <w:rsid w:val="0045296F"/>
    <w:rsid w:val="00456AE2"/>
    <w:rsid w:val="00456DE5"/>
    <w:rsid w:val="004619A4"/>
    <w:rsid w:val="004666BC"/>
    <w:rsid w:val="00467053"/>
    <w:rsid w:val="0046799C"/>
    <w:rsid w:val="004705C9"/>
    <w:rsid w:val="004722CD"/>
    <w:rsid w:val="004747DC"/>
    <w:rsid w:val="00480779"/>
    <w:rsid w:val="00481A70"/>
    <w:rsid w:val="00481D65"/>
    <w:rsid w:val="004834A0"/>
    <w:rsid w:val="00484662"/>
    <w:rsid w:val="00484A5B"/>
    <w:rsid w:val="004850EB"/>
    <w:rsid w:val="00487BA2"/>
    <w:rsid w:val="004912DA"/>
    <w:rsid w:val="0049218E"/>
    <w:rsid w:val="00492340"/>
    <w:rsid w:val="00492CE5"/>
    <w:rsid w:val="00495096"/>
    <w:rsid w:val="00495978"/>
    <w:rsid w:val="004962F4"/>
    <w:rsid w:val="004973D2"/>
    <w:rsid w:val="0049762F"/>
    <w:rsid w:val="004A20F8"/>
    <w:rsid w:val="004A35E9"/>
    <w:rsid w:val="004A5130"/>
    <w:rsid w:val="004A5DB9"/>
    <w:rsid w:val="004B25FE"/>
    <w:rsid w:val="004B2953"/>
    <w:rsid w:val="004B4448"/>
    <w:rsid w:val="004D26C6"/>
    <w:rsid w:val="004D3EB9"/>
    <w:rsid w:val="004D405D"/>
    <w:rsid w:val="004D4546"/>
    <w:rsid w:val="004D5F2B"/>
    <w:rsid w:val="004D616B"/>
    <w:rsid w:val="004D6B97"/>
    <w:rsid w:val="004D7951"/>
    <w:rsid w:val="004D7E1B"/>
    <w:rsid w:val="004E2EBE"/>
    <w:rsid w:val="004E4C97"/>
    <w:rsid w:val="004E696B"/>
    <w:rsid w:val="004F00D5"/>
    <w:rsid w:val="004F2587"/>
    <w:rsid w:val="004F2B10"/>
    <w:rsid w:val="004F3245"/>
    <w:rsid w:val="004F3780"/>
    <w:rsid w:val="004F51EF"/>
    <w:rsid w:val="004F5424"/>
    <w:rsid w:val="004F5CA4"/>
    <w:rsid w:val="004F621E"/>
    <w:rsid w:val="004F686C"/>
    <w:rsid w:val="004F7FFD"/>
    <w:rsid w:val="0050030F"/>
    <w:rsid w:val="00503E4B"/>
    <w:rsid w:val="00503F5E"/>
    <w:rsid w:val="005043CB"/>
    <w:rsid w:val="005043DD"/>
    <w:rsid w:val="00505103"/>
    <w:rsid w:val="00505A53"/>
    <w:rsid w:val="00506499"/>
    <w:rsid w:val="00507343"/>
    <w:rsid w:val="005120FB"/>
    <w:rsid w:val="005135D8"/>
    <w:rsid w:val="00513F75"/>
    <w:rsid w:val="00513F76"/>
    <w:rsid w:val="00514809"/>
    <w:rsid w:val="00514C6A"/>
    <w:rsid w:val="00515C01"/>
    <w:rsid w:val="00515E2C"/>
    <w:rsid w:val="00516042"/>
    <w:rsid w:val="00517EF5"/>
    <w:rsid w:val="005215C0"/>
    <w:rsid w:val="005216E2"/>
    <w:rsid w:val="0052256A"/>
    <w:rsid w:val="00524930"/>
    <w:rsid w:val="005262E6"/>
    <w:rsid w:val="005273FD"/>
    <w:rsid w:val="00527532"/>
    <w:rsid w:val="0053113F"/>
    <w:rsid w:val="005318DD"/>
    <w:rsid w:val="00531AE1"/>
    <w:rsid w:val="00531D10"/>
    <w:rsid w:val="005324C6"/>
    <w:rsid w:val="00535E42"/>
    <w:rsid w:val="00536526"/>
    <w:rsid w:val="00540E79"/>
    <w:rsid w:val="0054190F"/>
    <w:rsid w:val="00541FDF"/>
    <w:rsid w:val="005429B5"/>
    <w:rsid w:val="00546B38"/>
    <w:rsid w:val="00546BAA"/>
    <w:rsid w:val="00550037"/>
    <w:rsid w:val="00550D9F"/>
    <w:rsid w:val="00553728"/>
    <w:rsid w:val="0055386B"/>
    <w:rsid w:val="00553982"/>
    <w:rsid w:val="00553A4C"/>
    <w:rsid w:val="0055467F"/>
    <w:rsid w:val="005552AB"/>
    <w:rsid w:val="00557707"/>
    <w:rsid w:val="00557C3C"/>
    <w:rsid w:val="005611DD"/>
    <w:rsid w:val="00562774"/>
    <w:rsid w:val="00564213"/>
    <w:rsid w:val="005655D4"/>
    <w:rsid w:val="0056714A"/>
    <w:rsid w:val="00570ABF"/>
    <w:rsid w:val="005716AD"/>
    <w:rsid w:val="00573361"/>
    <w:rsid w:val="005748BA"/>
    <w:rsid w:val="0057590A"/>
    <w:rsid w:val="00581601"/>
    <w:rsid w:val="0058458E"/>
    <w:rsid w:val="00586CA5"/>
    <w:rsid w:val="00590628"/>
    <w:rsid w:val="005908D4"/>
    <w:rsid w:val="00590970"/>
    <w:rsid w:val="00590BFB"/>
    <w:rsid w:val="00590CE7"/>
    <w:rsid w:val="00591322"/>
    <w:rsid w:val="00591BB1"/>
    <w:rsid w:val="005941E4"/>
    <w:rsid w:val="005956A4"/>
    <w:rsid w:val="00595B41"/>
    <w:rsid w:val="005974A5"/>
    <w:rsid w:val="005A0BE4"/>
    <w:rsid w:val="005A2F16"/>
    <w:rsid w:val="005A3FD2"/>
    <w:rsid w:val="005A40F1"/>
    <w:rsid w:val="005A5B26"/>
    <w:rsid w:val="005A6E4E"/>
    <w:rsid w:val="005A6F81"/>
    <w:rsid w:val="005B381D"/>
    <w:rsid w:val="005B584C"/>
    <w:rsid w:val="005B63CA"/>
    <w:rsid w:val="005B6946"/>
    <w:rsid w:val="005B6D3B"/>
    <w:rsid w:val="005C192D"/>
    <w:rsid w:val="005C1DBE"/>
    <w:rsid w:val="005C2CDF"/>
    <w:rsid w:val="005C37A3"/>
    <w:rsid w:val="005D2405"/>
    <w:rsid w:val="005D4287"/>
    <w:rsid w:val="005D4B10"/>
    <w:rsid w:val="005D4F54"/>
    <w:rsid w:val="005D61BF"/>
    <w:rsid w:val="005D6AD5"/>
    <w:rsid w:val="005D75AF"/>
    <w:rsid w:val="005E2186"/>
    <w:rsid w:val="005E21DB"/>
    <w:rsid w:val="005E23BE"/>
    <w:rsid w:val="005E33E2"/>
    <w:rsid w:val="005E3BA0"/>
    <w:rsid w:val="005E3EE7"/>
    <w:rsid w:val="005E564E"/>
    <w:rsid w:val="005E5F5E"/>
    <w:rsid w:val="005E6836"/>
    <w:rsid w:val="005E77CB"/>
    <w:rsid w:val="005F198C"/>
    <w:rsid w:val="005F1A52"/>
    <w:rsid w:val="005F1D05"/>
    <w:rsid w:val="005F1E97"/>
    <w:rsid w:val="005F2299"/>
    <w:rsid w:val="005F2750"/>
    <w:rsid w:val="005F2EF7"/>
    <w:rsid w:val="005F569D"/>
    <w:rsid w:val="005F5EC5"/>
    <w:rsid w:val="005F6151"/>
    <w:rsid w:val="005F643F"/>
    <w:rsid w:val="006000D4"/>
    <w:rsid w:val="00601C0E"/>
    <w:rsid w:val="00602297"/>
    <w:rsid w:val="006030E8"/>
    <w:rsid w:val="006056A7"/>
    <w:rsid w:val="0060684F"/>
    <w:rsid w:val="00606E84"/>
    <w:rsid w:val="006079A6"/>
    <w:rsid w:val="00610A89"/>
    <w:rsid w:val="00611C0D"/>
    <w:rsid w:val="006123BA"/>
    <w:rsid w:val="00612F81"/>
    <w:rsid w:val="0061357E"/>
    <w:rsid w:val="0061358F"/>
    <w:rsid w:val="00614327"/>
    <w:rsid w:val="0061494D"/>
    <w:rsid w:val="00614EB6"/>
    <w:rsid w:val="00615862"/>
    <w:rsid w:val="00615D67"/>
    <w:rsid w:val="006207AE"/>
    <w:rsid w:val="00621B40"/>
    <w:rsid w:val="00621C57"/>
    <w:rsid w:val="006227AA"/>
    <w:rsid w:val="0062361F"/>
    <w:rsid w:val="00626EB8"/>
    <w:rsid w:val="006275DD"/>
    <w:rsid w:val="0063005C"/>
    <w:rsid w:val="00631CE1"/>
    <w:rsid w:val="00631DCC"/>
    <w:rsid w:val="0063305F"/>
    <w:rsid w:val="00634537"/>
    <w:rsid w:val="00635687"/>
    <w:rsid w:val="0063599B"/>
    <w:rsid w:val="006359DF"/>
    <w:rsid w:val="0063731E"/>
    <w:rsid w:val="00640135"/>
    <w:rsid w:val="00640499"/>
    <w:rsid w:val="0064049B"/>
    <w:rsid w:val="006406B8"/>
    <w:rsid w:val="006418E8"/>
    <w:rsid w:val="00641FF4"/>
    <w:rsid w:val="006441F6"/>
    <w:rsid w:val="0064430B"/>
    <w:rsid w:val="00644B42"/>
    <w:rsid w:val="00646D42"/>
    <w:rsid w:val="00646EC6"/>
    <w:rsid w:val="00650DEC"/>
    <w:rsid w:val="006522D9"/>
    <w:rsid w:val="00653069"/>
    <w:rsid w:val="006533EB"/>
    <w:rsid w:val="006541A0"/>
    <w:rsid w:val="00654E01"/>
    <w:rsid w:val="00656FD9"/>
    <w:rsid w:val="00657F63"/>
    <w:rsid w:val="00660160"/>
    <w:rsid w:val="00660CE7"/>
    <w:rsid w:val="00662EAC"/>
    <w:rsid w:val="00666A81"/>
    <w:rsid w:val="00666F83"/>
    <w:rsid w:val="0066799E"/>
    <w:rsid w:val="006679ED"/>
    <w:rsid w:val="006704B1"/>
    <w:rsid w:val="00670AB0"/>
    <w:rsid w:val="006722B9"/>
    <w:rsid w:val="00672CB5"/>
    <w:rsid w:val="006731FB"/>
    <w:rsid w:val="00673A9A"/>
    <w:rsid w:val="006742DD"/>
    <w:rsid w:val="006748AE"/>
    <w:rsid w:val="0067494D"/>
    <w:rsid w:val="00674B7D"/>
    <w:rsid w:val="00675767"/>
    <w:rsid w:val="00675F84"/>
    <w:rsid w:val="00683384"/>
    <w:rsid w:val="006846EE"/>
    <w:rsid w:val="00685E86"/>
    <w:rsid w:val="00687EF9"/>
    <w:rsid w:val="006910F6"/>
    <w:rsid w:val="006920C5"/>
    <w:rsid w:val="00692979"/>
    <w:rsid w:val="00693A3D"/>
    <w:rsid w:val="006941B9"/>
    <w:rsid w:val="006965F2"/>
    <w:rsid w:val="006A213F"/>
    <w:rsid w:val="006A22A1"/>
    <w:rsid w:val="006A27E5"/>
    <w:rsid w:val="006A7522"/>
    <w:rsid w:val="006B0C48"/>
    <w:rsid w:val="006B436B"/>
    <w:rsid w:val="006B47A3"/>
    <w:rsid w:val="006B4F3D"/>
    <w:rsid w:val="006B630D"/>
    <w:rsid w:val="006C082C"/>
    <w:rsid w:val="006C0DFE"/>
    <w:rsid w:val="006C2914"/>
    <w:rsid w:val="006C341C"/>
    <w:rsid w:val="006C3C91"/>
    <w:rsid w:val="006C46A0"/>
    <w:rsid w:val="006C676F"/>
    <w:rsid w:val="006C68EA"/>
    <w:rsid w:val="006C7217"/>
    <w:rsid w:val="006D0736"/>
    <w:rsid w:val="006D2CEF"/>
    <w:rsid w:val="006D2F5C"/>
    <w:rsid w:val="006D35EB"/>
    <w:rsid w:val="006D4E92"/>
    <w:rsid w:val="006D56C0"/>
    <w:rsid w:val="006D57F0"/>
    <w:rsid w:val="006D65E4"/>
    <w:rsid w:val="006E23E7"/>
    <w:rsid w:val="006E2AD4"/>
    <w:rsid w:val="006E2F74"/>
    <w:rsid w:val="006E3EE4"/>
    <w:rsid w:val="006E66F0"/>
    <w:rsid w:val="006E77DD"/>
    <w:rsid w:val="006F222A"/>
    <w:rsid w:val="006F3945"/>
    <w:rsid w:val="006F3EF3"/>
    <w:rsid w:val="006F5CFF"/>
    <w:rsid w:val="007000EB"/>
    <w:rsid w:val="0070044D"/>
    <w:rsid w:val="007009E3"/>
    <w:rsid w:val="00700C26"/>
    <w:rsid w:val="007027F5"/>
    <w:rsid w:val="007032F9"/>
    <w:rsid w:val="00703900"/>
    <w:rsid w:val="00707FBF"/>
    <w:rsid w:val="0071016C"/>
    <w:rsid w:val="00710405"/>
    <w:rsid w:val="007107D2"/>
    <w:rsid w:val="00711B82"/>
    <w:rsid w:val="007135D5"/>
    <w:rsid w:val="00720F8A"/>
    <w:rsid w:val="007213F8"/>
    <w:rsid w:val="00724805"/>
    <w:rsid w:val="00724DD1"/>
    <w:rsid w:val="00727F71"/>
    <w:rsid w:val="00730B1F"/>
    <w:rsid w:val="007311FF"/>
    <w:rsid w:val="00734D9E"/>
    <w:rsid w:val="00734E79"/>
    <w:rsid w:val="00735142"/>
    <w:rsid w:val="007351C3"/>
    <w:rsid w:val="00735403"/>
    <w:rsid w:val="007365CB"/>
    <w:rsid w:val="00736E93"/>
    <w:rsid w:val="00744228"/>
    <w:rsid w:val="0074661D"/>
    <w:rsid w:val="007474B1"/>
    <w:rsid w:val="00747706"/>
    <w:rsid w:val="0075074B"/>
    <w:rsid w:val="0075193F"/>
    <w:rsid w:val="00751C19"/>
    <w:rsid w:val="0075282A"/>
    <w:rsid w:val="007538E4"/>
    <w:rsid w:val="007560F1"/>
    <w:rsid w:val="007569CE"/>
    <w:rsid w:val="007575AC"/>
    <w:rsid w:val="00761035"/>
    <w:rsid w:val="00761B89"/>
    <w:rsid w:val="00761C79"/>
    <w:rsid w:val="00762A76"/>
    <w:rsid w:val="00763205"/>
    <w:rsid w:val="00765AD1"/>
    <w:rsid w:val="00766658"/>
    <w:rsid w:val="00766E45"/>
    <w:rsid w:val="00767B63"/>
    <w:rsid w:val="00771979"/>
    <w:rsid w:val="00772098"/>
    <w:rsid w:val="00773523"/>
    <w:rsid w:val="00774621"/>
    <w:rsid w:val="00775164"/>
    <w:rsid w:val="00775E33"/>
    <w:rsid w:val="00777ADE"/>
    <w:rsid w:val="007844BC"/>
    <w:rsid w:val="0078757A"/>
    <w:rsid w:val="00791F01"/>
    <w:rsid w:val="007927FF"/>
    <w:rsid w:val="00793FD7"/>
    <w:rsid w:val="0079692F"/>
    <w:rsid w:val="007A1B66"/>
    <w:rsid w:val="007A38F6"/>
    <w:rsid w:val="007A4DE6"/>
    <w:rsid w:val="007A7EBA"/>
    <w:rsid w:val="007B0C60"/>
    <w:rsid w:val="007B19C4"/>
    <w:rsid w:val="007B21F3"/>
    <w:rsid w:val="007B2266"/>
    <w:rsid w:val="007B2362"/>
    <w:rsid w:val="007B3A78"/>
    <w:rsid w:val="007B3F4B"/>
    <w:rsid w:val="007B7023"/>
    <w:rsid w:val="007B7615"/>
    <w:rsid w:val="007B7DE3"/>
    <w:rsid w:val="007C1C5C"/>
    <w:rsid w:val="007C211A"/>
    <w:rsid w:val="007C227D"/>
    <w:rsid w:val="007C3CB1"/>
    <w:rsid w:val="007C6090"/>
    <w:rsid w:val="007C77B4"/>
    <w:rsid w:val="007D40E9"/>
    <w:rsid w:val="007D4BC3"/>
    <w:rsid w:val="007D4E1A"/>
    <w:rsid w:val="007D6B7A"/>
    <w:rsid w:val="007D76C5"/>
    <w:rsid w:val="007E1679"/>
    <w:rsid w:val="007E1948"/>
    <w:rsid w:val="007E27FE"/>
    <w:rsid w:val="007E308C"/>
    <w:rsid w:val="007E4428"/>
    <w:rsid w:val="007E4B35"/>
    <w:rsid w:val="007E4EFA"/>
    <w:rsid w:val="007E733A"/>
    <w:rsid w:val="007F00D7"/>
    <w:rsid w:val="007F1B70"/>
    <w:rsid w:val="007F45B1"/>
    <w:rsid w:val="007F49C7"/>
    <w:rsid w:val="007F5308"/>
    <w:rsid w:val="007F5D18"/>
    <w:rsid w:val="007F6EFD"/>
    <w:rsid w:val="007F6F4A"/>
    <w:rsid w:val="007F70FB"/>
    <w:rsid w:val="00800592"/>
    <w:rsid w:val="00800C6D"/>
    <w:rsid w:val="00800F6C"/>
    <w:rsid w:val="00801E3B"/>
    <w:rsid w:val="0080260E"/>
    <w:rsid w:val="00803EB9"/>
    <w:rsid w:val="008047A3"/>
    <w:rsid w:val="00804830"/>
    <w:rsid w:val="00806680"/>
    <w:rsid w:val="00807720"/>
    <w:rsid w:val="00811A4B"/>
    <w:rsid w:val="00812E96"/>
    <w:rsid w:val="008152D6"/>
    <w:rsid w:val="00815CDE"/>
    <w:rsid w:val="00817A81"/>
    <w:rsid w:val="00817F5B"/>
    <w:rsid w:val="00822976"/>
    <w:rsid w:val="00822D21"/>
    <w:rsid w:val="00824178"/>
    <w:rsid w:val="0082487F"/>
    <w:rsid w:val="00825A1D"/>
    <w:rsid w:val="00825D94"/>
    <w:rsid w:val="008263AC"/>
    <w:rsid w:val="008313DA"/>
    <w:rsid w:val="008325EA"/>
    <w:rsid w:val="008334DC"/>
    <w:rsid w:val="008335C4"/>
    <w:rsid w:val="00833683"/>
    <w:rsid w:val="0083455E"/>
    <w:rsid w:val="008349A4"/>
    <w:rsid w:val="008363B5"/>
    <w:rsid w:val="00840645"/>
    <w:rsid w:val="008421B5"/>
    <w:rsid w:val="00843233"/>
    <w:rsid w:val="008444EF"/>
    <w:rsid w:val="00845F61"/>
    <w:rsid w:val="00846FC2"/>
    <w:rsid w:val="00850D10"/>
    <w:rsid w:val="00850EF0"/>
    <w:rsid w:val="00851510"/>
    <w:rsid w:val="008566F3"/>
    <w:rsid w:val="008578AF"/>
    <w:rsid w:val="00857CB6"/>
    <w:rsid w:val="008601DF"/>
    <w:rsid w:val="00861C74"/>
    <w:rsid w:val="00862E5C"/>
    <w:rsid w:val="00863347"/>
    <w:rsid w:val="0086547F"/>
    <w:rsid w:val="00866F41"/>
    <w:rsid w:val="00867088"/>
    <w:rsid w:val="00871F06"/>
    <w:rsid w:val="008721F6"/>
    <w:rsid w:val="0087250F"/>
    <w:rsid w:val="00872CFE"/>
    <w:rsid w:val="00873AFB"/>
    <w:rsid w:val="00874ACE"/>
    <w:rsid w:val="008751CF"/>
    <w:rsid w:val="0087528D"/>
    <w:rsid w:val="00875823"/>
    <w:rsid w:val="0087660A"/>
    <w:rsid w:val="00883740"/>
    <w:rsid w:val="008854ED"/>
    <w:rsid w:val="00886EE9"/>
    <w:rsid w:val="00886F93"/>
    <w:rsid w:val="00887748"/>
    <w:rsid w:val="00887D49"/>
    <w:rsid w:val="00890C58"/>
    <w:rsid w:val="0089236D"/>
    <w:rsid w:val="00892EEC"/>
    <w:rsid w:val="00894620"/>
    <w:rsid w:val="00894700"/>
    <w:rsid w:val="0089538C"/>
    <w:rsid w:val="0089562B"/>
    <w:rsid w:val="00896EFC"/>
    <w:rsid w:val="00897C20"/>
    <w:rsid w:val="008A05A1"/>
    <w:rsid w:val="008A0F08"/>
    <w:rsid w:val="008A1C1E"/>
    <w:rsid w:val="008A49E3"/>
    <w:rsid w:val="008A56DB"/>
    <w:rsid w:val="008A6D01"/>
    <w:rsid w:val="008B124F"/>
    <w:rsid w:val="008B1B3C"/>
    <w:rsid w:val="008B3B9B"/>
    <w:rsid w:val="008B47EB"/>
    <w:rsid w:val="008B551B"/>
    <w:rsid w:val="008B6E76"/>
    <w:rsid w:val="008B757F"/>
    <w:rsid w:val="008B7911"/>
    <w:rsid w:val="008C0FA0"/>
    <w:rsid w:val="008C1FC9"/>
    <w:rsid w:val="008C3448"/>
    <w:rsid w:val="008C48AD"/>
    <w:rsid w:val="008C52B9"/>
    <w:rsid w:val="008C550B"/>
    <w:rsid w:val="008C5570"/>
    <w:rsid w:val="008C5F3C"/>
    <w:rsid w:val="008C7556"/>
    <w:rsid w:val="008C76CE"/>
    <w:rsid w:val="008D09D6"/>
    <w:rsid w:val="008D1DC1"/>
    <w:rsid w:val="008D2495"/>
    <w:rsid w:val="008D29C0"/>
    <w:rsid w:val="008D2C23"/>
    <w:rsid w:val="008D3A8B"/>
    <w:rsid w:val="008D3D6D"/>
    <w:rsid w:val="008D4258"/>
    <w:rsid w:val="008D4628"/>
    <w:rsid w:val="008D4BC8"/>
    <w:rsid w:val="008D539E"/>
    <w:rsid w:val="008E0461"/>
    <w:rsid w:val="008E180B"/>
    <w:rsid w:val="008E21CF"/>
    <w:rsid w:val="008E2F9E"/>
    <w:rsid w:val="008E3959"/>
    <w:rsid w:val="008E55CE"/>
    <w:rsid w:val="008E5CAA"/>
    <w:rsid w:val="008F0BC0"/>
    <w:rsid w:val="008F13E0"/>
    <w:rsid w:val="008F2355"/>
    <w:rsid w:val="008F2665"/>
    <w:rsid w:val="008F3C4B"/>
    <w:rsid w:val="008F4524"/>
    <w:rsid w:val="008F4C79"/>
    <w:rsid w:val="008F6A53"/>
    <w:rsid w:val="00900461"/>
    <w:rsid w:val="009006A6"/>
    <w:rsid w:val="009015FC"/>
    <w:rsid w:val="009019F8"/>
    <w:rsid w:val="009048CC"/>
    <w:rsid w:val="0090500D"/>
    <w:rsid w:val="00905E6B"/>
    <w:rsid w:val="00906647"/>
    <w:rsid w:val="009077A2"/>
    <w:rsid w:val="0090785D"/>
    <w:rsid w:val="0091045C"/>
    <w:rsid w:val="0091146A"/>
    <w:rsid w:val="00912977"/>
    <w:rsid w:val="00912B65"/>
    <w:rsid w:val="0091305E"/>
    <w:rsid w:val="009132B3"/>
    <w:rsid w:val="009141FB"/>
    <w:rsid w:val="009144AC"/>
    <w:rsid w:val="00917985"/>
    <w:rsid w:val="00920577"/>
    <w:rsid w:val="009207FF"/>
    <w:rsid w:val="00921225"/>
    <w:rsid w:val="00922190"/>
    <w:rsid w:val="00922955"/>
    <w:rsid w:val="0092408B"/>
    <w:rsid w:val="009241B2"/>
    <w:rsid w:val="0092490A"/>
    <w:rsid w:val="00924B55"/>
    <w:rsid w:val="009266D1"/>
    <w:rsid w:val="00927580"/>
    <w:rsid w:val="00930CCA"/>
    <w:rsid w:val="00932718"/>
    <w:rsid w:val="00933C64"/>
    <w:rsid w:val="00935227"/>
    <w:rsid w:val="009426A8"/>
    <w:rsid w:val="00944AD5"/>
    <w:rsid w:val="0094500B"/>
    <w:rsid w:val="0094673A"/>
    <w:rsid w:val="00950034"/>
    <w:rsid w:val="00950076"/>
    <w:rsid w:val="00950CF4"/>
    <w:rsid w:val="00951585"/>
    <w:rsid w:val="00951987"/>
    <w:rsid w:val="009535FE"/>
    <w:rsid w:val="0095373C"/>
    <w:rsid w:val="0095518C"/>
    <w:rsid w:val="009609F3"/>
    <w:rsid w:val="00960B22"/>
    <w:rsid w:val="009633DF"/>
    <w:rsid w:val="009637D1"/>
    <w:rsid w:val="009647BC"/>
    <w:rsid w:val="00964D8D"/>
    <w:rsid w:val="00966095"/>
    <w:rsid w:val="00966110"/>
    <w:rsid w:val="00971678"/>
    <w:rsid w:val="00974580"/>
    <w:rsid w:val="00974A66"/>
    <w:rsid w:val="00974BD5"/>
    <w:rsid w:val="00975710"/>
    <w:rsid w:val="009763BA"/>
    <w:rsid w:val="00977A97"/>
    <w:rsid w:val="0098081B"/>
    <w:rsid w:val="00980BA3"/>
    <w:rsid w:val="0098202E"/>
    <w:rsid w:val="0098291F"/>
    <w:rsid w:val="009840BA"/>
    <w:rsid w:val="009853B0"/>
    <w:rsid w:val="0098630E"/>
    <w:rsid w:val="009867A0"/>
    <w:rsid w:val="00986CF0"/>
    <w:rsid w:val="00987412"/>
    <w:rsid w:val="009916C3"/>
    <w:rsid w:val="00991EB1"/>
    <w:rsid w:val="009950F1"/>
    <w:rsid w:val="00995DBF"/>
    <w:rsid w:val="00996BB9"/>
    <w:rsid w:val="00997E3C"/>
    <w:rsid w:val="009A1D3B"/>
    <w:rsid w:val="009A2DA7"/>
    <w:rsid w:val="009A2EE5"/>
    <w:rsid w:val="009A3179"/>
    <w:rsid w:val="009A3A2E"/>
    <w:rsid w:val="009A404B"/>
    <w:rsid w:val="009A6C57"/>
    <w:rsid w:val="009A746C"/>
    <w:rsid w:val="009B2706"/>
    <w:rsid w:val="009B4D00"/>
    <w:rsid w:val="009B714A"/>
    <w:rsid w:val="009B750A"/>
    <w:rsid w:val="009C0DDF"/>
    <w:rsid w:val="009C1419"/>
    <w:rsid w:val="009C2478"/>
    <w:rsid w:val="009C46BB"/>
    <w:rsid w:val="009C52AE"/>
    <w:rsid w:val="009C5AAA"/>
    <w:rsid w:val="009C680A"/>
    <w:rsid w:val="009D3353"/>
    <w:rsid w:val="009D4278"/>
    <w:rsid w:val="009D474C"/>
    <w:rsid w:val="009D53E2"/>
    <w:rsid w:val="009D635E"/>
    <w:rsid w:val="009D6F43"/>
    <w:rsid w:val="009E04F3"/>
    <w:rsid w:val="009E2780"/>
    <w:rsid w:val="009E5331"/>
    <w:rsid w:val="009E56DF"/>
    <w:rsid w:val="009E6D4E"/>
    <w:rsid w:val="009E767E"/>
    <w:rsid w:val="009F1932"/>
    <w:rsid w:val="009F1BA0"/>
    <w:rsid w:val="009F3C65"/>
    <w:rsid w:val="009F434B"/>
    <w:rsid w:val="009F46AE"/>
    <w:rsid w:val="009F63E1"/>
    <w:rsid w:val="009F77B8"/>
    <w:rsid w:val="00A00861"/>
    <w:rsid w:val="00A00BC6"/>
    <w:rsid w:val="00A01210"/>
    <w:rsid w:val="00A03A0E"/>
    <w:rsid w:val="00A045B5"/>
    <w:rsid w:val="00A10CDA"/>
    <w:rsid w:val="00A11C19"/>
    <w:rsid w:val="00A12B36"/>
    <w:rsid w:val="00A12E4E"/>
    <w:rsid w:val="00A13CCB"/>
    <w:rsid w:val="00A16158"/>
    <w:rsid w:val="00A16B88"/>
    <w:rsid w:val="00A20360"/>
    <w:rsid w:val="00A2181F"/>
    <w:rsid w:val="00A21BBE"/>
    <w:rsid w:val="00A2312C"/>
    <w:rsid w:val="00A23903"/>
    <w:rsid w:val="00A23B48"/>
    <w:rsid w:val="00A24D50"/>
    <w:rsid w:val="00A25B46"/>
    <w:rsid w:val="00A30A1C"/>
    <w:rsid w:val="00A32398"/>
    <w:rsid w:val="00A33016"/>
    <w:rsid w:val="00A33713"/>
    <w:rsid w:val="00A33889"/>
    <w:rsid w:val="00A339F4"/>
    <w:rsid w:val="00A353EC"/>
    <w:rsid w:val="00A35683"/>
    <w:rsid w:val="00A356A5"/>
    <w:rsid w:val="00A356B4"/>
    <w:rsid w:val="00A358C6"/>
    <w:rsid w:val="00A37712"/>
    <w:rsid w:val="00A40A91"/>
    <w:rsid w:val="00A419DA"/>
    <w:rsid w:val="00A429D4"/>
    <w:rsid w:val="00A43B2E"/>
    <w:rsid w:val="00A43DAD"/>
    <w:rsid w:val="00A46548"/>
    <w:rsid w:val="00A47DBE"/>
    <w:rsid w:val="00A51975"/>
    <w:rsid w:val="00A51E99"/>
    <w:rsid w:val="00A527B5"/>
    <w:rsid w:val="00A56400"/>
    <w:rsid w:val="00A5682B"/>
    <w:rsid w:val="00A578D8"/>
    <w:rsid w:val="00A57936"/>
    <w:rsid w:val="00A60761"/>
    <w:rsid w:val="00A657C8"/>
    <w:rsid w:val="00A66554"/>
    <w:rsid w:val="00A67029"/>
    <w:rsid w:val="00A67E25"/>
    <w:rsid w:val="00A70A6A"/>
    <w:rsid w:val="00A7155A"/>
    <w:rsid w:val="00A72E35"/>
    <w:rsid w:val="00A757F3"/>
    <w:rsid w:val="00A759AE"/>
    <w:rsid w:val="00A75DD8"/>
    <w:rsid w:val="00A77FF0"/>
    <w:rsid w:val="00A80761"/>
    <w:rsid w:val="00A83578"/>
    <w:rsid w:val="00A83E28"/>
    <w:rsid w:val="00A84610"/>
    <w:rsid w:val="00A86245"/>
    <w:rsid w:val="00A919B6"/>
    <w:rsid w:val="00A92C9A"/>
    <w:rsid w:val="00A92FEC"/>
    <w:rsid w:val="00A95707"/>
    <w:rsid w:val="00A968FE"/>
    <w:rsid w:val="00AA3E57"/>
    <w:rsid w:val="00AA46E3"/>
    <w:rsid w:val="00AA5004"/>
    <w:rsid w:val="00AA51B4"/>
    <w:rsid w:val="00AA674E"/>
    <w:rsid w:val="00AB2B7C"/>
    <w:rsid w:val="00AB305D"/>
    <w:rsid w:val="00AB344C"/>
    <w:rsid w:val="00AB4CBF"/>
    <w:rsid w:val="00AB567D"/>
    <w:rsid w:val="00AB5B99"/>
    <w:rsid w:val="00AC0AE3"/>
    <w:rsid w:val="00AC0FAC"/>
    <w:rsid w:val="00AC4189"/>
    <w:rsid w:val="00AC497F"/>
    <w:rsid w:val="00AC514A"/>
    <w:rsid w:val="00AC5590"/>
    <w:rsid w:val="00AC600B"/>
    <w:rsid w:val="00AC684B"/>
    <w:rsid w:val="00AC6CFF"/>
    <w:rsid w:val="00AC7E58"/>
    <w:rsid w:val="00AC7FAF"/>
    <w:rsid w:val="00AD07BD"/>
    <w:rsid w:val="00AD0D32"/>
    <w:rsid w:val="00AD15A4"/>
    <w:rsid w:val="00AD1ED0"/>
    <w:rsid w:val="00AD20B7"/>
    <w:rsid w:val="00AD360E"/>
    <w:rsid w:val="00AD5546"/>
    <w:rsid w:val="00AD75CB"/>
    <w:rsid w:val="00AE034F"/>
    <w:rsid w:val="00AE09BE"/>
    <w:rsid w:val="00AE0C48"/>
    <w:rsid w:val="00AE5353"/>
    <w:rsid w:val="00AE5F17"/>
    <w:rsid w:val="00AE71C6"/>
    <w:rsid w:val="00AF1764"/>
    <w:rsid w:val="00AF1CFC"/>
    <w:rsid w:val="00AF297A"/>
    <w:rsid w:val="00AF2D4C"/>
    <w:rsid w:val="00AF564C"/>
    <w:rsid w:val="00AF7396"/>
    <w:rsid w:val="00B009CC"/>
    <w:rsid w:val="00B00E48"/>
    <w:rsid w:val="00B01BD3"/>
    <w:rsid w:val="00B01D36"/>
    <w:rsid w:val="00B01F50"/>
    <w:rsid w:val="00B02F69"/>
    <w:rsid w:val="00B03AF7"/>
    <w:rsid w:val="00B07B27"/>
    <w:rsid w:val="00B10A59"/>
    <w:rsid w:val="00B10F1A"/>
    <w:rsid w:val="00B114E1"/>
    <w:rsid w:val="00B12350"/>
    <w:rsid w:val="00B124E2"/>
    <w:rsid w:val="00B12FA6"/>
    <w:rsid w:val="00B13D53"/>
    <w:rsid w:val="00B16574"/>
    <w:rsid w:val="00B17FAA"/>
    <w:rsid w:val="00B20396"/>
    <w:rsid w:val="00B2377D"/>
    <w:rsid w:val="00B23C1A"/>
    <w:rsid w:val="00B23EB7"/>
    <w:rsid w:val="00B244F6"/>
    <w:rsid w:val="00B27A36"/>
    <w:rsid w:val="00B30E23"/>
    <w:rsid w:val="00B32035"/>
    <w:rsid w:val="00B33024"/>
    <w:rsid w:val="00B36425"/>
    <w:rsid w:val="00B3644C"/>
    <w:rsid w:val="00B366B3"/>
    <w:rsid w:val="00B36A01"/>
    <w:rsid w:val="00B37870"/>
    <w:rsid w:val="00B37BA2"/>
    <w:rsid w:val="00B42F2B"/>
    <w:rsid w:val="00B4384E"/>
    <w:rsid w:val="00B43CA9"/>
    <w:rsid w:val="00B43E88"/>
    <w:rsid w:val="00B44426"/>
    <w:rsid w:val="00B445D8"/>
    <w:rsid w:val="00B451FD"/>
    <w:rsid w:val="00B46ED7"/>
    <w:rsid w:val="00B52653"/>
    <w:rsid w:val="00B54E1F"/>
    <w:rsid w:val="00B55518"/>
    <w:rsid w:val="00B55924"/>
    <w:rsid w:val="00B5604A"/>
    <w:rsid w:val="00B5616F"/>
    <w:rsid w:val="00B574E8"/>
    <w:rsid w:val="00B62D48"/>
    <w:rsid w:val="00B62DD8"/>
    <w:rsid w:val="00B6349C"/>
    <w:rsid w:val="00B63DD9"/>
    <w:rsid w:val="00B64A9F"/>
    <w:rsid w:val="00B6505F"/>
    <w:rsid w:val="00B67170"/>
    <w:rsid w:val="00B675AB"/>
    <w:rsid w:val="00B73E6A"/>
    <w:rsid w:val="00B74A4F"/>
    <w:rsid w:val="00B75AA4"/>
    <w:rsid w:val="00B76399"/>
    <w:rsid w:val="00B76FC7"/>
    <w:rsid w:val="00B82907"/>
    <w:rsid w:val="00B83913"/>
    <w:rsid w:val="00B83C25"/>
    <w:rsid w:val="00B84A04"/>
    <w:rsid w:val="00B85208"/>
    <w:rsid w:val="00B85A75"/>
    <w:rsid w:val="00B86182"/>
    <w:rsid w:val="00B86E58"/>
    <w:rsid w:val="00B86F73"/>
    <w:rsid w:val="00B871DE"/>
    <w:rsid w:val="00B87865"/>
    <w:rsid w:val="00B91556"/>
    <w:rsid w:val="00B9177B"/>
    <w:rsid w:val="00B926A3"/>
    <w:rsid w:val="00B934DB"/>
    <w:rsid w:val="00B93FB4"/>
    <w:rsid w:val="00B9722E"/>
    <w:rsid w:val="00B978AF"/>
    <w:rsid w:val="00B97975"/>
    <w:rsid w:val="00BA0027"/>
    <w:rsid w:val="00BA1A3C"/>
    <w:rsid w:val="00BA1DED"/>
    <w:rsid w:val="00BA4A33"/>
    <w:rsid w:val="00BA7573"/>
    <w:rsid w:val="00BA7C8C"/>
    <w:rsid w:val="00BA7DAD"/>
    <w:rsid w:val="00BB132D"/>
    <w:rsid w:val="00BB15E5"/>
    <w:rsid w:val="00BB2A4F"/>
    <w:rsid w:val="00BB3351"/>
    <w:rsid w:val="00BB3360"/>
    <w:rsid w:val="00BB4218"/>
    <w:rsid w:val="00BB4613"/>
    <w:rsid w:val="00BB5FDD"/>
    <w:rsid w:val="00BB60EA"/>
    <w:rsid w:val="00BC0E1C"/>
    <w:rsid w:val="00BC1723"/>
    <w:rsid w:val="00BC20C9"/>
    <w:rsid w:val="00BC20D2"/>
    <w:rsid w:val="00BC26EC"/>
    <w:rsid w:val="00BC29C4"/>
    <w:rsid w:val="00BC40B8"/>
    <w:rsid w:val="00BC500B"/>
    <w:rsid w:val="00BC673C"/>
    <w:rsid w:val="00BC6A11"/>
    <w:rsid w:val="00BD1000"/>
    <w:rsid w:val="00BD19B0"/>
    <w:rsid w:val="00BD3973"/>
    <w:rsid w:val="00BD3DCA"/>
    <w:rsid w:val="00BD4832"/>
    <w:rsid w:val="00BD56F9"/>
    <w:rsid w:val="00BD5C20"/>
    <w:rsid w:val="00BD5C25"/>
    <w:rsid w:val="00BE3ABC"/>
    <w:rsid w:val="00BE4644"/>
    <w:rsid w:val="00BE78F5"/>
    <w:rsid w:val="00BF054B"/>
    <w:rsid w:val="00BF1DBC"/>
    <w:rsid w:val="00BF263C"/>
    <w:rsid w:val="00BF385B"/>
    <w:rsid w:val="00BF580F"/>
    <w:rsid w:val="00BF5A62"/>
    <w:rsid w:val="00C02226"/>
    <w:rsid w:val="00C07915"/>
    <w:rsid w:val="00C125DA"/>
    <w:rsid w:val="00C1323B"/>
    <w:rsid w:val="00C1392A"/>
    <w:rsid w:val="00C1514E"/>
    <w:rsid w:val="00C156B0"/>
    <w:rsid w:val="00C16FE4"/>
    <w:rsid w:val="00C1712B"/>
    <w:rsid w:val="00C21283"/>
    <w:rsid w:val="00C22638"/>
    <w:rsid w:val="00C24172"/>
    <w:rsid w:val="00C24E3F"/>
    <w:rsid w:val="00C25193"/>
    <w:rsid w:val="00C25BB2"/>
    <w:rsid w:val="00C26FD1"/>
    <w:rsid w:val="00C27E1A"/>
    <w:rsid w:val="00C32C2C"/>
    <w:rsid w:val="00C35396"/>
    <w:rsid w:val="00C3546F"/>
    <w:rsid w:val="00C37377"/>
    <w:rsid w:val="00C3767B"/>
    <w:rsid w:val="00C37D03"/>
    <w:rsid w:val="00C37D2B"/>
    <w:rsid w:val="00C4160A"/>
    <w:rsid w:val="00C4180D"/>
    <w:rsid w:val="00C426B5"/>
    <w:rsid w:val="00C42D7B"/>
    <w:rsid w:val="00C47B7A"/>
    <w:rsid w:val="00C50105"/>
    <w:rsid w:val="00C518CB"/>
    <w:rsid w:val="00C519F7"/>
    <w:rsid w:val="00C51B10"/>
    <w:rsid w:val="00C51D85"/>
    <w:rsid w:val="00C5334D"/>
    <w:rsid w:val="00C53387"/>
    <w:rsid w:val="00C54C7C"/>
    <w:rsid w:val="00C56DC4"/>
    <w:rsid w:val="00C56F61"/>
    <w:rsid w:val="00C575D4"/>
    <w:rsid w:val="00C60560"/>
    <w:rsid w:val="00C60C7E"/>
    <w:rsid w:val="00C61B59"/>
    <w:rsid w:val="00C67FD6"/>
    <w:rsid w:val="00C7172C"/>
    <w:rsid w:val="00C72726"/>
    <w:rsid w:val="00C74DF7"/>
    <w:rsid w:val="00C7514B"/>
    <w:rsid w:val="00C77F49"/>
    <w:rsid w:val="00C80840"/>
    <w:rsid w:val="00C80D6D"/>
    <w:rsid w:val="00C81CC4"/>
    <w:rsid w:val="00C81DE4"/>
    <w:rsid w:val="00C829C7"/>
    <w:rsid w:val="00C82F80"/>
    <w:rsid w:val="00C83F6B"/>
    <w:rsid w:val="00C8429D"/>
    <w:rsid w:val="00C86476"/>
    <w:rsid w:val="00C86B2B"/>
    <w:rsid w:val="00C87060"/>
    <w:rsid w:val="00C90BE3"/>
    <w:rsid w:val="00C90D3A"/>
    <w:rsid w:val="00C914DF"/>
    <w:rsid w:val="00C93A37"/>
    <w:rsid w:val="00C93A7C"/>
    <w:rsid w:val="00C93F52"/>
    <w:rsid w:val="00C94AE7"/>
    <w:rsid w:val="00C958D8"/>
    <w:rsid w:val="00C976A7"/>
    <w:rsid w:val="00CA3704"/>
    <w:rsid w:val="00CA4450"/>
    <w:rsid w:val="00CB47C5"/>
    <w:rsid w:val="00CB485D"/>
    <w:rsid w:val="00CB4C50"/>
    <w:rsid w:val="00CB535B"/>
    <w:rsid w:val="00CB65F3"/>
    <w:rsid w:val="00CC0D57"/>
    <w:rsid w:val="00CC175E"/>
    <w:rsid w:val="00CC28A2"/>
    <w:rsid w:val="00CC2976"/>
    <w:rsid w:val="00CC3819"/>
    <w:rsid w:val="00CC398C"/>
    <w:rsid w:val="00CC4AEB"/>
    <w:rsid w:val="00CC5A10"/>
    <w:rsid w:val="00CC6416"/>
    <w:rsid w:val="00CD100C"/>
    <w:rsid w:val="00CD265D"/>
    <w:rsid w:val="00CD58E9"/>
    <w:rsid w:val="00CD666E"/>
    <w:rsid w:val="00CE1684"/>
    <w:rsid w:val="00CE1872"/>
    <w:rsid w:val="00CE5E66"/>
    <w:rsid w:val="00CE724A"/>
    <w:rsid w:val="00CF089A"/>
    <w:rsid w:val="00CF1462"/>
    <w:rsid w:val="00CF19C7"/>
    <w:rsid w:val="00CF2F05"/>
    <w:rsid w:val="00CF3CF2"/>
    <w:rsid w:val="00CF4569"/>
    <w:rsid w:val="00CF53E6"/>
    <w:rsid w:val="00CF6530"/>
    <w:rsid w:val="00CF6B8A"/>
    <w:rsid w:val="00CF7541"/>
    <w:rsid w:val="00CF76E7"/>
    <w:rsid w:val="00D017EE"/>
    <w:rsid w:val="00D02A1A"/>
    <w:rsid w:val="00D06736"/>
    <w:rsid w:val="00D06886"/>
    <w:rsid w:val="00D12AC8"/>
    <w:rsid w:val="00D12E1A"/>
    <w:rsid w:val="00D12F9F"/>
    <w:rsid w:val="00D143D9"/>
    <w:rsid w:val="00D14A4C"/>
    <w:rsid w:val="00D153EE"/>
    <w:rsid w:val="00D15D2D"/>
    <w:rsid w:val="00D15E80"/>
    <w:rsid w:val="00D1650F"/>
    <w:rsid w:val="00D2035C"/>
    <w:rsid w:val="00D21B73"/>
    <w:rsid w:val="00D22E42"/>
    <w:rsid w:val="00D23592"/>
    <w:rsid w:val="00D23A39"/>
    <w:rsid w:val="00D24CFD"/>
    <w:rsid w:val="00D25353"/>
    <w:rsid w:val="00D25DD5"/>
    <w:rsid w:val="00D26656"/>
    <w:rsid w:val="00D31504"/>
    <w:rsid w:val="00D32985"/>
    <w:rsid w:val="00D332FA"/>
    <w:rsid w:val="00D3430B"/>
    <w:rsid w:val="00D369B5"/>
    <w:rsid w:val="00D378BE"/>
    <w:rsid w:val="00D409D9"/>
    <w:rsid w:val="00D40CA7"/>
    <w:rsid w:val="00D42A56"/>
    <w:rsid w:val="00D436A6"/>
    <w:rsid w:val="00D439E3"/>
    <w:rsid w:val="00D44B51"/>
    <w:rsid w:val="00D45B79"/>
    <w:rsid w:val="00D45FA1"/>
    <w:rsid w:val="00D466A6"/>
    <w:rsid w:val="00D47338"/>
    <w:rsid w:val="00D47450"/>
    <w:rsid w:val="00D5006C"/>
    <w:rsid w:val="00D5189E"/>
    <w:rsid w:val="00D526F9"/>
    <w:rsid w:val="00D52CA4"/>
    <w:rsid w:val="00D54092"/>
    <w:rsid w:val="00D55896"/>
    <w:rsid w:val="00D56A43"/>
    <w:rsid w:val="00D576D6"/>
    <w:rsid w:val="00D60305"/>
    <w:rsid w:val="00D6062E"/>
    <w:rsid w:val="00D62E01"/>
    <w:rsid w:val="00D64357"/>
    <w:rsid w:val="00D64EA9"/>
    <w:rsid w:val="00D65B40"/>
    <w:rsid w:val="00D67DA8"/>
    <w:rsid w:val="00D70259"/>
    <w:rsid w:val="00D70918"/>
    <w:rsid w:val="00D712BA"/>
    <w:rsid w:val="00D718EA"/>
    <w:rsid w:val="00D722C5"/>
    <w:rsid w:val="00D74242"/>
    <w:rsid w:val="00D7477E"/>
    <w:rsid w:val="00D77535"/>
    <w:rsid w:val="00D80850"/>
    <w:rsid w:val="00D85A1C"/>
    <w:rsid w:val="00D86379"/>
    <w:rsid w:val="00D8774A"/>
    <w:rsid w:val="00D87E32"/>
    <w:rsid w:val="00D90571"/>
    <w:rsid w:val="00D90744"/>
    <w:rsid w:val="00D90827"/>
    <w:rsid w:val="00D9140E"/>
    <w:rsid w:val="00D91E51"/>
    <w:rsid w:val="00D922E8"/>
    <w:rsid w:val="00D926F0"/>
    <w:rsid w:val="00D938FB"/>
    <w:rsid w:val="00D939E8"/>
    <w:rsid w:val="00D93DAA"/>
    <w:rsid w:val="00D94B8A"/>
    <w:rsid w:val="00D9533F"/>
    <w:rsid w:val="00D95B26"/>
    <w:rsid w:val="00D9626F"/>
    <w:rsid w:val="00DA18FF"/>
    <w:rsid w:val="00DA20E4"/>
    <w:rsid w:val="00DA2555"/>
    <w:rsid w:val="00DA4798"/>
    <w:rsid w:val="00DA4BD8"/>
    <w:rsid w:val="00DA6DFE"/>
    <w:rsid w:val="00DA781D"/>
    <w:rsid w:val="00DB030C"/>
    <w:rsid w:val="00DB07F5"/>
    <w:rsid w:val="00DB420B"/>
    <w:rsid w:val="00DB4364"/>
    <w:rsid w:val="00DB5A78"/>
    <w:rsid w:val="00DB5EBD"/>
    <w:rsid w:val="00DB7433"/>
    <w:rsid w:val="00DB76F8"/>
    <w:rsid w:val="00DB7DDD"/>
    <w:rsid w:val="00DC0A20"/>
    <w:rsid w:val="00DC253C"/>
    <w:rsid w:val="00DC3AAA"/>
    <w:rsid w:val="00DC429C"/>
    <w:rsid w:val="00DC7A1A"/>
    <w:rsid w:val="00DD1081"/>
    <w:rsid w:val="00DD1479"/>
    <w:rsid w:val="00DD2482"/>
    <w:rsid w:val="00DD4046"/>
    <w:rsid w:val="00DD549C"/>
    <w:rsid w:val="00DD5C06"/>
    <w:rsid w:val="00DD5ED5"/>
    <w:rsid w:val="00DE0634"/>
    <w:rsid w:val="00DE18CC"/>
    <w:rsid w:val="00DE1C43"/>
    <w:rsid w:val="00DE1F33"/>
    <w:rsid w:val="00DE294E"/>
    <w:rsid w:val="00DE2990"/>
    <w:rsid w:val="00DE2C56"/>
    <w:rsid w:val="00DE46B6"/>
    <w:rsid w:val="00DE489D"/>
    <w:rsid w:val="00DE75B4"/>
    <w:rsid w:val="00DF1552"/>
    <w:rsid w:val="00DF24CA"/>
    <w:rsid w:val="00DF2E85"/>
    <w:rsid w:val="00DF30D3"/>
    <w:rsid w:val="00DF3FBE"/>
    <w:rsid w:val="00DF5E99"/>
    <w:rsid w:val="00DF7F67"/>
    <w:rsid w:val="00E01963"/>
    <w:rsid w:val="00E020A1"/>
    <w:rsid w:val="00E02945"/>
    <w:rsid w:val="00E03E2A"/>
    <w:rsid w:val="00E07E17"/>
    <w:rsid w:val="00E10A57"/>
    <w:rsid w:val="00E10B4A"/>
    <w:rsid w:val="00E12285"/>
    <w:rsid w:val="00E12B9A"/>
    <w:rsid w:val="00E145B1"/>
    <w:rsid w:val="00E154AC"/>
    <w:rsid w:val="00E15A83"/>
    <w:rsid w:val="00E165AC"/>
    <w:rsid w:val="00E17064"/>
    <w:rsid w:val="00E17790"/>
    <w:rsid w:val="00E20C2B"/>
    <w:rsid w:val="00E20F2E"/>
    <w:rsid w:val="00E234E5"/>
    <w:rsid w:val="00E24B1B"/>
    <w:rsid w:val="00E24BE6"/>
    <w:rsid w:val="00E276D4"/>
    <w:rsid w:val="00E31B4D"/>
    <w:rsid w:val="00E31BC9"/>
    <w:rsid w:val="00E32B2D"/>
    <w:rsid w:val="00E32DAB"/>
    <w:rsid w:val="00E33626"/>
    <w:rsid w:val="00E367F1"/>
    <w:rsid w:val="00E400C1"/>
    <w:rsid w:val="00E4104A"/>
    <w:rsid w:val="00E41363"/>
    <w:rsid w:val="00E41A96"/>
    <w:rsid w:val="00E4215D"/>
    <w:rsid w:val="00E42F80"/>
    <w:rsid w:val="00E43FF3"/>
    <w:rsid w:val="00E4471C"/>
    <w:rsid w:val="00E44C3F"/>
    <w:rsid w:val="00E45743"/>
    <w:rsid w:val="00E46558"/>
    <w:rsid w:val="00E467B9"/>
    <w:rsid w:val="00E474AA"/>
    <w:rsid w:val="00E51241"/>
    <w:rsid w:val="00E51A64"/>
    <w:rsid w:val="00E521DF"/>
    <w:rsid w:val="00E536B2"/>
    <w:rsid w:val="00E554D6"/>
    <w:rsid w:val="00E56246"/>
    <w:rsid w:val="00E56B35"/>
    <w:rsid w:val="00E613AB"/>
    <w:rsid w:val="00E618A5"/>
    <w:rsid w:val="00E62649"/>
    <w:rsid w:val="00E62976"/>
    <w:rsid w:val="00E64FFF"/>
    <w:rsid w:val="00E65982"/>
    <w:rsid w:val="00E668F6"/>
    <w:rsid w:val="00E7030C"/>
    <w:rsid w:val="00E7303B"/>
    <w:rsid w:val="00E73C58"/>
    <w:rsid w:val="00E74DA9"/>
    <w:rsid w:val="00E756C3"/>
    <w:rsid w:val="00E76C5E"/>
    <w:rsid w:val="00E779B4"/>
    <w:rsid w:val="00E77A92"/>
    <w:rsid w:val="00E77ADE"/>
    <w:rsid w:val="00E800B1"/>
    <w:rsid w:val="00E82322"/>
    <w:rsid w:val="00E855C6"/>
    <w:rsid w:val="00E857FA"/>
    <w:rsid w:val="00E86254"/>
    <w:rsid w:val="00E86890"/>
    <w:rsid w:val="00E86E0B"/>
    <w:rsid w:val="00E90212"/>
    <w:rsid w:val="00E90425"/>
    <w:rsid w:val="00E9068C"/>
    <w:rsid w:val="00E90F12"/>
    <w:rsid w:val="00E91E99"/>
    <w:rsid w:val="00E92C7F"/>
    <w:rsid w:val="00E92C99"/>
    <w:rsid w:val="00E93AAF"/>
    <w:rsid w:val="00E93D2D"/>
    <w:rsid w:val="00E955EE"/>
    <w:rsid w:val="00E95C05"/>
    <w:rsid w:val="00E97858"/>
    <w:rsid w:val="00E97F32"/>
    <w:rsid w:val="00EA0EA7"/>
    <w:rsid w:val="00EA1107"/>
    <w:rsid w:val="00EA356A"/>
    <w:rsid w:val="00EA3AC1"/>
    <w:rsid w:val="00EA3D7E"/>
    <w:rsid w:val="00EA5627"/>
    <w:rsid w:val="00EA5C91"/>
    <w:rsid w:val="00EA65FC"/>
    <w:rsid w:val="00EA6621"/>
    <w:rsid w:val="00EA6DAE"/>
    <w:rsid w:val="00EA6EF0"/>
    <w:rsid w:val="00EA756E"/>
    <w:rsid w:val="00EA7D67"/>
    <w:rsid w:val="00EB2A9C"/>
    <w:rsid w:val="00EB3166"/>
    <w:rsid w:val="00EB401D"/>
    <w:rsid w:val="00EB7D0F"/>
    <w:rsid w:val="00EC088B"/>
    <w:rsid w:val="00EC1B4D"/>
    <w:rsid w:val="00EC1EDA"/>
    <w:rsid w:val="00EC4343"/>
    <w:rsid w:val="00EC4F0F"/>
    <w:rsid w:val="00EC60FE"/>
    <w:rsid w:val="00EC65CF"/>
    <w:rsid w:val="00ED1AEC"/>
    <w:rsid w:val="00ED2002"/>
    <w:rsid w:val="00ED3722"/>
    <w:rsid w:val="00ED5906"/>
    <w:rsid w:val="00ED7C21"/>
    <w:rsid w:val="00EE1AEC"/>
    <w:rsid w:val="00EE1AFB"/>
    <w:rsid w:val="00EE2777"/>
    <w:rsid w:val="00EE3F2E"/>
    <w:rsid w:val="00EE418A"/>
    <w:rsid w:val="00EE56DB"/>
    <w:rsid w:val="00EE5856"/>
    <w:rsid w:val="00EE62D3"/>
    <w:rsid w:val="00EE6C9C"/>
    <w:rsid w:val="00EF1281"/>
    <w:rsid w:val="00EF1F82"/>
    <w:rsid w:val="00EF3957"/>
    <w:rsid w:val="00EF50A8"/>
    <w:rsid w:val="00EF53C9"/>
    <w:rsid w:val="00EF58D2"/>
    <w:rsid w:val="00EF6C4C"/>
    <w:rsid w:val="00EF6D71"/>
    <w:rsid w:val="00EF6EF1"/>
    <w:rsid w:val="00F009A0"/>
    <w:rsid w:val="00F010D1"/>
    <w:rsid w:val="00F026E2"/>
    <w:rsid w:val="00F027C4"/>
    <w:rsid w:val="00F035DA"/>
    <w:rsid w:val="00F04ACE"/>
    <w:rsid w:val="00F04B7E"/>
    <w:rsid w:val="00F06170"/>
    <w:rsid w:val="00F07B27"/>
    <w:rsid w:val="00F07EE0"/>
    <w:rsid w:val="00F10BFF"/>
    <w:rsid w:val="00F121D9"/>
    <w:rsid w:val="00F1313F"/>
    <w:rsid w:val="00F1327B"/>
    <w:rsid w:val="00F137FA"/>
    <w:rsid w:val="00F146A9"/>
    <w:rsid w:val="00F176DC"/>
    <w:rsid w:val="00F17BD7"/>
    <w:rsid w:val="00F21635"/>
    <w:rsid w:val="00F21C3B"/>
    <w:rsid w:val="00F23DED"/>
    <w:rsid w:val="00F23DEF"/>
    <w:rsid w:val="00F24940"/>
    <w:rsid w:val="00F25797"/>
    <w:rsid w:val="00F302A7"/>
    <w:rsid w:val="00F30B13"/>
    <w:rsid w:val="00F323D4"/>
    <w:rsid w:val="00F3321D"/>
    <w:rsid w:val="00F3335F"/>
    <w:rsid w:val="00F35948"/>
    <w:rsid w:val="00F36E59"/>
    <w:rsid w:val="00F375A4"/>
    <w:rsid w:val="00F378CE"/>
    <w:rsid w:val="00F37F5E"/>
    <w:rsid w:val="00F401B5"/>
    <w:rsid w:val="00F423D6"/>
    <w:rsid w:val="00F42A0B"/>
    <w:rsid w:val="00F4384A"/>
    <w:rsid w:val="00F438D4"/>
    <w:rsid w:val="00F44252"/>
    <w:rsid w:val="00F46645"/>
    <w:rsid w:val="00F46784"/>
    <w:rsid w:val="00F47965"/>
    <w:rsid w:val="00F520ED"/>
    <w:rsid w:val="00F53E30"/>
    <w:rsid w:val="00F576E4"/>
    <w:rsid w:val="00F63E62"/>
    <w:rsid w:val="00F6586E"/>
    <w:rsid w:val="00F65CF0"/>
    <w:rsid w:val="00F66F07"/>
    <w:rsid w:val="00F67EF6"/>
    <w:rsid w:val="00F71C01"/>
    <w:rsid w:val="00F73091"/>
    <w:rsid w:val="00F75BBA"/>
    <w:rsid w:val="00F7684B"/>
    <w:rsid w:val="00F7732B"/>
    <w:rsid w:val="00F77379"/>
    <w:rsid w:val="00F77DAC"/>
    <w:rsid w:val="00F80AE7"/>
    <w:rsid w:val="00F80DF4"/>
    <w:rsid w:val="00F81285"/>
    <w:rsid w:val="00F826B5"/>
    <w:rsid w:val="00F82913"/>
    <w:rsid w:val="00F831BD"/>
    <w:rsid w:val="00F8345A"/>
    <w:rsid w:val="00F87BC6"/>
    <w:rsid w:val="00F9017D"/>
    <w:rsid w:val="00F926FD"/>
    <w:rsid w:val="00F94131"/>
    <w:rsid w:val="00F94333"/>
    <w:rsid w:val="00F944F4"/>
    <w:rsid w:val="00F948B1"/>
    <w:rsid w:val="00F949A5"/>
    <w:rsid w:val="00F96873"/>
    <w:rsid w:val="00FA0C47"/>
    <w:rsid w:val="00FA29A0"/>
    <w:rsid w:val="00FA4295"/>
    <w:rsid w:val="00FA44FD"/>
    <w:rsid w:val="00FA4E9C"/>
    <w:rsid w:val="00FA6BE5"/>
    <w:rsid w:val="00FB0379"/>
    <w:rsid w:val="00FB311F"/>
    <w:rsid w:val="00FB42B1"/>
    <w:rsid w:val="00FB44B9"/>
    <w:rsid w:val="00FB44CA"/>
    <w:rsid w:val="00FB4816"/>
    <w:rsid w:val="00FB5F49"/>
    <w:rsid w:val="00FB727A"/>
    <w:rsid w:val="00FB7DFC"/>
    <w:rsid w:val="00FC1637"/>
    <w:rsid w:val="00FC3D86"/>
    <w:rsid w:val="00FC5449"/>
    <w:rsid w:val="00FC7BC5"/>
    <w:rsid w:val="00FC7D7F"/>
    <w:rsid w:val="00FD463E"/>
    <w:rsid w:val="00FD7457"/>
    <w:rsid w:val="00FE15DB"/>
    <w:rsid w:val="00FE1E08"/>
    <w:rsid w:val="00FE1E2B"/>
    <w:rsid w:val="00FE255C"/>
    <w:rsid w:val="00FE4703"/>
    <w:rsid w:val="00FE592D"/>
    <w:rsid w:val="00FE63F6"/>
    <w:rsid w:val="00FE6491"/>
    <w:rsid w:val="00FE6E87"/>
    <w:rsid w:val="00FE75CF"/>
    <w:rsid w:val="00FF07DF"/>
    <w:rsid w:val="00FF3B92"/>
    <w:rsid w:val="00FF66AF"/>
    <w:rsid w:val="00FF6735"/>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basedOn w:val="Normal"/>
    <w:link w:val="FootnoteTextChar"/>
    <w:uiPriority w:val="99"/>
    <w:unhideWhenUsed/>
    <w:rsid w:val="00FA4295"/>
    <w:rPr>
      <w:sz w:val="20"/>
    </w:rPr>
  </w:style>
  <w:style w:type="character" w:customStyle="1" w:styleId="FootnoteTextChar">
    <w:name w:val="Footnote Text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basedOn w:val="DefaultParagraphFont"/>
    <w:uiPriority w:val="99"/>
    <w:unhideWhenUsed/>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rsid w:val="00395D5E"/>
    <w:pPr>
      <w:spacing w:line="288" w:lineRule="auto"/>
      <w:ind w:left="360" w:hanging="360"/>
      <w:textAlignment w:val="baseline"/>
    </w:pPr>
    <w:rPr>
      <w:b/>
      <w:caps/>
      <w:sz w:val="20"/>
    </w:rPr>
  </w:style>
  <w:style w:type="paragraph" w:styleId="TOC2">
    <w:name w:val="toc 2"/>
    <w:basedOn w:val="Normal"/>
    <w:next w:val="Normal"/>
    <w:uiPriority w:val="39"/>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basedOn w:val="Normal"/>
    <w:next w:val="Normal"/>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2"/>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semiHidden/>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4"/>
    <w:pPr>
      <w:overflowPunct w:val="0"/>
      <w:autoSpaceDE w:val="0"/>
      <w:autoSpaceDN w:val="0"/>
      <w:adjustRightInd w:val="0"/>
    </w:pPr>
    <w:rPr>
      <w:rFonts w:ascii="Times New Roman" w:eastAsia="Times New Roman" w:hAnsi="Times New Roman"/>
      <w:sz w:val="24"/>
    </w:rPr>
  </w:style>
  <w:style w:type="paragraph" w:styleId="Heading1">
    <w:name w:val="heading 1"/>
    <w:basedOn w:val="Normal"/>
    <w:next w:val="Normal"/>
    <w:link w:val="Heading1Char"/>
    <w:qFormat/>
    <w:rsid w:val="00395D5E"/>
    <w:pPr>
      <w:keepNext/>
      <w:tabs>
        <w:tab w:val="num" w:pos="900"/>
      </w:tabs>
      <w:spacing w:before="240" w:after="120" w:line="288" w:lineRule="auto"/>
      <w:ind w:left="900" w:hanging="900"/>
      <w:textAlignment w:val="baseline"/>
      <w:outlineLvl w:val="0"/>
    </w:pPr>
    <w:rPr>
      <w:rFonts w:ascii="Arial Bold" w:hAnsi="Arial Bold" w:cs="Arial"/>
      <w:b/>
      <w:bCs/>
      <w:smallCaps/>
      <w:kern w:val="32"/>
      <w:sz w:val="30"/>
      <w:szCs w:val="32"/>
    </w:rPr>
  </w:style>
  <w:style w:type="paragraph" w:styleId="Heading2">
    <w:name w:val="heading 2"/>
    <w:basedOn w:val="Normal"/>
    <w:next w:val="Normal"/>
    <w:link w:val="Heading2Char"/>
    <w:qFormat/>
    <w:rsid w:val="00395D5E"/>
    <w:pPr>
      <w:keepNext/>
      <w:tabs>
        <w:tab w:val="left" w:pos="907"/>
      </w:tabs>
      <w:spacing w:before="120" w:after="120" w:line="288" w:lineRule="auto"/>
      <w:ind w:left="907" w:hanging="907"/>
      <w:textAlignment w:val="baseline"/>
      <w:outlineLvl w:val="1"/>
    </w:pPr>
    <w:rPr>
      <w:rFonts w:ascii="Arial" w:hAnsi="Arial" w:cs="Arial"/>
      <w:b/>
      <w:bCs/>
      <w:iCs/>
      <w:szCs w:val="28"/>
    </w:rPr>
  </w:style>
  <w:style w:type="paragraph" w:styleId="Heading3">
    <w:name w:val="heading 3"/>
    <w:basedOn w:val="Normal"/>
    <w:next w:val="Normal"/>
    <w:link w:val="Heading3Char"/>
    <w:qFormat/>
    <w:rsid w:val="00FA4295"/>
    <w:pPr>
      <w:keepNext/>
      <w:spacing w:before="240" w:after="60"/>
      <w:outlineLvl w:val="2"/>
    </w:pPr>
    <w:rPr>
      <w:rFonts w:ascii="Arial" w:hAnsi="Arial" w:cs="Arial"/>
      <w:b/>
      <w:bCs/>
      <w:sz w:val="26"/>
      <w:szCs w:val="26"/>
    </w:rPr>
  </w:style>
  <w:style w:type="paragraph" w:styleId="Heading4">
    <w:name w:val="heading 4"/>
    <w:basedOn w:val="Normal"/>
    <w:next w:val="BodyTextIndent3"/>
    <w:link w:val="Heading4Char"/>
    <w:qFormat/>
    <w:rsid w:val="00395D5E"/>
    <w:pPr>
      <w:keepNext/>
      <w:tabs>
        <w:tab w:val="left" w:pos="1008"/>
      </w:tabs>
      <w:spacing w:before="120" w:after="60" w:line="288" w:lineRule="auto"/>
      <w:textAlignment w:val="baseline"/>
      <w:outlineLvl w:val="3"/>
    </w:pPr>
    <w:rPr>
      <w:rFonts w:ascii="Arial" w:hAnsi="Arial"/>
      <w:b/>
      <w:bCs/>
      <w:sz w:val="18"/>
      <w:szCs w:val="28"/>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D5E"/>
    <w:rPr>
      <w:rFonts w:ascii="Arial Bold" w:eastAsia="Times New Roman" w:hAnsi="Arial Bold" w:cs="Arial"/>
      <w:b/>
      <w:bCs/>
      <w:smallCaps/>
      <w:kern w:val="32"/>
      <w:sz w:val="30"/>
      <w:szCs w:val="32"/>
    </w:rPr>
  </w:style>
  <w:style w:type="character" w:customStyle="1" w:styleId="Heading2Char">
    <w:name w:val="Heading 2 Char"/>
    <w:basedOn w:val="DefaultParagraphFont"/>
    <w:link w:val="Heading2"/>
    <w:rsid w:val="00395D5E"/>
    <w:rPr>
      <w:rFonts w:ascii="Arial" w:eastAsia="Times New Roman" w:hAnsi="Arial" w:cs="Arial"/>
      <w:b/>
      <w:bCs/>
      <w:iCs/>
      <w:sz w:val="24"/>
      <w:szCs w:val="28"/>
    </w:rPr>
  </w:style>
  <w:style w:type="character" w:customStyle="1" w:styleId="Heading3Char">
    <w:name w:val="Heading 3 Char"/>
    <w:basedOn w:val="DefaultParagraphFont"/>
    <w:link w:val="Heading3"/>
    <w:rsid w:val="00950034"/>
    <w:rPr>
      <w:rFonts w:ascii="Arial" w:eastAsia="Times New Roman" w:hAnsi="Arial" w:cs="Arial"/>
      <w:b/>
      <w:bCs/>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950034"/>
    <w:rPr>
      <w:rFonts w:ascii="Arial" w:eastAsia="Times New Roman" w:hAnsi="Arial"/>
      <w:b/>
      <w:bCs/>
      <w:sz w:val="18"/>
      <w:szCs w:val="28"/>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basedOn w:val="Normal"/>
    <w:link w:val="FootnoteTextChar"/>
    <w:uiPriority w:val="99"/>
    <w:unhideWhenUsed/>
    <w:rsid w:val="00FA4295"/>
    <w:rPr>
      <w:sz w:val="20"/>
    </w:rPr>
  </w:style>
  <w:style w:type="character" w:customStyle="1" w:styleId="FootnoteTextChar">
    <w:name w:val="Footnote Text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basedOn w:val="DefaultParagraphFont"/>
    <w:uiPriority w:val="99"/>
    <w:unhideWhenUsed/>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rsid w:val="00395D5E"/>
    <w:pPr>
      <w:spacing w:line="288" w:lineRule="auto"/>
      <w:ind w:left="360" w:hanging="360"/>
      <w:textAlignment w:val="baseline"/>
    </w:pPr>
    <w:rPr>
      <w:b/>
      <w:caps/>
      <w:sz w:val="20"/>
    </w:rPr>
  </w:style>
  <w:style w:type="paragraph" w:styleId="TOC2">
    <w:name w:val="toc 2"/>
    <w:basedOn w:val="Normal"/>
    <w:next w:val="Normal"/>
    <w:uiPriority w:val="39"/>
    <w:rsid w:val="00395D5E"/>
    <w:pPr>
      <w:tabs>
        <w:tab w:val="left" w:pos="900"/>
        <w:tab w:val="right" w:leader="dot" w:pos="8630"/>
      </w:tabs>
      <w:spacing w:line="288" w:lineRule="auto"/>
      <w:ind w:left="907" w:hanging="662"/>
      <w:textAlignment w:val="baseline"/>
    </w:pPr>
    <w:rPr>
      <w:rFonts w:ascii="Arial" w:hAnsi="Arial"/>
      <w:noProof/>
      <w:sz w:val="20"/>
    </w:rPr>
  </w:style>
  <w:style w:type="paragraph" w:styleId="TOC3">
    <w:name w:val="toc 3"/>
    <w:basedOn w:val="Normal"/>
    <w:next w:val="Normal"/>
    <w:uiPriority w:val="39"/>
    <w:rsid w:val="00395D5E"/>
    <w:pPr>
      <w:spacing w:line="288" w:lineRule="auto"/>
      <w:ind w:left="475"/>
      <w:textAlignment w:val="baseline"/>
    </w:pPr>
    <w:rPr>
      <w:rFonts w:ascii="Arial" w:hAnsi="Arial"/>
      <w:i/>
      <w:sz w:val="22"/>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basedOn w:val="Normal"/>
    <w:next w:val="Normal"/>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2"/>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tblInd w:w="0" w:type="dxa"/>
      <w:tblCellMar>
        <w:top w:w="0" w:type="dxa"/>
        <w:left w:w="108" w:type="dxa"/>
        <w:bottom w:w="0" w:type="dxa"/>
        <w:right w:w="108" w:type="dxa"/>
      </w:tblCellMa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semiHidden/>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 w:val="26"/>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tabs>
        <w:tab w:val="clear" w:pos="900"/>
      </w:tabs>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small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brow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gagood@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brown@p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egagood@pa.gov" TargetMode="External"/><Relationship Id="rId4" Type="http://schemas.microsoft.com/office/2007/relationships/stylesWithEffects" Target="stylesWithEffects.xml"/><Relationship Id="rId9" Type="http://schemas.openxmlformats.org/officeDocument/2006/relationships/hyperlink" Target="http://www.puc.state.pa.us/electric/Act129/TRM.aspx"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powerauthority.on.ca/sites/default/files/new_files/2010/2010%20Residential%20Great%20Refrigerator%20Roundup%20Program%20Evaluation.pdf" TargetMode="External"/><Relationship Id="rId13" Type="http://schemas.openxmlformats.org/officeDocument/2006/relationships/hyperlink" Target="http://www.deerresources.com/" TargetMode="External"/><Relationship Id="rId18" Type="http://schemas.openxmlformats.org/officeDocument/2006/relationships/hyperlink" Target="http://www.nwcouncil.org/energy/rtf/measures/measure.asp?id=95&amp;decisionid=117" TargetMode="External"/><Relationship Id="rId3" Type="http://schemas.openxmlformats.org/officeDocument/2006/relationships/hyperlink" Target="http://www.acca.org/Files/?id=67" TargetMode="External"/><Relationship Id="rId7" Type="http://schemas.openxmlformats.org/officeDocument/2006/relationships/hyperlink" Target="http://www.pacificorp.com/content/dam/pacificorp/doc/Energy_Sources/Demand_Side_Management/WA_2011_SYLR_Final_Report.pdf" TargetMode="External"/><Relationship Id="rId12" Type="http://schemas.openxmlformats.org/officeDocument/2006/relationships/hyperlink" Target="http://www.deerresources.com" TargetMode="External"/><Relationship Id="rId17" Type="http://schemas.openxmlformats.org/officeDocument/2006/relationships/hyperlink" Target="http://doe2.com/equest/" TargetMode="External"/><Relationship Id="rId2" Type="http://schemas.openxmlformats.org/officeDocument/2006/relationships/hyperlink" Target="http://www.puc.state.pa.us/electric/Act_129_info.aspx" TargetMode="External"/><Relationship Id="rId16" Type="http://schemas.openxmlformats.org/officeDocument/2006/relationships/hyperlink" Target="http://www.energystar.gov/ia/business/bulk_purchasing/bpsavings_calc/Calc_CAC.xls" TargetMode="External"/><Relationship Id="rId1" Type="http://schemas.openxmlformats.org/officeDocument/2006/relationships/hyperlink" Target="http://www.puc.state.pa.us/electric/Act_129_info.aspx" TargetMode="External"/><Relationship Id="rId6" Type="http://schemas.openxmlformats.org/officeDocument/2006/relationships/hyperlink" Target="http://ump.pnnl.gov/showthread.php/4902-Refrigerator-Recycling-Evaluation-Protocol" TargetMode="External"/><Relationship Id="rId11" Type="http://schemas.openxmlformats.org/officeDocument/2006/relationships/hyperlink" Target="http://www.energysavers.gov/your_home/water_heating/index.cfm/mytopic=13000" TargetMode="External"/><Relationship Id="rId5" Type="http://schemas.openxmlformats.org/officeDocument/2006/relationships/hyperlink" Target="http://www.calmac.org" TargetMode="External"/><Relationship Id="rId15" Type="http://schemas.openxmlformats.org/officeDocument/2006/relationships/hyperlink" Target="http://efficiency.lbl.gov/drupal.files/ees/Lighting%20Controls%20in%20Commercial%20Buildings_LBNL-5095-E.pdf" TargetMode="External"/><Relationship Id="rId10" Type="http://schemas.openxmlformats.org/officeDocument/2006/relationships/hyperlink" Target="http://www.powerauthority.on.ca/sites/default/files/new_files/2010/2010%20Residential%20Great%20Refrigerator%20Roundup%20Program%20Evaluation.pdf" TargetMode="External"/><Relationship Id="rId19" Type="http://schemas.openxmlformats.org/officeDocument/2006/relationships/hyperlink" Target="http://www.puc.state.pa.us/electric/Act_129_info.aspx" TargetMode="External"/><Relationship Id="rId4" Type="http://schemas.openxmlformats.org/officeDocument/2006/relationships/hyperlink" Target="http://www.energystar.gov/ia/partners/downloads/EPA_Cover_Letter_ME_2012.pdf?2a4f-819c" TargetMode="External"/><Relationship Id="rId9" Type="http://schemas.openxmlformats.org/officeDocument/2006/relationships/hyperlink" Target="http://www.pacificorp.com/content/dam/pacificorp/doc/Energy_Sources/Demand_Side_Management/WA_2011_SYLR_Final_Report.pdf" TargetMode="External"/><Relationship Id="rId14" Type="http://schemas.openxmlformats.org/officeDocument/2006/relationships/hyperlink" Target="http://www.deerresou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FAA2-DFB3-48E7-AD7B-5A85BB00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54</Pages>
  <Words>11291</Words>
  <Characters>64365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75505</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Miller, Sara</cp:lastModifiedBy>
  <cp:revision>6</cp:revision>
  <cp:lastPrinted>2012-09-13T11:44:00Z</cp:lastPrinted>
  <dcterms:created xsi:type="dcterms:W3CDTF">2012-08-31T15:44:00Z</dcterms:created>
  <dcterms:modified xsi:type="dcterms:W3CDTF">2012-09-13T11:46:00Z</dcterms:modified>
</cp:coreProperties>
</file>