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645" w:rsidRPr="007733F3" w:rsidRDefault="00726645" w:rsidP="00CE7A3D">
      <w:pPr>
        <w:jc w:val="center"/>
        <w:rPr>
          <w:b/>
          <w:sz w:val="26"/>
          <w:szCs w:val="26"/>
        </w:rPr>
      </w:pPr>
      <w:r w:rsidRPr="007733F3">
        <w:rPr>
          <w:b/>
          <w:sz w:val="26"/>
          <w:szCs w:val="26"/>
        </w:rPr>
        <w:t>PENNSYLVANIA</w:t>
      </w:r>
    </w:p>
    <w:p w:rsidR="00726645" w:rsidRPr="007733F3" w:rsidRDefault="00726645" w:rsidP="00CE7A3D">
      <w:pPr>
        <w:jc w:val="center"/>
        <w:rPr>
          <w:b/>
          <w:sz w:val="26"/>
          <w:szCs w:val="26"/>
        </w:rPr>
      </w:pPr>
      <w:r w:rsidRPr="007733F3">
        <w:rPr>
          <w:b/>
          <w:sz w:val="26"/>
          <w:szCs w:val="26"/>
        </w:rPr>
        <w:t>PUBLIC UTILITY COMMISSION</w:t>
      </w:r>
    </w:p>
    <w:p w:rsidR="00726645" w:rsidRPr="007733F3" w:rsidRDefault="00726645" w:rsidP="00CE7A3D">
      <w:pPr>
        <w:jc w:val="center"/>
        <w:rPr>
          <w:b/>
          <w:sz w:val="26"/>
          <w:szCs w:val="26"/>
        </w:rPr>
      </w:pPr>
      <w:r w:rsidRPr="007733F3">
        <w:rPr>
          <w:b/>
          <w:sz w:val="26"/>
          <w:szCs w:val="26"/>
        </w:rPr>
        <w:t>Harrisburg, PA.  17105-3265</w:t>
      </w:r>
    </w:p>
    <w:p w:rsidR="00726645" w:rsidRPr="007733F3" w:rsidRDefault="00726645" w:rsidP="00CE7A3D">
      <w:pPr>
        <w:rPr>
          <w:sz w:val="26"/>
          <w:szCs w:val="26"/>
        </w:rPr>
      </w:pPr>
    </w:p>
    <w:tbl>
      <w:tblPr>
        <w:tblW w:w="0" w:type="auto"/>
        <w:tblLayout w:type="fixed"/>
        <w:tblLook w:val="0000" w:firstRow="0" w:lastRow="0" w:firstColumn="0" w:lastColumn="0" w:noHBand="0" w:noVBand="0"/>
      </w:tblPr>
      <w:tblGrid>
        <w:gridCol w:w="5148"/>
        <w:gridCol w:w="4410"/>
      </w:tblGrid>
      <w:tr w:rsidR="00726645" w:rsidRPr="007733F3" w:rsidTr="00A232B9">
        <w:tc>
          <w:tcPr>
            <w:tcW w:w="5148" w:type="dxa"/>
          </w:tcPr>
          <w:p w:rsidR="00726645" w:rsidRPr="007733F3" w:rsidRDefault="00726645" w:rsidP="00A232B9">
            <w:pPr>
              <w:rPr>
                <w:sz w:val="26"/>
                <w:szCs w:val="26"/>
              </w:rPr>
            </w:pPr>
          </w:p>
        </w:tc>
        <w:tc>
          <w:tcPr>
            <w:tcW w:w="4410" w:type="dxa"/>
          </w:tcPr>
          <w:p w:rsidR="00726645" w:rsidRPr="007733F3" w:rsidRDefault="00726645" w:rsidP="00CB3D48">
            <w:pPr>
              <w:ind w:firstLine="432"/>
              <w:rPr>
                <w:sz w:val="26"/>
                <w:szCs w:val="26"/>
              </w:rPr>
            </w:pPr>
            <w:r w:rsidRPr="007733F3">
              <w:rPr>
                <w:sz w:val="26"/>
                <w:szCs w:val="26"/>
              </w:rPr>
              <w:t xml:space="preserve">Public Meeting held </w:t>
            </w:r>
            <w:r w:rsidR="00CB3D48">
              <w:rPr>
                <w:sz w:val="26"/>
                <w:szCs w:val="26"/>
              </w:rPr>
              <w:t>May 24, 2012</w:t>
            </w:r>
          </w:p>
        </w:tc>
      </w:tr>
      <w:tr w:rsidR="00726645" w:rsidRPr="007733F3" w:rsidTr="00A232B9">
        <w:tc>
          <w:tcPr>
            <w:tcW w:w="5148" w:type="dxa"/>
          </w:tcPr>
          <w:p w:rsidR="00726645" w:rsidRPr="007733F3" w:rsidRDefault="00726645" w:rsidP="00A232B9">
            <w:pPr>
              <w:rPr>
                <w:sz w:val="26"/>
                <w:szCs w:val="26"/>
              </w:rPr>
            </w:pPr>
            <w:r w:rsidRPr="007733F3">
              <w:rPr>
                <w:sz w:val="26"/>
                <w:szCs w:val="26"/>
              </w:rPr>
              <w:t>Commissioners Present:</w:t>
            </w:r>
          </w:p>
        </w:tc>
        <w:tc>
          <w:tcPr>
            <w:tcW w:w="4410" w:type="dxa"/>
          </w:tcPr>
          <w:p w:rsidR="00726645" w:rsidRPr="007733F3" w:rsidRDefault="00726645" w:rsidP="00A232B9">
            <w:pPr>
              <w:rPr>
                <w:sz w:val="26"/>
                <w:szCs w:val="26"/>
              </w:rPr>
            </w:pPr>
          </w:p>
        </w:tc>
      </w:tr>
    </w:tbl>
    <w:p w:rsidR="00726645" w:rsidRPr="007733F3" w:rsidRDefault="00726645" w:rsidP="00CE7A3D">
      <w:pPr>
        <w:rPr>
          <w:sz w:val="26"/>
          <w:szCs w:val="26"/>
        </w:rPr>
      </w:pPr>
    </w:p>
    <w:tbl>
      <w:tblPr>
        <w:tblW w:w="9558" w:type="dxa"/>
        <w:tblLayout w:type="fixed"/>
        <w:tblLook w:val="0000" w:firstRow="0" w:lastRow="0" w:firstColumn="0" w:lastColumn="0" w:noHBand="0" w:noVBand="0"/>
      </w:tblPr>
      <w:tblGrid>
        <w:gridCol w:w="5958"/>
        <w:gridCol w:w="3600"/>
      </w:tblGrid>
      <w:tr w:rsidR="00726645" w:rsidRPr="007733F3" w:rsidTr="00A232B9">
        <w:tc>
          <w:tcPr>
            <w:tcW w:w="9558" w:type="dxa"/>
            <w:gridSpan w:val="2"/>
          </w:tcPr>
          <w:p w:rsidR="00726645" w:rsidRPr="007733F3" w:rsidRDefault="00726645" w:rsidP="00A232B9">
            <w:pPr>
              <w:ind w:firstLine="450"/>
              <w:rPr>
                <w:sz w:val="26"/>
                <w:szCs w:val="26"/>
              </w:rPr>
            </w:pPr>
            <w:r w:rsidRPr="007733F3">
              <w:rPr>
                <w:sz w:val="26"/>
                <w:szCs w:val="26"/>
              </w:rPr>
              <w:t>Robert F. Powelson, Chairman</w:t>
            </w:r>
          </w:p>
        </w:tc>
      </w:tr>
      <w:tr w:rsidR="00726645" w:rsidRPr="007733F3" w:rsidTr="00A232B9">
        <w:tc>
          <w:tcPr>
            <w:tcW w:w="9558" w:type="dxa"/>
            <w:gridSpan w:val="2"/>
          </w:tcPr>
          <w:p w:rsidR="00726645" w:rsidRPr="007733F3" w:rsidRDefault="00726645" w:rsidP="00A232B9">
            <w:pPr>
              <w:ind w:firstLine="450"/>
              <w:rPr>
                <w:sz w:val="26"/>
                <w:szCs w:val="26"/>
              </w:rPr>
            </w:pPr>
            <w:r>
              <w:rPr>
                <w:sz w:val="26"/>
                <w:szCs w:val="26"/>
              </w:rPr>
              <w:t>John F. Coleman, Jr.</w:t>
            </w:r>
            <w:r w:rsidRPr="007733F3">
              <w:rPr>
                <w:sz w:val="26"/>
                <w:szCs w:val="26"/>
              </w:rPr>
              <w:t>, Vice Chairman</w:t>
            </w:r>
          </w:p>
        </w:tc>
      </w:tr>
      <w:tr w:rsidR="00726645" w:rsidRPr="007733F3" w:rsidTr="00A232B9">
        <w:tc>
          <w:tcPr>
            <w:tcW w:w="9558" w:type="dxa"/>
            <w:gridSpan w:val="2"/>
          </w:tcPr>
          <w:p w:rsidR="00726645" w:rsidRDefault="00726645" w:rsidP="00A232B9">
            <w:pPr>
              <w:ind w:left="450"/>
              <w:rPr>
                <w:sz w:val="26"/>
                <w:szCs w:val="26"/>
              </w:rPr>
            </w:pPr>
            <w:r w:rsidRPr="007733F3">
              <w:rPr>
                <w:sz w:val="26"/>
                <w:szCs w:val="26"/>
              </w:rPr>
              <w:t>Wayne E. Gardner</w:t>
            </w:r>
          </w:p>
          <w:p w:rsidR="00726645" w:rsidRDefault="00726645" w:rsidP="00A232B9">
            <w:pPr>
              <w:ind w:left="450"/>
              <w:rPr>
                <w:sz w:val="26"/>
                <w:szCs w:val="26"/>
              </w:rPr>
            </w:pPr>
            <w:r>
              <w:rPr>
                <w:sz w:val="26"/>
                <w:szCs w:val="26"/>
              </w:rPr>
              <w:t>James H. Cawley</w:t>
            </w:r>
          </w:p>
          <w:p w:rsidR="00726645" w:rsidRPr="007733F3" w:rsidRDefault="00726645" w:rsidP="00A232B9">
            <w:pPr>
              <w:ind w:firstLine="450"/>
              <w:rPr>
                <w:sz w:val="26"/>
                <w:szCs w:val="26"/>
              </w:rPr>
            </w:pPr>
            <w:r>
              <w:rPr>
                <w:sz w:val="26"/>
                <w:szCs w:val="26"/>
              </w:rPr>
              <w:t>Pamela A. Witmer</w:t>
            </w:r>
          </w:p>
        </w:tc>
      </w:tr>
      <w:tr w:rsidR="00726645" w:rsidRPr="007733F3" w:rsidTr="00820EFD">
        <w:tc>
          <w:tcPr>
            <w:tcW w:w="9558" w:type="dxa"/>
            <w:gridSpan w:val="2"/>
          </w:tcPr>
          <w:p w:rsidR="00726645" w:rsidRPr="007733F3" w:rsidRDefault="00726645" w:rsidP="00A232B9">
            <w:pPr>
              <w:ind w:left="450"/>
              <w:rPr>
                <w:sz w:val="26"/>
                <w:szCs w:val="26"/>
              </w:rPr>
            </w:pPr>
          </w:p>
        </w:tc>
      </w:tr>
      <w:tr w:rsidR="00193E37" w:rsidRPr="007733F3" w:rsidTr="00820EFD">
        <w:tc>
          <w:tcPr>
            <w:tcW w:w="5958" w:type="dxa"/>
          </w:tcPr>
          <w:p w:rsidR="00193E37" w:rsidRPr="007733F3" w:rsidRDefault="00193E37" w:rsidP="003E61C1">
            <w:pPr>
              <w:rPr>
                <w:sz w:val="26"/>
                <w:szCs w:val="26"/>
              </w:rPr>
            </w:pPr>
            <w:r w:rsidRPr="007733F3">
              <w:rPr>
                <w:sz w:val="26"/>
                <w:szCs w:val="26"/>
              </w:rPr>
              <w:t xml:space="preserve">Implementation of Act 129 of 2008 – </w:t>
            </w:r>
          </w:p>
          <w:p w:rsidR="00193E37" w:rsidRPr="007733F3" w:rsidRDefault="00193E37" w:rsidP="00300CD8">
            <w:pPr>
              <w:rPr>
                <w:sz w:val="26"/>
                <w:szCs w:val="26"/>
              </w:rPr>
            </w:pPr>
            <w:r w:rsidRPr="007733F3">
              <w:rPr>
                <w:sz w:val="26"/>
                <w:szCs w:val="26"/>
              </w:rPr>
              <w:t xml:space="preserve">Total Resource Cost </w:t>
            </w:r>
            <w:r>
              <w:rPr>
                <w:sz w:val="26"/>
                <w:szCs w:val="26"/>
              </w:rPr>
              <w:t xml:space="preserve">(TRC) </w:t>
            </w:r>
            <w:r w:rsidRPr="007733F3">
              <w:rPr>
                <w:sz w:val="26"/>
                <w:szCs w:val="26"/>
              </w:rPr>
              <w:t>Test</w:t>
            </w:r>
            <w:r w:rsidR="00926E2C">
              <w:rPr>
                <w:sz w:val="26"/>
                <w:szCs w:val="26"/>
              </w:rPr>
              <w:t xml:space="preserve"> -2012 </w:t>
            </w:r>
          </w:p>
        </w:tc>
        <w:tc>
          <w:tcPr>
            <w:tcW w:w="3600" w:type="dxa"/>
            <w:vMerge w:val="restart"/>
          </w:tcPr>
          <w:p w:rsidR="00193E37" w:rsidRPr="000F461D" w:rsidRDefault="00193E37" w:rsidP="00132B64">
            <w:pPr>
              <w:rPr>
                <w:sz w:val="26"/>
                <w:szCs w:val="26"/>
              </w:rPr>
            </w:pPr>
            <w:r>
              <w:rPr>
                <w:sz w:val="26"/>
                <w:szCs w:val="26"/>
              </w:rPr>
              <w:t xml:space="preserve">  Docket Nos.</w:t>
            </w:r>
          </w:p>
          <w:p w:rsidR="00193E37" w:rsidRDefault="00132B64" w:rsidP="00132B64">
            <w:pPr>
              <w:rPr>
                <w:sz w:val="26"/>
                <w:szCs w:val="26"/>
              </w:rPr>
            </w:pPr>
            <w:r>
              <w:rPr>
                <w:sz w:val="26"/>
                <w:szCs w:val="26"/>
              </w:rPr>
              <w:t xml:space="preserve">  </w:t>
            </w:r>
            <w:r w:rsidR="00193E37" w:rsidRPr="000F461D">
              <w:rPr>
                <w:sz w:val="26"/>
                <w:szCs w:val="26"/>
              </w:rPr>
              <w:t>M-2012-2300653</w:t>
            </w:r>
          </w:p>
          <w:p w:rsidR="00193E37" w:rsidRPr="000F461D" w:rsidRDefault="00132B64" w:rsidP="00132B64">
            <w:pPr>
              <w:rPr>
                <w:sz w:val="26"/>
                <w:szCs w:val="26"/>
              </w:rPr>
            </w:pPr>
            <w:r>
              <w:rPr>
                <w:sz w:val="26"/>
                <w:szCs w:val="26"/>
              </w:rPr>
              <w:t xml:space="preserve">  </w:t>
            </w:r>
            <w:r w:rsidR="00193E37" w:rsidRPr="000F461D">
              <w:rPr>
                <w:sz w:val="26"/>
                <w:szCs w:val="26"/>
              </w:rPr>
              <w:t>M-2009-2108601</w:t>
            </w:r>
            <w:r w:rsidR="00193E37" w:rsidRPr="000F461D">
              <w:t xml:space="preserve">  </w:t>
            </w:r>
          </w:p>
        </w:tc>
      </w:tr>
      <w:tr w:rsidR="00193E37" w:rsidRPr="007733F3" w:rsidTr="00820EFD">
        <w:tc>
          <w:tcPr>
            <w:tcW w:w="5958" w:type="dxa"/>
          </w:tcPr>
          <w:p w:rsidR="00193E37" w:rsidRPr="007733F3" w:rsidRDefault="00193E37" w:rsidP="00300CD8">
            <w:pPr>
              <w:rPr>
                <w:sz w:val="26"/>
                <w:szCs w:val="26"/>
              </w:rPr>
            </w:pPr>
            <w:r>
              <w:rPr>
                <w:sz w:val="26"/>
                <w:szCs w:val="26"/>
              </w:rPr>
              <w:t>Phase II of Act 129</w:t>
            </w:r>
          </w:p>
        </w:tc>
        <w:tc>
          <w:tcPr>
            <w:tcW w:w="3600" w:type="dxa"/>
            <w:vMerge/>
          </w:tcPr>
          <w:p w:rsidR="00193E37" w:rsidRPr="007733F3" w:rsidRDefault="00193E37" w:rsidP="00CE7A3D">
            <w:pPr>
              <w:jc w:val="right"/>
              <w:rPr>
                <w:sz w:val="26"/>
                <w:szCs w:val="26"/>
              </w:rPr>
            </w:pPr>
          </w:p>
        </w:tc>
      </w:tr>
      <w:tr w:rsidR="00193E37" w:rsidRPr="007733F3" w:rsidTr="00820EFD">
        <w:tc>
          <w:tcPr>
            <w:tcW w:w="5958" w:type="dxa"/>
          </w:tcPr>
          <w:p w:rsidR="00193E37" w:rsidRPr="007733F3" w:rsidRDefault="00193E37" w:rsidP="00300CD8">
            <w:pPr>
              <w:rPr>
                <w:sz w:val="26"/>
                <w:szCs w:val="26"/>
              </w:rPr>
            </w:pPr>
          </w:p>
        </w:tc>
        <w:tc>
          <w:tcPr>
            <w:tcW w:w="3600" w:type="dxa"/>
            <w:vMerge/>
          </w:tcPr>
          <w:p w:rsidR="00193E37" w:rsidRPr="007733F3" w:rsidRDefault="00193E37" w:rsidP="00CE7A3D">
            <w:pPr>
              <w:jc w:val="right"/>
              <w:rPr>
                <w:sz w:val="26"/>
                <w:szCs w:val="26"/>
              </w:rPr>
            </w:pPr>
          </w:p>
        </w:tc>
      </w:tr>
    </w:tbl>
    <w:p w:rsidR="00726645" w:rsidRPr="007733F3" w:rsidRDefault="00726645" w:rsidP="00CE7A3D">
      <w:pPr>
        <w:jc w:val="center"/>
        <w:rPr>
          <w:b/>
          <w:sz w:val="26"/>
          <w:szCs w:val="26"/>
        </w:rPr>
      </w:pPr>
    </w:p>
    <w:p w:rsidR="00726645" w:rsidRDefault="00726645" w:rsidP="00F347F1">
      <w:pPr>
        <w:pStyle w:val="p3"/>
        <w:tabs>
          <w:tab w:val="clear" w:pos="204"/>
          <w:tab w:val="left" w:pos="720"/>
        </w:tabs>
        <w:spacing w:line="360" w:lineRule="auto"/>
        <w:rPr>
          <w:sz w:val="26"/>
          <w:szCs w:val="26"/>
        </w:rPr>
      </w:pPr>
    </w:p>
    <w:p w:rsidR="00256620" w:rsidRDefault="00845F20" w:rsidP="00F347F1">
      <w:pPr>
        <w:overflowPunct/>
        <w:autoSpaceDE/>
        <w:autoSpaceDN/>
        <w:adjustRightInd/>
        <w:spacing w:line="360" w:lineRule="auto"/>
        <w:textAlignment w:val="auto"/>
        <w:rPr>
          <w:i/>
          <w:sz w:val="28"/>
          <w:szCs w:val="28"/>
        </w:rPr>
        <w:sectPr w:rsidR="00256620" w:rsidSect="00256620">
          <w:footerReference w:type="default" r:id="rId9"/>
          <w:footerReference w:type="first" r:id="rId10"/>
          <w:pgSz w:w="12240" w:h="15840"/>
          <w:pgMar w:top="1440" w:right="1440" w:bottom="1440" w:left="1440" w:header="720" w:footer="720" w:gutter="0"/>
          <w:cols w:space="720"/>
          <w:docGrid w:linePitch="360"/>
        </w:sectPr>
      </w:pPr>
      <w:r>
        <w:rPr>
          <w:i/>
          <w:noProof/>
          <w:sz w:val="28"/>
          <w:szCs w:val="28"/>
        </w:rPr>
        <mc:AlternateContent>
          <mc:Choice Requires="wps">
            <w:drawing>
              <wp:anchor distT="0" distB="0" distL="114300" distR="114300" simplePos="0" relativeHeight="251659264" behindDoc="0" locked="0" layoutInCell="1" allowOverlap="1" wp14:anchorId="17159746" wp14:editId="32591C9E">
                <wp:simplePos x="0" y="0"/>
                <wp:positionH relativeFrom="column">
                  <wp:posOffset>2838450</wp:posOffset>
                </wp:positionH>
                <wp:positionV relativeFrom="paragraph">
                  <wp:posOffset>4679950</wp:posOffset>
                </wp:positionV>
                <wp:extent cx="314325" cy="438150"/>
                <wp:effectExtent l="0" t="0" r="28575" b="19050"/>
                <wp:wrapNone/>
                <wp:docPr id="1" name="Oval 1"/>
                <wp:cNvGraphicFramePr/>
                <a:graphic xmlns:a="http://schemas.openxmlformats.org/drawingml/2006/main">
                  <a:graphicData uri="http://schemas.microsoft.com/office/word/2010/wordprocessingShape">
                    <wps:wsp>
                      <wps:cNvSpPr/>
                      <wps:spPr>
                        <a:xfrm>
                          <a:off x="0" y="0"/>
                          <a:ext cx="314325" cy="4381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223.5pt;margin-top:368.5pt;width:24.7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" fillcolor="white [3212]" strokecolor="white [3212]" strokeweight="2pt"/>
            </w:pict>
          </mc:Fallback>
        </mc:AlternateContent>
      </w:r>
      <w:r w:rsidR="00A13DB9">
        <w:rPr>
          <w:i/>
          <w:sz w:val="28"/>
          <w:szCs w:val="28"/>
        </w:rPr>
        <w:br w:type="page"/>
      </w:r>
    </w:p>
    <w:p w:rsidR="00603211" w:rsidRPr="00603211" w:rsidRDefault="00603211" w:rsidP="00603211">
      <w:pPr>
        <w:pStyle w:val="Heading1"/>
        <w:numPr>
          <w:ilvl w:val="0"/>
          <w:numId w:val="0"/>
        </w:numPr>
        <w:jc w:val="center"/>
        <w:rPr>
          <w:rFonts w:ascii="Times New Roman" w:hAnsi="Times New Roman" w:cs="Times New Roman"/>
          <w:b w:val="0"/>
          <w:color w:val="000000" w:themeColor="text1"/>
          <w:sz w:val="26"/>
          <w:szCs w:val="26"/>
        </w:rPr>
      </w:pPr>
      <w:r w:rsidRPr="00603211">
        <w:rPr>
          <w:rFonts w:ascii="Times New Roman" w:hAnsi="Times New Roman" w:cs="Times New Roman"/>
          <w:b w:val="0"/>
          <w:color w:val="000000" w:themeColor="text1"/>
          <w:sz w:val="26"/>
          <w:szCs w:val="26"/>
        </w:rPr>
        <w:lastRenderedPageBreak/>
        <w:t>TABLE OF CONTENTS</w:t>
      </w:r>
    </w:p>
    <w:p w:rsidR="00D60730" w:rsidRDefault="00D60730" w:rsidP="00D60730">
      <w:pPr>
        <w:pStyle w:val="Heading1"/>
        <w:numPr>
          <w:ilvl w:val="0"/>
          <w:numId w:val="0"/>
        </w:numPr>
        <w:tabs>
          <w:tab w:val="left" w:pos="720"/>
          <w:tab w:val="left" w:pos="1440"/>
          <w:tab w:val="right" w:leader="dot" w:pos="9360"/>
        </w:tabs>
        <w:spacing w:before="0" w:line="480" w:lineRule="auto"/>
        <w:rPr>
          <w:rFonts w:ascii="Times New Roman" w:hAnsi="Times New Roman" w:cs="Times New Roman"/>
          <w:b w:val="0"/>
          <w:color w:val="000000" w:themeColor="text1"/>
          <w:sz w:val="26"/>
          <w:szCs w:val="26"/>
        </w:rPr>
      </w:pPr>
    </w:p>
    <w:p w:rsidR="00E02F19" w:rsidRPr="00603211" w:rsidRDefault="00603211" w:rsidP="00D60730">
      <w:pPr>
        <w:pStyle w:val="Heading1"/>
        <w:tabs>
          <w:tab w:val="left" w:pos="720"/>
          <w:tab w:val="left" w:pos="1440"/>
          <w:tab w:val="right" w:leader="dot" w:pos="9360"/>
        </w:tabs>
        <w:spacing w:before="0" w:line="480" w:lineRule="auto"/>
        <w:rPr>
          <w:rFonts w:ascii="Times New Roman" w:hAnsi="Times New Roman" w:cs="Times New Roman"/>
          <w:b w:val="0"/>
          <w:color w:val="000000" w:themeColor="text1"/>
          <w:sz w:val="26"/>
          <w:szCs w:val="26"/>
        </w:rPr>
      </w:pPr>
      <w:r>
        <w:rPr>
          <w:rFonts w:ascii="Times New Roman" w:hAnsi="Times New Roman" w:cs="Times New Roman"/>
          <w:b w:val="0"/>
          <w:color w:val="000000" w:themeColor="text1"/>
          <w:sz w:val="26"/>
          <w:szCs w:val="26"/>
        </w:rPr>
        <w:t>INTRODUCTION</w:t>
      </w:r>
      <w:r w:rsidR="00D60730">
        <w:rPr>
          <w:rFonts w:ascii="Times New Roman" w:hAnsi="Times New Roman" w:cs="Times New Roman"/>
          <w:b w:val="0"/>
          <w:color w:val="000000" w:themeColor="text1"/>
          <w:sz w:val="26"/>
          <w:szCs w:val="26"/>
        </w:rPr>
        <w:tab/>
      </w:r>
      <w:r w:rsidR="0076711D">
        <w:rPr>
          <w:rFonts w:ascii="Times New Roman" w:hAnsi="Times New Roman" w:cs="Times New Roman"/>
          <w:b w:val="0"/>
          <w:color w:val="000000" w:themeColor="text1"/>
          <w:sz w:val="26"/>
          <w:szCs w:val="26"/>
        </w:rPr>
        <w:t>1</w:t>
      </w:r>
    </w:p>
    <w:p w:rsidR="00E02F19" w:rsidRPr="00603211" w:rsidRDefault="00E02F19" w:rsidP="00D60730">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Background and History</w:t>
      </w:r>
      <w:r w:rsidR="00D60730">
        <w:rPr>
          <w:rFonts w:ascii="Times New Roman" w:hAnsi="Times New Roman" w:cs="Times New Roman"/>
          <w:b w:val="0"/>
          <w:color w:val="000000" w:themeColor="text1"/>
        </w:rPr>
        <w:tab/>
      </w:r>
      <w:r w:rsidR="0076711D">
        <w:rPr>
          <w:rFonts w:ascii="Times New Roman" w:hAnsi="Times New Roman" w:cs="Times New Roman"/>
          <w:b w:val="0"/>
          <w:color w:val="000000" w:themeColor="text1"/>
        </w:rPr>
        <w:t>1</w:t>
      </w:r>
    </w:p>
    <w:p w:rsidR="00E02F19" w:rsidRPr="00603211" w:rsidRDefault="00603211" w:rsidP="00D60730">
      <w:pPr>
        <w:pStyle w:val="Heading1"/>
        <w:tabs>
          <w:tab w:val="left" w:pos="720"/>
          <w:tab w:val="left" w:pos="1440"/>
          <w:tab w:val="right" w:leader="dot" w:pos="9360"/>
        </w:tabs>
        <w:spacing w:before="0" w:line="480" w:lineRule="auto"/>
        <w:rPr>
          <w:rFonts w:ascii="Times New Roman" w:hAnsi="Times New Roman" w:cs="Times New Roman"/>
          <w:b w:val="0"/>
          <w:color w:val="000000" w:themeColor="text1"/>
          <w:sz w:val="26"/>
          <w:szCs w:val="26"/>
        </w:rPr>
      </w:pPr>
      <w:r w:rsidRPr="00603211">
        <w:rPr>
          <w:rFonts w:ascii="Times New Roman" w:hAnsi="Times New Roman" w:cs="Times New Roman"/>
          <w:b w:val="0"/>
          <w:color w:val="000000" w:themeColor="text1"/>
          <w:sz w:val="26"/>
          <w:szCs w:val="26"/>
        </w:rPr>
        <w:t>TRC TEST EXPLAINED</w:t>
      </w:r>
      <w:r w:rsidR="00D60730">
        <w:rPr>
          <w:rFonts w:ascii="Times New Roman" w:hAnsi="Times New Roman" w:cs="Times New Roman"/>
          <w:b w:val="0"/>
          <w:color w:val="000000" w:themeColor="text1"/>
          <w:sz w:val="26"/>
          <w:szCs w:val="26"/>
        </w:rPr>
        <w:tab/>
      </w:r>
      <w:r w:rsidR="0076711D">
        <w:rPr>
          <w:rFonts w:ascii="Times New Roman" w:hAnsi="Times New Roman" w:cs="Times New Roman"/>
          <w:b w:val="0"/>
          <w:color w:val="000000" w:themeColor="text1"/>
          <w:sz w:val="26"/>
          <w:szCs w:val="26"/>
        </w:rPr>
        <w:t>3</w:t>
      </w:r>
    </w:p>
    <w:p w:rsidR="00E02F19" w:rsidRPr="00603211" w:rsidRDefault="00603211" w:rsidP="00D60730">
      <w:pPr>
        <w:pStyle w:val="Heading1"/>
        <w:tabs>
          <w:tab w:val="left" w:pos="720"/>
          <w:tab w:val="left" w:pos="1440"/>
          <w:tab w:val="right" w:leader="dot" w:pos="9360"/>
        </w:tabs>
        <w:spacing w:before="0" w:line="480" w:lineRule="auto"/>
        <w:rPr>
          <w:rFonts w:ascii="Times New Roman" w:hAnsi="Times New Roman" w:cs="Times New Roman"/>
          <w:b w:val="0"/>
          <w:color w:val="000000" w:themeColor="text1"/>
          <w:sz w:val="26"/>
          <w:szCs w:val="26"/>
        </w:rPr>
      </w:pPr>
      <w:r w:rsidRPr="00603211">
        <w:rPr>
          <w:rFonts w:ascii="Times New Roman" w:hAnsi="Times New Roman" w:cs="Times New Roman"/>
          <w:b w:val="0"/>
          <w:color w:val="000000" w:themeColor="text1"/>
          <w:sz w:val="26"/>
          <w:szCs w:val="26"/>
        </w:rPr>
        <w:t>TRC TEST TOPICS</w:t>
      </w:r>
      <w:r w:rsidR="00D60730">
        <w:rPr>
          <w:rFonts w:ascii="Times New Roman" w:hAnsi="Times New Roman" w:cs="Times New Roman"/>
          <w:b w:val="0"/>
          <w:color w:val="000000" w:themeColor="text1"/>
          <w:sz w:val="26"/>
          <w:szCs w:val="26"/>
        </w:rPr>
        <w:tab/>
      </w:r>
      <w:r w:rsidR="004221D0">
        <w:rPr>
          <w:rFonts w:ascii="Times New Roman" w:hAnsi="Times New Roman" w:cs="Times New Roman"/>
          <w:b w:val="0"/>
          <w:color w:val="000000" w:themeColor="text1"/>
          <w:sz w:val="26"/>
          <w:szCs w:val="26"/>
        </w:rPr>
        <w:t>5</w:t>
      </w:r>
    </w:p>
    <w:p w:rsidR="00E02F19" w:rsidRPr="00603211" w:rsidRDefault="00E02F19" w:rsidP="00D60730">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Societal Test as part of the TRC</w:t>
      </w:r>
      <w:r w:rsidR="00D60730">
        <w:rPr>
          <w:rFonts w:ascii="Times New Roman" w:hAnsi="Times New Roman" w:cs="Times New Roman"/>
          <w:b w:val="0"/>
          <w:color w:val="000000" w:themeColor="text1"/>
        </w:rPr>
        <w:tab/>
      </w:r>
      <w:r w:rsidR="004221D0">
        <w:rPr>
          <w:rFonts w:ascii="Times New Roman" w:hAnsi="Times New Roman" w:cs="Times New Roman"/>
          <w:b w:val="0"/>
          <w:color w:val="000000" w:themeColor="text1"/>
        </w:rPr>
        <w:t>5</w:t>
      </w:r>
    </w:p>
    <w:p w:rsidR="00E02F19" w:rsidRPr="00603211" w:rsidRDefault="00E02F19" w:rsidP="00D60730">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Use of TRC Test Assumptions for Other Matters</w:t>
      </w:r>
      <w:r w:rsidR="00D60730">
        <w:rPr>
          <w:rFonts w:ascii="Times New Roman" w:hAnsi="Times New Roman" w:cs="Times New Roman"/>
          <w:b w:val="0"/>
          <w:color w:val="000000" w:themeColor="text1"/>
        </w:rPr>
        <w:tab/>
      </w:r>
      <w:r w:rsidR="004221D0">
        <w:rPr>
          <w:rFonts w:ascii="Times New Roman" w:hAnsi="Times New Roman" w:cs="Times New Roman"/>
          <w:b w:val="0"/>
          <w:color w:val="000000" w:themeColor="text1"/>
        </w:rPr>
        <w:t>5</w:t>
      </w:r>
    </w:p>
    <w:p w:rsidR="00E02F19" w:rsidRPr="00603211" w:rsidRDefault="00E02F19" w:rsidP="00D60730">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Level at Which to Measure TRC</w:t>
      </w:r>
      <w:r w:rsidR="00D60730">
        <w:rPr>
          <w:rFonts w:ascii="Times New Roman" w:hAnsi="Times New Roman" w:cs="Times New Roman"/>
          <w:b w:val="0"/>
          <w:color w:val="000000" w:themeColor="text1"/>
        </w:rPr>
        <w:tab/>
      </w:r>
      <w:r w:rsidR="0076711D">
        <w:rPr>
          <w:rFonts w:ascii="Times New Roman" w:hAnsi="Times New Roman" w:cs="Times New Roman"/>
          <w:b w:val="0"/>
          <w:color w:val="000000" w:themeColor="text1"/>
        </w:rPr>
        <w:t>6</w:t>
      </w:r>
    </w:p>
    <w:p w:rsidR="00E02F19" w:rsidRPr="00603211" w:rsidRDefault="00E02F19" w:rsidP="00D60730">
      <w:pPr>
        <w:pStyle w:val="Heading2"/>
        <w:tabs>
          <w:tab w:val="left" w:pos="720"/>
          <w:tab w:val="left" w:pos="1440"/>
          <w:tab w:val="right" w:leader="dot" w:pos="9360"/>
        </w:tabs>
        <w:spacing w:before="0"/>
        <w:ind w:left="1440" w:right="1440" w:hanging="720"/>
        <w:rPr>
          <w:rFonts w:ascii="Times New Roman" w:hAnsi="Times New Roman" w:cs="Times New Roman"/>
          <w:b w:val="0"/>
          <w:color w:val="000000" w:themeColor="text1"/>
        </w:rPr>
      </w:pPr>
      <w:r w:rsidRPr="00603211">
        <w:rPr>
          <w:rFonts w:ascii="Times New Roman" w:hAnsi="Times New Roman" w:cs="Times New Roman"/>
          <w:b w:val="0"/>
          <w:color w:val="000000" w:themeColor="text1"/>
        </w:rPr>
        <w:t>Cost-Effectiveness Evaluations and Reporting Results and Timing of TRC Reports</w:t>
      </w:r>
      <w:r w:rsidR="00D60730">
        <w:rPr>
          <w:rFonts w:ascii="Times New Roman" w:hAnsi="Times New Roman" w:cs="Times New Roman"/>
          <w:b w:val="0"/>
          <w:color w:val="000000" w:themeColor="text1"/>
        </w:rPr>
        <w:tab/>
      </w:r>
      <w:r w:rsidR="0076711D">
        <w:rPr>
          <w:rFonts w:ascii="Times New Roman" w:hAnsi="Times New Roman" w:cs="Times New Roman"/>
          <w:b w:val="0"/>
          <w:color w:val="000000" w:themeColor="text1"/>
        </w:rPr>
        <w:t>7</w:t>
      </w:r>
    </w:p>
    <w:p w:rsidR="00603211" w:rsidRDefault="00603211" w:rsidP="00D60730">
      <w:pPr>
        <w:pStyle w:val="Heading1"/>
        <w:numPr>
          <w:ilvl w:val="0"/>
          <w:numId w:val="0"/>
        </w:numPr>
        <w:tabs>
          <w:tab w:val="left" w:pos="720"/>
          <w:tab w:val="left" w:pos="1440"/>
          <w:tab w:val="right" w:leader="dot" w:pos="9360"/>
        </w:tabs>
        <w:spacing w:before="0"/>
        <w:rPr>
          <w:rFonts w:ascii="Times New Roman" w:hAnsi="Times New Roman" w:cs="Times New Roman"/>
          <w:b w:val="0"/>
          <w:color w:val="000000" w:themeColor="text1"/>
          <w:sz w:val="26"/>
          <w:szCs w:val="26"/>
        </w:rPr>
      </w:pPr>
    </w:p>
    <w:p w:rsidR="00E02F19" w:rsidRPr="00603211" w:rsidRDefault="00603211" w:rsidP="00D60730">
      <w:pPr>
        <w:pStyle w:val="Heading1"/>
        <w:tabs>
          <w:tab w:val="left" w:pos="720"/>
          <w:tab w:val="left" w:pos="1440"/>
          <w:tab w:val="right" w:leader="dot" w:pos="9360"/>
        </w:tabs>
        <w:spacing w:before="0" w:line="480" w:lineRule="auto"/>
        <w:rPr>
          <w:rFonts w:ascii="Times New Roman" w:hAnsi="Times New Roman" w:cs="Times New Roman"/>
          <w:b w:val="0"/>
          <w:color w:val="000000" w:themeColor="text1"/>
          <w:sz w:val="26"/>
          <w:szCs w:val="26"/>
        </w:rPr>
      </w:pPr>
      <w:r w:rsidRPr="00603211">
        <w:rPr>
          <w:rFonts w:ascii="Times New Roman" w:hAnsi="Times New Roman" w:cs="Times New Roman"/>
          <w:b w:val="0"/>
          <w:color w:val="000000" w:themeColor="text1"/>
          <w:sz w:val="26"/>
          <w:szCs w:val="26"/>
        </w:rPr>
        <w:t>BENEFITS AND COSTS</w:t>
      </w:r>
      <w:r w:rsidR="00D60730">
        <w:rPr>
          <w:rFonts w:ascii="Times New Roman" w:hAnsi="Times New Roman" w:cs="Times New Roman"/>
          <w:b w:val="0"/>
          <w:color w:val="000000" w:themeColor="text1"/>
          <w:sz w:val="26"/>
          <w:szCs w:val="26"/>
        </w:rPr>
        <w:tab/>
      </w:r>
      <w:r w:rsidR="0076711D">
        <w:rPr>
          <w:rFonts w:ascii="Times New Roman" w:hAnsi="Times New Roman" w:cs="Times New Roman"/>
          <w:b w:val="0"/>
          <w:color w:val="000000" w:themeColor="text1"/>
          <w:sz w:val="26"/>
          <w:szCs w:val="26"/>
        </w:rPr>
        <w:t>8</w:t>
      </w:r>
      <w:r w:rsidRPr="00603211">
        <w:rPr>
          <w:rFonts w:ascii="Times New Roman" w:hAnsi="Times New Roman" w:cs="Times New Roman"/>
          <w:b w:val="0"/>
          <w:color w:val="000000" w:themeColor="text1"/>
          <w:sz w:val="26"/>
          <w:szCs w:val="26"/>
        </w:rPr>
        <w:t xml:space="preserve"> </w:t>
      </w:r>
    </w:p>
    <w:p w:rsidR="00E02F19" w:rsidRPr="00603211" w:rsidRDefault="00E02F19" w:rsidP="00D60730">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Basis of TRC Benefits</w:t>
      </w:r>
      <w:r w:rsidR="00D60730">
        <w:rPr>
          <w:rFonts w:ascii="Times New Roman" w:hAnsi="Times New Roman" w:cs="Times New Roman"/>
          <w:b w:val="0"/>
          <w:color w:val="000000" w:themeColor="text1"/>
        </w:rPr>
        <w:tab/>
      </w:r>
      <w:r w:rsidR="0076711D">
        <w:rPr>
          <w:rFonts w:ascii="Times New Roman" w:hAnsi="Times New Roman" w:cs="Times New Roman"/>
          <w:b w:val="0"/>
          <w:color w:val="000000" w:themeColor="text1"/>
        </w:rPr>
        <w:t>8</w:t>
      </w:r>
    </w:p>
    <w:p w:rsidR="00E02F19" w:rsidRPr="00603211" w:rsidRDefault="00E02F19" w:rsidP="00D60730">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Maximum 15-Year Measure Life</w:t>
      </w:r>
      <w:r w:rsidR="00D60730">
        <w:rPr>
          <w:rFonts w:ascii="Times New Roman" w:hAnsi="Times New Roman" w:cs="Times New Roman"/>
          <w:b w:val="0"/>
          <w:color w:val="000000" w:themeColor="text1"/>
        </w:rPr>
        <w:tab/>
      </w:r>
      <w:r w:rsidR="00AD5A43">
        <w:rPr>
          <w:rFonts w:ascii="Times New Roman" w:hAnsi="Times New Roman" w:cs="Times New Roman"/>
          <w:b w:val="0"/>
          <w:color w:val="000000" w:themeColor="text1"/>
        </w:rPr>
        <w:t>9</w:t>
      </w:r>
    </w:p>
    <w:p w:rsidR="00E02F19" w:rsidRPr="00603211" w:rsidRDefault="00E02F19" w:rsidP="00D60730">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Definition of Incentives in TRC for Energy Efficiency Measures</w:t>
      </w:r>
      <w:r w:rsidR="00D60730">
        <w:rPr>
          <w:rFonts w:ascii="Times New Roman" w:hAnsi="Times New Roman" w:cs="Times New Roman"/>
          <w:b w:val="0"/>
          <w:color w:val="000000" w:themeColor="text1"/>
        </w:rPr>
        <w:tab/>
      </w:r>
      <w:r w:rsidR="00AD5A43">
        <w:rPr>
          <w:rFonts w:ascii="Times New Roman" w:hAnsi="Times New Roman" w:cs="Times New Roman"/>
          <w:b w:val="0"/>
          <w:color w:val="000000" w:themeColor="text1"/>
        </w:rPr>
        <w:t>10</w:t>
      </w:r>
    </w:p>
    <w:p w:rsidR="00E02F19" w:rsidRPr="00603211" w:rsidRDefault="00E02F19" w:rsidP="00153905">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Incentive Payments from an EDC</w:t>
      </w:r>
      <w:r w:rsidR="00D60730">
        <w:rPr>
          <w:rFonts w:ascii="Times New Roman" w:hAnsi="Times New Roman" w:cs="Times New Roman"/>
          <w:b w:val="0"/>
          <w:color w:val="000000" w:themeColor="text1"/>
        </w:rPr>
        <w:tab/>
      </w:r>
      <w:r w:rsidR="0076711D">
        <w:rPr>
          <w:rFonts w:ascii="Times New Roman" w:hAnsi="Times New Roman" w:cs="Times New Roman"/>
          <w:b w:val="0"/>
          <w:color w:val="000000" w:themeColor="text1"/>
        </w:rPr>
        <w:t>10</w:t>
      </w:r>
    </w:p>
    <w:p w:rsidR="00E02F19" w:rsidRPr="00603211" w:rsidRDefault="00E02F19" w:rsidP="00153905">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Incentive Payments from Sources Outside of Act 129</w:t>
      </w:r>
      <w:r w:rsidR="00D60730">
        <w:rPr>
          <w:rFonts w:ascii="Times New Roman" w:hAnsi="Times New Roman" w:cs="Times New Roman"/>
          <w:b w:val="0"/>
          <w:color w:val="000000" w:themeColor="text1"/>
        </w:rPr>
        <w:tab/>
      </w:r>
      <w:r w:rsidR="0076711D">
        <w:rPr>
          <w:rFonts w:ascii="Times New Roman" w:hAnsi="Times New Roman" w:cs="Times New Roman"/>
          <w:b w:val="0"/>
          <w:color w:val="000000" w:themeColor="text1"/>
        </w:rPr>
        <w:t>11</w:t>
      </w:r>
    </w:p>
    <w:p w:rsidR="00E02F19" w:rsidRPr="00603211" w:rsidRDefault="00E02F19" w:rsidP="00153905">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Incremental Costs</w:t>
      </w:r>
      <w:r w:rsidR="00D60730">
        <w:rPr>
          <w:rFonts w:ascii="Times New Roman" w:hAnsi="Times New Roman" w:cs="Times New Roman"/>
          <w:b w:val="0"/>
          <w:color w:val="000000" w:themeColor="text1"/>
        </w:rPr>
        <w:tab/>
      </w:r>
      <w:r w:rsidR="0076711D">
        <w:rPr>
          <w:rFonts w:ascii="Times New Roman" w:hAnsi="Times New Roman" w:cs="Times New Roman"/>
          <w:b w:val="0"/>
          <w:color w:val="000000" w:themeColor="text1"/>
        </w:rPr>
        <w:t>13</w:t>
      </w:r>
    </w:p>
    <w:p w:rsidR="00E02F19" w:rsidRPr="00153905" w:rsidRDefault="00E02F19" w:rsidP="00153905">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153905">
        <w:rPr>
          <w:rFonts w:ascii="Times New Roman" w:hAnsi="Times New Roman" w:cs="Times New Roman"/>
          <w:b w:val="0"/>
          <w:color w:val="000000" w:themeColor="text1"/>
        </w:rPr>
        <w:t>Incremental Measure Costs</w:t>
      </w:r>
      <w:r w:rsidR="00616D4D">
        <w:rPr>
          <w:rFonts w:ascii="Times New Roman" w:hAnsi="Times New Roman" w:cs="Times New Roman"/>
          <w:b w:val="0"/>
          <w:color w:val="000000" w:themeColor="text1"/>
        </w:rPr>
        <w:t xml:space="preserve"> Data</w:t>
      </w:r>
      <w:r w:rsidR="0076711D" w:rsidRPr="00153905">
        <w:rPr>
          <w:rFonts w:ascii="Times New Roman" w:hAnsi="Times New Roman" w:cs="Times New Roman"/>
          <w:b w:val="0"/>
          <w:color w:val="000000" w:themeColor="text1"/>
        </w:rPr>
        <w:tab/>
        <w:t>14</w:t>
      </w:r>
    </w:p>
    <w:p w:rsidR="00E02F19" w:rsidRDefault="00E02F19" w:rsidP="00153905">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153905">
        <w:rPr>
          <w:rFonts w:ascii="Times New Roman" w:hAnsi="Times New Roman" w:cs="Times New Roman"/>
          <w:b w:val="0"/>
          <w:color w:val="000000" w:themeColor="text1"/>
        </w:rPr>
        <w:t>Avoided Costs of Supplying Electricity</w:t>
      </w:r>
      <w:r w:rsidR="00153905">
        <w:rPr>
          <w:rFonts w:ascii="Times New Roman" w:hAnsi="Times New Roman" w:cs="Times New Roman"/>
          <w:b w:val="0"/>
          <w:color w:val="000000" w:themeColor="text1"/>
        </w:rPr>
        <w:tab/>
      </w:r>
      <w:r w:rsidR="0076711D" w:rsidRPr="00153905">
        <w:rPr>
          <w:rFonts w:ascii="Times New Roman" w:hAnsi="Times New Roman" w:cs="Times New Roman"/>
          <w:b w:val="0"/>
          <w:color w:val="000000" w:themeColor="text1"/>
        </w:rPr>
        <w:t>15</w:t>
      </w:r>
    </w:p>
    <w:p w:rsidR="00153905" w:rsidRPr="00153905" w:rsidRDefault="00153905" w:rsidP="00153905"/>
    <w:p w:rsidR="00E02F19" w:rsidRDefault="00E02F19" w:rsidP="00153905">
      <w:pPr>
        <w:pStyle w:val="Heading2"/>
        <w:tabs>
          <w:tab w:val="left" w:pos="720"/>
          <w:tab w:val="left" w:pos="1440"/>
          <w:tab w:val="right" w:leader="dot" w:pos="9360"/>
        </w:tabs>
        <w:spacing w:before="0"/>
        <w:rPr>
          <w:rFonts w:ascii="Times New Roman" w:hAnsi="Times New Roman" w:cs="Times New Roman"/>
          <w:b w:val="0"/>
          <w:color w:val="000000" w:themeColor="text1"/>
        </w:rPr>
      </w:pPr>
      <w:r w:rsidRPr="00153905">
        <w:rPr>
          <w:rFonts w:ascii="Times New Roman" w:hAnsi="Times New Roman" w:cs="Times New Roman"/>
          <w:b w:val="0"/>
          <w:color w:val="000000" w:themeColor="text1"/>
        </w:rPr>
        <w:t>Transmission, Distribution, and Capacity Costs</w:t>
      </w:r>
      <w:r w:rsidR="00153905">
        <w:rPr>
          <w:rFonts w:ascii="Times New Roman" w:hAnsi="Times New Roman" w:cs="Times New Roman"/>
          <w:b w:val="0"/>
          <w:color w:val="000000" w:themeColor="text1"/>
        </w:rPr>
        <w:tab/>
      </w:r>
      <w:r w:rsidR="0076711D" w:rsidRPr="00153905">
        <w:rPr>
          <w:rFonts w:ascii="Times New Roman" w:hAnsi="Times New Roman" w:cs="Times New Roman"/>
          <w:b w:val="0"/>
          <w:color w:val="000000" w:themeColor="text1"/>
        </w:rPr>
        <w:t>1</w:t>
      </w:r>
      <w:r w:rsidR="00AD5A43">
        <w:rPr>
          <w:rFonts w:ascii="Times New Roman" w:hAnsi="Times New Roman" w:cs="Times New Roman"/>
          <w:b w:val="0"/>
          <w:color w:val="000000" w:themeColor="text1"/>
        </w:rPr>
        <w:t>7</w:t>
      </w:r>
    </w:p>
    <w:p w:rsidR="00153905" w:rsidRPr="00153905" w:rsidRDefault="00153905" w:rsidP="00153905"/>
    <w:p w:rsidR="00E02F19" w:rsidRPr="00603211" w:rsidRDefault="00E02F19" w:rsidP="00D60730">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lastRenderedPageBreak/>
        <w:t xml:space="preserve">End-Use Adjustments </w:t>
      </w:r>
      <w:r w:rsidR="00D60730">
        <w:rPr>
          <w:rFonts w:ascii="Times New Roman" w:hAnsi="Times New Roman" w:cs="Times New Roman"/>
          <w:b w:val="0"/>
          <w:color w:val="000000" w:themeColor="text1"/>
        </w:rPr>
        <w:tab/>
      </w:r>
      <w:r w:rsidR="00AD5A43">
        <w:rPr>
          <w:rFonts w:ascii="Times New Roman" w:hAnsi="Times New Roman" w:cs="Times New Roman"/>
          <w:b w:val="0"/>
          <w:color w:val="000000" w:themeColor="text1"/>
        </w:rPr>
        <w:t>18</w:t>
      </w:r>
    </w:p>
    <w:p w:rsidR="00E02F19" w:rsidRPr="00603211" w:rsidRDefault="00E02F19" w:rsidP="00D60730">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Locational, Temporal, and Zonal Differences</w:t>
      </w:r>
      <w:r w:rsidR="00D60730">
        <w:rPr>
          <w:rFonts w:ascii="Times New Roman" w:hAnsi="Times New Roman" w:cs="Times New Roman"/>
          <w:b w:val="0"/>
          <w:color w:val="000000" w:themeColor="text1"/>
        </w:rPr>
        <w:tab/>
      </w:r>
      <w:r w:rsidR="00AD5A43">
        <w:rPr>
          <w:rFonts w:ascii="Times New Roman" w:hAnsi="Times New Roman" w:cs="Times New Roman"/>
          <w:b w:val="0"/>
          <w:color w:val="000000" w:themeColor="text1"/>
        </w:rPr>
        <w:t>18</w:t>
      </w:r>
    </w:p>
    <w:p w:rsidR="00E02F19" w:rsidRPr="00603211" w:rsidRDefault="00E02F19" w:rsidP="00D60730">
      <w:pPr>
        <w:pStyle w:val="Heading2"/>
        <w:tabs>
          <w:tab w:val="left" w:pos="720"/>
          <w:tab w:val="left" w:pos="1440"/>
          <w:tab w:val="right" w:leader="dot" w:pos="9360"/>
        </w:tabs>
        <w:spacing w:before="0"/>
        <w:ind w:left="1440" w:right="1440" w:hanging="720"/>
        <w:rPr>
          <w:rFonts w:ascii="Times New Roman" w:hAnsi="Times New Roman" w:cs="Times New Roman"/>
          <w:b w:val="0"/>
          <w:color w:val="000000" w:themeColor="text1"/>
        </w:rPr>
      </w:pPr>
      <w:r w:rsidRPr="00603211">
        <w:rPr>
          <w:rFonts w:ascii="Times New Roman" w:hAnsi="Times New Roman" w:cs="Times New Roman"/>
          <w:b w:val="0"/>
          <w:color w:val="000000" w:themeColor="text1"/>
        </w:rPr>
        <w:t>Inclusion or Exclusion of Customer Avoided Operating and Maintenance Costs in the TRC Calculation</w:t>
      </w:r>
      <w:r w:rsidR="00D60730">
        <w:rPr>
          <w:rFonts w:ascii="Times New Roman" w:hAnsi="Times New Roman" w:cs="Times New Roman"/>
          <w:b w:val="0"/>
          <w:color w:val="000000" w:themeColor="text1"/>
        </w:rPr>
        <w:tab/>
      </w:r>
      <w:r w:rsidR="00AD5A43">
        <w:rPr>
          <w:rFonts w:ascii="Times New Roman" w:hAnsi="Times New Roman" w:cs="Times New Roman"/>
          <w:b w:val="0"/>
          <w:color w:val="000000" w:themeColor="text1"/>
        </w:rPr>
        <w:t>19</w:t>
      </w:r>
    </w:p>
    <w:p w:rsidR="00A16AC1" w:rsidRDefault="00A16AC1" w:rsidP="00D60730">
      <w:pPr>
        <w:pStyle w:val="Heading2"/>
        <w:numPr>
          <w:ilvl w:val="0"/>
          <w:numId w:val="0"/>
        </w:numPr>
        <w:tabs>
          <w:tab w:val="left" w:pos="720"/>
          <w:tab w:val="left" w:pos="1440"/>
          <w:tab w:val="right" w:leader="dot" w:pos="9360"/>
        </w:tabs>
        <w:spacing w:before="0"/>
        <w:ind w:left="720"/>
        <w:rPr>
          <w:rFonts w:ascii="Times New Roman" w:hAnsi="Times New Roman" w:cs="Times New Roman"/>
          <w:b w:val="0"/>
          <w:color w:val="000000" w:themeColor="text1"/>
        </w:rPr>
      </w:pPr>
    </w:p>
    <w:p w:rsidR="00E02F19" w:rsidRPr="00603211" w:rsidRDefault="00E02F19" w:rsidP="00D60730">
      <w:pPr>
        <w:pStyle w:val="Heading2"/>
        <w:tabs>
          <w:tab w:val="left" w:pos="720"/>
          <w:tab w:val="left" w:pos="1440"/>
          <w:tab w:val="right" w:leader="dot" w:pos="9360"/>
        </w:tabs>
        <w:spacing w:before="0"/>
        <w:ind w:left="1440" w:right="1440" w:hanging="720"/>
        <w:rPr>
          <w:rFonts w:ascii="Times New Roman" w:hAnsi="Times New Roman" w:cs="Times New Roman"/>
          <w:b w:val="0"/>
          <w:color w:val="000000" w:themeColor="text1"/>
        </w:rPr>
      </w:pPr>
      <w:r w:rsidRPr="00603211">
        <w:rPr>
          <w:rFonts w:ascii="Times New Roman" w:hAnsi="Times New Roman" w:cs="Times New Roman"/>
          <w:b w:val="0"/>
          <w:color w:val="000000" w:themeColor="text1"/>
        </w:rPr>
        <w:t>Avoided Costs in the Benefit/Cost Ratios in Approved EE&amp;C Plans</w:t>
      </w:r>
      <w:r w:rsidR="00D60730">
        <w:rPr>
          <w:rFonts w:ascii="Times New Roman" w:hAnsi="Times New Roman" w:cs="Times New Roman"/>
          <w:b w:val="0"/>
          <w:color w:val="000000" w:themeColor="text1"/>
        </w:rPr>
        <w:tab/>
      </w:r>
      <w:r w:rsidR="00AD5A43">
        <w:rPr>
          <w:rFonts w:ascii="Times New Roman" w:hAnsi="Times New Roman" w:cs="Times New Roman"/>
          <w:b w:val="0"/>
          <w:color w:val="000000" w:themeColor="text1"/>
        </w:rPr>
        <w:t>20</w:t>
      </w:r>
    </w:p>
    <w:p w:rsidR="00A16AC1" w:rsidRDefault="00A16AC1" w:rsidP="00D60730">
      <w:pPr>
        <w:pStyle w:val="Heading2"/>
        <w:numPr>
          <w:ilvl w:val="0"/>
          <w:numId w:val="0"/>
        </w:numPr>
        <w:tabs>
          <w:tab w:val="left" w:pos="720"/>
          <w:tab w:val="left" w:pos="1440"/>
          <w:tab w:val="right" w:leader="dot" w:pos="9360"/>
        </w:tabs>
        <w:spacing w:before="0"/>
        <w:ind w:left="720"/>
        <w:rPr>
          <w:rFonts w:ascii="Times New Roman" w:hAnsi="Times New Roman" w:cs="Times New Roman"/>
          <w:b w:val="0"/>
          <w:color w:val="000000" w:themeColor="text1"/>
        </w:rPr>
      </w:pPr>
    </w:p>
    <w:p w:rsidR="00E02F19" w:rsidRPr="00603211" w:rsidRDefault="00E02F19" w:rsidP="00D60730">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Fuel Switching</w:t>
      </w:r>
      <w:r w:rsidR="00D60730">
        <w:rPr>
          <w:rFonts w:ascii="Times New Roman" w:hAnsi="Times New Roman" w:cs="Times New Roman"/>
          <w:b w:val="0"/>
          <w:color w:val="000000" w:themeColor="text1"/>
        </w:rPr>
        <w:tab/>
      </w:r>
      <w:r w:rsidR="00AD5A43">
        <w:rPr>
          <w:rFonts w:ascii="Times New Roman" w:hAnsi="Times New Roman" w:cs="Times New Roman"/>
          <w:b w:val="0"/>
          <w:color w:val="000000" w:themeColor="text1"/>
        </w:rPr>
        <w:t>21</w:t>
      </w:r>
    </w:p>
    <w:p w:rsidR="00E02F19" w:rsidRPr="00603211" w:rsidRDefault="00E02F19" w:rsidP="00D60730">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Compliance with AEPS Act and Carbon Issues</w:t>
      </w:r>
      <w:r w:rsidR="00D60730">
        <w:rPr>
          <w:rFonts w:ascii="Times New Roman" w:hAnsi="Times New Roman" w:cs="Times New Roman"/>
          <w:b w:val="0"/>
          <w:color w:val="000000" w:themeColor="text1"/>
        </w:rPr>
        <w:tab/>
      </w:r>
      <w:r w:rsidR="00AD5A43">
        <w:rPr>
          <w:rFonts w:ascii="Times New Roman" w:hAnsi="Times New Roman" w:cs="Times New Roman"/>
          <w:b w:val="0"/>
          <w:color w:val="000000" w:themeColor="text1"/>
        </w:rPr>
        <w:t>22</w:t>
      </w:r>
    </w:p>
    <w:p w:rsidR="00E02F19" w:rsidRPr="00603211" w:rsidRDefault="00603211" w:rsidP="00D60730">
      <w:pPr>
        <w:pStyle w:val="Heading1"/>
        <w:tabs>
          <w:tab w:val="left" w:pos="720"/>
          <w:tab w:val="left" w:pos="1440"/>
          <w:tab w:val="right" w:leader="dot" w:pos="9360"/>
        </w:tabs>
        <w:spacing w:before="0" w:line="480" w:lineRule="auto"/>
        <w:rPr>
          <w:rFonts w:ascii="Times New Roman" w:hAnsi="Times New Roman" w:cs="Times New Roman"/>
          <w:b w:val="0"/>
          <w:color w:val="000000" w:themeColor="text1"/>
          <w:sz w:val="26"/>
          <w:szCs w:val="26"/>
        </w:rPr>
      </w:pPr>
      <w:r w:rsidRPr="00603211">
        <w:rPr>
          <w:rFonts w:ascii="Times New Roman" w:hAnsi="Times New Roman" w:cs="Times New Roman"/>
          <w:b w:val="0"/>
          <w:color w:val="000000" w:themeColor="text1"/>
          <w:sz w:val="26"/>
          <w:szCs w:val="26"/>
        </w:rPr>
        <w:t>LOW INCOME TRC TEST CALCULATION GUIDANCE</w:t>
      </w:r>
      <w:r w:rsidR="00D60730">
        <w:rPr>
          <w:rFonts w:ascii="Times New Roman" w:hAnsi="Times New Roman" w:cs="Times New Roman"/>
          <w:b w:val="0"/>
          <w:color w:val="000000" w:themeColor="text1"/>
          <w:sz w:val="26"/>
          <w:szCs w:val="26"/>
        </w:rPr>
        <w:tab/>
      </w:r>
      <w:r w:rsidR="00AD5A43">
        <w:rPr>
          <w:rFonts w:ascii="Times New Roman" w:hAnsi="Times New Roman" w:cs="Times New Roman"/>
          <w:b w:val="0"/>
          <w:color w:val="000000" w:themeColor="text1"/>
          <w:sz w:val="26"/>
          <w:szCs w:val="26"/>
        </w:rPr>
        <w:t>23</w:t>
      </w:r>
    </w:p>
    <w:p w:rsidR="00E02F19" w:rsidRPr="00603211" w:rsidRDefault="00E02F19" w:rsidP="00D60730">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Low-Income Energy Savings</w:t>
      </w:r>
      <w:r w:rsidR="00D60730">
        <w:rPr>
          <w:rFonts w:ascii="Times New Roman" w:hAnsi="Times New Roman" w:cs="Times New Roman"/>
          <w:b w:val="0"/>
          <w:color w:val="000000" w:themeColor="text1"/>
        </w:rPr>
        <w:tab/>
      </w:r>
      <w:r w:rsidR="00AD5A43">
        <w:rPr>
          <w:rFonts w:ascii="Times New Roman" w:hAnsi="Times New Roman" w:cs="Times New Roman"/>
          <w:b w:val="0"/>
          <w:color w:val="000000" w:themeColor="text1"/>
        </w:rPr>
        <w:t>23</w:t>
      </w:r>
      <w:r w:rsidRPr="00603211">
        <w:rPr>
          <w:rFonts w:ascii="Times New Roman" w:hAnsi="Times New Roman" w:cs="Times New Roman"/>
          <w:b w:val="0"/>
          <w:color w:val="000000" w:themeColor="text1"/>
        </w:rPr>
        <w:t xml:space="preserve"> </w:t>
      </w:r>
    </w:p>
    <w:p w:rsidR="00E02F19" w:rsidRPr="00603211" w:rsidRDefault="00E02F19" w:rsidP="00D60730">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 xml:space="preserve">Low-Income Costs </w:t>
      </w:r>
      <w:r w:rsidR="00B17F1A">
        <w:rPr>
          <w:rFonts w:ascii="Times New Roman" w:hAnsi="Times New Roman" w:cs="Times New Roman"/>
          <w:b w:val="0"/>
          <w:color w:val="000000" w:themeColor="text1"/>
        </w:rPr>
        <w:t xml:space="preserve">and Benefits </w:t>
      </w:r>
      <w:r w:rsidRPr="00603211">
        <w:rPr>
          <w:rFonts w:ascii="Times New Roman" w:hAnsi="Times New Roman" w:cs="Times New Roman"/>
          <w:b w:val="0"/>
          <w:color w:val="000000" w:themeColor="text1"/>
        </w:rPr>
        <w:t>Reporting</w:t>
      </w:r>
      <w:r w:rsidR="00D60730">
        <w:rPr>
          <w:rFonts w:ascii="Times New Roman" w:hAnsi="Times New Roman" w:cs="Times New Roman"/>
          <w:b w:val="0"/>
          <w:color w:val="000000" w:themeColor="text1"/>
        </w:rPr>
        <w:tab/>
      </w:r>
      <w:r w:rsidR="00AD5A43">
        <w:rPr>
          <w:rFonts w:ascii="Times New Roman" w:hAnsi="Times New Roman" w:cs="Times New Roman"/>
          <w:b w:val="0"/>
          <w:color w:val="000000" w:themeColor="text1"/>
        </w:rPr>
        <w:t>24</w:t>
      </w:r>
    </w:p>
    <w:p w:rsidR="00E02F19" w:rsidRPr="00603211" w:rsidRDefault="00603211" w:rsidP="00D60730">
      <w:pPr>
        <w:pStyle w:val="Heading1"/>
        <w:tabs>
          <w:tab w:val="left" w:pos="720"/>
          <w:tab w:val="left" w:pos="1440"/>
          <w:tab w:val="right" w:leader="dot" w:pos="9360"/>
        </w:tabs>
        <w:spacing w:before="0" w:line="480" w:lineRule="auto"/>
        <w:rPr>
          <w:rFonts w:ascii="Times New Roman" w:hAnsi="Times New Roman" w:cs="Times New Roman"/>
          <w:b w:val="0"/>
          <w:color w:val="000000" w:themeColor="text1"/>
          <w:sz w:val="26"/>
          <w:szCs w:val="26"/>
        </w:rPr>
      </w:pPr>
      <w:r w:rsidRPr="00603211">
        <w:rPr>
          <w:rFonts w:ascii="Times New Roman" w:hAnsi="Times New Roman" w:cs="Times New Roman"/>
          <w:b w:val="0"/>
          <w:color w:val="000000" w:themeColor="text1"/>
          <w:sz w:val="26"/>
          <w:szCs w:val="26"/>
        </w:rPr>
        <w:t>NET-TO-GROSS ADJUSTMENTS</w:t>
      </w:r>
      <w:r w:rsidR="00D60730">
        <w:rPr>
          <w:rFonts w:ascii="Times New Roman" w:hAnsi="Times New Roman" w:cs="Times New Roman"/>
          <w:b w:val="0"/>
          <w:color w:val="000000" w:themeColor="text1"/>
          <w:sz w:val="26"/>
          <w:szCs w:val="26"/>
        </w:rPr>
        <w:tab/>
      </w:r>
      <w:r w:rsidR="00AD5A43">
        <w:rPr>
          <w:rFonts w:ascii="Times New Roman" w:hAnsi="Times New Roman" w:cs="Times New Roman"/>
          <w:b w:val="0"/>
          <w:color w:val="000000" w:themeColor="text1"/>
          <w:sz w:val="26"/>
          <w:szCs w:val="26"/>
        </w:rPr>
        <w:t>25</w:t>
      </w:r>
    </w:p>
    <w:p w:rsidR="00E02F19" w:rsidRPr="00603211" w:rsidRDefault="00E02F19" w:rsidP="00D60730">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Net-to-Gross (NTG) Adjustments to Savings</w:t>
      </w:r>
      <w:r w:rsidR="00D60730">
        <w:rPr>
          <w:rFonts w:ascii="Times New Roman" w:hAnsi="Times New Roman" w:cs="Times New Roman"/>
          <w:b w:val="0"/>
          <w:color w:val="000000" w:themeColor="text1"/>
        </w:rPr>
        <w:tab/>
      </w:r>
      <w:r w:rsidR="00AD5A43">
        <w:rPr>
          <w:rFonts w:ascii="Times New Roman" w:hAnsi="Times New Roman" w:cs="Times New Roman"/>
          <w:b w:val="0"/>
          <w:color w:val="000000" w:themeColor="text1"/>
        </w:rPr>
        <w:t>25</w:t>
      </w:r>
    </w:p>
    <w:p w:rsidR="00E02F19" w:rsidRPr="00603211" w:rsidRDefault="00603211" w:rsidP="00D60730">
      <w:pPr>
        <w:pStyle w:val="Heading1"/>
        <w:tabs>
          <w:tab w:val="left" w:pos="720"/>
          <w:tab w:val="left" w:pos="1440"/>
          <w:tab w:val="right" w:leader="dot" w:pos="9360"/>
        </w:tabs>
        <w:spacing w:before="0" w:line="480" w:lineRule="auto"/>
        <w:rPr>
          <w:rFonts w:ascii="Times New Roman" w:hAnsi="Times New Roman" w:cs="Times New Roman"/>
          <w:b w:val="0"/>
          <w:color w:val="000000" w:themeColor="text1"/>
          <w:sz w:val="26"/>
          <w:szCs w:val="26"/>
        </w:rPr>
      </w:pPr>
      <w:r w:rsidRPr="00603211">
        <w:rPr>
          <w:rFonts w:ascii="Times New Roman" w:hAnsi="Times New Roman" w:cs="Times New Roman"/>
          <w:b w:val="0"/>
          <w:color w:val="000000" w:themeColor="text1"/>
          <w:sz w:val="26"/>
          <w:szCs w:val="26"/>
        </w:rPr>
        <w:t>DEMAND RESPONSE</w:t>
      </w:r>
      <w:r w:rsidR="00D60730">
        <w:rPr>
          <w:rFonts w:ascii="Times New Roman" w:hAnsi="Times New Roman" w:cs="Times New Roman"/>
          <w:b w:val="0"/>
          <w:color w:val="000000" w:themeColor="text1"/>
          <w:sz w:val="26"/>
          <w:szCs w:val="26"/>
        </w:rPr>
        <w:tab/>
      </w:r>
      <w:r w:rsidR="00AD5A43">
        <w:rPr>
          <w:rFonts w:ascii="Times New Roman" w:hAnsi="Times New Roman" w:cs="Times New Roman"/>
          <w:b w:val="0"/>
          <w:color w:val="000000" w:themeColor="text1"/>
          <w:sz w:val="26"/>
          <w:szCs w:val="26"/>
        </w:rPr>
        <w:t>28</w:t>
      </w:r>
    </w:p>
    <w:p w:rsidR="00E02F19" w:rsidRPr="00603211" w:rsidRDefault="00E02F19" w:rsidP="00D60730">
      <w:pPr>
        <w:pStyle w:val="Heading2"/>
        <w:tabs>
          <w:tab w:val="left" w:pos="720"/>
          <w:tab w:val="left" w:pos="1440"/>
          <w:tab w:val="right" w:leader="dot" w:pos="9360"/>
        </w:tabs>
        <w:spacing w:before="0" w:line="480" w:lineRule="auto"/>
        <w:rPr>
          <w:rFonts w:ascii="Times New Roman" w:hAnsi="Times New Roman" w:cs="Times New Roman"/>
          <w:b w:val="0"/>
          <w:color w:val="000000" w:themeColor="text1"/>
        </w:rPr>
      </w:pPr>
      <w:r w:rsidRPr="00603211">
        <w:rPr>
          <w:rFonts w:ascii="Times New Roman" w:hAnsi="Times New Roman" w:cs="Times New Roman"/>
          <w:b w:val="0"/>
          <w:color w:val="000000" w:themeColor="text1"/>
        </w:rPr>
        <w:t>Inclusion of Demand Response</w:t>
      </w:r>
      <w:r w:rsidR="00D60730">
        <w:rPr>
          <w:rFonts w:ascii="Times New Roman" w:hAnsi="Times New Roman" w:cs="Times New Roman"/>
          <w:b w:val="0"/>
          <w:color w:val="000000" w:themeColor="text1"/>
        </w:rPr>
        <w:tab/>
      </w:r>
      <w:r w:rsidR="0076711D">
        <w:rPr>
          <w:rFonts w:ascii="Times New Roman" w:hAnsi="Times New Roman" w:cs="Times New Roman"/>
          <w:b w:val="0"/>
          <w:color w:val="000000" w:themeColor="text1"/>
        </w:rPr>
        <w:t>2</w:t>
      </w:r>
      <w:r w:rsidR="00AD5A43">
        <w:rPr>
          <w:rFonts w:ascii="Times New Roman" w:hAnsi="Times New Roman" w:cs="Times New Roman"/>
          <w:b w:val="0"/>
          <w:color w:val="000000" w:themeColor="text1"/>
        </w:rPr>
        <w:t>8</w:t>
      </w:r>
    </w:p>
    <w:p w:rsidR="00E02F19" w:rsidRPr="00603211" w:rsidRDefault="00603211" w:rsidP="00D60730">
      <w:pPr>
        <w:pStyle w:val="Heading1"/>
        <w:tabs>
          <w:tab w:val="left" w:pos="720"/>
          <w:tab w:val="left" w:pos="1440"/>
          <w:tab w:val="right" w:leader="dot" w:pos="9360"/>
        </w:tabs>
        <w:spacing w:before="0" w:line="480" w:lineRule="auto"/>
        <w:rPr>
          <w:rFonts w:ascii="Times New Roman" w:hAnsi="Times New Roman" w:cs="Times New Roman"/>
          <w:b w:val="0"/>
          <w:color w:val="000000" w:themeColor="text1"/>
          <w:sz w:val="26"/>
          <w:szCs w:val="26"/>
        </w:rPr>
      </w:pPr>
      <w:r w:rsidRPr="00603211">
        <w:rPr>
          <w:rFonts w:ascii="Times New Roman" w:hAnsi="Times New Roman" w:cs="Times New Roman"/>
          <w:b w:val="0"/>
          <w:color w:val="000000" w:themeColor="text1"/>
          <w:sz w:val="26"/>
          <w:szCs w:val="26"/>
        </w:rPr>
        <w:t>TRC TEST FORMULAE FOR USE IN PENNSYLVANIA</w:t>
      </w:r>
      <w:r w:rsidR="00D60730">
        <w:rPr>
          <w:rFonts w:ascii="Times New Roman" w:hAnsi="Times New Roman" w:cs="Times New Roman"/>
          <w:b w:val="0"/>
          <w:color w:val="000000" w:themeColor="text1"/>
          <w:sz w:val="26"/>
          <w:szCs w:val="26"/>
        </w:rPr>
        <w:tab/>
      </w:r>
      <w:r w:rsidR="00AD5A43">
        <w:rPr>
          <w:rFonts w:ascii="Times New Roman" w:hAnsi="Times New Roman" w:cs="Times New Roman"/>
          <w:b w:val="0"/>
          <w:color w:val="000000" w:themeColor="text1"/>
          <w:sz w:val="26"/>
          <w:szCs w:val="26"/>
        </w:rPr>
        <w:t>29</w:t>
      </w:r>
    </w:p>
    <w:p w:rsidR="00E02F19" w:rsidRPr="00603211" w:rsidRDefault="00603211" w:rsidP="00D60730">
      <w:pPr>
        <w:pStyle w:val="Heading1"/>
        <w:tabs>
          <w:tab w:val="left" w:pos="720"/>
          <w:tab w:val="left" w:pos="1440"/>
          <w:tab w:val="right" w:leader="dot" w:pos="9360"/>
        </w:tabs>
        <w:spacing w:before="0" w:line="480" w:lineRule="auto"/>
        <w:rPr>
          <w:rFonts w:ascii="Times New Roman" w:hAnsi="Times New Roman" w:cs="Times New Roman"/>
          <w:b w:val="0"/>
          <w:color w:val="000000" w:themeColor="text1"/>
          <w:sz w:val="26"/>
          <w:szCs w:val="26"/>
        </w:rPr>
      </w:pPr>
      <w:r w:rsidRPr="00603211">
        <w:rPr>
          <w:rFonts w:ascii="Times New Roman" w:hAnsi="Times New Roman" w:cs="Times New Roman"/>
          <w:b w:val="0"/>
          <w:color w:val="000000" w:themeColor="text1"/>
          <w:sz w:val="26"/>
          <w:szCs w:val="26"/>
        </w:rPr>
        <w:t>CONCLUSION</w:t>
      </w:r>
      <w:r w:rsidR="00D60730">
        <w:rPr>
          <w:rFonts w:ascii="Times New Roman" w:hAnsi="Times New Roman" w:cs="Times New Roman"/>
          <w:b w:val="0"/>
          <w:color w:val="000000" w:themeColor="text1"/>
          <w:sz w:val="26"/>
          <w:szCs w:val="26"/>
        </w:rPr>
        <w:tab/>
      </w:r>
      <w:r w:rsidR="00AD5A43">
        <w:rPr>
          <w:rFonts w:ascii="Times New Roman" w:hAnsi="Times New Roman" w:cs="Times New Roman"/>
          <w:b w:val="0"/>
          <w:color w:val="000000" w:themeColor="text1"/>
          <w:sz w:val="26"/>
          <w:szCs w:val="26"/>
        </w:rPr>
        <w:t>29</w:t>
      </w:r>
    </w:p>
    <w:p w:rsidR="00E02F19" w:rsidRPr="00603211" w:rsidRDefault="00E02F19" w:rsidP="0076711D">
      <w:pPr>
        <w:pStyle w:val="p14"/>
        <w:widowControl/>
        <w:tabs>
          <w:tab w:val="left" w:pos="720"/>
          <w:tab w:val="left" w:pos="1440"/>
          <w:tab w:val="right" w:leader="dot" w:pos="9360"/>
        </w:tabs>
        <w:spacing w:line="480" w:lineRule="auto"/>
        <w:rPr>
          <w:color w:val="000000" w:themeColor="text1"/>
          <w:sz w:val="26"/>
          <w:szCs w:val="26"/>
        </w:rPr>
      </w:pPr>
      <w:r w:rsidRPr="00603211">
        <w:rPr>
          <w:color w:val="000000" w:themeColor="text1"/>
          <w:sz w:val="26"/>
          <w:szCs w:val="26"/>
        </w:rPr>
        <w:t xml:space="preserve">Appendix A </w:t>
      </w:r>
      <w:r w:rsidR="0076711D">
        <w:rPr>
          <w:color w:val="000000" w:themeColor="text1"/>
          <w:sz w:val="26"/>
          <w:szCs w:val="26"/>
        </w:rPr>
        <w:t>–</w:t>
      </w:r>
      <w:r w:rsidRPr="00603211">
        <w:rPr>
          <w:color w:val="000000" w:themeColor="text1"/>
          <w:sz w:val="26"/>
          <w:szCs w:val="26"/>
        </w:rPr>
        <w:t xml:space="preserve"> Formulae</w:t>
      </w:r>
      <w:r w:rsidR="0076711D">
        <w:rPr>
          <w:color w:val="000000" w:themeColor="text1"/>
          <w:sz w:val="26"/>
          <w:szCs w:val="26"/>
        </w:rPr>
        <w:t xml:space="preserve"> &amp; </w:t>
      </w:r>
      <w:r w:rsidRPr="00603211">
        <w:rPr>
          <w:color w:val="000000" w:themeColor="text1"/>
          <w:sz w:val="26"/>
          <w:szCs w:val="26"/>
        </w:rPr>
        <w:t>Glossary of Terms</w:t>
      </w:r>
    </w:p>
    <w:p w:rsidR="00E02F19" w:rsidRPr="00603211" w:rsidRDefault="00E02F19" w:rsidP="00D60730">
      <w:pPr>
        <w:pStyle w:val="p14"/>
        <w:widowControl/>
        <w:tabs>
          <w:tab w:val="left" w:pos="720"/>
          <w:tab w:val="left" w:pos="1440"/>
          <w:tab w:val="left" w:pos="1620"/>
          <w:tab w:val="right" w:leader="dot" w:pos="9360"/>
        </w:tabs>
        <w:spacing w:line="480" w:lineRule="auto"/>
        <w:rPr>
          <w:color w:val="000000" w:themeColor="text1"/>
          <w:sz w:val="26"/>
          <w:szCs w:val="26"/>
        </w:rPr>
      </w:pPr>
      <w:r w:rsidRPr="00603211">
        <w:rPr>
          <w:color w:val="000000" w:themeColor="text1"/>
          <w:sz w:val="26"/>
          <w:szCs w:val="26"/>
        </w:rPr>
        <w:t xml:space="preserve">Appendix B </w:t>
      </w:r>
      <w:r w:rsidR="0076711D">
        <w:rPr>
          <w:color w:val="000000" w:themeColor="text1"/>
          <w:sz w:val="26"/>
          <w:szCs w:val="26"/>
        </w:rPr>
        <w:t>–</w:t>
      </w:r>
      <w:r w:rsidRPr="00603211">
        <w:rPr>
          <w:color w:val="000000" w:themeColor="text1"/>
          <w:sz w:val="26"/>
          <w:szCs w:val="26"/>
        </w:rPr>
        <w:t xml:space="preserve"> List of Acronyms</w:t>
      </w:r>
    </w:p>
    <w:p w:rsidR="00256620" w:rsidRDefault="00256620" w:rsidP="00603211">
      <w:pPr>
        <w:spacing w:line="360" w:lineRule="auto"/>
        <w:jc w:val="center"/>
        <w:rPr>
          <w:b/>
          <w:sz w:val="26"/>
          <w:szCs w:val="26"/>
        </w:rPr>
        <w:sectPr w:rsidR="00256620" w:rsidSect="00256620">
          <w:pgSz w:w="12240" w:h="15840"/>
          <w:pgMar w:top="1440" w:right="1440" w:bottom="1440" w:left="1440" w:header="720" w:footer="720" w:gutter="0"/>
          <w:pgNumType w:fmt="lowerRoman" w:start="1"/>
          <w:cols w:space="720"/>
          <w:titlePg/>
          <w:docGrid w:linePitch="360"/>
        </w:sectPr>
      </w:pPr>
    </w:p>
    <w:p w:rsidR="00603211" w:rsidRPr="007733F3" w:rsidRDefault="00603211" w:rsidP="00603211">
      <w:pPr>
        <w:spacing w:line="360" w:lineRule="auto"/>
        <w:jc w:val="center"/>
        <w:rPr>
          <w:b/>
          <w:sz w:val="26"/>
          <w:szCs w:val="26"/>
        </w:rPr>
      </w:pPr>
      <w:r w:rsidRPr="007733F3">
        <w:rPr>
          <w:b/>
          <w:sz w:val="26"/>
          <w:szCs w:val="26"/>
        </w:rPr>
        <w:lastRenderedPageBreak/>
        <w:t>ORDER</w:t>
      </w:r>
    </w:p>
    <w:p w:rsidR="00603211" w:rsidRPr="007733F3" w:rsidRDefault="00603211" w:rsidP="00603211">
      <w:pPr>
        <w:pStyle w:val="p3"/>
        <w:spacing w:line="360" w:lineRule="auto"/>
        <w:rPr>
          <w:b/>
          <w:sz w:val="26"/>
          <w:szCs w:val="26"/>
        </w:rPr>
      </w:pPr>
      <w:r w:rsidRPr="007733F3">
        <w:rPr>
          <w:b/>
          <w:sz w:val="26"/>
          <w:szCs w:val="26"/>
        </w:rPr>
        <w:t>BY THE COMMISSION:</w:t>
      </w:r>
    </w:p>
    <w:p w:rsidR="00603211" w:rsidRDefault="00603211" w:rsidP="00603211">
      <w:pPr>
        <w:pStyle w:val="p3"/>
        <w:tabs>
          <w:tab w:val="clear" w:pos="204"/>
          <w:tab w:val="left" w:pos="720"/>
        </w:tabs>
        <w:spacing w:line="360" w:lineRule="auto"/>
        <w:rPr>
          <w:sz w:val="26"/>
          <w:szCs w:val="26"/>
        </w:rPr>
      </w:pPr>
    </w:p>
    <w:p w:rsidR="00603211" w:rsidRDefault="00603211" w:rsidP="00603211">
      <w:pPr>
        <w:pStyle w:val="p3"/>
        <w:tabs>
          <w:tab w:val="clear" w:pos="204"/>
          <w:tab w:val="left" w:pos="720"/>
        </w:tabs>
        <w:spacing w:line="360" w:lineRule="auto"/>
        <w:rPr>
          <w:sz w:val="26"/>
          <w:szCs w:val="26"/>
        </w:rPr>
      </w:pPr>
      <w:r>
        <w:rPr>
          <w:sz w:val="26"/>
          <w:szCs w:val="26"/>
        </w:rPr>
        <w:tab/>
      </w:r>
      <w:r w:rsidRPr="001B2FDE">
        <w:rPr>
          <w:sz w:val="26"/>
          <w:szCs w:val="26"/>
        </w:rPr>
        <w:t>Act 129 of 2008, 66 Pa.</w:t>
      </w:r>
      <w:r>
        <w:rPr>
          <w:sz w:val="26"/>
          <w:szCs w:val="26"/>
        </w:rPr>
        <w:t xml:space="preserve"> </w:t>
      </w:r>
      <w:r w:rsidRPr="001B2FDE">
        <w:rPr>
          <w:sz w:val="26"/>
          <w:szCs w:val="26"/>
        </w:rPr>
        <w:t xml:space="preserve">C.S. § 2806.1, directs the Commission to use a total resource cost (TRC) test to analyze the benefits and costs of the energy efficiency and conservation (EE&amp;C) plans that certain electric distribution companies (EDCs) are required to file.  The Pennsylvania TRC Test </w:t>
      </w:r>
      <w:r>
        <w:rPr>
          <w:sz w:val="26"/>
          <w:szCs w:val="26"/>
        </w:rPr>
        <w:t xml:space="preserve">for Phase I of Act 129 </w:t>
      </w:r>
      <w:r w:rsidRPr="001B2FDE">
        <w:rPr>
          <w:sz w:val="26"/>
          <w:szCs w:val="26"/>
        </w:rPr>
        <w:t xml:space="preserve">was adopted by Commission order at </w:t>
      </w:r>
      <w:r>
        <w:rPr>
          <w:sz w:val="26"/>
          <w:szCs w:val="26"/>
        </w:rPr>
        <w:t>Docket No. M-2009-2108601</w:t>
      </w:r>
      <w:r w:rsidRPr="001B2FDE">
        <w:rPr>
          <w:sz w:val="26"/>
          <w:szCs w:val="26"/>
        </w:rPr>
        <w:t xml:space="preserve"> on June 23, 2009 (</w:t>
      </w:r>
      <w:r w:rsidRPr="001B2FDE">
        <w:rPr>
          <w:i/>
          <w:sz w:val="26"/>
          <w:szCs w:val="26"/>
        </w:rPr>
        <w:t>2009 PA TRC Test Order</w:t>
      </w:r>
      <w:r w:rsidRPr="001B2FDE">
        <w:rPr>
          <w:sz w:val="26"/>
          <w:szCs w:val="26"/>
        </w:rPr>
        <w:t>).</w:t>
      </w:r>
      <w:r>
        <w:rPr>
          <w:sz w:val="26"/>
          <w:szCs w:val="26"/>
        </w:rPr>
        <w:t xml:space="preserve">  The Order was refined at the same docket on August 2, 2011 </w:t>
      </w:r>
      <w:r>
        <w:rPr>
          <w:i/>
          <w:sz w:val="26"/>
          <w:szCs w:val="26"/>
        </w:rPr>
        <w:t>(2011 PA TRC Test Order)</w:t>
      </w:r>
      <w:r>
        <w:rPr>
          <w:sz w:val="26"/>
          <w:szCs w:val="26"/>
        </w:rPr>
        <w:t>.</w:t>
      </w:r>
      <w:r w:rsidRPr="001B2FDE">
        <w:rPr>
          <w:sz w:val="26"/>
          <w:szCs w:val="26"/>
        </w:rPr>
        <w:t xml:space="preserve">  Before us are </w:t>
      </w:r>
      <w:r>
        <w:rPr>
          <w:sz w:val="26"/>
          <w:szCs w:val="26"/>
        </w:rPr>
        <w:t>proposed</w:t>
      </w:r>
      <w:r w:rsidRPr="001B2FDE">
        <w:rPr>
          <w:sz w:val="26"/>
          <w:szCs w:val="26"/>
        </w:rPr>
        <w:t xml:space="preserve"> </w:t>
      </w:r>
      <w:r>
        <w:rPr>
          <w:sz w:val="26"/>
          <w:szCs w:val="26"/>
        </w:rPr>
        <w:t>adjustments to the</w:t>
      </w:r>
      <w:r w:rsidRPr="001B2FDE">
        <w:rPr>
          <w:sz w:val="26"/>
          <w:szCs w:val="26"/>
        </w:rPr>
        <w:t xml:space="preserve"> PA TRC </w:t>
      </w:r>
      <w:r>
        <w:rPr>
          <w:sz w:val="26"/>
          <w:szCs w:val="26"/>
        </w:rPr>
        <w:t>T</w:t>
      </w:r>
      <w:r w:rsidRPr="001B2FDE">
        <w:rPr>
          <w:sz w:val="26"/>
          <w:szCs w:val="26"/>
        </w:rPr>
        <w:t xml:space="preserve">est for </w:t>
      </w:r>
      <w:r>
        <w:rPr>
          <w:sz w:val="26"/>
          <w:szCs w:val="26"/>
        </w:rPr>
        <w:t xml:space="preserve">use for the proposed Phase II of Act 129, that, if approved, would begin </w:t>
      </w:r>
      <w:r w:rsidRPr="001B2FDE">
        <w:rPr>
          <w:sz w:val="26"/>
          <w:szCs w:val="26"/>
        </w:rPr>
        <w:t xml:space="preserve">June 1, 2013.  </w:t>
      </w:r>
    </w:p>
    <w:p w:rsidR="00603211" w:rsidRDefault="00603211" w:rsidP="00F347F1">
      <w:pPr>
        <w:pStyle w:val="p3"/>
        <w:tabs>
          <w:tab w:val="clear" w:pos="204"/>
          <w:tab w:val="left" w:pos="720"/>
        </w:tabs>
        <w:spacing w:line="360" w:lineRule="auto"/>
        <w:rPr>
          <w:b/>
          <w:sz w:val="26"/>
          <w:szCs w:val="26"/>
        </w:rPr>
      </w:pPr>
    </w:p>
    <w:p w:rsidR="00726645" w:rsidRPr="0077547A" w:rsidRDefault="00D60730" w:rsidP="0077547A">
      <w:pPr>
        <w:pStyle w:val="p3"/>
        <w:numPr>
          <w:ilvl w:val="0"/>
          <w:numId w:val="25"/>
        </w:numPr>
        <w:tabs>
          <w:tab w:val="clear" w:pos="204"/>
          <w:tab w:val="left" w:pos="720"/>
        </w:tabs>
        <w:spacing w:line="480" w:lineRule="auto"/>
        <w:ind w:left="720"/>
        <w:rPr>
          <w:color w:val="000000" w:themeColor="text1"/>
          <w:sz w:val="26"/>
          <w:szCs w:val="26"/>
        </w:rPr>
      </w:pPr>
      <w:r w:rsidRPr="0077547A">
        <w:rPr>
          <w:b/>
          <w:color w:val="000000" w:themeColor="text1"/>
          <w:sz w:val="26"/>
          <w:szCs w:val="26"/>
        </w:rPr>
        <w:t>INTRODUCTION</w:t>
      </w:r>
    </w:p>
    <w:p w:rsidR="00364B12" w:rsidRPr="00364B12" w:rsidRDefault="00364B12" w:rsidP="00364B12">
      <w:pPr>
        <w:pStyle w:val="ListParagraph"/>
        <w:numPr>
          <w:ilvl w:val="0"/>
          <w:numId w:val="31"/>
        </w:numPr>
        <w:ind w:left="1440" w:hanging="720"/>
        <w:rPr>
          <w:rFonts w:ascii="Times New Roman" w:hAnsi="Times New Roman"/>
          <w:b/>
          <w:sz w:val="26"/>
          <w:szCs w:val="26"/>
        </w:rPr>
      </w:pPr>
      <w:r w:rsidRPr="00364B12">
        <w:rPr>
          <w:rFonts w:ascii="Times New Roman" w:hAnsi="Times New Roman"/>
          <w:b/>
          <w:sz w:val="26"/>
          <w:szCs w:val="26"/>
        </w:rPr>
        <w:t>Background</w:t>
      </w:r>
      <w:r w:rsidRPr="00364B12">
        <w:rPr>
          <w:rStyle w:val="FootnoteReference"/>
          <w:rFonts w:ascii="Times New Roman" w:hAnsi="Times New Roman"/>
          <w:b/>
          <w:color w:val="000000" w:themeColor="text1"/>
        </w:rPr>
        <w:footnoteReference w:id="1"/>
      </w:r>
      <w:r w:rsidRPr="00364B12">
        <w:rPr>
          <w:rFonts w:ascii="Times New Roman" w:hAnsi="Times New Roman"/>
          <w:b/>
          <w:sz w:val="26"/>
          <w:szCs w:val="26"/>
        </w:rPr>
        <w:t xml:space="preserve"> History</w:t>
      </w:r>
    </w:p>
    <w:p w:rsidR="00891F93" w:rsidRPr="001B2FDE" w:rsidRDefault="008779C4" w:rsidP="00891F93">
      <w:pPr>
        <w:pStyle w:val="p3"/>
        <w:widowControl/>
        <w:tabs>
          <w:tab w:val="clear" w:pos="204"/>
        </w:tabs>
        <w:spacing w:line="360" w:lineRule="auto"/>
        <w:rPr>
          <w:i/>
          <w:sz w:val="26"/>
          <w:szCs w:val="26"/>
        </w:rPr>
      </w:pPr>
      <w:r w:rsidRPr="0077547A">
        <w:rPr>
          <w:color w:val="000000" w:themeColor="text1"/>
          <w:sz w:val="26"/>
          <w:szCs w:val="26"/>
        </w:rPr>
        <w:tab/>
        <w:t xml:space="preserve">Act </w:t>
      </w:r>
      <w:r w:rsidRPr="007733F3">
        <w:rPr>
          <w:sz w:val="26"/>
          <w:szCs w:val="26"/>
        </w:rPr>
        <w:t>129 requires an EDC with 100,000 or more customers to adopt an EE&amp;C plan, subject to approval by the Commission, to reduce electric consumption</w:t>
      </w:r>
      <w:r>
        <w:rPr>
          <w:sz w:val="26"/>
          <w:szCs w:val="26"/>
        </w:rPr>
        <w:t xml:space="preserve">.  For Phase I of Act 129 (Phase I) each participating EDC was required to reduce electric consumption </w:t>
      </w:r>
      <w:r w:rsidRPr="007733F3">
        <w:rPr>
          <w:sz w:val="26"/>
          <w:szCs w:val="26"/>
        </w:rPr>
        <w:t xml:space="preserve">by at least one percent (1%) of the EDC’s expected load for the period from June 1, 2009, through May 31, 2010, adjusted for weather and extraordinary loads.  This one percent (1%) reduction </w:t>
      </w:r>
      <w:r>
        <w:rPr>
          <w:sz w:val="26"/>
          <w:szCs w:val="26"/>
        </w:rPr>
        <w:t xml:space="preserve">was </w:t>
      </w:r>
      <w:r w:rsidRPr="007733F3">
        <w:rPr>
          <w:sz w:val="26"/>
          <w:szCs w:val="26"/>
        </w:rPr>
        <w:t>to be accomplished by May 31, 2011.  Fur</w:t>
      </w:r>
      <w:r>
        <w:rPr>
          <w:sz w:val="26"/>
          <w:szCs w:val="26"/>
        </w:rPr>
        <w:t xml:space="preserve">ther, by May 31, 2013, the EDC </w:t>
      </w:r>
      <w:r w:rsidR="00982A49">
        <w:rPr>
          <w:sz w:val="26"/>
          <w:szCs w:val="26"/>
        </w:rPr>
        <w:t>is</w:t>
      </w:r>
      <w:r w:rsidRPr="007733F3">
        <w:rPr>
          <w:sz w:val="26"/>
          <w:szCs w:val="26"/>
        </w:rPr>
        <w:t xml:space="preserve"> required to </w:t>
      </w:r>
      <w:r w:rsidR="00571FE3">
        <w:rPr>
          <w:sz w:val="26"/>
          <w:szCs w:val="26"/>
        </w:rPr>
        <w:t xml:space="preserve">have </w:t>
      </w:r>
      <w:r w:rsidRPr="007733F3">
        <w:rPr>
          <w:sz w:val="26"/>
          <w:szCs w:val="26"/>
        </w:rPr>
        <w:t>reduce</w:t>
      </w:r>
      <w:r w:rsidR="00571FE3">
        <w:rPr>
          <w:sz w:val="26"/>
          <w:szCs w:val="26"/>
        </w:rPr>
        <w:t>d</w:t>
      </w:r>
      <w:r w:rsidRPr="007733F3">
        <w:rPr>
          <w:sz w:val="26"/>
          <w:szCs w:val="26"/>
        </w:rPr>
        <w:t xml:space="preserve"> its total annual weather-normalized consumption by a minimum of three percent (3%).  </w:t>
      </w:r>
      <w:r>
        <w:rPr>
          <w:sz w:val="26"/>
          <w:szCs w:val="26"/>
        </w:rPr>
        <w:t xml:space="preserve">Also, by May 31, 2013, the EDC </w:t>
      </w:r>
      <w:r w:rsidR="00982A49">
        <w:rPr>
          <w:sz w:val="26"/>
          <w:szCs w:val="26"/>
        </w:rPr>
        <w:t>is</w:t>
      </w:r>
      <w:r w:rsidRPr="000B4AB3">
        <w:rPr>
          <w:sz w:val="26"/>
          <w:szCs w:val="26"/>
        </w:rPr>
        <w:t xml:space="preserve"> expected</w:t>
      </w:r>
      <w:r w:rsidRPr="007733F3">
        <w:rPr>
          <w:sz w:val="26"/>
          <w:szCs w:val="26"/>
        </w:rPr>
        <w:t xml:space="preserve"> to </w:t>
      </w:r>
      <w:r w:rsidR="00571FE3">
        <w:rPr>
          <w:sz w:val="26"/>
          <w:szCs w:val="26"/>
        </w:rPr>
        <w:t xml:space="preserve">have </w:t>
      </w:r>
      <w:r w:rsidRPr="007733F3">
        <w:rPr>
          <w:sz w:val="26"/>
          <w:szCs w:val="26"/>
        </w:rPr>
        <w:t>reduce</w:t>
      </w:r>
      <w:r w:rsidR="00571FE3">
        <w:rPr>
          <w:sz w:val="26"/>
          <w:szCs w:val="26"/>
        </w:rPr>
        <w:t>d</w:t>
      </w:r>
      <w:r w:rsidRPr="007733F3">
        <w:rPr>
          <w:sz w:val="26"/>
          <w:szCs w:val="26"/>
        </w:rPr>
        <w:t xml:space="preserve"> its peak demand by a minimum of four-and-a-half percent (4.5%) of the EDC’s annual system peak demand in the 100 hours of highest demand, as measured against the EDC’s peak demand during the period from June 1, 2007, through May 31, 2008</w:t>
      </w:r>
      <w:r w:rsidRPr="009D2977">
        <w:rPr>
          <w:sz w:val="26"/>
          <w:szCs w:val="26"/>
        </w:rPr>
        <w:t xml:space="preserve">.  Act </w:t>
      </w:r>
      <w:r w:rsidRPr="009D2977">
        <w:rPr>
          <w:sz w:val="26"/>
          <w:szCs w:val="26"/>
        </w:rPr>
        <w:lastRenderedPageBreak/>
        <w:t>129 also addresses energy efficiency (EE) and demand reduction targets from June 1, 2013, forward</w:t>
      </w:r>
      <w:r w:rsidRPr="001B2FDE">
        <w:rPr>
          <w:sz w:val="26"/>
          <w:szCs w:val="26"/>
        </w:rPr>
        <w:t>.  66 Pa.</w:t>
      </w:r>
      <w:r w:rsidR="0077547A">
        <w:rPr>
          <w:sz w:val="26"/>
          <w:szCs w:val="26"/>
        </w:rPr>
        <w:t xml:space="preserve"> </w:t>
      </w:r>
      <w:r w:rsidRPr="001B2FDE">
        <w:rPr>
          <w:sz w:val="26"/>
          <w:szCs w:val="26"/>
        </w:rPr>
        <w:t>C.S. §§</w:t>
      </w:r>
      <w:r w:rsidR="00571FE3">
        <w:rPr>
          <w:sz w:val="26"/>
          <w:szCs w:val="26"/>
        </w:rPr>
        <w:t> </w:t>
      </w:r>
      <w:r w:rsidRPr="001B2FDE">
        <w:rPr>
          <w:sz w:val="26"/>
          <w:szCs w:val="26"/>
        </w:rPr>
        <w:t>2806.1(c)(3) and 2806.1(d)(2).</w:t>
      </w:r>
      <w:r w:rsidRPr="001B2FDE">
        <w:rPr>
          <w:rStyle w:val="FootnoteReference"/>
          <w:sz w:val="26"/>
          <w:szCs w:val="26"/>
        </w:rPr>
        <w:footnoteReference w:id="2"/>
      </w:r>
      <w:r w:rsidRPr="001B2FDE">
        <w:rPr>
          <w:sz w:val="26"/>
          <w:szCs w:val="26"/>
        </w:rPr>
        <w:t xml:space="preserve">  </w:t>
      </w:r>
    </w:p>
    <w:p w:rsidR="008779C4" w:rsidRPr="007733F3" w:rsidRDefault="008779C4" w:rsidP="00F347F1">
      <w:pPr>
        <w:pStyle w:val="p3"/>
        <w:widowControl/>
        <w:tabs>
          <w:tab w:val="clear" w:pos="204"/>
        </w:tabs>
        <w:spacing w:line="360" w:lineRule="auto"/>
        <w:rPr>
          <w:sz w:val="26"/>
          <w:szCs w:val="26"/>
        </w:rPr>
      </w:pPr>
    </w:p>
    <w:p w:rsidR="000D76E5" w:rsidRDefault="008779C4" w:rsidP="00F347F1">
      <w:pPr>
        <w:pStyle w:val="p3"/>
        <w:widowControl/>
        <w:tabs>
          <w:tab w:val="clear" w:pos="204"/>
        </w:tabs>
        <w:spacing w:line="360" w:lineRule="auto"/>
        <w:ind w:firstLine="720"/>
        <w:rPr>
          <w:sz w:val="26"/>
          <w:szCs w:val="26"/>
        </w:rPr>
      </w:pPr>
      <w:r w:rsidRPr="007733F3">
        <w:rPr>
          <w:sz w:val="26"/>
          <w:szCs w:val="26"/>
        </w:rPr>
        <w:t>Act 129 require</w:t>
      </w:r>
      <w:r w:rsidR="000D76E5">
        <w:rPr>
          <w:sz w:val="26"/>
          <w:szCs w:val="26"/>
        </w:rPr>
        <w:t>d for Phase I</w:t>
      </w:r>
      <w:r w:rsidRPr="007733F3">
        <w:rPr>
          <w:sz w:val="26"/>
          <w:szCs w:val="26"/>
        </w:rPr>
        <w:t xml:space="preserve"> that an analysis of the costs and benefits of each EDC’s EE&amp;C plan, in accordance with a TRC </w:t>
      </w:r>
      <w:r w:rsidR="00436F29">
        <w:rPr>
          <w:sz w:val="26"/>
          <w:szCs w:val="26"/>
        </w:rPr>
        <w:t>T</w:t>
      </w:r>
      <w:r w:rsidRPr="007733F3">
        <w:rPr>
          <w:sz w:val="26"/>
          <w:szCs w:val="26"/>
        </w:rPr>
        <w:t xml:space="preserve">est, be approved by the Commission.  </w:t>
      </w:r>
      <w:r>
        <w:rPr>
          <w:sz w:val="26"/>
          <w:szCs w:val="26"/>
        </w:rPr>
        <w:t>In particular, A</w:t>
      </w:r>
      <w:r w:rsidRPr="007733F3">
        <w:rPr>
          <w:sz w:val="26"/>
          <w:szCs w:val="26"/>
        </w:rPr>
        <w:t>ct 129 require</w:t>
      </w:r>
      <w:r w:rsidR="000D76E5">
        <w:rPr>
          <w:sz w:val="26"/>
          <w:szCs w:val="26"/>
        </w:rPr>
        <w:t>d</w:t>
      </w:r>
      <w:r w:rsidRPr="007733F3">
        <w:rPr>
          <w:sz w:val="26"/>
          <w:szCs w:val="26"/>
        </w:rPr>
        <w:t xml:space="preserve"> an EDC to demonstrate that its plan is cost-effective using the TRC test and that the EDC provide a diverse cross section of alternatives for customers of all rate classes.  66 Pa. C.S. § 2806.1(b)(1)(i)(I).  </w:t>
      </w:r>
      <w:r w:rsidR="00926E2C" w:rsidRPr="007733F3">
        <w:rPr>
          <w:sz w:val="26"/>
          <w:szCs w:val="26"/>
        </w:rPr>
        <w:t xml:space="preserve">Act 129 defines a TRC </w:t>
      </w:r>
      <w:r w:rsidR="00926E2C">
        <w:rPr>
          <w:sz w:val="26"/>
          <w:szCs w:val="26"/>
        </w:rPr>
        <w:t>T</w:t>
      </w:r>
      <w:r w:rsidR="00926E2C" w:rsidRPr="007733F3">
        <w:rPr>
          <w:sz w:val="26"/>
          <w:szCs w:val="26"/>
        </w:rPr>
        <w:t>est as “a standard test that is met if, over the effective life of each plan not to exceed 15</w:t>
      </w:r>
      <w:r w:rsidR="00926E2C">
        <w:rPr>
          <w:sz w:val="26"/>
          <w:szCs w:val="26"/>
        </w:rPr>
        <w:t> </w:t>
      </w:r>
      <w:r w:rsidR="00926E2C" w:rsidRPr="007733F3">
        <w:rPr>
          <w:sz w:val="26"/>
          <w:szCs w:val="26"/>
        </w:rPr>
        <w:t xml:space="preserve">years, the net present value of the avoided monetary cost of supplying electricity is greater than the net present value of the monetary cost of energy efficiency conservation measures.”  66 Pa. C.S. § 2806.1(m).  Thus, the TRC </w:t>
      </w:r>
      <w:r w:rsidR="00926E2C">
        <w:rPr>
          <w:sz w:val="26"/>
          <w:szCs w:val="26"/>
        </w:rPr>
        <w:t>T</w:t>
      </w:r>
      <w:r w:rsidR="00926E2C" w:rsidRPr="007733F3">
        <w:rPr>
          <w:sz w:val="26"/>
          <w:szCs w:val="26"/>
        </w:rPr>
        <w:t xml:space="preserve">est </w:t>
      </w:r>
      <w:r w:rsidR="00926E2C">
        <w:rPr>
          <w:sz w:val="26"/>
          <w:szCs w:val="26"/>
        </w:rPr>
        <w:t>is</w:t>
      </w:r>
      <w:r w:rsidR="00926E2C" w:rsidRPr="007733F3">
        <w:rPr>
          <w:sz w:val="26"/>
          <w:szCs w:val="26"/>
        </w:rPr>
        <w:t xml:space="preserve"> a critical measuring tool in determining the cost effectiveness of</w:t>
      </w:r>
      <w:r w:rsidR="00926E2C">
        <w:rPr>
          <w:sz w:val="26"/>
          <w:szCs w:val="26"/>
        </w:rPr>
        <w:t xml:space="preserve"> an </w:t>
      </w:r>
      <w:r w:rsidR="00926E2C" w:rsidRPr="007733F3">
        <w:rPr>
          <w:sz w:val="26"/>
          <w:szCs w:val="26"/>
        </w:rPr>
        <w:t>EDCs’ EE&amp;C plans.</w:t>
      </w:r>
    </w:p>
    <w:p w:rsidR="00353B8C" w:rsidRDefault="00353B8C" w:rsidP="00353B8C">
      <w:pPr>
        <w:pStyle w:val="p3"/>
        <w:widowControl/>
        <w:tabs>
          <w:tab w:val="clear" w:pos="204"/>
        </w:tabs>
        <w:spacing w:line="360" w:lineRule="auto"/>
        <w:ind w:firstLine="720"/>
        <w:rPr>
          <w:sz w:val="26"/>
          <w:szCs w:val="26"/>
        </w:rPr>
      </w:pPr>
    </w:p>
    <w:p w:rsidR="00353B8C" w:rsidRDefault="00353B8C" w:rsidP="00353B8C">
      <w:pPr>
        <w:pStyle w:val="p3"/>
        <w:widowControl/>
        <w:tabs>
          <w:tab w:val="clear" w:pos="204"/>
        </w:tabs>
        <w:spacing w:line="360" w:lineRule="auto"/>
        <w:ind w:firstLine="720"/>
        <w:rPr>
          <w:sz w:val="26"/>
          <w:szCs w:val="26"/>
        </w:rPr>
      </w:pPr>
      <w:r w:rsidRPr="001B2FDE">
        <w:rPr>
          <w:bCs/>
          <w:sz w:val="26"/>
          <w:szCs w:val="26"/>
        </w:rPr>
        <w:t xml:space="preserve">The purpose of using the TRC </w:t>
      </w:r>
      <w:r w:rsidR="00436F29">
        <w:rPr>
          <w:bCs/>
          <w:sz w:val="26"/>
          <w:szCs w:val="26"/>
        </w:rPr>
        <w:t>T</w:t>
      </w:r>
      <w:r w:rsidRPr="001B2FDE">
        <w:rPr>
          <w:bCs/>
          <w:sz w:val="26"/>
          <w:szCs w:val="26"/>
        </w:rPr>
        <w:t xml:space="preserve">est to evaluate EE&amp;C programs is to track the relationship between the benefits to customers and the costs incurred to obtain those benefits.  The TRC </w:t>
      </w:r>
      <w:r w:rsidR="00436F29">
        <w:rPr>
          <w:bCs/>
          <w:sz w:val="26"/>
          <w:szCs w:val="26"/>
        </w:rPr>
        <w:t>T</w:t>
      </w:r>
      <w:r w:rsidRPr="001B2FDE">
        <w:rPr>
          <w:bCs/>
          <w:sz w:val="26"/>
          <w:szCs w:val="26"/>
        </w:rPr>
        <w:t xml:space="preserve">est has historically been a regulatory test.  Sections 2806.1(c)(3) and 2806.1(d)(2), as well as the definition of the TRC </w:t>
      </w:r>
      <w:r w:rsidR="00436F29">
        <w:rPr>
          <w:bCs/>
          <w:sz w:val="26"/>
          <w:szCs w:val="26"/>
        </w:rPr>
        <w:t>T</w:t>
      </w:r>
      <w:r w:rsidRPr="001B2FDE">
        <w:rPr>
          <w:bCs/>
          <w:sz w:val="26"/>
          <w:szCs w:val="26"/>
        </w:rPr>
        <w:t xml:space="preserve">est in Section 2806.1(m), provide that the TRC </w:t>
      </w:r>
      <w:r w:rsidR="00436F29">
        <w:rPr>
          <w:bCs/>
          <w:sz w:val="26"/>
          <w:szCs w:val="26"/>
        </w:rPr>
        <w:t>T</w:t>
      </w:r>
      <w:r w:rsidRPr="001B2FDE">
        <w:rPr>
          <w:bCs/>
          <w:sz w:val="26"/>
          <w:szCs w:val="26"/>
        </w:rPr>
        <w:t xml:space="preserve">est be used to determine whether ratepayers, as a whole, received more benefits (in reduced capacity, energy, transmission, and distribution costs) than the implementation costs of the EE&amp;C plans.  </w:t>
      </w:r>
    </w:p>
    <w:p w:rsidR="00353B8C" w:rsidRDefault="00353B8C" w:rsidP="00353B8C">
      <w:pPr>
        <w:pStyle w:val="p3"/>
        <w:widowControl/>
        <w:tabs>
          <w:tab w:val="clear" w:pos="204"/>
        </w:tabs>
        <w:spacing w:line="360" w:lineRule="auto"/>
        <w:ind w:firstLine="720"/>
        <w:rPr>
          <w:sz w:val="26"/>
          <w:szCs w:val="26"/>
        </w:rPr>
      </w:pPr>
    </w:p>
    <w:p w:rsidR="00353B8C" w:rsidRDefault="00353B8C" w:rsidP="00353B8C">
      <w:pPr>
        <w:pStyle w:val="p3"/>
        <w:widowControl/>
        <w:tabs>
          <w:tab w:val="clear" w:pos="204"/>
        </w:tabs>
        <w:spacing w:line="360" w:lineRule="auto"/>
        <w:ind w:firstLine="720"/>
        <w:rPr>
          <w:sz w:val="26"/>
          <w:szCs w:val="26"/>
        </w:rPr>
      </w:pPr>
      <w:r w:rsidRPr="007733F3">
        <w:rPr>
          <w:sz w:val="26"/>
          <w:szCs w:val="26"/>
        </w:rPr>
        <w:t xml:space="preserve">In determining how to structure the TRC </w:t>
      </w:r>
      <w:r w:rsidR="00436F29">
        <w:rPr>
          <w:sz w:val="26"/>
          <w:szCs w:val="26"/>
        </w:rPr>
        <w:t>T</w:t>
      </w:r>
      <w:r>
        <w:rPr>
          <w:sz w:val="26"/>
          <w:szCs w:val="26"/>
        </w:rPr>
        <w:t xml:space="preserve">est </w:t>
      </w:r>
      <w:r w:rsidRPr="007733F3">
        <w:rPr>
          <w:sz w:val="26"/>
          <w:szCs w:val="26"/>
        </w:rPr>
        <w:t xml:space="preserve">for </w:t>
      </w:r>
      <w:r>
        <w:rPr>
          <w:sz w:val="26"/>
          <w:szCs w:val="26"/>
        </w:rPr>
        <w:t xml:space="preserve">Phase I, the Commission chose to utilize </w:t>
      </w:r>
      <w:r>
        <w:rPr>
          <w:i/>
          <w:sz w:val="26"/>
          <w:szCs w:val="26"/>
        </w:rPr>
        <w:t xml:space="preserve">The California Standard Practice Manual – Economic Analysis of Demand-Side </w:t>
      </w:r>
      <w:r>
        <w:rPr>
          <w:i/>
          <w:sz w:val="26"/>
          <w:szCs w:val="26"/>
        </w:rPr>
        <w:lastRenderedPageBreak/>
        <w:t>Programs and Project</w:t>
      </w:r>
      <w:r>
        <w:rPr>
          <w:rStyle w:val="FootnoteReference"/>
          <w:sz w:val="26"/>
          <w:szCs w:val="26"/>
        </w:rPr>
        <w:footnoteReference w:id="3"/>
      </w:r>
      <w:r w:rsidR="00A42760" w:rsidRPr="00A42760">
        <w:rPr>
          <w:sz w:val="26"/>
          <w:szCs w:val="26"/>
        </w:rPr>
        <w:t>as</w:t>
      </w:r>
      <w:r w:rsidR="00A42760">
        <w:rPr>
          <w:sz w:val="26"/>
          <w:szCs w:val="26"/>
        </w:rPr>
        <w:t xml:space="preserve"> the basis for the PA TRC Test.</w:t>
      </w:r>
      <w:r>
        <w:rPr>
          <w:sz w:val="26"/>
          <w:szCs w:val="26"/>
        </w:rPr>
        <w:t xml:space="preserve">  </w:t>
      </w:r>
      <w:r w:rsidR="00926E2C">
        <w:rPr>
          <w:sz w:val="26"/>
          <w:szCs w:val="26"/>
        </w:rPr>
        <w:t xml:space="preserve">The PA TRC Test was last revised in 2011 at Docket No. </w:t>
      </w:r>
      <w:r w:rsidR="009F4859" w:rsidRPr="000F461D">
        <w:rPr>
          <w:sz w:val="26"/>
          <w:szCs w:val="26"/>
        </w:rPr>
        <w:t>M</w:t>
      </w:r>
      <w:r w:rsidR="0077547A">
        <w:rPr>
          <w:sz w:val="26"/>
          <w:szCs w:val="26"/>
        </w:rPr>
        <w:noBreakHyphen/>
      </w:r>
      <w:r w:rsidR="009F4859" w:rsidRPr="000F461D">
        <w:rPr>
          <w:sz w:val="26"/>
          <w:szCs w:val="26"/>
        </w:rPr>
        <w:t>2009-2108601</w:t>
      </w:r>
      <w:r w:rsidR="00926E2C">
        <w:rPr>
          <w:sz w:val="26"/>
          <w:szCs w:val="26"/>
        </w:rPr>
        <w:t>.</w:t>
      </w:r>
    </w:p>
    <w:p w:rsidR="00926E2C" w:rsidRDefault="00926E2C" w:rsidP="00353B8C">
      <w:pPr>
        <w:pStyle w:val="p3"/>
        <w:widowControl/>
        <w:tabs>
          <w:tab w:val="clear" w:pos="204"/>
        </w:tabs>
        <w:spacing w:line="360" w:lineRule="auto"/>
        <w:ind w:firstLine="720"/>
        <w:rPr>
          <w:sz w:val="26"/>
          <w:szCs w:val="26"/>
        </w:rPr>
      </w:pPr>
    </w:p>
    <w:p w:rsidR="00D4401A" w:rsidRPr="00D4401A" w:rsidRDefault="00926E2C" w:rsidP="00F347F1">
      <w:pPr>
        <w:pStyle w:val="p3"/>
        <w:widowControl/>
        <w:tabs>
          <w:tab w:val="clear" w:pos="204"/>
        </w:tabs>
        <w:spacing w:line="360" w:lineRule="auto"/>
        <w:ind w:firstLine="720"/>
        <w:rPr>
          <w:strike/>
          <w:sz w:val="26"/>
          <w:szCs w:val="26"/>
        </w:rPr>
      </w:pPr>
      <w:r>
        <w:rPr>
          <w:sz w:val="26"/>
          <w:szCs w:val="26"/>
        </w:rPr>
        <w:t xml:space="preserve">Relative to </w:t>
      </w:r>
      <w:r w:rsidR="003A5B5E">
        <w:rPr>
          <w:sz w:val="26"/>
          <w:szCs w:val="26"/>
        </w:rPr>
        <w:t xml:space="preserve">the proposed </w:t>
      </w:r>
      <w:r>
        <w:rPr>
          <w:sz w:val="26"/>
          <w:szCs w:val="26"/>
        </w:rPr>
        <w:t xml:space="preserve">Phase II, </w:t>
      </w:r>
      <w:r w:rsidR="00E90321">
        <w:rPr>
          <w:sz w:val="26"/>
          <w:szCs w:val="26"/>
        </w:rPr>
        <w:t>Act 129</w:t>
      </w:r>
      <w:r w:rsidR="00353B8C">
        <w:rPr>
          <w:sz w:val="26"/>
          <w:szCs w:val="26"/>
        </w:rPr>
        <w:t xml:space="preserve"> also</w:t>
      </w:r>
      <w:r w:rsidR="00E90321">
        <w:rPr>
          <w:sz w:val="26"/>
          <w:szCs w:val="26"/>
        </w:rPr>
        <w:t xml:space="preserve"> requires that the Commission determine if </w:t>
      </w:r>
      <w:r w:rsidR="00255DB6">
        <w:rPr>
          <w:sz w:val="26"/>
          <w:szCs w:val="26"/>
        </w:rPr>
        <w:t>energy efficiency</w:t>
      </w:r>
      <w:r w:rsidR="00E90321">
        <w:rPr>
          <w:sz w:val="26"/>
          <w:szCs w:val="26"/>
        </w:rPr>
        <w:t xml:space="preserve"> and </w:t>
      </w:r>
      <w:r w:rsidR="00255DB6">
        <w:rPr>
          <w:sz w:val="26"/>
          <w:szCs w:val="26"/>
        </w:rPr>
        <w:t>demand response</w:t>
      </w:r>
      <w:r w:rsidR="00E90321">
        <w:rPr>
          <w:sz w:val="26"/>
          <w:szCs w:val="26"/>
        </w:rPr>
        <w:t xml:space="preserve"> goals should be established beyond the Phase </w:t>
      </w:r>
      <w:r w:rsidR="006B1949">
        <w:rPr>
          <w:sz w:val="26"/>
          <w:szCs w:val="26"/>
        </w:rPr>
        <w:t>I</w:t>
      </w:r>
      <w:r w:rsidR="00E90321">
        <w:rPr>
          <w:sz w:val="26"/>
          <w:szCs w:val="26"/>
        </w:rPr>
        <w:t xml:space="preserve"> goals.  66 Pa.</w:t>
      </w:r>
      <w:r w:rsidR="0077547A">
        <w:rPr>
          <w:sz w:val="26"/>
          <w:szCs w:val="26"/>
        </w:rPr>
        <w:t xml:space="preserve"> </w:t>
      </w:r>
      <w:r w:rsidR="00E90321">
        <w:rPr>
          <w:sz w:val="26"/>
          <w:szCs w:val="26"/>
        </w:rPr>
        <w:t>C.S. §§ 2806.1(c)(3) and 2806.1(d)(2).  Phase II goals</w:t>
      </w:r>
      <w:r w:rsidR="003A5B5E">
        <w:rPr>
          <w:sz w:val="26"/>
          <w:szCs w:val="26"/>
        </w:rPr>
        <w:t xml:space="preserve"> have been proposed</w:t>
      </w:r>
      <w:r w:rsidR="00E90321">
        <w:rPr>
          <w:sz w:val="26"/>
          <w:szCs w:val="26"/>
        </w:rPr>
        <w:t xml:space="preserve"> at Docket No. </w:t>
      </w:r>
      <w:r w:rsidR="00375AD4" w:rsidRPr="00235CED">
        <w:rPr>
          <w:sz w:val="26"/>
          <w:szCs w:val="26"/>
        </w:rPr>
        <w:t>M</w:t>
      </w:r>
      <w:r w:rsidR="00375AD4" w:rsidRPr="00235CED">
        <w:rPr>
          <w:sz w:val="26"/>
          <w:szCs w:val="26"/>
        </w:rPr>
        <w:noBreakHyphen/>
        <w:t>20</w:t>
      </w:r>
      <w:r w:rsidR="00375AD4">
        <w:rPr>
          <w:sz w:val="26"/>
          <w:szCs w:val="26"/>
        </w:rPr>
        <w:t>12</w:t>
      </w:r>
      <w:r w:rsidR="00375AD4" w:rsidRPr="00235CED">
        <w:rPr>
          <w:sz w:val="26"/>
          <w:szCs w:val="26"/>
        </w:rPr>
        <w:noBreakHyphen/>
      </w:r>
      <w:r w:rsidR="00375AD4">
        <w:rPr>
          <w:sz w:val="26"/>
          <w:szCs w:val="26"/>
        </w:rPr>
        <w:t>2289411</w:t>
      </w:r>
      <w:r w:rsidR="00E90321">
        <w:rPr>
          <w:sz w:val="26"/>
          <w:szCs w:val="26"/>
        </w:rPr>
        <w:t xml:space="preserve">.  </w:t>
      </w:r>
      <w:r w:rsidR="003A5B5E">
        <w:rPr>
          <w:sz w:val="26"/>
          <w:szCs w:val="26"/>
        </w:rPr>
        <w:t>Should the Commission determine</w:t>
      </w:r>
      <w:r w:rsidR="00E90321">
        <w:rPr>
          <w:sz w:val="26"/>
          <w:szCs w:val="26"/>
        </w:rPr>
        <w:t xml:space="preserve"> that we will proceed with Phase II, </w:t>
      </w:r>
      <w:r w:rsidR="003A5B5E">
        <w:rPr>
          <w:sz w:val="26"/>
          <w:szCs w:val="26"/>
        </w:rPr>
        <w:t>it will be necessary to</w:t>
      </w:r>
      <w:r>
        <w:rPr>
          <w:sz w:val="26"/>
          <w:szCs w:val="26"/>
        </w:rPr>
        <w:t xml:space="preserve"> </w:t>
      </w:r>
      <w:r w:rsidR="00E90321">
        <w:rPr>
          <w:sz w:val="26"/>
          <w:szCs w:val="26"/>
        </w:rPr>
        <w:t>address the cost/benefit measurement for Phase II.</w:t>
      </w:r>
      <w:r>
        <w:rPr>
          <w:sz w:val="26"/>
          <w:szCs w:val="26"/>
        </w:rPr>
        <w:t xml:space="preserve">  </w:t>
      </w:r>
      <w:r w:rsidR="00A250C5">
        <w:rPr>
          <w:sz w:val="26"/>
          <w:szCs w:val="26"/>
        </w:rPr>
        <w:t>In order to allow for adequate planning for the proposed Phase II, the</w:t>
      </w:r>
      <w:r w:rsidR="000D76E5">
        <w:rPr>
          <w:sz w:val="26"/>
          <w:szCs w:val="26"/>
        </w:rPr>
        <w:t xml:space="preserve"> Commission has chosen to </w:t>
      </w:r>
      <w:r w:rsidR="000B43EE">
        <w:rPr>
          <w:sz w:val="26"/>
          <w:szCs w:val="26"/>
        </w:rPr>
        <w:t xml:space="preserve">put forth this Order which </w:t>
      </w:r>
      <w:r>
        <w:rPr>
          <w:sz w:val="26"/>
          <w:szCs w:val="26"/>
        </w:rPr>
        <w:t>build</w:t>
      </w:r>
      <w:r w:rsidR="000B43EE">
        <w:rPr>
          <w:sz w:val="26"/>
          <w:szCs w:val="26"/>
        </w:rPr>
        <w:t>s</w:t>
      </w:r>
      <w:r>
        <w:rPr>
          <w:sz w:val="26"/>
          <w:szCs w:val="26"/>
        </w:rPr>
        <w:t xml:space="preserve"> on the 2011</w:t>
      </w:r>
      <w:r w:rsidR="0096027B">
        <w:rPr>
          <w:sz w:val="26"/>
          <w:szCs w:val="26"/>
        </w:rPr>
        <w:t xml:space="preserve"> TRC </w:t>
      </w:r>
      <w:r w:rsidR="00436F29">
        <w:rPr>
          <w:sz w:val="26"/>
          <w:szCs w:val="26"/>
        </w:rPr>
        <w:t xml:space="preserve">Test </w:t>
      </w:r>
      <w:r w:rsidR="00570D97">
        <w:rPr>
          <w:sz w:val="26"/>
          <w:szCs w:val="26"/>
        </w:rPr>
        <w:t xml:space="preserve">and the </w:t>
      </w:r>
      <w:r w:rsidR="00570D97">
        <w:rPr>
          <w:i/>
          <w:sz w:val="26"/>
          <w:szCs w:val="26"/>
        </w:rPr>
        <w:t xml:space="preserve">California Manual </w:t>
      </w:r>
      <w:r w:rsidR="0096027B">
        <w:rPr>
          <w:sz w:val="26"/>
          <w:szCs w:val="26"/>
        </w:rPr>
        <w:t>for the c</w:t>
      </w:r>
      <w:r w:rsidR="000D76E5">
        <w:rPr>
          <w:sz w:val="26"/>
          <w:szCs w:val="26"/>
        </w:rPr>
        <w:t xml:space="preserve">ost-benefit analysis </w:t>
      </w:r>
      <w:r w:rsidR="0096027B">
        <w:rPr>
          <w:sz w:val="26"/>
          <w:szCs w:val="26"/>
        </w:rPr>
        <w:t xml:space="preserve">of EE&amp;C plans </w:t>
      </w:r>
      <w:r w:rsidR="000D76E5">
        <w:rPr>
          <w:sz w:val="26"/>
          <w:szCs w:val="26"/>
        </w:rPr>
        <w:t xml:space="preserve">for </w:t>
      </w:r>
      <w:r w:rsidR="000B43EE">
        <w:rPr>
          <w:sz w:val="26"/>
          <w:szCs w:val="26"/>
        </w:rPr>
        <w:t xml:space="preserve">the proposed </w:t>
      </w:r>
      <w:r w:rsidR="000D76E5">
        <w:rPr>
          <w:sz w:val="26"/>
          <w:szCs w:val="26"/>
        </w:rPr>
        <w:t xml:space="preserve">Phase II.  </w:t>
      </w:r>
      <w:r>
        <w:rPr>
          <w:sz w:val="26"/>
          <w:szCs w:val="26"/>
        </w:rPr>
        <w:t xml:space="preserve">As determined </w:t>
      </w:r>
      <w:r w:rsidR="00570D97">
        <w:rPr>
          <w:sz w:val="26"/>
          <w:szCs w:val="26"/>
        </w:rPr>
        <w:t xml:space="preserve">during </w:t>
      </w:r>
      <w:r>
        <w:rPr>
          <w:sz w:val="26"/>
          <w:szCs w:val="26"/>
        </w:rPr>
        <w:t xml:space="preserve"> Phase I, the </w:t>
      </w:r>
      <w:r>
        <w:rPr>
          <w:i/>
          <w:sz w:val="26"/>
          <w:szCs w:val="26"/>
        </w:rPr>
        <w:t xml:space="preserve">California Manual </w:t>
      </w:r>
      <w:r>
        <w:rPr>
          <w:sz w:val="26"/>
          <w:szCs w:val="26"/>
        </w:rPr>
        <w:t>does not address all issues specific to Pennsylvania.  For this reason, the Commission will continue to explore how best to structure and apply the TRC Test for Pennsylvania.</w:t>
      </w:r>
      <w:r w:rsidR="00570D97" w:rsidRPr="007733F3" w:rsidDel="00570D97">
        <w:rPr>
          <w:sz w:val="26"/>
          <w:szCs w:val="26"/>
        </w:rPr>
        <w:t xml:space="preserve"> </w:t>
      </w:r>
      <w:r w:rsidR="00D4401A" w:rsidRPr="00D4401A">
        <w:rPr>
          <w:bCs/>
          <w:sz w:val="26"/>
          <w:szCs w:val="26"/>
        </w:rPr>
        <w:t xml:space="preserve">The TRC </w:t>
      </w:r>
      <w:r w:rsidR="00436F29">
        <w:rPr>
          <w:bCs/>
          <w:sz w:val="26"/>
          <w:szCs w:val="26"/>
        </w:rPr>
        <w:t>T</w:t>
      </w:r>
      <w:r w:rsidR="00D4401A" w:rsidRPr="00D4401A">
        <w:rPr>
          <w:bCs/>
          <w:sz w:val="26"/>
          <w:szCs w:val="26"/>
        </w:rPr>
        <w:t xml:space="preserve">est </w:t>
      </w:r>
      <w:r w:rsidR="00A250C5" w:rsidRPr="00D4401A">
        <w:rPr>
          <w:bCs/>
          <w:sz w:val="26"/>
          <w:szCs w:val="26"/>
        </w:rPr>
        <w:t>for</w:t>
      </w:r>
      <w:r w:rsidR="00A250C5">
        <w:rPr>
          <w:bCs/>
          <w:sz w:val="26"/>
          <w:szCs w:val="26"/>
        </w:rPr>
        <w:t xml:space="preserve"> the proposed </w:t>
      </w:r>
      <w:r w:rsidR="00D4401A" w:rsidRPr="00D4401A">
        <w:rPr>
          <w:bCs/>
          <w:sz w:val="26"/>
          <w:szCs w:val="26"/>
        </w:rPr>
        <w:t xml:space="preserve">Phase II </w:t>
      </w:r>
      <w:r w:rsidR="00A250C5">
        <w:rPr>
          <w:bCs/>
          <w:sz w:val="26"/>
          <w:szCs w:val="26"/>
        </w:rPr>
        <w:t>would</w:t>
      </w:r>
      <w:r w:rsidR="00A250C5" w:rsidRPr="00D4401A">
        <w:rPr>
          <w:bCs/>
          <w:sz w:val="26"/>
          <w:szCs w:val="26"/>
        </w:rPr>
        <w:t xml:space="preserve"> </w:t>
      </w:r>
      <w:r w:rsidR="00D4401A" w:rsidRPr="00D4401A">
        <w:rPr>
          <w:bCs/>
          <w:sz w:val="26"/>
          <w:szCs w:val="26"/>
        </w:rPr>
        <w:t xml:space="preserve">be applicable throughout the course of Phase II, </w:t>
      </w:r>
      <w:r w:rsidR="00A250C5">
        <w:rPr>
          <w:bCs/>
          <w:sz w:val="26"/>
          <w:szCs w:val="26"/>
        </w:rPr>
        <w:t xml:space="preserve">potentially </w:t>
      </w:r>
      <w:r w:rsidR="00D4401A" w:rsidRPr="00D4401A">
        <w:rPr>
          <w:bCs/>
          <w:sz w:val="26"/>
          <w:szCs w:val="26"/>
        </w:rPr>
        <w:t xml:space="preserve">concluding May 31, 2016.  However, many issues involved in the EE&amp;C plans, program implementation, and operation of the TRC </w:t>
      </w:r>
      <w:r w:rsidR="00436F29">
        <w:rPr>
          <w:bCs/>
          <w:sz w:val="26"/>
          <w:szCs w:val="26"/>
        </w:rPr>
        <w:t>T</w:t>
      </w:r>
      <w:r w:rsidR="00D4401A" w:rsidRPr="00D4401A">
        <w:rPr>
          <w:bCs/>
          <w:sz w:val="26"/>
          <w:szCs w:val="26"/>
        </w:rPr>
        <w:t>est are ongoing in nature</w:t>
      </w:r>
      <w:r w:rsidR="00570D97">
        <w:rPr>
          <w:bCs/>
          <w:sz w:val="26"/>
          <w:szCs w:val="26"/>
        </w:rPr>
        <w:t>,</w:t>
      </w:r>
      <w:r w:rsidR="00D4401A" w:rsidRPr="00D4401A">
        <w:rPr>
          <w:bCs/>
          <w:sz w:val="26"/>
          <w:szCs w:val="26"/>
        </w:rPr>
        <w:t xml:space="preserve"> and future updates may be proposed by stakeholders or the Commission as needed.  </w:t>
      </w:r>
    </w:p>
    <w:p w:rsidR="00615BDE" w:rsidRPr="0077547A" w:rsidRDefault="00615BDE" w:rsidP="00F347F1">
      <w:pPr>
        <w:overflowPunct/>
        <w:autoSpaceDE/>
        <w:autoSpaceDN/>
        <w:adjustRightInd/>
        <w:spacing w:line="360" w:lineRule="auto"/>
        <w:textAlignment w:val="auto"/>
        <w:rPr>
          <w:sz w:val="28"/>
          <w:szCs w:val="28"/>
        </w:rPr>
      </w:pPr>
    </w:p>
    <w:p w:rsidR="009D11F2" w:rsidRPr="00D46558" w:rsidRDefault="0077547A" w:rsidP="0077547A">
      <w:pPr>
        <w:pStyle w:val="p3"/>
        <w:keepNext/>
        <w:widowControl/>
        <w:numPr>
          <w:ilvl w:val="0"/>
          <w:numId w:val="25"/>
        </w:numPr>
        <w:tabs>
          <w:tab w:val="clear" w:pos="204"/>
        </w:tabs>
        <w:spacing w:line="480" w:lineRule="auto"/>
        <w:ind w:left="720"/>
        <w:rPr>
          <w:sz w:val="26"/>
          <w:szCs w:val="26"/>
        </w:rPr>
      </w:pPr>
      <w:r w:rsidRPr="00D46558">
        <w:rPr>
          <w:b/>
          <w:sz w:val="26"/>
          <w:szCs w:val="26"/>
        </w:rPr>
        <w:t>TRC TEST EXPLAINED</w:t>
      </w:r>
      <w:r w:rsidRPr="00D46558">
        <w:rPr>
          <w:sz w:val="26"/>
          <w:szCs w:val="26"/>
        </w:rPr>
        <w:t xml:space="preserve"> </w:t>
      </w:r>
    </w:p>
    <w:p w:rsidR="00353B8C" w:rsidRPr="007733F3" w:rsidRDefault="00353B8C" w:rsidP="00353B8C">
      <w:pPr>
        <w:pStyle w:val="p3"/>
        <w:widowControl/>
        <w:spacing w:line="360" w:lineRule="auto"/>
        <w:ind w:firstLine="720"/>
        <w:rPr>
          <w:sz w:val="26"/>
          <w:szCs w:val="26"/>
        </w:rPr>
      </w:pPr>
      <w:r>
        <w:rPr>
          <w:sz w:val="26"/>
          <w:szCs w:val="26"/>
        </w:rPr>
        <w:t>T</w:t>
      </w:r>
      <w:r w:rsidRPr="007733F3">
        <w:rPr>
          <w:sz w:val="26"/>
          <w:szCs w:val="26"/>
        </w:rPr>
        <w:t xml:space="preserve">he </w:t>
      </w:r>
      <w:r>
        <w:rPr>
          <w:sz w:val="26"/>
          <w:szCs w:val="26"/>
        </w:rPr>
        <w:t>P</w:t>
      </w:r>
      <w:r w:rsidR="00F12808">
        <w:rPr>
          <w:sz w:val="26"/>
          <w:szCs w:val="26"/>
        </w:rPr>
        <w:t>A</w:t>
      </w:r>
      <w:r>
        <w:rPr>
          <w:sz w:val="26"/>
          <w:szCs w:val="26"/>
        </w:rPr>
        <w:t xml:space="preserve"> </w:t>
      </w:r>
      <w:r w:rsidRPr="007733F3">
        <w:rPr>
          <w:sz w:val="26"/>
          <w:szCs w:val="26"/>
        </w:rPr>
        <w:t xml:space="preserve">TRC </w:t>
      </w:r>
      <w:r w:rsidR="00436F29">
        <w:rPr>
          <w:sz w:val="26"/>
          <w:szCs w:val="26"/>
        </w:rPr>
        <w:t>T</w:t>
      </w:r>
      <w:r w:rsidRPr="007733F3">
        <w:rPr>
          <w:sz w:val="26"/>
          <w:szCs w:val="26"/>
        </w:rPr>
        <w:t>est take</w:t>
      </w:r>
      <w:r>
        <w:rPr>
          <w:sz w:val="26"/>
          <w:szCs w:val="26"/>
        </w:rPr>
        <w:t>s</w:t>
      </w:r>
      <w:r w:rsidRPr="007733F3">
        <w:rPr>
          <w:sz w:val="26"/>
          <w:szCs w:val="26"/>
        </w:rPr>
        <w:t xml:space="preserve"> into account the combined effects of an EDC’s EE&amp;C plan on both participating and non-participating customers based on the costs incurred by both the EDC and any participating customers.  In addition, the benefits calculated </w:t>
      </w:r>
      <w:r w:rsidR="00F12808">
        <w:rPr>
          <w:sz w:val="26"/>
          <w:szCs w:val="26"/>
        </w:rPr>
        <w:t xml:space="preserve">for use </w:t>
      </w:r>
      <w:r w:rsidRPr="007733F3">
        <w:rPr>
          <w:sz w:val="26"/>
          <w:szCs w:val="26"/>
        </w:rPr>
        <w:t xml:space="preserve">in the TRC </w:t>
      </w:r>
      <w:r w:rsidR="00436F29">
        <w:rPr>
          <w:sz w:val="26"/>
          <w:szCs w:val="26"/>
        </w:rPr>
        <w:t>T</w:t>
      </w:r>
      <w:r w:rsidRPr="007733F3">
        <w:rPr>
          <w:sz w:val="26"/>
          <w:szCs w:val="26"/>
        </w:rPr>
        <w:t>est include the avoided supply costs, such as the reduction in transmission, distribution, generation</w:t>
      </w:r>
      <w:r>
        <w:rPr>
          <w:sz w:val="26"/>
          <w:szCs w:val="26"/>
        </w:rPr>
        <w:t>,</w:t>
      </w:r>
      <w:r w:rsidRPr="007733F3">
        <w:rPr>
          <w:sz w:val="26"/>
          <w:szCs w:val="26"/>
        </w:rPr>
        <w:t xml:space="preserve"> and capacity costs valued at marginal cost for the </w:t>
      </w:r>
      <w:r w:rsidRPr="007733F3">
        <w:rPr>
          <w:sz w:val="26"/>
          <w:szCs w:val="26"/>
        </w:rPr>
        <w:lastRenderedPageBreak/>
        <w:t>periods when there is a consumption reduction.</w:t>
      </w:r>
      <w:r>
        <w:rPr>
          <w:rStyle w:val="FootnoteReference"/>
          <w:sz w:val="26"/>
          <w:szCs w:val="26"/>
        </w:rPr>
        <w:footnoteReference w:id="4"/>
      </w:r>
      <w:r w:rsidRPr="007733F3">
        <w:rPr>
          <w:sz w:val="26"/>
          <w:szCs w:val="26"/>
        </w:rPr>
        <w:t xml:space="preserve">  The avoided supply costs </w:t>
      </w:r>
      <w:r>
        <w:rPr>
          <w:sz w:val="26"/>
          <w:szCs w:val="26"/>
        </w:rPr>
        <w:t>are</w:t>
      </w:r>
      <w:r w:rsidRPr="007733F3">
        <w:rPr>
          <w:sz w:val="26"/>
          <w:szCs w:val="26"/>
        </w:rPr>
        <w:t xml:space="preserve"> calculated using net program savings</w:t>
      </w:r>
      <w:r w:rsidR="00F12808">
        <w:rPr>
          <w:sz w:val="26"/>
          <w:szCs w:val="26"/>
        </w:rPr>
        <w:t xml:space="preserve">, </w:t>
      </w:r>
      <w:r w:rsidR="00F12808" w:rsidRPr="00FC22D8">
        <w:rPr>
          <w:i/>
          <w:sz w:val="26"/>
          <w:szCs w:val="26"/>
        </w:rPr>
        <w:t>i.e</w:t>
      </w:r>
      <w:r w:rsidR="00F12808">
        <w:rPr>
          <w:i/>
          <w:sz w:val="26"/>
          <w:szCs w:val="26"/>
        </w:rPr>
        <w:t>.</w:t>
      </w:r>
      <w:r w:rsidR="00F12808" w:rsidRPr="00F12808">
        <w:rPr>
          <w:sz w:val="26"/>
          <w:szCs w:val="26"/>
        </w:rPr>
        <w:t>,</w:t>
      </w:r>
      <w:r w:rsidRPr="007733F3">
        <w:rPr>
          <w:sz w:val="26"/>
          <w:szCs w:val="26"/>
        </w:rPr>
        <w:t xml:space="preserve"> savings net of changes in energy use that would have happened in the absence of the program.  The persistence of savings over time </w:t>
      </w:r>
      <w:r>
        <w:rPr>
          <w:sz w:val="26"/>
          <w:szCs w:val="26"/>
        </w:rPr>
        <w:t>is also</w:t>
      </w:r>
      <w:r w:rsidRPr="007733F3">
        <w:rPr>
          <w:sz w:val="26"/>
          <w:szCs w:val="26"/>
        </w:rPr>
        <w:t xml:space="preserve"> considered in the net savings.</w:t>
      </w:r>
    </w:p>
    <w:p w:rsidR="00353B8C" w:rsidRPr="007733F3" w:rsidRDefault="00353B8C" w:rsidP="00353B8C">
      <w:pPr>
        <w:pStyle w:val="p3"/>
        <w:widowControl/>
        <w:spacing w:line="360" w:lineRule="auto"/>
        <w:rPr>
          <w:sz w:val="26"/>
          <w:szCs w:val="26"/>
        </w:rPr>
      </w:pPr>
    </w:p>
    <w:p w:rsidR="00353B8C" w:rsidRDefault="00353B8C" w:rsidP="00353B8C">
      <w:pPr>
        <w:pStyle w:val="p3"/>
        <w:widowControl/>
        <w:spacing w:line="360" w:lineRule="auto"/>
        <w:ind w:firstLine="720"/>
        <w:rPr>
          <w:sz w:val="26"/>
          <w:szCs w:val="26"/>
        </w:rPr>
      </w:pPr>
      <w:r w:rsidRPr="007733F3">
        <w:rPr>
          <w:sz w:val="26"/>
          <w:szCs w:val="26"/>
        </w:rPr>
        <w:t xml:space="preserve">Further, the costs </w:t>
      </w:r>
      <w:r w:rsidR="00442E95">
        <w:rPr>
          <w:sz w:val="26"/>
          <w:szCs w:val="26"/>
        </w:rPr>
        <w:t>used</w:t>
      </w:r>
      <w:r w:rsidRPr="007733F3">
        <w:rPr>
          <w:sz w:val="26"/>
          <w:szCs w:val="26"/>
        </w:rPr>
        <w:t xml:space="preserve"> in the TRC </w:t>
      </w:r>
      <w:r w:rsidR="00436F29">
        <w:rPr>
          <w:sz w:val="26"/>
          <w:szCs w:val="26"/>
        </w:rPr>
        <w:t>T</w:t>
      </w:r>
      <w:r w:rsidRPr="007733F3">
        <w:rPr>
          <w:sz w:val="26"/>
          <w:szCs w:val="26"/>
        </w:rPr>
        <w:t xml:space="preserve">est include the costs of the various programs paid by an EDC (or </w:t>
      </w:r>
      <w:r>
        <w:rPr>
          <w:sz w:val="26"/>
          <w:szCs w:val="26"/>
        </w:rPr>
        <w:t>a default service provider</w:t>
      </w:r>
      <w:r w:rsidRPr="007733F3">
        <w:rPr>
          <w:sz w:val="26"/>
          <w:szCs w:val="26"/>
        </w:rPr>
        <w:t>) and the participating customers,</w:t>
      </w:r>
      <w:r>
        <w:rPr>
          <w:rStyle w:val="FootnoteReference"/>
          <w:sz w:val="26"/>
          <w:szCs w:val="26"/>
        </w:rPr>
        <w:footnoteReference w:id="5"/>
      </w:r>
      <w:r w:rsidRPr="007733F3">
        <w:rPr>
          <w:sz w:val="26"/>
          <w:szCs w:val="26"/>
        </w:rPr>
        <w:t xml:space="preserve"> </w:t>
      </w:r>
      <w:r>
        <w:rPr>
          <w:sz w:val="26"/>
          <w:szCs w:val="26"/>
        </w:rPr>
        <w:t xml:space="preserve">and reflect any net change </w:t>
      </w:r>
      <w:r w:rsidRPr="007733F3">
        <w:rPr>
          <w:sz w:val="26"/>
          <w:szCs w:val="26"/>
        </w:rPr>
        <w:t>in supply costs for the periods in which consumption is increased</w:t>
      </w:r>
      <w:r>
        <w:rPr>
          <w:sz w:val="26"/>
          <w:szCs w:val="26"/>
        </w:rPr>
        <w:t xml:space="preserve"> in the event of load shifting</w:t>
      </w:r>
      <w:r w:rsidRPr="007733F3">
        <w:rPr>
          <w:sz w:val="26"/>
          <w:szCs w:val="26"/>
        </w:rPr>
        <w:t xml:space="preserve">.  Thus, for example, equipment, installation, operation and maintenance costs, cost of removal (less salvage value), and administrative costs, regardless of who pays for them, </w:t>
      </w:r>
      <w:r>
        <w:rPr>
          <w:sz w:val="26"/>
          <w:szCs w:val="26"/>
        </w:rPr>
        <w:t>are</w:t>
      </w:r>
      <w:r w:rsidRPr="007733F3">
        <w:rPr>
          <w:sz w:val="26"/>
          <w:szCs w:val="26"/>
        </w:rPr>
        <w:t xml:space="preserve"> included.</w:t>
      </w:r>
      <w:r>
        <w:rPr>
          <w:sz w:val="26"/>
          <w:szCs w:val="26"/>
        </w:rPr>
        <w:t xml:space="preserve">  </w:t>
      </w:r>
    </w:p>
    <w:p w:rsidR="0077547A" w:rsidRDefault="0077547A" w:rsidP="00353B8C">
      <w:pPr>
        <w:pStyle w:val="p3"/>
        <w:widowControl/>
        <w:spacing w:line="360" w:lineRule="auto"/>
        <w:ind w:firstLine="720"/>
        <w:rPr>
          <w:sz w:val="26"/>
          <w:szCs w:val="26"/>
        </w:rPr>
      </w:pPr>
    </w:p>
    <w:p w:rsidR="00353B8C" w:rsidRPr="007733F3" w:rsidRDefault="00353B8C" w:rsidP="00353B8C">
      <w:pPr>
        <w:pStyle w:val="p3"/>
        <w:widowControl/>
        <w:tabs>
          <w:tab w:val="clear" w:pos="204"/>
        </w:tabs>
        <w:spacing w:line="360" w:lineRule="auto"/>
        <w:rPr>
          <w:sz w:val="26"/>
          <w:szCs w:val="26"/>
        </w:rPr>
      </w:pPr>
      <w:r w:rsidRPr="007733F3">
        <w:rPr>
          <w:sz w:val="26"/>
          <w:szCs w:val="26"/>
        </w:rPr>
        <w:tab/>
      </w:r>
      <w:r>
        <w:rPr>
          <w:sz w:val="26"/>
          <w:szCs w:val="26"/>
        </w:rPr>
        <w:t xml:space="preserve">The </w:t>
      </w:r>
      <w:r w:rsidRPr="007733F3">
        <w:rPr>
          <w:sz w:val="26"/>
          <w:szCs w:val="26"/>
        </w:rPr>
        <w:t xml:space="preserve">results of the TRC </w:t>
      </w:r>
      <w:r w:rsidR="00436F29">
        <w:rPr>
          <w:sz w:val="26"/>
          <w:szCs w:val="26"/>
        </w:rPr>
        <w:t>T</w:t>
      </w:r>
      <w:r w:rsidRPr="007733F3">
        <w:rPr>
          <w:sz w:val="26"/>
          <w:szCs w:val="26"/>
        </w:rPr>
        <w:t>est are expressed as both a net present value (NPV) and a benefit-cost ratio (B/C ratio).  The NPV is the discounted value of the net benefits of this test over a specified period of time</w:t>
      </w:r>
      <w:r>
        <w:rPr>
          <w:sz w:val="26"/>
          <w:szCs w:val="26"/>
        </w:rPr>
        <w:t xml:space="preserve">, </w:t>
      </w:r>
      <w:r>
        <w:rPr>
          <w:i/>
          <w:sz w:val="26"/>
          <w:szCs w:val="26"/>
        </w:rPr>
        <w:t>i.e.</w:t>
      </w:r>
      <w:r>
        <w:rPr>
          <w:sz w:val="26"/>
          <w:szCs w:val="26"/>
        </w:rPr>
        <w:t>, the expected useful life of the energy efficiency measure</w:t>
      </w:r>
      <w:r w:rsidRPr="007733F3">
        <w:rPr>
          <w:sz w:val="26"/>
          <w:szCs w:val="26"/>
        </w:rPr>
        <w:t>.  The NPV is a measure of the change in the total resource costs due to the program.  An NPV above zero indicates that the program is a less expensive resource than the supply option upon which the marginal costs are based</w:t>
      </w:r>
      <w:r w:rsidRPr="008D05AB">
        <w:rPr>
          <w:sz w:val="26"/>
          <w:szCs w:val="26"/>
        </w:rPr>
        <w:t>.  A discount rate must be established to calculate the net present value.  The discount rate fo</w:t>
      </w:r>
      <w:r>
        <w:rPr>
          <w:sz w:val="26"/>
          <w:szCs w:val="26"/>
        </w:rPr>
        <w:t xml:space="preserve">r the Pennsylvania TRC </w:t>
      </w:r>
      <w:r w:rsidR="00436F29">
        <w:rPr>
          <w:sz w:val="26"/>
          <w:szCs w:val="26"/>
        </w:rPr>
        <w:t>T</w:t>
      </w:r>
      <w:r>
        <w:rPr>
          <w:sz w:val="26"/>
          <w:szCs w:val="26"/>
        </w:rPr>
        <w:t>est is the EDC’s weighted average cost of capital.</w:t>
      </w:r>
    </w:p>
    <w:p w:rsidR="00353B8C" w:rsidRDefault="00353B8C" w:rsidP="00353B8C">
      <w:pPr>
        <w:pStyle w:val="p3"/>
        <w:widowControl/>
        <w:tabs>
          <w:tab w:val="clear" w:pos="204"/>
        </w:tabs>
        <w:spacing w:line="360" w:lineRule="auto"/>
        <w:rPr>
          <w:sz w:val="26"/>
          <w:szCs w:val="26"/>
        </w:rPr>
      </w:pPr>
    </w:p>
    <w:p w:rsidR="00353B8C" w:rsidRDefault="00353B8C" w:rsidP="0066376D">
      <w:pPr>
        <w:pStyle w:val="p3"/>
        <w:widowControl/>
        <w:spacing w:line="360" w:lineRule="auto"/>
        <w:ind w:firstLine="720"/>
        <w:rPr>
          <w:sz w:val="26"/>
          <w:szCs w:val="26"/>
        </w:rPr>
      </w:pPr>
      <w:r w:rsidRPr="007733F3">
        <w:rPr>
          <w:sz w:val="26"/>
          <w:szCs w:val="26"/>
        </w:rPr>
        <w:t xml:space="preserve">The B/C ratio is the ratio of the discounted total benefits of the program to the discounted total costs over </w:t>
      </w:r>
      <w:r>
        <w:rPr>
          <w:sz w:val="26"/>
          <w:szCs w:val="26"/>
        </w:rPr>
        <w:t>the expected useful life of the energy efficiency measure.</w:t>
      </w:r>
      <w:r w:rsidRPr="007733F3">
        <w:rPr>
          <w:sz w:val="26"/>
          <w:szCs w:val="26"/>
        </w:rPr>
        <w:t xml:space="preserve">  The B/C </w:t>
      </w:r>
      <w:r>
        <w:rPr>
          <w:sz w:val="26"/>
          <w:szCs w:val="26"/>
        </w:rPr>
        <w:t xml:space="preserve">ratio </w:t>
      </w:r>
      <w:r w:rsidRPr="007733F3">
        <w:rPr>
          <w:sz w:val="26"/>
          <w:szCs w:val="26"/>
        </w:rPr>
        <w:t xml:space="preserve">gives an indication of the rate of return of this program to the utility and its ratepayers.  A B/C ratio </w:t>
      </w:r>
      <w:r w:rsidR="00E45C88">
        <w:rPr>
          <w:sz w:val="26"/>
          <w:szCs w:val="26"/>
        </w:rPr>
        <w:t xml:space="preserve">greater than </w:t>
      </w:r>
      <w:r w:rsidRPr="007733F3">
        <w:rPr>
          <w:sz w:val="26"/>
          <w:szCs w:val="26"/>
        </w:rPr>
        <w:t xml:space="preserve">one indicates that the program is beneficial to the </w:t>
      </w:r>
      <w:r w:rsidRPr="007733F3">
        <w:rPr>
          <w:sz w:val="26"/>
          <w:szCs w:val="26"/>
        </w:rPr>
        <w:lastRenderedPageBreak/>
        <w:t>utility and its ratepayers on a total resource cost basis.</w:t>
      </w:r>
      <w:r w:rsidRPr="007733F3">
        <w:rPr>
          <w:rStyle w:val="FootnoteReference"/>
          <w:sz w:val="26"/>
          <w:szCs w:val="26"/>
        </w:rPr>
        <w:footnoteReference w:id="6"/>
      </w:r>
      <w:r w:rsidRPr="007733F3">
        <w:rPr>
          <w:sz w:val="26"/>
          <w:szCs w:val="26"/>
        </w:rPr>
        <w:t xml:space="preserve"> </w:t>
      </w:r>
      <w:r>
        <w:rPr>
          <w:sz w:val="26"/>
          <w:szCs w:val="26"/>
        </w:rPr>
        <w:t xml:space="preserve"> </w:t>
      </w:r>
      <w:r w:rsidRPr="007733F3">
        <w:rPr>
          <w:sz w:val="26"/>
          <w:szCs w:val="26"/>
        </w:rPr>
        <w:t>The explicit formulae for use in Pennsylvania are set forth in Appendix</w:t>
      </w:r>
      <w:r>
        <w:rPr>
          <w:sz w:val="26"/>
          <w:szCs w:val="26"/>
        </w:rPr>
        <w:t xml:space="preserve"> A of</w:t>
      </w:r>
      <w:r w:rsidRPr="007733F3">
        <w:rPr>
          <w:sz w:val="26"/>
          <w:szCs w:val="26"/>
        </w:rPr>
        <w:t xml:space="preserve"> this order.</w:t>
      </w:r>
      <w:r>
        <w:rPr>
          <w:sz w:val="26"/>
          <w:szCs w:val="26"/>
        </w:rPr>
        <w:t xml:space="preserve">  </w:t>
      </w:r>
    </w:p>
    <w:p w:rsidR="00353B8C" w:rsidRDefault="00353B8C" w:rsidP="00353B8C">
      <w:pPr>
        <w:pStyle w:val="p3"/>
        <w:widowControl/>
        <w:tabs>
          <w:tab w:val="clear" w:pos="204"/>
        </w:tabs>
        <w:spacing w:line="360" w:lineRule="auto"/>
        <w:ind w:firstLine="720"/>
        <w:rPr>
          <w:sz w:val="26"/>
          <w:szCs w:val="26"/>
        </w:rPr>
      </w:pPr>
    </w:p>
    <w:p w:rsidR="003E61C1" w:rsidRPr="0066376D" w:rsidRDefault="0077547A" w:rsidP="0077547A">
      <w:pPr>
        <w:pStyle w:val="p3"/>
        <w:widowControl/>
        <w:numPr>
          <w:ilvl w:val="0"/>
          <w:numId w:val="25"/>
        </w:numPr>
        <w:tabs>
          <w:tab w:val="clear" w:pos="204"/>
        </w:tabs>
        <w:spacing w:line="480" w:lineRule="auto"/>
        <w:ind w:left="720"/>
        <w:rPr>
          <w:sz w:val="26"/>
          <w:szCs w:val="26"/>
        </w:rPr>
      </w:pPr>
      <w:r w:rsidRPr="00522824">
        <w:rPr>
          <w:b/>
          <w:sz w:val="26"/>
          <w:szCs w:val="26"/>
        </w:rPr>
        <w:t>TRC TEST TOPICS</w:t>
      </w:r>
    </w:p>
    <w:p w:rsidR="0067250C" w:rsidRPr="0067250C" w:rsidRDefault="0067250C" w:rsidP="0066376D">
      <w:pPr>
        <w:pStyle w:val="p3"/>
        <w:widowControl/>
        <w:numPr>
          <w:ilvl w:val="0"/>
          <w:numId w:val="26"/>
        </w:numPr>
        <w:tabs>
          <w:tab w:val="clear" w:pos="204"/>
        </w:tabs>
        <w:spacing w:line="480" w:lineRule="auto"/>
        <w:ind w:left="1440" w:hanging="720"/>
        <w:rPr>
          <w:b/>
          <w:sz w:val="26"/>
          <w:szCs w:val="26"/>
        </w:rPr>
      </w:pPr>
      <w:r w:rsidRPr="0067250C">
        <w:rPr>
          <w:b/>
          <w:sz w:val="26"/>
          <w:szCs w:val="26"/>
        </w:rPr>
        <w:t xml:space="preserve">Societal Test </w:t>
      </w:r>
      <w:r w:rsidR="00BD4C1A">
        <w:rPr>
          <w:b/>
          <w:sz w:val="26"/>
          <w:szCs w:val="26"/>
        </w:rPr>
        <w:t>as part of the TRC</w:t>
      </w:r>
    </w:p>
    <w:p w:rsidR="0067250C" w:rsidRDefault="0067250C" w:rsidP="0066376D">
      <w:pPr>
        <w:pStyle w:val="p3"/>
        <w:widowControl/>
        <w:numPr>
          <w:ilvl w:val="0"/>
          <w:numId w:val="20"/>
        </w:numPr>
        <w:tabs>
          <w:tab w:val="clear" w:pos="204"/>
        </w:tabs>
        <w:spacing w:line="480" w:lineRule="auto"/>
        <w:ind w:left="2160" w:hanging="720"/>
        <w:rPr>
          <w:sz w:val="26"/>
          <w:szCs w:val="26"/>
        </w:rPr>
      </w:pPr>
      <w:r>
        <w:rPr>
          <w:sz w:val="26"/>
          <w:szCs w:val="26"/>
        </w:rPr>
        <w:t>Discussion</w:t>
      </w:r>
    </w:p>
    <w:p w:rsidR="0067250C" w:rsidRDefault="0067250C" w:rsidP="0066376D">
      <w:pPr>
        <w:pStyle w:val="p3"/>
        <w:widowControl/>
        <w:tabs>
          <w:tab w:val="clear" w:pos="204"/>
        </w:tabs>
        <w:spacing w:line="360" w:lineRule="auto"/>
        <w:ind w:firstLine="720"/>
        <w:rPr>
          <w:sz w:val="26"/>
          <w:szCs w:val="26"/>
        </w:rPr>
      </w:pPr>
      <w:r>
        <w:rPr>
          <w:sz w:val="26"/>
          <w:szCs w:val="26"/>
        </w:rPr>
        <w:t xml:space="preserve">During Phase I, </w:t>
      </w:r>
      <w:r w:rsidRPr="007733F3">
        <w:rPr>
          <w:sz w:val="26"/>
          <w:szCs w:val="26"/>
        </w:rPr>
        <w:t xml:space="preserve">Pennsylvania </w:t>
      </w:r>
      <w:r>
        <w:rPr>
          <w:sz w:val="26"/>
          <w:szCs w:val="26"/>
        </w:rPr>
        <w:t>did</w:t>
      </w:r>
      <w:r w:rsidRPr="007733F3">
        <w:rPr>
          <w:sz w:val="26"/>
          <w:szCs w:val="26"/>
        </w:rPr>
        <w:t xml:space="preserve"> not use the Societal Test as part of the TRC </w:t>
      </w:r>
      <w:r w:rsidR="00436F29">
        <w:rPr>
          <w:sz w:val="26"/>
          <w:szCs w:val="26"/>
        </w:rPr>
        <w:t>T</w:t>
      </w:r>
      <w:r w:rsidRPr="007733F3">
        <w:rPr>
          <w:sz w:val="26"/>
          <w:szCs w:val="26"/>
        </w:rPr>
        <w:t>est.</w:t>
      </w:r>
      <w:r w:rsidR="0046014B">
        <w:rPr>
          <w:rStyle w:val="FootnoteReference"/>
          <w:sz w:val="26"/>
          <w:szCs w:val="26"/>
        </w:rPr>
        <w:footnoteReference w:id="7"/>
      </w:r>
      <w:r w:rsidRPr="007733F3">
        <w:rPr>
          <w:sz w:val="26"/>
          <w:szCs w:val="26"/>
        </w:rPr>
        <w:t xml:space="preserve">  </w:t>
      </w:r>
      <w:r>
        <w:rPr>
          <w:sz w:val="26"/>
          <w:szCs w:val="26"/>
        </w:rPr>
        <w:t>I</w:t>
      </w:r>
      <w:r w:rsidRPr="007733F3">
        <w:rPr>
          <w:sz w:val="26"/>
          <w:szCs w:val="26"/>
        </w:rPr>
        <w:t xml:space="preserve">nclusion of the Societal Test results in a variant or expanded TRC </w:t>
      </w:r>
      <w:r w:rsidR="00436F29">
        <w:rPr>
          <w:sz w:val="26"/>
          <w:szCs w:val="26"/>
        </w:rPr>
        <w:t>T</w:t>
      </w:r>
      <w:r w:rsidRPr="007733F3">
        <w:rPr>
          <w:sz w:val="26"/>
          <w:szCs w:val="26"/>
        </w:rPr>
        <w:t>est analysis that goes beyond the legislative intent of Act</w:t>
      </w:r>
      <w:r>
        <w:rPr>
          <w:sz w:val="26"/>
          <w:szCs w:val="26"/>
        </w:rPr>
        <w:t> </w:t>
      </w:r>
      <w:r w:rsidRPr="007733F3">
        <w:rPr>
          <w:sz w:val="26"/>
          <w:szCs w:val="26"/>
        </w:rPr>
        <w:t xml:space="preserve">129.  In particular, the Societal Test attempts to quantify the change in TRC to society as a whole rather than in respect to a particular service territory.  Act 129, however, specifically provides that only “monetary” benefits and costs are to be factored into the TRC </w:t>
      </w:r>
      <w:r w:rsidR="00436F29">
        <w:rPr>
          <w:sz w:val="26"/>
          <w:szCs w:val="26"/>
        </w:rPr>
        <w:t>T</w:t>
      </w:r>
      <w:r w:rsidRPr="007733F3">
        <w:rPr>
          <w:sz w:val="26"/>
          <w:szCs w:val="26"/>
        </w:rPr>
        <w:t>est.  66</w:t>
      </w:r>
      <w:r>
        <w:rPr>
          <w:sz w:val="26"/>
          <w:szCs w:val="26"/>
        </w:rPr>
        <w:t> </w:t>
      </w:r>
      <w:r w:rsidRPr="007733F3">
        <w:rPr>
          <w:sz w:val="26"/>
          <w:szCs w:val="26"/>
        </w:rPr>
        <w:t xml:space="preserve">Pa. C.S. § 2806.1(m).  </w:t>
      </w:r>
    </w:p>
    <w:p w:rsidR="0067250C" w:rsidRDefault="0067250C" w:rsidP="00F347F1">
      <w:pPr>
        <w:pStyle w:val="p3"/>
        <w:widowControl/>
        <w:tabs>
          <w:tab w:val="clear" w:pos="204"/>
        </w:tabs>
        <w:spacing w:line="360" w:lineRule="auto"/>
        <w:ind w:firstLine="720"/>
        <w:rPr>
          <w:sz w:val="26"/>
          <w:szCs w:val="26"/>
        </w:rPr>
      </w:pPr>
    </w:p>
    <w:p w:rsidR="0067250C" w:rsidRDefault="0067250C" w:rsidP="00121859">
      <w:pPr>
        <w:pStyle w:val="p3"/>
        <w:widowControl/>
        <w:numPr>
          <w:ilvl w:val="0"/>
          <w:numId w:val="20"/>
        </w:numPr>
        <w:tabs>
          <w:tab w:val="clear" w:pos="204"/>
        </w:tabs>
        <w:spacing w:line="480" w:lineRule="auto"/>
        <w:ind w:left="2160" w:hanging="720"/>
        <w:rPr>
          <w:sz w:val="26"/>
          <w:szCs w:val="26"/>
        </w:rPr>
      </w:pPr>
      <w:r>
        <w:rPr>
          <w:sz w:val="26"/>
          <w:szCs w:val="26"/>
        </w:rPr>
        <w:t>Proposed resolution</w:t>
      </w:r>
    </w:p>
    <w:p w:rsidR="0067250C" w:rsidRDefault="0067250C" w:rsidP="00F347F1">
      <w:pPr>
        <w:pStyle w:val="p3"/>
        <w:widowControl/>
        <w:tabs>
          <w:tab w:val="clear" w:pos="204"/>
        </w:tabs>
        <w:spacing w:line="360" w:lineRule="auto"/>
        <w:ind w:firstLine="720"/>
        <w:rPr>
          <w:sz w:val="26"/>
          <w:szCs w:val="26"/>
        </w:rPr>
      </w:pPr>
      <w:r w:rsidRPr="007733F3">
        <w:rPr>
          <w:sz w:val="26"/>
          <w:szCs w:val="26"/>
        </w:rPr>
        <w:t xml:space="preserve">Therefore, </w:t>
      </w:r>
      <w:r>
        <w:rPr>
          <w:sz w:val="26"/>
          <w:szCs w:val="26"/>
        </w:rPr>
        <w:t xml:space="preserve">for </w:t>
      </w:r>
      <w:r w:rsidR="00270284">
        <w:rPr>
          <w:sz w:val="26"/>
          <w:szCs w:val="26"/>
        </w:rPr>
        <w:t>a</w:t>
      </w:r>
      <w:r w:rsidR="00A250C5">
        <w:rPr>
          <w:sz w:val="26"/>
          <w:szCs w:val="26"/>
        </w:rPr>
        <w:t xml:space="preserve"> potential </w:t>
      </w:r>
      <w:r>
        <w:rPr>
          <w:sz w:val="26"/>
          <w:szCs w:val="26"/>
        </w:rPr>
        <w:t xml:space="preserve">Phase II, </w:t>
      </w:r>
      <w:r w:rsidR="00874A17">
        <w:rPr>
          <w:sz w:val="26"/>
          <w:szCs w:val="26"/>
        </w:rPr>
        <w:t xml:space="preserve">the Commission proposes that </w:t>
      </w:r>
      <w:r w:rsidRPr="007733F3">
        <w:rPr>
          <w:sz w:val="26"/>
          <w:szCs w:val="26"/>
        </w:rPr>
        <w:t xml:space="preserve">Pennsylvania’s version of the TRC </w:t>
      </w:r>
      <w:r>
        <w:rPr>
          <w:sz w:val="26"/>
          <w:szCs w:val="26"/>
        </w:rPr>
        <w:t>continue to exclude</w:t>
      </w:r>
      <w:r w:rsidRPr="007733F3">
        <w:rPr>
          <w:sz w:val="26"/>
          <w:szCs w:val="26"/>
        </w:rPr>
        <w:t xml:space="preserve"> environmental and societal costs and benefits unless such costs and benefits are otherwise already embedded in the wholesale cost for the generation of electricity.   </w:t>
      </w:r>
    </w:p>
    <w:p w:rsidR="0077547A" w:rsidRDefault="0077547A" w:rsidP="00F347F1">
      <w:pPr>
        <w:pStyle w:val="p3"/>
        <w:widowControl/>
        <w:tabs>
          <w:tab w:val="clear" w:pos="204"/>
        </w:tabs>
        <w:spacing w:line="360" w:lineRule="auto"/>
        <w:rPr>
          <w:b/>
          <w:sz w:val="26"/>
          <w:szCs w:val="26"/>
        </w:rPr>
      </w:pPr>
    </w:p>
    <w:p w:rsidR="009D11F2" w:rsidRPr="00002845" w:rsidRDefault="009D11F2" w:rsidP="0077547A">
      <w:pPr>
        <w:pStyle w:val="p3"/>
        <w:keepNext/>
        <w:widowControl/>
        <w:numPr>
          <w:ilvl w:val="0"/>
          <w:numId w:val="26"/>
        </w:numPr>
        <w:tabs>
          <w:tab w:val="clear" w:pos="204"/>
        </w:tabs>
        <w:spacing w:line="480" w:lineRule="auto"/>
        <w:ind w:left="1440" w:hanging="720"/>
        <w:rPr>
          <w:b/>
          <w:sz w:val="26"/>
          <w:szCs w:val="26"/>
        </w:rPr>
      </w:pPr>
      <w:r>
        <w:rPr>
          <w:b/>
          <w:sz w:val="26"/>
          <w:szCs w:val="26"/>
        </w:rPr>
        <w:t>Use of TRC Test Assumptions for Other Matters</w:t>
      </w:r>
    </w:p>
    <w:p w:rsidR="00A737C3" w:rsidRDefault="00A737C3" w:rsidP="002F4C1B">
      <w:pPr>
        <w:pStyle w:val="p3"/>
        <w:widowControl/>
        <w:numPr>
          <w:ilvl w:val="0"/>
          <w:numId w:val="3"/>
        </w:numPr>
        <w:tabs>
          <w:tab w:val="clear" w:pos="204"/>
        </w:tabs>
        <w:spacing w:line="480" w:lineRule="auto"/>
        <w:ind w:left="2160" w:hanging="720"/>
        <w:rPr>
          <w:sz w:val="26"/>
          <w:szCs w:val="26"/>
        </w:rPr>
      </w:pPr>
      <w:r>
        <w:rPr>
          <w:sz w:val="26"/>
          <w:szCs w:val="26"/>
        </w:rPr>
        <w:t>Discussion</w:t>
      </w:r>
    </w:p>
    <w:p w:rsidR="00A737C3" w:rsidRDefault="00436F29" w:rsidP="00F347F1">
      <w:pPr>
        <w:pStyle w:val="p3"/>
        <w:widowControl/>
        <w:tabs>
          <w:tab w:val="clear" w:pos="204"/>
        </w:tabs>
        <w:spacing w:line="360" w:lineRule="auto"/>
        <w:ind w:firstLine="720"/>
        <w:rPr>
          <w:sz w:val="26"/>
          <w:szCs w:val="26"/>
        </w:rPr>
      </w:pPr>
      <w:r>
        <w:rPr>
          <w:sz w:val="26"/>
          <w:szCs w:val="26"/>
        </w:rPr>
        <w:t>Since TRC T</w:t>
      </w:r>
      <w:r w:rsidR="009D585F">
        <w:rPr>
          <w:sz w:val="26"/>
          <w:szCs w:val="26"/>
        </w:rPr>
        <w:t>est assumptions have to apply to a wide range of measures over a tight time frame, t</w:t>
      </w:r>
      <w:r w:rsidR="009D11F2">
        <w:rPr>
          <w:sz w:val="26"/>
          <w:szCs w:val="26"/>
        </w:rPr>
        <w:t xml:space="preserve">he </w:t>
      </w:r>
      <w:r w:rsidR="000F575B">
        <w:rPr>
          <w:sz w:val="26"/>
          <w:szCs w:val="26"/>
        </w:rPr>
        <w:t xml:space="preserve">2009 and 2011 </w:t>
      </w:r>
      <w:r w:rsidR="009D11F2">
        <w:rPr>
          <w:sz w:val="26"/>
          <w:szCs w:val="26"/>
        </w:rPr>
        <w:t xml:space="preserve">TRC </w:t>
      </w:r>
      <w:r>
        <w:rPr>
          <w:sz w:val="26"/>
          <w:szCs w:val="26"/>
        </w:rPr>
        <w:t>T</w:t>
      </w:r>
      <w:r w:rsidR="009D11F2">
        <w:rPr>
          <w:sz w:val="26"/>
          <w:szCs w:val="26"/>
        </w:rPr>
        <w:t xml:space="preserve">est assumptions </w:t>
      </w:r>
      <w:r w:rsidR="000F575B">
        <w:rPr>
          <w:sz w:val="26"/>
          <w:szCs w:val="26"/>
        </w:rPr>
        <w:t xml:space="preserve">were </w:t>
      </w:r>
      <w:r w:rsidR="009D11F2">
        <w:rPr>
          <w:sz w:val="26"/>
          <w:szCs w:val="26"/>
        </w:rPr>
        <w:t xml:space="preserve">not developed </w:t>
      </w:r>
      <w:r w:rsidR="000F575B">
        <w:rPr>
          <w:sz w:val="26"/>
          <w:szCs w:val="26"/>
        </w:rPr>
        <w:t xml:space="preserve">to be </w:t>
      </w:r>
      <w:r w:rsidR="009D11F2">
        <w:rPr>
          <w:sz w:val="26"/>
          <w:szCs w:val="26"/>
        </w:rPr>
        <w:lastRenderedPageBreak/>
        <w:t>use</w:t>
      </w:r>
      <w:r w:rsidR="000F575B">
        <w:rPr>
          <w:sz w:val="26"/>
          <w:szCs w:val="26"/>
        </w:rPr>
        <w:t>d</w:t>
      </w:r>
      <w:r w:rsidR="009D11F2">
        <w:rPr>
          <w:sz w:val="26"/>
          <w:szCs w:val="26"/>
        </w:rPr>
        <w:t xml:space="preserve"> in prudence or cost of service inquiries</w:t>
      </w:r>
      <w:r w:rsidR="000F575B">
        <w:rPr>
          <w:sz w:val="26"/>
          <w:szCs w:val="26"/>
        </w:rPr>
        <w:t>.  T</w:t>
      </w:r>
      <w:r w:rsidR="00A401A5">
        <w:rPr>
          <w:sz w:val="26"/>
          <w:szCs w:val="26"/>
        </w:rPr>
        <w:t>he Commission d</w:t>
      </w:r>
      <w:r w:rsidR="000F575B">
        <w:rPr>
          <w:sz w:val="26"/>
          <w:szCs w:val="26"/>
        </w:rPr>
        <w:t xml:space="preserve">id </w:t>
      </w:r>
      <w:r>
        <w:rPr>
          <w:sz w:val="26"/>
          <w:szCs w:val="26"/>
        </w:rPr>
        <w:t>not</w:t>
      </w:r>
      <w:r w:rsidR="000F575B">
        <w:rPr>
          <w:sz w:val="26"/>
          <w:szCs w:val="26"/>
        </w:rPr>
        <w:t>, however,</w:t>
      </w:r>
      <w:r>
        <w:rPr>
          <w:sz w:val="26"/>
          <w:szCs w:val="26"/>
        </w:rPr>
        <w:t xml:space="preserve"> believe that a </w:t>
      </w:r>
      <w:r w:rsidR="009D11F2">
        <w:rPr>
          <w:sz w:val="26"/>
          <w:szCs w:val="26"/>
        </w:rPr>
        <w:t xml:space="preserve">blanket exclusion </w:t>
      </w:r>
      <w:r w:rsidR="000F575B">
        <w:rPr>
          <w:sz w:val="26"/>
          <w:szCs w:val="26"/>
        </w:rPr>
        <w:t>wa</w:t>
      </w:r>
      <w:r w:rsidR="009D11F2">
        <w:rPr>
          <w:sz w:val="26"/>
          <w:szCs w:val="26"/>
        </w:rPr>
        <w:t>s appropriate.</w:t>
      </w:r>
      <w:r w:rsidR="0046014B">
        <w:rPr>
          <w:rStyle w:val="FootnoteReference"/>
          <w:sz w:val="26"/>
          <w:szCs w:val="26"/>
        </w:rPr>
        <w:footnoteReference w:id="8"/>
      </w:r>
      <w:r w:rsidR="009D11F2">
        <w:rPr>
          <w:sz w:val="26"/>
          <w:szCs w:val="26"/>
        </w:rPr>
        <w:t xml:space="preserve">  </w:t>
      </w:r>
    </w:p>
    <w:p w:rsidR="00A737C3" w:rsidRDefault="00A737C3" w:rsidP="00F347F1">
      <w:pPr>
        <w:pStyle w:val="p3"/>
        <w:widowControl/>
        <w:tabs>
          <w:tab w:val="clear" w:pos="204"/>
        </w:tabs>
        <w:spacing w:line="360" w:lineRule="auto"/>
        <w:ind w:firstLine="720"/>
        <w:rPr>
          <w:sz w:val="26"/>
          <w:szCs w:val="26"/>
        </w:rPr>
      </w:pPr>
    </w:p>
    <w:p w:rsidR="00A737C3" w:rsidRDefault="00A737C3" w:rsidP="002F4C1B">
      <w:pPr>
        <w:pStyle w:val="p3"/>
        <w:widowControl/>
        <w:numPr>
          <w:ilvl w:val="0"/>
          <w:numId w:val="3"/>
        </w:numPr>
        <w:tabs>
          <w:tab w:val="clear" w:pos="204"/>
        </w:tabs>
        <w:spacing w:line="480" w:lineRule="auto"/>
        <w:ind w:left="2160" w:hanging="720"/>
        <w:rPr>
          <w:sz w:val="26"/>
          <w:szCs w:val="26"/>
        </w:rPr>
      </w:pPr>
      <w:r>
        <w:rPr>
          <w:sz w:val="26"/>
          <w:szCs w:val="26"/>
        </w:rPr>
        <w:t xml:space="preserve">Proposed </w:t>
      </w:r>
      <w:r w:rsidR="00121859">
        <w:rPr>
          <w:sz w:val="26"/>
          <w:szCs w:val="26"/>
        </w:rPr>
        <w:t>r</w:t>
      </w:r>
      <w:r>
        <w:rPr>
          <w:sz w:val="26"/>
          <w:szCs w:val="26"/>
        </w:rPr>
        <w:t>esolution</w:t>
      </w:r>
    </w:p>
    <w:p w:rsidR="009D11F2" w:rsidRDefault="00A737C3" w:rsidP="00F347F1">
      <w:pPr>
        <w:pStyle w:val="p3"/>
        <w:widowControl/>
        <w:tabs>
          <w:tab w:val="clear" w:pos="204"/>
        </w:tabs>
        <w:spacing w:line="360" w:lineRule="auto"/>
        <w:ind w:firstLine="720"/>
        <w:rPr>
          <w:sz w:val="26"/>
          <w:szCs w:val="26"/>
        </w:rPr>
      </w:pPr>
      <w:r>
        <w:rPr>
          <w:sz w:val="26"/>
          <w:szCs w:val="26"/>
        </w:rPr>
        <w:t>The Commission proposes that for</w:t>
      </w:r>
      <w:r w:rsidR="00A250C5">
        <w:rPr>
          <w:sz w:val="26"/>
          <w:szCs w:val="26"/>
        </w:rPr>
        <w:t xml:space="preserve"> </w:t>
      </w:r>
      <w:r w:rsidR="00270284">
        <w:rPr>
          <w:sz w:val="26"/>
          <w:szCs w:val="26"/>
        </w:rPr>
        <w:t>a</w:t>
      </w:r>
      <w:r w:rsidR="00A250C5">
        <w:rPr>
          <w:sz w:val="26"/>
          <w:szCs w:val="26"/>
        </w:rPr>
        <w:t xml:space="preserve"> potential</w:t>
      </w:r>
      <w:r>
        <w:rPr>
          <w:sz w:val="26"/>
          <w:szCs w:val="26"/>
        </w:rPr>
        <w:t xml:space="preserve"> Phase II, the EDCs</w:t>
      </w:r>
      <w:r w:rsidR="009D11F2">
        <w:rPr>
          <w:sz w:val="26"/>
          <w:szCs w:val="26"/>
        </w:rPr>
        <w:t xml:space="preserve"> and other parties </w:t>
      </w:r>
      <w:r>
        <w:rPr>
          <w:sz w:val="26"/>
          <w:szCs w:val="26"/>
        </w:rPr>
        <w:t xml:space="preserve">continue </w:t>
      </w:r>
      <w:r w:rsidR="00615BDE">
        <w:rPr>
          <w:sz w:val="26"/>
          <w:szCs w:val="26"/>
        </w:rPr>
        <w:t xml:space="preserve">not </w:t>
      </w:r>
      <w:r w:rsidR="009D11F2">
        <w:rPr>
          <w:sz w:val="26"/>
          <w:szCs w:val="26"/>
        </w:rPr>
        <w:t>t</w:t>
      </w:r>
      <w:r w:rsidR="00615BDE">
        <w:rPr>
          <w:sz w:val="26"/>
          <w:szCs w:val="26"/>
        </w:rPr>
        <w:t>o</w:t>
      </w:r>
      <w:r w:rsidR="009D11F2">
        <w:rPr>
          <w:sz w:val="26"/>
          <w:szCs w:val="26"/>
        </w:rPr>
        <w:t xml:space="preserve"> be bound by TRC </w:t>
      </w:r>
      <w:r w:rsidR="00436F29">
        <w:rPr>
          <w:sz w:val="26"/>
          <w:szCs w:val="26"/>
        </w:rPr>
        <w:t>T</w:t>
      </w:r>
      <w:r w:rsidR="009D11F2">
        <w:rPr>
          <w:sz w:val="26"/>
          <w:szCs w:val="26"/>
        </w:rPr>
        <w:t>est assumptions in prudence, cost of service, or othe</w:t>
      </w:r>
      <w:r>
        <w:rPr>
          <w:sz w:val="26"/>
          <w:szCs w:val="26"/>
        </w:rPr>
        <w:t xml:space="preserve">r inquiries. </w:t>
      </w:r>
      <w:r w:rsidR="003E61C1">
        <w:rPr>
          <w:sz w:val="26"/>
          <w:szCs w:val="26"/>
        </w:rPr>
        <w:t xml:space="preserve"> </w:t>
      </w:r>
      <w:r>
        <w:rPr>
          <w:sz w:val="26"/>
          <w:szCs w:val="26"/>
        </w:rPr>
        <w:t>I</w:t>
      </w:r>
      <w:r w:rsidR="009D11F2">
        <w:rPr>
          <w:sz w:val="26"/>
          <w:szCs w:val="26"/>
        </w:rPr>
        <w:t xml:space="preserve">f there are significant differences between the TRC </w:t>
      </w:r>
      <w:r w:rsidR="00436F29">
        <w:rPr>
          <w:sz w:val="26"/>
          <w:szCs w:val="26"/>
        </w:rPr>
        <w:t>T</w:t>
      </w:r>
      <w:r w:rsidR="009D11F2">
        <w:rPr>
          <w:sz w:val="26"/>
          <w:szCs w:val="26"/>
        </w:rPr>
        <w:t xml:space="preserve">est assumptions and the assumptions or facts at issue in such other proceedings, parties may enquire into the validity of such differences in those, or in the TRC </w:t>
      </w:r>
      <w:r w:rsidR="00436F29">
        <w:rPr>
          <w:sz w:val="26"/>
          <w:szCs w:val="26"/>
        </w:rPr>
        <w:t>T</w:t>
      </w:r>
      <w:r w:rsidR="009D11F2">
        <w:rPr>
          <w:sz w:val="26"/>
          <w:szCs w:val="26"/>
        </w:rPr>
        <w:t>est, proceedings.</w:t>
      </w:r>
    </w:p>
    <w:p w:rsidR="009D11F2" w:rsidRDefault="009D11F2" w:rsidP="00F347F1">
      <w:pPr>
        <w:pStyle w:val="p3"/>
        <w:widowControl/>
        <w:tabs>
          <w:tab w:val="clear" w:pos="204"/>
        </w:tabs>
        <w:spacing w:line="360" w:lineRule="auto"/>
        <w:rPr>
          <w:sz w:val="26"/>
          <w:szCs w:val="26"/>
        </w:rPr>
      </w:pPr>
    </w:p>
    <w:p w:rsidR="00726645" w:rsidRPr="0077547A" w:rsidRDefault="00726645" w:rsidP="002F4C1B">
      <w:pPr>
        <w:pStyle w:val="ListParagraph"/>
        <w:numPr>
          <w:ilvl w:val="0"/>
          <w:numId w:val="26"/>
        </w:numPr>
        <w:spacing w:line="480" w:lineRule="auto"/>
        <w:ind w:left="1440" w:hanging="720"/>
        <w:rPr>
          <w:rFonts w:ascii="Times New Roman" w:hAnsi="Times New Roman"/>
          <w:b/>
          <w:sz w:val="26"/>
          <w:szCs w:val="26"/>
        </w:rPr>
      </w:pPr>
      <w:r w:rsidRPr="0077547A">
        <w:rPr>
          <w:rFonts w:ascii="Times New Roman" w:hAnsi="Times New Roman"/>
          <w:b/>
          <w:sz w:val="26"/>
          <w:szCs w:val="26"/>
        </w:rPr>
        <w:t>Level at Which to Measure TRC</w:t>
      </w:r>
    </w:p>
    <w:p w:rsidR="00615BDE" w:rsidRPr="00615BDE" w:rsidRDefault="00615BDE" w:rsidP="002F4C1B">
      <w:pPr>
        <w:pStyle w:val="ListParagraph"/>
        <w:numPr>
          <w:ilvl w:val="0"/>
          <w:numId w:val="4"/>
        </w:numPr>
        <w:spacing w:after="0" w:line="480" w:lineRule="auto"/>
        <w:ind w:left="2160" w:hanging="720"/>
        <w:rPr>
          <w:rFonts w:ascii="Times New Roman" w:hAnsi="Times New Roman"/>
          <w:sz w:val="26"/>
          <w:szCs w:val="26"/>
        </w:rPr>
      </w:pPr>
      <w:r w:rsidRPr="00615BDE">
        <w:rPr>
          <w:rFonts w:ascii="Times New Roman" w:hAnsi="Times New Roman"/>
          <w:sz w:val="26"/>
          <w:szCs w:val="26"/>
        </w:rPr>
        <w:t>Discussion</w:t>
      </w:r>
    </w:p>
    <w:p w:rsidR="00BD4C1A" w:rsidRPr="00E738D8" w:rsidRDefault="00726645" w:rsidP="00F347F1">
      <w:pPr>
        <w:pStyle w:val="ListParagraph"/>
        <w:spacing w:after="0" w:line="360" w:lineRule="auto"/>
        <w:ind w:left="0" w:firstLine="720"/>
        <w:rPr>
          <w:rFonts w:ascii="Times New Roman" w:hAnsi="Times New Roman"/>
          <w:sz w:val="26"/>
          <w:szCs w:val="26"/>
        </w:rPr>
      </w:pPr>
      <w:r w:rsidRPr="00615BDE">
        <w:rPr>
          <w:rFonts w:ascii="Times New Roman" w:hAnsi="Times New Roman"/>
          <w:sz w:val="26"/>
          <w:szCs w:val="26"/>
        </w:rPr>
        <w:t xml:space="preserve">Act 129 requires that an EDC’s EE&amp;C plan provide measures for customers of all rate classes, 66 Pa. C.S. § 2806.1(b)(1)(I)), and establishes specific requirements for inclusion of low-income programs, 66 Pa. C.S. § 2806.1(b)(1)(G), and government programs, 66 Pa. C.S. § 2806.1(b)(1)(B), in an EDC’s EE&amp;C plan.  Based on Section 2806.1(b)(1)(I), an EDC is to demonstrate that its EE&amp;C plan is cost-effective using the TRC </w:t>
      </w:r>
      <w:r w:rsidR="00436F29">
        <w:rPr>
          <w:rFonts w:ascii="Times New Roman" w:hAnsi="Times New Roman"/>
          <w:sz w:val="26"/>
          <w:szCs w:val="26"/>
        </w:rPr>
        <w:t>T</w:t>
      </w:r>
      <w:r w:rsidRPr="00615BDE">
        <w:rPr>
          <w:rFonts w:ascii="Times New Roman" w:hAnsi="Times New Roman"/>
          <w:sz w:val="26"/>
          <w:szCs w:val="26"/>
        </w:rPr>
        <w:t>est</w:t>
      </w:r>
      <w:r w:rsidRPr="00BD4C1A">
        <w:rPr>
          <w:rFonts w:ascii="Times New Roman" w:hAnsi="Times New Roman"/>
          <w:sz w:val="26"/>
          <w:szCs w:val="26"/>
        </w:rPr>
        <w:t xml:space="preserve">. </w:t>
      </w:r>
      <w:r w:rsidR="00BD4C1A" w:rsidRPr="00BD4C1A">
        <w:rPr>
          <w:rFonts w:ascii="Times New Roman" w:hAnsi="Times New Roman"/>
          <w:sz w:val="26"/>
          <w:szCs w:val="26"/>
        </w:rPr>
        <w:t xml:space="preserve"> F</w:t>
      </w:r>
      <w:r w:rsidR="00A401A5">
        <w:rPr>
          <w:rFonts w:ascii="Times New Roman" w:hAnsi="Times New Roman"/>
          <w:sz w:val="26"/>
        </w:rPr>
        <w:t>or Phase I,</w:t>
      </w:r>
      <w:r w:rsidR="00615BDE">
        <w:rPr>
          <w:rFonts w:ascii="Times New Roman" w:hAnsi="Times New Roman"/>
          <w:sz w:val="26"/>
        </w:rPr>
        <w:t xml:space="preserve"> e</w:t>
      </w:r>
      <w:r w:rsidRPr="00615BDE">
        <w:rPr>
          <w:rFonts w:ascii="Times New Roman" w:hAnsi="Times New Roman"/>
          <w:sz w:val="26"/>
        </w:rPr>
        <w:t xml:space="preserve">ach EDC’s EE&amp;C plan </w:t>
      </w:r>
      <w:r w:rsidR="00BD4C1A">
        <w:rPr>
          <w:rFonts w:ascii="Times New Roman" w:hAnsi="Times New Roman"/>
          <w:sz w:val="26"/>
        </w:rPr>
        <w:t>was</w:t>
      </w:r>
      <w:r w:rsidRPr="00615BDE">
        <w:rPr>
          <w:rFonts w:ascii="Times New Roman" w:hAnsi="Times New Roman"/>
          <w:sz w:val="26"/>
        </w:rPr>
        <w:t xml:space="preserve"> evaluated by the entirety of all its programs taken in total, otherwise noted as the plan level.</w:t>
      </w:r>
      <w:r w:rsidR="0046014B">
        <w:rPr>
          <w:rStyle w:val="FootnoteReference"/>
          <w:rFonts w:ascii="Times New Roman" w:hAnsi="Times New Roman"/>
          <w:sz w:val="26"/>
        </w:rPr>
        <w:footnoteReference w:id="9"/>
      </w:r>
      <w:r w:rsidRPr="00615BDE">
        <w:rPr>
          <w:rFonts w:ascii="Times New Roman" w:hAnsi="Times New Roman"/>
          <w:sz w:val="26"/>
        </w:rPr>
        <w:t xml:space="preserve">  The overall determination as to whether an</w:t>
      </w:r>
      <w:r w:rsidR="00374CB3" w:rsidRPr="00615BDE">
        <w:rPr>
          <w:rFonts w:ascii="Times New Roman" w:hAnsi="Times New Roman"/>
          <w:sz w:val="26"/>
        </w:rPr>
        <w:t xml:space="preserve"> EDC’s plan </w:t>
      </w:r>
      <w:r w:rsidR="00BD4C1A">
        <w:rPr>
          <w:rFonts w:ascii="Times New Roman" w:hAnsi="Times New Roman"/>
          <w:sz w:val="26"/>
        </w:rPr>
        <w:t>was</w:t>
      </w:r>
      <w:r w:rsidR="00374CB3" w:rsidRPr="00615BDE">
        <w:rPr>
          <w:rFonts w:ascii="Times New Roman" w:hAnsi="Times New Roman"/>
          <w:sz w:val="26"/>
        </w:rPr>
        <w:t xml:space="preserve"> deemed cost-</w:t>
      </w:r>
      <w:r w:rsidRPr="00615BDE">
        <w:rPr>
          <w:rFonts w:ascii="Times New Roman" w:hAnsi="Times New Roman"/>
          <w:sz w:val="26"/>
        </w:rPr>
        <w:t xml:space="preserve">effective using the TRC </w:t>
      </w:r>
      <w:r w:rsidR="00436F29">
        <w:rPr>
          <w:rFonts w:ascii="Times New Roman" w:hAnsi="Times New Roman"/>
          <w:sz w:val="26"/>
        </w:rPr>
        <w:t>T</w:t>
      </w:r>
      <w:r w:rsidRPr="00615BDE">
        <w:rPr>
          <w:rFonts w:ascii="Times New Roman" w:hAnsi="Times New Roman"/>
          <w:sz w:val="26"/>
        </w:rPr>
        <w:t xml:space="preserve">est </w:t>
      </w:r>
      <w:r w:rsidR="00BD4C1A">
        <w:rPr>
          <w:rFonts w:ascii="Times New Roman" w:hAnsi="Times New Roman"/>
          <w:sz w:val="26"/>
        </w:rPr>
        <w:t>was</w:t>
      </w:r>
      <w:r w:rsidR="00615BDE">
        <w:rPr>
          <w:rFonts w:ascii="Times New Roman" w:hAnsi="Times New Roman"/>
          <w:sz w:val="26"/>
        </w:rPr>
        <w:t xml:space="preserve"> made at the plan level, and the </w:t>
      </w:r>
      <w:r w:rsidRPr="00615BDE">
        <w:rPr>
          <w:rFonts w:ascii="Times New Roman" w:hAnsi="Times New Roman"/>
          <w:sz w:val="26"/>
          <w:szCs w:val="26"/>
        </w:rPr>
        <w:t xml:space="preserve">TRC </w:t>
      </w:r>
      <w:r w:rsidR="00436F29">
        <w:rPr>
          <w:rFonts w:ascii="Times New Roman" w:hAnsi="Times New Roman"/>
          <w:sz w:val="26"/>
          <w:szCs w:val="26"/>
        </w:rPr>
        <w:t>T</w:t>
      </w:r>
      <w:r w:rsidRPr="00615BDE">
        <w:rPr>
          <w:rFonts w:ascii="Times New Roman" w:hAnsi="Times New Roman"/>
          <w:sz w:val="26"/>
          <w:szCs w:val="26"/>
        </w:rPr>
        <w:t xml:space="preserve">est </w:t>
      </w:r>
      <w:r w:rsidR="00BD4C1A">
        <w:rPr>
          <w:rFonts w:ascii="Times New Roman" w:hAnsi="Times New Roman"/>
          <w:sz w:val="26"/>
          <w:szCs w:val="26"/>
        </w:rPr>
        <w:t>was</w:t>
      </w:r>
      <w:r w:rsidRPr="00615BDE">
        <w:rPr>
          <w:rFonts w:ascii="Times New Roman" w:hAnsi="Times New Roman"/>
          <w:sz w:val="26"/>
          <w:szCs w:val="26"/>
        </w:rPr>
        <w:t xml:space="preserve"> applied at the plan level rather than at the component, program, or measure level.  Further, all aspects of an EDC’s plan </w:t>
      </w:r>
      <w:r w:rsidR="00BD4C1A">
        <w:rPr>
          <w:rFonts w:ascii="Times New Roman" w:hAnsi="Times New Roman"/>
          <w:sz w:val="26"/>
          <w:szCs w:val="26"/>
        </w:rPr>
        <w:t>were</w:t>
      </w:r>
      <w:r w:rsidRPr="00615BDE">
        <w:rPr>
          <w:rFonts w:ascii="Times New Roman" w:hAnsi="Times New Roman"/>
          <w:sz w:val="26"/>
          <w:szCs w:val="26"/>
        </w:rPr>
        <w:t xml:space="preserve"> included in the TRC testing analysis</w:t>
      </w:r>
      <w:r w:rsidR="00374CB3" w:rsidRPr="00615BDE">
        <w:rPr>
          <w:rFonts w:ascii="Times New Roman" w:hAnsi="Times New Roman"/>
          <w:sz w:val="26"/>
          <w:szCs w:val="26"/>
        </w:rPr>
        <w:t>, so</w:t>
      </w:r>
      <w:r w:rsidRPr="00615BDE">
        <w:rPr>
          <w:rFonts w:ascii="Times New Roman" w:hAnsi="Times New Roman"/>
          <w:sz w:val="26"/>
          <w:szCs w:val="26"/>
        </w:rPr>
        <w:t xml:space="preserve"> each EDC’s plan </w:t>
      </w:r>
      <w:r w:rsidR="00BD4C1A">
        <w:rPr>
          <w:rFonts w:ascii="Times New Roman" w:hAnsi="Times New Roman"/>
          <w:sz w:val="26"/>
          <w:szCs w:val="26"/>
        </w:rPr>
        <w:t>was</w:t>
      </w:r>
      <w:r w:rsidRPr="00615BDE">
        <w:rPr>
          <w:rFonts w:ascii="Times New Roman" w:hAnsi="Times New Roman"/>
          <w:sz w:val="26"/>
          <w:szCs w:val="26"/>
        </w:rPr>
        <w:t xml:space="preserve"> evaluated by the entirety of all its programs taken in total.  </w:t>
      </w:r>
      <w:r w:rsidR="00E738D8">
        <w:rPr>
          <w:rFonts w:ascii="Times New Roman" w:hAnsi="Times New Roman"/>
          <w:sz w:val="26"/>
          <w:szCs w:val="26"/>
        </w:rPr>
        <w:t>However, during Phase I</w:t>
      </w:r>
      <w:r w:rsidR="00F36F8D" w:rsidRPr="00E738D8">
        <w:rPr>
          <w:rFonts w:ascii="Times New Roman" w:hAnsi="Times New Roman"/>
          <w:sz w:val="26"/>
          <w:szCs w:val="26"/>
        </w:rPr>
        <w:t xml:space="preserve"> the Commission did</w:t>
      </w:r>
      <w:r w:rsidR="00E738D8" w:rsidRPr="00E738D8">
        <w:rPr>
          <w:rFonts w:ascii="Times New Roman" w:hAnsi="Times New Roman"/>
          <w:sz w:val="26"/>
          <w:szCs w:val="26"/>
        </w:rPr>
        <w:t xml:space="preserve"> </w:t>
      </w:r>
      <w:r w:rsidR="00E738D8" w:rsidRPr="00E738D8">
        <w:rPr>
          <w:rFonts w:ascii="Times New Roman" w:hAnsi="Times New Roman"/>
          <w:sz w:val="26"/>
          <w:szCs w:val="26"/>
        </w:rPr>
        <w:lastRenderedPageBreak/>
        <w:t>reject programs</w:t>
      </w:r>
      <w:r w:rsidR="00E738D8">
        <w:rPr>
          <w:rFonts w:ascii="Times New Roman" w:hAnsi="Times New Roman"/>
          <w:sz w:val="26"/>
          <w:szCs w:val="26"/>
        </w:rPr>
        <w:t>, included within EE&amp;C plans, in</w:t>
      </w:r>
      <w:r w:rsidR="00E738D8" w:rsidRPr="00E738D8">
        <w:rPr>
          <w:rFonts w:ascii="Times New Roman" w:hAnsi="Times New Roman"/>
          <w:sz w:val="26"/>
          <w:szCs w:val="26"/>
        </w:rPr>
        <w:t xml:space="preserve"> </w:t>
      </w:r>
      <w:r w:rsidR="00E738D8">
        <w:rPr>
          <w:rFonts w:ascii="Times New Roman" w:hAnsi="Times New Roman"/>
          <w:sz w:val="26"/>
          <w:szCs w:val="26"/>
        </w:rPr>
        <w:t xml:space="preserve">which the </w:t>
      </w:r>
      <w:r w:rsidR="00E738D8" w:rsidRPr="00E738D8">
        <w:rPr>
          <w:rFonts w:ascii="Times New Roman" w:hAnsi="Times New Roman"/>
          <w:sz w:val="26"/>
          <w:szCs w:val="26"/>
        </w:rPr>
        <w:t>ratio of the benefits to costs indicate</w:t>
      </w:r>
      <w:r w:rsidR="00E738D8">
        <w:rPr>
          <w:rFonts w:ascii="Times New Roman" w:hAnsi="Times New Roman"/>
          <w:sz w:val="26"/>
          <w:szCs w:val="26"/>
        </w:rPr>
        <w:t>d</w:t>
      </w:r>
      <w:r w:rsidR="00E738D8" w:rsidRPr="00E738D8">
        <w:rPr>
          <w:rFonts w:ascii="Times New Roman" w:hAnsi="Times New Roman"/>
          <w:sz w:val="26"/>
          <w:szCs w:val="26"/>
        </w:rPr>
        <w:t xml:space="preserve"> that </w:t>
      </w:r>
      <w:r w:rsidR="00E738D8">
        <w:rPr>
          <w:rFonts w:ascii="Times New Roman" w:hAnsi="Times New Roman"/>
          <w:sz w:val="26"/>
          <w:szCs w:val="26"/>
        </w:rPr>
        <w:t>programs were not</w:t>
      </w:r>
      <w:r w:rsidR="00E738D8" w:rsidRPr="00E738D8">
        <w:rPr>
          <w:rFonts w:ascii="Times New Roman" w:hAnsi="Times New Roman"/>
          <w:sz w:val="26"/>
          <w:szCs w:val="26"/>
        </w:rPr>
        <w:t xml:space="preserve"> an effective use of ratepayer funds</w:t>
      </w:r>
      <w:r w:rsidR="00E738D8">
        <w:rPr>
          <w:rFonts w:ascii="Times New Roman" w:hAnsi="Times New Roman"/>
          <w:sz w:val="26"/>
          <w:szCs w:val="26"/>
        </w:rPr>
        <w:t>.</w:t>
      </w:r>
      <w:r w:rsidR="00E738D8">
        <w:rPr>
          <w:rStyle w:val="FootnoteReference"/>
          <w:rFonts w:ascii="Times New Roman" w:hAnsi="Times New Roman"/>
          <w:sz w:val="26"/>
          <w:szCs w:val="26"/>
        </w:rPr>
        <w:footnoteReference w:id="10"/>
      </w:r>
      <w:r w:rsidR="00304F82">
        <w:rPr>
          <w:rFonts w:ascii="Times New Roman" w:hAnsi="Times New Roman"/>
          <w:sz w:val="26"/>
          <w:szCs w:val="26"/>
        </w:rPr>
        <w:t xml:space="preserve"> </w:t>
      </w:r>
      <w:r w:rsidR="00304F82">
        <w:rPr>
          <w:rStyle w:val="FootnoteReference"/>
          <w:rFonts w:ascii="Times New Roman" w:hAnsi="Times New Roman"/>
          <w:sz w:val="26"/>
          <w:szCs w:val="26"/>
        </w:rPr>
        <w:footnoteReference w:id="11"/>
      </w:r>
    </w:p>
    <w:p w:rsidR="00BD4C1A" w:rsidRDefault="00BD4C1A" w:rsidP="00F347F1">
      <w:pPr>
        <w:pStyle w:val="ListParagraph"/>
        <w:spacing w:after="0" w:line="360" w:lineRule="auto"/>
        <w:ind w:left="0" w:firstLine="720"/>
        <w:rPr>
          <w:rFonts w:ascii="Times New Roman" w:hAnsi="Times New Roman"/>
          <w:sz w:val="26"/>
          <w:szCs w:val="26"/>
        </w:rPr>
      </w:pPr>
    </w:p>
    <w:p w:rsidR="00BD4C1A" w:rsidRDefault="00BD4C1A" w:rsidP="002F4C1B">
      <w:pPr>
        <w:pStyle w:val="ListParagraph"/>
        <w:keepNext/>
        <w:numPr>
          <w:ilvl w:val="0"/>
          <w:numId w:val="4"/>
        </w:numPr>
        <w:spacing w:after="0" w:line="480" w:lineRule="auto"/>
        <w:ind w:left="2160" w:hanging="720"/>
        <w:rPr>
          <w:rFonts w:ascii="Times New Roman" w:hAnsi="Times New Roman"/>
          <w:sz w:val="26"/>
          <w:szCs w:val="26"/>
        </w:rPr>
      </w:pPr>
      <w:r>
        <w:rPr>
          <w:rFonts w:ascii="Times New Roman" w:hAnsi="Times New Roman"/>
          <w:sz w:val="26"/>
          <w:szCs w:val="26"/>
        </w:rPr>
        <w:t>Proposed resolution</w:t>
      </w:r>
    </w:p>
    <w:p w:rsidR="00726645" w:rsidRDefault="00A250C5" w:rsidP="00F347F1">
      <w:pPr>
        <w:pStyle w:val="ListParagraph"/>
        <w:spacing w:after="0" w:line="360" w:lineRule="auto"/>
        <w:ind w:left="0" w:firstLine="720"/>
        <w:rPr>
          <w:rFonts w:ascii="Times New Roman" w:hAnsi="Times New Roman"/>
          <w:sz w:val="26"/>
          <w:szCs w:val="26"/>
        </w:rPr>
      </w:pPr>
      <w:r>
        <w:rPr>
          <w:rFonts w:ascii="Times New Roman" w:hAnsi="Times New Roman"/>
          <w:sz w:val="26"/>
          <w:szCs w:val="26"/>
        </w:rPr>
        <w:t>Should there be a Phase II, t</w:t>
      </w:r>
      <w:r w:rsidR="00BF5531">
        <w:rPr>
          <w:rFonts w:ascii="Times New Roman" w:hAnsi="Times New Roman"/>
          <w:sz w:val="26"/>
          <w:szCs w:val="26"/>
        </w:rPr>
        <w:t xml:space="preserve">he Commission proposes that the TRC </w:t>
      </w:r>
      <w:r w:rsidR="00436F29">
        <w:rPr>
          <w:rFonts w:ascii="Times New Roman" w:hAnsi="Times New Roman"/>
          <w:sz w:val="26"/>
          <w:szCs w:val="26"/>
        </w:rPr>
        <w:t>T</w:t>
      </w:r>
      <w:r w:rsidR="00BF5531">
        <w:rPr>
          <w:rFonts w:ascii="Times New Roman" w:hAnsi="Times New Roman"/>
          <w:sz w:val="26"/>
          <w:szCs w:val="26"/>
        </w:rPr>
        <w:t xml:space="preserve">est continue to be applied at the plan level.  </w:t>
      </w:r>
      <w:r w:rsidR="00374CB3" w:rsidRPr="00615BDE">
        <w:rPr>
          <w:rFonts w:ascii="Times New Roman" w:hAnsi="Times New Roman"/>
          <w:sz w:val="26"/>
          <w:szCs w:val="26"/>
        </w:rPr>
        <w:t>While s</w:t>
      </w:r>
      <w:r w:rsidR="00726645" w:rsidRPr="00615BDE">
        <w:rPr>
          <w:rFonts w:ascii="Times New Roman" w:hAnsi="Times New Roman"/>
          <w:sz w:val="26"/>
          <w:szCs w:val="26"/>
        </w:rPr>
        <w:t>ome programs may not pass the TRC</w:t>
      </w:r>
      <w:r w:rsidR="00BF5531">
        <w:rPr>
          <w:rFonts w:ascii="Times New Roman" w:hAnsi="Times New Roman"/>
          <w:sz w:val="26"/>
          <w:szCs w:val="26"/>
        </w:rPr>
        <w:t xml:space="preserve"> </w:t>
      </w:r>
      <w:r w:rsidR="00436F29">
        <w:rPr>
          <w:rFonts w:ascii="Times New Roman" w:hAnsi="Times New Roman"/>
          <w:sz w:val="26"/>
          <w:szCs w:val="26"/>
        </w:rPr>
        <w:t>T</w:t>
      </w:r>
      <w:r w:rsidR="00BF5531">
        <w:rPr>
          <w:rFonts w:ascii="Times New Roman" w:hAnsi="Times New Roman"/>
          <w:sz w:val="26"/>
          <w:szCs w:val="26"/>
        </w:rPr>
        <w:t>est</w:t>
      </w:r>
      <w:r w:rsidR="00726645" w:rsidRPr="00615BDE">
        <w:rPr>
          <w:rFonts w:ascii="Times New Roman" w:hAnsi="Times New Roman"/>
          <w:sz w:val="26"/>
          <w:szCs w:val="26"/>
        </w:rPr>
        <w:t xml:space="preserve">, </w:t>
      </w:r>
      <w:r w:rsidR="00374CB3" w:rsidRPr="00615BDE">
        <w:rPr>
          <w:rFonts w:ascii="Times New Roman" w:hAnsi="Times New Roman"/>
          <w:sz w:val="26"/>
          <w:szCs w:val="26"/>
        </w:rPr>
        <w:t>as</w:t>
      </w:r>
      <w:r w:rsidR="00726645" w:rsidRPr="00615BDE">
        <w:rPr>
          <w:rFonts w:ascii="Times New Roman" w:hAnsi="Times New Roman"/>
          <w:sz w:val="26"/>
          <w:szCs w:val="26"/>
        </w:rPr>
        <w:t xml:space="preserve"> long as all of the programs in an EDC’s EE&amp;C plan taken in total pass the TRC </w:t>
      </w:r>
      <w:r w:rsidR="00436F29">
        <w:rPr>
          <w:rFonts w:ascii="Times New Roman" w:hAnsi="Times New Roman"/>
          <w:sz w:val="26"/>
          <w:szCs w:val="26"/>
        </w:rPr>
        <w:t>T</w:t>
      </w:r>
      <w:r w:rsidR="00726645" w:rsidRPr="00615BDE">
        <w:rPr>
          <w:rFonts w:ascii="Times New Roman" w:hAnsi="Times New Roman"/>
          <w:sz w:val="26"/>
          <w:szCs w:val="26"/>
        </w:rPr>
        <w:t xml:space="preserve">est, then the EDC’s EE&amp;C plan will be deemed cost-effective.  </w:t>
      </w:r>
      <w:r w:rsidR="00E738D8">
        <w:rPr>
          <w:rFonts w:ascii="Times New Roman" w:hAnsi="Times New Roman"/>
          <w:sz w:val="26"/>
          <w:szCs w:val="26"/>
        </w:rPr>
        <w:t>However,</w:t>
      </w:r>
      <w:r w:rsidR="00E738D8" w:rsidRPr="00E738D8">
        <w:rPr>
          <w:rFonts w:ascii="Times New Roman" w:hAnsi="Times New Roman"/>
          <w:sz w:val="26"/>
          <w:szCs w:val="26"/>
        </w:rPr>
        <w:t xml:space="preserve"> </w:t>
      </w:r>
      <w:r w:rsidR="00E738D8">
        <w:rPr>
          <w:rFonts w:ascii="Times New Roman" w:hAnsi="Times New Roman"/>
          <w:sz w:val="26"/>
          <w:szCs w:val="26"/>
        </w:rPr>
        <w:t xml:space="preserve">as was true for Phase I, the Commission reserves the right to reject any program with a low TRC ratio, indicating the program will not be cost-effective.  </w:t>
      </w:r>
      <w:r w:rsidR="00386AC4">
        <w:rPr>
          <w:rFonts w:ascii="Times New Roman" w:hAnsi="Times New Roman"/>
          <w:sz w:val="26"/>
          <w:szCs w:val="26"/>
        </w:rPr>
        <w:t>Further</w:t>
      </w:r>
      <w:r w:rsidR="00615BDE">
        <w:rPr>
          <w:rFonts w:ascii="Times New Roman" w:hAnsi="Times New Roman"/>
          <w:sz w:val="26"/>
          <w:szCs w:val="26"/>
        </w:rPr>
        <w:t>, as was directed in Phase I, the Commission proposes that all</w:t>
      </w:r>
      <w:r w:rsidR="00726645" w:rsidRPr="00615BDE">
        <w:rPr>
          <w:rFonts w:ascii="Times New Roman" w:hAnsi="Times New Roman"/>
          <w:sz w:val="26"/>
          <w:szCs w:val="26"/>
        </w:rPr>
        <w:t xml:space="preserve"> EDC plans provide information at the program level in order to facilitate interested parties and the Commission in reviewing the balance of programs that EDCs select for their EE&amp;C plans.</w:t>
      </w:r>
      <w:r w:rsidR="0046014B" w:rsidRPr="0046014B">
        <w:rPr>
          <w:rStyle w:val="FootnoteReference"/>
          <w:rFonts w:ascii="Times New Roman" w:hAnsi="Times New Roman"/>
          <w:sz w:val="26"/>
          <w:szCs w:val="26"/>
        </w:rPr>
        <w:t xml:space="preserve"> </w:t>
      </w:r>
      <w:r w:rsidR="0046014B">
        <w:rPr>
          <w:rStyle w:val="FootnoteReference"/>
          <w:rFonts w:ascii="Times New Roman" w:hAnsi="Times New Roman"/>
          <w:sz w:val="26"/>
          <w:szCs w:val="26"/>
        </w:rPr>
        <w:footnoteReference w:id="12"/>
      </w:r>
      <w:r w:rsidR="00F36F8D">
        <w:rPr>
          <w:rFonts w:ascii="Times New Roman" w:hAnsi="Times New Roman"/>
          <w:sz w:val="26"/>
          <w:szCs w:val="26"/>
        </w:rPr>
        <w:t xml:space="preserve"> </w:t>
      </w:r>
    </w:p>
    <w:p w:rsidR="00C961A7" w:rsidRDefault="00C961A7" w:rsidP="00A97E8E">
      <w:pPr>
        <w:keepNext/>
        <w:spacing w:line="360" w:lineRule="auto"/>
        <w:rPr>
          <w:b/>
          <w:sz w:val="26"/>
          <w:szCs w:val="26"/>
        </w:rPr>
      </w:pPr>
    </w:p>
    <w:p w:rsidR="00210F48" w:rsidRPr="002F4C1B" w:rsidRDefault="00975ABC" w:rsidP="002F4C1B">
      <w:pPr>
        <w:pStyle w:val="ListParagraph"/>
        <w:keepNext/>
        <w:numPr>
          <w:ilvl w:val="0"/>
          <w:numId w:val="26"/>
        </w:numPr>
        <w:spacing w:line="240" w:lineRule="auto"/>
        <w:ind w:left="1440" w:hanging="720"/>
        <w:rPr>
          <w:rFonts w:ascii="Times New Roman" w:hAnsi="Times New Roman"/>
          <w:sz w:val="26"/>
          <w:szCs w:val="26"/>
        </w:rPr>
      </w:pPr>
      <w:r w:rsidRPr="0077547A">
        <w:rPr>
          <w:rFonts w:ascii="Times New Roman" w:hAnsi="Times New Roman"/>
          <w:b/>
          <w:sz w:val="26"/>
          <w:szCs w:val="26"/>
        </w:rPr>
        <w:t>Cost-Effectiveness Evaluations and Reporting Results a</w:t>
      </w:r>
      <w:r w:rsidR="00726645" w:rsidRPr="0077547A">
        <w:rPr>
          <w:rFonts w:ascii="Times New Roman" w:hAnsi="Times New Roman"/>
          <w:b/>
          <w:sz w:val="26"/>
          <w:szCs w:val="26"/>
        </w:rPr>
        <w:t xml:space="preserve">nd Timing of TRC Reports </w:t>
      </w:r>
    </w:p>
    <w:p w:rsidR="002F4C1B" w:rsidRPr="0077547A" w:rsidRDefault="002F4C1B" w:rsidP="002F4C1B">
      <w:pPr>
        <w:pStyle w:val="ListParagraph"/>
        <w:keepNext/>
        <w:spacing w:line="240" w:lineRule="auto"/>
        <w:ind w:left="1440"/>
        <w:rPr>
          <w:rFonts w:ascii="Times New Roman" w:hAnsi="Times New Roman"/>
          <w:sz w:val="26"/>
          <w:szCs w:val="26"/>
        </w:rPr>
      </w:pPr>
    </w:p>
    <w:p w:rsidR="00210F48" w:rsidRPr="00210F48" w:rsidRDefault="00210F48" w:rsidP="002F4C1B">
      <w:pPr>
        <w:pStyle w:val="ListParagraph"/>
        <w:numPr>
          <w:ilvl w:val="0"/>
          <w:numId w:val="6"/>
        </w:numPr>
        <w:spacing w:after="0" w:line="480" w:lineRule="auto"/>
        <w:ind w:left="2160" w:hanging="720"/>
        <w:rPr>
          <w:rFonts w:ascii="Times New Roman" w:hAnsi="Times New Roman"/>
          <w:sz w:val="26"/>
          <w:szCs w:val="26"/>
        </w:rPr>
      </w:pPr>
      <w:r w:rsidRPr="00210F48">
        <w:rPr>
          <w:rFonts w:ascii="Times New Roman" w:hAnsi="Times New Roman"/>
          <w:sz w:val="26"/>
          <w:szCs w:val="26"/>
        </w:rPr>
        <w:t>Discussion</w:t>
      </w:r>
    </w:p>
    <w:p w:rsidR="00210F48" w:rsidRPr="00210F48" w:rsidRDefault="00210F48" w:rsidP="00F347F1">
      <w:pPr>
        <w:pStyle w:val="ListParagraph"/>
        <w:spacing w:after="0" w:line="360" w:lineRule="auto"/>
        <w:ind w:left="0" w:firstLine="720"/>
        <w:rPr>
          <w:rFonts w:ascii="Times New Roman" w:hAnsi="Times New Roman"/>
          <w:sz w:val="26"/>
          <w:szCs w:val="26"/>
        </w:rPr>
      </w:pPr>
      <w:r w:rsidRPr="00210F48">
        <w:rPr>
          <w:rFonts w:ascii="Times New Roman" w:hAnsi="Times New Roman"/>
          <w:sz w:val="26"/>
          <w:szCs w:val="26"/>
        </w:rPr>
        <w:t xml:space="preserve">The Commission recognizes that the EDCs’ final Act 129 annual reports include mostly verified energy savings and actual program costs, as opposed to estimated savings and costs.  </w:t>
      </w:r>
      <w:r>
        <w:rPr>
          <w:rFonts w:ascii="Times New Roman" w:hAnsi="Times New Roman"/>
          <w:sz w:val="26"/>
          <w:szCs w:val="26"/>
        </w:rPr>
        <w:t xml:space="preserve">During Phase I, the EDCs were directed to </w:t>
      </w:r>
      <w:r w:rsidRPr="00210F48">
        <w:rPr>
          <w:rFonts w:ascii="Times New Roman" w:hAnsi="Times New Roman"/>
          <w:sz w:val="26"/>
          <w:szCs w:val="26"/>
        </w:rPr>
        <w:t xml:space="preserve">submit TRC </w:t>
      </w:r>
      <w:r w:rsidR="00436F29">
        <w:rPr>
          <w:rFonts w:ascii="Times New Roman" w:hAnsi="Times New Roman"/>
          <w:sz w:val="26"/>
          <w:szCs w:val="26"/>
        </w:rPr>
        <w:t>T</w:t>
      </w:r>
      <w:r w:rsidRPr="00210F48">
        <w:rPr>
          <w:rFonts w:ascii="Times New Roman" w:hAnsi="Times New Roman"/>
          <w:sz w:val="26"/>
          <w:szCs w:val="26"/>
        </w:rPr>
        <w:t xml:space="preserve">est results annually in their Act 129 final annual reports </w:t>
      </w:r>
      <w:r>
        <w:rPr>
          <w:rFonts w:ascii="Times New Roman" w:hAnsi="Times New Roman"/>
          <w:sz w:val="26"/>
          <w:szCs w:val="26"/>
        </w:rPr>
        <w:t xml:space="preserve">to </w:t>
      </w:r>
      <w:r w:rsidRPr="00210F48">
        <w:rPr>
          <w:rFonts w:ascii="Times New Roman" w:hAnsi="Times New Roman"/>
          <w:sz w:val="26"/>
          <w:szCs w:val="26"/>
        </w:rPr>
        <w:t xml:space="preserve">ensure that the data set used to identify the savings and costs </w:t>
      </w:r>
      <w:r>
        <w:rPr>
          <w:rFonts w:ascii="Times New Roman" w:hAnsi="Times New Roman"/>
          <w:sz w:val="26"/>
          <w:szCs w:val="26"/>
        </w:rPr>
        <w:t>were</w:t>
      </w:r>
      <w:r w:rsidRPr="00210F48">
        <w:rPr>
          <w:rFonts w:ascii="Times New Roman" w:hAnsi="Times New Roman"/>
          <w:sz w:val="26"/>
          <w:szCs w:val="26"/>
        </w:rPr>
        <w:t xml:space="preserve"> complete and that the actual cost-effectiveness of the programs </w:t>
      </w:r>
      <w:r w:rsidR="00975ABC">
        <w:rPr>
          <w:rFonts w:ascii="Times New Roman" w:hAnsi="Times New Roman"/>
          <w:sz w:val="26"/>
          <w:szCs w:val="26"/>
        </w:rPr>
        <w:t>was</w:t>
      </w:r>
      <w:r w:rsidRPr="00210F48">
        <w:rPr>
          <w:rFonts w:ascii="Times New Roman" w:hAnsi="Times New Roman"/>
          <w:sz w:val="26"/>
          <w:szCs w:val="26"/>
        </w:rPr>
        <w:t xml:space="preserve"> more accurately determined.</w:t>
      </w:r>
      <w:r w:rsidR="00EB49F3">
        <w:rPr>
          <w:rStyle w:val="FootnoteReference"/>
          <w:rFonts w:ascii="Times New Roman" w:hAnsi="Times New Roman"/>
          <w:sz w:val="26"/>
          <w:szCs w:val="26"/>
        </w:rPr>
        <w:footnoteReference w:id="13"/>
      </w:r>
    </w:p>
    <w:p w:rsidR="00210F48" w:rsidRDefault="00210F48" w:rsidP="00F347F1">
      <w:pPr>
        <w:spacing w:line="360" w:lineRule="auto"/>
        <w:ind w:firstLine="720"/>
        <w:rPr>
          <w:sz w:val="26"/>
          <w:szCs w:val="26"/>
        </w:rPr>
      </w:pPr>
    </w:p>
    <w:p w:rsidR="00210F48" w:rsidRPr="00210F48" w:rsidRDefault="00210F48" w:rsidP="002F4C1B">
      <w:pPr>
        <w:pStyle w:val="ListParagraph"/>
        <w:keepNext/>
        <w:numPr>
          <w:ilvl w:val="0"/>
          <w:numId w:val="6"/>
        </w:numPr>
        <w:spacing w:after="0" w:line="480" w:lineRule="auto"/>
        <w:ind w:left="2160" w:hanging="720"/>
        <w:rPr>
          <w:rFonts w:ascii="Times New Roman" w:hAnsi="Times New Roman"/>
          <w:sz w:val="26"/>
          <w:szCs w:val="26"/>
        </w:rPr>
      </w:pPr>
      <w:r w:rsidRPr="00210F48">
        <w:rPr>
          <w:rFonts w:ascii="Times New Roman" w:hAnsi="Times New Roman"/>
          <w:sz w:val="26"/>
          <w:szCs w:val="26"/>
        </w:rPr>
        <w:t xml:space="preserve">Proposed </w:t>
      </w:r>
      <w:r w:rsidR="00121859">
        <w:rPr>
          <w:rFonts w:ascii="Times New Roman" w:hAnsi="Times New Roman"/>
          <w:sz w:val="26"/>
          <w:szCs w:val="26"/>
        </w:rPr>
        <w:t>r</w:t>
      </w:r>
      <w:r w:rsidRPr="00210F48">
        <w:rPr>
          <w:rFonts w:ascii="Times New Roman" w:hAnsi="Times New Roman"/>
          <w:sz w:val="26"/>
          <w:szCs w:val="26"/>
        </w:rPr>
        <w:t>esolution</w:t>
      </w:r>
    </w:p>
    <w:p w:rsidR="00975ABC" w:rsidRDefault="00A250C5" w:rsidP="00F347F1">
      <w:pPr>
        <w:pStyle w:val="ListParagraph"/>
        <w:spacing w:after="0" w:line="360" w:lineRule="auto"/>
        <w:ind w:left="0" w:firstLine="720"/>
        <w:rPr>
          <w:rFonts w:ascii="Times New Roman" w:hAnsi="Times New Roman"/>
          <w:sz w:val="26"/>
          <w:szCs w:val="26"/>
        </w:rPr>
      </w:pPr>
      <w:r>
        <w:rPr>
          <w:rFonts w:ascii="Times New Roman" w:hAnsi="Times New Roman"/>
          <w:sz w:val="26"/>
          <w:szCs w:val="26"/>
        </w:rPr>
        <w:t>If Phase II is approved, t</w:t>
      </w:r>
      <w:r w:rsidR="00210F48">
        <w:rPr>
          <w:rFonts w:ascii="Times New Roman" w:hAnsi="Times New Roman"/>
          <w:sz w:val="26"/>
          <w:szCs w:val="26"/>
        </w:rPr>
        <w:t xml:space="preserve">he Commission proposes that EDCs continue to report the results of the TRC </w:t>
      </w:r>
      <w:r w:rsidR="00436F29">
        <w:rPr>
          <w:rFonts w:ascii="Times New Roman" w:hAnsi="Times New Roman"/>
          <w:sz w:val="26"/>
          <w:szCs w:val="26"/>
        </w:rPr>
        <w:t>T</w:t>
      </w:r>
      <w:r w:rsidR="00210F48">
        <w:rPr>
          <w:rFonts w:ascii="Times New Roman" w:hAnsi="Times New Roman"/>
          <w:sz w:val="26"/>
          <w:szCs w:val="26"/>
        </w:rPr>
        <w:t xml:space="preserve">est annually as a part of their Act 129 final annual reports. </w:t>
      </w:r>
      <w:r w:rsidR="00726645" w:rsidRPr="00210F48">
        <w:rPr>
          <w:rFonts w:ascii="Times New Roman" w:hAnsi="Times New Roman"/>
          <w:sz w:val="26"/>
          <w:szCs w:val="26"/>
        </w:rPr>
        <w:t xml:space="preserve"> Additionally, the TRC ratio</w:t>
      </w:r>
      <w:r w:rsidR="00C9396B">
        <w:rPr>
          <w:rFonts w:ascii="Times New Roman" w:hAnsi="Times New Roman"/>
          <w:sz w:val="26"/>
          <w:szCs w:val="26"/>
        </w:rPr>
        <w:t>s</w:t>
      </w:r>
      <w:r w:rsidR="00726645" w:rsidRPr="00210F48">
        <w:rPr>
          <w:rFonts w:ascii="Times New Roman" w:hAnsi="Times New Roman"/>
          <w:sz w:val="26"/>
          <w:szCs w:val="26"/>
        </w:rPr>
        <w:t xml:space="preserve"> for each EDC program and </w:t>
      </w:r>
      <w:r w:rsidR="00C9396B">
        <w:rPr>
          <w:rFonts w:ascii="Times New Roman" w:hAnsi="Times New Roman"/>
          <w:sz w:val="26"/>
          <w:szCs w:val="26"/>
        </w:rPr>
        <w:t xml:space="preserve">for </w:t>
      </w:r>
      <w:r w:rsidR="00726645" w:rsidRPr="00210F48">
        <w:rPr>
          <w:rFonts w:ascii="Times New Roman" w:hAnsi="Times New Roman"/>
          <w:sz w:val="26"/>
          <w:szCs w:val="26"/>
        </w:rPr>
        <w:t xml:space="preserve">the portfolio </w:t>
      </w:r>
      <w:r w:rsidR="00210F48">
        <w:rPr>
          <w:rFonts w:ascii="Times New Roman" w:hAnsi="Times New Roman"/>
          <w:sz w:val="26"/>
          <w:szCs w:val="26"/>
        </w:rPr>
        <w:t>should</w:t>
      </w:r>
      <w:r w:rsidR="00726645" w:rsidRPr="00210F48">
        <w:rPr>
          <w:rFonts w:ascii="Times New Roman" w:hAnsi="Times New Roman"/>
          <w:sz w:val="26"/>
          <w:szCs w:val="26"/>
        </w:rPr>
        <w:t xml:space="preserve"> be included in the EDCs’ Act</w:t>
      </w:r>
      <w:r w:rsidR="00C9396B">
        <w:rPr>
          <w:rFonts w:ascii="Times New Roman" w:hAnsi="Times New Roman"/>
          <w:sz w:val="26"/>
          <w:szCs w:val="26"/>
        </w:rPr>
        <w:t> </w:t>
      </w:r>
      <w:r w:rsidR="00726645" w:rsidRPr="00210F48">
        <w:rPr>
          <w:rFonts w:ascii="Times New Roman" w:hAnsi="Times New Roman"/>
          <w:sz w:val="26"/>
          <w:szCs w:val="26"/>
        </w:rPr>
        <w:t xml:space="preserve">129 final annual report.  The </w:t>
      </w:r>
      <w:r w:rsidR="00AC6E08">
        <w:rPr>
          <w:rFonts w:ascii="Times New Roman" w:hAnsi="Times New Roman"/>
          <w:sz w:val="26"/>
          <w:szCs w:val="26"/>
        </w:rPr>
        <w:t>TRC</w:t>
      </w:r>
      <w:r w:rsidR="00726645" w:rsidRPr="00210F48">
        <w:rPr>
          <w:rFonts w:ascii="Times New Roman" w:hAnsi="Times New Roman"/>
          <w:sz w:val="26"/>
          <w:szCs w:val="26"/>
        </w:rPr>
        <w:t xml:space="preserve"> ratios would be based upon the latest available program costs and savings. </w:t>
      </w:r>
    </w:p>
    <w:p w:rsidR="00726645" w:rsidRPr="00210F48" w:rsidRDefault="00726645" w:rsidP="00F347F1">
      <w:pPr>
        <w:pStyle w:val="ListParagraph"/>
        <w:spacing w:after="0" w:line="360" w:lineRule="auto"/>
        <w:ind w:left="0" w:firstLine="720"/>
        <w:rPr>
          <w:rFonts w:ascii="Times New Roman" w:hAnsi="Times New Roman"/>
          <w:sz w:val="26"/>
          <w:szCs w:val="26"/>
        </w:rPr>
      </w:pPr>
    </w:p>
    <w:p w:rsidR="00726645" w:rsidRDefault="00B97E10" w:rsidP="002F4C1B">
      <w:pPr>
        <w:pStyle w:val="p3"/>
        <w:keepNext/>
        <w:numPr>
          <w:ilvl w:val="0"/>
          <w:numId w:val="25"/>
        </w:numPr>
        <w:tabs>
          <w:tab w:val="clear" w:pos="204"/>
          <w:tab w:val="left" w:pos="720"/>
        </w:tabs>
        <w:spacing w:line="480" w:lineRule="auto"/>
        <w:ind w:left="720"/>
        <w:rPr>
          <w:i/>
          <w:sz w:val="28"/>
          <w:szCs w:val="28"/>
        </w:rPr>
      </w:pPr>
      <w:r w:rsidRPr="00D46558">
        <w:rPr>
          <w:b/>
          <w:sz w:val="26"/>
          <w:szCs w:val="26"/>
        </w:rPr>
        <w:t xml:space="preserve">BENEFITS AND COSTS </w:t>
      </w:r>
    </w:p>
    <w:p w:rsidR="00726645" w:rsidRPr="002F4C1B" w:rsidRDefault="00643076" w:rsidP="002F4C1B">
      <w:pPr>
        <w:pStyle w:val="ListParagraph"/>
        <w:keepNext/>
        <w:numPr>
          <w:ilvl w:val="0"/>
          <w:numId w:val="27"/>
        </w:numPr>
        <w:spacing w:line="480" w:lineRule="auto"/>
        <w:ind w:left="1440" w:hanging="720"/>
        <w:rPr>
          <w:rFonts w:ascii="Times New Roman" w:hAnsi="Times New Roman"/>
          <w:b/>
          <w:sz w:val="26"/>
          <w:szCs w:val="26"/>
        </w:rPr>
      </w:pPr>
      <w:r w:rsidRPr="002F4C1B">
        <w:rPr>
          <w:rFonts w:ascii="Times New Roman" w:hAnsi="Times New Roman"/>
          <w:b/>
          <w:sz w:val="26"/>
          <w:szCs w:val="26"/>
        </w:rPr>
        <w:t>Basis of TRC Benefits</w:t>
      </w:r>
    </w:p>
    <w:p w:rsidR="00726645" w:rsidRPr="001B2FDE" w:rsidRDefault="00293D56" w:rsidP="002F4C1B">
      <w:pPr>
        <w:pStyle w:val="ListParagraph"/>
        <w:keepNext/>
        <w:numPr>
          <w:ilvl w:val="0"/>
          <w:numId w:val="1"/>
        </w:numPr>
        <w:overflowPunct w:val="0"/>
        <w:autoSpaceDE w:val="0"/>
        <w:autoSpaceDN w:val="0"/>
        <w:adjustRightInd w:val="0"/>
        <w:spacing w:after="0" w:line="480" w:lineRule="auto"/>
        <w:ind w:left="2160" w:hanging="720"/>
        <w:textAlignment w:val="baseline"/>
        <w:rPr>
          <w:rFonts w:ascii="Times New Roman" w:hAnsi="Times New Roman"/>
          <w:sz w:val="26"/>
          <w:szCs w:val="26"/>
        </w:rPr>
      </w:pPr>
      <w:r>
        <w:rPr>
          <w:rFonts w:ascii="Times New Roman" w:hAnsi="Times New Roman"/>
          <w:sz w:val="26"/>
          <w:szCs w:val="26"/>
        </w:rPr>
        <w:t>Discussion</w:t>
      </w:r>
    </w:p>
    <w:p w:rsidR="00F20A1C" w:rsidRPr="00C25E9F" w:rsidRDefault="00293D56" w:rsidP="00F20A1C">
      <w:pPr>
        <w:pStyle w:val="ListParagraph"/>
        <w:spacing w:after="0" w:line="360" w:lineRule="auto"/>
        <w:ind w:left="0" w:firstLine="720"/>
        <w:rPr>
          <w:rFonts w:ascii="Times New Roman" w:hAnsi="Times New Roman"/>
          <w:sz w:val="26"/>
          <w:szCs w:val="26"/>
        </w:rPr>
      </w:pPr>
      <w:r>
        <w:rPr>
          <w:rFonts w:ascii="Times New Roman" w:hAnsi="Times New Roman"/>
          <w:sz w:val="26"/>
          <w:szCs w:val="26"/>
        </w:rPr>
        <w:t>For Phase I, it was determined that t</w:t>
      </w:r>
      <w:r w:rsidRPr="00293D56">
        <w:rPr>
          <w:rFonts w:ascii="Times New Roman" w:hAnsi="Times New Roman"/>
          <w:iCs/>
          <w:sz w:val="26"/>
          <w:szCs w:val="26"/>
        </w:rPr>
        <w:t xml:space="preserve">he calculation of TRC benefits </w:t>
      </w:r>
      <w:r>
        <w:rPr>
          <w:rFonts w:ascii="Times New Roman" w:hAnsi="Times New Roman"/>
          <w:iCs/>
          <w:sz w:val="26"/>
          <w:szCs w:val="26"/>
        </w:rPr>
        <w:t>should be</w:t>
      </w:r>
      <w:r w:rsidRPr="00293D56">
        <w:rPr>
          <w:rFonts w:ascii="Times New Roman" w:hAnsi="Times New Roman"/>
          <w:iCs/>
          <w:sz w:val="26"/>
          <w:szCs w:val="26"/>
        </w:rPr>
        <w:t xml:space="preserve"> </w:t>
      </w:r>
      <w:r>
        <w:rPr>
          <w:rFonts w:ascii="Times New Roman" w:hAnsi="Times New Roman"/>
          <w:iCs/>
          <w:sz w:val="26"/>
          <w:szCs w:val="26"/>
        </w:rPr>
        <w:t>b</w:t>
      </w:r>
      <w:r w:rsidRPr="00293D56">
        <w:rPr>
          <w:rFonts w:ascii="Times New Roman" w:hAnsi="Times New Roman"/>
          <w:iCs/>
          <w:sz w:val="26"/>
          <w:szCs w:val="26"/>
        </w:rPr>
        <w:t>ased upon “verified</w:t>
      </w:r>
      <w:r>
        <w:rPr>
          <w:rFonts w:ascii="Times New Roman" w:hAnsi="Times New Roman"/>
          <w:iCs/>
          <w:sz w:val="26"/>
          <w:szCs w:val="26"/>
        </w:rPr>
        <w:t xml:space="preserve"> gross</w:t>
      </w:r>
      <w:r w:rsidRPr="00293D56">
        <w:rPr>
          <w:rFonts w:ascii="Times New Roman" w:hAnsi="Times New Roman"/>
          <w:iCs/>
          <w:sz w:val="26"/>
          <w:szCs w:val="26"/>
        </w:rPr>
        <w:t xml:space="preserve">” kWh and kW </w:t>
      </w:r>
      <w:r w:rsidR="00274BD7">
        <w:rPr>
          <w:rFonts w:ascii="Times New Roman" w:hAnsi="Times New Roman"/>
          <w:iCs/>
          <w:sz w:val="26"/>
          <w:szCs w:val="26"/>
        </w:rPr>
        <w:t xml:space="preserve">electric </w:t>
      </w:r>
      <w:r w:rsidRPr="00293D56">
        <w:rPr>
          <w:rFonts w:ascii="Times New Roman" w:hAnsi="Times New Roman"/>
          <w:iCs/>
          <w:sz w:val="26"/>
          <w:szCs w:val="26"/>
        </w:rPr>
        <w:t>savings and</w:t>
      </w:r>
      <w:r>
        <w:rPr>
          <w:rFonts w:ascii="Times New Roman" w:hAnsi="Times New Roman"/>
          <w:iCs/>
          <w:sz w:val="26"/>
          <w:szCs w:val="26"/>
        </w:rPr>
        <w:t xml:space="preserve"> that</w:t>
      </w:r>
      <w:r w:rsidRPr="00293D56">
        <w:rPr>
          <w:rFonts w:ascii="Times New Roman" w:hAnsi="Times New Roman"/>
          <w:iCs/>
          <w:sz w:val="26"/>
          <w:szCs w:val="26"/>
        </w:rPr>
        <w:t xml:space="preserve"> </w:t>
      </w:r>
      <w:r>
        <w:rPr>
          <w:rFonts w:ascii="Times New Roman" w:hAnsi="Times New Roman"/>
          <w:iCs/>
          <w:sz w:val="26"/>
          <w:szCs w:val="26"/>
        </w:rPr>
        <w:t xml:space="preserve">costs should be </w:t>
      </w:r>
      <w:r w:rsidRPr="00293D56">
        <w:rPr>
          <w:rFonts w:ascii="Times New Roman" w:hAnsi="Times New Roman"/>
          <w:iCs/>
          <w:sz w:val="26"/>
          <w:szCs w:val="26"/>
        </w:rPr>
        <w:t>based on “actual” costs,</w:t>
      </w:r>
      <w:r w:rsidRPr="00293D56">
        <w:rPr>
          <w:rFonts w:ascii="Times New Roman" w:hAnsi="Times New Roman"/>
          <w:bCs/>
          <w:iCs/>
          <w:sz w:val="26"/>
          <w:szCs w:val="26"/>
        </w:rPr>
        <w:t xml:space="preserve"> defined as actual EDC program cost</w:t>
      </w:r>
      <w:r>
        <w:rPr>
          <w:rFonts w:ascii="Times New Roman" w:hAnsi="Times New Roman"/>
          <w:bCs/>
          <w:iCs/>
          <w:sz w:val="26"/>
          <w:szCs w:val="26"/>
        </w:rPr>
        <w:t xml:space="preserve">.  </w:t>
      </w:r>
      <w:r w:rsidR="00F20A1C" w:rsidRPr="00C25E9F">
        <w:rPr>
          <w:rFonts w:ascii="Times New Roman" w:hAnsi="Times New Roman"/>
          <w:sz w:val="26"/>
          <w:szCs w:val="26"/>
        </w:rPr>
        <w:t xml:space="preserve">Basing the calculation of TRC ratios on verified </w:t>
      </w:r>
      <w:r w:rsidR="00F20A1C">
        <w:rPr>
          <w:rFonts w:ascii="Times New Roman" w:hAnsi="Times New Roman"/>
          <w:sz w:val="26"/>
          <w:szCs w:val="26"/>
        </w:rPr>
        <w:t xml:space="preserve">gross </w:t>
      </w:r>
      <w:r w:rsidR="00F20A1C" w:rsidRPr="00C25E9F">
        <w:rPr>
          <w:rFonts w:ascii="Times New Roman" w:hAnsi="Times New Roman"/>
          <w:sz w:val="26"/>
          <w:szCs w:val="26"/>
        </w:rPr>
        <w:t xml:space="preserve">kWh and kW </w:t>
      </w:r>
      <w:r w:rsidR="00421332">
        <w:rPr>
          <w:rFonts w:ascii="Times New Roman" w:hAnsi="Times New Roman"/>
          <w:sz w:val="26"/>
          <w:szCs w:val="26"/>
        </w:rPr>
        <w:t xml:space="preserve">electric </w:t>
      </w:r>
      <w:r w:rsidR="00F20A1C" w:rsidRPr="00C25E9F">
        <w:rPr>
          <w:rFonts w:ascii="Times New Roman" w:hAnsi="Times New Roman"/>
          <w:sz w:val="26"/>
          <w:szCs w:val="26"/>
        </w:rPr>
        <w:t xml:space="preserve">savings and on actual costs </w:t>
      </w:r>
      <w:r w:rsidR="00F20A1C">
        <w:rPr>
          <w:rFonts w:ascii="Times New Roman" w:hAnsi="Times New Roman"/>
          <w:sz w:val="26"/>
          <w:szCs w:val="26"/>
        </w:rPr>
        <w:t>provides</w:t>
      </w:r>
      <w:r w:rsidR="00F20A1C" w:rsidRPr="00C25E9F">
        <w:rPr>
          <w:rFonts w:ascii="Times New Roman" w:hAnsi="Times New Roman"/>
          <w:sz w:val="26"/>
          <w:szCs w:val="26"/>
        </w:rPr>
        <w:t xml:space="preserve"> </w:t>
      </w:r>
      <w:r w:rsidR="00F20A1C">
        <w:rPr>
          <w:rFonts w:ascii="Times New Roman" w:hAnsi="Times New Roman"/>
          <w:sz w:val="26"/>
          <w:szCs w:val="26"/>
        </w:rPr>
        <w:t xml:space="preserve">us </w:t>
      </w:r>
      <w:r w:rsidR="00F20A1C" w:rsidRPr="00C25E9F">
        <w:rPr>
          <w:rFonts w:ascii="Times New Roman" w:hAnsi="Times New Roman"/>
          <w:sz w:val="26"/>
          <w:szCs w:val="26"/>
        </w:rPr>
        <w:t>with the most accurate and reliable data on program costs, savings, and cost effectiveness.</w:t>
      </w:r>
      <w:r w:rsidR="00B270A5">
        <w:rPr>
          <w:rStyle w:val="FootnoteReference"/>
          <w:rFonts w:ascii="Times New Roman" w:hAnsi="Times New Roman"/>
          <w:sz w:val="26"/>
          <w:szCs w:val="26"/>
        </w:rPr>
        <w:footnoteReference w:id="14"/>
      </w:r>
    </w:p>
    <w:p w:rsidR="00726645" w:rsidRPr="00293D56" w:rsidRDefault="00726645" w:rsidP="00F347F1">
      <w:pPr>
        <w:pStyle w:val="ListParagraph"/>
        <w:overflowPunct w:val="0"/>
        <w:autoSpaceDE w:val="0"/>
        <w:autoSpaceDN w:val="0"/>
        <w:adjustRightInd w:val="0"/>
        <w:spacing w:after="0" w:line="360" w:lineRule="auto"/>
        <w:ind w:left="0"/>
        <w:textAlignment w:val="baseline"/>
        <w:rPr>
          <w:rFonts w:ascii="Times New Roman" w:hAnsi="Times New Roman"/>
          <w:sz w:val="26"/>
          <w:szCs w:val="26"/>
        </w:rPr>
      </w:pPr>
    </w:p>
    <w:p w:rsidR="00726645" w:rsidRPr="001B2FDE" w:rsidRDefault="00293D56" w:rsidP="002F4C1B">
      <w:pPr>
        <w:pStyle w:val="ListParagraph"/>
        <w:keepNext/>
        <w:numPr>
          <w:ilvl w:val="0"/>
          <w:numId w:val="1"/>
        </w:numPr>
        <w:overflowPunct w:val="0"/>
        <w:autoSpaceDE w:val="0"/>
        <w:autoSpaceDN w:val="0"/>
        <w:adjustRightInd w:val="0"/>
        <w:spacing w:after="0" w:line="480" w:lineRule="auto"/>
        <w:ind w:left="2160" w:hanging="720"/>
        <w:textAlignment w:val="baseline"/>
        <w:rPr>
          <w:rFonts w:ascii="Times New Roman" w:hAnsi="Times New Roman"/>
          <w:sz w:val="26"/>
          <w:szCs w:val="26"/>
        </w:rPr>
      </w:pPr>
      <w:r>
        <w:rPr>
          <w:rFonts w:ascii="Times New Roman" w:hAnsi="Times New Roman"/>
          <w:sz w:val="26"/>
          <w:szCs w:val="26"/>
        </w:rPr>
        <w:t xml:space="preserve">Proposed resolution </w:t>
      </w:r>
    </w:p>
    <w:p w:rsidR="00726645" w:rsidRDefault="00293D56" w:rsidP="00F347F1">
      <w:pPr>
        <w:pStyle w:val="ListParagraph"/>
        <w:overflowPunct w:val="0"/>
        <w:autoSpaceDE w:val="0"/>
        <w:autoSpaceDN w:val="0"/>
        <w:adjustRightInd w:val="0"/>
        <w:spacing w:after="0" w:line="360" w:lineRule="auto"/>
        <w:ind w:left="0" w:firstLine="720"/>
        <w:textAlignment w:val="baseline"/>
        <w:rPr>
          <w:rFonts w:ascii="Times New Roman" w:hAnsi="Times New Roman"/>
          <w:sz w:val="26"/>
          <w:szCs w:val="26"/>
        </w:rPr>
      </w:pPr>
      <w:r>
        <w:rPr>
          <w:rFonts w:ascii="Times New Roman" w:hAnsi="Times New Roman"/>
          <w:sz w:val="26"/>
          <w:szCs w:val="26"/>
        </w:rPr>
        <w:t>The Commission proposes that for</w:t>
      </w:r>
      <w:r w:rsidR="00A250C5">
        <w:rPr>
          <w:rFonts w:ascii="Times New Roman" w:hAnsi="Times New Roman"/>
          <w:sz w:val="26"/>
          <w:szCs w:val="26"/>
        </w:rPr>
        <w:t xml:space="preserve"> </w:t>
      </w:r>
      <w:r w:rsidR="00270284">
        <w:rPr>
          <w:rFonts w:ascii="Times New Roman" w:hAnsi="Times New Roman"/>
          <w:sz w:val="26"/>
          <w:szCs w:val="26"/>
        </w:rPr>
        <w:t>a</w:t>
      </w:r>
      <w:r w:rsidR="00A250C5">
        <w:rPr>
          <w:rFonts w:ascii="Times New Roman" w:hAnsi="Times New Roman"/>
          <w:sz w:val="26"/>
          <w:szCs w:val="26"/>
        </w:rPr>
        <w:t xml:space="preserve"> potential</w:t>
      </w:r>
      <w:r>
        <w:rPr>
          <w:rFonts w:ascii="Times New Roman" w:hAnsi="Times New Roman"/>
          <w:sz w:val="26"/>
          <w:szCs w:val="26"/>
        </w:rPr>
        <w:t xml:space="preserve"> Phase II the calculation of TRC benefits should</w:t>
      </w:r>
      <w:r w:rsidR="00C9396B">
        <w:rPr>
          <w:rFonts w:ascii="Times New Roman" w:hAnsi="Times New Roman"/>
          <w:sz w:val="26"/>
          <w:szCs w:val="26"/>
        </w:rPr>
        <w:t xml:space="preserve"> continue to</w:t>
      </w:r>
      <w:r>
        <w:rPr>
          <w:rFonts w:ascii="Times New Roman" w:hAnsi="Times New Roman"/>
          <w:sz w:val="26"/>
          <w:szCs w:val="26"/>
        </w:rPr>
        <w:t xml:space="preserve"> be based upon “verified</w:t>
      </w:r>
      <w:r w:rsidR="00917107">
        <w:rPr>
          <w:rFonts w:ascii="Times New Roman" w:hAnsi="Times New Roman"/>
          <w:sz w:val="26"/>
          <w:szCs w:val="26"/>
        </w:rPr>
        <w:t xml:space="preserve"> gross</w:t>
      </w:r>
      <w:r>
        <w:rPr>
          <w:rFonts w:ascii="Times New Roman" w:hAnsi="Times New Roman"/>
          <w:sz w:val="26"/>
          <w:szCs w:val="26"/>
        </w:rPr>
        <w:t xml:space="preserve">” </w:t>
      </w:r>
      <w:r w:rsidR="00B5063F">
        <w:rPr>
          <w:rFonts w:ascii="Times New Roman" w:hAnsi="Times New Roman"/>
          <w:sz w:val="26"/>
          <w:szCs w:val="26"/>
        </w:rPr>
        <w:t xml:space="preserve">kWh and kW </w:t>
      </w:r>
      <w:r w:rsidR="00421332">
        <w:rPr>
          <w:rFonts w:ascii="Times New Roman" w:hAnsi="Times New Roman"/>
          <w:sz w:val="26"/>
          <w:szCs w:val="26"/>
        </w:rPr>
        <w:t xml:space="preserve">electric </w:t>
      </w:r>
      <w:r>
        <w:rPr>
          <w:rFonts w:ascii="Times New Roman" w:hAnsi="Times New Roman"/>
          <w:sz w:val="26"/>
          <w:szCs w:val="26"/>
        </w:rPr>
        <w:t>savings</w:t>
      </w:r>
      <w:r w:rsidR="00C9396B">
        <w:rPr>
          <w:rFonts w:ascii="Times New Roman" w:hAnsi="Times New Roman"/>
          <w:sz w:val="26"/>
          <w:szCs w:val="26"/>
        </w:rPr>
        <w:t xml:space="preserve"> </w:t>
      </w:r>
      <w:r w:rsidR="00F87C9A">
        <w:rPr>
          <w:rFonts w:ascii="Times New Roman" w:hAnsi="Times New Roman"/>
          <w:sz w:val="26"/>
          <w:szCs w:val="26"/>
        </w:rPr>
        <w:t>and that costs should continue to be based on “actual” costs, as defined as actual EDC program cost.</w:t>
      </w:r>
      <w:r w:rsidR="00F20A1C">
        <w:rPr>
          <w:rFonts w:ascii="Times New Roman" w:hAnsi="Times New Roman"/>
          <w:sz w:val="26"/>
          <w:szCs w:val="26"/>
        </w:rPr>
        <w:t xml:space="preserve">  </w:t>
      </w:r>
    </w:p>
    <w:p w:rsidR="00293D56" w:rsidRPr="002F4C1B" w:rsidRDefault="00293D56" w:rsidP="00F347F1">
      <w:pPr>
        <w:pStyle w:val="ListParagraph"/>
        <w:overflowPunct w:val="0"/>
        <w:autoSpaceDE w:val="0"/>
        <w:autoSpaceDN w:val="0"/>
        <w:adjustRightInd w:val="0"/>
        <w:spacing w:after="0" w:line="360" w:lineRule="auto"/>
        <w:ind w:left="2160"/>
        <w:textAlignment w:val="baseline"/>
        <w:rPr>
          <w:rFonts w:ascii="Times New Roman" w:hAnsi="Times New Roman"/>
          <w:sz w:val="26"/>
          <w:szCs w:val="26"/>
        </w:rPr>
      </w:pPr>
    </w:p>
    <w:p w:rsidR="00334081" w:rsidRPr="002F4C1B" w:rsidRDefault="00334081" w:rsidP="002E56D0">
      <w:pPr>
        <w:pStyle w:val="ListParagraph"/>
        <w:keepNext/>
        <w:numPr>
          <w:ilvl w:val="0"/>
          <w:numId w:val="27"/>
        </w:numPr>
        <w:spacing w:line="480" w:lineRule="auto"/>
        <w:ind w:left="1440" w:hanging="720"/>
        <w:rPr>
          <w:rFonts w:ascii="Times New Roman" w:hAnsi="Times New Roman"/>
          <w:b/>
          <w:sz w:val="26"/>
          <w:szCs w:val="26"/>
        </w:rPr>
      </w:pPr>
      <w:r w:rsidRPr="002F4C1B">
        <w:rPr>
          <w:rFonts w:ascii="Times New Roman" w:hAnsi="Times New Roman"/>
          <w:b/>
          <w:sz w:val="26"/>
          <w:szCs w:val="26"/>
        </w:rPr>
        <w:lastRenderedPageBreak/>
        <w:t>Maximum 15-Year Measure Life</w:t>
      </w:r>
    </w:p>
    <w:p w:rsidR="00334081" w:rsidRPr="00615BDE" w:rsidRDefault="00334081" w:rsidP="002E56D0">
      <w:pPr>
        <w:pStyle w:val="ListParagraph"/>
        <w:keepNext/>
        <w:numPr>
          <w:ilvl w:val="0"/>
          <w:numId w:val="5"/>
        </w:numPr>
        <w:spacing w:after="0" w:line="480" w:lineRule="auto"/>
        <w:ind w:left="2160" w:hanging="720"/>
        <w:rPr>
          <w:rFonts w:ascii="Times New Roman" w:hAnsi="Times New Roman"/>
          <w:sz w:val="26"/>
          <w:szCs w:val="26"/>
        </w:rPr>
      </w:pPr>
      <w:r w:rsidRPr="00615BDE">
        <w:rPr>
          <w:rFonts w:ascii="Times New Roman" w:hAnsi="Times New Roman"/>
          <w:sz w:val="26"/>
          <w:szCs w:val="26"/>
        </w:rPr>
        <w:t>Discussion</w:t>
      </w:r>
    </w:p>
    <w:p w:rsidR="00334081" w:rsidRPr="00615BDE" w:rsidRDefault="00334081" w:rsidP="00334081">
      <w:pPr>
        <w:pStyle w:val="ListParagraph"/>
        <w:spacing w:after="0" w:line="360" w:lineRule="auto"/>
        <w:ind w:left="-90" w:firstLine="810"/>
        <w:rPr>
          <w:rFonts w:ascii="Times New Roman" w:hAnsi="Times New Roman"/>
          <w:sz w:val="26"/>
          <w:szCs w:val="26"/>
        </w:rPr>
      </w:pPr>
      <w:r w:rsidRPr="00615BDE">
        <w:rPr>
          <w:rFonts w:ascii="Times New Roman" w:hAnsi="Times New Roman"/>
          <w:sz w:val="26"/>
          <w:szCs w:val="26"/>
        </w:rPr>
        <w:t xml:space="preserve">Act 129 limits the evaluation and TRC </w:t>
      </w:r>
      <w:r>
        <w:rPr>
          <w:rFonts w:ascii="Times New Roman" w:hAnsi="Times New Roman"/>
          <w:sz w:val="26"/>
          <w:szCs w:val="26"/>
        </w:rPr>
        <w:t>T</w:t>
      </w:r>
      <w:r w:rsidRPr="00615BDE">
        <w:rPr>
          <w:rFonts w:ascii="Times New Roman" w:hAnsi="Times New Roman"/>
          <w:sz w:val="26"/>
          <w:szCs w:val="26"/>
        </w:rPr>
        <w:t xml:space="preserve">est process to </w:t>
      </w:r>
      <w:r>
        <w:rPr>
          <w:rFonts w:ascii="Times New Roman" w:hAnsi="Times New Roman"/>
          <w:sz w:val="26"/>
          <w:szCs w:val="26"/>
        </w:rPr>
        <w:t>consideration of energy-</w:t>
      </w:r>
      <w:r w:rsidRPr="00615BDE">
        <w:rPr>
          <w:rFonts w:ascii="Times New Roman" w:hAnsi="Times New Roman"/>
          <w:sz w:val="26"/>
          <w:szCs w:val="26"/>
        </w:rPr>
        <w:t xml:space="preserve">efficiency effective measure lives of 15 years or less.  The Commission recognizes that EE&amp;C plans may include the provision and installation of measures that may have shorter or longer useful lives than 15 years.  However, for the purposes of calculating the TRC, the definition contained in the statute limits the energy or demand savings benefits of any given measure to a maximum of 15 years even where the measure may have a useful life beyond 15 years.  For example, if a high-efficiency product with an expected useful life of 20 years is placed in service as a result of an EDC’s EE&amp;C plan, the annual savings of only the first 15 years will be factored into the cost/benefit analysis under the TRC </w:t>
      </w:r>
      <w:r>
        <w:rPr>
          <w:rFonts w:ascii="Times New Roman" w:hAnsi="Times New Roman"/>
          <w:sz w:val="26"/>
          <w:szCs w:val="26"/>
        </w:rPr>
        <w:t>T</w:t>
      </w:r>
      <w:r w:rsidRPr="00615BDE">
        <w:rPr>
          <w:rFonts w:ascii="Times New Roman" w:hAnsi="Times New Roman"/>
          <w:sz w:val="26"/>
          <w:szCs w:val="26"/>
        </w:rPr>
        <w:t xml:space="preserve">est.  </w:t>
      </w:r>
      <w:r w:rsidRPr="00615BDE">
        <w:rPr>
          <w:rFonts w:ascii="Times New Roman" w:hAnsi="Times New Roman"/>
          <w:sz w:val="26"/>
        </w:rPr>
        <w:t xml:space="preserve">Accordingly, for the purposes of the TRC </w:t>
      </w:r>
      <w:r>
        <w:rPr>
          <w:rFonts w:ascii="Times New Roman" w:hAnsi="Times New Roman"/>
          <w:sz w:val="26"/>
        </w:rPr>
        <w:t>T</w:t>
      </w:r>
      <w:r w:rsidRPr="00615BDE">
        <w:rPr>
          <w:rFonts w:ascii="Times New Roman" w:hAnsi="Times New Roman"/>
          <w:sz w:val="26"/>
        </w:rPr>
        <w:t>est calculation, any given measure is limited to a maximum of 15 years of savings benefits.</w:t>
      </w:r>
      <w:r>
        <w:rPr>
          <w:rStyle w:val="FootnoteReference"/>
          <w:rFonts w:ascii="Times New Roman" w:hAnsi="Times New Roman"/>
          <w:sz w:val="26"/>
        </w:rPr>
        <w:footnoteReference w:id="15"/>
      </w:r>
      <w:r w:rsidRPr="00615BDE">
        <w:rPr>
          <w:rFonts w:ascii="Times New Roman" w:hAnsi="Times New Roman"/>
          <w:sz w:val="26"/>
        </w:rPr>
        <w:t xml:space="preserve">  </w:t>
      </w:r>
    </w:p>
    <w:p w:rsidR="00334081" w:rsidRPr="00615BDE" w:rsidRDefault="00334081" w:rsidP="00334081">
      <w:pPr>
        <w:spacing w:line="360" w:lineRule="auto"/>
        <w:rPr>
          <w:sz w:val="26"/>
        </w:rPr>
      </w:pPr>
    </w:p>
    <w:p w:rsidR="00334081" w:rsidRPr="00615BDE" w:rsidRDefault="00334081" w:rsidP="002F4C1B">
      <w:pPr>
        <w:pStyle w:val="ListParagraph"/>
        <w:numPr>
          <w:ilvl w:val="0"/>
          <w:numId w:val="5"/>
        </w:numPr>
        <w:spacing w:after="0" w:line="480" w:lineRule="auto"/>
        <w:ind w:left="2160" w:hanging="720"/>
        <w:rPr>
          <w:rFonts w:ascii="Times New Roman" w:hAnsi="Times New Roman"/>
          <w:sz w:val="26"/>
          <w:szCs w:val="26"/>
        </w:rPr>
      </w:pPr>
      <w:r w:rsidRPr="00615BDE">
        <w:rPr>
          <w:rFonts w:ascii="Times New Roman" w:hAnsi="Times New Roman"/>
          <w:sz w:val="26"/>
        </w:rPr>
        <w:t xml:space="preserve">Proposed </w:t>
      </w:r>
      <w:r w:rsidR="00121859">
        <w:rPr>
          <w:rFonts w:ascii="Times New Roman" w:hAnsi="Times New Roman"/>
          <w:sz w:val="26"/>
        </w:rPr>
        <w:t>r</w:t>
      </w:r>
      <w:r w:rsidRPr="00615BDE">
        <w:rPr>
          <w:rFonts w:ascii="Times New Roman" w:hAnsi="Times New Roman"/>
          <w:sz w:val="26"/>
        </w:rPr>
        <w:t>esolution</w:t>
      </w:r>
    </w:p>
    <w:p w:rsidR="00334081" w:rsidRDefault="00334081" w:rsidP="00334081">
      <w:pPr>
        <w:pStyle w:val="ListParagraph"/>
        <w:spacing w:after="0" w:line="360" w:lineRule="auto"/>
        <w:ind w:left="-90" w:firstLine="810"/>
        <w:rPr>
          <w:rFonts w:ascii="Times New Roman" w:hAnsi="Times New Roman"/>
          <w:sz w:val="26"/>
          <w:szCs w:val="26"/>
        </w:rPr>
      </w:pPr>
      <w:r>
        <w:rPr>
          <w:rFonts w:ascii="Times New Roman" w:hAnsi="Times New Roman"/>
          <w:sz w:val="26"/>
        </w:rPr>
        <w:t>It is proposed that, as with Phase I, f</w:t>
      </w:r>
      <w:r w:rsidRPr="00615BDE">
        <w:rPr>
          <w:rFonts w:ascii="Times New Roman" w:hAnsi="Times New Roman"/>
          <w:sz w:val="26"/>
        </w:rPr>
        <w:t>or the purposes of capturing</w:t>
      </w:r>
      <w:r w:rsidRPr="00374CB3">
        <w:rPr>
          <w:rFonts w:ascii="Times New Roman" w:hAnsi="Times New Roman"/>
          <w:sz w:val="26"/>
        </w:rPr>
        <w:t xml:space="preserve"> the energy or demand savings in </w:t>
      </w:r>
      <w:r>
        <w:rPr>
          <w:rFonts w:ascii="Times New Roman" w:hAnsi="Times New Roman"/>
          <w:sz w:val="26"/>
        </w:rPr>
        <w:t>evaluation, measurement, and verification (</w:t>
      </w:r>
      <w:r w:rsidRPr="00374CB3">
        <w:rPr>
          <w:rFonts w:ascii="Times New Roman" w:hAnsi="Times New Roman"/>
          <w:sz w:val="26"/>
        </w:rPr>
        <w:t>EM&amp;V</w:t>
      </w:r>
      <w:r>
        <w:rPr>
          <w:rFonts w:ascii="Times New Roman" w:hAnsi="Times New Roman"/>
          <w:sz w:val="26"/>
        </w:rPr>
        <w:t>)</w:t>
      </w:r>
      <w:r w:rsidRPr="00374CB3">
        <w:rPr>
          <w:rFonts w:ascii="Times New Roman" w:hAnsi="Times New Roman"/>
          <w:sz w:val="26"/>
        </w:rPr>
        <w:t xml:space="preserve"> prot</w:t>
      </w:r>
      <w:r>
        <w:rPr>
          <w:rFonts w:ascii="Times New Roman" w:hAnsi="Times New Roman"/>
          <w:sz w:val="26"/>
        </w:rPr>
        <w:t>ocols during</w:t>
      </w:r>
      <w:r w:rsidR="00A250C5">
        <w:rPr>
          <w:rFonts w:ascii="Times New Roman" w:hAnsi="Times New Roman"/>
          <w:sz w:val="26"/>
        </w:rPr>
        <w:t xml:space="preserve"> the proposed</w:t>
      </w:r>
      <w:r>
        <w:rPr>
          <w:rFonts w:ascii="Times New Roman" w:hAnsi="Times New Roman"/>
          <w:sz w:val="26"/>
        </w:rPr>
        <w:t xml:space="preserve"> Phase II, savings </w:t>
      </w:r>
      <w:r w:rsidR="00A75905">
        <w:rPr>
          <w:rFonts w:ascii="Times New Roman" w:hAnsi="Times New Roman"/>
          <w:sz w:val="26"/>
        </w:rPr>
        <w:t xml:space="preserve">data </w:t>
      </w:r>
      <w:r>
        <w:rPr>
          <w:rFonts w:ascii="Times New Roman" w:hAnsi="Times New Roman"/>
          <w:sz w:val="26"/>
        </w:rPr>
        <w:t>beyond 15 years (</w:t>
      </w:r>
      <w:r w:rsidRPr="00374CB3">
        <w:rPr>
          <w:rFonts w:ascii="Times New Roman" w:hAnsi="Times New Roman"/>
          <w:sz w:val="26"/>
        </w:rPr>
        <w:t>or beyond the term of a particular EE&amp;C plan</w:t>
      </w:r>
      <w:r>
        <w:rPr>
          <w:rFonts w:ascii="Times New Roman" w:hAnsi="Times New Roman"/>
          <w:sz w:val="26"/>
        </w:rPr>
        <w:t>)</w:t>
      </w:r>
      <w:r w:rsidRPr="00374CB3">
        <w:rPr>
          <w:rFonts w:ascii="Times New Roman" w:hAnsi="Times New Roman"/>
          <w:sz w:val="26"/>
        </w:rPr>
        <w:t xml:space="preserve"> should be </w:t>
      </w:r>
      <w:r w:rsidR="00A75905">
        <w:rPr>
          <w:rFonts w:ascii="Times New Roman" w:hAnsi="Times New Roman"/>
          <w:sz w:val="26"/>
        </w:rPr>
        <w:t xml:space="preserve">documented </w:t>
      </w:r>
      <w:r w:rsidRPr="00374CB3">
        <w:rPr>
          <w:rFonts w:ascii="Times New Roman" w:hAnsi="Times New Roman"/>
          <w:sz w:val="26"/>
        </w:rPr>
        <w:t>where warranted</w:t>
      </w:r>
      <w:r w:rsidR="00855963">
        <w:rPr>
          <w:rFonts w:ascii="Times New Roman" w:hAnsi="Times New Roman"/>
          <w:sz w:val="26"/>
        </w:rPr>
        <w:t xml:space="preserve"> </w:t>
      </w:r>
      <w:r w:rsidR="00A75905">
        <w:rPr>
          <w:rFonts w:ascii="Times New Roman" w:hAnsi="Times New Roman"/>
          <w:sz w:val="26"/>
        </w:rPr>
        <w:t xml:space="preserve">for possible inclusion </w:t>
      </w:r>
      <w:r w:rsidRPr="00374CB3">
        <w:rPr>
          <w:rFonts w:ascii="Times New Roman" w:hAnsi="Times New Roman"/>
          <w:sz w:val="26"/>
        </w:rPr>
        <w:t xml:space="preserve">in future EE&amp;C plans.  </w:t>
      </w:r>
      <w:r w:rsidRPr="00863D5F">
        <w:rPr>
          <w:rFonts w:ascii="Times New Roman" w:hAnsi="Times New Roman"/>
          <w:sz w:val="26"/>
        </w:rPr>
        <w:t xml:space="preserve">Additionally, it is proposed that </w:t>
      </w:r>
      <w:r w:rsidRPr="00863D5F">
        <w:rPr>
          <w:rFonts w:ascii="Times New Roman" w:hAnsi="Times New Roman"/>
          <w:sz w:val="26"/>
          <w:szCs w:val="26"/>
        </w:rPr>
        <w:t>all TRC calculations for EE&amp;C program measures are allowed to use up to 15 years’ worth of benefits and costs, as applicable to specific program measures, regardless of the year of program implementation.</w:t>
      </w:r>
      <w:r w:rsidRPr="00863D5F">
        <w:rPr>
          <w:rStyle w:val="FootnoteReference"/>
          <w:rFonts w:ascii="Times New Roman" w:hAnsi="Times New Roman"/>
          <w:sz w:val="26"/>
          <w:szCs w:val="26"/>
        </w:rPr>
        <w:footnoteReference w:id="16"/>
      </w:r>
    </w:p>
    <w:p w:rsidR="00C65BB0" w:rsidRPr="001B2FDE" w:rsidRDefault="00C65BB0" w:rsidP="00334081">
      <w:pPr>
        <w:pStyle w:val="ListParagraph"/>
        <w:spacing w:after="0" w:line="360" w:lineRule="auto"/>
        <w:ind w:left="-90" w:firstLine="810"/>
        <w:rPr>
          <w:rFonts w:ascii="Times New Roman" w:hAnsi="Times New Roman"/>
          <w:sz w:val="26"/>
          <w:szCs w:val="26"/>
        </w:rPr>
      </w:pPr>
    </w:p>
    <w:p w:rsidR="00737D48" w:rsidRPr="002F4C1B" w:rsidRDefault="00563DF7" w:rsidP="002F4C1B">
      <w:pPr>
        <w:pStyle w:val="ListParagraph"/>
        <w:keepNext/>
        <w:numPr>
          <w:ilvl w:val="0"/>
          <w:numId w:val="27"/>
        </w:numPr>
        <w:spacing w:line="360" w:lineRule="auto"/>
        <w:ind w:left="1440" w:hanging="720"/>
        <w:rPr>
          <w:rFonts w:ascii="Times New Roman" w:hAnsi="Times New Roman"/>
          <w:b/>
          <w:sz w:val="26"/>
          <w:szCs w:val="26"/>
        </w:rPr>
      </w:pPr>
      <w:r w:rsidRPr="002F4C1B">
        <w:rPr>
          <w:rFonts w:ascii="Times New Roman" w:hAnsi="Times New Roman"/>
          <w:b/>
          <w:sz w:val="26"/>
          <w:szCs w:val="26"/>
        </w:rPr>
        <w:lastRenderedPageBreak/>
        <w:t xml:space="preserve">Definition of Incentives </w:t>
      </w:r>
      <w:r w:rsidR="00505B2C" w:rsidRPr="002F4C1B">
        <w:rPr>
          <w:rFonts w:ascii="Times New Roman" w:hAnsi="Times New Roman"/>
          <w:b/>
          <w:sz w:val="26"/>
          <w:szCs w:val="26"/>
        </w:rPr>
        <w:t>i</w:t>
      </w:r>
      <w:r w:rsidRPr="002F4C1B">
        <w:rPr>
          <w:rFonts w:ascii="Times New Roman" w:hAnsi="Times New Roman"/>
          <w:b/>
          <w:sz w:val="26"/>
          <w:szCs w:val="26"/>
        </w:rPr>
        <w:t>n TRC for Energy Efficiency Measures</w:t>
      </w:r>
    </w:p>
    <w:p w:rsidR="00563DF7" w:rsidRDefault="00563DF7" w:rsidP="002F4C1B">
      <w:pPr>
        <w:pStyle w:val="BodyText2"/>
        <w:keepNext/>
        <w:numPr>
          <w:ilvl w:val="0"/>
          <w:numId w:val="11"/>
        </w:numPr>
        <w:spacing w:after="0" w:line="360" w:lineRule="auto"/>
        <w:ind w:left="2160" w:hanging="720"/>
        <w:rPr>
          <w:sz w:val="26"/>
          <w:szCs w:val="26"/>
        </w:rPr>
      </w:pPr>
      <w:r>
        <w:rPr>
          <w:sz w:val="26"/>
          <w:szCs w:val="26"/>
        </w:rPr>
        <w:t>Discussion</w:t>
      </w:r>
    </w:p>
    <w:p w:rsidR="00563DF7" w:rsidRDefault="00505B2C" w:rsidP="00F347F1">
      <w:pPr>
        <w:pStyle w:val="BodyText2"/>
        <w:spacing w:after="0" w:line="360" w:lineRule="auto"/>
        <w:ind w:firstLine="720"/>
        <w:rPr>
          <w:sz w:val="26"/>
          <w:szCs w:val="26"/>
        </w:rPr>
      </w:pPr>
      <w:r>
        <w:rPr>
          <w:sz w:val="26"/>
          <w:szCs w:val="26"/>
        </w:rPr>
        <w:t xml:space="preserve">For Act 129 thus far, </w:t>
      </w:r>
      <w:r w:rsidR="00563DF7" w:rsidRPr="001B2FDE">
        <w:rPr>
          <w:sz w:val="26"/>
          <w:szCs w:val="26"/>
        </w:rPr>
        <w:t>“</w:t>
      </w:r>
      <w:r>
        <w:rPr>
          <w:sz w:val="26"/>
          <w:szCs w:val="26"/>
        </w:rPr>
        <w:t>i</w:t>
      </w:r>
      <w:r w:rsidR="00563DF7" w:rsidRPr="001B2FDE">
        <w:rPr>
          <w:sz w:val="26"/>
          <w:szCs w:val="26"/>
        </w:rPr>
        <w:t xml:space="preserve">ncentive” </w:t>
      </w:r>
      <w:r>
        <w:rPr>
          <w:sz w:val="26"/>
          <w:szCs w:val="26"/>
        </w:rPr>
        <w:t>ha</w:t>
      </w:r>
      <w:r w:rsidR="00563DF7">
        <w:rPr>
          <w:sz w:val="26"/>
          <w:szCs w:val="26"/>
        </w:rPr>
        <w:t>s</w:t>
      </w:r>
      <w:r>
        <w:rPr>
          <w:sz w:val="26"/>
          <w:szCs w:val="26"/>
        </w:rPr>
        <w:t xml:space="preserve"> been</w:t>
      </w:r>
      <w:r w:rsidR="00563DF7" w:rsidRPr="001B2FDE">
        <w:rPr>
          <w:sz w:val="26"/>
          <w:szCs w:val="26"/>
        </w:rPr>
        <w:t xml:space="preserve"> defined as a payment made to a program participant by an EDC to encourage the customer to participate in an </w:t>
      </w:r>
      <w:r w:rsidR="00255DB6">
        <w:rPr>
          <w:sz w:val="26"/>
          <w:szCs w:val="26"/>
        </w:rPr>
        <w:t>energy efficiency</w:t>
      </w:r>
      <w:r w:rsidR="00255DB6" w:rsidRPr="001B2FDE">
        <w:rPr>
          <w:sz w:val="26"/>
          <w:szCs w:val="26"/>
        </w:rPr>
        <w:t xml:space="preserve"> </w:t>
      </w:r>
      <w:r w:rsidR="00563DF7" w:rsidRPr="001B2FDE">
        <w:rPr>
          <w:sz w:val="26"/>
          <w:szCs w:val="26"/>
        </w:rPr>
        <w:t>program and to help offset some</w:t>
      </w:r>
      <w:r>
        <w:rPr>
          <w:sz w:val="26"/>
          <w:szCs w:val="26"/>
        </w:rPr>
        <w:t>,</w:t>
      </w:r>
      <w:r w:rsidR="00563DF7" w:rsidRPr="001B2FDE">
        <w:rPr>
          <w:sz w:val="26"/>
          <w:szCs w:val="26"/>
        </w:rPr>
        <w:t xml:space="preserve"> or all</w:t>
      </w:r>
      <w:r>
        <w:rPr>
          <w:sz w:val="26"/>
          <w:szCs w:val="26"/>
        </w:rPr>
        <w:t>,</w:t>
      </w:r>
      <w:r w:rsidR="00563DF7" w:rsidRPr="001B2FDE">
        <w:rPr>
          <w:sz w:val="26"/>
          <w:szCs w:val="26"/>
        </w:rPr>
        <w:t xml:space="preserve"> of the participant’s costs to purchase and install an </w:t>
      </w:r>
      <w:r w:rsidR="00255DB6">
        <w:rPr>
          <w:sz w:val="26"/>
          <w:szCs w:val="26"/>
        </w:rPr>
        <w:t>energy efficiency</w:t>
      </w:r>
      <w:r w:rsidR="00255DB6" w:rsidRPr="001B2FDE">
        <w:rPr>
          <w:sz w:val="26"/>
          <w:szCs w:val="26"/>
        </w:rPr>
        <w:t xml:space="preserve"> </w:t>
      </w:r>
      <w:r w:rsidR="00563DF7" w:rsidRPr="001B2FDE">
        <w:rPr>
          <w:sz w:val="26"/>
          <w:szCs w:val="26"/>
        </w:rPr>
        <w:t>measure.</w:t>
      </w:r>
    </w:p>
    <w:p w:rsidR="00505B2C" w:rsidRDefault="00505B2C" w:rsidP="00F347F1">
      <w:pPr>
        <w:pStyle w:val="BodyText2"/>
        <w:spacing w:after="0" w:line="360" w:lineRule="auto"/>
        <w:ind w:firstLine="720"/>
        <w:rPr>
          <w:sz w:val="26"/>
          <w:szCs w:val="26"/>
        </w:rPr>
      </w:pPr>
    </w:p>
    <w:p w:rsidR="00505B2C" w:rsidRDefault="00505B2C" w:rsidP="00F347F1">
      <w:pPr>
        <w:pStyle w:val="ListParagraph"/>
        <w:spacing w:after="0" w:line="360" w:lineRule="auto"/>
        <w:ind w:left="0" w:firstLine="720"/>
        <w:rPr>
          <w:rFonts w:ascii="Times New Roman" w:hAnsi="Times New Roman"/>
          <w:sz w:val="26"/>
          <w:szCs w:val="26"/>
        </w:rPr>
      </w:pPr>
      <w:r>
        <w:rPr>
          <w:rFonts w:ascii="Times New Roman" w:hAnsi="Times New Roman"/>
          <w:bCs/>
          <w:sz w:val="26"/>
          <w:szCs w:val="26"/>
        </w:rPr>
        <w:t>It was determined for Phase I that, i</w:t>
      </w:r>
      <w:r w:rsidRPr="00505B2C">
        <w:rPr>
          <w:rFonts w:ascii="Times New Roman" w:hAnsi="Times New Roman"/>
          <w:bCs/>
          <w:sz w:val="26"/>
          <w:szCs w:val="26"/>
        </w:rPr>
        <w:t xml:space="preserve">n </w:t>
      </w:r>
      <w:r w:rsidRPr="00505B2C">
        <w:rPr>
          <w:rFonts w:ascii="Times New Roman" w:hAnsi="Times New Roman"/>
          <w:sz w:val="26"/>
          <w:szCs w:val="26"/>
        </w:rPr>
        <w:t>the case where funds paid to customers are a marketing cost or are intended to offset participant costs that are difficult to quantify, EDCs may include the funds in the TRC calculations as either a direct cost or as a proxy for the participant cost.</w:t>
      </w:r>
      <w:r w:rsidR="00986B2B">
        <w:rPr>
          <w:rStyle w:val="FootnoteReference"/>
          <w:rFonts w:ascii="Times New Roman" w:hAnsi="Times New Roman"/>
          <w:sz w:val="26"/>
          <w:szCs w:val="26"/>
        </w:rPr>
        <w:footnoteReference w:id="17"/>
      </w:r>
      <w:r>
        <w:rPr>
          <w:rFonts w:ascii="Times New Roman" w:hAnsi="Times New Roman"/>
          <w:sz w:val="26"/>
          <w:szCs w:val="26"/>
        </w:rPr>
        <w:t xml:space="preserve">  </w:t>
      </w:r>
    </w:p>
    <w:p w:rsidR="00650A70" w:rsidRPr="001B2FDE" w:rsidRDefault="00650A70" w:rsidP="00F347F1">
      <w:pPr>
        <w:pStyle w:val="ListParagraph"/>
        <w:spacing w:after="0" w:line="360" w:lineRule="auto"/>
        <w:ind w:left="0" w:firstLine="720"/>
        <w:rPr>
          <w:sz w:val="26"/>
          <w:szCs w:val="26"/>
        </w:rPr>
      </w:pPr>
    </w:p>
    <w:p w:rsidR="00505B2C" w:rsidRDefault="00C65BB0" w:rsidP="00F347F1">
      <w:pPr>
        <w:spacing w:line="360" w:lineRule="auto"/>
        <w:ind w:firstLine="720"/>
        <w:rPr>
          <w:bCs/>
          <w:sz w:val="26"/>
          <w:szCs w:val="26"/>
        </w:rPr>
      </w:pPr>
      <w:r>
        <w:rPr>
          <w:sz w:val="26"/>
          <w:szCs w:val="26"/>
        </w:rPr>
        <w:t xml:space="preserve">For Phase I, </w:t>
      </w:r>
      <w:r w:rsidR="00505B2C">
        <w:rPr>
          <w:sz w:val="26"/>
          <w:szCs w:val="26"/>
        </w:rPr>
        <w:t>“</w:t>
      </w:r>
      <w:r>
        <w:rPr>
          <w:sz w:val="26"/>
          <w:szCs w:val="26"/>
        </w:rPr>
        <w:t>i</w:t>
      </w:r>
      <w:r w:rsidR="00505B2C" w:rsidRPr="001B2FDE">
        <w:rPr>
          <w:sz w:val="26"/>
          <w:szCs w:val="26"/>
        </w:rPr>
        <w:t xml:space="preserve">ncentive” </w:t>
      </w:r>
      <w:r>
        <w:rPr>
          <w:sz w:val="26"/>
          <w:szCs w:val="26"/>
        </w:rPr>
        <w:t>did</w:t>
      </w:r>
      <w:r w:rsidR="00505B2C" w:rsidRPr="001B2FDE">
        <w:rPr>
          <w:sz w:val="26"/>
          <w:szCs w:val="26"/>
        </w:rPr>
        <w:t xml:space="preserve"> </w:t>
      </w:r>
      <w:r w:rsidR="00505B2C">
        <w:rPr>
          <w:sz w:val="26"/>
          <w:szCs w:val="26"/>
        </w:rPr>
        <w:t xml:space="preserve">not </w:t>
      </w:r>
      <w:r w:rsidR="00505B2C" w:rsidRPr="001B2FDE">
        <w:rPr>
          <w:sz w:val="26"/>
          <w:szCs w:val="26"/>
        </w:rPr>
        <w:t xml:space="preserve">include </w:t>
      </w:r>
      <w:r w:rsidR="00505B2C" w:rsidRPr="001B2FDE">
        <w:rPr>
          <w:bCs/>
          <w:sz w:val="26"/>
          <w:szCs w:val="26"/>
        </w:rPr>
        <w:t>the cost of direct installation programs that d</w:t>
      </w:r>
      <w:r>
        <w:rPr>
          <w:bCs/>
          <w:sz w:val="26"/>
          <w:szCs w:val="26"/>
        </w:rPr>
        <w:t>id</w:t>
      </w:r>
      <w:r w:rsidR="00505B2C" w:rsidRPr="001B2FDE">
        <w:rPr>
          <w:bCs/>
          <w:sz w:val="26"/>
          <w:szCs w:val="26"/>
        </w:rPr>
        <w:t xml:space="preserve"> not involve a payment to the p</w:t>
      </w:r>
      <w:r w:rsidR="00505B2C">
        <w:rPr>
          <w:bCs/>
          <w:sz w:val="26"/>
          <w:szCs w:val="26"/>
        </w:rPr>
        <w:t>articipant.  The Commission determined that</w:t>
      </w:r>
      <w:r w:rsidR="00505B2C" w:rsidRPr="001B2FDE">
        <w:rPr>
          <w:bCs/>
          <w:sz w:val="26"/>
          <w:szCs w:val="26"/>
        </w:rPr>
        <w:t xml:space="preserve"> such costs </w:t>
      </w:r>
      <w:r w:rsidR="00505B2C">
        <w:rPr>
          <w:bCs/>
          <w:sz w:val="26"/>
          <w:szCs w:val="26"/>
        </w:rPr>
        <w:t>are</w:t>
      </w:r>
      <w:r w:rsidR="00505B2C" w:rsidRPr="001B2FDE">
        <w:rPr>
          <w:bCs/>
          <w:sz w:val="26"/>
          <w:szCs w:val="26"/>
        </w:rPr>
        <w:t xml:space="preserve"> direct costs</w:t>
      </w:r>
      <w:r w:rsidR="00505B2C">
        <w:rPr>
          <w:bCs/>
          <w:sz w:val="26"/>
          <w:szCs w:val="26"/>
        </w:rPr>
        <w:t>, not incentives</w:t>
      </w:r>
      <w:r w:rsidR="00505B2C" w:rsidRPr="001B2FDE">
        <w:rPr>
          <w:bCs/>
          <w:sz w:val="26"/>
          <w:szCs w:val="26"/>
        </w:rPr>
        <w:t>.</w:t>
      </w:r>
      <w:r w:rsidR="00986B2B">
        <w:rPr>
          <w:rStyle w:val="FootnoteReference"/>
          <w:bCs/>
          <w:sz w:val="26"/>
          <w:szCs w:val="26"/>
        </w:rPr>
        <w:footnoteReference w:id="18"/>
      </w:r>
    </w:p>
    <w:p w:rsidR="00D961B8" w:rsidRDefault="00D961B8" w:rsidP="00F347F1">
      <w:pPr>
        <w:pStyle w:val="BodyText2"/>
        <w:spacing w:after="0" w:line="360" w:lineRule="auto"/>
        <w:rPr>
          <w:sz w:val="26"/>
          <w:szCs w:val="26"/>
        </w:rPr>
      </w:pPr>
    </w:p>
    <w:p w:rsidR="00505B2C" w:rsidRPr="00505B2C" w:rsidRDefault="00505B2C" w:rsidP="002F4C1B">
      <w:pPr>
        <w:pStyle w:val="ListParagraph"/>
        <w:numPr>
          <w:ilvl w:val="0"/>
          <w:numId w:val="11"/>
        </w:numPr>
        <w:spacing w:after="0" w:line="480" w:lineRule="auto"/>
        <w:ind w:left="2160" w:hanging="720"/>
        <w:rPr>
          <w:rFonts w:ascii="Times New Roman" w:hAnsi="Times New Roman"/>
          <w:sz w:val="26"/>
          <w:szCs w:val="26"/>
        </w:rPr>
      </w:pPr>
      <w:r w:rsidRPr="00505B2C">
        <w:rPr>
          <w:rFonts w:ascii="Times New Roman" w:hAnsi="Times New Roman"/>
          <w:bCs/>
          <w:sz w:val="26"/>
          <w:szCs w:val="26"/>
        </w:rPr>
        <w:t>Proposed resolution</w:t>
      </w:r>
    </w:p>
    <w:p w:rsidR="00505B2C" w:rsidRPr="001B2FDE" w:rsidRDefault="00505B2C" w:rsidP="00F347F1">
      <w:pPr>
        <w:spacing w:line="360" w:lineRule="auto"/>
        <w:rPr>
          <w:bCs/>
          <w:sz w:val="26"/>
          <w:szCs w:val="26"/>
        </w:rPr>
      </w:pPr>
      <w:r>
        <w:rPr>
          <w:bCs/>
          <w:sz w:val="26"/>
          <w:szCs w:val="26"/>
        </w:rPr>
        <w:tab/>
        <w:t xml:space="preserve">The Commission proposes that </w:t>
      </w:r>
      <w:r w:rsidR="00EF184F">
        <w:rPr>
          <w:bCs/>
          <w:sz w:val="26"/>
          <w:szCs w:val="26"/>
        </w:rPr>
        <w:t>incentives</w:t>
      </w:r>
      <w:r>
        <w:rPr>
          <w:bCs/>
          <w:sz w:val="26"/>
          <w:szCs w:val="26"/>
        </w:rPr>
        <w:t xml:space="preserve"> be </w:t>
      </w:r>
      <w:r w:rsidR="00EF184F">
        <w:rPr>
          <w:bCs/>
          <w:sz w:val="26"/>
          <w:szCs w:val="26"/>
        </w:rPr>
        <w:t>defined</w:t>
      </w:r>
      <w:r>
        <w:rPr>
          <w:bCs/>
          <w:sz w:val="26"/>
          <w:szCs w:val="26"/>
        </w:rPr>
        <w:t xml:space="preserve"> the same in </w:t>
      </w:r>
      <w:r w:rsidR="00AF45C3">
        <w:rPr>
          <w:bCs/>
          <w:sz w:val="26"/>
          <w:szCs w:val="26"/>
        </w:rPr>
        <w:t xml:space="preserve">the proposed </w:t>
      </w:r>
      <w:r>
        <w:rPr>
          <w:bCs/>
          <w:sz w:val="26"/>
          <w:szCs w:val="26"/>
        </w:rPr>
        <w:t>Phase II as they were for Phase I.</w:t>
      </w:r>
    </w:p>
    <w:p w:rsidR="00630D25" w:rsidRDefault="00630D25" w:rsidP="00F347F1">
      <w:pPr>
        <w:pStyle w:val="p3"/>
        <w:tabs>
          <w:tab w:val="clear" w:pos="204"/>
          <w:tab w:val="left" w:pos="720"/>
        </w:tabs>
        <w:spacing w:line="360" w:lineRule="auto"/>
        <w:rPr>
          <w:sz w:val="28"/>
          <w:szCs w:val="28"/>
        </w:rPr>
      </w:pPr>
    </w:p>
    <w:p w:rsidR="00630D25" w:rsidRPr="002F4C1B" w:rsidRDefault="00630D25" w:rsidP="002F4C1B">
      <w:pPr>
        <w:pStyle w:val="ListParagraph"/>
        <w:keepNext/>
        <w:numPr>
          <w:ilvl w:val="0"/>
          <w:numId w:val="27"/>
        </w:numPr>
        <w:spacing w:line="480" w:lineRule="auto"/>
        <w:ind w:left="1440" w:hanging="720"/>
        <w:rPr>
          <w:rFonts w:ascii="Times New Roman" w:hAnsi="Times New Roman"/>
          <w:b/>
          <w:sz w:val="26"/>
          <w:szCs w:val="26"/>
        </w:rPr>
      </w:pPr>
      <w:r w:rsidRPr="002F4C1B">
        <w:rPr>
          <w:rFonts w:ascii="Times New Roman" w:hAnsi="Times New Roman"/>
          <w:b/>
          <w:sz w:val="26"/>
          <w:szCs w:val="26"/>
        </w:rPr>
        <w:t>Incentive Payments from an EDC</w:t>
      </w:r>
    </w:p>
    <w:p w:rsidR="003710A1" w:rsidRPr="008E5FFA" w:rsidRDefault="003710A1" w:rsidP="002F4C1B">
      <w:pPr>
        <w:pStyle w:val="ListParagraph"/>
        <w:keepNext/>
        <w:numPr>
          <w:ilvl w:val="0"/>
          <w:numId w:val="10"/>
        </w:numPr>
        <w:spacing w:after="0" w:line="480" w:lineRule="auto"/>
        <w:ind w:left="2160" w:hanging="720"/>
        <w:rPr>
          <w:rFonts w:ascii="Times New Roman" w:hAnsi="Times New Roman"/>
          <w:sz w:val="26"/>
          <w:szCs w:val="26"/>
        </w:rPr>
      </w:pPr>
      <w:r w:rsidRPr="008E5FFA">
        <w:rPr>
          <w:rFonts w:ascii="Times New Roman" w:hAnsi="Times New Roman"/>
          <w:sz w:val="26"/>
          <w:szCs w:val="26"/>
        </w:rPr>
        <w:t>Discussion</w:t>
      </w:r>
    </w:p>
    <w:p w:rsidR="00650A70" w:rsidRPr="00C25E9F" w:rsidRDefault="008E5FFA" w:rsidP="00F347F1">
      <w:pPr>
        <w:spacing w:line="360" w:lineRule="auto"/>
        <w:ind w:firstLine="720"/>
        <w:rPr>
          <w:sz w:val="26"/>
          <w:szCs w:val="26"/>
        </w:rPr>
      </w:pPr>
      <w:r>
        <w:rPr>
          <w:sz w:val="26"/>
          <w:szCs w:val="26"/>
        </w:rPr>
        <w:t xml:space="preserve">For Phase </w:t>
      </w:r>
      <w:r w:rsidR="006B1949">
        <w:rPr>
          <w:sz w:val="26"/>
          <w:szCs w:val="26"/>
        </w:rPr>
        <w:t>I</w:t>
      </w:r>
      <w:r>
        <w:rPr>
          <w:sz w:val="26"/>
          <w:szCs w:val="26"/>
        </w:rPr>
        <w:t>, the</w:t>
      </w:r>
      <w:r w:rsidR="003710A1" w:rsidRPr="003710A1">
        <w:rPr>
          <w:sz w:val="26"/>
          <w:szCs w:val="26"/>
        </w:rPr>
        <w:t xml:space="preserve"> TRC </w:t>
      </w:r>
      <w:r w:rsidR="00436F29">
        <w:rPr>
          <w:sz w:val="26"/>
          <w:szCs w:val="26"/>
        </w:rPr>
        <w:t>T</w:t>
      </w:r>
      <w:r w:rsidR="003710A1" w:rsidRPr="003710A1">
        <w:rPr>
          <w:sz w:val="26"/>
          <w:szCs w:val="26"/>
        </w:rPr>
        <w:t xml:space="preserve">est </w:t>
      </w:r>
      <w:r>
        <w:rPr>
          <w:sz w:val="26"/>
          <w:szCs w:val="26"/>
        </w:rPr>
        <w:t xml:space="preserve">had to </w:t>
      </w:r>
      <w:r w:rsidR="003710A1" w:rsidRPr="003710A1">
        <w:rPr>
          <w:sz w:val="26"/>
          <w:szCs w:val="26"/>
        </w:rPr>
        <w:t xml:space="preserve">take into account the effects of an EE&amp;C plan on both participating and non-participating customers based on costs incurred by the EDC and participating customers.  In the </w:t>
      </w:r>
      <w:r>
        <w:rPr>
          <w:sz w:val="26"/>
          <w:szCs w:val="26"/>
        </w:rPr>
        <w:t xml:space="preserve">first </w:t>
      </w:r>
      <w:r w:rsidR="003710A1" w:rsidRPr="003710A1">
        <w:rPr>
          <w:sz w:val="26"/>
          <w:szCs w:val="26"/>
        </w:rPr>
        <w:t xml:space="preserve">TRC </w:t>
      </w:r>
      <w:r w:rsidR="00436F29">
        <w:rPr>
          <w:sz w:val="26"/>
          <w:szCs w:val="26"/>
        </w:rPr>
        <w:t>T</w:t>
      </w:r>
      <w:r w:rsidR="003710A1" w:rsidRPr="003710A1">
        <w:rPr>
          <w:sz w:val="26"/>
          <w:szCs w:val="26"/>
        </w:rPr>
        <w:t xml:space="preserve">est proposal, </w:t>
      </w:r>
      <w:r>
        <w:rPr>
          <w:sz w:val="26"/>
          <w:szCs w:val="26"/>
        </w:rPr>
        <w:t>the Commission</w:t>
      </w:r>
      <w:r w:rsidR="003710A1" w:rsidRPr="003710A1">
        <w:rPr>
          <w:sz w:val="26"/>
          <w:szCs w:val="26"/>
        </w:rPr>
        <w:t xml:space="preserve"> proposed </w:t>
      </w:r>
      <w:r>
        <w:rPr>
          <w:sz w:val="26"/>
          <w:szCs w:val="26"/>
        </w:rPr>
        <w:lastRenderedPageBreak/>
        <w:t xml:space="preserve">and subsequently approved </w:t>
      </w:r>
      <w:r w:rsidR="003710A1" w:rsidRPr="003710A1">
        <w:rPr>
          <w:sz w:val="26"/>
          <w:szCs w:val="26"/>
        </w:rPr>
        <w:t xml:space="preserve">that costs calculated in the TRC test would include EE&amp;C plan costs whether paid by the EDC or by the participants.  Incentive payments from an EDC to a customer would not be included in the TRC </w:t>
      </w:r>
      <w:r w:rsidR="00436F29">
        <w:rPr>
          <w:sz w:val="26"/>
          <w:szCs w:val="26"/>
        </w:rPr>
        <w:t>T</w:t>
      </w:r>
      <w:r w:rsidR="003710A1" w:rsidRPr="003710A1">
        <w:rPr>
          <w:sz w:val="26"/>
          <w:szCs w:val="26"/>
        </w:rPr>
        <w:t xml:space="preserve">est because such costs would be a cost to the EDC and a benefit to the customer that would cancel each other out.  </w:t>
      </w:r>
      <w:r w:rsidR="00650A70" w:rsidRPr="00C25E9F">
        <w:rPr>
          <w:sz w:val="26"/>
          <w:szCs w:val="26"/>
        </w:rPr>
        <w:t xml:space="preserve">Incentives paid by EDCs to program participants for </w:t>
      </w:r>
      <w:r w:rsidR="00255DB6">
        <w:rPr>
          <w:sz w:val="26"/>
          <w:szCs w:val="26"/>
        </w:rPr>
        <w:t>energy efficiency</w:t>
      </w:r>
      <w:r w:rsidR="00255DB6" w:rsidRPr="00C25E9F">
        <w:rPr>
          <w:sz w:val="26"/>
          <w:szCs w:val="26"/>
        </w:rPr>
        <w:t xml:space="preserve"> </w:t>
      </w:r>
      <w:r w:rsidR="00650A70" w:rsidRPr="00C25E9F">
        <w:rPr>
          <w:sz w:val="26"/>
          <w:szCs w:val="26"/>
        </w:rPr>
        <w:t xml:space="preserve">measures cover part of the incremental cost of the measure.  Since the TRC calculation is based on the total incremental measure cost, regardless of what portions are borne by the EDC and the participant, incentive amounts paid to program participants are already factored into the incremental cost of acquiring the energy savings.  Including incentive payments made to program participants in the TRC calculation for </w:t>
      </w:r>
      <w:r w:rsidR="00255DB6">
        <w:rPr>
          <w:sz w:val="26"/>
          <w:szCs w:val="26"/>
        </w:rPr>
        <w:t>energy efficiency</w:t>
      </w:r>
      <w:r w:rsidR="00255DB6" w:rsidRPr="00C25E9F">
        <w:rPr>
          <w:sz w:val="26"/>
          <w:szCs w:val="26"/>
        </w:rPr>
        <w:t xml:space="preserve"> </w:t>
      </w:r>
      <w:r w:rsidR="00650A70" w:rsidRPr="00C25E9F">
        <w:rPr>
          <w:sz w:val="26"/>
          <w:szCs w:val="26"/>
        </w:rPr>
        <w:t>programs would result in double-counting of the EDC’s portion of costs in the TRC calculation.</w:t>
      </w:r>
      <w:r w:rsidR="00986B2B">
        <w:rPr>
          <w:rStyle w:val="FootnoteReference"/>
          <w:sz w:val="26"/>
          <w:szCs w:val="26"/>
        </w:rPr>
        <w:footnoteReference w:id="19"/>
      </w:r>
      <w:r w:rsidR="00650A70" w:rsidRPr="00C25E9F">
        <w:rPr>
          <w:sz w:val="26"/>
          <w:szCs w:val="26"/>
        </w:rPr>
        <w:t xml:space="preserve">  </w:t>
      </w:r>
    </w:p>
    <w:p w:rsidR="008E5FFA" w:rsidRDefault="008E5FFA" w:rsidP="00F347F1">
      <w:pPr>
        <w:pStyle w:val="ListParagraph"/>
        <w:keepNext/>
        <w:spacing w:after="0" w:line="360" w:lineRule="auto"/>
        <w:ind w:left="0" w:firstLine="720"/>
        <w:rPr>
          <w:rFonts w:ascii="Times New Roman" w:hAnsi="Times New Roman"/>
          <w:sz w:val="26"/>
          <w:szCs w:val="26"/>
        </w:rPr>
      </w:pPr>
    </w:p>
    <w:p w:rsidR="008E5FFA" w:rsidRDefault="008E5FFA" w:rsidP="001D2847">
      <w:pPr>
        <w:pStyle w:val="ListParagraph"/>
        <w:keepNext/>
        <w:numPr>
          <w:ilvl w:val="0"/>
          <w:numId w:val="10"/>
        </w:numPr>
        <w:spacing w:after="0" w:line="480" w:lineRule="auto"/>
        <w:ind w:left="2160" w:hanging="720"/>
        <w:rPr>
          <w:rFonts w:ascii="Times New Roman" w:hAnsi="Times New Roman"/>
          <w:sz w:val="26"/>
          <w:szCs w:val="26"/>
        </w:rPr>
      </w:pPr>
      <w:r w:rsidRPr="008E5FFA">
        <w:rPr>
          <w:rFonts w:ascii="Times New Roman" w:hAnsi="Times New Roman"/>
          <w:sz w:val="26"/>
          <w:szCs w:val="26"/>
        </w:rPr>
        <w:t>Proposed resolution</w:t>
      </w:r>
    </w:p>
    <w:p w:rsidR="008E5FFA" w:rsidRDefault="008E5FFA" w:rsidP="00F347F1">
      <w:pPr>
        <w:pStyle w:val="ListParagraph"/>
        <w:keepNext/>
        <w:spacing w:after="0" w:line="360" w:lineRule="auto"/>
        <w:ind w:left="0" w:firstLine="720"/>
        <w:rPr>
          <w:rFonts w:ascii="Times New Roman" w:hAnsi="Times New Roman"/>
          <w:sz w:val="26"/>
          <w:szCs w:val="26"/>
        </w:rPr>
      </w:pPr>
      <w:r>
        <w:rPr>
          <w:rFonts w:ascii="Times New Roman" w:hAnsi="Times New Roman"/>
          <w:sz w:val="26"/>
          <w:szCs w:val="26"/>
        </w:rPr>
        <w:t xml:space="preserve">The Commission proposes that incentive payments in </w:t>
      </w:r>
      <w:r w:rsidR="00270284">
        <w:rPr>
          <w:rFonts w:ascii="Times New Roman" w:hAnsi="Times New Roman"/>
          <w:sz w:val="26"/>
          <w:szCs w:val="26"/>
        </w:rPr>
        <w:t>a</w:t>
      </w:r>
      <w:r w:rsidR="00AF45C3">
        <w:rPr>
          <w:rFonts w:ascii="Times New Roman" w:hAnsi="Times New Roman"/>
          <w:sz w:val="26"/>
          <w:szCs w:val="26"/>
        </w:rPr>
        <w:t xml:space="preserve"> potential </w:t>
      </w:r>
      <w:r>
        <w:rPr>
          <w:rFonts w:ascii="Times New Roman" w:hAnsi="Times New Roman"/>
          <w:sz w:val="26"/>
          <w:szCs w:val="26"/>
        </w:rPr>
        <w:t>Phase II are handled as they were in Phase I, as documented above.</w:t>
      </w:r>
    </w:p>
    <w:p w:rsidR="00C1639A" w:rsidRPr="002F4C1B" w:rsidRDefault="00C1639A" w:rsidP="00F347F1">
      <w:pPr>
        <w:pStyle w:val="ListParagraph"/>
        <w:keepNext/>
        <w:spacing w:after="0" w:line="360" w:lineRule="auto"/>
        <w:ind w:left="0" w:firstLine="720"/>
        <w:rPr>
          <w:rFonts w:ascii="Times New Roman" w:hAnsi="Times New Roman"/>
          <w:sz w:val="26"/>
          <w:szCs w:val="26"/>
        </w:rPr>
      </w:pPr>
    </w:p>
    <w:p w:rsidR="00563DF7" w:rsidRPr="002F4C1B" w:rsidRDefault="00563DF7" w:rsidP="002F4C1B">
      <w:pPr>
        <w:pStyle w:val="ListParagraph"/>
        <w:keepNext/>
        <w:numPr>
          <w:ilvl w:val="0"/>
          <w:numId w:val="27"/>
        </w:numPr>
        <w:spacing w:line="480" w:lineRule="auto"/>
        <w:ind w:left="1440" w:hanging="720"/>
        <w:rPr>
          <w:rFonts w:ascii="Times New Roman" w:hAnsi="Times New Roman"/>
          <w:sz w:val="26"/>
          <w:szCs w:val="26"/>
        </w:rPr>
      </w:pPr>
      <w:r w:rsidRPr="002F4C1B">
        <w:rPr>
          <w:rFonts w:ascii="Times New Roman" w:hAnsi="Times New Roman"/>
          <w:b/>
          <w:sz w:val="26"/>
          <w:szCs w:val="26"/>
        </w:rPr>
        <w:t xml:space="preserve">Incentive Payments from </w:t>
      </w:r>
      <w:r w:rsidR="00D961B8" w:rsidRPr="002F4C1B">
        <w:rPr>
          <w:rFonts w:ascii="Times New Roman" w:hAnsi="Times New Roman"/>
          <w:b/>
          <w:sz w:val="26"/>
          <w:szCs w:val="26"/>
        </w:rPr>
        <w:t>Sources Outside of Act 129</w:t>
      </w:r>
    </w:p>
    <w:p w:rsidR="00C1639A" w:rsidRPr="00C1639A" w:rsidRDefault="00C1639A" w:rsidP="002F4C1B">
      <w:pPr>
        <w:pStyle w:val="ListParagraph"/>
        <w:numPr>
          <w:ilvl w:val="0"/>
          <w:numId w:val="14"/>
        </w:numPr>
        <w:spacing w:after="0" w:line="480" w:lineRule="auto"/>
        <w:ind w:left="2160" w:hanging="720"/>
        <w:rPr>
          <w:rFonts w:ascii="Times New Roman" w:hAnsi="Times New Roman"/>
          <w:sz w:val="26"/>
          <w:szCs w:val="26"/>
        </w:rPr>
      </w:pPr>
      <w:r w:rsidRPr="00C1639A">
        <w:rPr>
          <w:rFonts w:ascii="Times New Roman" w:hAnsi="Times New Roman"/>
          <w:sz w:val="26"/>
          <w:szCs w:val="26"/>
        </w:rPr>
        <w:t>Discussion</w:t>
      </w:r>
    </w:p>
    <w:p w:rsidR="00A43714" w:rsidRDefault="0063120F" w:rsidP="00F347F1">
      <w:pPr>
        <w:spacing w:line="360" w:lineRule="auto"/>
        <w:ind w:firstLine="720"/>
        <w:rPr>
          <w:sz w:val="26"/>
          <w:szCs w:val="26"/>
        </w:rPr>
      </w:pPr>
      <w:r>
        <w:rPr>
          <w:sz w:val="26"/>
          <w:szCs w:val="26"/>
        </w:rPr>
        <w:t xml:space="preserve">For Phase I, the issue of how to </w:t>
      </w:r>
      <w:r w:rsidR="00986B2B">
        <w:rPr>
          <w:sz w:val="26"/>
          <w:szCs w:val="26"/>
        </w:rPr>
        <w:t xml:space="preserve">handle </w:t>
      </w:r>
      <w:r w:rsidR="00563DF7" w:rsidRPr="00C1639A">
        <w:rPr>
          <w:sz w:val="26"/>
          <w:szCs w:val="26"/>
        </w:rPr>
        <w:t xml:space="preserve">tax credits </w:t>
      </w:r>
      <w:r w:rsidR="002641D7">
        <w:rPr>
          <w:sz w:val="26"/>
          <w:szCs w:val="26"/>
        </w:rPr>
        <w:t xml:space="preserve">and other </w:t>
      </w:r>
      <w:r w:rsidRPr="0063120F">
        <w:rPr>
          <w:sz w:val="26"/>
          <w:szCs w:val="26"/>
        </w:rPr>
        <w:t>incentive payments from sources outside of</w:t>
      </w:r>
      <w:r w:rsidRPr="007733F3">
        <w:rPr>
          <w:sz w:val="26"/>
          <w:szCs w:val="26"/>
        </w:rPr>
        <w:t xml:space="preserve"> the </w:t>
      </w:r>
      <w:r w:rsidRPr="0063120F">
        <w:rPr>
          <w:sz w:val="26"/>
          <w:szCs w:val="26"/>
        </w:rPr>
        <w:t xml:space="preserve">Act 129 programs </w:t>
      </w:r>
      <w:r w:rsidR="00A43714">
        <w:rPr>
          <w:sz w:val="26"/>
          <w:szCs w:val="26"/>
        </w:rPr>
        <w:t xml:space="preserve">in the TRC </w:t>
      </w:r>
      <w:r w:rsidR="00436F29">
        <w:rPr>
          <w:sz w:val="26"/>
          <w:szCs w:val="26"/>
        </w:rPr>
        <w:t>T</w:t>
      </w:r>
      <w:r w:rsidR="00A43714">
        <w:rPr>
          <w:sz w:val="26"/>
          <w:szCs w:val="26"/>
        </w:rPr>
        <w:t xml:space="preserve">est </w:t>
      </w:r>
      <w:r>
        <w:rPr>
          <w:sz w:val="26"/>
          <w:szCs w:val="26"/>
        </w:rPr>
        <w:t xml:space="preserve">was unclear.  This TRC </w:t>
      </w:r>
      <w:r w:rsidR="00436F29">
        <w:rPr>
          <w:sz w:val="26"/>
          <w:szCs w:val="26"/>
        </w:rPr>
        <w:t>T</w:t>
      </w:r>
      <w:r>
        <w:rPr>
          <w:sz w:val="26"/>
          <w:szCs w:val="26"/>
        </w:rPr>
        <w:t>est Order seeks to clarify this issue</w:t>
      </w:r>
      <w:r w:rsidR="00A43714">
        <w:rPr>
          <w:sz w:val="26"/>
          <w:szCs w:val="26"/>
        </w:rPr>
        <w:t xml:space="preserve"> for </w:t>
      </w:r>
      <w:r w:rsidR="00AF45C3">
        <w:rPr>
          <w:sz w:val="26"/>
          <w:szCs w:val="26"/>
        </w:rPr>
        <w:t xml:space="preserve">the proposed </w:t>
      </w:r>
      <w:r w:rsidR="00A43714">
        <w:rPr>
          <w:sz w:val="26"/>
          <w:szCs w:val="26"/>
        </w:rPr>
        <w:t>Phase II</w:t>
      </w:r>
      <w:r>
        <w:rPr>
          <w:sz w:val="26"/>
          <w:szCs w:val="26"/>
        </w:rPr>
        <w:t xml:space="preserve">.  </w:t>
      </w:r>
    </w:p>
    <w:p w:rsidR="002F4C1B" w:rsidRDefault="002F4C1B" w:rsidP="00F347F1">
      <w:pPr>
        <w:spacing w:line="360" w:lineRule="auto"/>
        <w:ind w:firstLine="720"/>
        <w:rPr>
          <w:sz w:val="26"/>
          <w:szCs w:val="26"/>
        </w:rPr>
      </w:pPr>
    </w:p>
    <w:p w:rsidR="002E75FB" w:rsidRDefault="002E75FB" w:rsidP="002E75FB">
      <w:pPr>
        <w:pStyle w:val="ListParagraph"/>
        <w:spacing w:after="0" w:line="360" w:lineRule="auto"/>
        <w:ind w:left="0" w:firstLine="720"/>
        <w:rPr>
          <w:rFonts w:ascii="Times New Roman" w:hAnsi="Times New Roman"/>
          <w:sz w:val="26"/>
          <w:szCs w:val="26"/>
        </w:rPr>
      </w:pPr>
      <w:r w:rsidRPr="002641D7">
        <w:rPr>
          <w:rFonts w:ascii="Times New Roman" w:hAnsi="Times New Roman"/>
          <w:sz w:val="26"/>
          <w:szCs w:val="26"/>
        </w:rPr>
        <w:t>The Commission acknowledged</w:t>
      </w:r>
      <w:r>
        <w:rPr>
          <w:rFonts w:ascii="Times New Roman" w:hAnsi="Times New Roman"/>
          <w:sz w:val="26"/>
          <w:szCs w:val="26"/>
        </w:rPr>
        <w:t>, for example,</w:t>
      </w:r>
      <w:r w:rsidRPr="002641D7">
        <w:rPr>
          <w:rFonts w:ascii="Times New Roman" w:hAnsi="Times New Roman"/>
          <w:sz w:val="26"/>
          <w:szCs w:val="26"/>
        </w:rPr>
        <w:t xml:space="preserve"> that it is possible that some customers may participate simultaneously in Act 1</w:t>
      </w:r>
      <w:r w:rsidRPr="002641D7">
        <w:rPr>
          <w:rStyle w:val="FootnoteReference"/>
          <w:rFonts w:ascii="Times New Roman" w:hAnsi="Times New Roman"/>
          <w:sz w:val="26"/>
          <w:szCs w:val="26"/>
        </w:rPr>
        <w:footnoteReference w:id="20"/>
      </w:r>
      <w:r w:rsidRPr="002641D7">
        <w:rPr>
          <w:rFonts w:ascii="Times New Roman" w:hAnsi="Times New Roman"/>
          <w:sz w:val="26"/>
          <w:szCs w:val="26"/>
        </w:rPr>
        <w:t xml:space="preserve"> programs and in Act 129 programs.  </w:t>
      </w:r>
      <w:r w:rsidRPr="002641D7">
        <w:rPr>
          <w:rFonts w:ascii="Times New Roman" w:hAnsi="Times New Roman"/>
          <w:sz w:val="26"/>
          <w:szCs w:val="26"/>
        </w:rPr>
        <w:lastRenderedPageBreak/>
        <w:t>This situation gives rise to the possibility that an end-use customer could be a recipient of an incentive/rebate from both Act 1 and Act 129 programs.</w:t>
      </w:r>
      <w:r w:rsidR="00986B2B">
        <w:rPr>
          <w:rStyle w:val="FootnoteReference"/>
          <w:rFonts w:ascii="Times New Roman" w:hAnsi="Times New Roman"/>
          <w:sz w:val="26"/>
          <w:szCs w:val="26"/>
        </w:rPr>
        <w:footnoteReference w:id="21"/>
      </w:r>
      <w:r w:rsidRPr="002641D7">
        <w:rPr>
          <w:rFonts w:ascii="Times New Roman" w:hAnsi="Times New Roman"/>
          <w:sz w:val="26"/>
          <w:szCs w:val="26"/>
        </w:rPr>
        <w:t xml:space="preserve">  The amount of incentives that Pennsylvania customers can receive for energy efficiency and conservation measures have expanded and </w:t>
      </w:r>
      <w:r w:rsidR="00023900">
        <w:rPr>
          <w:rFonts w:ascii="Times New Roman" w:hAnsi="Times New Roman"/>
          <w:sz w:val="26"/>
          <w:szCs w:val="26"/>
        </w:rPr>
        <w:t>may</w:t>
      </w:r>
      <w:r w:rsidRPr="002641D7">
        <w:rPr>
          <w:rFonts w:ascii="Times New Roman" w:hAnsi="Times New Roman"/>
          <w:sz w:val="26"/>
          <w:szCs w:val="26"/>
        </w:rPr>
        <w:t xml:space="preserve"> continue to expand as new programs develop from the implementation of Act 1 and from moneys received through the American Recovery and Reinvestment Act of 2009 (ARRA).</w:t>
      </w:r>
      <w:r>
        <w:rPr>
          <w:rStyle w:val="FootnoteReference"/>
          <w:rFonts w:ascii="Times New Roman" w:hAnsi="Times New Roman"/>
          <w:sz w:val="26"/>
          <w:szCs w:val="26"/>
        </w:rPr>
        <w:footnoteReference w:id="22"/>
      </w:r>
      <w:r w:rsidRPr="002641D7">
        <w:rPr>
          <w:rFonts w:ascii="Times New Roman" w:hAnsi="Times New Roman"/>
          <w:sz w:val="26"/>
          <w:szCs w:val="26"/>
        </w:rPr>
        <w:t xml:space="preserve">  </w:t>
      </w:r>
    </w:p>
    <w:p w:rsidR="005C5BA3" w:rsidRDefault="005C5BA3" w:rsidP="002E75FB">
      <w:pPr>
        <w:pStyle w:val="ListParagraph"/>
        <w:spacing w:after="0" w:line="360" w:lineRule="auto"/>
        <w:ind w:left="0" w:firstLine="720"/>
        <w:rPr>
          <w:rFonts w:ascii="Times New Roman" w:hAnsi="Times New Roman"/>
          <w:sz w:val="26"/>
          <w:szCs w:val="26"/>
        </w:rPr>
      </w:pPr>
    </w:p>
    <w:p w:rsidR="00A43714" w:rsidRDefault="005C5BA3" w:rsidP="005C5BA3">
      <w:pPr>
        <w:pStyle w:val="ListParagraph"/>
        <w:spacing w:after="0" w:line="360" w:lineRule="auto"/>
        <w:ind w:left="0" w:firstLine="720"/>
        <w:rPr>
          <w:rFonts w:ascii="Times New Roman" w:hAnsi="Times New Roman"/>
          <w:sz w:val="26"/>
        </w:rPr>
      </w:pPr>
      <w:r>
        <w:rPr>
          <w:rFonts w:ascii="Times New Roman" w:hAnsi="Times New Roman"/>
          <w:sz w:val="26"/>
          <w:szCs w:val="26"/>
        </w:rPr>
        <w:t xml:space="preserve">A corresponding  issue that arose during Phase I was how to then attribute savings to each program in proportion to the degree of motivation each incentive played in a customer’s decision.  </w:t>
      </w:r>
      <w:r w:rsidR="00F76959">
        <w:rPr>
          <w:rFonts w:ascii="Times New Roman" w:hAnsi="Times New Roman"/>
          <w:sz w:val="26"/>
          <w:szCs w:val="26"/>
        </w:rPr>
        <w:t>T</w:t>
      </w:r>
      <w:r w:rsidRPr="005C5BA3">
        <w:rPr>
          <w:rFonts w:ascii="Times New Roman" w:hAnsi="Times New Roman"/>
          <w:sz w:val="26"/>
          <w:szCs w:val="26"/>
        </w:rPr>
        <w:t>he Commission determined that EDCs would</w:t>
      </w:r>
      <w:r w:rsidRPr="005C5BA3">
        <w:rPr>
          <w:rFonts w:ascii="Times New Roman" w:hAnsi="Times New Roman"/>
          <w:sz w:val="26"/>
        </w:rPr>
        <w:t xml:space="preserve"> be able to fully include a measure’s benefits in the TRC </w:t>
      </w:r>
      <w:r w:rsidR="00436F29">
        <w:rPr>
          <w:rFonts w:ascii="Times New Roman" w:hAnsi="Times New Roman"/>
          <w:sz w:val="26"/>
        </w:rPr>
        <w:t>T</w:t>
      </w:r>
      <w:r w:rsidRPr="005C5BA3">
        <w:rPr>
          <w:rFonts w:ascii="Times New Roman" w:hAnsi="Times New Roman"/>
          <w:sz w:val="26"/>
        </w:rPr>
        <w:t>est if any portion of the measure is attributable to Act 129.</w:t>
      </w:r>
      <w:r w:rsidR="00986B2B">
        <w:rPr>
          <w:rStyle w:val="FootnoteReference"/>
          <w:rFonts w:ascii="Times New Roman" w:hAnsi="Times New Roman"/>
          <w:sz w:val="26"/>
        </w:rPr>
        <w:footnoteReference w:id="23"/>
      </w:r>
      <w:r w:rsidRPr="005C5BA3">
        <w:rPr>
          <w:rFonts w:ascii="Times New Roman" w:hAnsi="Times New Roman"/>
          <w:sz w:val="26"/>
        </w:rPr>
        <w:t xml:space="preserve">  </w:t>
      </w:r>
    </w:p>
    <w:p w:rsidR="005C5BA3" w:rsidRDefault="005C5BA3" w:rsidP="005C5BA3">
      <w:pPr>
        <w:pStyle w:val="ListParagraph"/>
        <w:spacing w:after="0" w:line="360" w:lineRule="auto"/>
        <w:ind w:left="0" w:firstLine="720"/>
        <w:rPr>
          <w:sz w:val="26"/>
          <w:szCs w:val="26"/>
        </w:rPr>
      </w:pPr>
    </w:p>
    <w:p w:rsidR="00671474" w:rsidRPr="00671474" w:rsidRDefault="00671474" w:rsidP="002F4C1B">
      <w:pPr>
        <w:pStyle w:val="ListParagraph"/>
        <w:numPr>
          <w:ilvl w:val="0"/>
          <w:numId w:val="14"/>
        </w:numPr>
        <w:spacing w:after="0" w:line="480" w:lineRule="auto"/>
        <w:ind w:left="2160" w:hanging="720"/>
        <w:rPr>
          <w:rFonts w:ascii="Times New Roman" w:hAnsi="Times New Roman"/>
          <w:sz w:val="26"/>
          <w:szCs w:val="26"/>
        </w:rPr>
      </w:pPr>
      <w:r w:rsidRPr="00671474">
        <w:rPr>
          <w:rFonts w:ascii="Times New Roman" w:hAnsi="Times New Roman"/>
          <w:sz w:val="26"/>
          <w:szCs w:val="26"/>
        </w:rPr>
        <w:t>Proposed resolution</w:t>
      </w:r>
    </w:p>
    <w:p w:rsidR="005C5BA3" w:rsidRPr="005C5BA3" w:rsidRDefault="00AF45C3" w:rsidP="005C5BA3">
      <w:pPr>
        <w:pStyle w:val="ListParagraph"/>
        <w:spacing w:after="0" w:line="360" w:lineRule="auto"/>
        <w:ind w:left="0" w:firstLine="720"/>
        <w:rPr>
          <w:rFonts w:ascii="Times New Roman" w:hAnsi="Times New Roman"/>
          <w:sz w:val="26"/>
          <w:szCs w:val="26"/>
        </w:rPr>
      </w:pPr>
      <w:r>
        <w:rPr>
          <w:rFonts w:ascii="Times New Roman" w:hAnsi="Times New Roman"/>
          <w:sz w:val="26"/>
          <w:szCs w:val="26"/>
        </w:rPr>
        <w:t>Should the Commission proceed with Phase II, we</w:t>
      </w:r>
      <w:r w:rsidR="00A43714" w:rsidRPr="002E75FB">
        <w:rPr>
          <w:rFonts w:ascii="Times New Roman" w:hAnsi="Times New Roman"/>
          <w:sz w:val="26"/>
          <w:szCs w:val="26"/>
        </w:rPr>
        <w:t xml:space="preserve"> propose that all incentive payments from sources outside of Act</w:t>
      </w:r>
      <w:r w:rsidR="00D82CB0">
        <w:rPr>
          <w:rFonts w:ascii="Times New Roman" w:hAnsi="Times New Roman"/>
          <w:sz w:val="26"/>
          <w:szCs w:val="26"/>
        </w:rPr>
        <w:t> </w:t>
      </w:r>
      <w:r w:rsidR="00A43714" w:rsidRPr="002E75FB">
        <w:rPr>
          <w:rFonts w:ascii="Times New Roman" w:hAnsi="Times New Roman"/>
          <w:sz w:val="26"/>
          <w:szCs w:val="26"/>
        </w:rPr>
        <w:t>129, including state and federal tax credits, be</w:t>
      </w:r>
      <w:r w:rsidR="00563DF7" w:rsidRPr="002E75FB">
        <w:rPr>
          <w:rFonts w:ascii="Times New Roman" w:hAnsi="Times New Roman"/>
          <w:sz w:val="26"/>
          <w:szCs w:val="26"/>
        </w:rPr>
        <w:t xml:space="preserve"> considered a reduction </w:t>
      </w:r>
      <w:r w:rsidR="00A43714" w:rsidRPr="002E75FB">
        <w:rPr>
          <w:rFonts w:ascii="Times New Roman" w:hAnsi="Times New Roman"/>
          <w:sz w:val="26"/>
          <w:szCs w:val="26"/>
        </w:rPr>
        <w:t>in</w:t>
      </w:r>
      <w:r w:rsidR="00563DF7" w:rsidRPr="002E75FB">
        <w:rPr>
          <w:rFonts w:ascii="Times New Roman" w:hAnsi="Times New Roman"/>
          <w:sz w:val="26"/>
          <w:szCs w:val="26"/>
        </w:rPr>
        <w:t xml:space="preserve"> costs </w:t>
      </w:r>
      <w:r w:rsidR="0063120F" w:rsidRPr="002E75FB">
        <w:rPr>
          <w:rFonts w:ascii="Times New Roman" w:hAnsi="Times New Roman"/>
          <w:sz w:val="26"/>
          <w:szCs w:val="26"/>
        </w:rPr>
        <w:t xml:space="preserve">for customers participating in said programs and </w:t>
      </w:r>
      <w:r w:rsidR="00A43714" w:rsidRPr="002E75FB">
        <w:rPr>
          <w:rFonts w:ascii="Times New Roman" w:hAnsi="Times New Roman"/>
          <w:sz w:val="26"/>
          <w:szCs w:val="26"/>
        </w:rPr>
        <w:t xml:space="preserve">that such incentives </w:t>
      </w:r>
      <w:r w:rsidR="0063120F" w:rsidRPr="002E75FB">
        <w:rPr>
          <w:rFonts w:ascii="Times New Roman" w:hAnsi="Times New Roman"/>
          <w:sz w:val="26"/>
          <w:szCs w:val="26"/>
        </w:rPr>
        <w:t>should be accounted for in the TRC calculations</w:t>
      </w:r>
      <w:r w:rsidR="00A43714" w:rsidRPr="002E75FB">
        <w:rPr>
          <w:rFonts w:ascii="Times New Roman" w:hAnsi="Times New Roman"/>
          <w:sz w:val="26"/>
          <w:szCs w:val="26"/>
        </w:rPr>
        <w:t xml:space="preserve"> as a reduction in costs</w:t>
      </w:r>
      <w:r w:rsidR="0063120F" w:rsidRPr="002E75FB">
        <w:rPr>
          <w:rFonts w:ascii="Times New Roman" w:hAnsi="Times New Roman"/>
          <w:sz w:val="26"/>
          <w:szCs w:val="26"/>
        </w:rPr>
        <w:t xml:space="preserve">.  </w:t>
      </w:r>
      <w:r w:rsidR="00A43714" w:rsidRPr="002E75FB">
        <w:rPr>
          <w:rFonts w:ascii="Times New Roman" w:hAnsi="Times New Roman"/>
          <w:sz w:val="26"/>
          <w:szCs w:val="26"/>
        </w:rPr>
        <w:t>T</w:t>
      </w:r>
      <w:r w:rsidR="0063120F" w:rsidRPr="002E75FB">
        <w:rPr>
          <w:rFonts w:ascii="Times New Roman" w:hAnsi="Times New Roman"/>
          <w:sz w:val="26"/>
          <w:szCs w:val="26"/>
        </w:rPr>
        <w:t xml:space="preserve">hese incentives, whether they are rebates or tax credits, would reduce the participating customers’ costs, and they should, therefore, be reflected in lower program costs and be factored into an EDC’s TRC </w:t>
      </w:r>
      <w:r w:rsidR="00436F29">
        <w:rPr>
          <w:rFonts w:ascii="Times New Roman" w:hAnsi="Times New Roman"/>
          <w:sz w:val="26"/>
          <w:szCs w:val="26"/>
        </w:rPr>
        <w:t>T</w:t>
      </w:r>
      <w:r w:rsidR="0063120F" w:rsidRPr="002E75FB">
        <w:rPr>
          <w:rFonts w:ascii="Times New Roman" w:hAnsi="Times New Roman"/>
          <w:sz w:val="26"/>
          <w:szCs w:val="26"/>
        </w:rPr>
        <w:t>est.</w:t>
      </w:r>
      <w:r w:rsidR="00FE7C75">
        <w:rPr>
          <w:rStyle w:val="FootnoteReference"/>
          <w:rFonts w:ascii="Times New Roman" w:hAnsi="Times New Roman"/>
          <w:sz w:val="26"/>
          <w:szCs w:val="26"/>
        </w:rPr>
        <w:footnoteReference w:id="24"/>
      </w:r>
      <w:r w:rsidR="0063120F" w:rsidRPr="002E75FB">
        <w:rPr>
          <w:rFonts w:ascii="Times New Roman" w:hAnsi="Times New Roman"/>
          <w:sz w:val="26"/>
          <w:szCs w:val="26"/>
        </w:rPr>
        <w:t xml:space="preserve"> </w:t>
      </w:r>
      <w:r w:rsidR="002E75FB" w:rsidRPr="002E75FB">
        <w:rPr>
          <w:rFonts w:ascii="Times New Roman" w:hAnsi="Times New Roman"/>
          <w:sz w:val="26"/>
          <w:szCs w:val="26"/>
        </w:rPr>
        <w:t xml:space="preserve"> Additionally, </w:t>
      </w:r>
      <w:r w:rsidR="00D82CB0">
        <w:rPr>
          <w:rFonts w:ascii="Times New Roman" w:hAnsi="Times New Roman"/>
          <w:sz w:val="26"/>
          <w:szCs w:val="26"/>
        </w:rPr>
        <w:t>s</w:t>
      </w:r>
      <w:r w:rsidR="002E75FB" w:rsidRPr="002E75FB">
        <w:rPr>
          <w:rFonts w:ascii="Times New Roman" w:hAnsi="Times New Roman"/>
          <w:sz w:val="26"/>
          <w:szCs w:val="26"/>
        </w:rPr>
        <w:t xml:space="preserve">ince Act 129 funding is fixed, any additional funds will be used to supplement, not replace, funds from the EDCs.  </w:t>
      </w:r>
      <w:r w:rsidR="005C5BA3">
        <w:rPr>
          <w:rFonts w:ascii="Times New Roman" w:hAnsi="Times New Roman"/>
          <w:sz w:val="26"/>
          <w:szCs w:val="26"/>
        </w:rPr>
        <w:t xml:space="preserve">Finally, we propose that, as with Phase I, </w:t>
      </w:r>
      <w:r w:rsidR="005C5BA3" w:rsidRPr="005C5BA3">
        <w:rPr>
          <w:rFonts w:ascii="Times New Roman" w:hAnsi="Times New Roman"/>
          <w:sz w:val="26"/>
          <w:szCs w:val="26"/>
        </w:rPr>
        <w:t xml:space="preserve">if </w:t>
      </w:r>
      <w:r w:rsidR="005C5BA3">
        <w:rPr>
          <w:rFonts w:ascii="Times New Roman" w:hAnsi="Times New Roman"/>
          <w:sz w:val="26"/>
          <w:szCs w:val="26"/>
        </w:rPr>
        <w:t>an</w:t>
      </w:r>
      <w:r w:rsidR="005C5BA3" w:rsidRPr="005C5BA3">
        <w:rPr>
          <w:rFonts w:ascii="Times New Roman" w:hAnsi="Times New Roman"/>
          <w:sz w:val="26"/>
          <w:szCs w:val="26"/>
        </w:rPr>
        <w:t xml:space="preserve"> end-use customer is a recipient of an </w:t>
      </w:r>
      <w:r w:rsidR="005C5BA3" w:rsidRPr="005C5BA3">
        <w:rPr>
          <w:rFonts w:ascii="Times New Roman" w:hAnsi="Times New Roman"/>
          <w:sz w:val="26"/>
          <w:szCs w:val="26"/>
        </w:rPr>
        <w:lastRenderedPageBreak/>
        <w:t xml:space="preserve">incentive/rebate from an Act 129 program, even if the customer is also a recipient of </w:t>
      </w:r>
      <w:r w:rsidR="00C43DBF">
        <w:rPr>
          <w:rFonts w:ascii="Times New Roman" w:hAnsi="Times New Roman"/>
          <w:sz w:val="26"/>
          <w:szCs w:val="26"/>
        </w:rPr>
        <w:t>an outside source</w:t>
      </w:r>
      <w:r w:rsidR="005C5BA3" w:rsidRPr="005C5BA3">
        <w:rPr>
          <w:rFonts w:ascii="Times New Roman" w:hAnsi="Times New Roman"/>
          <w:sz w:val="26"/>
          <w:szCs w:val="26"/>
        </w:rPr>
        <w:t xml:space="preserve"> incentive or rebate for the same equipment or service, </w:t>
      </w:r>
      <w:r w:rsidR="00206F13">
        <w:rPr>
          <w:rFonts w:ascii="Times New Roman" w:hAnsi="Times New Roman"/>
          <w:sz w:val="26"/>
          <w:szCs w:val="26"/>
        </w:rPr>
        <w:t>we propose</w:t>
      </w:r>
      <w:r w:rsidR="005C5BA3" w:rsidRPr="005C5BA3">
        <w:rPr>
          <w:rFonts w:ascii="Times New Roman" w:hAnsi="Times New Roman"/>
          <w:sz w:val="26"/>
          <w:szCs w:val="26"/>
        </w:rPr>
        <w:t xml:space="preserve"> that the entire savings of that equipment or service can also be claimed by the EDC for TRC </w:t>
      </w:r>
      <w:r w:rsidR="00D82CB0">
        <w:rPr>
          <w:rFonts w:ascii="Times New Roman" w:hAnsi="Times New Roman"/>
          <w:sz w:val="26"/>
          <w:szCs w:val="26"/>
        </w:rPr>
        <w:t>T</w:t>
      </w:r>
      <w:r w:rsidR="005C5BA3" w:rsidRPr="005C5BA3">
        <w:rPr>
          <w:rFonts w:ascii="Times New Roman" w:hAnsi="Times New Roman"/>
          <w:sz w:val="26"/>
          <w:szCs w:val="26"/>
        </w:rPr>
        <w:t>est purposes.</w:t>
      </w:r>
    </w:p>
    <w:p w:rsidR="003E7B81" w:rsidRPr="001B2FDE" w:rsidRDefault="003E7B81" w:rsidP="00F347F1">
      <w:pPr>
        <w:pStyle w:val="BodyText2"/>
        <w:spacing w:after="0" w:line="360" w:lineRule="auto"/>
        <w:ind w:firstLine="720"/>
        <w:rPr>
          <w:sz w:val="26"/>
          <w:szCs w:val="26"/>
        </w:rPr>
      </w:pPr>
    </w:p>
    <w:p w:rsidR="00726645" w:rsidRPr="002F4C1B" w:rsidRDefault="00726645" w:rsidP="002F4C1B">
      <w:pPr>
        <w:pStyle w:val="ListParagraph"/>
        <w:keepNext/>
        <w:numPr>
          <w:ilvl w:val="0"/>
          <w:numId w:val="27"/>
        </w:numPr>
        <w:spacing w:line="480" w:lineRule="auto"/>
        <w:ind w:left="1440" w:hanging="720"/>
        <w:rPr>
          <w:rFonts w:ascii="Times New Roman" w:hAnsi="Times New Roman"/>
          <w:b/>
          <w:sz w:val="26"/>
          <w:szCs w:val="26"/>
        </w:rPr>
      </w:pPr>
      <w:r w:rsidRPr="002F4C1B">
        <w:rPr>
          <w:rFonts w:ascii="Times New Roman" w:hAnsi="Times New Roman"/>
          <w:b/>
          <w:sz w:val="26"/>
          <w:szCs w:val="26"/>
        </w:rPr>
        <w:t>Incremental Costs</w:t>
      </w:r>
    </w:p>
    <w:p w:rsidR="003E7B81" w:rsidRPr="003E7B81" w:rsidRDefault="003E7B81" w:rsidP="002F4C1B">
      <w:pPr>
        <w:pStyle w:val="ListParagraph"/>
        <w:keepNext/>
        <w:numPr>
          <w:ilvl w:val="0"/>
          <w:numId w:val="21"/>
        </w:numPr>
        <w:spacing w:after="0" w:line="480" w:lineRule="auto"/>
        <w:ind w:left="2160" w:hanging="720"/>
        <w:rPr>
          <w:rFonts w:ascii="Times New Roman" w:hAnsi="Times New Roman"/>
          <w:sz w:val="26"/>
          <w:szCs w:val="26"/>
        </w:rPr>
      </w:pPr>
      <w:r w:rsidRPr="003E7B81">
        <w:rPr>
          <w:rFonts w:ascii="Times New Roman" w:hAnsi="Times New Roman"/>
          <w:sz w:val="26"/>
          <w:szCs w:val="26"/>
        </w:rPr>
        <w:t>Discussion</w:t>
      </w:r>
    </w:p>
    <w:p w:rsidR="003E7B81" w:rsidRDefault="003F2312" w:rsidP="00F347F1">
      <w:pPr>
        <w:spacing w:line="360" w:lineRule="auto"/>
        <w:ind w:firstLine="720"/>
        <w:rPr>
          <w:sz w:val="26"/>
          <w:szCs w:val="26"/>
        </w:rPr>
      </w:pPr>
      <w:r>
        <w:rPr>
          <w:sz w:val="26"/>
          <w:szCs w:val="26"/>
        </w:rPr>
        <w:t xml:space="preserve">The Commission determined for Phase I that energy </w:t>
      </w:r>
      <w:r w:rsidR="00726645" w:rsidRPr="000A7DCB">
        <w:rPr>
          <w:sz w:val="26"/>
          <w:szCs w:val="26"/>
        </w:rPr>
        <w:t>efficiency cost calculations should use only the incremental energy efficiency costs and savings</w:t>
      </w:r>
      <w:r>
        <w:rPr>
          <w:sz w:val="26"/>
          <w:szCs w:val="26"/>
        </w:rPr>
        <w:t>.  T</w:t>
      </w:r>
      <w:r w:rsidR="006247A2">
        <w:rPr>
          <w:sz w:val="26"/>
          <w:szCs w:val="26"/>
        </w:rPr>
        <w:t>he Commission</w:t>
      </w:r>
      <w:r w:rsidR="00726645" w:rsidRPr="000A7DCB">
        <w:rPr>
          <w:sz w:val="26"/>
          <w:szCs w:val="26"/>
        </w:rPr>
        <w:t xml:space="preserve"> recognize</w:t>
      </w:r>
      <w:r w:rsidR="006247A2">
        <w:rPr>
          <w:sz w:val="26"/>
          <w:szCs w:val="26"/>
        </w:rPr>
        <w:t>s</w:t>
      </w:r>
      <w:r w:rsidR="00726645" w:rsidRPr="000A7DCB">
        <w:rPr>
          <w:sz w:val="26"/>
          <w:szCs w:val="26"/>
        </w:rPr>
        <w:t xml:space="preserve"> that the incremental costs and saving will vary depending on the type of energy efficiency </w:t>
      </w:r>
      <w:r w:rsidR="00726645">
        <w:rPr>
          <w:sz w:val="26"/>
          <w:szCs w:val="26"/>
        </w:rPr>
        <w:t xml:space="preserve">device or </w:t>
      </w:r>
      <w:r w:rsidR="00726645" w:rsidRPr="000A7DCB">
        <w:rPr>
          <w:sz w:val="26"/>
          <w:szCs w:val="26"/>
        </w:rPr>
        <w:t xml:space="preserve">measure being implemented.  </w:t>
      </w:r>
      <w:r w:rsidR="00726645">
        <w:rPr>
          <w:sz w:val="26"/>
          <w:szCs w:val="26"/>
        </w:rPr>
        <w:t>In this context, i</w:t>
      </w:r>
      <w:r w:rsidR="00726645" w:rsidRPr="000A7DCB">
        <w:rPr>
          <w:sz w:val="26"/>
          <w:szCs w:val="26"/>
        </w:rPr>
        <w:t>ncremental cost for a device</w:t>
      </w:r>
      <w:r w:rsidR="00726645">
        <w:rPr>
          <w:rStyle w:val="FootnoteReference"/>
          <w:sz w:val="26"/>
          <w:szCs w:val="26"/>
        </w:rPr>
        <w:footnoteReference w:id="25"/>
      </w:r>
      <w:r w:rsidR="00726645" w:rsidRPr="000A7DCB">
        <w:rPr>
          <w:sz w:val="26"/>
          <w:szCs w:val="26"/>
        </w:rPr>
        <w:t xml:space="preserve"> </w:t>
      </w:r>
      <w:r w:rsidR="00726645">
        <w:rPr>
          <w:sz w:val="26"/>
          <w:szCs w:val="26"/>
        </w:rPr>
        <w:t xml:space="preserve">or measure </w:t>
      </w:r>
      <w:r w:rsidR="00726645" w:rsidRPr="000A7DCB">
        <w:rPr>
          <w:sz w:val="26"/>
          <w:szCs w:val="26"/>
        </w:rPr>
        <w:t xml:space="preserve">that </w:t>
      </w:r>
      <w:r w:rsidR="00726645">
        <w:rPr>
          <w:sz w:val="26"/>
          <w:szCs w:val="26"/>
        </w:rPr>
        <w:t xml:space="preserve">has </w:t>
      </w:r>
      <w:r w:rsidR="00726645" w:rsidRPr="000A7DCB">
        <w:rPr>
          <w:sz w:val="26"/>
          <w:szCs w:val="26"/>
        </w:rPr>
        <w:t xml:space="preserve">reached the end of its useful life </w:t>
      </w:r>
      <w:r w:rsidR="00726645">
        <w:rPr>
          <w:sz w:val="26"/>
          <w:szCs w:val="26"/>
        </w:rPr>
        <w:t xml:space="preserve">is </w:t>
      </w:r>
      <w:r w:rsidR="00726645" w:rsidRPr="000A7DCB">
        <w:rPr>
          <w:sz w:val="26"/>
          <w:szCs w:val="26"/>
        </w:rPr>
        <w:t xml:space="preserve">the additional cost incurred to purchase </w:t>
      </w:r>
      <w:r w:rsidR="00726645">
        <w:rPr>
          <w:sz w:val="26"/>
          <w:szCs w:val="26"/>
        </w:rPr>
        <w:t>an</w:t>
      </w:r>
      <w:r w:rsidR="00726645" w:rsidRPr="000A7DCB">
        <w:rPr>
          <w:sz w:val="26"/>
          <w:szCs w:val="26"/>
        </w:rPr>
        <w:t xml:space="preserve"> efficient device or measure over </w:t>
      </w:r>
      <w:r w:rsidR="00726645">
        <w:rPr>
          <w:sz w:val="26"/>
          <w:szCs w:val="26"/>
        </w:rPr>
        <w:t xml:space="preserve">and above </w:t>
      </w:r>
      <w:r w:rsidR="00726645" w:rsidRPr="000A7DCB">
        <w:rPr>
          <w:sz w:val="26"/>
          <w:szCs w:val="26"/>
        </w:rPr>
        <w:t>the cost of the standard (</w:t>
      </w:r>
      <w:r w:rsidR="00726645" w:rsidRPr="00C11C8A">
        <w:rPr>
          <w:i/>
          <w:sz w:val="26"/>
          <w:szCs w:val="26"/>
        </w:rPr>
        <w:t>i.e.</w:t>
      </w:r>
      <w:r w:rsidR="00726645">
        <w:rPr>
          <w:sz w:val="26"/>
          <w:szCs w:val="26"/>
        </w:rPr>
        <w:t xml:space="preserve">, </w:t>
      </w:r>
      <w:r w:rsidR="00726645" w:rsidRPr="000A7DCB">
        <w:rPr>
          <w:sz w:val="26"/>
          <w:szCs w:val="26"/>
        </w:rPr>
        <w:t>less efficient) device or measure</w:t>
      </w:r>
      <w:r w:rsidR="00726645">
        <w:rPr>
          <w:sz w:val="26"/>
          <w:szCs w:val="26"/>
        </w:rPr>
        <w:t>.  For</w:t>
      </w:r>
      <w:r w:rsidR="00726645" w:rsidRPr="000A7DCB">
        <w:rPr>
          <w:sz w:val="26"/>
          <w:szCs w:val="26"/>
        </w:rPr>
        <w:t xml:space="preserve"> replacement of a functioning device, incremental cost is the whole amount of the new efficient device or measure (including installation costs) being purchased.  The use of incremental costs will provide more accurate calculations for the measures being implemented.</w:t>
      </w:r>
      <w:r w:rsidR="00986B2B">
        <w:rPr>
          <w:rStyle w:val="FootnoteReference"/>
          <w:sz w:val="26"/>
          <w:szCs w:val="26"/>
        </w:rPr>
        <w:footnoteReference w:id="26"/>
      </w:r>
      <w:r w:rsidR="00726645" w:rsidRPr="000A7DCB">
        <w:rPr>
          <w:sz w:val="26"/>
          <w:szCs w:val="26"/>
        </w:rPr>
        <w:t xml:space="preserve">  </w:t>
      </w:r>
    </w:p>
    <w:p w:rsidR="002F4C1B" w:rsidRDefault="002F4C1B" w:rsidP="00F347F1">
      <w:pPr>
        <w:spacing w:line="360" w:lineRule="auto"/>
        <w:ind w:firstLine="720"/>
        <w:rPr>
          <w:sz w:val="26"/>
          <w:szCs w:val="26"/>
        </w:rPr>
      </w:pPr>
    </w:p>
    <w:p w:rsidR="003E7B81" w:rsidRPr="003E7B81" w:rsidRDefault="003E7B81" w:rsidP="002F4C1B">
      <w:pPr>
        <w:pStyle w:val="ListParagraph"/>
        <w:numPr>
          <w:ilvl w:val="0"/>
          <w:numId w:val="21"/>
        </w:numPr>
        <w:spacing w:after="0" w:line="480" w:lineRule="auto"/>
        <w:ind w:left="2160" w:hanging="720"/>
        <w:rPr>
          <w:rFonts w:ascii="Times New Roman" w:hAnsi="Times New Roman"/>
          <w:sz w:val="26"/>
          <w:szCs w:val="26"/>
        </w:rPr>
      </w:pPr>
      <w:r w:rsidRPr="003E7B81">
        <w:rPr>
          <w:rFonts w:ascii="Times New Roman" w:hAnsi="Times New Roman"/>
          <w:sz w:val="26"/>
          <w:szCs w:val="26"/>
        </w:rPr>
        <w:t>Proposed resolution</w:t>
      </w:r>
    </w:p>
    <w:p w:rsidR="00726645" w:rsidRDefault="003E7B81" w:rsidP="00F347F1">
      <w:pPr>
        <w:spacing w:line="360" w:lineRule="auto"/>
        <w:ind w:firstLine="720"/>
        <w:rPr>
          <w:sz w:val="26"/>
          <w:szCs w:val="26"/>
        </w:rPr>
      </w:pPr>
      <w:r>
        <w:rPr>
          <w:sz w:val="26"/>
          <w:szCs w:val="26"/>
        </w:rPr>
        <w:t>The Commission proposes that, as with Phase I, i</w:t>
      </w:r>
      <w:r w:rsidR="00726645" w:rsidRPr="000A7DCB">
        <w:rPr>
          <w:sz w:val="26"/>
          <w:szCs w:val="26"/>
        </w:rPr>
        <w:t xml:space="preserve">ncremental costs </w:t>
      </w:r>
      <w:r w:rsidR="00A26D0C">
        <w:rPr>
          <w:sz w:val="26"/>
          <w:szCs w:val="26"/>
        </w:rPr>
        <w:t xml:space="preserve">are incorporated </w:t>
      </w:r>
      <w:r w:rsidR="00726645" w:rsidRPr="000A7DCB">
        <w:rPr>
          <w:sz w:val="26"/>
          <w:szCs w:val="26"/>
        </w:rPr>
        <w:t xml:space="preserve">where appropriate in the </w:t>
      </w:r>
      <w:r w:rsidR="00726645">
        <w:rPr>
          <w:sz w:val="26"/>
          <w:szCs w:val="26"/>
        </w:rPr>
        <w:t xml:space="preserve">TRC </w:t>
      </w:r>
      <w:r w:rsidR="00436F29">
        <w:rPr>
          <w:sz w:val="26"/>
          <w:szCs w:val="26"/>
        </w:rPr>
        <w:t>T</w:t>
      </w:r>
      <w:r w:rsidR="00726645">
        <w:rPr>
          <w:sz w:val="26"/>
          <w:szCs w:val="26"/>
        </w:rPr>
        <w:t xml:space="preserve">est process </w:t>
      </w:r>
      <w:r w:rsidR="00726645" w:rsidRPr="000A7DCB">
        <w:rPr>
          <w:sz w:val="26"/>
          <w:szCs w:val="26"/>
        </w:rPr>
        <w:t xml:space="preserve">and </w:t>
      </w:r>
      <w:r>
        <w:rPr>
          <w:sz w:val="26"/>
          <w:szCs w:val="26"/>
        </w:rPr>
        <w:t xml:space="preserve">that </w:t>
      </w:r>
      <w:r w:rsidR="00726645" w:rsidRPr="000A7DCB">
        <w:rPr>
          <w:sz w:val="26"/>
          <w:szCs w:val="26"/>
        </w:rPr>
        <w:t xml:space="preserve">EDCs </w:t>
      </w:r>
      <w:r w:rsidR="00A26D0C">
        <w:rPr>
          <w:sz w:val="26"/>
          <w:szCs w:val="26"/>
        </w:rPr>
        <w:t xml:space="preserve">are </w:t>
      </w:r>
      <w:r w:rsidR="00726645" w:rsidRPr="000A7DCB">
        <w:rPr>
          <w:sz w:val="26"/>
          <w:szCs w:val="26"/>
        </w:rPr>
        <w:t>to use calculations that include incremental costs</w:t>
      </w:r>
      <w:r w:rsidR="00AF45C3">
        <w:rPr>
          <w:sz w:val="26"/>
          <w:szCs w:val="26"/>
        </w:rPr>
        <w:t xml:space="preserve"> for a potential Phase II</w:t>
      </w:r>
      <w:r w:rsidR="00726645" w:rsidRPr="000A7DCB">
        <w:rPr>
          <w:sz w:val="26"/>
          <w:szCs w:val="26"/>
        </w:rPr>
        <w:t>.  For the purpose of defining incremental costs</w:t>
      </w:r>
      <w:r w:rsidR="00726645">
        <w:rPr>
          <w:sz w:val="26"/>
          <w:szCs w:val="26"/>
        </w:rPr>
        <w:t>,</w:t>
      </w:r>
      <w:r w:rsidR="00726645" w:rsidRPr="000A7DCB">
        <w:rPr>
          <w:sz w:val="26"/>
          <w:szCs w:val="26"/>
        </w:rPr>
        <w:t xml:space="preserve"> the Commission </w:t>
      </w:r>
      <w:r w:rsidR="00AF45C3">
        <w:rPr>
          <w:sz w:val="26"/>
          <w:szCs w:val="26"/>
        </w:rPr>
        <w:t>would</w:t>
      </w:r>
      <w:r w:rsidR="00AF45C3" w:rsidRPr="000A7DCB">
        <w:rPr>
          <w:sz w:val="26"/>
          <w:szCs w:val="26"/>
        </w:rPr>
        <w:t xml:space="preserve"> </w:t>
      </w:r>
      <w:r w:rsidR="00E505CE">
        <w:rPr>
          <w:sz w:val="26"/>
          <w:szCs w:val="26"/>
        </w:rPr>
        <w:t xml:space="preserve">continue to </w:t>
      </w:r>
      <w:r w:rsidR="00726645">
        <w:rPr>
          <w:sz w:val="26"/>
          <w:szCs w:val="26"/>
        </w:rPr>
        <w:t xml:space="preserve">look to </w:t>
      </w:r>
      <w:r w:rsidR="00726645" w:rsidRPr="000A7DCB">
        <w:rPr>
          <w:sz w:val="26"/>
          <w:szCs w:val="26"/>
        </w:rPr>
        <w:t xml:space="preserve">Section 4.1 of the Guide to </w:t>
      </w:r>
      <w:r w:rsidR="00726645" w:rsidRPr="000A7DCB">
        <w:rPr>
          <w:sz w:val="26"/>
          <w:szCs w:val="26"/>
        </w:rPr>
        <w:lastRenderedPageBreak/>
        <w:t>Resource Planning with Energy Efficiency, A Resource of the National Action Plan for Energy Efficiency</w:t>
      </w:r>
      <w:r w:rsidR="00726645">
        <w:rPr>
          <w:sz w:val="26"/>
          <w:szCs w:val="26"/>
        </w:rPr>
        <w:t>, November 2007, for</w:t>
      </w:r>
      <w:r w:rsidR="00A26D0C">
        <w:rPr>
          <w:sz w:val="26"/>
          <w:szCs w:val="26"/>
        </w:rPr>
        <w:t xml:space="preserve"> guidance.</w:t>
      </w:r>
      <w:r w:rsidR="00A26D0C" w:rsidRPr="000A7DCB">
        <w:rPr>
          <w:rStyle w:val="FootnoteReference"/>
          <w:sz w:val="26"/>
          <w:szCs w:val="26"/>
        </w:rPr>
        <w:footnoteReference w:id="27"/>
      </w:r>
      <w:r w:rsidR="00726645">
        <w:rPr>
          <w:sz w:val="26"/>
          <w:szCs w:val="26"/>
        </w:rPr>
        <w:t xml:space="preserve">  </w:t>
      </w:r>
    </w:p>
    <w:p w:rsidR="005D6A99" w:rsidRDefault="005D6A99" w:rsidP="00F347F1">
      <w:pPr>
        <w:spacing w:line="360" w:lineRule="auto"/>
        <w:ind w:firstLine="720"/>
        <w:rPr>
          <w:sz w:val="26"/>
          <w:szCs w:val="26"/>
        </w:rPr>
      </w:pPr>
    </w:p>
    <w:p w:rsidR="005D6A99" w:rsidRPr="00BF50AF" w:rsidRDefault="00580CC2" w:rsidP="00BF50AF">
      <w:pPr>
        <w:pStyle w:val="ListParagraph"/>
        <w:keepNext/>
        <w:numPr>
          <w:ilvl w:val="0"/>
          <w:numId w:val="27"/>
        </w:numPr>
        <w:spacing w:after="0" w:line="480" w:lineRule="auto"/>
        <w:ind w:left="1440" w:hanging="720"/>
        <w:rPr>
          <w:rFonts w:ascii="Times New Roman" w:hAnsi="Times New Roman"/>
          <w:b/>
          <w:color w:val="000000" w:themeColor="text1"/>
          <w:sz w:val="26"/>
          <w:szCs w:val="26"/>
        </w:rPr>
      </w:pPr>
      <w:r w:rsidRPr="00BF50AF">
        <w:rPr>
          <w:rFonts w:ascii="Times New Roman" w:hAnsi="Times New Roman"/>
          <w:b/>
          <w:color w:val="000000" w:themeColor="text1"/>
          <w:sz w:val="26"/>
          <w:szCs w:val="26"/>
        </w:rPr>
        <w:t>Incremental Measure Costs</w:t>
      </w:r>
      <w:r w:rsidR="00B75037">
        <w:rPr>
          <w:rFonts w:ascii="Times New Roman" w:hAnsi="Times New Roman"/>
          <w:b/>
          <w:color w:val="000000" w:themeColor="text1"/>
          <w:sz w:val="26"/>
          <w:szCs w:val="26"/>
        </w:rPr>
        <w:t xml:space="preserve"> Data</w:t>
      </w:r>
      <w:r w:rsidRPr="00BF50AF">
        <w:rPr>
          <w:rFonts w:ascii="Times New Roman" w:hAnsi="Times New Roman"/>
          <w:b/>
          <w:color w:val="000000" w:themeColor="text1"/>
          <w:sz w:val="26"/>
          <w:szCs w:val="26"/>
        </w:rPr>
        <w:t xml:space="preserve"> </w:t>
      </w:r>
    </w:p>
    <w:p w:rsidR="005D6A99" w:rsidRDefault="005D6A99" w:rsidP="00BF50AF">
      <w:pPr>
        <w:pStyle w:val="BodyText2"/>
        <w:numPr>
          <w:ilvl w:val="0"/>
          <w:numId w:val="7"/>
        </w:numPr>
        <w:spacing w:after="0"/>
        <w:ind w:left="2160" w:hanging="720"/>
        <w:rPr>
          <w:sz w:val="26"/>
          <w:szCs w:val="26"/>
        </w:rPr>
      </w:pPr>
      <w:r w:rsidRPr="00BF50AF">
        <w:rPr>
          <w:color w:val="000000" w:themeColor="text1"/>
          <w:sz w:val="26"/>
          <w:szCs w:val="26"/>
        </w:rPr>
        <w:t>Dis</w:t>
      </w:r>
      <w:r>
        <w:rPr>
          <w:sz w:val="26"/>
          <w:szCs w:val="26"/>
        </w:rPr>
        <w:t>cussion</w:t>
      </w:r>
    </w:p>
    <w:p w:rsidR="005D6A99" w:rsidRDefault="005D6A99" w:rsidP="00F347F1">
      <w:pPr>
        <w:pStyle w:val="BodyText2"/>
        <w:spacing w:after="0" w:line="360" w:lineRule="auto"/>
        <w:ind w:firstLine="720"/>
        <w:rPr>
          <w:sz w:val="26"/>
          <w:szCs w:val="26"/>
        </w:rPr>
      </w:pPr>
      <w:r>
        <w:rPr>
          <w:sz w:val="26"/>
          <w:szCs w:val="26"/>
        </w:rPr>
        <w:t>During Phase I</w:t>
      </w:r>
      <w:r w:rsidR="00D316BD">
        <w:rPr>
          <w:sz w:val="26"/>
          <w:szCs w:val="26"/>
        </w:rPr>
        <w:t xml:space="preserve">, </w:t>
      </w:r>
      <w:r w:rsidR="007C7D4A">
        <w:rPr>
          <w:sz w:val="26"/>
          <w:szCs w:val="26"/>
        </w:rPr>
        <w:t xml:space="preserve">an incremental measure cost analysis was conducted to assist the Commission in the planning for a potential Phase II.  EDCs used </w:t>
      </w:r>
      <w:r w:rsidR="00D316BD">
        <w:rPr>
          <w:sz w:val="26"/>
          <w:szCs w:val="26"/>
        </w:rPr>
        <w:t xml:space="preserve">the </w:t>
      </w:r>
      <w:r w:rsidR="007C7D4A">
        <w:rPr>
          <w:sz w:val="26"/>
          <w:szCs w:val="26"/>
        </w:rPr>
        <w:t>i</w:t>
      </w:r>
      <w:r w:rsidRPr="001B2FDE">
        <w:rPr>
          <w:sz w:val="26"/>
          <w:szCs w:val="26"/>
        </w:rPr>
        <w:t xml:space="preserve">ncremental costs figures and assumptions used in </w:t>
      </w:r>
      <w:r w:rsidR="008D2F8E">
        <w:rPr>
          <w:sz w:val="26"/>
          <w:szCs w:val="26"/>
        </w:rPr>
        <w:t>their</w:t>
      </w:r>
      <w:r w:rsidR="008D2F8E" w:rsidRPr="001B2FDE">
        <w:rPr>
          <w:sz w:val="26"/>
          <w:szCs w:val="26"/>
        </w:rPr>
        <w:t xml:space="preserve"> </w:t>
      </w:r>
      <w:r w:rsidRPr="001B2FDE">
        <w:rPr>
          <w:sz w:val="26"/>
          <w:szCs w:val="26"/>
        </w:rPr>
        <w:t xml:space="preserve">original </w:t>
      </w:r>
      <w:r>
        <w:rPr>
          <w:sz w:val="26"/>
          <w:szCs w:val="26"/>
        </w:rPr>
        <w:t xml:space="preserve">2009 </w:t>
      </w:r>
      <w:r w:rsidRPr="001B2FDE">
        <w:rPr>
          <w:sz w:val="26"/>
          <w:szCs w:val="26"/>
        </w:rPr>
        <w:t xml:space="preserve">EE&amp;C plans </w:t>
      </w:r>
      <w:r w:rsidR="007C7D4A">
        <w:rPr>
          <w:sz w:val="26"/>
          <w:szCs w:val="26"/>
        </w:rPr>
        <w:t>for the implementation of programs</w:t>
      </w:r>
      <w:r w:rsidRPr="001B2FDE">
        <w:rPr>
          <w:sz w:val="26"/>
          <w:szCs w:val="26"/>
        </w:rPr>
        <w:t>.  For measure variants not included in the EDCs</w:t>
      </w:r>
      <w:r w:rsidR="00C64696">
        <w:rPr>
          <w:sz w:val="26"/>
          <w:szCs w:val="26"/>
        </w:rPr>
        <w:t>’</w:t>
      </w:r>
      <w:r w:rsidRPr="001B2FDE">
        <w:rPr>
          <w:sz w:val="26"/>
          <w:szCs w:val="26"/>
        </w:rPr>
        <w:t xml:space="preserve"> </w:t>
      </w:r>
      <w:r>
        <w:rPr>
          <w:sz w:val="26"/>
          <w:szCs w:val="26"/>
        </w:rPr>
        <w:t xml:space="preserve">2009 </w:t>
      </w:r>
      <w:r w:rsidRPr="001B2FDE">
        <w:rPr>
          <w:sz w:val="26"/>
          <w:szCs w:val="26"/>
        </w:rPr>
        <w:t xml:space="preserve">EE&amp;C plans, the EDCs would use the California PUC’s Database for Energy Efficient Resources (DEER) as the primary source of cost data.  The DEER database would also be used to construct cost figures for measure variants and new measures. </w:t>
      </w:r>
      <w:r w:rsidR="00C64696">
        <w:rPr>
          <w:sz w:val="26"/>
          <w:szCs w:val="26"/>
        </w:rPr>
        <w:t xml:space="preserve"> </w:t>
      </w:r>
      <w:r w:rsidRPr="001B2FDE">
        <w:rPr>
          <w:sz w:val="26"/>
          <w:szCs w:val="26"/>
        </w:rPr>
        <w:t>EDCs would adjust DEER cost values for regional and local conditions using appropriate cost multipliers.  Such multipliers would be clarified and included in the EDC’s annual reports.  Lastly, EDCs would be permitted to use cost data from local retailers and suppliers if the California DEER database does not provide appropriate values.</w:t>
      </w:r>
      <w:r w:rsidR="00931A13">
        <w:rPr>
          <w:rStyle w:val="FootnoteReference"/>
          <w:sz w:val="26"/>
          <w:szCs w:val="26"/>
        </w:rPr>
        <w:footnoteReference w:id="28"/>
      </w:r>
    </w:p>
    <w:p w:rsidR="00FA30CC" w:rsidRDefault="00FA30CC" w:rsidP="00F347F1">
      <w:pPr>
        <w:pStyle w:val="BodyText2"/>
        <w:spacing w:after="0" w:line="360" w:lineRule="auto"/>
        <w:ind w:firstLine="720"/>
        <w:rPr>
          <w:sz w:val="26"/>
          <w:szCs w:val="26"/>
        </w:rPr>
      </w:pPr>
    </w:p>
    <w:p w:rsidR="007C7D4A" w:rsidRPr="001B2FDE" w:rsidRDefault="007C7D4A" w:rsidP="00F347F1">
      <w:pPr>
        <w:pStyle w:val="BodyText2"/>
        <w:spacing w:after="0" w:line="360" w:lineRule="auto"/>
        <w:ind w:firstLine="720"/>
        <w:rPr>
          <w:sz w:val="26"/>
          <w:szCs w:val="26"/>
        </w:rPr>
      </w:pPr>
      <w:r>
        <w:rPr>
          <w:sz w:val="26"/>
          <w:szCs w:val="26"/>
        </w:rPr>
        <w:t xml:space="preserve">In order to improve upon this process, </w:t>
      </w:r>
      <w:r w:rsidR="00052C78">
        <w:rPr>
          <w:sz w:val="26"/>
          <w:szCs w:val="26"/>
        </w:rPr>
        <w:t>during Phase I</w:t>
      </w:r>
      <w:r w:rsidR="006002BE">
        <w:rPr>
          <w:sz w:val="26"/>
          <w:szCs w:val="26"/>
        </w:rPr>
        <w:t>,</w:t>
      </w:r>
      <w:r w:rsidR="00052C78">
        <w:rPr>
          <w:sz w:val="26"/>
          <w:szCs w:val="26"/>
        </w:rPr>
        <w:t xml:space="preserve"> </w:t>
      </w:r>
      <w:r>
        <w:rPr>
          <w:sz w:val="26"/>
          <w:szCs w:val="26"/>
        </w:rPr>
        <w:t>the Commission approved the development of an incremental</w:t>
      </w:r>
      <w:r w:rsidR="00816751">
        <w:rPr>
          <w:sz w:val="26"/>
          <w:szCs w:val="26"/>
        </w:rPr>
        <w:t xml:space="preserve"> costs database to assist EDCs in their development of TRC ratio calculations and to promote consistency in TRC calculations.  </w:t>
      </w:r>
      <w:r w:rsidR="00895A9E">
        <w:rPr>
          <w:sz w:val="26"/>
          <w:szCs w:val="26"/>
        </w:rPr>
        <w:t>At the time of the writing of this Order, the dat</w:t>
      </w:r>
      <w:r w:rsidR="00A317DA">
        <w:rPr>
          <w:sz w:val="26"/>
          <w:szCs w:val="26"/>
        </w:rPr>
        <w:t>abase has not yet been completed and, thus, will not be available for Phase II planning</w:t>
      </w:r>
      <w:r w:rsidR="00895A9E">
        <w:rPr>
          <w:sz w:val="26"/>
          <w:szCs w:val="26"/>
        </w:rPr>
        <w:t>.</w:t>
      </w:r>
      <w:r w:rsidR="00052C78">
        <w:rPr>
          <w:rStyle w:val="FootnoteReference"/>
          <w:sz w:val="26"/>
          <w:szCs w:val="26"/>
        </w:rPr>
        <w:footnoteReference w:id="29"/>
      </w:r>
      <w:r w:rsidR="00A317DA">
        <w:rPr>
          <w:sz w:val="26"/>
          <w:szCs w:val="26"/>
        </w:rPr>
        <w:t xml:space="preserve"> </w:t>
      </w:r>
      <w:r w:rsidR="00895A9E">
        <w:rPr>
          <w:sz w:val="26"/>
          <w:szCs w:val="26"/>
        </w:rPr>
        <w:t xml:space="preserve">  </w:t>
      </w:r>
    </w:p>
    <w:p w:rsidR="005D6A99" w:rsidRPr="001B2FDE" w:rsidRDefault="005D6A99" w:rsidP="00517CF9">
      <w:pPr>
        <w:keepNext/>
        <w:spacing w:line="360" w:lineRule="auto"/>
        <w:ind w:firstLine="720"/>
        <w:rPr>
          <w:sz w:val="26"/>
          <w:szCs w:val="26"/>
        </w:rPr>
      </w:pPr>
    </w:p>
    <w:p w:rsidR="00497E35" w:rsidRPr="00497E35" w:rsidRDefault="00497E35" w:rsidP="00517CF9">
      <w:pPr>
        <w:pStyle w:val="ListParagraph"/>
        <w:keepNext/>
        <w:numPr>
          <w:ilvl w:val="0"/>
          <w:numId w:val="7"/>
        </w:numPr>
        <w:spacing w:after="0" w:line="360" w:lineRule="auto"/>
        <w:ind w:left="2160" w:hanging="720"/>
        <w:rPr>
          <w:rFonts w:ascii="Times New Roman" w:hAnsi="Times New Roman"/>
          <w:sz w:val="26"/>
          <w:szCs w:val="26"/>
        </w:rPr>
      </w:pPr>
      <w:r w:rsidRPr="00497E35">
        <w:rPr>
          <w:rFonts w:ascii="Times New Roman" w:hAnsi="Times New Roman"/>
          <w:sz w:val="26"/>
          <w:szCs w:val="26"/>
        </w:rPr>
        <w:t>Proposed resolution</w:t>
      </w:r>
    </w:p>
    <w:p w:rsidR="005D6A99" w:rsidRDefault="00A317DA" w:rsidP="00F347F1">
      <w:pPr>
        <w:spacing w:line="360" w:lineRule="auto"/>
        <w:ind w:firstLine="720"/>
        <w:rPr>
          <w:sz w:val="26"/>
          <w:szCs w:val="26"/>
        </w:rPr>
      </w:pPr>
      <w:r>
        <w:rPr>
          <w:sz w:val="26"/>
          <w:szCs w:val="26"/>
        </w:rPr>
        <w:t>For a potential Phase II, the</w:t>
      </w:r>
      <w:r w:rsidR="00497E35">
        <w:rPr>
          <w:sz w:val="26"/>
          <w:szCs w:val="26"/>
        </w:rPr>
        <w:t xml:space="preserve"> Commission propose</w:t>
      </w:r>
      <w:r w:rsidR="00895A9E">
        <w:rPr>
          <w:sz w:val="26"/>
          <w:szCs w:val="26"/>
        </w:rPr>
        <w:t>s</w:t>
      </w:r>
      <w:r w:rsidR="00497E35">
        <w:rPr>
          <w:sz w:val="26"/>
          <w:szCs w:val="26"/>
        </w:rPr>
        <w:t xml:space="preserve"> that </w:t>
      </w:r>
      <w:r w:rsidR="005D6A99" w:rsidRPr="001B2FDE">
        <w:rPr>
          <w:sz w:val="26"/>
          <w:szCs w:val="26"/>
        </w:rPr>
        <w:t>EDCs</w:t>
      </w:r>
      <w:r w:rsidR="005D6A99">
        <w:rPr>
          <w:sz w:val="26"/>
          <w:szCs w:val="26"/>
        </w:rPr>
        <w:t xml:space="preserve"> use the Pennsylvania</w:t>
      </w:r>
      <w:r w:rsidR="00C64696">
        <w:rPr>
          <w:sz w:val="26"/>
          <w:szCs w:val="26"/>
        </w:rPr>
        <w:t>-</w:t>
      </w:r>
      <w:r w:rsidR="005D6A99">
        <w:rPr>
          <w:sz w:val="26"/>
          <w:szCs w:val="26"/>
        </w:rPr>
        <w:t xml:space="preserve">specific </w:t>
      </w:r>
      <w:r w:rsidR="00895A9E">
        <w:rPr>
          <w:sz w:val="26"/>
          <w:szCs w:val="26"/>
        </w:rPr>
        <w:t>measure cost data</w:t>
      </w:r>
      <w:r w:rsidR="00B75037">
        <w:rPr>
          <w:sz w:val="26"/>
          <w:szCs w:val="26"/>
        </w:rPr>
        <w:t xml:space="preserve"> described above</w:t>
      </w:r>
      <w:r w:rsidR="00895A9E">
        <w:rPr>
          <w:sz w:val="26"/>
          <w:szCs w:val="26"/>
        </w:rPr>
        <w:t xml:space="preserve"> as an optional resource</w:t>
      </w:r>
      <w:r w:rsidR="00B75037">
        <w:rPr>
          <w:sz w:val="26"/>
          <w:szCs w:val="26"/>
        </w:rPr>
        <w:t>, given that the database for incremental costs is not complete</w:t>
      </w:r>
      <w:r w:rsidR="005D6A99">
        <w:rPr>
          <w:sz w:val="26"/>
          <w:szCs w:val="26"/>
        </w:rPr>
        <w:t xml:space="preserve">.  The </w:t>
      </w:r>
      <w:r w:rsidR="005D6A99" w:rsidRPr="001B2FDE">
        <w:rPr>
          <w:sz w:val="26"/>
          <w:szCs w:val="26"/>
        </w:rPr>
        <w:t xml:space="preserve">incremental cost </w:t>
      </w:r>
      <w:r w:rsidR="00895A9E">
        <w:rPr>
          <w:sz w:val="26"/>
          <w:szCs w:val="26"/>
        </w:rPr>
        <w:t>data can</w:t>
      </w:r>
      <w:r w:rsidR="005D6A99">
        <w:rPr>
          <w:sz w:val="26"/>
          <w:szCs w:val="26"/>
        </w:rPr>
        <w:t xml:space="preserve"> </w:t>
      </w:r>
      <w:r w:rsidR="005D6A99" w:rsidRPr="001B2FDE">
        <w:rPr>
          <w:sz w:val="26"/>
          <w:szCs w:val="26"/>
        </w:rPr>
        <w:t xml:space="preserve">be used for assessing future </w:t>
      </w:r>
      <w:r w:rsidR="00255DB6">
        <w:rPr>
          <w:sz w:val="26"/>
          <w:szCs w:val="26"/>
        </w:rPr>
        <w:t>energy efficiency</w:t>
      </w:r>
      <w:r w:rsidR="00255DB6" w:rsidRPr="001B2FDE">
        <w:rPr>
          <w:sz w:val="26"/>
          <w:szCs w:val="26"/>
        </w:rPr>
        <w:t xml:space="preserve"> </w:t>
      </w:r>
      <w:r w:rsidR="005D6A99" w:rsidRPr="001B2FDE">
        <w:rPr>
          <w:sz w:val="26"/>
          <w:szCs w:val="26"/>
        </w:rPr>
        <w:t xml:space="preserve">goals and the selection of future </w:t>
      </w:r>
      <w:r w:rsidR="00255DB6">
        <w:rPr>
          <w:sz w:val="26"/>
          <w:szCs w:val="26"/>
        </w:rPr>
        <w:t>energy efficiency</w:t>
      </w:r>
      <w:r w:rsidR="00255DB6" w:rsidRPr="001B2FDE">
        <w:rPr>
          <w:sz w:val="26"/>
          <w:szCs w:val="26"/>
        </w:rPr>
        <w:t xml:space="preserve"> </w:t>
      </w:r>
      <w:r w:rsidR="005D6A99" w:rsidRPr="001B2FDE">
        <w:rPr>
          <w:sz w:val="26"/>
          <w:szCs w:val="26"/>
        </w:rPr>
        <w:t xml:space="preserve">programs.  </w:t>
      </w:r>
      <w:r w:rsidR="005D6A99">
        <w:rPr>
          <w:sz w:val="26"/>
          <w:szCs w:val="26"/>
        </w:rPr>
        <w:t>Additionally, t</w:t>
      </w:r>
      <w:r w:rsidR="005D6A99" w:rsidRPr="001B2FDE">
        <w:rPr>
          <w:sz w:val="26"/>
          <w:szCs w:val="26"/>
        </w:rPr>
        <w:t xml:space="preserve">he Commission </w:t>
      </w:r>
      <w:r w:rsidR="005D6A99">
        <w:rPr>
          <w:sz w:val="26"/>
          <w:szCs w:val="26"/>
        </w:rPr>
        <w:t>acknowledge</w:t>
      </w:r>
      <w:r w:rsidR="00497E35">
        <w:rPr>
          <w:sz w:val="26"/>
          <w:szCs w:val="26"/>
        </w:rPr>
        <w:t>s</w:t>
      </w:r>
      <w:r w:rsidR="005D6A99">
        <w:rPr>
          <w:sz w:val="26"/>
          <w:szCs w:val="26"/>
        </w:rPr>
        <w:t xml:space="preserve"> that the flexibility to use data from the DEER database</w:t>
      </w:r>
      <w:r w:rsidR="005D6A99" w:rsidRPr="001B2FDE">
        <w:rPr>
          <w:sz w:val="26"/>
          <w:szCs w:val="26"/>
        </w:rPr>
        <w:t xml:space="preserve"> could avail EDCs with the capability to use the most appropriate data possible.  Therefore,</w:t>
      </w:r>
      <w:r w:rsidR="005D6A99">
        <w:rPr>
          <w:sz w:val="26"/>
          <w:szCs w:val="26"/>
        </w:rPr>
        <w:t xml:space="preserve"> the Commission will continue to </w:t>
      </w:r>
      <w:r w:rsidR="005D6A99" w:rsidRPr="001B2FDE">
        <w:rPr>
          <w:sz w:val="26"/>
          <w:szCs w:val="26"/>
        </w:rPr>
        <w:t xml:space="preserve">allow EDCs to use DEER data even where there is already </w:t>
      </w:r>
      <w:r>
        <w:rPr>
          <w:sz w:val="26"/>
          <w:szCs w:val="26"/>
        </w:rPr>
        <w:t>Pennsylvania-specific measure cost data available</w:t>
      </w:r>
      <w:r w:rsidR="005D6A99" w:rsidRPr="001B2FDE">
        <w:rPr>
          <w:sz w:val="26"/>
          <w:szCs w:val="26"/>
        </w:rPr>
        <w:t>.</w:t>
      </w:r>
      <w:r w:rsidR="00B75037">
        <w:rPr>
          <w:sz w:val="26"/>
          <w:szCs w:val="26"/>
        </w:rPr>
        <w:t xml:space="preserve">  Finally, the Commission proposes that the statewide evaluator complete the incremental cost database by December 31, 201</w:t>
      </w:r>
      <w:r w:rsidR="00616D4D">
        <w:rPr>
          <w:sz w:val="26"/>
          <w:szCs w:val="26"/>
        </w:rPr>
        <w:t>2, at which time the EDCs have the option of using the DEER database or the new incremental cost database (or a combination of the two) for future EE&amp;C plan updates.</w:t>
      </w:r>
    </w:p>
    <w:p w:rsidR="00726645" w:rsidRDefault="00726645" w:rsidP="00F347F1">
      <w:pPr>
        <w:pStyle w:val="p3"/>
        <w:tabs>
          <w:tab w:val="clear" w:pos="204"/>
          <w:tab w:val="left" w:pos="720"/>
        </w:tabs>
        <w:spacing w:line="360" w:lineRule="auto"/>
        <w:rPr>
          <w:sz w:val="26"/>
          <w:szCs w:val="26"/>
        </w:rPr>
      </w:pPr>
    </w:p>
    <w:p w:rsidR="00265F85" w:rsidRPr="00BF50AF" w:rsidRDefault="00265F85" w:rsidP="002E56D0">
      <w:pPr>
        <w:pStyle w:val="Heading3"/>
        <w:keepLines w:val="0"/>
        <w:numPr>
          <w:ilvl w:val="0"/>
          <w:numId w:val="27"/>
        </w:numPr>
        <w:spacing w:before="0" w:line="480" w:lineRule="auto"/>
        <w:ind w:left="1440" w:hanging="720"/>
        <w:rPr>
          <w:rFonts w:ascii="Times New Roman" w:hAnsi="Times New Roman" w:cs="Times New Roman"/>
          <w:sz w:val="26"/>
          <w:szCs w:val="26"/>
        </w:rPr>
      </w:pPr>
      <w:r w:rsidRPr="00BF50AF">
        <w:rPr>
          <w:rFonts w:ascii="Times New Roman" w:hAnsi="Times New Roman" w:cs="Times New Roman"/>
          <w:color w:val="000000" w:themeColor="text1"/>
          <w:sz w:val="26"/>
          <w:szCs w:val="26"/>
        </w:rPr>
        <w:t>Avoided Costs of Supplying Electricity</w:t>
      </w:r>
    </w:p>
    <w:p w:rsidR="009B56D9" w:rsidRPr="001F0689" w:rsidRDefault="009B56D9" w:rsidP="002E56D0">
      <w:pPr>
        <w:pStyle w:val="ListParagraph"/>
        <w:keepNext/>
        <w:numPr>
          <w:ilvl w:val="0"/>
          <w:numId w:val="19"/>
        </w:numPr>
        <w:spacing w:after="0" w:line="480" w:lineRule="auto"/>
        <w:ind w:left="2160" w:hanging="720"/>
        <w:rPr>
          <w:rFonts w:ascii="Times New Roman" w:hAnsi="Times New Roman"/>
          <w:sz w:val="26"/>
          <w:szCs w:val="26"/>
        </w:rPr>
      </w:pPr>
      <w:r w:rsidRPr="001F0689">
        <w:rPr>
          <w:rFonts w:ascii="Times New Roman" w:hAnsi="Times New Roman"/>
          <w:sz w:val="26"/>
          <w:szCs w:val="26"/>
        </w:rPr>
        <w:t>Discussion</w:t>
      </w:r>
    </w:p>
    <w:p w:rsidR="00265F85" w:rsidRDefault="00FE7ED6" w:rsidP="00F347F1">
      <w:pPr>
        <w:spacing w:line="360" w:lineRule="auto"/>
        <w:ind w:firstLine="666"/>
        <w:rPr>
          <w:sz w:val="26"/>
          <w:szCs w:val="26"/>
        </w:rPr>
      </w:pPr>
      <w:r w:rsidRPr="00FE7ED6">
        <w:rPr>
          <w:sz w:val="26"/>
          <w:szCs w:val="26"/>
        </w:rPr>
        <w:t>For Phase I, the Commission</w:t>
      </w:r>
      <w:r w:rsidR="00265F85" w:rsidRPr="004A3C5F">
        <w:rPr>
          <w:sz w:val="26"/>
          <w:szCs w:val="26"/>
        </w:rPr>
        <w:t xml:space="preserve"> specified that the </w:t>
      </w:r>
      <w:r w:rsidR="00265F85">
        <w:rPr>
          <w:sz w:val="26"/>
          <w:szCs w:val="26"/>
        </w:rPr>
        <w:t>15</w:t>
      </w:r>
      <w:r w:rsidR="00265F85">
        <w:rPr>
          <w:sz w:val="26"/>
          <w:szCs w:val="26"/>
        </w:rPr>
        <w:noBreakHyphen/>
      </w:r>
      <w:r w:rsidR="00265F85" w:rsidRPr="004A3C5F">
        <w:rPr>
          <w:sz w:val="26"/>
          <w:szCs w:val="26"/>
        </w:rPr>
        <w:t>year period for calculating avoided electricity supply costs would be broken into thre</w:t>
      </w:r>
      <w:r>
        <w:rPr>
          <w:sz w:val="26"/>
          <w:szCs w:val="26"/>
        </w:rPr>
        <w:t>e segments of five years each.  The Commission</w:t>
      </w:r>
      <w:r w:rsidR="00265F85" w:rsidRPr="004A3C5F">
        <w:rPr>
          <w:sz w:val="26"/>
          <w:szCs w:val="26"/>
        </w:rPr>
        <w:t xml:space="preserve"> elected to retain three five-year periods, concluding that three five-year periods more accurately reflect the predictive process.  The nature and number of predictions change the farther out on the 15-year timeline that one goes.  Using three </w:t>
      </w:r>
      <w:r w:rsidR="00265F85" w:rsidRPr="00654773">
        <w:rPr>
          <w:sz w:val="26"/>
          <w:szCs w:val="26"/>
        </w:rPr>
        <w:t xml:space="preserve">periods allows </w:t>
      </w:r>
      <w:r>
        <w:rPr>
          <w:sz w:val="26"/>
          <w:szCs w:val="26"/>
        </w:rPr>
        <w:t>for taking</w:t>
      </w:r>
      <w:r w:rsidR="00265F85" w:rsidRPr="00654773">
        <w:rPr>
          <w:sz w:val="26"/>
          <w:szCs w:val="26"/>
        </w:rPr>
        <w:t xml:space="preserve"> better advantage of known conditions relative to future uncertainty.</w:t>
      </w:r>
    </w:p>
    <w:p w:rsidR="004B7CD8" w:rsidRDefault="004B7CD8" w:rsidP="00F347F1">
      <w:pPr>
        <w:spacing w:line="360" w:lineRule="auto"/>
        <w:ind w:firstLine="666"/>
        <w:rPr>
          <w:sz w:val="26"/>
          <w:szCs w:val="26"/>
        </w:rPr>
      </w:pPr>
    </w:p>
    <w:p w:rsidR="00392C09" w:rsidRPr="007F7AEF" w:rsidRDefault="007F7AEF" w:rsidP="00517CF9">
      <w:pPr>
        <w:pStyle w:val="ListParagraph"/>
        <w:numPr>
          <w:ilvl w:val="0"/>
          <w:numId w:val="19"/>
        </w:numPr>
        <w:spacing w:after="0" w:line="480" w:lineRule="auto"/>
        <w:ind w:left="2160" w:hanging="720"/>
        <w:rPr>
          <w:rFonts w:ascii="Times New Roman" w:hAnsi="Times New Roman"/>
          <w:sz w:val="26"/>
          <w:szCs w:val="26"/>
        </w:rPr>
      </w:pPr>
      <w:r w:rsidRPr="007F7AEF">
        <w:rPr>
          <w:rFonts w:ascii="Times New Roman" w:hAnsi="Times New Roman"/>
          <w:sz w:val="26"/>
          <w:szCs w:val="26"/>
        </w:rPr>
        <w:t>Proposed resolution</w:t>
      </w:r>
    </w:p>
    <w:p w:rsidR="00C178FA" w:rsidRDefault="00C178FA" w:rsidP="00517CF9">
      <w:pPr>
        <w:pStyle w:val="Heading4"/>
        <w:keepNext w:val="0"/>
        <w:numPr>
          <w:ilvl w:val="0"/>
          <w:numId w:val="0"/>
        </w:numPr>
        <w:spacing w:before="0" w:after="0" w:line="360" w:lineRule="auto"/>
        <w:ind w:firstLine="720"/>
        <w:rPr>
          <w:rFonts w:ascii="Times New Roman" w:hAnsi="Times New Roman"/>
          <w:b w:val="0"/>
          <w:sz w:val="26"/>
          <w:szCs w:val="26"/>
        </w:rPr>
      </w:pPr>
      <w:r w:rsidRPr="000E1ED7">
        <w:rPr>
          <w:rFonts w:ascii="Times New Roman" w:hAnsi="Times New Roman"/>
          <w:b w:val="0"/>
          <w:sz w:val="26"/>
          <w:szCs w:val="26"/>
        </w:rPr>
        <w:t xml:space="preserve">The Commission proposes </w:t>
      </w:r>
      <w:r w:rsidR="000E1ED7" w:rsidRPr="000E1ED7">
        <w:rPr>
          <w:rFonts w:ascii="Times New Roman" w:hAnsi="Times New Roman"/>
          <w:b w:val="0"/>
          <w:sz w:val="26"/>
          <w:szCs w:val="26"/>
        </w:rPr>
        <w:t>that</w:t>
      </w:r>
      <w:r w:rsidRPr="000E1ED7">
        <w:rPr>
          <w:rFonts w:ascii="Times New Roman" w:hAnsi="Times New Roman"/>
          <w:b w:val="0"/>
          <w:sz w:val="26"/>
          <w:szCs w:val="26"/>
        </w:rPr>
        <w:t xml:space="preserve"> avoided electricity supply costs for</w:t>
      </w:r>
      <w:r w:rsidR="00AF45C3">
        <w:rPr>
          <w:rFonts w:ascii="Times New Roman" w:hAnsi="Times New Roman"/>
          <w:b w:val="0"/>
          <w:sz w:val="26"/>
          <w:szCs w:val="26"/>
        </w:rPr>
        <w:t xml:space="preserve"> a potential</w:t>
      </w:r>
      <w:r w:rsidRPr="000E1ED7">
        <w:rPr>
          <w:rFonts w:ascii="Times New Roman" w:hAnsi="Times New Roman"/>
          <w:b w:val="0"/>
          <w:sz w:val="26"/>
          <w:szCs w:val="26"/>
        </w:rPr>
        <w:t xml:space="preserve"> Phase II</w:t>
      </w:r>
      <w:r w:rsidR="000E1ED7" w:rsidRPr="000E1ED7">
        <w:rPr>
          <w:rFonts w:ascii="Times New Roman" w:hAnsi="Times New Roman"/>
          <w:b w:val="0"/>
          <w:sz w:val="26"/>
          <w:szCs w:val="26"/>
        </w:rPr>
        <w:t xml:space="preserve"> be calculated</w:t>
      </w:r>
      <w:r w:rsidRPr="000E1ED7">
        <w:rPr>
          <w:rFonts w:ascii="Times New Roman" w:hAnsi="Times New Roman"/>
          <w:b w:val="0"/>
          <w:sz w:val="26"/>
          <w:szCs w:val="26"/>
        </w:rPr>
        <w:t xml:space="preserve"> in the same manner that was utilized for Phase I.  As with Phase I, </w:t>
      </w:r>
      <w:r w:rsidRPr="000E1ED7">
        <w:rPr>
          <w:rFonts w:ascii="Times New Roman" w:hAnsi="Times New Roman"/>
          <w:b w:val="0"/>
          <w:sz w:val="26"/>
          <w:szCs w:val="26"/>
        </w:rPr>
        <w:lastRenderedPageBreak/>
        <w:t>we propose that the</w:t>
      </w:r>
      <w:r w:rsidR="00392C09" w:rsidRPr="000E1ED7">
        <w:rPr>
          <w:rFonts w:ascii="Times New Roman" w:hAnsi="Times New Roman"/>
          <w:b w:val="0"/>
          <w:sz w:val="26"/>
          <w:szCs w:val="26"/>
        </w:rPr>
        <w:t xml:space="preserve"> fifteen-year</w:t>
      </w:r>
      <w:r w:rsidR="00392C09" w:rsidRPr="00C178FA">
        <w:rPr>
          <w:rFonts w:ascii="Times New Roman" w:hAnsi="Times New Roman"/>
          <w:b w:val="0"/>
          <w:sz w:val="26"/>
          <w:szCs w:val="26"/>
        </w:rPr>
        <w:t xml:space="preserve"> period for calculating avoided electricity supply costs be broken into three segments of five years each.</w:t>
      </w:r>
      <w:r w:rsidR="00931A13">
        <w:rPr>
          <w:rStyle w:val="FootnoteReference"/>
          <w:rFonts w:ascii="Times New Roman" w:hAnsi="Times New Roman"/>
          <w:b w:val="0"/>
          <w:sz w:val="26"/>
          <w:szCs w:val="26"/>
        </w:rPr>
        <w:footnoteReference w:id="30"/>
      </w:r>
      <w:r w:rsidR="00392C09" w:rsidRPr="00C178FA">
        <w:rPr>
          <w:rFonts w:ascii="Times New Roman" w:hAnsi="Times New Roman"/>
          <w:b w:val="0"/>
          <w:sz w:val="26"/>
          <w:szCs w:val="26"/>
        </w:rPr>
        <w:t xml:space="preserve">  </w:t>
      </w:r>
    </w:p>
    <w:p w:rsidR="00C178FA" w:rsidRDefault="00C178FA" w:rsidP="00BF50AF">
      <w:pPr>
        <w:pStyle w:val="Heading4"/>
        <w:keepNext w:val="0"/>
        <w:numPr>
          <w:ilvl w:val="0"/>
          <w:numId w:val="0"/>
        </w:numPr>
        <w:spacing w:before="0" w:after="0" w:line="360" w:lineRule="auto"/>
        <w:ind w:left="2880"/>
        <w:rPr>
          <w:rFonts w:ascii="Times New Roman" w:hAnsi="Times New Roman"/>
          <w:b w:val="0"/>
          <w:sz w:val="26"/>
          <w:szCs w:val="26"/>
        </w:rPr>
      </w:pPr>
    </w:p>
    <w:p w:rsidR="00C178FA" w:rsidRPr="0092605A" w:rsidRDefault="00AF45C3" w:rsidP="00BF50AF">
      <w:pPr>
        <w:pStyle w:val="Heading4"/>
        <w:keepNext w:val="0"/>
        <w:numPr>
          <w:ilvl w:val="0"/>
          <w:numId w:val="0"/>
        </w:numPr>
        <w:spacing w:before="0" w:after="0" w:line="360" w:lineRule="auto"/>
        <w:ind w:firstLine="720"/>
        <w:rPr>
          <w:rFonts w:ascii="Times New Roman" w:hAnsi="Times New Roman"/>
          <w:b w:val="0"/>
          <w:sz w:val="26"/>
          <w:szCs w:val="26"/>
        </w:rPr>
      </w:pPr>
      <w:r>
        <w:rPr>
          <w:rFonts w:ascii="Times New Roman" w:hAnsi="Times New Roman"/>
          <w:b w:val="0"/>
          <w:sz w:val="26"/>
          <w:szCs w:val="26"/>
        </w:rPr>
        <w:t>S</w:t>
      </w:r>
      <w:r w:rsidR="00DB12D0">
        <w:rPr>
          <w:rFonts w:ascii="Times New Roman" w:hAnsi="Times New Roman"/>
          <w:b w:val="0"/>
          <w:sz w:val="26"/>
          <w:szCs w:val="26"/>
        </w:rPr>
        <w:t xml:space="preserve">hould </w:t>
      </w:r>
      <w:r>
        <w:rPr>
          <w:rFonts w:ascii="Times New Roman" w:hAnsi="Times New Roman"/>
          <w:b w:val="0"/>
          <w:sz w:val="26"/>
          <w:szCs w:val="26"/>
        </w:rPr>
        <w:t xml:space="preserve">Phase II </w:t>
      </w:r>
      <w:r w:rsidR="00DB12D0">
        <w:rPr>
          <w:rFonts w:ascii="Times New Roman" w:hAnsi="Times New Roman"/>
          <w:b w:val="0"/>
          <w:sz w:val="26"/>
          <w:szCs w:val="26"/>
        </w:rPr>
        <w:t xml:space="preserve">be </w:t>
      </w:r>
      <w:r>
        <w:rPr>
          <w:rFonts w:ascii="Times New Roman" w:hAnsi="Times New Roman"/>
          <w:b w:val="0"/>
          <w:sz w:val="26"/>
          <w:szCs w:val="26"/>
        </w:rPr>
        <w:t>approved, f</w:t>
      </w:r>
      <w:r w:rsidR="00392C09" w:rsidRPr="00C178FA">
        <w:rPr>
          <w:rFonts w:ascii="Times New Roman" w:hAnsi="Times New Roman"/>
          <w:b w:val="0"/>
          <w:sz w:val="26"/>
          <w:szCs w:val="26"/>
        </w:rPr>
        <w:t xml:space="preserve">or the first five years, </w:t>
      </w:r>
      <w:r w:rsidR="00C178FA" w:rsidRPr="00C178FA">
        <w:rPr>
          <w:rFonts w:ascii="Times New Roman" w:hAnsi="Times New Roman"/>
          <w:b w:val="0"/>
          <w:sz w:val="26"/>
          <w:szCs w:val="26"/>
        </w:rPr>
        <w:t>the</w:t>
      </w:r>
      <w:r w:rsidR="00392C09" w:rsidRPr="00C178FA">
        <w:rPr>
          <w:rFonts w:ascii="Times New Roman" w:hAnsi="Times New Roman"/>
          <w:b w:val="0"/>
          <w:sz w:val="26"/>
          <w:szCs w:val="26"/>
        </w:rPr>
        <w:t xml:space="preserve"> wholesale electric generation prices as reflected in the NYMEX PJM futures price</w:t>
      </w:r>
      <w:r w:rsidR="00C178FA" w:rsidRPr="00C178FA">
        <w:rPr>
          <w:rFonts w:ascii="Times New Roman" w:hAnsi="Times New Roman"/>
          <w:b w:val="0"/>
          <w:sz w:val="26"/>
          <w:szCs w:val="26"/>
        </w:rPr>
        <w:t xml:space="preserve"> will be used</w:t>
      </w:r>
      <w:r w:rsidR="00392C09" w:rsidRPr="00C178FA">
        <w:rPr>
          <w:rFonts w:ascii="Times New Roman" w:hAnsi="Times New Roman"/>
          <w:b w:val="0"/>
          <w:sz w:val="26"/>
          <w:szCs w:val="26"/>
        </w:rPr>
        <w:t xml:space="preserve">.  This will be adjusted to reflect both on- and off-peak prices on a 50% on- and 50% off-peak basis.  This may be further adjusted to reflect historical EDC-specific usage characteristics by customer, and rate, class.  </w:t>
      </w:r>
      <w:r w:rsidR="000E1ED7">
        <w:rPr>
          <w:rFonts w:ascii="Times New Roman" w:hAnsi="Times New Roman"/>
          <w:b w:val="0"/>
          <w:sz w:val="26"/>
          <w:szCs w:val="26"/>
        </w:rPr>
        <w:t>For Phase I, we specified that the NYMEX “prompt month” be used, two months prior to the filing date, for use in the first five-year period calculations.</w:t>
      </w:r>
      <w:r w:rsidR="00C178FA" w:rsidRPr="0092605A">
        <w:rPr>
          <w:rFonts w:ascii="Times New Roman" w:hAnsi="Times New Roman"/>
          <w:b w:val="0"/>
          <w:sz w:val="26"/>
          <w:szCs w:val="26"/>
        </w:rPr>
        <w:t xml:space="preserve"> </w:t>
      </w:r>
    </w:p>
    <w:p w:rsidR="00C178FA" w:rsidRDefault="00C178FA" w:rsidP="00F347F1">
      <w:pPr>
        <w:spacing w:line="360" w:lineRule="auto"/>
        <w:ind w:firstLine="666"/>
        <w:rPr>
          <w:sz w:val="26"/>
          <w:szCs w:val="26"/>
          <w:highlight w:val="yellow"/>
        </w:rPr>
      </w:pPr>
    </w:p>
    <w:p w:rsidR="00931A13" w:rsidRDefault="00392C09" w:rsidP="00F347F1">
      <w:pPr>
        <w:spacing w:line="360" w:lineRule="auto"/>
        <w:ind w:firstLine="720"/>
        <w:rPr>
          <w:color w:val="0D0D0D"/>
          <w:sz w:val="26"/>
          <w:szCs w:val="26"/>
        </w:rPr>
      </w:pPr>
      <w:r w:rsidRPr="00C178FA">
        <w:rPr>
          <w:sz w:val="26"/>
          <w:szCs w:val="26"/>
        </w:rPr>
        <w:t>The second five-year period will use the NYMEX Natural Gas futures price</w:t>
      </w:r>
      <w:r w:rsidRPr="000E1ED7">
        <w:rPr>
          <w:sz w:val="26"/>
          <w:szCs w:val="26"/>
        </w:rPr>
        <w:t>.</w:t>
      </w:r>
      <w:r w:rsidR="00F413D7" w:rsidRPr="000E1ED7">
        <w:rPr>
          <w:rStyle w:val="FootnoteReference"/>
          <w:sz w:val="26"/>
          <w:szCs w:val="26"/>
        </w:rPr>
        <w:t xml:space="preserve"> </w:t>
      </w:r>
      <w:r w:rsidR="00F413D7" w:rsidRPr="000E1ED7">
        <w:rPr>
          <w:rStyle w:val="FootnoteReference"/>
          <w:sz w:val="26"/>
          <w:szCs w:val="26"/>
        </w:rPr>
        <w:footnoteReference w:id="31"/>
      </w:r>
      <w:r w:rsidR="00F413D7" w:rsidRPr="00C178FA">
        <w:rPr>
          <w:sz w:val="26"/>
          <w:szCs w:val="26"/>
          <w:highlight w:val="yellow"/>
        </w:rPr>
        <w:t xml:space="preserve"> </w:t>
      </w:r>
      <w:r w:rsidRPr="00C178FA">
        <w:rPr>
          <w:sz w:val="26"/>
          <w:szCs w:val="26"/>
        </w:rPr>
        <w:t xml:space="preserve">  The natural gas futures price will be converted into an estimated wholesale energy price through the use of a spark price spread</w:t>
      </w:r>
      <w:r w:rsidRPr="00C178FA">
        <w:rPr>
          <w:rStyle w:val="FootnoteReference"/>
          <w:sz w:val="26"/>
          <w:szCs w:val="26"/>
        </w:rPr>
        <w:footnoteReference w:id="32"/>
      </w:r>
      <w:r w:rsidRPr="00C178FA">
        <w:rPr>
          <w:sz w:val="26"/>
          <w:szCs w:val="26"/>
        </w:rPr>
        <w:t xml:space="preserve"> calculation.  </w:t>
      </w:r>
      <w:r w:rsidR="00F413D7" w:rsidRPr="000E1ED7">
        <w:rPr>
          <w:sz w:val="26"/>
          <w:szCs w:val="26"/>
        </w:rPr>
        <w:t>Further, we</w:t>
      </w:r>
      <w:r w:rsidR="00C178FA" w:rsidRPr="000E1ED7">
        <w:rPr>
          <w:sz w:val="26"/>
          <w:szCs w:val="26"/>
        </w:rPr>
        <w:t xml:space="preserve"> will adopt a timeline similar to the one used for the first five years.  That is, we shall use the NYMEX prompt month, two months prior to the filing date</w:t>
      </w:r>
      <w:r w:rsidR="00C178FA" w:rsidRPr="006E6F27">
        <w:rPr>
          <w:sz w:val="26"/>
          <w:szCs w:val="26"/>
        </w:rPr>
        <w:t>.  A</w:t>
      </w:r>
      <w:r w:rsidR="00C178FA" w:rsidRPr="000E1ED7">
        <w:rPr>
          <w:sz w:val="26"/>
          <w:szCs w:val="26"/>
        </w:rPr>
        <w:t>s a rule, this date is about one day prior to the electric close.</w:t>
      </w:r>
      <w:r w:rsidR="00C178FA" w:rsidRPr="004A3C5F">
        <w:rPr>
          <w:sz w:val="26"/>
          <w:szCs w:val="26"/>
        </w:rPr>
        <w:t xml:space="preserve">  </w:t>
      </w:r>
      <w:r w:rsidR="000E1ED7" w:rsidRPr="006E6F27">
        <w:rPr>
          <w:sz w:val="26"/>
          <w:szCs w:val="26"/>
        </w:rPr>
        <w:t xml:space="preserve">Additionally, </w:t>
      </w:r>
      <w:r w:rsidR="00C178FA" w:rsidRPr="006E6F27">
        <w:rPr>
          <w:sz w:val="26"/>
          <w:szCs w:val="26"/>
        </w:rPr>
        <w:t xml:space="preserve">we shall adopt the heat rate used in the </w:t>
      </w:r>
      <w:r w:rsidR="004760C9">
        <w:rPr>
          <w:sz w:val="26"/>
          <w:szCs w:val="26"/>
        </w:rPr>
        <w:t>Energy Information Administration (</w:t>
      </w:r>
      <w:r w:rsidR="00C178FA" w:rsidRPr="006E6F27">
        <w:rPr>
          <w:sz w:val="26"/>
          <w:szCs w:val="26"/>
        </w:rPr>
        <w:t>EIA</w:t>
      </w:r>
      <w:r w:rsidR="004760C9">
        <w:rPr>
          <w:sz w:val="26"/>
          <w:szCs w:val="26"/>
        </w:rPr>
        <w:t>)</w:t>
      </w:r>
      <w:r w:rsidR="00C178FA" w:rsidRPr="006E6F27">
        <w:rPr>
          <w:sz w:val="26"/>
          <w:szCs w:val="26"/>
        </w:rPr>
        <w:t xml:space="preserve"> </w:t>
      </w:r>
      <w:r w:rsidR="004760C9">
        <w:rPr>
          <w:sz w:val="26"/>
          <w:szCs w:val="26"/>
        </w:rPr>
        <w:t>Annual Energy Outlook (</w:t>
      </w:r>
      <w:r w:rsidR="00C178FA" w:rsidRPr="006E6F27">
        <w:rPr>
          <w:sz w:val="26"/>
          <w:szCs w:val="26"/>
        </w:rPr>
        <w:t>AEO</w:t>
      </w:r>
      <w:r w:rsidR="004760C9">
        <w:rPr>
          <w:sz w:val="26"/>
          <w:szCs w:val="26"/>
        </w:rPr>
        <w:t xml:space="preserve">) </w:t>
      </w:r>
      <w:r w:rsidR="00C178FA" w:rsidRPr="006E6F27">
        <w:rPr>
          <w:sz w:val="26"/>
          <w:szCs w:val="26"/>
        </w:rPr>
        <w:t>for 20</w:t>
      </w:r>
      <w:r w:rsidR="006E6F27" w:rsidRPr="006E6F27">
        <w:rPr>
          <w:sz w:val="26"/>
          <w:szCs w:val="26"/>
        </w:rPr>
        <w:t>10</w:t>
      </w:r>
      <w:r w:rsidR="00C178FA" w:rsidRPr="006E6F27">
        <w:rPr>
          <w:sz w:val="26"/>
          <w:szCs w:val="26"/>
        </w:rPr>
        <w:t>.</w:t>
      </w:r>
      <w:r w:rsidR="00554F63">
        <w:rPr>
          <w:rStyle w:val="FootnoteReference"/>
          <w:sz w:val="26"/>
          <w:szCs w:val="26"/>
        </w:rPr>
        <w:footnoteReference w:id="33"/>
      </w:r>
      <w:r w:rsidR="00C178FA" w:rsidRPr="006E6F27">
        <w:rPr>
          <w:sz w:val="26"/>
          <w:szCs w:val="26"/>
        </w:rPr>
        <w:t xml:space="preserve">  This will be adjusted annually, at the start of each new planning cycle, to reflect the updated EIA AEO assumptions.  We shall also </w:t>
      </w:r>
      <w:r w:rsidR="00C178FA" w:rsidRPr="006E6F27">
        <w:rPr>
          <w:color w:val="0D0D0D"/>
          <w:sz w:val="26"/>
          <w:szCs w:val="26"/>
        </w:rPr>
        <w:t>specify the Mid</w:t>
      </w:r>
      <w:r w:rsidR="00C178FA" w:rsidRPr="006E6F27">
        <w:rPr>
          <w:color w:val="0D0D0D"/>
          <w:sz w:val="26"/>
          <w:szCs w:val="26"/>
        </w:rPr>
        <w:noBreakHyphen/>
        <w:t>Atlantic zone as the measure, which will be converted to cents/kWh by using 341</w:t>
      </w:r>
      <w:r w:rsidR="006E6F27" w:rsidRPr="006E6F27">
        <w:rPr>
          <w:color w:val="0D0D0D"/>
          <w:sz w:val="26"/>
          <w:szCs w:val="26"/>
        </w:rPr>
        <w:t>2</w:t>
      </w:r>
      <w:r w:rsidR="00C178FA" w:rsidRPr="006E6F27">
        <w:rPr>
          <w:color w:val="0D0D0D"/>
          <w:sz w:val="26"/>
          <w:szCs w:val="26"/>
        </w:rPr>
        <w:t> BTUs/kWh.</w:t>
      </w:r>
      <w:r w:rsidR="00C178FA" w:rsidRPr="007A282D">
        <w:rPr>
          <w:color w:val="0D0D0D"/>
          <w:sz w:val="26"/>
          <w:szCs w:val="26"/>
        </w:rPr>
        <w:t xml:space="preserve"> </w:t>
      </w:r>
    </w:p>
    <w:p w:rsidR="00C178FA" w:rsidRDefault="00C178FA" w:rsidP="00F347F1">
      <w:pPr>
        <w:spacing w:line="360" w:lineRule="auto"/>
        <w:ind w:firstLine="720"/>
        <w:rPr>
          <w:sz w:val="26"/>
          <w:szCs w:val="26"/>
        </w:rPr>
      </w:pPr>
      <w:r w:rsidRPr="007A282D">
        <w:rPr>
          <w:color w:val="0D0D0D"/>
          <w:sz w:val="26"/>
          <w:szCs w:val="26"/>
        </w:rPr>
        <w:t xml:space="preserve"> </w:t>
      </w:r>
    </w:p>
    <w:p w:rsidR="00392C09" w:rsidRPr="00392C09" w:rsidRDefault="00392C09" w:rsidP="00F347F1">
      <w:pPr>
        <w:spacing w:line="360" w:lineRule="auto"/>
        <w:ind w:firstLine="666"/>
        <w:rPr>
          <w:sz w:val="26"/>
          <w:szCs w:val="26"/>
        </w:rPr>
      </w:pPr>
      <w:r w:rsidRPr="00C178FA">
        <w:rPr>
          <w:sz w:val="26"/>
          <w:szCs w:val="26"/>
        </w:rPr>
        <w:lastRenderedPageBreak/>
        <w:t xml:space="preserve">The third five-year period will use the US EIA’s Annual Energy outlook projections.  </w:t>
      </w:r>
      <w:r w:rsidR="00C178FA" w:rsidRPr="00C178FA">
        <w:rPr>
          <w:sz w:val="26"/>
          <w:szCs w:val="26"/>
        </w:rPr>
        <w:t>A</w:t>
      </w:r>
      <w:r w:rsidRPr="00C178FA">
        <w:rPr>
          <w:sz w:val="26"/>
          <w:szCs w:val="26"/>
        </w:rPr>
        <w:t>n estimated price for the PJM RTO’s RPM capacity price</w:t>
      </w:r>
      <w:r w:rsidR="00C178FA" w:rsidRPr="00C178FA">
        <w:rPr>
          <w:sz w:val="26"/>
          <w:szCs w:val="26"/>
        </w:rPr>
        <w:t xml:space="preserve"> will also be included</w:t>
      </w:r>
      <w:r w:rsidRPr="00C178FA">
        <w:rPr>
          <w:sz w:val="26"/>
          <w:szCs w:val="26"/>
        </w:rPr>
        <w:t xml:space="preserve">, broken down into a cents/kWh value.  </w:t>
      </w:r>
    </w:p>
    <w:p w:rsidR="00265F85" w:rsidRPr="004A3C5F" w:rsidRDefault="00265F85" w:rsidP="00F347F1">
      <w:pPr>
        <w:spacing w:line="360" w:lineRule="auto"/>
        <w:rPr>
          <w:sz w:val="26"/>
          <w:szCs w:val="26"/>
        </w:rPr>
      </w:pPr>
    </w:p>
    <w:p w:rsidR="00C178FA" w:rsidRPr="00BF50AF" w:rsidRDefault="00265F85" w:rsidP="00153905">
      <w:pPr>
        <w:pStyle w:val="Heading3"/>
        <w:numPr>
          <w:ilvl w:val="0"/>
          <w:numId w:val="27"/>
        </w:numPr>
        <w:spacing w:before="0" w:line="480" w:lineRule="auto"/>
        <w:ind w:left="1440" w:hanging="720"/>
        <w:rPr>
          <w:rFonts w:ascii="Times New Roman" w:hAnsi="Times New Roman" w:cs="Times New Roman"/>
          <w:color w:val="000000" w:themeColor="text1"/>
          <w:sz w:val="26"/>
          <w:szCs w:val="26"/>
        </w:rPr>
      </w:pPr>
      <w:r w:rsidRPr="00BF50AF">
        <w:rPr>
          <w:rFonts w:ascii="Times New Roman" w:hAnsi="Times New Roman" w:cs="Times New Roman"/>
          <w:color w:val="000000" w:themeColor="text1"/>
          <w:sz w:val="26"/>
          <w:szCs w:val="26"/>
        </w:rPr>
        <w:t>Transmission, Distribution, and Capacity Costs</w:t>
      </w:r>
    </w:p>
    <w:p w:rsidR="007013AA" w:rsidRDefault="007013AA" w:rsidP="00BF50AF">
      <w:pPr>
        <w:pStyle w:val="Heading4"/>
        <w:numPr>
          <w:ilvl w:val="0"/>
          <w:numId w:val="23"/>
        </w:numPr>
        <w:spacing w:before="0" w:after="0" w:line="480" w:lineRule="auto"/>
        <w:ind w:left="2160" w:hanging="720"/>
        <w:rPr>
          <w:rFonts w:ascii="Times New Roman" w:hAnsi="Times New Roman"/>
          <w:b w:val="0"/>
          <w:sz w:val="26"/>
          <w:szCs w:val="26"/>
        </w:rPr>
      </w:pPr>
      <w:r>
        <w:rPr>
          <w:rFonts w:ascii="Times New Roman" w:hAnsi="Times New Roman"/>
          <w:b w:val="0"/>
          <w:sz w:val="26"/>
          <w:szCs w:val="26"/>
        </w:rPr>
        <w:t>Discussion</w:t>
      </w:r>
    </w:p>
    <w:p w:rsidR="00265F85" w:rsidRPr="004A3C5F" w:rsidRDefault="00265F85" w:rsidP="00BF50AF">
      <w:pPr>
        <w:pStyle w:val="Heading4"/>
        <w:keepNext w:val="0"/>
        <w:numPr>
          <w:ilvl w:val="0"/>
          <w:numId w:val="0"/>
        </w:numPr>
        <w:spacing w:before="0" w:after="0" w:line="360" w:lineRule="auto"/>
        <w:ind w:firstLine="720"/>
        <w:rPr>
          <w:rFonts w:ascii="Times New Roman" w:hAnsi="Times New Roman"/>
          <w:b w:val="0"/>
          <w:sz w:val="26"/>
          <w:szCs w:val="26"/>
        </w:rPr>
      </w:pPr>
      <w:r w:rsidRPr="004A3C5F">
        <w:rPr>
          <w:rFonts w:ascii="Times New Roman" w:hAnsi="Times New Roman"/>
          <w:b w:val="0"/>
          <w:sz w:val="26"/>
          <w:szCs w:val="26"/>
        </w:rPr>
        <w:t xml:space="preserve">The </w:t>
      </w:r>
      <w:r w:rsidR="007013AA">
        <w:rPr>
          <w:rFonts w:ascii="Times New Roman" w:hAnsi="Times New Roman"/>
          <w:b w:val="0"/>
          <w:sz w:val="26"/>
          <w:szCs w:val="26"/>
        </w:rPr>
        <w:t xml:space="preserve">TRC </w:t>
      </w:r>
      <w:r w:rsidR="004D3654">
        <w:rPr>
          <w:rFonts w:ascii="Times New Roman" w:hAnsi="Times New Roman"/>
          <w:b w:val="0"/>
          <w:sz w:val="26"/>
          <w:szCs w:val="26"/>
        </w:rPr>
        <w:t>T</w:t>
      </w:r>
      <w:r w:rsidR="007013AA">
        <w:rPr>
          <w:rFonts w:ascii="Times New Roman" w:hAnsi="Times New Roman"/>
          <w:b w:val="0"/>
          <w:sz w:val="26"/>
          <w:szCs w:val="26"/>
        </w:rPr>
        <w:t>est for Phase I</w:t>
      </w:r>
      <w:r w:rsidRPr="004A3C5F">
        <w:rPr>
          <w:rFonts w:ascii="Times New Roman" w:hAnsi="Times New Roman"/>
          <w:b w:val="0"/>
          <w:sz w:val="26"/>
          <w:szCs w:val="26"/>
        </w:rPr>
        <w:t xml:space="preserve"> provided that transmission prices, as set by FERC, to the EDC zone </w:t>
      </w:r>
      <w:r w:rsidR="007013AA">
        <w:rPr>
          <w:rFonts w:ascii="Times New Roman" w:hAnsi="Times New Roman"/>
          <w:b w:val="0"/>
          <w:sz w:val="26"/>
          <w:szCs w:val="26"/>
        </w:rPr>
        <w:t>were</w:t>
      </w:r>
      <w:r w:rsidRPr="004A3C5F">
        <w:rPr>
          <w:rFonts w:ascii="Times New Roman" w:hAnsi="Times New Roman"/>
          <w:b w:val="0"/>
          <w:sz w:val="26"/>
          <w:szCs w:val="26"/>
        </w:rPr>
        <w:t xml:space="preserve"> included; as </w:t>
      </w:r>
      <w:r w:rsidR="007013AA">
        <w:rPr>
          <w:rFonts w:ascii="Times New Roman" w:hAnsi="Times New Roman"/>
          <w:b w:val="0"/>
          <w:sz w:val="26"/>
          <w:szCs w:val="26"/>
        </w:rPr>
        <w:t>were</w:t>
      </w:r>
      <w:r w:rsidRPr="004A3C5F">
        <w:rPr>
          <w:rFonts w:ascii="Times New Roman" w:hAnsi="Times New Roman"/>
          <w:b w:val="0"/>
          <w:sz w:val="26"/>
          <w:szCs w:val="26"/>
        </w:rPr>
        <w:t xml:space="preserve"> EDC distribution rates.  </w:t>
      </w:r>
      <w:r w:rsidR="007013AA">
        <w:rPr>
          <w:rFonts w:ascii="Times New Roman" w:hAnsi="Times New Roman"/>
          <w:b w:val="0"/>
          <w:sz w:val="26"/>
          <w:szCs w:val="26"/>
        </w:rPr>
        <w:t>The Commission approved</w:t>
      </w:r>
      <w:r w:rsidRPr="004A3C5F">
        <w:rPr>
          <w:rFonts w:ascii="Times New Roman" w:hAnsi="Times New Roman"/>
          <w:b w:val="0"/>
          <w:sz w:val="26"/>
          <w:szCs w:val="26"/>
        </w:rPr>
        <w:t xml:space="preserve"> including an estimated price for the PJM RTO’s RPM</w:t>
      </w:r>
      <w:r w:rsidRPr="004A3C5F">
        <w:rPr>
          <w:rStyle w:val="FootnoteReference"/>
          <w:rFonts w:ascii="Times New Roman" w:hAnsi="Times New Roman"/>
          <w:b w:val="0"/>
          <w:sz w:val="26"/>
          <w:szCs w:val="26"/>
        </w:rPr>
        <w:footnoteReference w:id="34"/>
      </w:r>
      <w:r w:rsidRPr="004A3C5F">
        <w:rPr>
          <w:rFonts w:ascii="Times New Roman" w:hAnsi="Times New Roman"/>
          <w:b w:val="0"/>
          <w:sz w:val="26"/>
          <w:szCs w:val="26"/>
        </w:rPr>
        <w:t xml:space="preserve"> capacity price, broken down into a cents/kWh value.  Generally accepted ancillary service rates </w:t>
      </w:r>
      <w:r w:rsidR="007013AA">
        <w:rPr>
          <w:rFonts w:ascii="Times New Roman" w:hAnsi="Times New Roman"/>
          <w:b w:val="0"/>
          <w:sz w:val="26"/>
          <w:szCs w:val="26"/>
        </w:rPr>
        <w:t xml:space="preserve">were to </w:t>
      </w:r>
      <w:r w:rsidRPr="004A3C5F">
        <w:rPr>
          <w:rFonts w:ascii="Times New Roman" w:hAnsi="Times New Roman"/>
          <w:b w:val="0"/>
          <w:sz w:val="26"/>
          <w:szCs w:val="26"/>
        </w:rPr>
        <w:t>be included to the extent known.</w:t>
      </w:r>
      <w:r w:rsidR="00734DD4">
        <w:rPr>
          <w:rStyle w:val="FootnoteReference"/>
          <w:rFonts w:ascii="Times New Roman" w:hAnsi="Times New Roman"/>
          <w:b w:val="0"/>
          <w:sz w:val="26"/>
          <w:szCs w:val="26"/>
        </w:rPr>
        <w:footnoteReference w:id="35"/>
      </w:r>
      <w:r w:rsidRPr="004A3C5F">
        <w:rPr>
          <w:rFonts w:ascii="Times New Roman" w:hAnsi="Times New Roman"/>
          <w:b w:val="0"/>
          <w:sz w:val="26"/>
          <w:szCs w:val="26"/>
        </w:rPr>
        <w:t xml:space="preserve"> </w:t>
      </w:r>
    </w:p>
    <w:p w:rsidR="00265F85" w:rsidRPr="004A3C5F" w:rsidRDefault="00265F85" w:rsidP="00F347F1">
      <w:pPr>
        <w:spacing w:line="360" w:lineRule="auto"/>
        <w:ind w:firstLine="720"/>
        <w:rPr>
          <w:sz w:val="26"/>
          <w:szCs w:val="26"/>
        </w:rPr>
      </w:pPr>
    </w:p>
    <w:p w:rsidR="00213D85" w:rsidRDefault="00213D85" w:rsidP="00BF50AF">
      <w:pPr>
        <w:pStyle w:val="Heading4"/>
        <w:numPr>
          <w:ilvl w:val="0"/>
          <w:numId w:val="23"/>
        </w:numPr>
        <w:spacing w:before="0" w:after="0" w:line="480" w:lineRule="auto"/>
        <w:ind w:left="2160" w:hanging="720"/>
        <w:rPr>
          <w:rFonts w:ascii="Times New Roman" w:hAnsi="Times New Roman"/>
          <w:b w:val="0"/>
          <w:sz w:val="26"/>
          <w:szCs w:val="26"/>
        </w:rPr>
      </w:pPr>
      <w:r>
        <w:rPr>
          <w:rFonts w:ascii="Times New Roman" w:hAnsi="Times New Roman"/>
          <w:b w:val="0"/>
          <w:sz w:val="26"/>
          <w:szCs w:val="26"/>
        </w:rPr>
        <w:t>Proposed resolution</w:t>
      </w:r>
    </w:p>
    <w:p w:rsidR="000C6805" w:rsidRDefault="00AF45C3" w:rsidP="00F347F1">
      <w:pPr>
        <w:spacing w:line="360" w:lineRule="auto"/>
        <w:ind w:firstLine="720"/>
        <w:rPr>
          <w:sz w:val="26"/>
          <w:szCs w:val="26"/>
        </w:rPr>
      </w:pPr>
      <w:r>
        <w:rPr>
          <w:sz w:val="26"/>
          <w:szCs w:val="26"/>
        </w:rPr>
        <w:t>For a potential Phase II, t</w:t>
      </w:r>
      <w:r w:rsidR="000C6805" w:rsidRPr="000C6805">
        <w:rPr>
          <w:sz w:val="26"/>
          <w:szCs w:val="26"/>
        </w:rPr>
        <w:t xml:space="preserve">he Commission proposes that EDCs, as </w:t>
      </w:r>
      <w:r w:rsidR="000C6805">
        <w:rPr>
          <w:sz w:val="26"/>
          <w:szCs w:val="26"/>
        </w:rPr>
        <w:t>with</w:t>
      </w:r>
      <w:r w:rsidR="000C6805" w:rsidRPr="000C6805">
        <w:rPr>
          <w:sz w:val="26"/>
          <w:szCs w:val="26"/>
        </w:rPr>
        <w:t xml:space="preserve"> Phase I, continue to use the historical average annual growth rate of the Bureau of Labor Statistics’ Electric Power GTD sector price index (BLS factor: </w:t>
      </w:r>
      <w:hyperlink r:id="rId11" w:history="1">
        <w:r w:rsidR="000C6805" w:rsidRPr="000C6805">
          <w:rPr>
            <w:rStyle w:val="Hyperlink"/>
            <w:bCs/>
            <w:color w:val="auto"/>
            <w:sz w:val="26"/>
            <w:szCs w:val="26"/>
            <w:u w:val="none"/>
          </w:rPr>
          <w:t>NAICS 221110</w:t>
        </w:r>
      </w:hyperlink>
      <w:r w:rsidR="000C6805" w:rsidRPr="000C6805">
        <w:rPr>
          <w:rStyle w:val="FootnoteReference"/>
          <w:sz w:val="26"/>
          <w:szCs w:val="26"/>
        </w:rPr>
        <w:footnoteReference w:id="36"/>
      </w:r>
      <w:r w:rsidR="000C6805" w:rsidRPr="000C6805">
        <w:rPr>
          <w:sz w:val="26"/>
          <w:szCs w:val="26"/>
        </w:rPr>
        <w:t xml:space="preserve">) as a proxy for the rate of escalation of transmission, distribution, capacity, and ancillary service costs between the end of the fourth program year and the beginning of the </w:t>
      </w:r>
      <w:r w:rsidR="004760C9">
        <w:rPr>
          <w:sz w:val="26"/>
          <w:szCs w:val="26"/>
        </w:rPr>
        <w:t>EIA AEO</w:t>
      </w:r>
      <w:r w:rsidR="000C6805" w:rsidRPr="000C6805">
        <w:rPr>
          <w:sz w:val="26"/>
          <w:szCs w:val="26"/>
        </w:rPr>
        <w:t xml:space="preserve"> in year 11.   </w:t>
      </w:r>
    </w:p>
    <w:p w:rsidR="00A97E8E" w:rsidRDefault="00A97E8E" w:rsidP="00F347F1">
      <w:pPr>
        <w:spacing w:line="360" w:lineRule="auto"/>
        <w:ind w:firstLine="720"/>
        <w:rPr>
          <w:sz w:val="26"/>
          <w:szCs w:val="26"/>
        </w:rPr>
      </w:pPr>
    </w:p>
    <w:p w:rsidR="00A97E8E" w:rsidRPr="00BF50AF" w:rsidRDefault="00A97E8E" w:rsidP="00BF50AF">
      <w:pPr>
        <w:pStyle w:val="ListParagraph"/>
        <w:keepNext/>
        <w:numPr>
          <w:ilvl w:val="0"/>
          <w:numId w:val="27"/>
        </w:numPr>
        <w:spacing w:after="0" w:line="480" w:lineRule="auto"/>
        <w:ind w:left="1440" w:hanging="720"/>
        <w:rPr>
          <w:rFonts w:ascii="Times New Roman" w:hAnsi="Times New Roman"/>
          <w:sz w:val="26"/>
          <w:szCs w:val="26"/>
        </w:rPr>
      </w:pPr>
      <w:r w:rsidRPr="00BF50AF">
        <w:rPr>
          <w:rFonts w:ascii="Times New Roman" w:hAnsi="Times New Roman"/>
          <w:b/>
          <w:sz w:val="26"/>
          <w:szCs w:val="26"/>
        </w:rPr>
        <w:lastRenderedPageBreak/>
        <w:t>End-Use Adjustments</w:t>
      </w:r>
      <w:r w:rsidRPr="00BF50AF">
        <w:rPr>
          <w:rFonts w:ascii="Times New Roman" w:hAnsi="Times New Roman"/>
          <w:sz w:val="26"/>
          <w:szCs w:val="26"/>
        </w:rPr>
        <w:t xml:space="preserve"> </w:t>
      </w:r>
    </w:p>
    <w:p w:rsidR="00A97E8E" w:rsidRPr="00767C1B" w:rsidRDefault="00A97E8E" w:rsidP="00BF50AF">
      <w:pPr>
        <w:pStyle w:val="ListParagraph"/>
        <w:keepNext/>
        <w:numPr>
          <w:ilvl w:val="0"/>
          <w:numId w:val="8"/>
        </w:numPr>
        <w:spacing w:after="0" w:line="480" w:lineRule="auto"/>
        <w:ind w:left="2160" w:hanging="720"/>
        <w:rPr>
          <w:rFonts w:ascii="Times New Roman" w:hAnsi="Times New Roman"/>
          <w:sz w:val="26"/>
          <w:szCs w:val="26"/>
        </w:rPr>
      </w:pPr>
      <w:r w:rsidRPr="00767C1B">
        <w:rPr>
          <w:rFonts w:ascii="Times New Roman" w:hAnsi="Times New Roman"/>
          <w:sz w:val="26"/>
          <w:szCs w:val="26"/>
        </w:rPr>
        <w:t>Discussion</w:t>
      </w:r>
    </w:p>
    <w:p w:rsidR="00A97E8E" w:rsidRDefault="00A97E8E" w:rsidP="00A97E8E">
      <w:pPr>
        <w:pStyle w:val="ListParagraph"/>
        <w:spacing w:after="0" w:line="360" w:lineRule="auto"/>
        <w:ind w:left="0" w:firstLine="720"/>
        <w:rPr>
          <w:rFonts w:ascii="Times New Roman" w:hAnsi="Times New Roman"/>
          <w:sz w:val="26"/>
          <w:szCs w:val="26"/>
        </w:rPr>
      </w:pPr>
      <w:r>
        <w:rPr>
          <w:rFonts w:ascii="Times New Roman" w:hAnsi="Times New Roman"/>
          <w:sz w:val="26"/>
          <w:szCs w:val="26"/>
        </w:rPr>
        <w:t xml:space="preserve">During Phase I, it was decided that it is </w:t>
      </w:r>
      <w:r w:rsidRPr="00767C1B">
        <w:rPr>
          <w:rFonts w:ascii="Times New Roman" w:hAnsi="Times New Roman"/>
          <w:sz w:val="26"/>
          <w:szCs w:val="26"/>
        </w:rPr>
        <w:t xml:space="preserve">appropriate to use end-use profiles for </w:t>
      </w:r>
      <w:r>
        <w:rPr>
          <w:rFonts w:ascii="Times New Roman" w:hAnsi="Times New Roman"/>
          <w:sz w:val="26"/>
          <w:szCs w:val="26"/>
        </w:rPr>
        <w:t xml:space="preserve">an </w:t>
      </w:r>
      <w:r w:rsidR="008B2EE4">
        <w:rPr>
          <w:rFonts w:ascii="Times New Roman" w:hAnsi="Times New Roman"/>
          <w:sz w:val="26"/>
          <w:szCs w:val="26"/>
        </w:rPr>
        <w:t xml:space="preserve">energy </w:t>
      </w:r>
      <w:r>
        <w:rPr>
          <w:rFonts w:ascii="Times New Roman" w:hAnsi="Times New Roman"/>
          <w:sz w:val="26"/>
          <w:szCs w:val="26"/>
        </w:rPr>
        <w:t>efficiency</w:t>
      </w:r>
      <w:r w:rsidRPr="00767C1B">
        <w:rPr>
          <w:rFonts w:ascii="Times New Roman" w:hAnsi="Times New Roman"/>
          <w:sz w:val="26"/>
          <w:szCs w:val="26"/>
        </w:rPr>
        <w:t xml:space="preserve"> program</w:t>
      </w:r>
      <w:r>
        <w:rPr>
          <w:rFonts w:ascii="Times New Roman" w:hAnsi="Times New Roman"/>
          <w:sz w:val="26"/>
          <w:szCs w:val="26"/>
        </w:rPr>
        <w:t>, rather than general overall rate class profiles</w:t>
      </w:r>
      <w:r w:rsidRPr="00767C1B">
        <w:rPr>
          <w:rFonts w:ascii="Times New Roman" w:hAnsi="Times New Roman"/>
          <w:sz w:val="26"/>
          <w:szCs w:val="26"/>
        </w:rPr>
        <w:t>.</w:t>
      </w:r>
      <w:r>
        <w:rPr>
          <w:rStyle w:val="FootnoteReference"/>
          <w:rFonts w:ascii="Times New Roman" w:hAnsi="Times New Roman"/>
          <w:sz w:val="26"/>
          <w:szCs w:val="26"/>
        </w:rPr>
        <w:footnoteReference w:id="37"/>
      </w:r>
      <w:r>
        <w:rPr>
          <w:rFonts w:ascii="Times New Roman" w:hAnsi="Times New Roman"/>
          <w:sz w:val="26"/>
          <w:szCs w:val="26"/>
        </w:rPr>
        <w:t xml:space="preserve">  </w:t>
      </w:r>
    </w:p>
    <w:p w:rsidR="00A97E8E" w:rsidRDefault="00A97E8E" w:rsidP="00A97E8E">
      <w:pPr>
        <w:pStyle w:val="ListParagraph"/>
        <w:spacing w:after="0" w:line="360" w:lineRule="auto"/>
        <w:ind w:left="0" w:firstLine="720"/>
        <w:rPr>
          <w:rFonts w:ascii="Times New Roman" w:hAnsi="Times New Roman"/>
          <w:sz w:val="26"/>
          <w:szCs w:val="26"/>
        </w:rPr>
      </w:pPr>
    </w:p>
    <w:p w:rsidR="00A97E8E" w:rsidRDefault="00121859" w:rsidP="00BF50AF">
      <w:pPr>
        <w:pStyle w:val="ListParagraph"/>
        <w:keepNext/>
        <w:numPr>
          <w:ilvl w:val="0"/>
          <w:numId w:val="8"/>
        </w:numPr>
        <w:spacing w:after="0" w:line="480" w:lineRule="auto"/>
        <w:ind w:left="2160" w:hanging="720"/>
        <w:rPr>
          <w:rFonts w:ascii="Times New Roman" w:hAnsi="Times New Roman"/>
          <w:sz w:val="26"/>
          <w:szCs w:val="26"/>
        </w:rPr>
      </w:pPr>
      <w:r>
        <w:rPr>
          <w:rFonts w:ascii="Times New Roman" w:hAnsi="Times New Roman"/>
          <w:sz w:val="26"/>
          <w:szCs w:val="26"/>
        </w:rPr>
        <w:t>Proposed r</w:t>
      </w:r>
      <w:r w:rsidR="00A97E8E">
        <w:rPr>
          <w:rFonts w:ascii="Times New Roman" w:hAnsi="Times New Roman"/>
          <w:sz w:val="26"/>
          <w:szCs w:val="26"/>
        </w:rPr>
        <w:t>esolution</w:t>
      </w:r>
    </w:p>
    <w:p w:rsidR="00A97E8E" w:rsidRDefault="00A97E8E" w:rsidP="00A97E8E">
      <w:pPr>
        <w:pStyle w:val="ListParagraph"/>
        <w:spacing w:after="0" w:line="360" w:lineRule="auto"/>
        <w:ind w:left="0" w:firstLine="720"/>
        <w:rPr>
          <w:rFonts w:ascii="Times New Roman" w:hAnsi="Times New Roman"/>
          <w:sz w:val="26"/>
          <w:szCs w:val="26"/>
        </w:rPr>
      </w:pPr>
      <w:r>
        <w:rPr>
          <w:rFonts w:ascii="Times New Roman" w:hAnsi="Times New Roman"/>
          <w:sz w:val="26"/>
          <w:szCs w:val="26"/>
        </w:rPr>
        <w:t xml:space="preserve">The Commission proposed to continue this practice for </w:t>
      </w:r>
      <w:r w:rsidR="00AF45C3">
        <w:rPr>
          <w:rFonts w:ascii="Times New Roman" w:hAnsi="Times New Roman"/>
          <w:sz w:val="26"/>
          <w:szCs w:val="26"/>
        </w:rPr>
        <w:t xml:space="preserve">a potential </w:t>
      </w:r>
      <w:r>
        <w:rPr>
          <w:rFonts w:ascii="Times New Roman" w:hAnsi="Times New Roman"/>
          <w:sz w:val="26"/>
          <w:szCs w:val="26"/>
        </w:rPr>
        <w:t>Phase II.  EDCs should therefore</w:t>
      </w:r>
      <w:r w:rsidRPr="00767C1B">
        <w:rPr>
          <w:rFonts w:ascii="Times New Roman" w:hAnsi="Times New Roman"/>
          <w:sz w:val="26"/>
          <w:szCs w:val="26"/>
        </w:rPr>
        <w:t xml:space="preserve"> use device-specific profiles if available.  If not, the ED</w:t>
      </w:r>
      <w:r>
        <w:rPr>
          <w:rFonts w:ascii="Times New Roman" w:hAnsi="Times New Roman"/>
          <w:sz w:val="26"/>
          <w:szCs w:val="26"/>
        </w:rPr>
        <w:t>C should use the class average.</w:t>
      </w:r>
      <w:r>
        <w:rPr>
          <w:rStyle w:val="FootnoteReference"/>
          <w:rFonts w:ascii="Times New Roman" w:hAnsi="Times New Roman"/>
          <w:sz w:val="26"/>
          <w:szCs w:val="26"/>
        </w:rPr>
        <w:footnoteReference w:id="38"/>
      </w:r>
      <w:r w:rsidRPr="00767C1B">
        <w:rPr>
          <w:rFonts w:ascii="Times New Roman" w:hAnsi="Times New Roman"/>
          <w:sz w:val="26"/>
          <w:szCs w:val="26"/>
        </w:rPr>
        <w:t xml:space="preserve"> </w:t>
      </w:r>
    </w:p>
    <w:p w:rsidR="00A97E8E" w:rsidRDefault="00A97E8E" w:rsidP="00A97E8E">
      <w:pPr>
        <w:spacing w:line="360" w:lineRule="auto"/>
        <w:ind w:firstLine="360"/>
        <w:rPr>
          <w:b/>
          <w:bCs/>
          <w:sz w:val="26"/>
          <w:szCs w:val="26"/>
        </w:rPr>
      </w:pPr>
    </w:p>
    <w:p w:rsidR="00A97E8E" w:rsidRPr="00BF50AF" w:rsidRDefault="00A97E8E" w:rsidP="00BF50AF">
      <w:pPr>
        <w:pStyle w:val="ListParagraph"/>
        <w:keepNext/>
        <w:numPr>
          <w:ilvl w:val="0"/>
          <w:numId w:val="27"/>
        </w:numPr>
        <w:spacing w:after="0" w:line="480" w:lineRule="auto"/>
        <w:ind w:left="1440" w:hanging="720"/>
        <w:rPr>
          <w:rFonts w:ascii="Times New Roman" w:hAnsi="Times New Roman"/>
          <w:b/>
          <w:bCs/>
          <w:sz w:val="26"/>
          <w:szCs w:val="26"/>
        </w:rPr>
      </w:pPr>
      <w:r w:rsidRPr="00BF50AF">
        <w:rPr>
          <w:rFonts w:ascii="Times New Roman" w:hAnsi="Times New Roman"/>
          <w:b/>
          <w:bCs/>
          <w:sz w:val="26"/>
          <w:szCs w:val="26"/>
        </w:rPr>
        <w:t>Locational, Temporal, and Zonal Differences</w:t>
      </w:r>
    </w:p>
    <w:p w:rsidR="00A97E8E" w:rsidRPr="00992204" w:rsidRDefault="00A97E8E" w:rsidP="00BF50AF">
      <w:pPr>
        <w:pStyle w:val="ListParagraph"/>
        <w:keepNext/>
        <w:numPr>
          <w:ilvl w:val="0"/>
          <w:numId w:val="12"/>
        </w:numPr>
        <w:spacing w:after="0" w:line="480" w:lineRule="auto"/>
        <w:ind w:left="2160" w:hanging="720"/>
        <w:rPr>
          <w:rFonts w:ascii="Times New Roman" w:hAnsi="Times New Roman"/>
          <w:sz w:val="20"/>
        </w:rPr>
      </w:pPr>
      <w:r w:rsidRPr="00992204">
        <w:rPr>
          <w:rFonts w:ascii="Times New Roman" w:hAnsi="Times New Roman"/>
          <w:sz w:val="26"/>
          <w:szCs w:val="26"/>
        </w:rPr>
        <w:t>Discussion</w:t>
      </w:r>
    </w:p>
    <w:p w:rsidR="00A97E8E" w:rsidRDefault="00A97E8E" w:rsidP="00A97E8E">
      <w:pPr>
        <w:spacing w:line="360" w:lineRule="auto"/>
        <w:ind w:firstLine="720"/>
        <w:rPr>
          <w:color w:val="0D0D0D"/>
          <w:sz w:val="20"/>
        </w:rPr>
      </w:pPr>
      <w:r>
        <w:rPr>
          <w:sz w:val="26"/>
          <w:szCs w:val="26"/>
        </w:rPr>
        <w:t xml:space="preserve">The Commission decided for Phase I that </w:t>
      </w:r>
      <w:r w:rsidRPr="00992204">
        <w:rPr>
          <w:sz w:val="26"/>
          <w:szCs w:val="26"/>
        </w:rPr>
        <w:t xml:space="preserve">EDC zonal basis adjustments </w:t>
      </w:r>
      <w:r>
        <w:rPr>
          <w:sz w:val="26"/>
          <w:szCs w:val="26"/>
        </w:rPr>
        <w:t>were</w:t>
      </w:r>
      <w:r w:rsidRPr="00992204">
        <w:rPr>
          <w:sz w:val="26"/>
          <w:szCs w:val="26"/>
        </w:rPr>
        <w:t xml:space="preserve"> to be made based on the </w:t>
      </w:r>
      <w:r>
        <w:rPr>
          <w:i/>
          <w:sz w:val="26"/>
          <w:szCs w:val="26"/>
        </w:rPr>
        <w:t xml:space="preserve">2008 </w:t>
      </w:r>
      <w:r w:rsidRPr="00992204">
        <w:rPr>
          <w:i/>
          <w:sz w:val="26"/>
          <w:szCs w:val="26"/>
        </w:rPr>
        <w:t>PJM State of the Market</w:t>
      </w:r>
      <w:r w:rsidRPr="00992204">
        <w:rPr>
          <w:sz w:val="26"/>
          <w:szCs w:val="26"/>
        </w:rPr>
        <w:t xml:space="preserve"> report data “</w:t>
      </w:r>
      <w:r w:rsidRPr="00992204">
        <w:rPr>
          <w:bCs/>
          <w:iCs/>
          <w:sz w:val="26"/>
          <w:szCs w:val="26"/>
        </w:rPr>
        <w:t>Zonal real-time, simple average LMP</w:t>
      </w:r>
      <w:r w:rsidRPr="00992204">
        <w:rPr>
          <w:rStyle w:val="FootnoteReference"/>
          <w:bCs/>
          <w:iCs/>
          <w:sz w:val="26"/>
          <w:szCs w:val="26"/>
        </w:rPr>
        <w:footnoteReference w:id="39"/>
      </w:r>
      <w:r w:rsidRPr="00992204">
        <w:rPr>
          <w:bCs/>
          <w:iCs/>
          <w:sz w:val="26"/>
          <w:szCs w:val="26"/>
        </w:rPr>
        <w:t xml:space="preserve"> (dollars per MWh).”</w:t>
      </w:r>
      <w:r w:rsidRPr="00992204">
        <w:rPr>
          <w:rStyle w:val="FootnoteReference"/>
          <w:sz w:val="26"/>
          <w:szCs w:val="26"/>
        </w:rPr>
        <w:footnoteReference w:id="40"/>
      </w:r>
      <w:r w:rsidRPr="00992204">
        <w:rPr>
          <w:bCs/>
          <w:iCs/>
          <w:sz w:val="26"/>
          <w:szCs w:val="26"/>
        </w:rPr>
        <w:t xml:space="preserve">  </w:t>
      </w:r>
      <w:r>
        <w:rPr>
          <w:color w:val="0D0D0D"/>
          <w:sz w:val="26"/>
          <w:szCs w:val="26"/>
        </w:rPr>
        <w:t xml:space="preserve">Further, for Phase I, </w:t>
      </w:r>
      <w:r w:rsidRPr="0093482C">
        <w:rPr>
          <w:sz w:val="26"/>
          <w:szCs w:val="26"/>
        </w:rPr>
        <w:t xml:space="preserve">the Commission provided </w:t>
      </w:r>
      <w:r>
        <w:rPr>
          <w:color w:val="0D0D0D"/>
          <w:sz w:val="26"/>
          <w:szCs w:val="26"/>
        </w:rPr>
        <w:t>for a basis adjustment to the natural gas prices in years six through ten, using the basis differential between the Henry Hub as the source and TETCO M-3 as the destination for utilities west of the Susquehanna and Transco Zone 6 as the destination for utilities east of the Susquehanna.</w:t>
      </w:r>
      <w:r>
        <w:rPr>
          <w:color w:val="0D0D0D"/>
          <w:sz w:val="20"/>
        </w:rPr>
        <w:t xml:space="preserve"> </w:t>
      </w:r>
      <w:r>
        <w:rPr>
          <w:rStyle w:val="FootnoteReference"/>
          <w:color w:val="0D0D0D"/>
          <w:sz w:val="20"/>
        </w:rPr>
        <w:footnoteReference w:id="41"/>
      </w:r>
    </w:p>
    <w:p w:rsidR="00A97E8E" w:rsidRPr="00BF50AF" w:rsidRDefault="00A97E8E" w:rsidP="00A97E8E">
      <w:pPr>
        <w:spacing w:line="360" w:lineRule="auto"/>
        <w:ind w:firstLine="720"/>
        <w:rPr>
          <w:color w:val="0D0D0D"/>
          <w:sz w:val="26"/>
          <w:szCs w:val="26"/>
        </w:rPr>
      </w:pPr>
    </w:p>
    <w:p w:rsidR="00A97E8E" w:rsidRPr="00F07218" w:rsidRDefault="00A97E8E" w:rsidP="00BF50AF">
      <w:pPr>
        <w:pStyle w:val="ListParagraph"/>
        <w:keepNext/>
        <w:numPr>
          <w:ilvl w:val="0"/>
          <w:numId w:val="12"/>
        </w:numPr>
        <w:spacing w:after="0" w:line="480" w:lineRule="auto"/>
        <w:ind w:left="2160" w:hanging="720"/>
        <w:rPr>
          <w:rFonts w:ascii="Times New Roman" w:hAnsi="Times New Roman"/>
          <w:color w:val="0D0D0D"/>
          <w:sz w:val="26"/>
          <w:szCs w:val="26"/>
        </w:rPr>
      </w:pPr>
      <w:r w:rsidRPr="00F07218">
        <w:rPr>
          <w:rFonts w:ascii="Times New Roman" w:hAnsi="Times New Roman"/>
          <w:color w:val="0D0D0D"/>
          <w:sz w:val="26"/>
          <w:szCs w:val="26"/>
        </w:rPr>
        <w:lastRenderedPageBreak/>
        <w:t xml:space="preserve">Proposed </w:t>
      </w:r>
      <w:r w:rsidR="00121859">
        <w:rPr>
          <w:rFonts w:ascii="Times New Roman" w:hAnsi="Times New Roman"/>
          <w:color w:val="0D0D0D"/>
          <w:sz w:val="26"/>
          <w:szCs w:val="26"/>
        </w:rPr>
        <w:t>r</w:t>
      </w:r>
      <w:r w:rsidRPr="00F07218">
        <w:rPr>
          <w:rFonts w:ascii="Times New Roman" w:hAnsi="Times New Roman"/>
          <w:color w:val="0D0D0D"/>
          <w:sz w:val="26"/>
          <w:szCs w:val="26"/>
        </w:rPr>
        <w:t>esolution</w:t>
      </w:r>
    </w:p>
    <w:p w:rsidR="00A97E8E" w:rsidRDefault="008B2EE4" w:rsidP="00A97E8E">
      <w:pPr>
        <w:spacing w:line="360" w:lineRule="auto"/>
        <w:ind w:firstLine="720"/>
        <w:rPr>
          <w:color w:val="0D0D0D"/>
          <w:sz w:val="26"/>
          <w:szCs w:val="26"/>
        </w:rPr>
      </w:pPr>
      <w:r w:rsidRPr="008543B9">
        <w:rPr>
          <w:sz w:val="26"/>
          <w:szCs w:val="26"/>
        </w:rPr>
        <w:t xml:space="preserve">Recent </w:t>
      </w:r>
      <w:r w:rsidRPr="00A33523">
        <w:rPr>
          <w:i/>
          <w:sz w:val="26"/>
          <w:szCs w:val="26"/>
        </w:rPr>
        <w:t>State of the Market Reports</w:t>
      </w:r>
      <w:r w:rsidRPr="008543B9">
        <w:rPr>
          <w:sz w:val="26"/>
          <w:szCs w:val="26"/>
        </w:rPr>
        <w:t xml:space="preserve"> no longer provide this exact indicator.  However, similar indicators are available.  Specifically, the Zonal real-time load weighted LMP is available.</w:t>
      </w:r>
      <w:r>
        <w:rPr>
          <w:rStyle w:val="FootnoteReference"/>
          <w:sz w:val="26"/>
          <w:szCs w:val="26"/>
        </w:rPr>
        <w:footnoteReference w:id="42"/>
      </w:r>
      <w:r w:rsidRPr="008543B9">
        <w:rPr>
          <w:sz w:val="26"/>
          <w:szCs w:val="26"/>
        </w:rPr>
        <w:t>  As such, we will adopt this indicator as the derivative for calculating EDC basis adjustments</w:t>
      </w:r>
      <w:r>
        <w:t xml:space="preserve">.  </w:t>
      </w:r>
      <w:r w:rsidR="00A97E8E" w:rsidRPr="00F07218">
        <w:rPr>
          <w:color w:val="0D0D0D"/>
          <w:sz w:val="26"/>
          <w:szCs w:val="26"/>
        </w:rPr>
        <w:t xml:space="preserve">The Commission proposes that the same guidance, as modified </w:t>
      </w:r>
      <w:r w:rsidR="00903612">
        <w:rPr>
          <w:color w:val="0D0D0D"/>
          <w:sz w:val="26"/>
          <w:szCs w:val="26"/>
        </w:rPr>
        <w:t>by use of the zonal real-time lard weighted LMP</w:t>
      </w:r>
      <w:r w:rsidR="00A97E8E" w:rsidRPr="00F07218">
        <w:rPr>
          <w:color w:val="0D0D0D"/>
          <w:sz w:val="26"/>
          <w:szCs w:val="26"/>
        </w:rPr>
        <w:t xml:space="preserve">, for Phase I be applied for </w:t>
      </w:r>
      <w:r w:rsidR="00AF45C3">
        <w:rPr>
          <w:color w:val="0D0D0D"/>
          <w:sz w:val="26"/>
          <w:szCs w:val="26"/>
        </w:rPr>
        <w:t xml:space="preserve">a potential </w:t>
      </w:r>
      <w:r w:rsidR="00A97E8E" w:rsidRPr="00F07218">
        <w:rPr>
          <w:color w:val="0D0D0D"/>
          <w:sz w:val="26"/>
          <w:szCs w:val="26"/>
        </w:rPr>
        <w:t>Phase II.</w:t>
      </w:r>
    </w:p>
    <w:p w:rsidR="000D5FA5" w:rsidRPr="00F07218" w:rsidRDefault="000D5FA5" w:rsidP="00A97E8E">
      <w:pPr>
        <w:spacing w:line="360" w:lineRule="auto"/>
        <w:ind w:firstLine="720"/>
        <w:rPr>
          <w:color w:val="0D0D0D"/>
          <w:sz w:val="26"/>
          <w:szCs w:val="26"/>
        </w:rPr>
      </w:pPr>
    </w:p>
    <w:p w:rsidR="00062F7D" w:rsidRPr="00BF50AF" w:rsidRDefault="00726645" w:rsidP="00BF50AF">
      <w:pPr>
        <w:pStyle w:val="ListParagraph"/>
        <w:keepNext/>
        <w:numPr>
          <w:ilvl w:val="0"/>
          <w:numId w:val="27"/>
        </w:numPr>
        <w:spacing w:line="240" w:lineRule="auto"/>
        <w:ind w:left="1440" w:hanging="720"/>
        <w:rPr>
          <w:rFonts w:ascii="Times New Roman" w:hAnsi="Times New Roman"/>
          <w:b/>
          <w:sz w:val="26"/>
          <w:szCs w:val="26"/>
        </w:rPr>
      </w:pPr>
      <w:r w:rsidRPr="00BF50AF">
        <w:rPr>
          <w:rFonts w:ascii="Times New Roman" w:hAnsi="Times New Roman"/>
          <w:b/>
          <w:sz w:val="26"/>
          <w:szCs w:val="26"/>
        </w:rPr>
        <w:t>Inclusion or Exclusion</w:t>
      </w:r>
      <w:r w:rsidR="00DC6748" w:rsidRPr="00BF50AF">
        <w:rPr>
          <w:rFonts w:ascii="Times New Roman" w:hAnsi="Times New Roman"/>
          <w:b/>
          <w:sz w:val="26"/>
          <w:szCs w:val="26"/>
        </w:rPr>
        <w:t xml:space="preserve"> of Customer Avoided Operating a</w:t>
      </w:r>
      <w:r w:rsidRPr="00BF50AF">
        <w:rPr>
          <w:rFonts w:ascii="Times New Roman" w:hAnsi="Times New Roman"/>
          <w:b/>
          <w:sz w:val="26"/>
          <w:szCs w:val="26"/>
        </w:rPr>
        <w:t xml:space="preserve">nd Maintenance Costs </w:t>
      </w:r>
      <w:r w:rsidR="00650509" w:rsidRPr="00BF50AF">
        <w:rPr>
          <w:rFonts w:ascii="Times New Roman" w:hAnsi="Times New Roman"/>
          <w:b/>
          <w:sz w:val="26"/>
          <w:szCs w:val="26"/>
        </w:rPr>
        <w:t>i</w:t>
      </w:r>
      <w:r w:rsidRPr="00BF50AF">
        <w:rPr>
          <w:rFonts w:ascii="Times New Roman" w:hAnsi="Times New Roman"/>
          <w:b/>
          <w:sz w:val="26"/>
          <w:szCs w:val="26"/>
        </w:rPr>
        <w:t xml:space="preserve">n </w:t>
      </w:r>
      <w:r w:rsidR="00F36023" w:rsidRPr="00BF50AF">
        <w:rPr>
          <w:rFonts w:ascii="Times New Roman" w:hAnsi="Times New Roman"/>
          <w:b/>
          <w:sz w:val="26"/>
          <w:szCs w:val="26"/>
        </w:rPr>
        <w:t>t</w:t>
      </w:r>
      <w:r w:rsidRPr="00BF50AF">
        <w:rPr>
          <w:rFonts w:ascii="Times New Roman" w:hAnsi="Times New Roman"/>
          <w:b/>
          <w:sz w:val="26"/>
          <w:szCs w:val="26"/>
        </w:rPr>
        <w:t>he TRC Calculation</w:t>
      </w:r>
    </w:p>
    <w:p w:rsidR="00726645" w:rsidRPr="008455DB" w:rsidRDefault="00726645" w:rsidP="00BF50AF">
      <w:pPr>
        <w:keepNext/>
        <w:rPr>
          <w:b/>
          <w:sz w:val="26"/>
          <w:szCs w:val="26"/>
        </w:rPr>
      </w:pPr>
    </w:p>
    <w:p w:rsidR="00FF1531" w:rsidRPr="001B2FDE" w:rsidRDefault="00FF1531" w:rsidP="00BF50AF">
      <w:pPr>
        <w:pStyle w:val="BodyText2"/>
        <w:keepNext/>
        <w:numPr>
          <w:ilvl w:val="0"/>
          <w:numId w:val="2"/>
        </w:numPr>
        <w:spacing w:after="0"/>
        <w:ind w:left="2160" w:hanging="720"/>
        <w:rPr>
          <w:sz w:val="26"/>
          <w:szCs w:val="26"/>
        </w:rPr>
      </w:pPr>
      <w:r>
        <w:rPr>
          <w:sz w:val="26"/>
          <w:szCs w:val="26"/>
        </w:rPr>
        <w:t>Discussion</w:t>
      </w:r>
    </w:p>
    <w:p w:rsidR="00E0725F" w:rsidRPr="001B2FDE" w:rsidRDefault="00E0725F" w:rsidP="00F347F1">
      <w:pPr>
        <w:pStyle w:val="BodyText2"/>
        <w:spacing w:after="0" w:line="360" w:lineRule="auto"/>
        <w:ind w:firstLine="720"/>
        <w:rPr>
          <w:sz w:val="26"/>
          <w:szCs w:val="26"/>
        </w:rPr>
      </w:pPr>
      <w:r>
        <w:rPr>
          <w:sz w:val="26"/>
          <w:szCs w:val="26"/>
        </w:rPr>
        <w:t>The TRC for Phase I</w:t>
      </w:r>
      <w:r w:rsidRPr="001B2FDE">
        <w:rPr>
          <w:sz w:val="26"/>
          <w:szCs w:val="26"/>
        </w:rPr>
        <w:t xml:space="preserve"> proposed that reduced costs for equipment and labor be treated as benefits that are quantifiable and measurable and proposed that customer avoided operating and maintenance costs should be included as benefits in the TRC calculation.</w:t>
      </w:r>
    </w:p>
    <w:p w:rsidR="00E0725F" w:rsidRDefault="00E0725F" w:rsidP="00F347F1">
      <w:pPr>
        <w:pStyle w:val="ListParagraph"/>
        <w:overflowPunct w:val="0"/>
        <w:autoSpaceDE w:val="0"/>
        <w:autoSpaceDN w:val="0"/>
        <w:adjustRightInd w:val="0"/>
        <w:spacing w:after="0" w:line="360" w:lineRule="auto"/>
        <w:ind w:left="0" w:firstLine="720"/>
        <w:textAlignment w:val="baseline"/>
        <w:rPr>
          <w:rFonts w:ascii="Times New Roman" w:hAnsi="Times New Roman"/>
          <w:sz w:val="26"/>
          <w:szCs w:val="26"/>
        </w:rPr>
      </w:pPr>
    </w:p>
    <w:p w:rsidR="00726645" w:rsidRDefault="009C4277" w:rsidP="00F347F1">
      <w:pPr>
        <w:pStyle w:val="ListParagraph"/>
        <w:overflowPunct w:val="0"/>
        <w:autoSpaceDE w:val="0"/>
        <w:autoSpaceDN w:val="0"/>
        <w:adjustRightInd w:val="0"/>
        <w:spacing w:after="0" w:line="360" w:lineRule="auto"/>
        <w:ind w:left="0" w:firstLine="720"/>
        <w:textAlignment w:val="baseline"/>
        <w:rPr>
          <w:rFonts w:ascii="Times New Roman" w:hAnsi="Times New Roman"/>
          <w:sz w:val="26"/>
          <w:szCs w:val="26"/>
        </w:rPr>
      </w:pPr>
      <w:r>
        <w:rPr>
          <w:rFonts w:ascii="Times New Roman" w:hAnsi="Times New Roman"/>
          <w:sz w:val="26"/>
          <w:szCs w:val="26"/>
        </w:rPr>
        <w:t>For Phase I</w:t>
      </w:r>
      <w:r w:rsidR="00726645" w:rsidRPr="001B2FDE">
        <w:rPr>
          <w:rFonts w:ascii="Times New Roman" w:hAnsi="Times New Roman"/>
          <w:sz w:val="26"/>
          <w:szCs w:val="26"/>
        </w:rPr>
        <w:t xml:space="preserve">, the Commission </w:t>
      </w:r>
      <w:r>
        <w:rPr>
          <w:rFonts w:ascii="Times New Roman" w:hAnsi="Times New Roman"/>
          <w:sz w:val="26"/>
          <w:szCs w:val="26"/>
        </w:rPr>
        <w:t>permitted</w:t>
      </w:r>
      <w:r w:rsidR="00726645" w:rsidRPr="001B2FDE">
        <w:rPr>
          <w:rFonts w:ascii="Times New Roman" w:hAnsi="Times New Roman"/>
          <w:sz w:val="26"/>
          <w:szCs w:val="26"/>
        </w:rPr>
        <w:t xml:space="preserve"> EDCs to include </w:t>
      </w:r>
      <w:r w:rsidR="00BB62C2">
        <w:rPr>
          <w:rFonts w:ascii="Times New Roman" w:hAnsi="Times New Roman"/>
          <w:sz w:val="26"/>
          <w:szCs w:val="26"/>
        </w:rPr>
        <w:t>customer-</w:t>
      </w:r>
      <w:r w:rsidR="00726645" w:rsidRPr="001B2FDE">
        <w:rPr>
          <w:rFonts w:ascii="Times New Roman" w:hAnsi="Times New Roman"/>
          <w:sz w:val="26"/>
          <w:szCs w:val="26"/>
        </w:rPr>
        <w:t xml:space="preserve">avoided operating and maintenance costs, to the extent quantifiable, in their TRC calculations.  However, in cases where such costs may be challenging to quantify, or unquantifiable, the Commission </w:t>
      </w:r>
      <w:r>
        <w:rPr>
          <w:rFonts w:ascii="Times New Roman" w:hAnsi="Times New Roman"/>
          <w:sz w:val="26"/>
          <w:szCs w:val="26"/>
        </w:rPr>
        <w:t>permitted</w:t>
      </w:r>
      <w:r w:rsidR="00726645" w:rsidRPr="001B2FDE">
        <w:rPr>
          <w:rFonts w:ascii="Times New Roman" w:hAnsi="Times New Roman"/>
          <w:sz w:val="26"/>
          <w:szCs w:val="26"/>
        </w:rPr>
        <w:t xml:space="preserve"> EDCs to omit such costs from TRC calculatio</w:t>
      </w:r>
      <w:r>
        <w:rPr>
          <w:rFonts w:ascii="Times New Roman" w:hAnsi="Times New Roman"/>
          <w:sz w:val="26"/>
          <w:szCs w:val="26"/>
        </w:rPr>
        <w:t>ns.  The Commission acknowledged</w:t>
      </w:r>
      <w:r w:rsidR="00726645" w:rsidRPr="001B2FDE">
        <w:rPr>
          <w:rFonts w:ascii="Times New Roman" w:hAnsi="Times New Roman"/>
          <w:sz w:val="26"/>
          <w:szCs w:val="26"/>
        </w:rPr>
        <w:t xml:space="preserve"> that omitting such costs will cause the benefit/cost ratio to be undervalued.  However, the Commission </w:t>
      </w:r>
      <w:r>
        <w:rPr>
          <w:rFonts w:ascii="Times New Roman" w:hAnsi="Times New Roman"/>
          <w:sz w:val="26"/>
          <w:szCs w:val="26"/>
        </w:rPr>
        <w:t>affirmed that</w:t>
      </w:r>
      <w:r w:rsidR="00726645" w:rsidRPr="001B2FDE">
        <w:rPr>
          <w:rFonts w:ascii="Times New Roman" w:hAnsi="Times New Roman"/>
          <w:sz w:val="26"/>
          <w:szCs w:val="26"/>
        </w:rPr>
        <w:t xml:space="preserve"> providing such flexibility appropriately balances the concerns of the parties with the ability of the TRC to present program benefits.</w:t>
      </w:r>
      <w:r w:rsidR="00931A13">
        <w:rPr>
          <w:rStyle w:val="FootnoteReference"/>
          <w:rFonts w:ascii="Times New Roman" w:hAnsi="Times New Roman"/>
          <w:sz w:val="26"/>
          <w:szCs w:val="26"/>
        </w:rPr>
        <w:footnoteReference w:id="43"/>
      </w:r>
      <w:r w:rsidR="00726645" w:rsidRPr="001B2FDE">
        <w:rPr>
          <w:rFonts w:ascii="Times New Roman" w:hAnsi="Times New Roman"/>
          <w:sz w:val="26"/>
          <w:szCs w:val="26"/>
        </w:rPr>
        <w:t xml:space="preserve">  </w:t>
      </w:r>
    </w:p>
    <w:p w:rsidR="009C4277" w:rsidRDefault="009C4277" w:rsidP="00F347F1">
      <w:pPr>
        <w:pStyle w:val="ListParagraph"/>
        <w:overflowPunct w:val="0"/>
        <w:autoSpaceDE w:val="0"/>
        <w:autoSpaceDN w:val="0"/>
        <w:adjustRightInd w:val="0"/>
        <w:spacing w:after="0" w:line="360" w:lineRule="auto"/>
        <w:ind w:left="0" w:firstLine="720"/>
        <w:textAlignment w:val="baseline"/>
        <w:rPr>
          <w:rFonts w:ascii="Times New Roman" w:hAnsi="Times New Roman"/>
          <w:sz w:val="26"/>
          <w:szCs w:val="26"/>
        </w:rPr>
      </w:pPr>
    </w:p>
    <w:p w:rsidR="00FF1531" w:rsidRDefault="00121859" w:rsidP="00BF50AF">
      <w:pPr>
        <w:pStyle w:val="ListParagraph"/>
        <w:keepNext/>
        <w:numPr>
          <w:ilvl w:val="0"/>
          <w:numId w:val="2"/>
        </w:numPr>
        <w:overflowPunct w:val="0"/>
        <w:autoSpaceDE w:val="0"/>
        <w:autoSpaceDN w:val="0"/>
        <w:adjustRightInd w:val="0"/>
        <w:spacing w:after="0" w:line="480" w:lineRule="auto"/>
        <w:ind w:left="2160" w:hanging="720"/>
        <w:textAlignment w:val="baseline"/>
        <w:rPr>
          <w:rFonts w:ascii="Times New Roman" w:hAnsi="Times New Roman"/>
          <w:sz w:val="26"/>
          <w:szCs w:val="26"/>
        </w:rPr>
      </w:pPr>
      <w:r>
        <w:rPr>
          <w:rFonts w:ascii="Times New Roman" w:hAnsi="Times New Roman"/>
          <w:sz w:val="26"/>
          <w:szCs w:val="26"/>
        </w:rPr>
        <w:lastRenderedPageBreak/>
        <w:t>Proposed r</w:t>
      </w:r>
      <w:r w:rsidR="00FF1531">
        <w:rPr>
          <w:rFonts w:ascii="Times New Roman" w:hAnsi="Times New Roman"/>
          <w:sz w:val="26"/>
          <w:szCs w:val="26"/>
        </w:rPr>
        <w:t>esolution</w:t>
      </w:r>
    </w:p>
    <w:p w:rsidR="009C4277" w:rsidRPr="001B2FDE" w:rsidRDefault="00AF45C3" w:rsidP="00F347F1">
      <w:pPr>
        <w:pStyle w:val="ListParagraph"/>
        <w:overflowPunct w:val="0"/>
        <w:autoSpaceDE w:val="0"/>
        <w:autoSpaceDN w:val="0"/>
        <w:adjustRightInd w:val="0"/>
        <w:spacing w:after="0" w:line="360" w:lineRule="auto"/>
        <w:ind w:left="0" w:firstLine="720"/>
        <w:textAlignment w:val="baseline"/>
        <w:rPr>
          <w:rFonts w:ascii="Times New Roman" w:hAnsi="Times New Roman"/>
          <w:sz w:val="26"/>
          <w:szCs w:val="26"/>
        </w:rPr>
      </w:pPr>
      <w:r>
        <w:rPr>
          <w:rFonts w:ascii="Times New Roman" w:hAnsi="Times New Roman"/>
          <w:sz w:val="26"/>
          <w:szCs w:val="26"/>
        </w:rPr>
        <w:t>Should Phase II be approved, t</w:t>
      </w:r>
      <w:r w:rsidR="009C4277">
        <w:rPr>
          <w:rFonts w:ascii="Times New Roman" w:hAnsi="Times New Roman"/>
          <w:sz w:val="26"/>
          <w:szCs w:val="26"/>
        </w:rPr>
        <w:t>he Commission proposes to continue to include avoided operating and maintenance costs, to the extent quantifiable, in EDCs’ TRC calculations while offering the flexibility to omit said costs if they are not quantifiable.</w:t>
      </w:r>
    </w:p>
    <w:p w:rsidR="00CD41D0" w:rsidRDefault="00CD41D0" w:rsidP="00F347F1">
      <w:pPr>
        <w:spacing w:line="360" w:lineRule="auto"/>
        <w:rPr>
          <w:b/>
          <w:sz w:val="26"/>
          <w:szCs w:val="26"/>
        </w:rPr>
      </w:pPr>
    </w:p>
    <w:p w:rsidR="00726645" w:rsidRPr="00BF50AF" w:rsidRDefault="00D12C8B" w:rsidP="00BF50AF">
      <w:pPr>
        <w:pStyle w:val="ListParagraph"/>
        <w:numPr>
          <w:ilvl w:val="0"/>
          <w:numId w:val="27"/>
        </w:numPr>
        <w:spacing w:line="480" w:lineRule="auto"/>
        <w:ind w:left="1440" w:hanging="720"/>
        <w:rPr>
          <w:rFonts w:ascii="Times New Roman" w:hAnsi="Times New Roman"/>
          <w:b/>
          <w:sz w:val="26"/>
          <w:szCs w:val="26"/>
        </w:rPr>
      </w:pPr>
      <w:r w:rsidRPr="00BF50AF">
        <w:rPr>
          <w:rFonts w:ascii="Times New Roman" w:hAnsi="Times New Roman"/>
          <w:b/>
          <w:sz w:val="26"/>
          <w:szCs w:val="26"/>
        </w:rPr>
        <w:t>Avoided Costs i</w:t>
      </w:r>
      <w:r w:rsidR="00494ABC" w:rsidRPr="00BF50AF">
        <w:rPr>
          <w:rFonts w:ascii="Times New Roman" w:hAnsi="Times New Roman"/>
          <w:b/>
          <w:sz w:val="26"/>
          <w:szCs w:val="26"/>
        </w:rPr>
        <w:t>n t</w:t>
      </w:r>
      <w:r w:rsidRPr="00BF50AF">
        <w:rPr>
          <w:rFonts w:ascii="Times New Roman" w:hAnsi="Times New Roman"/>
          <w:b/>
          <w:sz w:val="26"/>
          <w:szCs w:val="26"/>
        </w:rPr>
        <w:t>he Benefit/Cost Ratios i</w:t>
      </w:r>
      <w:r w:rsidR="00726645" w:rsidRPr="00BF50AF">
        <w:rPr>
          <w:rFonts w:ascii="Times New Roman" w:hAnsi="Times New Roman"/>
          <w:b/>
          <w:sz w:val="26"/>
          <w:szCs w:val="26"/>
        </w:rPr>
        <w:t xml:space="preserve">n Approved EE&amp;C Plans </w:t>
      </w:r>
    </w:p>
    <w:p w:rsidR="005364F6" w:rsidRPr="005364F6" w:rsidRDefault="005364F6" w:rsidP="00BF50AF">
      <w:pPr>
        <w:pStyle w:val="ListParagraph"/>
        <w:numPr>
          <w:ilvl w:val="0"/>
          <w:numId w:val="13"/>
        </w:numPr>
        <w:spacing w:after="0" w:line="480" w:lineRule="auto"/>
        <w:ind w:left="2160" w:hanging="720"/>
        <w:rPr>
          <w:rFonts w:ascii="Times New Roman" w:hAnsi="Times New Roman"/>
          <w:sz w:val="26"/>
          <w:szCs w:val="26"/>
        </w:rPr>
      </w:pPr>
      <w:r w:rsidRPr="005364F6">
        <w:rPr>
          <w:rFonts w:ascii="Times New Roman" w:hAnsi="Times New Roman"/>
          <w:sz w:val="26"/>
          <w:szCs w:val="26"/>
        </w:rPr>
        <w:t>Discussion</w:t>
      </w:r>
    </w:p>
    <w:p w:rsidR="00726645" w:rsidRPr="005364F6" w:rsidRDefault="00726645" w:rsidP="00F347F1">
      <w:pPr>
        <w:pStyle w:val="ListParagraph"/>
        <w:spacing w:after="0" w:line="360" w:lineRule="auto"/>
        <w:ind w:left="0" w:firstLine="720"/>
        <w:rPr>
          <w:rFonts w:ascii="Times New Roman" w:hAnsi="Times New Roman"/>
          <w:sz w:val="26"/>
          <w:szCs w:val="26"/>
        </w:rPr>
      </w:pPr>
      <w:r w:rsidRPr="005364F6">
        <w:rPr>
          <w:rFonts w:ascii="Times New Roman" w:hAnsi="Times New Roman"/>
          <w:sz w:val="26"/>
          <w:szCs w:val="26"/>
        </w:rPr>
        <w:t>Previous TRC Test Orders have addressed the issue of what type of avoided cost data EDCs should use for determining the TRC of new programs and for determining the TRC of a portfolio of existing programs</w:t>
      </w:r>
      <w:r w:rsidR="00D12C8B">
        <w:rPr>
          <w:rFonts w:ascii="Times New Roman" w:hAnsi="Times New Roman"/>
          <w:sz w:val="26"/>
          <w:szCs w:val="26"/>
        </w:rPr>
        <w:t>.  The primary issue was</w:t>
      </w:r>
      <w:r w:rsidRPr="005364F6">
        <w:rPr>
          <w:rFonts w:ascii="Times New Roman" w:hAnsi="Times New Roman"/>
          <w:sz w:val="26"/>
          <w:szCs w:val="26"/>
        </w:rPr>
        <w:t xml:space="preserve"> whether or not EDCs should use the latest available forecast of avoided costs or previously filed vintage forecasts of avoided costs.  For Phase I, </w:t>
      </w:r>
      <w:r w:rsidR="00FF1531" w:rsidRPr="005364F6">
        <w:rPr>
          <w:rFonts w:ascii="Times New Roman" w:hAnsi="Times New Roman"/>
          <w:sz w:val="26"/>
          <w:szCs w:val="26"/>
        </w:rPr>
        <w:t xml:space="preserve">the Commission </w:t>
      </w:r>
      <w:r w:rsidRPr="005364F6">
        <w:rPr>
          <w:rFonts w:ascii="Times New Roman" w:hAnsi="Times New Roman"/>
          <w:sz w:val="26"/>
          <w:szCs w:val="26"/>
        </w:rPr>
        <w:t>allowed EDCs to use the latest available or most current forecast of avoided cost when filing new programs</w:t>
      </w:r>
      <w:r w:rsidR="00D12C8B">
        <w:rPr>
          <w:rFonts w:ascii="Times New Roman" w:hAnsi="Times New Roman"/>
          <w:sz w:val="26"/>
          <w:szCs w:val="26"/>
        </w:rPr>
        <w:t>.  A</w:t>
      </w:r>
      <w:r w:rsidRPr="005364F6">
        <w:rPr>
          <w:rFonts w:ascii="Times New Roman" w:hAnsi="Times New Roman"/>
          <w:sz w:val="26"/>
          <w:szCs w:val="26"/>
        </w:rPr>
        <w:t xml:space="preserve">voided costs figures included in TRC calculations of previously approved EE&amp;C program plans </w:t>
      </w:r>
      <w:r w:rsidR="005364F6">
        <w:rPr>
          <w:rFonts w:ascii="Times New Roman" w:hAnsi="Times New Roman"/>
          <w:sz w:val="26"/>
          <w:szCs w:val="26"/>
        </w:rPr>
        <w:t>did not need to</w:t>
      </w:r>
      <w:r w:rsidRPr="005364F6">
        <w:rPr>
          <w:rFonts w:ascii="Times New Roman" w:hAnsi="Times New Roman"/>
          <w:sz w:val="26"/>
          <w:szCs w:val="26"/>
        </w:rPr>
        <w:t xml:space="preserve"> be updated by present or future avoided cost figure revisions or updates.  When calculating and reporting the overall portfolio TRC </w:t>
      </w:r>
      <w:r w:rsidR="004D3654">
        <w:rPr>
          <w:rFonts w:ascii="Times New Roman" w:hAnsi="Times New Roman"/>
          <w:sz w:val="26"/>
          <w:szCs w:val="26"/>
        </w:rPr>
        <w:t>T</w:t>
      </w:r>
      <w:r w:rsidRPr="005364F6">
        <w:rPr>
          <w:rFonts w:ascii="Times New Roman" w:hAnsi="Times New Roman"/>
          <w:sz w:val="26"/>
          <w:szCs w:val="26"/>
        </w:rPr>
        <w:t>est ratio in EDC Act 129 annual reports, the EDCs would use the vintage of avoided cost forecasts applicable for each program at the time the program was approved.</w:t>
      </w:r>
      <w:r w:rsidR="00931A13">
        <w:rPr>
          <w:rStyle w:val="FootnoteReference"/>
          <w:rFonts w:ascii="Times New Roman" w:hAnsi="Times New Roman"/>
          <w:sz w:val="26"/>
          <w:szCs w:val="26"/>
        </w:rPr>
        <w:footnoteReference w:id="44"/>
      </w:r>
    </w:p>
    <w:p w:rsidR="00726645" w:rsidRPr="005364F6" w:rsidRDefault="00726645" w:rsidP="00F347F1">
      <w:pPr>
        <w:spacing w:line="360" w:lineRule="auto"/>
        <w:rPr>
          <w:b/>
          <w:sz w:val="26"/>
          <w:szCs w:val="26"/>
        </w:rPr>
      </w:pPr>
    </w:p>
    <w:p w:rsidR="00726645" w:rsidRPr="005364F6" w:rsidRDefault="00121859" w:rsidP="00BF50AF">
      <w:pPr>
        <w:pStyle w:val="ListParagraph"/>
        <w:keepNext/>
        <w:numPr>
          <w:ilvl w:val="0"/>
          <w:numId w:val="13"/>
        </w:numPr>
        <w:spacing w:after="0" w:line="480" w:lineRule="auto"/>
        <w:ind w:left="2160" w:hanging="720"/>
        <w:rPr>
          <w:rFonts w:ascii="Times New Roman" w:hAnsi="Times New Roman"/>
          <w:sz w:val="26"/>
          <w:szCs w:val="26"/>
        </w:rPr>
      </w:pPr>
      <w:r>
        <w:rPr>
          <w:rFonts w:ascii="Times New Roman" w:hAnsi="Times New Roman"/>
          <w:sz w:val="26"/>
          <w:szCs w:val="26"/>
        </w:rPr>
        <w:t>Proposed r</w:t>
      </w:r>
      <w:r w:rsidR="00726645" w:rsidRPr="005364F6">
        <w:rPr>
          <w:rFonts w:ascii="Times New Roman" w:hAnsi="Times New Roman"/>
          <w:sz w:val="26"/>
          <w:szCs w:val="26"/>
        </w:rPr>
        <w:t xml:space="preserve">esolution </w:t>
      </w:r>
    </w:p>
    <w:p w:rsidR="0038784B" w:rsidRPr="0038784B" w:rsidRDefault="002C45C0" w:rsidP="0038784B">
      <w:pPr>
        <w:pStyle w:val="PlainText"/>
        <w:spacing w:line="360" w:lineRule="auto"/>
        <w:ind w:firstLine="720"/>
        <w:rPr>
          <w:rFonts w:ascii="Times New Roman" w:hAnsi="Times New Roman"/>
          <w:sz w:val="26"/>
          <w:szCs w:val="26"/>
        </w:rPr>
      </w:pPr>
      <w:r w:rsidRPr="0038784B">
        <w:rPr>
          <w:rFonts w:ascii="Times New Roman" w:hAnsi="Times New Roman"/>
          <w:sz w:val="26"/>
          <w:szCs w:val="26"/>
        </w:rPr>
        <w:t xml:space="preserve">The Commission desires to strike a balance between using the most accurate and up-to-date avoided costs and using </w:t>
      </w:r>
      <w:r w:rsidR="00DB12D0" w:rsidRPr="0038784B">
        <w:rPr>
          <w:rFonts w:ascii="Times New Roman" w:hAnsi="Times New Roman"/>
          <w:sz w:val="26"/>
          <w:szCs w:val="26"/>
        </w:rPr>
        <w:t xml:space="preserve">the </w:t>
      </w:r>
      <w:r w:rsidRPr="0038784B">
        <w:rPr>
          <w:rFonts w:ascii="Times New Roman" w:hAnsi="Times New Roman"/>
          <w:sz w:val="26"/>
          <w:szCs w:val="26"/>
        </w:rPr>
        <w:t xml:space="preserve">avoided costs in effect at the time a program plan </w:t>
      </w:r>
      <w:r w:rsidR="001A53BB" w:rsidRPr="0038784B">
        <w:rPr>
          <w:rFonts w:ascii="Times New Roman" w:hAnsi="Times New Roman"/>
          <w:sz w:val="26"/>
          <w:szCs w:val="26"/>
        </w:rPr>
        <w:t>is</w:t>
      </w:r>
      <w:r w:rsidRPr="0038784B">
        <w:rPr>
          <w:rFonts w:ascii="Times New Roman" w:hAnsi="Times New Roman"/>
          <w:sz w:val="26"/>
          <w:szCs w:val="26"/>
        </w:rPr>
        <w:t xml:space="preserve"> approved.  Therefore, the Commission proposes that EDCs continue to proceed in </w:t>
      </w:r>
      <w:r w:rsidR="00AF45C3" w:rsidRPr="0038784B">
        <w:rPr>
          <w:rFonts w:ascii="Times New Roman" w:hAnsi="Times New Roman"/>
          <w:sz w:val="26"/>
          <w:szCs w:val="26"/>
        </w:rPr>
        <w:t xml:space="preserve">a potential </w:t>
      </w:r>
      <w:r w:rsidRPr="0038784B">
        <w:rPr>
          <w:rFonts w:ascii="Times New Roman" w:hAnsi="Times New Roman"/>
          <w:sz w:val="26"/>
          <w:szCs w:val="26"/>
        </w:rPr>
        <w:t>Phase</w:t>
      </w:r>
      <w:r w:rsidR="00903612" w:rsidRPr="0038784B">
        <w:rPr>
          <w:rFonts w:ascii="Times New Roman" w:hAnsi="Times New Roman"/>
          <w:sz w:val="26"/>
          <w:szCs w:val="26"/>
        </w:rPr>
        <w:t> </w:t>
      </w:r>
      <w:r w:rsidR="0038784B" w:rsidRPr="0038784B">
        <w:rPr>
          <w:rFonts w:ascii="Times New Roman" w:hAnsi="Times New Roman"/>
          <w:sz w:val="26"/>
          <w:szCs w:val="26"/>
        </w:rPr>
        <w:t xml:space="preserve">II as they did in Phase I; use the vintage of avoided cost forecasts applicable for each program at the time the program was approved.  In so doing, all new EE&amp;C plans filed for Phase II should use the latest available forecast of avoided costs.  </w:t>
      </w:r>
      <w:r w:rsidR="0038784B" w:rsidRPr="0038784B">
        <w:rPr>
          <w:rFonts w:ascii="Times New Roman" w:hAnsi="Times New Roman"/>
          <w:sz w:val="26"/>
          <w:szCs w:val="26"/>
        </w:rPr>
        <w:lastRenderedPageBreak/>
        <w:t>Any new programs included in updates to EDCs' EE&amp;C plans should use the latest available forecast of avoided costs.  Existing programs included in the original Phase II plan will use the vintage of avoided cost forecasts applicable for said programs when they were initially approved.</w:t>
      </w:r>
    </w:p>
    <w:p w:rsidR="000B68E8" w:rsidRDefault="000B68E8" w:rsidP="00F347F1">
      <w:pPr>
        <w:spacing w:line="360" w:lineRule="auto"/>
        <w:ind w:firstLine="720"/>
        <w:rPr>
          <w:sz w:val="26"/>
          <w:szCs w:val="26"/>
        </w:rPr>
      </w:pPr>
    </w:p>
    <w:p w:rsidR="00903612" w:rsidRPr="00BF50AF" w:rsidRDefault="00C961A7" w:rsidP="00BF50AF">
      <w:pPr>
        <w:pStyle w:val="ListParagraph"/>
        <w:keepNext/>
        <w:numPr>
          <w:ilvl w:val="0"/>
          <w:numId w:val="27"/>
        </w:numPr>
        <w:tabs>
          <w:tab w:val="left" w:pos="360"/>
        </w:tabs>
        <w:spacing w:after="0" w:line="480" w:lineRule="auto"/>
        <w:ind w:left="1440" w:hanging="720"/>
        <w:rPr>
          <w:rFonts w:ascii="Times New Roman" w:hAnsi="Times New Roman"/>
          <w:b/>
          <w:sz w:val="26"/>
          <w:szCs w:val="26"/>
        </w:rPr>
      </w:pPr>
      <w:r w:rsidRPr="00BF50AF">
        <w:rPr>
          <w:rFonts w:ascii="Times New Roman" w:hAnsi="Times New Roman"/>
          <w:b/>
          <w:sz w:val="26"/>
          <w:szCs w:val="26"/>
        </w:rPr>
        <w:t>Fuel Switching</w:t>
      </w:r>
    </w:p>
    <w:p w:rsidR="00C961A7" w:rsidRPr="00C65990" w:rsidRDefault="00C961A7" w:rsidP="00BF50AF">
      <w:pPr>
        <w:keepNext/>
        <w:spacing w:line="480" w:lineRule="auto"/>
        <w:ind w:left="2160" w:hanging="720"/>
        <w:rPr>
          <w:sz w:val="26"/>
          <w:szCs w:val="26"/>
        </w:rPr>
      </w:pPr>
      <w:r w:rsidRPr="00C65990">
        <w:rPr>
          <w:sz w:val="26"/>
          <w:szCs w:val="26"/>
        </w:rPr>
        <w:t>a)</w:t>
      </w:r>
      <w:r w:rsidR="00A6565D">
        <w:rPr>
          <w:sz w:val="26"/>
          <w:szCs w:val="26"/>
        </w:rPr>
        <w:tab/>
      </w:r>
      <w:r w:rsidRPr="00C65990">
        <w:rPr>
          <w:sz w:val="26"/>
          <w:szCs w:val="26"/>
        </w:rPr>
        <w:t>Discussion</w:t>
      </w:r>
    </w:p>
    <w:p w:rsidR="00DB12D0" w:rsidRDefault="00A6565D" w:rsidP="00A6565D">
      <w:pPr>
        <w:keepNext/>
        <w:spacing w:line="480" w:lineRule="auto"/>
        <w:ind w:left="2160" w:hanging="720"/>
        <w:rPr>
          <w:b/>
          <w:sz w:val="26"/>
          <w:szCs w:val="26"/>
        </w:rPr>
      </w:pPr>
      <w:r>
        <w:rPr>
          <w:b/>
          <w:sz w:val="26"/>
          <w:szCs w:val="26"/>
        </w:rPr>
        <w:tab/>
      </w:r>
      <w:r w:rsidR="00C961A7">
        <w:rPr>
          <w:b/>
          <w:sz w:val="26"/>
          <w:szCs w:val="26"/>
        </w:rPr>
        <w:t>TRC Inputs f</w:t>
      </w:r>
      <w:r w:rsidR="00C961A7" w:rsidRPr="00C075FD">
        <w:rPr>
          <w:b/>
          <w:sz w:val="26"/>
          <w:szCs w:val="26"/>
        </w:rPr>
        <w:t>or Fuel Switching</w:t>
      </w:r>
    </w:p>
    <w:p w:rsidR="00C961A7" w:rsidRPr="00A93F3B" w:rsidRDefault="00C961A7" w:rsidP="00DB12D0">
      <w:pPr>
        <w:spacing w:line="360" w:lineRule="auto"/>
        <w:ind w:firstLine="720"/>
        <w:rPr>
          <w:sz w:val="26"/>
          <w:szCs w:val="26"/>
        </w:rPr>
      </w:pPr>
      <w:r>
        <w:rPr>
          <w:sz w:val="26"/>
          <w:szCs w:val="26"/>
        </w:rPr>
        <w:t>Previous TRC test orders adopted the</w:t>
      </w:r>
      <w:r w:rsidRPr="00A93F3B">
        <w:rPr>
          <w:sz w:val="26"/>
          <w:szCs w:val="26"/>
        </w:rPr>
        <w:t xml:space="preserve"> fuel switching provisions as set </w:t>
      </w:r>
      <w:r>
        <w:rPr>
          <w:sz w:val="26"/>
          <w:szCs w:val="26"/>
        </w:rPr>
        <w:t>forth</w:t>
      </w:r>
      <w:r w:rsidRPr="00A93F3B">
        <w:rPr>
          <w:sz w:val="26"/>
          <w:szCs w:val="26"/>
        </w:rPr>
        <w:t xml:space="preserve"> in the Fuel Switching Working Group (FSWG) Staff Report.</w:t>
      </w:r>
      <w:r>
        <w:rPr>
          <w:rStyle w:val="FootnoteReference"/>
          <w:sz w:val="26"/>
          <w:szCs w:val="26"/>
        </w:rPr>
        <w:footnoteReference w:id="45"/>
      </w:r>
      <w:r w:rsidRPr="00A93F3B">
        <w:rPr>
          <w:sz w:val="26"/>
          <w:szCs w:val="26"/>
        </w:rPr>
        <w:t xml:space="preserve">  In addition, </w:t>
      </w:r>
      <w:r>
        <w:rPr>
          <w:sz w:val="26"/>
          <w:szCs w:val="26"/>
        </w:rPr>
        <w:t>the Commission adopted the</w:t>
      </w:r>
      <w:r w:rsidRPr="00A93F3B">
        <w:rPr>
          <w:sz w:val="26"/>
          <w:szCs w:val="26"/>
        </w:rPr>
        <w:t xml:space="preserve"> use </w:t>
      </w:r>
      <w:r>
        <w:rPr>
          <w:sz w:val="26"/>
          <w:szCs w:val="26"/>
        </w:rPr>
        <w:t xml:space="preserve">of </w:t>
      </w:r>
      <w:r w:rsidRPr="00A93F3B">
        <w:rPr>
          <w:sz w:val="26"/>
          <w:szCs w:val="26"/>
        </w:rPr>
        <w:t xml:space="preserve">the 2002 </w:t>
      </w:r>
      <w:r>
        <w:rPr>
          <w:sz w:val="26"/>
          <w:szCs w:val="26"/>
        </w:rPr>
        <w:t>California Manual</w:t>
      </w:r>
      <w:r w:rsidRPr="00A93F3B">
        <w:rPr>
          <w:sz w:val="26"/>
          <w:szCs w:val="26"/>
        </w:rPr>
        <w:t xml:space="preserve"> as a guide for defining the benefits and costs that should be included in the TRC </w:t>
      </w:r>
      <w:r>
        <w:rPr>
          <w:sz w:val="26"/>
          <w:szCs w:val="26"/>
        </w:rPr>
        <w:t>T</w:t>
      </w:r>
      <w:r w:rsidRPr="00A93F3B">
        <w:rPr>
          <w:sz w:val="26"/>
          <w:szCs w:val="26"/>
        </w:rPr>
        <w:t xml:space="preserve">est for fuel switching programs.  </w:t>
      </w:r>
      <w:r>
        <w:rPr>
          <w:sz w:val="26"/>
          <w:szCs w:val="26"/>
        </w:rPr>
        <w:t>Further, it was determined that</w:t>
      </w:r>
      <w:r w:rsidRPr="00A93F3B">
        <w:rPr>
          <w:sz w:val="26"/>
          <w:szCs w:val="26"/>
        </w:rPr>
        <w:t xml:space="preserve"> other fuel source substitution programs should also use the 2002 </w:t>
      </w:r>
      <w:r>
        <w:rPr>
          <w:sz w:val="26"/>
          <w:szCs w:val="26"/>
        </w:rPr>
        <w:t>California Manual</w:t>
      </w:r>
      <w:r w:rsidRPr="00A93F3B">
        <w:rPr>
          <w:sz w:val="26"/>
          <w:szCs w:val="26"/>
        </w:rPr>
        <w:t xml:space="preserve"> as a guide in the benefit/cost analysis of each proposed program.</w:t>
      </w:r>
    </w:p>
    <w:p w:rsidR="00C961A7" w:rsidRPr="001B2FDE" w:rsidRDefault="00C961A7" w:rsidP="00C961A7">
      <w:pPr>
        <w:pStyle w:val="BodyText2"/>
        <w:spacing w:after="0" w:line="360" w:lineRule="auto"/>
        <w:rPr>
          <w:sz w:val="26"/>
          <w:szCs w:val="26"/>
        </w:rPr>
      </w:pPr>
    </w:p>
    <w:p w:rsidR="00C961A7" w:rsidRPr="001B2FDE" w:rsidRDefault="00C961A7" w:rsidP="00C961A7">
      <w:pPr>
        <w:overflowPunct/>
        <w:autoSpaceDE/>
        <w:autoSpaceDN/>
        <w:adjustRightInd/>
        <w:spacing w:line="360" w:lineRule="auto"/>
        <w:ind w:firstLine="720"/>
        <w:textAlignment w:val="auto"/>
        <w:rPr>
          <w:sz w:val="26"/>
          <w:szCs w:val="26"/>
        </w:rPr>
      </w:pPr>
      <w:r>
        <w:rPr>
          <w:sz w:val="26"/>
          <w:szCs w:val="26"/>
        </w:rPr>
        <w:t>For purposes of the TRC Test in PA, increased fuel costs have been defined as</w:t>
      </w:r>
      <w:r w:rsidRPr="001B2FDE">
        <w:rPr>
          <w:sz w:val="26"/>
          <w:szCs w:val="26"/>
        </w:rPr>
        <w:t xml:space="preserve"> the NYMEX gas costs for the first 10 years and the EIA gas cost projections thereafter. </w:t>
      </w:r>
    </w:p>
    <w:p w:rsidR="00C961A7" w:rsidRPr="001B2FDE" w:rsidRDefault="00C961A7" w:rsidP="00C961A7">
      <w:pPr>
        <w:overflowPunct/>
        <w:autoSpaceDE/>
        <w:autoSpaceDN/>
        <w:adjustRightInd/>
        <w:spacing w:line="360" w:lineRule="auto"/>
        <w:ind w:firstLine="720"/>
        <w:textAlignment w:val="auto"/>
        <w:rPr>
          <w:sz w:val="26"/>
          <w:szCs w:val="26"/>
        </w:rPr>
      </w:pPr>
    </w:p>
    <w:p w:rsidR="00C961A7" w:rsidRDefault="00C961A7" w:rsidP="00C961A7">
      <w:pPr>
        <w:overflowPunct/>
        <w:autoSpaceDE/>
        <w:autoSpaceDN/>
        <w:adjustRightInd/>
        <w:spacing w:line="360" w:lineRule="auto"/>
        <w:ind w:firstLine="720"/>
        <w:textAlignment w:val="auto"/>
        <w:rPr>
          <w:sz w:val="26"/>
          <w:szCs w:val="26"/>
        </w:rPr>
      </w:pPr>
      <w:r>
        <w:rPr>
          <w:sz w:val="26"/>
          <w:szCs w:val="26"/>
        </w:rPr>
        <w:t>For Phase I, the following was applicable; w</w:t>
      </w:r>
      <w:r w:rsidRPr="001B2FDE">
        <w:rPr>
          <w:sz w:val="26"/>
          <w:szCs w:val="26"/>
        </w:rPr>
        <w:t xml:space="preserve">here new extensions or installations </w:t>
      </w:r>
      <w:r>
        <w:rPr>
          <w:sz w:val="26"/>
          <w:szCs w:val="26"/>
        </w:rPr>
        <w:t xml:space="preserve">were </w:t>
      </w:r>
      <w:r w:rsidRPr="001B2FDE">
        <w:rPr>
          <w:sz w:val="26"/>
          <w:szCs w:val="26"/>
        </w:rPr>
        <w:t xml:space="preserve">required to serve natural gas or other fuels such as oil or propane, the cost of any infrastructure upgrades or installations, regardless of who </w:t>
      </w:r>
      <w:r>
        <w:rPr>
          <w:sz w:val="26"/>
          <w:szCs w:val="26"/>
        </w:rPr>
        <w:t xml:space="preserve">bore </w:t>
      </w:r>
      <w:r w:rsidRPr="001B2FDE">
        <w:rPr>
          <w:sz w:val="26"/>
          <w:szCs w:val="26"/>
        </w:rPr>
        <w:t xml:space="preserve">the cost, </w:t>
      </w:r>
      <w:r>
        <w:rPr>
          <w:sz w:val="26"/>
          <w:szCs w:val="26"/>
        </w:rPr>
        <w:t>were</w:t>
      </w:r>
      <w:r w:rsidRPr="001B2FDE">
        <w:rPr>
          <w:sz w:val="26"/>
          <w:szCs w:val="26"/>
        </w:rPr>
        <w:t xml:space="preserve"> included as incremental costs for energy efficient measures associated with alternative fuels.  However, only extensions or installations directly attributable to fuel switching due to Act 129 measures </w:t>
      </w:r>
      <w:r>
        <w:rPr>
          <w:sz w:val="26"/>
          <w:szCs w:val="26"/>
        </w:rPr>
        <w:t xml:space="preserve">were to </w:t>
      </w:r>
      <w:r w:rsidRPr="001B2FDE">
        <w:rPr>
          <w:sz w:val="26"/>
          <w:szCs w:val="26"/>
        </w:rPr>
        <w:t>be included in the TRC calculation.</w:t>
      </w:r>
      <w:r>
        <w:rPr>
          <w:rStyle w:val="FootnoteReference"/>
          <w:sz w:val="26"/>
          <w:szCs w:val="26"/>
        </w:rPr>
        <w:footnoteReference w:id="46"/>
      </w:r>
    </w:p>
    <w:p w:rsidR="00C961A7" w:rsidRDefault="00C961A7" w:rsidP="00903612">
      <w:pPr>
        <w:pStyle w:val="p3"/>
        <w:widowControl/>
        <w:tabs>
          <w:tab w:val="clear" w:pos="204"/>
          <w:tab w:val="left" w:pos="0"/>
        </w:tabs>
        <w:spacing w:line="360" w:lineRule="auto"/>
        <w:rPr>
          <w:b/>
          <w:sz w:val="26"/>
          <w:szCs w:val="26"/>
        </w:rPr>
      </w:pPr>
    </w:p>
    <w:p w:rsidR="00C961A7" w:rsidRDefault="00C961A7" w:rsidP="00A6565D">
      <w:pPr>
        <w:pStyle w:val="p3"/>
        <w:keepNext/>
        <w:widowControl/>
        <w:tabs>
          <w:tab w:val="clear" w:pos="204"/>
          <w:tab w:val="left" w:pos="720"/>
        </w:tabs>
        <w:spacing w:line="480" w:lineRule="auto"/>
        <w:ind w:left="720"/>
        <w:rPr>
          <w:b/>
          <w:sz w:val="26"/>
          <w:szCs w:val="26"/>
        </w:rPr>
      </w:pPr>
      <w:r>
        <w:rPr>
          <w:b/>
          <w:sz w:val="26"/>
          <w:szCs w:val="26"/>
        </w:rPr>
        <w:lastRenderedPageBreak/>
        <w:tab/>
      </w:r>
      <w:r w:rsidR="00A6565D">
        <w:rPr>
          <w:b/>
          <w:sz w:val="26"/>
          <w:szCs w:val="26"/>
        </w:rPr>
        <w:tab/>
      </w:r>
      <w:r w:rsidRPr="001B2FDE">
        <w:rPr>
          <w:b/>
          <w:sz w:val="26"/>
          <w:szCs w:val="26"/>
        </w:rPr>
        <w:t>Fuel Switching Appliance Efficiency</w:t>
      </w:r>
    </w:p>
    <w:p w:rsidR="00C961A7" w:rsidRDefault="00C961A7" w:rsidP="00C961A7">
      <w:pPr>
        <w:pStyle w:val="p3"/>
        <w:keepNext/>
        <w:widowControl/>
        <w:tabs>
          <w:tab w:val="clear" w:pos="204"/>
          <w:tab w:val="left" w:pos="0"/>
        </w:tabs>
        <w:spacing w:line="360" w:lineRule="auto"/>
        <w:ind w:firstLine="720"/>
        <w:rPr>
          <w:sz w:val="26"/>
          <w:szCs w:val="26"/>
        </w:rPr>
      </w:pPr>
      <w:r w:rsidRPr="001B2FDE">
        <w:rPr>
          <w:sz w:val="26"/>
          <w:szCs w:val="26"/>
        </w:rPr>
        <w:t xml:space="preserve">The FSWG Staff Report, at pages 12 and 13, documents attempts to reach consensus on the minimum efficiency rating for new equipment involved in a fuel switching program.  In the report, staff recommended that guidance be provided to determine efficiency standards for any equipment involved in a fuel switching program.  </w:t>
      </w:r>
      <w:r>
        <w:rPr>
          <w:sz w:val="26"/>
          <w:szCs w:val="26"/>
        </w:rPr>
        <w:t>Therefore, the Commission determined for Phase I that o</w:t>
      </w:r>
      <w:r w:rsidRPr="001B2FDE">
        <w:rPr>
          <w:sz w:val="26"/>
          <w:szCs w:val="26"/>
        </w:rPr>
        <w:t xml:space="preserve">nly equipment earning the EPA’s ENERGY STAR performance rating should be eligible for inclusion in EE&amp;C fuel switching plans.  However, </w:t>
      </w:r>
      <w:r>
        <w:rPr>
          <w:sz w:val="26"/>
          <w:szCs w:val="26"/>
        </w:rPr>
        <w:t>it was noted that</w:t>
      </w:r>
      <w:r w:rsidRPr="001B2FDE">
        <w:rPr>
          <w:sz w:val="26"/>
          <w:szCs w:val="26"/>
        </w:rPr>
        <w:t xml:space="preserve"> this provision is only applicable to fuel switching proposals where there is EPA ENERGY STAR performance rated equipment available for installation.</w:t>
      </w:r>
      <w:r>
        <w:rPr>
          <w:rStyle w:val="FootnoteReference"/>
          <w:sz w:val="26"/>
          <w:szCs w:val="26"/>
        </w:rPr>
        <w:footnoteReference w:id="47"/>
      </w:r>
      <w:r w:rsidRPr="001B2FDE">
        <w:rPr>
          <w:sz w:val="26"/>
          <w:szCs w:val="26"/>
        </w:rPr>
        <w:t xml:space="preserve"> </w:t>
      </w:r>
      <w:r>
        <w:rPr>
          <w:sz w:val="26"/>
          <w:szCs w:val="26"/>
        </w:rPr>
        <w:t xml:space="preserve"> </w:t>
      </w:r>
    </w:p>
    <w:p w:rsidR="00C961A7" w:rsidRDefault="00C961A7" w:rsidP="00903612">
      <w:pPr>
        <w:pStyle w:val="p3"/>
        <w:widowControl/>
        <w:tabs>
          <w:tab w:val="clear" w:pos="204"/>
          <w:tab w:val="left" w:pos="720"/>
        </w:tabs>
        <w:spacing w:line="360" w:lineRule="auto"/>
        <w:rPr>
          <w:sz w:val="26"/>
          <w:szCs w:val="26"/>
        </w:rPr>
      </w:pPr>
    </w:p>
    <w:p w:rsidR="00C961A7" w:rsidRDefault="00C961A7" w:rsidP="00A6565D">
      <w:pPr>
        <w:pStyle w:val="p3"/>
        <w:keepNext/>
        <w:widowControl/>
        <w:numPr>
          <w:ilvl w:val="0"/>
          <w:numId w:val="9"/>
        </w:numPr>
        <w:tabs>
          <w:tab w:val="clear" w:pos="204"/>
          <w:tab w:val="left" w:pos="720"/>
        </w:tabs>
        <w:spacing w:line="480" w:lineRule="auto"/>
        <w:ind w:left="2160" w:hanging="720"/>
        <w:rPr>
          <w:bCs/>
          <w:sz w:val="26"/>
          <w:szCs w:val="26"/>
        </w:rPr>
      </w:pPr>
      <w:r w:rsidRPr="001B2FDE">
        <w:rPr>
          <w:bCs/>
          <w:sz w:val="26"/>
          <w:szCs w:val="26"/>
        </w:rPr>
        <w:t xml:space="preserve"> </w:t>
      </w:r>
      <w:r>
        <w:rPr>
          <w:bCs/>
          <w:sz w:val="26"/>
          <w:szCs w:val="26"/>
        </w:rPr>
        <w:t>Proposed resolution</w:t>
      </w:r>
    </w:p>
    <w:p w:rsidR="00C961A7" w:rsidRPr="00C74834" w:rsidRDefault="00C961A7" w:rsidP="00DB12D0">
      <w:pPr>
        <w:pStyle w:val="p3"/>
        <w:widowControl/>
        <w:tabs>
          <w:tab w:val="clear" w:pos="204"/>
          <w:tab w:val="left" w:pos="0"/>
        </w:tabs>
        <w:spacing w:line="360" w:lineRule="auto"/>
        <w:ind w:firstLine="720"/>
        <w:rPr>
          <w:bCs/>
          <w:sz w:val="26"/>
          <w:szCs w:val="26"/>
        </w:rPr>
      </w:pPr>
      <w:r w:rsidRPr="00C74834">
        <w:rPr>
          <w:bCs/>
          <w:sz w:val="26"/>
          <w:szCs w:val="26"/>
        </w:rPr>
        <w:t>The Commission proposes that this same guidance</w:t>
      </w:r>
      <w:r>
        <w:rPr>
          <w:bCs/>
          <w:sz w:val="26"/>
          <w:szCs w:val="26"/>
        </w:rPr>
        <w:t xml:space="preserve"> for fuel switching inputs and appliance efficiency</w:t>
      </w:r>
      <w:r w:rsidRPr="00C74834">
        <w:rPr>
          <w:bCs/>
          <w:sz w:val="26"/>
          <w:szCs w:val="26"/>
        </w:rPr>
        <w:t xml:space="preserve"> </w:t>
      </w:r>
      <w:r>
        <w:rPr>
          <w:bCs/>
          <w:sz w:val="26"/>
          <w:szCs w:val="26"/>
        </w:rPr>
        <w:t xml:space="preserve">be </w:t>
      </w:r>
      <w:r w:rsidRPr="00C74834">
        <w:rPr>
          <w:bCs/>
          <w:sz w:val="26"/>
          <w:szCs w:val="26"/>
        </w:rPr>
        <w:t xml:space="preserve">followed for </w:t>
      </w:r>
      <w:r w:rsidR="00AF45C3">
        <w:rPr>
          <w:bCs/>
          <w:sz w:val="26"/>
          <w:szCs w:val="26"/>
        </w:rPr>
        <w:t xml:space="preserve">a potential </w:t>
      </w:r>
      <w:r w:rsidRPr="00C74834">
        <w:rPr>
          <w:bCs/>
          <w:sz w:val="26"/>
          <w:szCs w:val="26"/>
        </w:rPr>
        <w:t>Phase II.</w:t>
      </w:r>
    </w:p>
    <w:p w:rsidR="00C961A7" w:rsidRDefault="00C961A7" w:rsidP="00C961A7">
      <w:pPr>
        <w:overflowPunct/>
        <w:autoSpaceDE/>
        <w:autoSpaceDN/>
        <w:adjustRightInd/>
        <w:spacing w:line="360" w:lineRule="auto"/>
        <w:textAlignment w:val="auto"/>
        <w:rPr>
          <w:i/>
          <w:sz w:val="28"/>
          <w:szCs w:val="28"/>
        </w:rPr>
      </w:pPr>
    </w:p>
    <w:p w:rsidR="000B68E8" w:rsidRPr="00A6565D" w:rsidRDefault="000B68E8" w:rsidP="00A6565D">
      <w:pPr>
        <w:pStyle w:val="ListParagraph"/>
        <w:keepNext/>
        <w:numPr>
          <w:ilvl w:val="0"/>
          <w:numId w:val="27"/>
        </w:numPr>
        <w:spacing w:after="0" w:line="480" w:lineRule="auto"/>
        <w:ind w:left="1440" w:hanging="720"/>
        <w:rPr>
          <w:rFonts w:ascii="Times New Roman" w:hAnsi="Times New Roman"/>
          <w:bCs/>
          <w:color w:val="000000"/>
          <w:sz w:val="26"/>
          <w:szCs w:val="26"/>
        </w:rPr>
      </w:pPr>
      <w:r w:rsidRPr="00A6565D">
        <w:rPr>
          <w:rFonts w:ascii="Times New Roman" w:hAnsi="Times New Roman"/>
          <w:b/>
          <w:bCs/>
          <w:color w:val="000000"/>
          <w:sz w:val="26"/>
          <w:szCs w:val="26"/>
        </w:rPr>
        <w:t>Compliance with AEPS Act</w:t>
      </w:r>
      <w:r w:rsidRPr="00A6565D">
        <w:rPr>
          <w:rStyle w:val="FootnoteReference"/>
          <w:rFonts w:ascii="Times New Roman" w:hAnsi="Times New Roman"/>
          <w:sz w:val="26"/>
          <w:szCs w:val="26"/>
        </w:rPr>
        <w:footnoteReference w:id="48"/>
      </w:r>
      <w:r w:rsidRPr="00A6565D">
        <w:rPr>
          <w:rFonts w:ascii="Times New Roman" w:hAnsi="Times New Roman"/>
          <w:b/>
          <w:bCs/>
          <w:color w:val="000000"/>
          <w:sz w:val="26"/>
          <w:szCs w:val="26"/>
        </w:rPr>
        <w:t xml:space="preserve"> and Carbon Issues</w:t>
      </w:r>
    </w:p>
    <w:p w:rsidR="000B68E8" w:rsidRPr="00AC6FAE" w:rsidRDefault="000B68E8" w:rsidP="00A6565D">
      <w:pPr>
        <w:pStyle w:val="ListParagraph"/>
        <w:keepNext/>
        <w:numPr>
          <w:ilvl w:val="0"/>
          <w:numId w:val="22"/>
        </w:numPr>
        <w:spacing w:after="0" w:line="480" w:lineRule="auto"/>
        <w:ind w:left="2160" w:hanging="720"/>
        <w:rPr>
          <w:rFonts w:ascii="Times New Roman" w:hAnsi="Times New Roman"/>
          <w:bCs/>
          <w:color w:val="000000"/>
          <w:sz w:val="26"/>
          <w:szCs w:val="26"/>
        </w:rPr>
      </w:pPr>
      <w:r w:rsidRPr="00AC6FAE">
        <w:rPr>
          <w:rFonts w:ascii="Times New Roman" w:hAnsi="Times New Roman"/>
          <w:bCs/>
          <w:color w:val="000000"/>
          <w:sz w:val="26"/>
          <w:szCs w:val="26"/>
        </w:rPr>
        <w:t>Discussion</w:t>
      </w:r>
    </w:p>
    <w:p w:rsidR="000B68E8" w:rsidRPr="00AC6FAE" w:rsidRDefault="000B68E8" w:rsidP="00F347F1">
      <w:pPr>
        <w:spacing w:line="360" w:lineRule="auto"/>
        <w:ind w:firstLine="720"/>
        <w:rPr>
          <w:bCs/>
          <w:color w:val="000000"/>
          <w:sz w:val="26"/>
          <w:szCs w:val="26"/>
        </w:rPr>
      </w:pPr>
      <w:r>
        <w:rPr>
          <w:bCs/>
          <w:color w:val="000000"/>
          <w:sz w:val="26"/>
          <w:szCs w:val="26"/>
        </w:rPr>
        <w:t>During Phase I,</w:t>
      </w:r>
      <w:r w:rsidRPr="00AC6FAE">
        <w:rPr>
          <w:bCs/>
          <w:color w:val="000000"/>
          <w:sz w:val="26"/>
          <w:szCs w:val="26"/>
        </w:rPr>
        <w:t xml:space="preserve"> the costs of compliance with the AEPS Act, which are known and knowable, </w:t>
      </w:r>
      <w:r>
        <w:rPr>
          <w:bCs/>
          <w:color w:val="000000"/>
          <w:sz w:val="26"/>
          <w:szCs w:val="26"/>
        </w:rPr>
        <w:t>were</w:t>
      </w:r>
      <w:r w:rsidRPr="00AC6FAE">
        <w:rPr>
          <w:bCs/>
          <w:color w:val="000000"/>
          <w:sz w:val="26"/>
          <w:szCs w:val="26"/>
        </w:rPr>
        <w:t xml:space="preserve"> included in the TRC </w:t>
      </w:r>
      <w:r w:rsidR="004D3654">
        <w:rPr>
          <w:bCs/>
          <w:color w:val="000000"/>
          <w:sz w:val="26"/>
          <w:szCs w:val="26"/>
        </w:rPr>
        <w:t>T</w:t>
      </w:r>
      <w:r w:rsidRPr="00AC6FAE">
        <w:rPr>
          <w:bCs/>
          <w:color w:val="000000"/>
          <w:sz w:val="26"/>
          <w:szCs w:val="26"/>
        </w:rPr>
        <w:t xml:space="preserve">est, but carbon reduction expenses </w:t>
      </w:r>
      <w:r>
        <w:rPr>
          <w:bCs/>
          <w:color w:val="000000"/>
          <w:sz w:val="26"/>
          <w:szCs w:val="26"/>
        </w:rPr>
        <w:t>were</w:t>
      </w:r>
      <w:r w:rsidRPr="00AC6FAE">
        <w:rPr>
          <w:bCs/>
          <w:color w:val="000000"/>
          <w:sz w:val="26"/>
          <w:szCs w:val="26"/>
        </w:rPr>
        <w:t xml:space="preserve"> </w:t>
      </w:r>
      <w:r>
        <w:rPr>
          <w:bCs/>
          <w:color w:val="000000"/>
          <w:sz w:val="26"/>
          <w:szCs w:val="26"/>
        </w:rPr>
        <w:t xml:space="preserve">to be </w:t>
      </w:r>
      <w:r w:rsidRPr="00AC6FAE">
        <w:rPr>
          <w:bCs/>
          <w:color w:val="000000"/>
          <w:sz w:val="26"/>
          <w:szCs w:val="26"/>
        </w:rPr>
        <w:t>excluded (unless a legislative change dictates such).</w:t>
      </w:r>
      <w:r w:rsidR="00963BBF">
        <w:rPr>
          <w:rStyle w:val="FootnoteReference"/>
          <w:bCs/>
          <w:color w:val="000000"/>
          <w:sz w:val="26"/>
          <w:szCs w:val="26"/>
        </w:rPr>
        <w:footnoteReference w:id="49"/>
      </w:r>
      <w:r w:rsidR="00963BBF">
        <w:rPr>
          <w:bCs/>
          <w:color w:val="000000"/>
          <w:sz w:val="26"/>
          <w:szCs w:val="26"/>
        </w:rPr>
        <w:t xml:space="preserve"> </w:t>
      </w:r>
      <w:r w:rsidR="00963BBF">
        <w:rPr>
          <w:rStyle w:val="FootnoteReference"/>
          <w:bCs/>
          <w:color w:val="000000"/>
          <w:sz w:val="26"/>
          <w:szCs w:val="26"/>
        </w:rPr>
        <w:footnoteReference w:id="50"/>
      </w:r>
      <w:r w:rsidRPr="00AC6FAE">
        <w:rPr>
          <w:bCs/>
          <w:color w:val="000000"/>
          <w:sz w:val="26"/>
          <w:szCs w:val="26"/>
        </w:rPr>
        <w:t xml:space="preserve">  </w:t>
      </w:r>
    </w:p>
    <w:p w:rsidR="000B68E8" w:rsidRPr="00AC6FAE" w:rsidRDefault="000B68E8" w:rsidP="00F347F1">
      <w:pPr>
        <w:spacing w:line="360" w:lineRule="auto"/>
        <w:ind w:firstLine="720"/>
        <w:rPr>
          <w:bCs/>
          <w:color w:val="000000"/>
          <w:sz w:val="26"/>
          <w:szCs w:val="26"/>
        </w:rPr>
      </w:pPr>
    </w:p>
    <w:p w:rsidR="000B68E8" w:rsidRPr="00AC6FAE" w:rsidRDefault="000B68E8" w:rsidP="00A6565D">
      <w:pPr>
        <w:pStyle w:val="ListParagraph"/>
        <w:keepNext/>
        <w:numPr>
          <w:ilvl w:val="0"/>
          <w:numId w:val="22"/>
        </w:numPr>
        <w:spacing w:after="0" w:line="480" w:lineRule="auto"/>
        <w:ind w:left="2160" w:hanging="720"/>
        <w:rPr>
          <w:rFonts w:ascii="Times New Roman" w:hAnsi="Times New Roman"/>
          <w:bCs/>
          <w:color w:val="000000"/>
          <w:sz w:val="26"/>
          <w:szCs w:val="26"/>
        </w:rPr>
      </w:pPr>
      <w:r w:rsidRPr="00AC6FAE">
        <w:rPr>
          <w:rFonts w:ascii="Times New Roman" w:hAnsi="Times New Roman"/>
          <w:bCs/>
          <w:color w:val="000000"/>
          <w:sz w:val="26"/>
          <w:szCs w:val="26"/>
        </w:rPr>
        <w:t>Proposed resolution</w:t>
      </w:r>
    </w:p>
    <w:p w:rsidR="000B68E8" w:rsidRDefault="000B68E8" w:rsidP="00F347F1">
      <w:pPr>
        <w:spacing w:line="360" w:lineRule="auto"/>
        <w:ind w:firstLine="720"/>
        <w:rPr>
          <w:bCs/>
          <w:color w:val="000000"/>
          <w:sz w:val="26"/>
          <w:szCs w:val="26"/>
        </w:rPr>
      </w:pPr>
      <w:r>
        <w:rPr>
          <w:bCs/>
          <w:color w:val="000000"/>
          <w:sz w:val="26"/>
          <w:szCs w:val="26"/>
        </w:rPr>
        <w:t>The Commission proposes that, as was true for Phase I, t</w:t>
      </w:r>
      <w:r w:rsidRPr="00AC6FAE">
        <w:rPr>
          <w:bCs/>
          <w:color w:val="000000"/>
          <w:sz w:val="26"/>
          <w:szCs w:val="26"/>
        </w:rPr>
        <w:t xml:space="preserve">he cost of compliance with the AEPS Act is applicable to all the power “avoided” and, therefore, </w:t>
      </w:r>
      <w:r w:rsidR="00AF45C3">
        <w:rPr>
          <w:bCs/>
          <w:color w:val="000000"/>
          <w:sz w:val="26"/>
          <w:szCs w:val="26"/>
        </w:rPr>
        <w:t xml:space="preserve">would be </w:t>
      </w:r>
      <w:r w:rsidR="00AF45C3">
        <w:rPr>
          <w:bCs/>
          <w:color w:val="000000"/>
          <w:sz w:val="26"/>
          <w:szCs w:val="26"/>
        </w:rPr>
        <w:lastRenderedPageBreak/>
        <w:t xml:space="preserve">considered an </w:t>
      </w:r>
      <w:r w:rsidRPr="00AC6FAE">
        <w:rPr>
          <w:bCs/>
          <w:color w:val="000000"/>
          <w:sz w:val="26"/>
          <w:szCs w:val="26"/>
        </w:rPr>
        <w:t>avoided cost</w:t>
      </w:r>
      <w:r w:rsidR="00AF45C3">
        <w:rPr>
          <w:bCs/>
          <w:color w:val="000000"/>
          <w:sz w:val="26"/>
          <w:szCs w:val="26"/>
        </w:rPr>
        <w:t xml:space="preserve"> for a potential Phase II</w:t>
      </w:r>
      <w:r w:rsidRPr="00AC6FAE">
        <w:rPr>
          <w:bCs/>
          <w:color w:val="000000"/>
          <w:sz w:val="26"/>
          <w:szCs w:val="26"/>
        </w:rPr>
        <w:t xml:space="preserve">. </w:t>
      </w:r>
      <w:r w:rsidR="009D778B">
        <w:rPr>
          <w:bCs/>
          <w:color w:val="000000"/>
          <w:sz w:val="26"/>
          <w:szCs w:val="26"/>
        </w:rPr>
        <w:t xml:space="preserve"> Additionally, carbon reduction expenses will continue to be excluded, unless a legislative change dictates otherwise.</w:t>
      </w:r>
    </w:p>
    <w:p w:rsidR="008C7BF5" w:rsidRDefault="008C7BF5" w:rsidP="00F347F1">
      <w:pPr>
        <w:overflowPunct/>
        <w:autoSpaceDE/>
        <w:autoSpaceDN/>
        <w:adjustRightInd/>
        <w:spacing w:line="360" w:lineRule="auto"/>
        <w:textAlignment w:val="auto"/>
        <w:rPr>
          <w:sz w:val="26"/>
          <w:szCs w:val="26"/>
        </w:rPr>
      </w:pPr>
    </w:p>
    <w:p w:rsidR="006A6CE6" w:rsidRPr="00D46558" w:rsidRDefault="00A6565D" w:rsidP="00A6565D">
      <w:pPr>
        <w:pStyle w:val="p3"/>
        <w:keepNext/>
        <w:numPr>
          <w:ilvl w:val="0"/>
          <w:numId w:val="25"/>
        </w:numPr>
        <w:tabs>
          <w:tab w:val="clear" w:pos="204"/>
        </w:tabs>
        <w:spacing w:line="480" w:lineRule="auto"/>
        <w:ind w:left="720"/>
        <w:rPr>
          <w:b/>
          <w:sz w:val="26"/>
          <w:szCs w:val="26"/>
        </w:rPr>
      </w:pPr>
      <w:r w:rsidRPr="00D46558">
        <w:rPr>
          <w:b/>
          <w:sz w:val="26"/>
          <w:szCs w:val="26"/>
        </w:rPr>
        <w:t>LOW INCOME TRC TEST CALCULATION GUIDANCE</w:t>
      </w:r>
    </w:p>
    <w:p w:rsidR="006A6CE6" w:rsidRPr="00A6565D" w:rsidRDefault="006A6CE6" w:rsidP="00A6565D">
      <w:pPr>
        <w:pStyle w:val="ListParagraph"/>
        <w:keepNext/>
        <w:numPr>
          <w:ilvl w:val="0"/>
          <w:numId w:val="28"/>
        </w:numPr>
        <w:spacing w:after="0" w:line="480" w:lineRule="auto"/>
        <w:ind w:left="1440" w:hanging="720"/>
        <w:rPr>
          <w:rFonts w:ascii="Times New Roman" w:hAnsi="Times New Roman"/>
          <w:b/>
          <w:sz w:val="26"/>
          <w:szCs w:val="26"/>
        </w:rPr>
      </w:pPr>
      <w:r w:rsidRPr="00A6565D">
        <w:rPr>
          <w:rFonts w:ascii="Times New Roman" w:hAnsi="Times New Roman"/>
          <w:b/>
          <w:sz w:val="26"/>
          <w:szCs w:val="26"/>
        </w:rPr>
        <w:t xml:space="preserve">Low-Income Energy Savings </w:t>
      </w:r>
    </w:p>
    <w:p w:rsidR="006A6CE6" w:rsidRPr="0051321B" w:rsidRDefault="006A6CE6" w:rsidP="00A6565D">
      <w:pPr>
        <w:pStyle w:val="ListParagraph"/>
        <w:keepNext/>
        <w:numPr>
          <w:ilvl w:val="0"/>
          <w:numId w:val="16"/>
        </w:numPr>
        <w:spacing w:after="0" w:line="480" w:lineRule="auto"/>
        <w:ind w:left="2160" w:hanging="720"/>
        <w:rPr>
          <w:rFonts w:ascii="Times New Roman" w:hAnsi="Times New Roman"/>
          <w:sz w:val="26"/>
          <w:szCs w:val="26"/>
        </w:rPr>
      </w:pPr>
      <w:r w:rsidRPr="0051321B">
        <w:rPr>
          <w:rFonts w:ascii="Times New Roman" w:hAnsi="Times New Roman"/>
          <w:sz w:val="26"/>
          <w:szCs w:val="26"/>
        </w:rPr>
        <w:t>Discussion</w:t>
      </w:r>
    </w:p>
    <w:p w:rsidR="006A6CE6" w:rsidRPr="008344A1" w:rsidRDefault="006A6CE6" w:rsidP="006A6CE6">
      <w:pPr>
        <w:spacing w:line="360" w:lineRule="auto"/>
        <w:ind w:firstLine="720"/>
        <w:rPr>
          <w:sz w:val="26"/>
          <w:szCs w:val="26"/>
        </w:rPr>
      </w:pPr>
      <w:r w:rsidRPr="008344A1">
        <w:rPr>
          <w:sz w:val="26"/>
          <w:szCs w:val="26"/>
        </w:rPr>
        <w:t xml:space="preserve">Through </w:t>
      </w:r>
      <w:r>
        <w:rPr>
          <w:sz w:val="26"/>
          <w:szCs w:val="26"/>
        </w:rPr>
        <w:t>Program Year 2</w:t>
      </w:r>
      <w:r w:rsidRPr="008344A1">
        <w:rPr>
          <w:sz w:val="26"/>
          <w:szCs w:val="26"/>
        </w:rPr>
        <w:t xml:space="preserve"> of Phase I, six EDCs reported low-income savings from participation in general residential programs</w:t>
      </w:r>
      <w:r w:rsidR="00AF1FAA">
        <w:rPr>
          <w:sz w:val="26"/>
          <w:szCs w:val="26"/>
        </w:rPr>
        <w:t>,</w:t>
      </w:r>
      <w:r w:rsidRPr="008344A1">
        <w:rPr>
          <w:rStyle w:val="FootnoteReference"/>
          <w:sz w:val="26"/>
          <w:szCs w:val="26"/>
        </w:rPr>
        <w:footnoteReference w:id="51"/>
      </w:r>
      <w:r w:rsidRPr="008344A1">
        <w:rPr>
          <w:sz w:val="26"/>
          <w:szCs w:val="26"/>
        </w:rPr>
        <w:t xml:space="preserve"> but the associated costs were not explicitly reported in the EDC annual reports.  Instead the costs were reported with the respective general residential programs.  In order to offer transparency and consistency, </w:t>
      </w:r>
      <w:r>
        <w:rPr>
          <w:sz w:val="26"/>
          <w:szCs w:val="26"/>
        </w:rPr>
        <w:t>the Commission is offering</w:t>
      </w:r>
      <w:r w:rsidRPr="008344A1">
        <w:rPr>
          <w:sz w:val="26"/>
          <w:szCs w:val="26"/>
        </w:rPr>
        <w:t xml:space="preserve"> a framework for reporting costs for the portion of low-income savings attributable to </w:t>
      </w:r>
      <w:r>
        <w:rPr>
          <w:sz w:val="26"/>
          <w:szCs w:val="26"/>
        </w:rPr>
        <w:t xml:space="preserve">general residential programs for </w:t>
      </w:r>
      <w:r w:rsidR="00270284">
        <w:rPr>
          <w:sz w:val="26"/>
          <w:szCs w:val="26"/>
        </w:rPr>
        <w:t xml:space="preserve">a potential </w:t>
      </w:r>
      <w:r>
        <w:rPr>
          <w:sz w:val="26"/>
          <w:szCs w:val="26"/>
        </w:rPr>
        <w:t>Phase II</w:t>
      </w:r>
      <w:r w:rsidRPr="008344A1">
        <w:rPr>
          <w:sz w:val="26"/>
          <w:szCs w:val="26"/>
        </w:rPr>
        <w:t xml:space="preserve"> of Act 129.</w:t>
      </w:r>
    </w:p>
    <w:p w:rsidR="006A6CE6" w:rsidRDefault="006A6CE6" w:rsidP="006A6CE6">
      <w:pPr>
        <w:pStyle w:val="p3"/>
        <w:tabs>
          <w:tab w:val="clear" w:pos="204"/>
          <w:tab w:val="left" w:pos="720"/>
        </w:tabs>
        <w:spacing w:line="360" w:lineRule="auto"/>
        <w:rPr>
          <w:sz w:val="26"/>
          <w:szCs w:val="26"/>
        </w:rPr>
      </w:pPr>
    </w:p>
    <w:p w:rsidR="006A6CE6" w:rsidRPr="001006AC" w:rsidRDefault="004C45F3" w:rsidP="006A6CE6">
      <w:pPr>
        <w:spacing w:line="360" w:lineRule="auto"/>
        <w:ind w:firstLine="720"/>
        <w:rPr>
          <w:sz w:val="26"/>
          <w:szCs w:val="26"/>
        </w:rPr>
      </w:pPr>
      <w:r>
        <w:rPr>
          <w:sz w:val="26"/>
          <w:szCs w:val="26"/>
        </w:rPr>
        <w:t>In 2010, the</w:t>
      </w:r>
      <w:r w:rsidR="006A6CE6" w:rsidRPr="001006AC">
        <w:rPr>
          <w:sz w:val="26"/>
          <w:szCs w:val="26"/>
        </w:rPr>
        <w:t xml:space="preserve"> Act 129 Low-Income Working Group concluded that including</w:t>
      </w:r>
      <w:r w:rsidR="006A6CE6">
        <w:rPr>
          <w:sz w:val="26"/>
          <w:szCs w:val="26"/>
        </w:rPr>
        <w:t>,</w:t>
      </w:r>
      <w:r w:rsidR="006A6CE6" w:rsidRPr="001006AC">
        <w:rPr>
          <w:sz w:val="26"/>
          <w:szCs w:val="26"/>
        </w:rPr>
        <w:t xml:space="preserve"> under the low-income sector umbrella</w:t>
      </w:r>
      <w:r w:rsidR="006A6CE6">
        <w:rPr>
          <w:sz w:val="26"/>
          <w:szCs w:val="26"/>
        </w:rPr>
        <w:t>,</w:t>
      </w:r>
      <w:r w:rsidR="006A6CE6" w:rsidRPr="001006AC">
        <w:rPr>
          <w:sz w:val="26"/>
          <w:szCs w:val="26"/>
        </w:rPr>
        <w:t xml:space="preserve"> energy savings resulting from low-income population participation in general residential programs </w:t>
      </w:r>
      <w:r w:rsidR="00957ED7">
        <w:rPr>
          <w:sz w:val="26"/>
          <w:szCs w:val="26"/>
        </w:rPr>
        <w:t>could</w:t>
      </w:r>
      <w:r w:rsidR="006A6CE6" w:rsidRPr="001006AC">
        <w:rPr>
          <w:sz w:val="26"/>
          <w:szCs w:val="26"/>
        </w:rPr>
        <w:t xml:space="preserve"> be used “to gauge the effectiveness of programs for low-income households and serve as a basis for recommendations to make adjustments to those programs.”</w:t>
      </w:r>
      <w:r w:rsidR="006A6CE6" w:rsidRPr="001006AC">
        <w:rPr>
          <w:rStyle w:val="FootnoteReference"/>
          <w:sz w:val="26"/>
          <w:szCs w:val="26"/>
        </w:rPr>
        <w:footnoteReference w:id="52"/>
      </w:r>
      <w:r w:rsidR="006A6CE6" w:rsidRPr="001006AC">
        <w:rPr>
          <w:sz w:val="26"/>
          <w:szCs w:val="26"/>
        </w:rPr>
        <w:t xml:space="preserve">  In other words, there are likely participants that meet the Act 129 low-income criteria that elect to participate in non-low-income-specific programs.  Including these savings as part of the low-income sector savings provides a gauge of how Act 129 programs are impacting the low-income population.</w:t>
      </w:r>
    </w:p>
    <w:p w:rsidR="006A6CE6" w:rsidRDefault="006A6CE6" w:rsidP="006A6CE6">
      <w:pPr>
        <w:spacing w:line="360" w:lineRule="auto"/>
        <w:rPr>
          <w:b/>
          <w:smallCaps/>
          <w:sz w:val="26"/>
          <w:szCs w:val="26"/>
        </w:rPr>
      </w:pPr>
    </w:p>
    <w:p w:rsidR="006A6CE6" w:rsidRPr="001006AC" w:rsidRDefault="006A6CE6" w:rsidP="006A6CE6">
      <w:pPr>
        <w:spacing w:line="360" w:lineRule="auto"/>
        <w:ind w:firstLine="720"/>
        <w:rPr>
          <w:sz w:val="26"/>
          <w:szCs w:val="26"/>
        </w:rPr>
      </w:pPr>
      <w:r w:rsidRPr="001006AC">
        <w:rPr>
          <w:sz w:val="26"/>
          <w:szCs w:val="26"/>
        </w:rPr>
        <w:t xml:space="preserve">The Working Group determined that “estimated baseline low-income household usage data can be used as a tool for comparing the projected consumption reductions with </w:t>
      </w:r>
      <w:r w:rsidRPr="001006AC">
        <w:rPr>
          <w:sz w:val="26"/>
          <w:szCs w:val="26"/>
        </w:rPr>
        <w:lastRenderedPageBreak/>
        <w:t>the actual percentage of total energy usage attributable to low-income households.</w:t>
      </w:r>
      <w:r w:rsidR="00AE739B">
        <w:rPr>
          <w:sz w:val="26"/>
          <w:szCs w:val="26"/>
        </w:rPr>
        <w:t>”</w:t>
      </w:r>
      <w:r w:rsidR="00AE739B">
        <w:rPr>
          <w:rStyle w:val="FootnoteReference"/>
          <w:sz w:val="26"/>
          <w:szCs w:val="26"/>
        </w:rPr>
        <w:footnoteReference w:id="53"/>
      </w:r>
      <w:r w:rsidRPr="001006AC">
        <w:rPr>
          <w:sz w:val="26"/>
          <w:szCs w:val="26"/>
        </w:rPr>
        <w:t xml:space="preserve">  </w:t>
      </w:r>
      <w:r>
        <w:rPr>
          <w:sz w:val="26"/>
          <w:szCs w:val="26"/>
        </w:rPr>
        <w:t xml:space="preserve">For Phase I, </w:t>
      </w:r>
      <w:r w:rsidRPr="001006AC">
        <w:rPr>
          <w:sz w:val="26"/>
          <w:szCs w:val="26"/>
        </w:rPr>
        <w:t>Penn State University Census Data and EDC</w:t>
      </w:r>
      <w:r w:rsidR="00957ED7">
        <w:rPr>
          <w:sz w:val="26"/>
          <w:szCs w:val="26"/>
        </w:rPr>
        <w:t>-</w:t>
      </w:r>
      <w:r w:rsidRPr="001006AC">
        <w:rPr>
          <w:sz w:val="26"/>
          <w:szCs w:val="26"/>
        </w:rPr>
        <w:t>provided data on low-income accounts and usage w</w:t>
      </w:r>
      <w:r w:rsidR="00957ED7">
        <w:rPr>
          <w:sz w:val="26"/>
          <w:szCs w:val="26"/>
        </w:rPr>
        <w:t>ere</w:t>
      </w:r>
      <w:r w:rsidRPr="001006AC">
        <w:rPr>
          <w:sz w:val="26"/>
          <w:szCs w:val="26"/>
        </w:rPr>
        <w:t xml:space="preserve"> utilized to determine the percentage of total consumption attributable to the low-income population in each service territory.  </w:t>
      </w:r>
    </w:p>
    <w:p w:rsidR="006A6CE6" w:rsidRDefault="006A6CE6" w:rsidP="006A6CE6">
      <w:pPr>
        <w:spacing w:line="360" w:lineRule="auto"/>
        <w:rPr>
          <w:sz w:val="26"/>
          <w:szCs w:val="26"/>
        </w:rPr>
      </w:pPr>
    </w:p>
    <w:p w:rsidR="006A6CE6" w:rsidRPr="0051321B" w:rsidRDefault="006A6CE6" w:rsidP="00A3581E">
      <w:pPr>
        <w:pStyle w:val="ListParagraph"/>
        <w:numPr>
          <w:ilvl w:val="0"/>
          <w:numId w:val="16"/>
        </w:numPr>
        <w:spacing w:after="0" w:line="480" w:lineRule="auto"/>
        <w:ind w:left="2160" w:hanging="720"/>
        <w:rPr>
          <w:rFonts w:ascii="Times New Roman" w:hAnsi="Times New Roman"/>
          <w:sz w:val="26"/>
          <w:szCs w:val="26"/>
        </w:rPr>
      </w:pPr>
      <w:r w:rsidRPr="0051321B">
        <w:rPr>
          <w:rFonts w:ascii="Times New Roman" w:hAnsi="Times New Roman"/>
          <w:sz w:val="26"/>
          <w:szCs w:val="26"/>
        </w:rPr>
        <w:t>Proposed resolution</w:t>
      </w:r>
    </w:p>
    <w:p w:rsidR="006A6CE6" w:rsidRDefault="00270284" w:rsidP="00A3581E">
      <w:pPr>
        <w:spacing w:line="360" w:lineRule="auto"/>
        <w:ind w:firstLine="720"/>
        <w:rPr>
          <w:sz w:val="26"/>
          <w:szCs w:val="26"/>
        </w:rPr>
      </w:pPr>
      <w:r>
        <w:rPr>
          <w:sz w:val="26"/>
          <w:szCs w:val="26"/>
        </w:rPr>
        <w:t>Should the Commission decide to proceed with</w:t>
      </w:r>
      <w:r w:rsidR="006A6CE6" w:rsidRPr="001006AC">
        <w:rPr>
          <w:sz w:val="26"/>
          <w:szCs w:val="26"/>
        </w:rPr>
        <w:t xml:space="preserve"> Phase II, </w:t>
      </w:r>
      <w:r w:rsidR="006A6CE6">
        <w:rPr>
          <w:sz w:val="26"/>
          <w:szCs w:val="26"/>
        </w:rPr>
        <w:t xml:space="preserve">the Commission proposes that </w:t>
      </w:r>
      <w:r w:rsidR="006A6CE6" w:rsidRPr="001006AC">
        <w:rPr>
          <w:sz w:val="26"/>
          <w:szCs w:val="26"/>
        </w:rPr>
        <w:t>the percentage of confirmed low-income customers, as reported annually by EDCs in the Universal Service Report</w:t>
      </w:r>
      <w:r w:rsidR="00AE739B">
        <w:rPr>
          <w:rStyle w:val="FootnoteReference"/>
          <w:sz w:val="26"/>
          <w:szCs w:val="26"/>
        </w:rPr>
        <w:footnoteReference w:id="54"/>
      </w:r>
      <w:r w:rsidR="006A6CE6" w:rsidRPr="001006AC">
        <w:rPr>
          <w:sz w:val="26"/>
          <w:szCs w:val="26"/>
        </w:rPr>
        <w:t xml:space="preserve">, be used as the proxy for estimating low-income savings from non-low-income programs.  The usage data from the Low-Income Working Group Report </w:t>
      </w:r>
      <w:r w:rsidR="00AE739B">
        <w:rPr>
          <w:sz w:val="26"/>
          <w:szCs w:val="26"/>
        </w:rPr>
        <w:t>are</w:t>
      </w:r>
      <w:r w:rsidR="006A6CE6" w:rsidRPr="001006AC">
        <w:rPr>
          <w:sz w:val="26"/>
          <w:szCs w:val="26"/>
        </w:rPr>
        <w:t xml:space="preserve"> based on dated data and a conglomeration of sources whereas the Universal Service Report data </w:t>
      </w:r>
      <w:r w:rsidR="00AE739B">
        <w:rPr>
          <w:sz w:val="26"/>
          <w:szCs w:val="26"/>
        </w:rPr>
        <w:t>are</w:t>
      </w:r>
      <w:r w:rsidR="006A6CE6" w:rsidRPr="001006AC">
        <w:rPr>
          <w:sz w:val="26"/>
          <w:szCs w:val="26"/>
        </w:rPr>
        <w:t xml:space="preserve"> considered more accurate because </w:t>
      </w:r>
      <w:r w:rsidR="00AE739B">
        <w:rPr>
          <w:sz w:val="26"/>
          <w:szCs w:val="26"/>
        </w:rPr>
        <w:t>Universal Service Report</w:t>
      </w:r>
      <w:r w:rsidR="006A6CE6" w:rsidRPr="001006AC">
        <w:rPr>
          <w:sz w:val="26"/>
          <w:szCs w:val="26"/>
        </w:rPr>
        <w:t xml:space="preserve"> is updated annually by the EDCs.  </w:t>
      </w:r>
    </w:p>
    <w:p w:rsidR="000D5FA5" w:rsidRDefault="000D5FA5" w:rsidP="00A3581E">
      <w:pPr>
        <w:spacing w:line="360" w:lineRule="auto"/>
        <w:ind w:firstLine="720"/>
        <w:rPr>
          <w:sz w:val="26"/>
          <w:szCs w:val="26"/>
        </w:rPr>
      </w:pPr>
    </w:p>
    <w:p w:rsidR="006A6CE6" w:rsidRPr="00A6565D" w:rsidRDefault="006A6CE6" w:rsidP="00A6565D">
      <w:pPr>
        <w:pStyle w:val="ListParagraph"/>
        <w:keepNext/>
        <w:numPr>
          <w:ilvl w:val="0"/>
          <w:numId w:val="28"/>
        </w:numPr>
        <w:spacing w:after="0" w:line="480" w:lineRule="auto"/>
        <w:ind w:left="1440" w:hanging="720"/>
        <w:rPr>
          <w:rFonts w:ascii="Times New Roman" w:hAnsi="Times New Roman"/>
          <w:b/>
          <w:sz w:val="26"/>
          <w:szCs w:val="26"/>
        </w:rPr>
      </w:pPr>
      <w:r w:rsidRPr="00A6565D">
        <w:rPr>
          <w:rFonts w:ascii="Times New Roman" w:hAnsi="Times New Roman"/>
          <w:b/>
          <w:sz w:val="26"/>
          <w:szCs w:val="26"/>
        </w:rPr>
        <w:t xml:space="preserve">Low-Income Costs </w:t>
      </w:r>
      <w:r w:rsidR="00B17F1A">
        <w:rPr>
          <w:rFonts w:ascii="Times New Roman" w:hAnsi="Times New Roman"/>
          <w:b/>
          <w:sz w:val="26"/>
          <w:szCs w:val="26"/>
        </w:rPr>
        <w:t xml:space="preserve">and Benefits </w:t>
      </w:r>
      <w:r w:rsidRPr="00A6565D">
        <w:rPr>
          <w:rFonts w:ascii="Times New Roman" w:hAnsi="Times New Roman"/>
          <w:b/>
          <w:sz w:val="26"/>
          <w:szCs w:val="26"/>
        </w:rPr>
        <w:t>Reporting</w:t>
      </w:r>
    </w:p>
    <w:p w:rsidR="006A6CE6" w:rsidRPr="0051321B" w:rsidRDefault="006A6CE6" w:rsidP="00A6565D">
      <w:pPr>
        <w:pStyle w:val="ListParagraph"/>
        <w:keepNext/>
        <w:numPr>
          <w:ilvl w:val="0"/>
          <w:numId w:val="17"/>
        </w:numPr>
        <w:spacing w:after="0" w:line="480" w:lineRule="auto"/>
        <w:ind w:left="2160" w:hanging="720"/>
        <w:rPr>
          <w:rFonts w:ascii="Times New Roman" w:hAnsi="Times New Roman"/>
          <w:sz w:val="26"/>
          <w:szCs w:val="26"/>
        </w:rPr>
      </w:pPr>
      <w:r w:rsidRPr="0051321B">
        <w:rPr>
          <w:rFonts w:ascii="Times New Roman" w:hAnsi="Times New Roman"/>
          <w:sz w:val="26"/>
          <w:szCs w:val="26"/>
        </w:rPr>
        <w:t>Discussion</w:t>
      </w:r>
    </w:p>
    <w:p w:rsidR="006A6CE6" w:rsidRDefault="006A6CE6" w:rsidP="006A6CE6">
      <w:pPr>
        <w:spacing w:line="360" w:lineRule="auto"/>
        <w:ind w:firstLine="720"/>
        <w:rPr>
          <w:sz w:val="26"/>
          <w:szCs w:val="26"/>
        </w:rPr>
      </w:pPr>
      <w:r w:rsidRPr="001006AC">
        <w:rPr>
          <w:sz w:val="26"/>
          <w:szCs w:val="26"/>
        </w:rPr>
        <w:t xml:space="preserve">Costs associated with low-income energy savings from general residential programs are not explicitly reported in the EDC annual reports but instead are included, undifferentiated, as part of the respective general residential programs’ reporting.  Only costs associated with low-income-specific programs are reported.  </w:t>
      </w:r>
    </w:p>
    <w:p w:rsidR="006A6CE6" w:rsidRDefault="006A6CE6" w:rsidP="006A6CE6">
      <w:pPr>
        <w:spacing w:line="360" w:lineRule="auto"/>
        <w:ind w:firstLine="720"/>
        <w:rPr>
          <w:sz w:val="26"/>
          <w:szCs w:val="26"/>
        </w:rPr>
      </w:pPr>
    </w:p>
    <w:p w:rsidR="006A6CE6" w:rsidRPr="0051321B" w:rsidRDefault="006A6CE6" w:rsidP="00A6565D">
      <w:pPr>
        <w:pStyle w:val="ListParagraph"/>
        <w:keepNext/>
        <w:numPr>
          <w:ilvl w:val="0"/>
          <w:numId w:val="17"/>
        </w:numPr>
        <w:spacing w:after="0" w:line="480" w:lineRule="auto"/>
        <w:ind w:left="2160" w:hanging="720"/>
        <w:rPr>
          <w:rFonts w:ascii="Times New Roman" w:hAnsi="Times New Roman"/>
          <w:sz w:val="26"/>
          <w:szCs w:val="26"/>
        </w:rPr>
      </w:pPr>
      <w:r w:rsidRPr="0051321B">
        <w:rPr>
          <w:rFonts w:ascii="Times New Roman" w:hAnsi="Times New Roman"/>
          <w:sz w:val="26"/>
          <w:szCs w:val="26"/>
        </w:rPr>
        <w:t>Proposed resolution</w:t>
      </w:r>
    </w:p>
    <w:p w:rsidR="006A6CE6" w:rsidRDefault="006A6CE6" w:rsidP="006A6CE6">
      <w:pPr>
        <w:spacing w:line="360" w:lineRule="auto"/>
        <w:ind w:firstLine="720"/>
        <w:rPr>
          <w:sz w:val="26"/>
          <w:szCs w:val="26"/>
        </w:rPr>
      </w:pPr>
      <w:r>
        <w:rPr>
          <w:sz w:val="26"/>
          <w:szCs w:val="26"/>
        </w:rPr>
        <w:t>The Commission proposes for</w:t>
      </w:r>
      <w:r w:rsidR="00270284">
        <w:rPr>
          <w:sz w:val="26"/>
          <w:szCs w:val="26"/>
        </w:rPr>
        <w:t xml:space="preserve"> a potential</w:t>
      </w:r>
      <w:r>
        <w:rPr>
          <w:sz w:val="26"/>
          <w:szCs w:val="26"/>
        </w:rPr>
        <w:t xml:space="preserve"> Phase II</w:t>
      </w:r>
      <w:r w:rsidR="00AE739B">
        <w:rPr>
          <w:sz w:val="26"/>
          <w:szCs w:val="26"/>
        </w:rPr>
        <w:t xml:space="preserve"> that</w:t>
      </w:r>
      <w:r>
        <w:rPr>
          <w:sz w:val="26"/>
          <w:szCs w:val="26"/>
        </w:rPr>
        <w:t xml:space="preserve"> </w:t>
      </w:r>
      <w:r w:rsidRPr="001006AC">
        <w:rPr>
          <w:sz w:val="26"/>
          <w:szCs w:val="26"/>
        </w:rPr>
        <w:t>EDCs shall report the following in their annual reports in addition to what is currently reported:</w:t>
      </w:r>
    </w:p>
    <w:p w:rsidR="006A6CE6" w:rsidRPr="001006AC" w:rsidRDefault="006A6CE6" w:rsidP="006A6CE6">
      <w:pPr>
        <w:spacing w:line="360" w:lineRule="auto"/>
        <w:ind w:firstLine="720"/>
        <w:rPr>
          <w:sz w:val="26"/>
          <w:szCs w:val="26"/>
        </w:rPr>
      </w:pPr>
    </w:p>
    <w:p w:rsidR="006A6CE6" w:rsidRPr="001006AC" w:rsidRDefault="0094367A" w:rsidP="00A3581E">
      <w:pPr>
        <w:pStyle w:val="ListParagraph"/>
        <w:numPr>
          <w:ilvl w:val="0"/>
          <w:numId w:val="15"/>
        </w:numPr>
        <w:spacing w:after="0" w:line="360" w:lineRule="auto"/>
        <w:ind w:left="1440" w:hanging="720"/>
        <w:rPr>
          <w:rFonts w:ascii="Times New Roman" w:hAnsi="Times New Roman"/>
          <w:sz w:val="26"/>
          <w:szCs w:val="26"/>
        </w:rPr>
      </w:pPr>
      <w:r>
        <w:rPr>
          <w:rFonts w:ascii="Times New Roman" w:hAnsi="Times New Roman"/>
          <w:sz w:val="26"/>
          <w:szCs w:val="26"/>
        </w:rPr>
        <w:lastRenderedPageBreak/>
        <w:t>L</w:t>
      </w:r>
      <w:r w:rsidR="006A6CE6" w:rsidRPr="001006AC">
        <w:rPr>
          <w:rFonts w:ascii="Times New Roman" w:hAnsi="Times New Roman"/>
          <w:sz w:val="26"/>
          <w:szCs w:val="26"/>
        </w:rPr>
        <w:t xml:space="preserve">ow-income savings, including savings from general residential programs, in the “Overview of Portfolio” section.  The proportion of savings derived from low-income-specific versus general residential </w:t>
      </w:r>
      <w:r w:rsidR="006A6CE6">
        <w:rPr>
          <w:rFonts w:ascii="Times New Roman" w:hAnsi="Times New Roman"/>
          <w:sz w:val="26"/>
          <w:szCs w:val="26"/>
        </w:rPr>
        <w:t>will</w:t>
      </w:r>
      <w:r w:rsidR="006A6CE6" w:rsidRPr="001006AC">
        <w:rPr>
          <w:rFonts w:ascii="Times New Roman" w:hAnsi="Times New Roman"/>
          <w:sz w:val="26"/>
          <w:szCs w:val="26"/>
        </w:rPr>
        <w:t xml:space="preserve"> be explicitly stated and all app</w:t>
      </w:r>
      <w:r w:rsidR="006A6CE6">
        <w:rPr>
          <w:rFonts w:ascii="Times New Roman" w:hAnsi="Times New Roman"/>
          <w:sz w:val="26"/>
          <w:szCs w:val="26"/>
        </w:rPr>
        <w:t>licable tables in this section will</w:t>
      </w:r>
      <w:r w:rsidR="006A6CE6" w:rsidRPr="001006AC">
        <w:rPr>
          <w:rFonts w:ascii="Times New Roman" w:hAnsi="Times New Roman"/>
          <w:sz w:val="26"/>
          <w:szCs w:val="26"/>
        </w:rPr>
        <w:t xml:space="preserve"> include a similar delineation.</w:t>
      </w:r>
    </w:p>
    <w:p w:rsidR="006A6CE6" w:rsidRPr="001006AC" w:rsidRDefault="006A6CE6" w:rsidP="00A3581E">
      <w:pPr>
        <w:pStyle w:val="ListParagraph"/>
        <w:numPr>
          <w:ilvl w:val="0"/>
          <w:numId w:val="15"/>
        </w:numPr>
        <w:spacing w:after="0" w:line="360" w:lineRule="auto"/>
        <w:ind w:left="1440" w:hanging="720"/>
        <w:rPr>
          <w:rFonts w:ascii="Times New Roman" w:hAnsi="Times New Roman"/>
          <w:sz w:val="26"/>
          <w:szCs w:val="26"/>
        </w:rPr>
      </w:pPr>
      <w:r w:rsidRPr="001006AC">
        <w:rPr>
          <w:rFonts w:ascii="Times New Roman" w:hAnsi="Times New Roman"/>
          <w:sz w:val="26"/>
          <w:szCs w:val="26"/>
        </w:rPr>
        <w:t xml:space="preserve">The “Portfolio Results by Sector” low-income section </w:t>
      </w:r>
      <w:r>
        <w:rPr>
          <w:rFonts w:ascii="Times New Roman" w:hAnsi="Times New Roman"/>
          <w:sz w:val="26"/>
          <w:szCs w:val="26"/>
        </w:rPr>
        <w:t>will</w:t>
      </w:r>
      <w:r w:rsidRPr="001006AC">
        <w:rPr>
          <w:rFonts w:ascii="Times New Roman" w:hAnsi="Times New Roman"/>
          <w:sz w:val="26"/>
          <w:szCs w:val="26"/>
        </w:rPr>
        <w:t xml:space="preserve"> similarly delineate and sum to a sector total.</w:t>
      </w:r>
    </w:p>
    <w:p w:rsidR="006A6CE6" w:rsidRPr="001006AC" w:rsidRDefault="006A6CE6" w:rsidP="00A3581E">
      <w:pPr>
        <w:pStyle w:val="ListParagraph"/>
        <w:numPr>
          <w:ilvl w:val="0"/>
          <w:numId w:val="15"/>
        </w:numPr>
        <w:spacing w:after="0" w:line="360" w:lineRule="auto"/>
        <w:ind w:left="1440" w:hanging="720"/>
        <w:rPr>
          <w:rFonts w:ascii="Times New Roman" w:hAnsi="Times New Roman"/>
          <w:sz w:val="26"/>
          <w:szCs w:val="26"/>
        </w:rPr>
      </w:pPr>
      <w:r w:rsidRPr="001006AC">
        <w:rPr>
          <w:rFonts w:ascii="Times New Roman" w:hAnsi="Times New Roman"/>
          <w:sz w:val="26"/>
          <w:szCs w:val="26"/>
        </w:rPr>
        <w:t xml:space="preserve">The “Portfolio Results by Program” portion of the annual report </w:t>
      </w:r>
      <w:r>
        <w:rPr>
          <w:rFonts w:ascii="Times New Roman" w:hAnsi="Times New Roman"/>
          <w:sz w:val="26"/>
          <w:szCs w:val="26"/>
        </w:rPr>
        <w:t>will</w:t>
      </w:r>
      <w:r w:rsidRPr="001006AC">
        <w:rPr>
          <w:rFonts w:ascii="Times New Roman" w:hAnsi="Times New Roman"/>
          <w:sz w:val="26"/>
          <w:szCs w:val="26"/>
        </w:rPr>
        <w:t xml:space="preserve"> include a new section that estimates costs and benefits and calculates a TRC for low-income savings from general residential programs.  A footnote should indicate how costs are estimated.</w:t>
      </w:r>
    </w:p>
    <w:p w:rsidR="006A6CE6" w:rsidRPr="001006AC" w:rsidRDefault="006A6CE6" w:rsidP="00A3581E">
      <w:pPr>
        <w:pStyle w:val="ListParagraph"/>
        <w:numPr>
          <w:ilvl w:val="0"/>
          <w:numId w:val="15"/>
        </w:numPr>
        <w:spacing w:after="0" w:line="360" w:lineRule="auto"/>
        <w:ind w:left="1440" w:hanging="720"/>
        <w:rPr>
          <w:rFonts w:ascii="Times New Roman" w:hAnsi="Times New Roman"/>
          <w:sz w:val="26"/>
          <w:szCs w:val="26"/>
        </w:rPr>
      </w:pPr>
      <w:r w:rsidRPr="001006AC">
        <w:rPr>
          <w:rFonts w:ascii="Times New Roman" w:hAnsi="Times New Roman"/>
          <w:sz w:val="26"/>
          <w:szCs w:val="26"/>
        </w:rPr>
        <w:t xml:space="preserve">The “Portfolio Results by Program” portion of the annual report </w:t>
      </w:r>
      <w:r>
        <w:rPr>
          <w:rFonts w:ascii="Times New Roman" w:hAnsi="Times New Roman"/>
          <w:sz w:val="26"/>
          <w:szCs w:val="26"/>
        </w:rPr>
        <w:t>will</w:t>
      </w:r>
      <w:r w:rsidRPr="001006AC">
        <w:rPr>
          <w:rFonts w:ascii="Times New Roman" w:hAnsi="Times New Roman"/>
          <w:sz w:val="26"/>
          <w:szCs w:val="26"/>
        </w:rPr>
        <w:t xml:space="preserve"> include a new section that sums costs and benefits from low-income-specific and general residential low-income.  A TRC </w:t>
      </w:r>
      <w:r w:rsidR="004D3654">
        <w:rPr>
          <w:rFonts w:ascii="Times New Roman" w:hAnsi="Times New Roman"/>
          <w:sz w:val="26"/>
          <w:szCs w:val="26"/>
        </w:rPr>
        <w:t>T</w:t>
      </w:r>
      <w:r w:rsidR="0094367A">
        <w:rPr>
          <w:rFonts w:ascii="Times New Roman" w:hAnsi="Times New Roman"/>
          <w:sz w:val="26"/>
          <w:szCs w:val="26"/>
        </w:rPr>
        <w:t xml:space="preserve">est result </w:t>
      </w:r>
      <w:r w:rsidRPr="001006AC">
        <w:rPr>
          <w:rFonts w:ascii="Times New Roman" w:hAnsi="Times New Roman"/>
          <w:sz w:val="26"/>
          <w:szCs w:val="26"/>
        </w:rPr>
        <w:t xml:space="preserve">for the low-income sector </w:t>
      </w:r>
      <w:r>
        <w:rPr>
          <w:rFonts w:ascii="Times New Roman" w:hAnsi="Times New Roman"/>
          <w:sz w:val="26"/>
          <w:szCs w:val="26"/>
        </w:rPr>
        <w:t>will</w:t>
      </w:r>
      <w:r w:rsidRPr="001006AC">
        <w:rPr>
          <w:rFonts w:ascii="Times New Roman" w:hAnsi="Times New Roman"/>
          <w:sz w:val="26"/>
          <w:szCs w:val="26"/>
        </w:rPr>
        <w:t xml:space="preserve"> be calculated.</w:t>
      </w:r>
    </w:p>
    <w:p w:rsidR="006A6CE6" w:rsidRPr="001006AC" w:rsidRDefault="006A6CE6" w:rsidP="006A6CE6">
      <w:pPr>
        <w:spacing w:line="360" w:lineRule="auto"/>
        <w:rPr>
          <w:szCs w:val="24"/>
        </w:rPr>
      </w:pPr>
    </w:p>
    <w:p w:rsidR="00726645" w:rsidRPr="00D46558" w:rsidRDefault="00A3581E" w:rsidP="00A3581E">
      <w:pPr>
        <w:pStyle w:val="p3"/>
        <w:keepNext/>
        <w:numPr>
          <w:ilvl w:val="0"/>
          <w:numId w:val="25"/>
        </w:numPr>
        <w:tabs>
          <w:tab w:val="clear" w:pos="204"/>
          <w:tab w:val="left" w:pos="720"/>
        </w:tabs>
        <w:spacing w:line="480" w:lineRule="auto"/>
        <w:ind w:hanging="1080"/>
        <w:rPr>
          <w:b/>
          <w:sz w:val="26"/>
          <w:szCs w:val="26"/>
        </w:rPr>
      </w:pPr>
      <w:r w:rsidRPr="00D46558">
        <w:rPr>
          <w:b/>
          <w:sz w:val="26"/>
          <w:szCs w:val="26"/>
        </w:rPr>
        <w:t>NET-TO-GROSS ADJUSTMENTS</w:t>
      </w:r>
    </w:p>
    <w:p w:rsidR="001006AC" w:rsidRPr="00A3581E" w:rsidRDefault="001006AC" w:rsidP="00A3581E">
      <w:pPr>
        <w:pStyle w:val="ListParagraph"/>
        <w:keepNext/>
        <w:numPr>
          <w:ilvl w:val="0"/>
          <w:numId w:val="29"/>
        </w:numPr>
        <w:spacing w:after="0" w:line="480" w:lineRule="auto"/>
        <w:ind w:left="1440" w:hanging="720"/>
        <w:rPr>
          <w:rFonts w:ascii="Times New Roman" w:hAnsi="Times New Roman"/>
          <w:b/>
          <w:sz w:val="26"/>
          <w:szCs w:val="26"/>
        </w:rPr>
      </w:pPr>
      <w:r w:rsidRPr="00A3581E">
        <w:rPr>
          <w:rFonts w:ascii="Times New Roman" w:hAnsi="Times New Roman"/>
          <w:b/>
          <w:sz w:val="26"/>
          <w:szCs w:val="26"/>
        </w:rPr>
        <w:t>Net-to-Gross (NTG) Adjustments to Savings</w:t>
      </w:r>
    </w:p>
    <w:p w:rsidR="00F536A5" w:rsidRPr="00F536A5" w:rsidRDefault="00F536A5" w:rsidP="00A3581E">
      <w:pPr>
        <w:pStyle w:val="ListParagraph"/>
        <w:keepNext/>
        <w:numPr>
          <w:ilvl w:val="0"/>
          <w:numId w:val="18"/>
        </w:numPr>
        <w:spacing w:after="0" w:line="480" w:lineRule="auto"/>
        <w:ind w:left="2160" w:hanging="720"/>
        <w:rPr>
          <w:rFonts w:ascii="Times New Roman" w:hAnsi="Times New Roman"/>
          <w:sz w:val="26"/>
          <w:szCs w:val="26"/>
        </w:rPr>
      </w:pPr>
      <w:r w:rsidRPr="00F536A5">
        <w:rPr>
          <w:rFonts w:ascii="Times New Roman" w:hAnsi="Times New Roman"/>
          <w:sz w:val="26"/>
          <w:szCs w:val="26"/>
        </w:rPr>
        <w:t>Discussion</w:t>
      </w:r>
    </w:p>
    <w:p w:rsidR="001006AC" w:rsidRDefault="00C57E85" w:rsidP="00F347F1">
      <w:pPr>
        <w:spacing w:line="360" w:lineRule="auto"/>
        <w:ind w:firstLine="720"/>
        <w:rPr>
          <w:sz w:val="26"/>
          <w:szCs w:val="26"/>
        </w:rPr>
      </w:pPr>
      <w:r>
        <w:rPr>
          <w:sz w:val="26"/>
          <w:szCs w:val="26"/>
        </w:rPr>
        <w:t xml:space="preserve">As discussed in the </w:t>
      </w:r>
      <w:r w:rsidRPr="00747C85">
        <w:rPr>
          <w:i/>
          <w:sz w:val="26"/>
          <w:szCs w:val="26"/>
        </w:rPr>
        <w:t>Energy Efficiency and Conservation Program Tentative Implementation Order</w:t>
      </w:r>
      <w:r>
        <w:rPr>
          <w:sz w:val="26"/>
          <w:szCs w:val="26"/>
        </w:rPr>
        <w:t xml:space="preserve"> at Docket Number </w:t>
      </w:r>
      <w:r w:rsidR="00936605" w:rsidRPr="00235CED">
        <w:rPr>
          <w:sz w:val="26"/>
          <w:szCs w:val="26"/>
        </w:rPr>
        <w:t>M</w:t>
      </w:r>
      <w:r w:rsidR="00936605" w:rsidRPr="00235CED">
        <w:rPr>
          <w:sz w:val="26"/>
          <w:szCs w:val="26"/>
        </w:rPr>
        <w:noBreakHyphen/>
        <w:t>20</w:t>
      </w:r>
      <w:r w:rsidR="00936605">
        <w:rPr>
          <w:sz w:val="26"/>
          <w:szCs w:val="26"/>
        </w:rPr>
        <w:t>12</w:t>
      </w:r>
      <w:r w:rsidR="00936605" w:rsidRPr="00235CED">
        <w:rPr>
          <w:sz w:val="26"/>
          <w:szCs w:val="26"/>
        </w:rPr>
        <w:noBreakHyphen/>
      </w:r>
      <w:r w:rsidR="00936605">
        <w:rPr>
          <w:sz w:val="26"/>
          <w:szCs w:val="26"/>
        </w:rPr>
        <w:t>2289411</w:t>
      </w:r>
      <w:r>
        <w:rPr>
          <w:sz w:val="26"/>
          <w:szCs w:val="26"/>
        </w:rPr>
        <w:t xml:space="preserve">, a </w:t>
      </w:r>
      <w:r w:rsidR="001006AC" w:rsidRPr="007733F3">
        <w:rPr>
          <w:sz w:val="26"/>
          <w:szCs w:val="26"/>
        </w:rPr>
        <w:t xml:space="preserve">common consideration for determining the </w:t>
      </w:r>
      <w:r w:rsidR="001006AC">
        <w:rPr>
          <w:sz w:val="26"/>
          <w:szCs w:val="26"/>
        </w:rPr>
        <w:t>cost-effectiveness</w:t>
      </w:r>
      <w:r w:rsidR="001006AC" w:rsidRPr="007733F3">
        <w:rPr>
          <w:sz w:val="26"/>
          <w:szCs w:val="26"/>
        </w:rPr>
        <w:t xml:space="preserve"> of energy efficiency programs is </w:t>
      </w:r>
      <w:r w:rsidR="001006AC">
        <w:rPr>
          <w:sz w:val="26"/>
          <w:szCs w:val="26"/>
        </w:rPr>
        <w:t xml:space="preserve">whether </w:t>
      </w:r>
      <w:r w:rsidR="001006AC" w:rsidRPr="007733F3">
        <w:rPr>
          <w:sz w:val="26"/>
          <w:szCs w:val="26"/>
        </w:rPr>
        <w:t xml:space="preserve">adjustments to gross energy savings </w:t>
      </w:r>
      <w:r w:rsidR="001006AC">
        <w:rPr>
          <w:sz w:val="26"/>
          <w:szCs w:val="26"/>
        </w:rPr>
        <w:t xml:space="preserve">should be made </w:t>
      </w:r>
      <w:r w:rsidR="001006AC" w:rsidRPr="007733F3">
        <w:rPr>
          <w:sz w:val="26"/>
          <w:szCs w:val="26"/>
        </w:rPr>
        <w:t xml:space="preserve">through the use of a </w:t>
      </w:r>
      <w:r w:rsidR="001006AC">
        <w:rPr>
          <w:sz w:val="26"/>
          <w:szCs w:val="26"/>
        </w:rPr>
        <w:t>Net-to-Gross (NTG)</w:t>
      </w:r>
      <w:r w:rsidR="001006AC" w:rsidRPr="007733F3">
        <w:rPr>
          <w:sz w:val="26"/>
          <w:szCs w:val="26"/>
        </w:rPr>
        <w:t xml:space="preserve"> ratio.  </w:t>
      </w:r>
      <w:r w:rsidR="001006AC">
        <w:rPr>
          <w:sz w:val="26"/>
          <w:szCs w:val="26"/>
        </w:rPr>
        <w:t>An</w:t>
      </w:r>
      <w:r w:rsidR="001006AC" w:rsidRPr="007733F3">
        <w:rPr>
          <w:sz w:val="26"/>
          <w:szCs w:val="26"/>
        </w:rPr>
        <w:t xml:space="preserve"> NTG </w:t>
      </w:r>
      <w:r w:rsidR="001006AC">
        <w:rPr>
          <w:sz w:val="26"/>
          <w:szCs w:val="26"/>
        </w:rPr>
        <w:t xml:space="preserve">adjustment would </w:t>
      </w:r>
      <w:r w:rsidR="001006AC" w:rsidRPr="007733F3">
        <w:rPr>
          <w:sz w:val="26"/>
          <w:szCs w:val="26"/>
        </w:rPr>
        <w:t>adjust the cost-effectiveness results so that the</w:t>
      </w:r>
      <w:r w:rsidR="001006AC">
        <w:rPr>
          <w:sz w:val="26"/>
          <w:szCs w:val="26"/>
        </w:rPr>
        <w:t xml:space="preserve"> results would </w:t>
      </w:r>
      <w:r w:rsidR="001006AC" w:rsidRPr="007733F3">
        <w:rPr>
          <w:sz w:val="26"/>
          <w:szCs w:val="26"/>
        </w:rPr>
        <w:t>only reflect those energy efficiency gains that are attributed to</w:t>
      </w:r>
      <w:r w:rsidR="001006AC">
        <w:rPr>
          <w:sz w:val="26"/>
          <w:szCs w:val="26"/>
        </w:rPr>
        <w:t>,</w:t>
      </w:r>
      <w:r w:rsidR="001006AC" w:rsidRPr="007733F3">
        <w:rPr>
          <w:sz w:val="26"/>
          <w:szCs w:val="26"/>
        </w:rPr>
        <w:t xml:space="preserve"> and are a direct result of</w:t>
      </w:r>
      <w:r w:rsidR="001006AC">
        <w:rPr>
          <w:sz w:val="26"/>
          <w:szCs w:val="26"/>
        </w:rPr>
        <w:t>,</w:t>
      </w:r>
      <w:r w:rsidR="001006AC" w:rsidRPr="007733F3">
        <w:rPr>
          <w:sz w:val="26"/>
          <w:szCs w:val="26"/>
        </w:rPr>
        <w:t xml:space="preserve"> the energy efficiency program in question</w:t>
      </w:r>
      <w:r w:rsidR="001006AC">
        <w:rPr>
          <w:sz w:val="26"/>
          <w:szCs w:val="26"/>
        </w:rPr>
        <w:t>.</w:t>
      </w:r>
      <w:r w:rsidR="001006AC" w:rsidRPr="007733F3">
        <w:rPr>
          <w:rStyle w:val="FootnoteReference"/>
          <w:sz w:val="26"/>
          <w:szCs w:val="26"/>
        </w:rPr>
        <w:footnoteReference w:id="55"/>
      </w:r>
      <w:r w:rsidR="001006AC" w:rsidRPr="007733F3">
        <w:rPr>
          <w:sz w:val="26"/>
          <w:szCs w:val="26"/>
        </w:rPr>
        <w:t xml:space="preserve"> </w:t>
      </w:r>
      <w:r w:rsidR="001006AC">
        <w:rPr>
          <w:sz w:val="26"/>
          <w:szCs w:val="26"/>
        </w:rPr>
        <w:t xml:space="preserve"> For Pennsylvania, the adjustment would </w:t>
      </w:r>
      <w:r w:rsidR="001006AC">
        <w:rPr>
          <w:sz w:val="26"/>
          <w:szCs w:val="26"/>
        </w:rPr>
        <w:lastRenderedPageBreak/>
        <w:t>reflect only those savings attributable to Act 129 programs.</w:t>
      </w:r>
      <w:r w:rsidR="001006AC" w:rsidRPr="007733F3">
        <w:rPr>
          <w:sz w:val="26"/>
          <w:szCs w:val="26"/>
        </w:rPr>
        <w:t xml:space="preserve"> </w:t>
      </w:r>
      <w:r w:rsidR="001006AC">
        <w:rPr>
          <w:sz w:val="26"/>
          <w:szCs w:val="26"/>
        </w:rPr>
        <w:t xml:space="preserve"> An NTG</w:t>
      </w:r>
      <w:r w:rsidR="001006AC" w:rsidRPr="007733F3">
        <w:rPr>
          <w:sz w:val="26"/>
          <w:szCs w:val="26"/>
        </w:rPr>
        <w:t xml:space="preserve"> </w:t>
      </w:r>
      <w:r w:rsidR="001006AC">
        <w:rPr>
          <w:sz w:val="26"/>
          <w:szCs w:val="26"/>
        </w:rPr>
        <w:t xml:space="preserve">adjustment would </w:t>
      </w:r>
      <w:r w:rsidR="001006AC" w:rsidRPr="007733F3">
        <w:rPr>
          <w:sz w:val="26"/>
          <w:szCs w:val="26"/>
        </w:rPr>
        <w:t>give evaluators an estimate of savings achieved as a direct result of program expenditures by removing savings that would have occurred absent a conservation program.  Three common factors</w:t>
      </w:r>
      <w:r w:rsidR="001006AC">
        <w:rPr>
          <w:sz w:val="26"/>
          <w:szCs w:val="26"/>
        </w:rPr>
        <w:t>,</w:t>
      </w:r>
      <w:r w:rsidR="001006AC" w:rsidRPr="007733F3">
        <w:rPr>
          <w:sz w:val="26"/>
          <w:szCs w:val="26"/>
        </w:rPr>
        <w:t xml:space="preserve"> </w:t>
      </w:r>
      <w:r w:rsidR="001006AC">
        <w:rPr>
          <w:sz w:val="26"/>
          <w:szCs w:val="26"/>
        </w:rPr>
        <w:t xml:space="preserve">among others, </w:t>
      </w:r>
      <w:r w:rsidR="001006AC" w:rsidRPr="007733F3">
        <w:rPr>
          <w:sz w:val="26"/>
          <w:szCs w:val="26"/>
        </w:rPr>
        <w:t>addressed through the NTG</w:t>
      </w:r>
      <w:r w:rsidR="001006AC">
        <w:rPr>
          <w:sz w:val="26"/>
          <w:szCs w:val="26"/>
        </w:rPr>
        <w:t xml:space="preserve"> adjustment</w:t>
      </w:r>
      <w:r w:rsidR="001006AC" w:rsidRPr="007733F3">
        <w:rPr>
          <w:sz w:val="26"/>
          <w:szCs w:val="26"/>
        </w:rPr>
        <w:t xml:space="preserve"> are </w:t>
      </w:r>
      <w:r w:rsidR="001006AC">
        <w:rPr>
          <w:sz w:val="26"/>
          <w:szCs w:val="26"/>
        </w:rPr>
        <w:t>“</w:t>
      </w:r>
      <w:r w:rsidR="001006AC" w:rsidRPr="007733F3">
        <w:rPr>
          <w:sz w:val="26"/>
          <w:szCs w:val="26"/>
        </w:rPr>
        <w:t>free riders,</w:t>
      </w:r>
      <w:r w:rsidR="001006AC">
        <w:rPr>
          <w:sz w:val="26"/>
          <w:szCs w:val="26"/>
        </w:rPr>
        <w:t>”</w:t>
      </w:r>
      <w:r w:rsidR="001006AC" w:rsidRPr="007733F3">
        <w:rPr>
          <w:sz w:val="26"/>
          <w:szCs w:val="26"/>
        </w:rPr>
        <w:t xml:space="preserve"> </w:t>
      </w:r>
      <w:r w:rsidR="001006AC">
        <w:rPr>
          <w:sz w:val="26"/>
          <w:szCs w:val="26"/>
        </w:rPr>
        <w:t>“</w:t>
      </w:r>
      <w:r w:rsidR="001006AC" w:rsidRPr="007733F3">
        <w:rPr>
          <w:sz w:val="26"/>
          <w:szCs w:val="26"/>
        </w:rPr>
        <w:t>take-back effect,</w:t>
      </w:r>
      <w:r w:rsidR="001006AC">
        <w:rPr>
          <w:sz w:val="26"/>
          <w:szCs w:val="26"/>
        </w:rPr>
        <w:t>”</w:t>
      </w:r>
      <w:r w:rsidR="001006AC" w:rsidRPr="007733F3">
        <w:rPr>
          <w:sz w:val="26"/>
          <w:szCs w:val="26"/>
        </w:rPr>
        <w:t xml:space="preserve"> and </w:t>
      </w:r>
      <w:r w:rsidR="001006AC">
        <w:rPr>
          <w:sz w:val="26"/>
          <w:szCs w:val="26"/>
        </w:rPr>
        <w:t>“</w:t>
      </w:r>
      <w:r w:rsidR="001006AC" w:rsidRPr="007733F3">
        <w:rPr>
          <w:sz w:val="26"/>
          <w:szCs w:val="26"/>
        </w:rPr>
        <w:t>spillover effect</w:t>
      </w:r>
      <w:r w:rsidR="001006AC">
        <w:rPr>
          <w:sz w:val="26"/>
          <w:szCs w:val="26"/>
        </w:rPr>
        <w:t>,”</w:t>
      </w:r>
      <w:r w:rsidR="001006AC" w:rsidRPr="007733F3">
        <w:rPr>
          <w:sz w:val="26"/>
          <w:szCs w:val="26"/>
        </w:rPr>
        <w:t xml:space="preserve"> sometimes referred to as </w:t>
      </w:r>
      <w:r w:rsidR="001006AC">
        <w:rPr>
          <w:sz w:val="26"/>
          <w:szCs w:val="26"/>
        </w:rPr>
        <w:t>“</w:t>
      </w:r>
      <w:r w:rsidR="001006AC" w:rsidRPr="007733F3">
        <w:rPr>
          <w:sz w:val="26"/>
          <w:szCs w:val="26"/>
        </w:rPr>
        <w:t>free drivers.</w:t>
      </w:r>
      <w:r w:rsidR="001006AC">
        <w:rPr>
          <w:sz w:val="26"/>
          <w:szCs w:val="26"/>
        </w:rPr>
        <w:t>”</w:t>
      </w:r>
      <w:r w:rsidR="001006AC">
        <w:rPr>
          <w:rStyle w:val="FootnoteReference"/>
          <w:sz w:val="26"/>
          <w:szCs w:val="26"/>
        </w:rPr>
        <w:footnoteReference w:id="56"/>
      </w:r>
      <w:r w:rsidR="001006AC" w:rsidRPr="007733F3">
        <w:rPr>
          <w:sz w:val="26"/>
          <w:szCs w:val="26"/>
        </w:rPr>
        <w:t xml:space="preserve">   </w:t>
      </w:r>
    </w:p>
    <w:p w:rsidR="001006AC" w:rsidRDefault="001006AC" w:rsidP="00F347F1">
      <w:pPr>
        <w:spacing w:line="360" w:lineRule="auto"/>
        <w:ind w:firstLine="720"/>
        <w:rPr>
          <w:sz w:val="26"/>
          <w:szCs w:val="26"/>
        </w:rPr>
      </w:pPr>
    </w:p>
    <w:p w:rsidR="001006AC" w:rsidRPr="007733F3" w:rsidRDefault="001006AC" w:rsidP="00747C85">
      <w:pPr>
        <w:spacing w:line="360" w:lineRule="auto"/>
        <w:ind w:firstLine="720"/>
        <w:rPr>
          <w:sz w:val="26"/>
          <w:szCs w:val="26"/>
        </w:rPr>
      </w:pPr>
      <w:r>
        <w:rPr>
          <w:sz w:val="26"/>
          <w:szCs w:val="26"/>
        </w:rPr>
        <w:t xml:space="preserve">The primary discussion pertaining to NTG is whether or not NTG adjustments should be used to determine </w:t>
      </w:r>
      <w:r w:rsidRPr="00185F1B">
        <w:rPr>
          <w:sz w:val="26"/>
          <w:szCs w:val="26"/>
        </w:rPr>
        <w:t>compliance and</w:t>
      </w:r>
      <w:r>
        <w:rPr>
          <w:sz w:val="26"/>
          <w:szCs w:val="26"/>
        </w:rPr>
        <w:t>/or</w:t>
      </w:r>
      <w:r w:rsidRPr="00185F1B">
        <w:rPr>
          <w:sz w:val="26"/>
          <w:szCs w:val="26"/>
        </w:rPr>
        <w:t xml:space="preserve"> targets</w:t>
      </w:r>
      <w:r>
        <w:rPr>
          <w:sz w:val="26"/>
          <w:szCs w:val="26"/>
        </w:rPr>
        <w:t>,</w:t>
      </w:r>
      <w:r w:rsidRPr="00185F1B">
        <w:rPr>
          <w:sz w:val="26"/>
          <w:szCs w:val="26"/>
        </w:rPr>
        <w:t xml:space="preserve"> or </w:t>
      </w:r>
      <w:r>
        <w:rPr>
          <w:sz w:val="26"/>
          <w:szCs w:val="26"/>
        </w:rPr>
        <w:t xml:space="preserve">whether or not it is more appropriate to use NTG solely </w:t>
      </w:r>
      <w:r w:rsidRPr="00185F1B">
        <w:rPr>
          <w:sz w:val="26"/>
          <w:szCs w:val="26"/>
        </w:rPr>
        <w:t>for program design and planning.</w:t>
      </w:r>
      <w:r>
        <w:rPr>
          <w:sz w:val="26"/>
          <w:szCs w:val="26"/>
        </w:rPr>
        <w:t xml:space="preserve">  If NTG </w:t>
      </w:r>
      <w:r w:rsidRPr="001B0623">
        <w:rPr>
          <w:sz w:val="26"/>
          <w:szCs w:val="26"/>
        </w:rPr>
        <w:t>adjustments are made that result in reductions to claimed savings because of</w:t>
      </w:r>
      <w:r>
        <w:rPr>
          <w:sz w:val="26"/>
          <w:szCs w:val="26"/>
        </w:rPr>
        <w:t xml:space="preserve"> those</w:t>
      </w:r>
      <w:r w:rsidRPr="001B0623">
        <w:rPr>
          <w:sz w:val="26"/>
          <w:szCs w:val="26"/>
        </w:rPr>
        <w:t xml:space="preserve"> free</w:t>
      </w:r>
      <w:r>
        <w:rPr>
          <w:sz w:val="26"/>
          <w:szCs w:val="26"/>
        </w:rPr>
        <w:t xml:space="preserve"> </w:t>
      </w:r>
      <w:r w:rsidRPr="001B0623">
        <w:rPr>
          <w:sz w:val="26"/>
          <w:szCs w:val="26"/>
        </w:rPr>
        <w:t xml:space="preserve">riders and take-back effects that are not cancelled out by spillover effects, then EDCs </w:t>
      </w:r>
      <w:r w:rsidR="0050245F">
        <w:rPr>
          <w:sz w:val="26"/>
          <w:szCs w:val="26"/>
        </w:rPr>
        <w:t>would</w:t>
      </w:r>
      <w:r w:rsidR="0050245F" w:rsidRPr="001B0623">
        <w:rPr>
          <w:sz w:val="26"/>
          <w:szCs w:val="26"/>
        </w:rPr>
        <w:t xml:space="preserve"> </w:t>
      </w:r>
      <w:r w:rsidRPr="001B0623">
        <w:rPr>
          <w:sz w:val="26"/>
          <w:szCs w:val="26"/>
        </w:rPr>
        <w:t>have to implement additional reduction measures to meet the mandated reduction targets.  The EDCs would incur additional program c</w:t>
      </w:r>
      <w:r w:rsidRPr="007733F3">
        <w:rPr>
          <w:sz w:val="26"/>
          <w:szCs w:val="26"/>
        </w:rPr>
        <w:t xml:space="preserve">osts to implement the additional reduction measures.  </w:t>
      </w:r>
      <w:r>
        <w:rPr>
          <w:sz w:val="26"/>
          <w:szCs w:val="26"/>
        </w:rPr>
        <w:t>However</w:t>
      </w:r>
      <w:r w:rsidRPr="007733F3">
        <w:rPr>
          <w:sz w:val="26"/>
          <w:szCs w:val="26"/>
        </w:rPr>
        <w:t xml:space="preserve">, with the implementation of additional reduction measures, there </w:t>
      </w:r>
      <w:r>
        <w:rPr>
          <w:sz w:val="26"/>
          <w:szCs w:val="26"/>
        </w:rPr>
        <w:t>may be</w:t>
      </w:r>
      <w:r w:rsidRPr="007733F3">
        <w:rPr>
          <w:sz w:val="26"/>
          <w:szCs w:val="26"/>
        </w:rPr>
        <w:t xml:space="preserve"> the potential for incremental reductions in the future cost of wholesale power</w:t>
      </w:r>
      <w:r>
        <w:rPr>
          <w:sz w:val="26"/>
          <w:szCs w:val="26"/>
        </w:rPr>
        <w:t>,</w:t>
      </w:r>
      <w:r w:rsidRPr="007733F3">
        <w:rPr>
          <w:sz w:val="26"/>
          <w:szCs w:val="26"/>
        </w:rPr>
        <w:t xml:space="preserve"> which could benefit all customers.</w:t>
      </w:r>
    </w:p>
    <w:p w:rsidR="001006AC" w:rsidRDefault="001006AC" w:rsidP="00F347F1">
      <w:pPr>
        <w:spacing w:line="360" w:lineRule="auto"/>
        <w:ind w:firstLine="720"/>
        <w:rPr>
          <w:sz w:val="26"/>
          <w:szCs w:val="26"/>
        </w:rPr>
      </w:pPr>
    </w:p>
    <w:p w:rsidR="001006AC" w:rsidRPr="001B2FDE" w:rsidRDefault="001006AC" w:rsidP="00F347F1">
      <w:pPr>
        <w:spacing w:line="360" w:lineRule="auto"/>
        <w:ind w:firstLine="720"/>
        <w:rPr>
          <w:sz w:val="26"/>
          <w:szCs w:val="26"/>
        </w:rPr>
      </w:pPr>
      <w:r>
        <w:rPr>
          <w:sz w:val="26"/>
          <w:szCs w:val="26"/>
        </w:rPr>
        <w:t xml:space="preserve">At the beginning of Phase I of Act 129, there was an </w:t>
      </w:r>
      <w:r w:rsidRPr="007733F3">
        <w:rPr>
          <w:sz w:val="26"/>
          <w:szCs w:val="26"/>
        </w:rPr>
        <w:t xml:space="preserve">absence of data specific to Act 129 programs, </w:t>
      </w:r>
      <w:r>
        <w:rPr>
          <w:sz w:val="26"/>
          <w:szCs w:val="26"/>
        </w:rPr>
        <w:t xml:space="preserve">and the Commission </w:t>
      </w:r>
      <w:r w:rsidR="00747C85">
        <w:rPr>
          <w:sz w:val="26"/>
          <w:szCs w:val="26"/>
        </w:rPr>
        <w:t>chose</w:t>
      </w:r>
      <w:r>
        <w:rPr>
          <w:sz w:val="26"/>
          <w:szCs w:val="26"/>
        </w:rPr>
        <w:t xml:space="preserve"> not to require NTG adjustments for the first program year.  The </w:t>
      </w:r>
      <w:r w:rsidRPr="00713496">
        <w:rPr>
          <w:i/>
          <w:sz w:val="26"/>
          <w:szCs w:val="26"/>
        </w:rPr>
        <w:t xml:space="preserve">2011 TRC </w:t>
      </w:r>
      <w:r w:rsidR="0094367A">
        <w:rPr>
          <w:i/>
          <w:sz w:val="26"/>
          <w:szCs w:val="26"/>
        </w:rPr>
        <w:t>T</w:t>
      </w:r>
      <w:r w:rsidRPr="00713496">
        <w:rPr>
          <w:i/>
          <w:sz w:val="26"/>
          <w:szCs w:val="26"/>
        </w:rPr>
        <w:t>est Order</w:t>
      </w:r>
      <w:r>
        <w:rPr>
          <w:sz w:val="26"/>
          <w:szCs w:val="26"/>
        </w:rPr>
        <w:t xml:space="preserve"> directed EDCs to conduct NTG research; </w:t>
      </w:r>
      <w:r w:rsidRPr="001B2FDE">
        <w:rPr>
          <w:sz w:val="26"/>
          <w:szCs w:val="26"/>
        </w:rPr>
        <w:t>to collect data necessary to determine the NTG ratio for their programs</w:t>
      </w:r>
      <w:r w:rsidR="00747C85">
        <w:rPr>
          <w:sz w:val="26"/>
          <w:szCs w:val="26"/>
        </w:rPr>
        <w:t>,</w:t>
      </w:r>
      <w:r w:rsidRPr="001B2FDE">
        <w:rPr>
          <w:sz w:val="26"/>
          <w:szCs w:val="26"/>
        </w:rPr>
        <w:t xml:space="preserve"> and to apply the ratio when determining the cost-effectiveness of future modifications of existing programs.</w:t>
      </w:r>
      <w:r>
        <w:rPr>
          <w:rStyle w:val="FootnoteReference"/>
          <w:sz w:val="26"/>
          <w:szCs w:val="26"/>
        </w:rPr>
        <w:footnoteReference w:id="57"/>
      </w:r>
      <w:r w:rsidRPr="001B2FDE">
        <w:rPr>
          <w:sz w:val="26"/>
          <w:szCs w:val="26"/>
        </w:rPr>
        <w:t xml:space="preserve">  </w:t>
      </w:r>
      <w:r>
        <w:rPr>
          <w:sz w:val="26"/>
          <w:szCs w:val="26"/>
        </w:rPr>
        <w:t xml:space="preserve">The results of this research were to be </w:t>
      </w:r>
      <w:r w:rsidRPr="001B2FDE">
        <w:rPr>
          <w:sz w:val="26"/>
          <w:szCs w:val="26"/>
        </w:rPr>
        <w:t xml:space="preserve">reported to the </w:t>
      </w:r>
      <w:r>
        <w:rPr>
          <w:sz w:val="26"/>
          <w:szCs w:val="26"/>
        </w:rPr>
        <w:t>SWE</w:t>
      </w:r>
      <w:r w:rsidRPr="001B2FDE">
        <w:rPr>
          <w:sz w:val="26"/>
          <w:szCs w:val="26"/>
        </w:rPr>
        <w:t xml:space="preserve"> and utilized by </w:t>
      </w:r>
      <w:r w:rsidRPr="001B2FDE">
        <w:rPr>
          <w:sz w:val="26"/>
          <w:szCs w:val="26"/>
        </w:rPr>
        <w:lastRenderedPageBreak/>
        <w:t xml:space="preserve">the EDCs to determine when a measure or program should be removed from the EE&amp;C portfolio because it is no longer cost-effective.  </w:t>
      </w:r>
      <w:r>
        <w:rPr>
          <w:sz w:val="26"/>
          <w:szCs w:val="26"/>
        </w:rPr>
        <w:t xml:space="preserve">For Phase I, </w:t>
      </w:r>
      <w:r w:rsidR="00BC6F3A">
        <w:rPr>
          <w:sz w:val="26"/>
          <w:szCs w:val="26"/>
        </w:rPr>
        <w:t xml:space="preserve">any </w:t>
      </w:r>
      <w:r w:rsidRPr="001B2FDE">
        <w:rPr>
          <w:sz w:val="26"/>
          <w:szCs w:val="26"/>
        </w:rPr>
        <w:t xml:space="preserve">NTG research </w:t>
      </w:r>
      <w:r w:rsidR="00894E05">
        <w:rPr>
          <w:sz w:val="26"/>
          <w:szCs w:val="26"/>
        </w:rPr>
        <w:t xml:space="preserve">that was </w:t>
      </w:r>
      <w:r w:rsidR="00BC6F3A">
        <w:rPr>
          <w:sz w:val="26"/>
          <w:szCs w:val="26"/>
        </w:rPr>
        <w:t xml:space="preserve">completed </w:t>
      </w:r>
      <w:r>
        <w:rPr>
          <w:sz w:val="26"/>
          <w:szCs w:val="26"/>
        </w:rPr>
        <w:t>was used only for program design and implementation; it was not used t</w:t>
      </w:r>
      <w:r w:rsidRPr="001B2FDE">
        <w:rPr>
          <w:sz w:val="26"/>
          <w:szCs w:val="26"/>
        </w:rPr>
        <w:t xml:space="preserve">o adjust the gross verified energy savings that are used for compliance purposes </w:t>
      </w:r>
      <w:r>
        <w:rPr>
          <w:sz w:val="26"/>
          <w:szCs w:val="26"/>
        </w:rPr>
        <w:t xml:space="preserve">(i.e. </w:t>
      </w:r>
      <w:r w:rsidRPr="001B2FDE">
        <w:rPr>
          <w:sz w:val="26"/>
          <w:szCs w:val="26"/>
        </w:rPr>
        <w:t xml:space="preserve">to determine whether </w:t>
      </w:r>
      <w:r>
        <w:rPr>
          <w:sz w:val="26"/>
          <w:szCs w:val="26"/>
        </w:rPr>
        <w:t xml:space="preserve">or not </w:t>
      </w:r>
      <w:r w:rsidRPr="001B2FDE">
        <w:rPr>
          <w:sz w:val="26"/>
          <w:szCs w:val="26"/>
        </w:rPr>
        <w:t>an EDC met its mandated Act 129 reduction targets</w:t>
      </w:r>
      <w:r>
        <w:rPr>
          <w:sz w:val="26"/>
          <w:szCs w:val="26"/>
        </w:rPr>
        <w:t>)</w:t>
      </w:r>
      <w:r w:rsidRPr="001B2FDE">
        <w:rPr>
          <w:sz w:val="26"/>
          <w:szCs w:val="26"/>
        </w:rPr>
        <w:t xml:space="preserve">.  </w:t>
      </w:r>
    </w:p>
    <w:p w:rsidR="001006AC" w:rsidRDefault="001006AC" w:rsidP="00F347F1">
      <w:pPr>
        <w:spacing w:line="360" w:lineRule="auto"/>
        <w:ind w:firstLine="720"/>
        <w:rPr>
          <w:sz w:val="26"/>
          <w:szCs w:val="26"/>
        </w:rPr>
      </w:pPr>
    </w:p>
    <w:p w:rsidR="00F536A5" w:rsidRPr="001F1D0A" w:rsidRDefault="00F52B24" w:rsidP="00121859">
      <w:pPr>
        <w:pStyle w:val="ListParagraph"/>
        <w:keepNext/>
        <w:numPr>
          <w:ilvl w:val="0"/>
          <w:numId w:val="18"/>
        </w:numPr>
        <w:spacing w:after="0" w:line="480" w:lineRule="auto"/>
        <w:ind w:left="2160" w:hanging="720"/>
        <w:rPr>
          <w:rFonts w:ascii="Times New Roman" w:hAnsi="Times New Roman"/>
          <w:sz w:val="26"/>
          <w:szCs w:val="26"/>
        </w:rPr>
      </w:pPr>
      <w:r w:rsidRPr="001F1D0A">
        <w:rPr>
          <w:rFonts w:ascii="Times New Roman" w:hAnsi="Times New Roman"/>
          <w:sz w:val="26"/>
          <w:szCs w:val="26"/>
        </w:rPr>
        <w:t>Proposed resolution</w:t>
      </w:r>
    </w:p>
    <w:p w:rsidR="001006AC" w:rsidRDefault="00894E05" w:rsidP="00DB12D0">
      <w:pPr>
        <w:spacing w:line="360" w:lineRule="auto"/>
        <w:ind w:firstLine="720"/>
        <w:rPr>
          <w:sz w:val="26"/>
          <w:szCs w:val="26"/>
        </w:rPr>
      </w:pPr>
      <w:r>
        <w:rPr>
          <w:sz w:val="26"/>
          <w:szCs w:val="26"/>
        </w:rPr>
        <w:t>At this time, many</w:t>
      </w:r>
      <w:r w:rsidR="00BC6F3A">
        <w:rPr>
          <w:sz w:val="26"/>
          <w:szCs w:val="26"/>
        </w:rPr>
        <w:t xml:space="preserve"> EDCs have </w:t>
      </w:r>
      <w:r>
        <w:rPr>
          <w:sz w:val="26"/>
          <w:szCs w:val="26"/>
        </w:rPr>
        <w:t>only completed preliminary</w:t>
      </w:r>
      <w:r w:rsidR="00BC6F3A">
        <w:rPr>
          <w:sz w:val="26"/>
          <w:szCs w:val="26"/>
        </w:rPr>
        <w:t xml:space="preserve"> NTG research</w:t>
      </w:r>
      <w:r>
        <w:rPr>
          <w:sz w:val="26"/>
          <w:szCs w:val="26"/>
        </w:rPr>
        <w:t xml:space="preserve">, and a full year of NTG research data will not be available until the EDCs’ </w:t>
      </w:r>
      <w:r w:rsidR="0094367A">
        <w:rPr>
          <w:sz w:val="26"/>
          <w:szCs w:val="26"/>
        </w:rPr>
        <w:t xml:space="preserve">Phase I </w:t>
      </w:r>
      <w:r>
        <w:rPr>
          <w:sz w:val="26"/>
          <w:szCs w:val="26"/>
        </w:rPr>
        <w:t>Program Year 3 Final Annual Reports are submitted (November 15, 2012)</w:t>
      </w:r>
      <w:r w:rsidR="00BC6F3A">
        <w:rPr>
          <w:sz w:val="26"/>
          <w:szCs w:val="26"/>
        </w:rPr>
        <w:t xml:space="preserve">.  As such, the Commission lacks Pennsylvania-specific data </w:t>
      </w:r>
      <w:r>
        <w:rPr>
          <w:sz w:val="26"/>
          <w:szCs w:val="26"/>
        </w:rPr>
        <w:t xml:space="preserve">to support an adjustment to </w:t>
      </w:r>
      <w:r w:rsidR="00BC6F3A">
        <w:rPr>
          <w:sz w:val="26"/>
          <w:szCs w:val="26"/>
        </w:rPr>
        <w:t xml:space="preserve">NTG.  Due to the </w:t>
      </w:r>
      <w:r>
        <w:rPr>
          <w:sz w:val="26"/>
          <w:szCs w:val="26"/>
        </w:rPr>
        <w:t>lack of Pennsylvania-specific</w:t>
      </w:r>
      <w:r w:rsidR="00BC6F3A">
        <w:rPr>
          <w:sz w:val="26"/>
          <w:szCs w:val="26"/>
        </w:rPr>
        <w:t xml:space="preserve"> NTG research </w:t>
      </w:r>
      <w:r>
        <w:rPr>
          <w:sz w:val="26"/>
          <w:szCs w:val="26"/>
        </w:rPr>
        <w:t xml:space="preserve">data, the </w:t>
      </w:r>
      <w:r w:rsidR="001006AC">
        <w:rPr>
          <w:sz w:val="26"/>
          <w:szCs w:val="26"/>
        </w:rPr>
        <w:t xml:space="preserve">Commission proposes that NTG adjustments be utilized the same way for </w:t>
      </w:r>
      <w:r w:rsidR="00270284">
        <w:rPr>
          <w:sz w:val="26"/>
          <w:szCs w:val="26"/>
        </w:rPr>
        <w:t xml:space="preserve">the proposed </w:t>
      </w:r>
      <w:r w:rsidR="001006AC">
        <w:rPr>
          <w:sz w:val="26"/>
          <w:szCs w:val="26"/>
        </w:rPr>
        <w:t xml:space="preserve">Phase II as they were during Phase I.  </w:t>
      </w:r>
      <w:r w:rsidR="00BC6F3A">
        <w:rPr>
          <w:sz w:val="26"/>
          <w:szCs w:val="26"/>
        </w:rPr>
        <w:t>Specifically, the</w:t>
      </w:r>
      <w:r w:rsidR="001006AC">
        <w:rPr>
          <w:sz w:val="26"/>
          <w:szCs w:val="26"/>
        </w:rPr>
        <w:t xml:space="preserve"> Commission proposes that NTG </w:t>
      </w:r>
      <w:r w:rsidR="001006AC" w:rsidRPr="001B2FDE">
        <w:rPr>
          <w:sz w:val="26"/>
          <w:szCs w:val="26"/>
        </w:rPr>
        <w:t xml:space="preserve">research </w:t>
      </w:r>
      <w:r w:rsidR="001006AC">
        <w:rPr>
          <w:sz w:val="26"/>
          <w:szCs w:val="26"/>
        </w:rPr>
        <w:t>be used to</w:t>
      </w:r>
      <w:r w:rsidR="001006AC" w:rsidRPr="001B2FDE">
        <w:rPr>
          <w:sz w:val="26"/>
          <w:szCs w:val="26"/>
        </w:rPr>
        <w:t xml:space="preserve"> direct</w:t>
      </w:r>
      <w:r w:rsidR="001006AC">
        <w:rPr>
          <w:sz w:val="26"/>
          <w:szCs w:val="26"/>
        </w:rPr>
        <w:t xml:space="preserve"> </w:t>
      </w:r>
      <w:r w:rsidR="001006AC" w:rsidRPr="001B2FDE">
        <w:rPr>
          <w:sz w:val="26"/>
          <w:szCs w:val="26"/>
        </w:rPr>
        <w:t>Act 129 p</w:t>
      </w:r>
      <w:r w:rsidR="001006AC">
        <w:rPr>
          <w:sz w:val="26"/>
          <w:szCs w:val="26"/>
        </w:rPr>
        <w:t>rogram design and implementation</w:t>
      </w:r>
      <w:r w:rsidR="001006AC" w:rsidRPr="001B2FDE">
        <w:rPr>
          <w:sz w:val="26"/>
          <w:szCs w:val="26"/>
        </w:rPr>
        <w:t xml:space="preserve"> </w:t>
      </w:r>
      <w:r w:rsidR="001006AC">
        <w:rPr>
          <w:sz w:val="26"/>
          <w:szCs w:val="26"/>
        </w:rPr>
        <w:t>but not for compliance purposes.</w:t>
      </w:r>
      <w:r w:rsidR="001006AC" w:rsidRPr="001B2FDE">
        <w:rPr>
          <w:sz w:val="26"/>
          <w:szCs w:val="26"/>
        </w:rPr>
        <w:t xml:space="preserve"> </w:t>
      </w:r>
      <w:r w:rsidR="001006AC">
        <w:rPr>
          <w:sz w:val="26"/>
          <w:szCs w:val="26"/>
        </w:rPr>
        <w:t xml:space="preserve"> </w:t>
      </w:r>
      <w:r w:rsidR="001006AC" w:rsidRPr="001B2FDE">
        <w:rPr>
          <w:sz w:val="26"/>
          <w:szCs w:val="26"/>
        </w:rPr>
        <w:t xml:space="preserve">There is no requirement in Act 129 that mandates that savings be determined on a net basis. </w:t>
      </w:r>
      <w:r w:rsidR="001006AC">
        <w:rPr>
          <w:sz w:val="26"/>
          <w:szCs w:val="26"/>
        </w:rPr>
        <w:t xml:space="preserve"> The Commission hereby proposes that EDCs continue to use net verified savings</w:t>
      </w:r>
      <w:r w:rsidR="00C57E85">
        <w:rPr>
          <w:sz w:val="26"/>
          <w:szCs w:val="26"/>
        </w:rPr>
        <w:t xml:space="preserve"> for program planning purposes </w:t>
      </w:r>
      <w:r w:rsidR="001006AC">
        <w:rPr>
          <w:sz w:val="26"/>
          <w:szCs w:val="26"/>
        </w:rPr>
        <w:t xml:space="preserve">and gross verified savings to determine compliance with savings targets for </w:t>
      </w:r>
      <w:r w:rsidR="00270284">
        <w:rPr>
          <w:sz w:val="26"/>
          <w:szCs w:val="26"/>
        </w:rPr>
        <w:t xml:space="preserve">a potential </w:t>
      </w:r>
      <w:r w:rsidR="001006AC">
        <w:rPr>
          <w:sz w:val="26"/>
          <w:szCs w:val="26"/>
        </w:rPr>
        <w:t>Phase II.</w:t>
      </w:r>
    </w:p>
    <w:p w:rsidR="001006AC" w:rsidRDefault="001006AC" w:rsidP="00F347F1">
      <w:pPr>
        <w:spacing w:line="360" w:lineRule="auto"/>
        <w:ind w:firstLine="720"/>
        <w:rPr>
          <w:sz w:val="26"/>
          <w:szCs w:val="26"/>
        </w:rPr>
      </w:pPr>
    </w:p>
    <w:p w:rsidR="001006AC" w:rsidRPr="00185F1B" w:rsidRDefault="001006AC" w:rsidP="00F347F1">
      <w:pPr>
        <w:spacing w:line="360" w:lineRule="auto"/>
        <w:ind w:firstLine="720"/>
        <w:rPr>
          <w:sz w:val="26"/>
          <w:szCs w:val="26"/>
        </w:rPr>
      </w:pPr>
      <w:r>
        <w:rPr>
          <w:sz w:val="26"/>
          <w:szCs w:val="26"/>
        </w:rPr>
        <w:t>Although this is an issue that was previously considered within the context of the TRC test, the Commission recognizes that the use of NTG adjustments is an overarching policy issue that could be impactful of targets.  D</w:t>
      </w:r>
      <w:r w:rsidRPr="00185F1B">
        <w:rPr>
          <w:sz w:val="26"/>
          <w:szCs w:val="26"/>
        </w:rPr>
        <w:t>ue to the implications for meeting targets</w:t>
      </w:r>
      <w:r>
        <w:rPr>
          <w:sz w:val="26"/>
          <w:szCs w:val="26"/>
        </w:rPr>
        <w:t xml:space="preserve">, the Commission has decided that the NTG would best be included </w:t>
      </w:r>
      <w:r w:rsidR="00C57E85">
        <w:rPr>
          <w:sz w:val="26"/>
          <w:szCs w:val="26"/>
        </w:rPr>
        <w:t>in the</w:t>
      </w:r>
      <w:r>
        <w:rPr>
          <w:sz w:val="26"/>
          <w:szCs w:val="26"/>
        </w:rPr>
        <w:t xml:space="preserve"> </w:t>
      </w:r>
      <w:r w:rsidR="00C57E85" w:rsidRPr="00D46558">
        <w:rPr>
          <w:i/>
          <w:sz w:val="26"/>
          <w:szCs w:val="26"/>
        </w:rPr>
        <w:t>Energy Efficiency and Conservation Program Tentative Implementation Order</w:t>
      </w:r>
      <w:r w:rsidR="009A2EB0">
        <w:rPr>
          <w:sz w:val="26"/>
          <w:szCs w:val="26"/>
        </w:rPr>
        <w:t xml:space="preserve">, </w:t>
      </w:r>
      <w:r w:rsidR="00C57E85">
        <w:rPr>
          <w:sz w:val="26"/>
          <w:szCs w:val="26"/>
        </w:rPr>
        <w:t>Docket N</w:t>
      </w:r>
      <w:r w:rsidR="009A2EB0">
        <w:rPr>
          <w:sz w:val="26"/>
          <w:szCs w:val="26"/>
        </w:rPr>
        <w:t>o.</w:t>
      </w:r>
      <w:r w:rsidR="00C57E85">
        <w:rPr>
          <w:sz w:val="26"/>
          <w:szCs w:val="26"/>
        </w:rPr>
        <w:t xml:space="preserve"> </w:t>
      </w:r>
      <w:r w:rsidR="00E1318B" w:rsidRPr="00235CED">
        <w:rPr>
          <w:sz w:val="26"/>
          <w:szCs w:val="26"/>
        </w:rPr>
        <w:t>M</w:t>
      </w:r>
      <w:r w:rsidR="00E1318B" w:rsidRPr="00235CED">
        <w:rPr>
          <w:sz w:val="26"/>
          <w:szCs w:val="26"/>
        </w:rPr>
        <w:noBreakHyphen/>
        <w:t>20</w:t>
      </w:r>
      <w:r w:rsidR="00E1318B">
        <w:rPr>
          <w:sz w:val="26"/>
          <w:szCs w:val="26"/>
        </w:rPr>
        <w:t>12</w:t>
      </w:r>
      <w:r w:rsidR="00E1318B" w:rsidRPr="00235CED">
        <w:rPr>
          <w:sz w:val="26"/>
          <w:szCs w:val="26"/>
        </w:rPr>
        <w:noBreakHyphen/>
      </w:r>
      <w:r w:rsidR="00E1318B">
        <w:rPr>
          <w:sz w:val="26"/>
          <w:szCs w:val="26"/>
        </w:rPr>
        <w:t>2289411</w:t>
      </w:r>
      <w:r w:rsidR="00C57E85">
        <w:rPr>
          <w:sz w:val="26"/>
          <w:szCs w:val="26"/>
        </w:rPr>
        <w:t xml:space="preserve"> entered on </w:t>
      </w:r>
      <w:r w:rsidR="00E31BE6">
        <w:rPr>
          <w:sz w:val="26"/>
          <w:szCs w:val="26"/>
        </w:rPr>
        <w:t>May 11, 2012</w:t>
      </w:r>
      <w:r w:rsidR="00E31BE6" w:rsidRPr="00185F1B">
        <w:rPr>
          <w:sz w:val="26"/>
          <w:szCs w:val="26"/>
        </w:rPr>
        <w:t xml:space="preserve">. </w:t>
      </w:r>
      <w:r w:rsidR="00E31BE6">
        <w:rPr>
          <w:sz w:val="26"/>
          <w:szCs w:val="26"/>
        </w:rPr>
        <w:t xml:space="preserve"> </w:t>
      </w:r>
      <w:r>
        <w:rPr>
          <w:sz w:val="26"/>
          <w:szCs w:val="26"/>
        </w:rPr>
        <w:t>Therefore, a</w:t>
      </w:r>
      <w:r w:rsidRPr="00185F1B">
        <w:rPr>
          <w:sz w:val="26"/>
          <w:szCs w:val="26"/>
        </w:rPr>
        <w:t xml:space="preserve">ny and all comments pertaining to </w:t>
      </w:r>
      <w:r>
        <w:rPr>
          <w:sz w:val="26"/>
          <w:szCs w:val="26"/>
        </w:rPr>
        <w:t>NTG</w:t>
      </w:r>
      <w:r w:rsidRPr="00185F1B">
        <w:rPr>
          <w:sz w:val="26"/>
          <w:szCs w:val="26"/>
        </w:rPr>
        <w:t xml:space="preserve"> issues, although a TRC-related issue, should be </w:t>
      </w:r>
      <w:r w:rsidR="00C57E85">
        <w:rPr>
          <w:sz w:val="26"/>
          <w:szCs w:val="26"/>
        </w:rPr>
        <w:t>provided for that</w:t>
      </w:r>
      <w:r>
        <w:rPr>
          <w:sz w:val="26"/>
          <w:szCs w:val="26"/>
        </w:rPr>
        <w:t xml:space="preserve"> proceeding</w:t>
      </w:r>
      <w:r w:rsidRPr="00185F1B">
        <w:rPr>
          <w:sz w:val="26"/>
          <w:szCs w:val="26"/>
        </w:rPr>
        <w:t>.</w:t>
      </w:r>
    </w:p>
    <w:p w:rsidR="004B7CD8" w:rsidRDefault="004B7CD8" w:rsidP="00A3581E">
      <w:pPr>
        <w:overflowPunct/>
        <w:autoSpaceDE/>
        <w:autoSpaceDN/>
        <w:adjustRightInd/>
        <w:spacing w:line="360" w:lineRule="auto"/>
        <w:textAlignment w:val="auto"/>
        <w:rPr>
          <w:i/>
          <w:sz w:val="28"/>
          <w:szCs w:val="28"/>
        </w:rPr>
      </w:pPr>
    </w:p>
    <w:p w:rsidR="00726645" w:rsidRPr="00D46558" w:rsidRDefault="00A3581E" w:rsidP="00A3581E">
      <w:pPr>
        <w:pStyle w:val="p3"/>
        <w:numPr>
          <w:ilvl w:val="0"/>
          <w:numId w:val="25"/>
        </w:numPr>
        <w:tabs>
          <w:tab w:val="clear" w:pos="204"/>
          <w:tab w:val="left" w:pos="720"/>
        </w:tabs>
        <w:spacing w:line="480" w:lineRule="auto"/>
        <w:ind w:left="720"/>
        <w:rPr>
          <w:b/>
          <w:sz w:val="26"/>
          <w:szCs w:val="26"/>
        </w:rPr>
      </w:pPr>
      <w:r w:rsidRPr="00D46558">
        <w:rPr>
          <w:b/>
          <w:sz w:val="26"/>
          <w:szCs w:val="26"/>
        </w:rPr>
        <w:lastRenderedPageBreak/>
        <w:t>DEMAND RESPONSE</w:t>
      </w:r>
    </w:p>
    <w:p w:rsidR="006A7EB7" w:rsidRPr="006A7EB7" w:rsidRDefault="006A7EB7" w:rsidP="00A3581E">
      <w:pPr>
        <w:pStyle w:val="p3"/>
        <w:numPr>
          <w:ilvl w:val="0"/>
          <w:numId w:val="30"/>
        </w:numPr>
        <w:tabs>
          <w:tab w:val="clear" w:pos="204"/>
          <w:tab w:val="left" w:pos="360"/>
        </w:tabs>
        <w:spacing w:line="480" w:lineRule="auto"/>
        <w:ind w:left="1440" w:hanging="720"/>
        <w:rPr>
          <w:b/>
          <w:sz w:val="26"/>
          <w:szCs w:val="26"/>
        </w:rPr>
      </w:pPr>
      <w:r>
        <w:rPr>
          <w:b/>
          <w:sz w:val="26"/>
          <w:szCs w:val="26"/>
        </w:rPr>
        <w:t xml:space="preserve">Inclusion of </w:t>
      </w:r>
      <w:r w:rsidRPr="006A7EB7">
        <w:rPr>
          <w:b/>
          <w:sz w:val="26"/>
          <w:szCs w:val="26"/>
        </w:rPr>
        <w:t>Dem</w:t>
      </w:r>
      <w:r>
        <w:rPr>
          <w:b/>
          <w:sz w:val="26"/>
          <w:szCs w:val="26"/>
        </w:rPr>
        <w:t>and Response</w:t>
      </w:r>
    </w:p>
    <w:p w:rsidR="006A7EB7" w:rsidRPr="00724707" w:rsidRDefault="006A7EB7" w:rsidP="006A7EB7">
      <w:pPr>
        <w:tabs>
          <w:tab w:val="left" w:pos="-2070"/>
        </w:tabs>
        <w:spacing w:line="360" w:lineRule="auto"/>
        <w:ind w:firstLine="720"/>
        <w:rPr>
          <w:sz w:val="26"/>
          <w:szCs w:val="26"/>
        </w:rPr>
      </w:pPr>
      <w:r>
        <w:rPr>
          <w:sz w:val="26"/>
          <w:szCs w:val="26"/>
        </w:rPr>
        <w:t>As was stated in the Energy Efficiency and Conservation Program Tentative Implementation Order</w:t>
      </w:r>
      <w:r w:rsidR="002E6B7B">
        <w:rPr>
          <w:sz w:val="26"/>
          <w:szCs w:val="26"/>
        </w:rPr>
        <w:t xml:space="preserve">, the Commission’s </w:t>
      </w:r>
      <w:r w:rsidRPr="00724707">
        <w:rPr>
          <w:sz w:val="26"/>
          <w:szCs w:val="26"/>
        </w:rPr>
        <w:t xml:space="preserve">interpretation of </w:t>
      </w:r>
      <w:r>
        <w:rPr>
          <w:sz w:val="26"/>
          <w:szCs w:val="26"/>
        </w:rPr>
        <w:t xml:space="preserve">subsection (d)(2) of Act 129, </w:t>
      </w:r>
      <w:r w:rsidRPr="00724707">
        <w:rPr>
          <w:sz w:val="26"/>
          <w:szCs w:val="26"/>
        </w:rPr>
        <w:t>66 Pa. C.S. § 2806.1(d)(2)</w:t>
      </w:r>
      <w:r>
        <w:rPr>
          <w:sz w:val="26"/>
          <w:szCs w:val="26"/>
        </w:rPr>
        <w:t>,</w:t>
      </w:r>
      <w:r w:rsidRPr="00724707">
        <w:rPr>
          <w:sz w:val="26"/>
          <w:szCs w:val="26"/>
        </w:rPr>
        <w:t xml:space="preserve"> is that</w:t>
      </w:r>
      <w:r>
        <w:rPr>
          <w:sz w:val="26"/>
          <w:szCs w:val="26"/>
        </w:rPr>
        <w:t>,</w:t>
      </w:r>
      <w:r w:rsidRPr="00724707">
        <w:rPr>
          <w:sz w:val="26"/>
          <w:szCs w:val="26"/>
        </w:rPr>
        <w:t xml:space="preserve"> in order to prescribe specific peak demand reduction targets for subsequent phases of Act 129, the demand response programs must be proven to be cost-effective.  In order to determine the cost-effectiveness of current and potential future demand response programs, the Commission </w:t>
      </w:r>
      <w:r>
        <w:rPr>
          <w:sz w:val="26"/>
          <w:szCs w:val="26"/>
        </w:rPr>
        <w:t>directed</w:t>
      </w:r>
      <w:r w:rsidRPr="00724707">
        <w:rPr>
          <w:sz w:val="26"/>
          <w:szCs w:val="26"/>
        </w:rPr>
        <w:t xml:space="preserve"> the SWE to complete a demand response study.</w:t>
      </w:r>
      <w:r w:rsidRPr="00724707">
        <w:rPr>
          <w:sz w:val="26"/>
          <w:szCs w:val="26"/>
          <w:vertAlign w:val="superscript"/>
        </w:rPr>
        <w:footnoteReference w:id="58"/>
      </w:r>
      <w:r w:rsidRPr="00724707">
        <w:rPr>
          <w:sz w:val="26"/>
          <w:szCs w:val="26"/>
        </w:rPr>
        <w:t xml:space="preserve">  </w:t>
      </w:r>
      <w:r>
        <w:rPr>
          <w:sz w:val="26"/>
          <w:szCs w:val="26"/>
        </w:rPr>
        <w:t>Specifically, t</w:t>
      </w:r>
      <w:r w:rsidRPr="00724707">
        <w:rPr>
          <w:sz w:val="26"/>
          <w:szCs w:val="26"/>
        </w:rPr>
        <w:t xml:space="preserve">he Commission’s </w:t>
      </w:r>
      <w:r w:rsidRPr="00724707">
        <w:rPr>
          <w:i/>
          <w:sz w:val="26"/>
          <w:szCs w:val="26"/>
        </w:rPr>
        <w:t>March 4, 2011 Secretarial Letter</w:t>
      </w:r>
      <w:r w:rsidRPr="00724707">
        <w:rPr>
          <w:sz w:val="26"/>
          <w:szCs w:val="26"/>
        </w:rPr>
        <w:t xml:space="preserve"> </w:t>
      </w:r>
      <w:r w:rsidR="009A2EB0">
        <w:rPr>
          <w:sz w:val="26"/>
          <w:szCs w:val="26"/>
        </w:rPr>
        <w:t xml:space="preserve">at Docket No. </w:t>
      </w:r>
      <w:r w:rsidR="0079206F" w:rsidRPr="00A01DB2">
        <w:rPr>
          <w:szCs w:val="24"/>
        </w:rPr>
        <w:t>M-2012-2289411</w:t>
      </w:r>
      <w:r w:rsidR="009A2EB0">
        <w:rPr>
          <w:sz w:val="26"/>
          <w:szCs w:val="26"/>
        </w:rPr>
        <w:t xml:space="preserve"> </w:t>
      </w:r>
      <w:r w:rsidRPr="00724707">
        <w:rPr>
          <w:sz w:val="26"/>
          <w:szCs w:val="26"/>
        </w:rPr>
        <w:t>directed the SWE to collect data and documentation from the EDCs to aid in performing an analysis of the cost</w:t>
      </w:r>
      <w:r>
        <w:rPr>
          <w:sz w:val="26"/>
          <w:szCs w:val="26"/>
        </w:rPr>
        <w:t>-</w:t>
      </w:r>
      <w:r w:rsidRPr="00724707">
        <w:rPr>
          <w:sz w:val="26"/>
          <w:szCs w:val="26"/>
        </w:rPr>
        <w:t xml:space="preserve">effectiveness of compliance with the current legislative demand response requirements and of potential improvements to the demand response program design.  This study </w:t>
      </w:r>
      <w:r>
        <w:rPr>
          <w:sz w:val="26"/>
          <w:szCs w:val="26"/>
        </w:rPr>
        <w:t>will not</w:t>
      </w:r>
      <w:r w:rsidRPr="00724707">
        <w:rPr>
          <w:sz w:val="26"/>
          <w:szCs w:val="26"/>
        </w:rPr>
        <w:t xml:space="preserve"> be completed </w:t>
      </w:r>
      <w:r>
        <w:rPr>
          <w:sz w:val="26"/>
          <w:szCs w:val="26"/>
        </w:rPr>
        <w:t>until</w:t>
      </w:r>
      <w:r w:rsidRPr="00724707">
        <w:rPr>
          <w:sz w:val="26"/>
          <w:szCs w:val="26"/>
        </w:rPr>
        <w:t xml:space="preserve"> late 2012</w:t>
      </w:r>
      <w:r>
        <w:rPr>
          <w:sz w:val="26"/>
          <w:szCs w:val="26"/>
        </w:rPr>
        <w:t>, after the current peak demand reduction program is completed</w:t>
      </w:r>
      <w:r w:rsidRPr="00724707">
        <w:rPr>
          <w:sz w:val="26"/>
          <w:szCs w:val="26"/>
        </w:rPr>
        <w:t xml:space="preserve">.  </w:t>
      </w:r>
    </w:p>
    <w:p w:rsidR="006A7EB7" w:rsidRPr="00724707" w:rsidRDefault="006A7EB7" w:rsidP="006A7EB7">
      <w:pPr>
        <w:tabs>
          <w:tab w:val="left" w:pos="-2070"/>
        </w:tabs>
        <w:spacing w:line="360" w:lineRule="auto"/>
        <w:ind w:firstLine="720"/>
        <w:rPr>
          <w:sz w:val="26"/>
          <w:szCs w:val="26"/>
        </w:rPr>
      </w:pPr>
    </w:p>
    <w:p w:rsidR="006A7EB7" w:rsidRDefault="009A2EB0" w:rsidP="006A7EB7">
      <w:pPr>
        <w:tabs>
          <w:tab w:val="left" w:pos="-2070"/>
        </w:tabs>
        <w:spacing w:line="360" w:lineRule="auto"/>
        <w:ind w:firstLine="720"/>
        <w:rPr>
          <w:sz w:val="26"/>
          <w:szCs w:val="26"/>
        </w:rPr>
      </w:pPr>
      <w:r w:rsidRPr="00F028B7">
        <w:rPr>
          <w:sz w:val="26"/>
          <w:szCs w:val="26"/>
        </w:rPr>
        <w:t>T</w:t>
      </w:r>
      <w:r w:rsidR="006A7EB7" w:rsidRPr="00F028B7">
        <w:rPr>
          <w:sz w:val="26"/>
          <w:szCs w:val="26"/>
        </w:rPr>
        <w:t xml:space="preserve">he Commission </w:t>
      </w:r>
      <w:r w:rsidRPr="00F028B7">
        <w:rPr>
          <w:sz w:val="26"/>
          <w:szCs w:val="26"/>
        </w:rPr>
        <w:t>has</w:t>
      </w:r>
      <w:r w:rsidR="00F028B7" w:rsidRPr="00F028B7">
        <w:rPr>
          <w:sz w:val="26"/>
          <w:szCs w:val="26"/>
        </w:rPr>
        <w:t xml:space="preserve"> not</w:t>
      </w:r>
      <w:r w:rsidRPr="00F028B7">
        <w:rPr>
          <w:sz w:val="26"/>
          <w:szCs w:val="26"/>
        </w:rPr>
        <w:t xml:space="preserve">, therefore, </w:t>
      </w:r>
      <w:r w:rsidR="000D5FA5">
        <w:rPr>
          <w:sz w:val="26"/>
          <w:szCs w:val="26"/>
        </w:rPr>
        <w:t xml:space="preserve">proposed to </w:t>
      </w:r>
      <w:r w:rsidR="006A7EB7" w:rsidRPr="00F028B7">
        <w:rPr>
          <w:sz w:val="26"/>
          <w:szCs w:val="26"/>
        </w:rPr>
        <w:t>set any peak demand reduction targets for the proposed three-year Phase II EE&amp;C program period.</w:t>
      </w:r>
      <w:r w:rsidR="006A7EB7" w:rsidRPr="00724707">
        <w:rPr>
          <w:sz w:val="26"/>
          <w:szCs w:val="26"/>
        </w:rPr>
        <w:t xml:space="preserve">  </w:t>
      </w:r>
      <w:r w:rsidR="000D5FA5">
        <w:rPr>
          <w:sz w:val="26"/>
          <w:szCs w:val="26"/>
        </w:rPr>
        <w:t>Additionally, the Commission has not yet determined if we will choose to implement demand response programs for Phase II or potential subsequent phases of Act 129.  If the decision is made to implement demand response programs, and if revisions to the TRC Test are deemed necessary due to a new demand response structure, then a</w:t>
      </w:r>
      <w:r w:rsidR="001E5E5E">
        <w:rPr>
          <w:sz w:val="26"/>
          <w:szCs w:val="26"/>
        </w:rPr>
        <w:t xml:space="preserve"> revised </w:t>
      </w:r>
      <w:r w:rsidR="002E6B7B">
        <w:rPr>
          <w:sz w:val="26"/>
          <w:szCs w:val="26"/>
        </w:rPr>
        <w:t xml:space="preserve">TRC </w:t>
      </w:r>
      <w:r w:rsidR="0099505C">
        <w:rPr>
          <w:sz w:val="26"/>
          <w:szCs w:val="26"/>
        </w:rPr>
        <w:t>T</w:t>
      </w:r>
      <w:r w:rsidR="002E6B7B">
        <w:rPr>
          <w:sz w:val="26"/>
          <w:szCs w:val="26"/>
        </w:rPr>
        <w:t xml:space="preserve">est would be issued </w:t>
      </w:r>
      <w:r w:rsidR="001E5E5E">
        <w:rPr>
          <w:sz w:val="26"/>
          <w:szCs w:val="26"/>
        </w:rPr>
        <w:t xml:space="preserve">for comment </w:t>
      </w:r>
      <w:r w:rsidR="002E6B7B">
        <w:rPr>
          <w:sz w:val="26"/>
          <w:szCs w:val="26"/>
        </w:rPr>
        <w:t>that includes demand response.</w:t>
      </w:r>
    </w:p>
    <w:p w:rsidR="00CD41D0" w:rsidRDefault="00CD41D0" w:rsidP="00F347F1">
      <w:pPr>
        <w:spacing w:line="360" w:lineRule="auto"/>
        <w:ind w:firstLine="720"/>
        <w:rPr>
          <w:sz w:val="26"/>
          <w:szCs w:val="26"/>
        </w:rPr>
      </w:pPr>
    </w:p>
    <w:p w:rsidR="00A931E8" w:rsidRPr="00185F1B" w:rsidRDefault="00A931E8" w:rsidP="00F347F1">
      <w:pPr>
        <w:spacing w:line="360" w:lineRule="auto"/>
        <w:ind w:firstLine="720"/>
        <w:rPr>
          <w:sz w:val="26"/>
          <w:szCs w:val="26"/>
        </w:rPr>
      </w:pPr>
      <w:r>
        <w:rPr>
          <w:sz w:val="26"/>
          <w:szCs w:val="26"/>
        </w:rPr>
        <w:t xml:space="preserve">Although </w:t>
      </w:r>
      <w:r w:rsidR="002E6B7B">
        <w:rPr>
          <w:sz w:val="26"/>
          <w:szCs w:val="26"/>
        </w:rPr>
        <w:t>demand response was previously address</w:t>
      </w:r>
      <w:r w:rsidR="007165D2">
        <w:rPr>
          <w:sz w:val="26"/>
          <w:szCs w:val="26"/>
        </w:rPr>
        <w:t>ed</w:t>
      </w:r>
      <w:r w:rsidR="002E6B7B">
        <w:rPr>
          <w:sz w:val="26"/>
          <w:szCs w:val="26"/>
        </w:rPr>
        <w:t xml:space="preserve"> within the</w:t>
      </w:r>
      <w:r>
        <w:rPr>
          <w:sz w:val="26"/>
          <w:szCs w:val="26"/>
        </w:rPr>
        <w:t xml:space="preserve"> context of the TRC test, the Commission recognizes that</w:t>
      </w:r>
      <w:r w:rsidR="007165D2">
        <w:rPr>
          <w:sz w:val="26"/>
          <w:szCs w:val="26"/>
        </w:rPr>
        <w:t xml:space="preserve"> the inclusion or exclusion of</w:t>
      </w:r>
      <w:r>
        <w:rPr>
          <w:sz w:val="26"/>
          <w:szCs w:val="26"/>
        </w:rPr>
        <w:t xml:space="preserve"> </w:t>
      </w:r>
      <w:r w:rsidR="007165D2">
        <w:rPr>
          <w:sz w:val="26"/>
          <w:szCs w:val="26"/>
        </w:rPr>
        <w:t xml:space="preserve">demand response programming </w:t>
      </w:r>
      <w:r>
        <w:rPr>
          <w:sz w:val="26"/>
          <w:szCs w:val="26"/>
        </w:rPr>
        <w:t xml:space="preserve">is </w:t>
      </w:r>
      <w:r w:rsidR="007165D2">
        <w:rPr>
          <w:sz w:val="26"/>
          <w:szCs w:val="26"/>
        </w:rPr>
        <w:t>an overarching policy issue</w:t>
      </w:r>
      <w:r>
        <w:rPr>
          <w:sz w:val="26"/>
          <w:szCs w:val="26"/>
        </w:rPr>
        <w:t xml:space="preserve">.  </w:t>
      </w:r>
      <w:r w:rsidR="007165D2">
        <w:rPr>
          <w:sz w:val="26"/>
          <w:szCs w:val="26"/>
        </w:rPr>
        <w:t>Therefore</w:t>
      </w:r>
      <w:r w:rsidR="009A2EB0">
        <w:rPr>
          <w:sz w:val="26"/>
          <w:szCs w:val="26"/>
        </w:rPr>
        <w:t>,</w:t>
      </w:r>
      <w:r w:rsidR="007165D2">
        <w:rPr>
          <w:sz w:val="26"/>
          <w:szCs w:val="26"/>
        </w:rPr>
        <w:t xml:space="preserve"> the topic of demand response </w:t>
      </w:r>
      <w:r w:rsidR="007165D2">
        <w:rPr>
          <w:sz w:val="26"/>
          <w:szCs w:val="26"/>
        </w:rPr>
        <w:lastRenderedPageBreak/>
        <w:t xml:space="preserve">programming </w:t>
      </w:r>
      <w:r w:rsidR="009A2EB0">
        <w:rPr>
          <w:sz w:val="26"/>
          <w:szCs w:val="26"/>
        </w:rPr>
        <w:t xml:space="preserve">has been </w:t>
      </w:r>
      <w:r>
        <w:rPr>
          <w:sz w:val="26"/>
          <w:szCs w:val="26"/>
        </w:rPr>
        <w:t xml:space="preserve">included in the </w:t>
      </w:r>
      <w:r w:rsidRPr="00D46558">
        <w:rPr>
          <w:i/>
          <w:sz w:val="26"/>
          <w:szCs w:val="26"/>
        </w:rPr>
        <w:t>Energy Efficiency and Conservation Program Tentative Implementation Order</w:t>
      </w:r>
      <w:r w:rsidRPr="00185F1B">
        <w:rPr>
          <w:sz w:val="26"/>
          <w:szCs w:val="26"/>
        </w:rPr>
        <w:t xml:space="preserve">. </w:t>
      </w:r>
      <w:r>
        <w:rPr>
          <w:sz w:val="26"/>
          <w:szCs w:val="26"/>
        </w:rPr>
        <w:t xml:space="preserve"> Therefore, </w:t>
      </w:r>
      <w:r w:rsidRPr="00185F1B">
        <w:rPr>
          <w:sz w:val="26"/>
          <w:szCs w:val="26"/>
        </w:rPr>
        <w:t xml:space="preserve">comments pertaining to </w:t>
      </w:r>
      <w:r w:rsidR="009A2EB0">
        <w:rPr>
          <w:sz w:val="26"/>
          <w:szCs w:val="26"/>
        </w:rPr>
        <w:t xml:space="preserve">including </w:t>
      </w:r>
      <w:r w:rsidR="007165D2">
        <w:rPr>
          <w:sz w:val="26"/>
          <w:szCs w:val="26"/>
        </w:rPr>
        <w:t>demand response programs</w:t>
      </w:r>
      <w:r w:rsidR="009A2EB0">
        <w:rPr>
          <w:sz w:val="26"/>
          <w:szCs w:val="26"/>
        </w:rPr>
        <w:t xml:space="preserve"> in Phase II</w:t>
      </w:r>
      <w:r w:rsidRPr="00185F1B">
        <w:rPr>
          <w:sz w:val="26"/>
          <w:szCs w:val="26"/>
        </w:rPr>
        <w:t xml:space="preserve">, although </w:t>
      </w:r>
      <w:r w:rsidR="007165D2">
        <w:rPr>
          <w:sz w:val="26"/>
          <w:szCs w:val="26"/>
        </w:rPr>
        <w:t xml:space="preserve">also </w:t>
      </w:r>
      <w:r w:rsidRPr="00185F1B">
        <w:rPr>
          <w:sz w:val="26"/>
          <w:szCs w:val="26"/>
        </w:rPr>
        <w:t xml:space="preserve">a TRC-related issue, should be </w:t>
      </w:r>
      <w:r>
        <w:rPr>
          <w:sz w:val="26"/>
          <w:szCs w:val="26"/>
        </w:rPr>
        <w:t>provided for that proceeding</w:t>
      </w:r>
      <w:r w:rsidRPr="00185F1B">
        <w:rPr>
          <w:sz w:val="26"/>
          <w:szCs w:val="26"/>
        </w:rPr>
        <w:t>.</w:t>
      </w:r>
      <w:r w:rsidR="009A2EB0">
        <w:rPr>
          <w:sz w:val="26"/>
          <w:szCs w:val="26"/>
        </w:rPr>
        <w:t xml:space="preserve">  </w:t>
      </w:r>
    </w:p>
    <w:p w:rsidR="00900D43" w:rsidRDefault="00900D43" w:rsidP="00F347F1">
      <w:pPr>
        <w:spacing w:line="360" w:lineRule="auto"/>
        <w:rPr>
          <w:b/>
          <w:sz w:val="26"/>
          <w:szCs w:val="26"/>
        </w:rPr>
      </w:pPr>
    </w:p>
    <w:p w:rsidR="00726645" w:rsidRPr="00A3581E" w:rsidRDefault="00A3581E" w:rsidP="00A3581E">
      <w:pPr>
        <w:pStyle w:val="ListParagraph"/>
        <w:numPr>
          <w:ilvl w:val="0"/>
          <w:numId w:val="25"/>
        </w:numPr>
        <w:spacing w:after="0" w:line="480" w:lineRule="auto"/>
        <w:ind w:left="720"/>
        <w:rPr>
          <w:rFonts w:ascii="Times New Roman" w:hAnsi="Times New Roman"/>
          <w:b/>
          <w:sz w:val="26"/>
          <w:szCs w:val="26"/>
        </w:rPr>
      </w:pPr>
      <w:r w:rsidRPr="00A3581E">
        <w:rPr>
          <w:rFonts w:ascii="Times New Roman" w:hAnsi="Times New Roman"/>
          <w:b/>
          <w:sz w:val="26"/>
          <w:szCs w:val="26"/>
        </w:rPr>
        <w:t>TRC TEST FORMULAE FOR USE IN PENNSYLVANIA</w:t>
      </w:r>
    </w:p>
    <w:p w:rsidR="00726645" w:rsidRDefault="00726645" w:rsidP="00F347F1">
      <w:pPr>
        <w:pStyle w:val="p3"/>
        <w:widowControl/>
        <w:tabs>
          <w:tab w:val="clear" w:pos="204"/>
        </w:tabs>
        <w:spacing w:line="360" w:lineRule="auto"/>
        <w:rPr>
          <w:sz w:val="26"/>
          <w:szCs w:val="26"/>
        </w:rPr>
      </w:pPr>
      <w:r>
        <w:rPr>
          <w:sz w:val="26"/>
          <w:szCs w:val="26"/>
        </w:rPr>
        <w:tab/>
        <w:t xml:space="preserve">The definitions and formulae to be used in Pennsylvania-specific TRC testing are set forth in Appendix </w:t>
      </w:r>
      <w:r w:rsidR="006B36AD">
        <w:rPr>
          <w:sz w:val="26"/>
          <w:szCs w:val="26"/>
        </w:rPr>
        <w:t xml:space="preserve">A </w:t>
      </w:r>
      <w:r>
        <w:rPr>
          <w:sz w:val="26"/>
          <w:szCs w:val="26"/>
        </w:rPr>
        <w:t xml:space="preserve">to this order.  The definitions and formulae have been taken from the </w:t>
      </w:r>
      <w:r>
        <w:rPr>
          <w:i/>
          <w:sz w:val="26"/>
          <w:szCs w:val="26"/>
        </w:rPr>
        <w:t>California Manual</w:t>
      </w:r>
      <w:r>
        <w:rPr>
          <w:sz w:val="26"/>
          <w:szCs w:val="26"/>
        </w:rPr>
        <w:t xml:space="preserve"> without further specific attribution.  </w:t>
      </w:r>
    </w:p>
    <w:p w:rsidR="00726645" w:rsidRDefault="00726645" w:rsidP="00F347F1">
      <w:pPr>
        <w:overflowPunct/>
        <w:autoSpaceDE/>
        <w:autoSpaceDN/>
        <w:adjustRightInd/>
        <w:spacing w:line="360" w:lineRule="auto"/>
        <w:textAlignment w:val="auto"/>
        <w:rPr>
          <w:sz w:val="26"/>
          <w:szCs w:val="26"/>
        </w:rPr>
      </w:pPr>
    </w:p>
    <w:p w:rsidR="00726645" w:rsidRPr="00600A1C" w:rsidRDefault="00A3581E" w:rsidP="00A3581E">
      <w:pPr>
        <w:pStyle w:val="p3"/>
        <w:keepNext/>
        <w:widowControl/>
        <w:numPr>
          <w:ilvl w:val="0"/>
          <w:numId w:val="25"/>
        </w:numPr>
        <w:tabs>
          <w:tab w:val="clear" w:pos="204"/>
        </w:tabs>
        <w:spacing w:line="480" w:lineRule="auto"/>
        <w:ind w:left="720"/>
        <w:rPr>
          <w:b/>
          <w:sz w:val="26"/>
          <w:szCs w:val="26"/>
        </w:rPr>
      </w:pPr>
      <w:r w:rsidRPr="00D46558">
        <w:rPr>
          <w:b/>
          <w:sz w:val="26"/>
          <w:szCs w:val="26"/>
        </w:rPr>
        <w:t>CONCLUSION</w:t>
      </w:r>
    </w:p>
    <w:p w:rsidR="00726645" w:rsidRPr="00C25E9F" w:rsidRDefault="00726645" w:rsidP="00F347F1">
      <w:pPr>
        <w:spacing w:line="360" w:lineRule="auto"/>
        <w:ind w:firstLine="720"/>
        <w:rPr>
          <w:sz w:val="26"/>
          <w:szCs w:val="26"/>
        </w:rPr>
      </w:pPr>
      <w:r w:rsidRPr="00C25E9F">
        <w:rPr>
          <w:sz w:val="26"/>
          <w:szCs w:val="26"/>
        </w:rPr>
        <w:t xml:space="preserve">With this Tentative Order, </w:t>
      </w:r>
      <w:r>
        <w:rPr>
          <w:sz w:val="26"/>
          <w:szCs w:val="26"/>
        </w:rPr>
        <w:t xml:space="preserve">the Commission </w:t>
      </w:r>
      <w:r w:rsidRPr="00C25E9F">
        <w:rPr>
          <w:sz w:val="26"/>
          <w:szCs w:val="26"/>
        </w:rPr>
        <w:t>seek</w:t>
      </w:r>
      <w:r>
        <w:rPr>
          <w:sz w:val="26"/>
          <w:szCs w:val="26"/>
        </w:rPr>
        <w:t>s</w:t>
      </w:r>
      <w:r w:rsidRPr="00C25E9F">
        <w:rPr>
          <w:sz w:val="26"/>
          <w:szCs w:val="26"/>
        </w:rPr>
        <w:t xml:space="preserve"> comments on the proposed </w:t>
      </w:r>
      <w:r>
        <w:rPr>
          <w:sz w:val="26"/>
          <w:szCs w:val="26"/>
        </w:rPr>
        <w:t>PA TRC T</w:t>
      </w:r>
      <w:r w:rsidRPr="00C25E9F">
        <w:rPr>
          <w:sz w:val="26"/>
          <w:szCs w:val="26"/>
        </w:rPr>
        <w:t>est</w:t>
      </w:r>
      <w:r>
        <w:rPr>
          <w:sz w:val="26"/>
          <w:szCs w:val="26"/>
        </w:rPr>
        <w:t xml:space="preserve"> for Phase II</w:t>
      </w:r>
      <w:r w:rsidRPr="00C25E9F">
        <w:rPr>
          <w:sz w:val="26"/>
          <w:szCs w:val="26"/>
        </w:rPr>
        <w:t xml:space="preserve">.  This Tentative Order represents </w:t>
      </w:r>
      <w:r>
        <w:rPr>
          <w:sz w:val="26"/>
          <w:szCs w:val="26"/>
        </w:rPr>
        <w:t xml:space="preserve">the Commission’s </w:t>
      </w:r>
      <w:r w:rsidRPr="00C25E9F">
        <w:rPr>
          <w:sz w:val="26"/>
          <w:szCs w:val="26"/>
        </w:rPr>
        <w:t xml:space="preserve">efforts </w:t>
      </w:r>
      <w:r>
        <w:rPr>
          <w:sz w:val="26"/>
          <w:szCs w:val="26"/>
        </w:rPr>
        <w:t>to</w:t>
      </w:r>
      <w:r w:rsidRPr="00C25E9F">
        <w:rPr>
          <w:sz w:val="26"/>
          <w:szCs w:val="26"/>
        </w:rPr>
        <w:t xml:space="preserve"> establish</w:t>
      </w:r>
      <w:r>
        <w:rPr>
          <w:sz w:val="26"/>
          <w:szCs w:val="26"/>
        </w:rPr>
        <w:t xml:space="preserve"> </w:t>
      </w:r>
      <w:r w:rsidRPr="00C25E9F">
        <w:rPr>
          <w:sz w:val="26"/>
          <w:szCs w:val="26"/>
        </w:rPr>
        <w:t xml:space="preserve">a comprehensive TRC test with the purpose of evaluating the EE&amp;C Programs pursuant to Act 129.  Comments to this Tentative Order should reflect the identical topical numbering references as used herein.  If your comments do not address a particular topic, please </w:t>
      </w:r>
      <w:r w:rsidR="00045FA7">
        <w:rPr>
          <w:sz w:val="26"/>
          <w:szCs w:val="26"/>
        </w:rPr>
        <w:t xml:space="preserve">include </w:t>
      </w:r>
      <w:r w:rsidR="006B36AD">
        <w:rPr>
          <w:sz w:val="26"/>
          <w:szCs w:val="26"/>
        </w:rPr>
        <w:t xml:space="preserve">the notation </w:t>
      </w:r>
      <w:r w:rsidR="00045FA7">
        <w:rPr>
          <w:sz w:val="26"/>
          <w:szCs w:val="26"/>
        </w:rPr>
        <w:t xml:space="preserve">that </w:t>
      </w:r>
      <w:r w:rsidRPr="00C25E9F">
        <w:rPr>
          <w:sz w:val="26"/>
          <w:szCs w:val="26"/>
        </w:rPr>
        <w:t xml:space="preserve">that you are not commenting on that particular topic.  If you are raising new topics, please do so after you have </w:t>
      </w:r>
      <w:r w:rsidR="00045FA7">
        <w:rPr>
          <w:sz w:val="26"/>
          <w:szCs w:val="26"/>
        </w:rPr>
        <w:t xml:space="preserve">addressed </w:t>
      </w:r>
      <w:r w:rsidRPr="00C25E9F">
        <w:rPr>
          <w:sz w:val="26"/>
          <w:szCs w:val="26"/>
        </w:rPr>
        <w:t>the topic</w:t>
      </w:r>
      <w:r w:rsidR="00045FA7">
        <w:rPr>
          <w:sz w:val="26"/>
          <w:szCs w:val="26"/>
        </w:rPr>
        <w:t>s</w:t>
      </w:r>
      <w:r w:rsidRPr="00C25E9F">
        <w:rPr>
          <w:sz w:val="26"/>
          <w:szCs w:val="26"/>
        </w:rPr>
        <w:t xml:space="preserve"> raised in this Tentative Order.  This Tentative Order and filed comments will be made available to the public on the Commission’s Act 129 Information web page</w:t>
      </w:r>
      <w:r>
        <w:rPr>
          <w:sz w:val="26"/>
          <w:szCs w:val="26"/>
        </w:rPr>
        <w:t>;</w:t>
      </w:r>
      <w:r w:rsidRPr="00A45FB7">
        <w:rPr>
          <w:rStyle w:val="FootnoteReference"/>
          <w:sz w:val="26"/>
          <w:szCs w:val="26"/>
        </w:rPr>
        <w:t xml:space="preserve"> </w:t>
      </w:r>
      <w:r w:rsidRPr="00C25E9F">
        <w:rPr>
          <w:rStyle w:val="FootnoteReference"/>
          <w:sz w:val="26"/>
          <w:szCs w:val="26"/>
        </w:rPr>
        <w:footnoteReference w:id="59"/>
      </w:r>
      <w:r w:rsidRPr="00C25E9F">
        <w:rPr>
          <w:sz w:val="26"/>
          <w:szCs w:val="26"/>
        </w:rPr>
        <w:t xml:space="preserve"> </w:t>
      </w:r>
      <w:r w:rsidRPr="00C25E9F">
        <w:rPr>
          <w:b/>
          <w:sz w:val="26"/>
          <w:szCs w:val="26"/>
        </w:rPr>
        <w:t>THEREFORE,</w:t>
      </w:r>
    </w:p>
    <w:p w:rsidR="00726645" w:rsidRDefault="00726645" w:rsidP="00F347F1">
      <w:pPr>
        <w:keepNext/>
        <w:spacing w:line="360" w:lineRule="auto"/>
        <w:rPr>
          <w:b/>
          <w:sz w:val="26"/>
          <w:szCs w:val="26"/>
        </w:rPr>
      </w:pPr>
      <w:r w:rsidRPr="00C25E9F">
        <w:rPr>
          <w:sz w:val="26"/>
          <w:szCs w:val="26"/>
        </w:rPr>
        <w:tab/>
      </w:r>
      <w:r w:rsidRPr="00C25E9F">
        <w:rPr>
          <w:b/>
          <w:sz w:val="26"/>
          <w:szCs w:val="26"/>
        </w:rPr>
        <w:t>IT IS ORDERED:</w:t>
      </w:r>
    </w:p>
    <w:p w:rsidR="00726645" w:rsidRPr="00C25E9F" w:rsidRDefault="00726645" w:rsidP="00F347F1">
      <w:pPr>
        <w:keepNext/>
        <w:spacing w:line="360" w:lineRule="auto"/>
        <w:rPr>
          <w:b/>
          <w:sz w:val="26"/>
          <w:szCs w:val="26"/>
        </w:rPr>
      </w:pPr>
    </w:p>
    <w:p w:rsidR="00726645" w:rsidRPr="00C25E9F" w:rsidRDefault="00726645" w:rsidP="00F347F1">
      <w:pPr>
        <w:spacing w:line="360" w:lineRule="auto"/>
        <w:rPr>
          <w:sz w:val="26"/>
          <w:szCs w:val="26"/>
        </w:rPr>
      </w:pPr>
      <w:r w:rsidRPr="00C25E9F">
        <w:rPr>
          <w:sz w:val="26"/>
          <w:szCs w:val="26"/>
        </w:rPr>
        <w:tab/>
        <w:t>1.</w:t>
      </w:r>
      <w:r w:rsidRPr="00C25E9F">
        <w:rPr>
          <w:sz w:val="26"/>
          <w:szCs w:val="26"/>
        </w:rPr>
        <w:tab/>
        <w:t xml:space="preserve">That the Pennsylvania Total Resource Cost Test </w:t>
      </w:r>
      <w:r>
        <w:rPr>
          <w:sz w:val="26"/>
          <w:szCs w:val="26"/>
        </w:rPr>
        <w:t xml:space="preserve">for Phase II </w:t>
      </w:r>
      <w:r w:rsidR="006B36AD">
        <w:rPr>
          <w:sz w:val="26"/>
          <w:szCs w:val="26"/>
        </w:rPr>
        <w:t>be</w:t>
      </w:r>
      <w:r w:rsidRPr="00C25E9F">
        <w:rPr>
          <w:sz w:val="26"/>
          <w:szCs w:val="26"/>
        </w:rPr>
        <w:t xml:space="preserve"> issued for comment.</w:t>
      </w:r>
    </w:p>
    <w:p w:rsidR="00726645" w:rsidRPr="00C25E9F" w:rsidRDefault="00726645" w:rsidP="00F347F1">
      <w:pPr>
        <w:spacing w:line="360" w:lineRule="auto"/>
        <w:rPr>
          <w:sz w:val="26"/>
          <w:szCs w:val="26"/>
        </w:rPr>
      </w:pPr>
    </w:p>
    <w:p w:rsidR="00726645" w:rsidRDefault="00726645" w:rsidP="00F347F1">
      <w:pPr>
        <w:spacing w:line="360" w:lineRule="auto"/>
        <w:rPr>
          <w:sz w:val="26"/>
          <w:szCs w:val="26"/>
        </w:rPr>
      </w:pPr>
      <w:r w:rsidRPr="00C25E9F">
        <w:rPr>
          <w:sz w:val="26"/>
          <w:szCs w:val="26"/>
        </w:rPr>
        <w:lastRenderedPageBreak/>
        <w:tab/>
        <w:t>2.</w:t>
      </w:r>
      <w:r w:rsidRPr="00C25E9F">
        <w:rPr>
          <w:sz w:val="26"/>
          <w:szCs w:val="26"/>
        </w:rPr>
        <w:tab/>
        <w:t xml:space="preserve">That a copy of this Tentative Order be served upon the Office of Consumer Advocate, the Office of Small Business Advocate, the </w:t>
      </w:r>
      <w:r w:rsidR="00845278">
        <w:rPr>
          <w:sz w:val="26"/>
          <w:szCs w:val="26"/>
        </w:rPr>
        <w:t>Bureau of Investigation and Enforcement</w:t>
      </w:r>
      <w:r w:rsidRPr="00C25E9F">
        <w:rPr>
          <w:sz w:val="26"/>
          <w:szCs w:val="26"/>
        </w:rPr>
        <w:t>, all jurisdictional electric distribution companies, all licensed electric generation suppliers, the Pennsylvania Department of Environmental Protection</w:t>
      </w:r>
      <w:r w:rsidR="006B36AD">
        <w:rPr>
          <w:sz w:val="26"/>
          <w:szCs w:val="26"/>
        </w:rPr>
        <w:t>,</w:t>
      </w:r>
      <w:r w:rsidRPr="00C25E9F">
        <w:rPr>
          <w:sz w:val="26"/>
          <w:szCs w:val="26"/>
        </w:rPr>
        <w:t xml:space="preserve"> and all parties who commented on the </w:t>
      </w:r>
      <w:r w:rsidRPr="00C25E9F">
        <w:rPr>
          <w:i/>
          <w:sz w:val="26"/>
          <w:szCs w:val="26"/>
        </w:rPr>
        <w:t>200</w:t>
      </w:r>
      <w:r w:rsidR="00045FA7">
        <w:rPr>
          <w:i/>
          <w:sz w:val="26"/>
          <w:szCs w:val="26"/>
        </w:rPr>
        <w:t>11</w:t>
      </w:r>
      <w:r w:rsidRPr="00C25E9F">
        <w:rPr>
          <w:i/>
          <w:sz w:val="26"/>
          <w:szCs w:val="26"/>
        </w:rPr>
        <w:t xml:space="preserve"> Pennsylvania Total Resource Cost Test Order</w:t>
      </w:r>
      <w:r w:rsidR="00045FA7">
        <w:rPr>
          <w:sz w:val="26"/>
          <w:szCs w:val="26"/>
        </w:rPr>
        <w:t>, Docket No.</w:t>
      </w:r>
      <w:r w:rsidR="006B36AD">
        <w:rPr>
          <w:sz w:val="26"/>
          <w:szCs w:val="26"/>
        </w:rPr>
        <w:t> </w:t>
      </w:r>
      <w:r w:rsidR="00E14E36" w:rsidRPr="000F461D">
        <w:rPr>
          <w:sz w:val="26"/>
          <w:szCs w:val="26"/>
        </w:rPr>
        <w:t>M</w:t>
      </w:r>
      <w:r w:rsidR="006B36AD">
        <w:rPr>
          <w:sz w:val="26"/>
          <w:szCs w:val="26"/>
        </w:rPr>
        <w:noBreakHyphen/>
      </w:r>
      <w:r w:rsidR="00E14E36" w:rsidRPr="000F461D">
        <w:rPr>
          <w:sz w:val="26"/>
          <w:szCs w:val="26"/>
        </w:rPr>
        <w:t>2009-2108601</w:t>
      </w:r>
      <w:r w:rsidR="00E14E36" w:rsidRPr="000F461D">
        <w:t xml:space="preserve"> </w:t>
      </w:r>
      <w:r w:rsidR="00045FA7">
        <w:rPr>
          <w:sz w:val="26"/>
          <w:szCs w:val="26"/>
        </w:rPr>
        <w:t xml:space="preserve">entered on </w:t>
      </w:r>
      <w:r w:rsidR="00E14E36">
        <w:rPr>
          <w:sz w:val="26"/>
          <w:szCs w:val="26"/>
        </w:rPr>
        <w:t>August 2, 2011.</w:t>
      </w:r>
    </w:p>
    <w:p w:rsidR="00436DFE" w:rsidRDefault="00436DFE" w:rsidP="00F347F1">
      <w:pPr>
        <w:spacing w:line="360" w:lineRule="auto"/>
        <w:rPr>
          <w:sz w:val="26"/>
          <w:szCs w:val="26"/>
        </w:rPr>
      </w:pPr>
    </w:p>
    <w:p w:rsidR="00436DFE" w:rsidRPr="00C25E9F" w:rsidRDefault="00436DFE" w:rsidP="00436DFE">
      <w:pPr>
        <w:spacing w:line="360" w:lineRule="auto"/>
        <w:ind w:firstLine="720"/>
        <w:rPr>
          <w:sz w:val="26"/>
          <w:szCs w:val="26"/>
        </w:rPr>
      </w:pPr>
      <w:r>
        <w:rPr>
          <w:sz w:val="26"/>
          <w:szCs w:val="26"/>
        </w:rPr>
        <w:t>3.</w:t>
      </w:r>
      <w:r>
        <w:rPr>
          <w:sz w:val="26"/>
          <w:szCs w:val="26"/>
        </w:rPr>
        <w:tab/>
      </w:r>
      <w:r w:rsidRPr="00436DFE">
        <w:rPr>
          <w:sz w:val="26"/>
          <w:szCs w:val="26"/>
        </w:rPr>
        <w:t>That a copy of this Tentative Order be published in the</w:t>
      </w:r>
      <w:r w:rsidRPr="00436DFE">
        <w:rPr>
          <w:i/>
          <w:sz w:val="26"/>
          <w:szCs w:val="26"/>
        </w:rPr>
        <w:t xml:space="preserve"> Pennsylvania Bulletin.</w:t>
      </w:r>
    </w:p>
    <w:p w:rsidR="00726645" w:rsidRPr="00C25E9F" w:rsidRDefault="00726645" w:rsidP="00F42BB9">
      <w:pPr>
        <w:spacing w:line="360" w:lineRule="auto"/>
        <w:rPr>
          <w:sz w:val="26"/>
          <w:szCs w:val="26"/>
        </w:rPr>
      </w:pPr>
    </w:p>
    <w:p w:rsidR="00726645" w:rsidRPr="00C25E9F" w:rsidRDefault="00726645" w:rsidP="00F42BB9">
      <w:pPr>
        <w:spacing w:line="360" w:lineRule="auto"/>
        <w:rPr>
          <w:sz w:val="26"/>
          <w:szCs w:val="26"/>
        </w:rPr>
      </w:pPr>
      <w:r w:rsidRPr="00C25E9F">
        <w:rPr>
          <w:sz w:val="26"/>
          <w:szCs w:val="26"/>
        </w:rPr>
        <w:tab/>
      </w:r>
      <w:r w:rsidR="00436DFE">
        <w:rPr>
          <w:sz w:val="26"/>
          <w:szCs w:val="26"/>
        </w:rPr>
        <w:t>4</w:t>
      </w:r>
      <w:r w:rsidRPr="00C25E9F">
        <w:rPr>
          <w:sz w:val="26"/>
          <w:szCs w:val="26"/>
        </w:rPr>
        <w:t>.</w:t>
      </w:r>
      <w:r w:rsidRPr="00C25E9F">
        <w:rPr>
          <w:sz w:val="26"/>
          <w:szCs w:val="26"/>
        </w:rPr>
        <w:tab/>
      </w:r>
      <w:r>
        <w:rPr>
          <w:sz w:val="26"/>
          <w:szCs w:val="26"/>
        </w:rPr>
        <w:t xml:space="preserve">That interested parties may file comments on or before </w:t>
      </w:r>
      <w:r w:rsidR="00045FA7">
        <w:rPr>
          <w:sz w:val="26"/>
          <w:szCs w:val="26"/>
        </w:rPr>
        <w:t>twenty (</w:t>
      </w:r>
      <w:r>
        <w:rPr>
          <w:sz w:val="26"/>
          <w:szCs w:val="26"/>
        </w:rPr>
        <w:t>20</w:t>
      </w:r>
      <w:r w:rsidR="00045FA7">
        <w:rPr>
          <w:sz w:val="26"/>
          <w:szCs w:val="26"/>
        </w:rPr>
        <w:t>)</w:t>
      </w:r>
      <w:r>
        <w:rPr>
          <w:sz w:val="26"/>
          <w:szCs w:val="26"/>
        </w:rPr>
        <w:t xml:space="preserve"> days after </w:t>
      </w:r>
      <w:r w:rsidR="00436DFE">
        <w:rPr>
          <w:sz w:val="26"/>
          <w:szCs w:val="26"/>
        </w:rPr>
        <w:t xml:space="preserve">publication in the </w:t>
      </w:r>
      <w:r w:rsidR="00436DFE" w:rsidRPr="00436DFE">
        <w:rPr>
          <w:i/>
          <w:sz w:val="26"/>
          <w:szCs w:val="26"/>
        </w:rPr>
        <w:t>Pennsylvania Bulletin</w:t>
      </w:r>
      <w:r w:rsidR="00436DFE">
        <w:rPr>
          <w:sz w:val="26"/>
          <w:szCs w:val="26"/>
        </w:rPr>
        <w:t xml:space="preserve"> on or before June 29, 2012, whichever is later.  </w:t>
      </w:r>
      <w:r>
        <w:rPr>
          <w:sz w:val="26"/>
          <w:szCs w:val="26"/>
        </w:rPr>
        <w:t xml:space="preserve">Reply comments are due on or before </w:t>
      </w:r>
      <w:r w:rsidR="00045FA7">
        <w:rPr>
          <w:sz w:val="26"/>
          <w:szCs w:val="26"/>
        </w:rPr>
        <w:t>ten (</w:t>
      </w:r>
      <w:r>
        <w:rPr>
          <w:sz w:val="26"/>
          <w:szCs w:val="26"/>
        </w:rPr>
        <w:t>10</w:t>
      </w:r>
      <w:r w:rsidR="00045FA7">
        <w:rPr>
          <w:sz w:val="26"/>
          <w:szCs w:val="26"/>
        </w:rPr>
        <w:t>)</w:t>
      </w:r>
      <w:r>
        <w:rPr>
          <w:sz w:val="26"/>
          <w:szCs w:val="26"/>
        </w:rPr>
        <w:t xml:space="preserve"> days </w:t>
      </w:r>
      <w:r w:rsidR="00436DFE">
        <w:rPr>
          <w:sz w:val="26"/>
          <w:szCs w:val="26"/>
        </w:rPr>
        <w:t>after comments are due or July 9, 2012, whichever is later</w:t>
      </w:r>
      <w:r>
        <w:rPr>
          <w:sz w:val="26"/>
          <w:szCs w:val="26"/>
        </w:rPr>
        <w:t xml:space="preserve">.  An original and </w:t>
      </w:r>
      <w:r w:rsidR="00B92812">
        <w:rPr>
          <w:sz w:val="26"/>
          <w:szCs w:val="26"/>
        </w:rPr>
        <w:t xml:space="preserve">three </w:t>
      </w:r>
      <w:r>
        <w:rPr>
          <w:sz w:val="26"/>
          <w:szCs w:val="26"/>
        </w:rPr>
        <w:t>(</w:t>
      </w:r>
      <w:r w:rsidR="00B92812">
        <w:rPr>
          <w:sz w:val="26"/>
          <w:szCs w:val="26"/>
        </w:rPr>
        <w:t>3</w:t>
      </w:r>
      <w:r>
        <w:rPr>
          <w:sz w:val="26"/>
          <w:szCs w:val="26"/>
        </w:rPr>
        <w:t>) copies of the comments shall be filed referencing Docket N</w:t>
      </w:r>
      <w:r w:rsidR="00045FA7">
        <w:rPr>
          <w:sz w:val="26"/>
          <w:szCs w:val="26"/>
        </w:rPr>
        <w:t>o.</w:t>
      </w:r>
      <w:r>
        <w:rPr>
          <w:sz w:val="26"/>
          <w:szCs w:val="26"/>
        </w:rPr>
        <w:t xml:space="preserve"> </w:t>
      </w:r>
      <w:r w:rsidR="00F347F1" w:rsidRPr="000F461D">
        <w:rPr>
          <w:sz w:val="26"/>
          <w:szCs w:val="26"/>
        </w:rPr>
        <w:t>M-2012-2300653</w:t>
      </w:r>
      <w:r>
        <w:rPr>
          <w:sz w:val="26"/>
          <w:szCs w:val="26"/>
        </w:rPr>
        <w:t xml:space="preserve"> with the Pennsylvania Public Utility </w:t>
      </w:r>
      <w:r w:rsidR="00436DFE">
        <w:rPr>
          <w:sz w:val="26"/>
          <w:szCs w:val="26"/>
        </w:rPr>
        <w:t>C</w:t>
      </w:r>
      <w:r>
        <w:rPr>
          <w:sz w:val="26"/>
          <w:szCs w:val="26"/>
        </w:rPr>
        <w:t>ommission, Attention:  Secretary, P.O. Box 3265, Harrisburg, PA  17105-3265</w:t>
      </w:r>
      <w:r w:rsidR="0093226B">
        <w:rPr>
          <w:sz w:val="26"/>
          <w:szCs w:val="26"/>
        </w:rPr>
        <w:t>.</w:t>
      </w:r>
    </w:p>
    <w:p w:rsidR="00726645" w:rsidRPr="00C25E9F" w:rsidRDefault="00726645" w:rsidP="00F42BB9">
      <w:pPr>
        <w:spacing w:line="360" w:lineRule="auto"/>
        <w:rPr>
          <w:sz w:val="26"/>
          <w:szCs w:val="26"/>
        </w:rPr>
      </w:pPr>
    </w:p>
    <w:p w:rsidR="00726645" w:rsidRPr="00C25E9F" w:rsidRDefault="00726645" w:rsidP="00F42BB9">
      <w:pPr>
        <w:spacing w:line="360" w:lineRule="auto"/>
        <w:rPr>
          <w:sz w:val="26"/>
          <w:szCs w:val="26"/>
        </w:rPr>
      </w:pPr>
      <w:r w:rsidRPr="00C25E9F">
        <w:rPr>
          <w:sz w:val="26"/>
          <w:szCs w:val="26"/>
        </w:rPr>
        <w:tab/>
      </w:r>
      <w:r w:rsidR="00436DFE">
        <w:rPr>
          <w:sz w:val="26"/>
          <w:szCs w:val="26"/>
        </w:rPr>
        <w:t>5</w:t>
      </w:r>
      <w:r w:rsidRPr="00C25E9F">
        <w:rPr>
          <w:sz w:val="26"/>
          <w:szCs w:val="26"/>
        </w:rPr>
        <w:t>.</w:t>
      </w:r>
      <w:r w:rsidRPr="00C25E9F">
        <w:rPr>
          <w:sz w:val="26"/>
          <w:szCs w:val="26"/>
        </w:rPr>
        <w:tab/>
        <w:t xml:space="preserve">That comments and reply comments be electronically mailed </w:t>
      </w:r>
      <w:r w:rsidR="00F347F1" w:rsidRPr="00E31292">
        <w:rPr>
          <w:sz w:val="26"/>
          <w:szCs w:val="26"/>
        </w:rPr>
        <w:t xml:space="preserve">in </w:t>
      </w:r>
      <w:r w:rsidR="00CE0FA4" w:rsidRPr="00E31292">
        <w:rPr>
          <w:sz w:val="26"/>
          <w:szCs w:val="26"/>
        </w:rPr>
        <w:t xml:space="preserve">Microsoft </w:t>
      </w:r>
      <w:r w:rsidR="00F347F1" w:rsidRPr="00E31292">
        <w:rPr>
          <w:sz w:val="26"/>
          <w:szCs w:val="26"/>
        </w:rPr>
        <w:t xml:space="preserve">Word </w:t>
      </w:r>
      <w:r w:rsidR="00CE0FA4" w:rsidRPr="00E31292">
        <w:rPr>
          <w:sz w:val="26"/>
          <w:szCs w:val="26"/>
        </w:rPr>
        <w:t xml:space="preserve">document </w:t>
      </w:r>
      <w:r w:rsidR="00F347F1" w:rsidRPr="00E31292">
        <w:rPr>
          <w:sz w:val="26"/>
          <w:szCs w:val="26"/>
        </w:rPr>
        <w:t>format</w:t>
      </w:r>
      <w:r w:rsidR="00F347F1">
        <w:rPr>
          <w:sz w:val="26"/>
          <w:szCs w:val="26"/>
        </w:rPr>
        <w:t xml:space="preserve"> </w:t>
      </w:r>
      <w:r w:rsidRPr="00C25E9F">
        <w:rPr>
          <w:sz w:val="26"/>
          <w:szCs w:val="26"/>
        </w:rPr>
        <w:t xml:space="preserve">to </w:t>
      </w:r>
      <w:r>
        <w:rPr>
          <w:sz w:val="26"/>
          <w:szCs w:val="26"/>
        </w:rPr>
        <w:t>Laura F</w:t>
      </w:r>
      <w:r w:rsidR="00F806CD">
        <w:rPr>
          <w:sz w:val="26"/>
          <w:szCs w:val="26"/>
        </w:rPr>
        <w:t>usare</w:t>
      </w:r>
      <w:r>
        <w:rPr>
          <w:sz w:val="26"/>
          <w:szCs w:val="26"/>
        </w:rPr>
        <w:t xml:space="preserve"> Edinger at </w:t>
      </w:r>
      <w:hyperlink r:id="rId12" w:history="1">
        <w:r w:rsidRPr="00664195">
          <w:rPr>
            <w:rStyle w:val="Hyperlink"/>
            <w:sz w:val="26"/>
            <w:szCs w:val="26"/>
          </w:rPr>
          <w:t>ledinger@pa.gov</w:t>
        </w:r>
      </w:hyperlink>
      <w:r>
        <w:rPr>
          <w:sz w:val="26"/>
          <w:szCs w:val="26"/>
        </w:rPr>
        <w:t xml:space="preserve"> </w:t>
      </w:r>
      <w:r w:rsidRPr="00C25E9F">
        <w:rPr>
          <w:sz w:val="26"/>
          <w:szCs w:val="26"/>
        </w:rPr>
        <w:t xml:space="preserve">and Louise Fink Smith at </w:t>
      </w:r>
      <w:hyperlink r:id="rId13" w:history="1">
        <w:r w:rsidRPr="00664195">
          <w:rPr>
            <w:rStyle w:val="Hyperlink"/>
            <w:sz w:val="26"/>
            <w:szCs w:val="26"/>
          </w:rPr>
          <w:t>finksmith@pa.gov</w:t>
        </w:r>
      </w:hyperlink>
      <w:r w:rsidRPr="00C25E9F">
        <w:rPr>
          <w:sz w:val="26"/>
          <w:szCs w:val="26"/>
        </w:rPr>
        <w:t>.  Attachments may not exceed three megabytes.</w:t>
      </w:r>
    </w:p>
    <w:p w:rsidR="00726645" w:rsidRPr="00C25E9F" w:rsidRDefault="00726645" w:rsidP="00F42BB9">
      <w:pPr>
        <w:spacing w:line="360" w:lineRule="auto"/>
        <w:rPr>
          <w:sz w:val="26"/>
          <w:szCs w:val="26"/>
        </w:rPr>
      </w:pPr>
    </w:p>
    <w:p w:rsidR="00726645" w:rsidRDefault="00726645" w:rsidP="00F42BB9">
      <w:pPr>
        <w:spacing w:line="360" w:lineRule="auto"/>
        <w:rPr>
          <w:sz w:val="26"/>
          <w:szCs w:val="26"/>
        </w:rPr>
      </w:pPr>
      <w:r w:rsidRPr="00C25E9F">
        <w:rPr>
          <w:sz w:val="26"/>
          <w:szCs w:val="26"/>
        </w:rPr>
        <w:tab/>
      </w:r>
      <w:r w:rsidR="00436DFE">
        <w:rPr>
          <w:sz w:val="26"/>
          <w:szCs w:val="26"/>
        </w:rPr>
        <w:t>6</w:t>
      </w:r>
      <w:r w:rsidRPr="00C25E9F">
        <w:rPr>
          <w:sz w:val="26"/>
          <w:szCs w:val="26"/>
        </w:rPr>
        <w:t>.</w:t>
      </w:r>
      <w:r w:rsidRPr="00C25E9F">
        <w:rPr>
          <w:sz w:val="26"/>
          <w:szCs w:val="26"/>
        </w:rPr>
        <w:tab/>
        <w:t>That this Tentative Order, the proposed Pennsylvania Total Resource Cost Test</w:t>
      </w:r>
      <w:r>
        <w:rPr>
          <w:sz w:val="26"/>
          <w:szCs w:val="26"/>
        </w:rPr>
        <w:t xml:space="preserve"> for Phase II of Act 129</w:t>
      </w:r>
      <w:r w:rsidRPr="00C25E9F">
        <w:rPr>
          <w:sz w:val="26"/>
          <w:szCs w:val="26"/>
        </w:rPr>
        <w:t>, and all filed comments and reply comments related to this Tentative Order be published on the Commission’s website.</w:t>
      </w:r>
    </w:p>
    <w:p w:rsidR="000D3ECB" w:rsidRPr="00C25E9F" w:rsidRDefault="000D3ECB" w:rsidP="00F42BB9">
      <w:pPr>
        <w:spacing w:line="360" w:lineRule="auto"/>
        <w:rPr>
          <w:sz w:val="26"/>
          <w:szCs w:val="26"/>
        </w:rPr>
      </w:pPr>
    </w:p>
    <w:p w:rsidR="00726645" w:rsidRPr="00C25E9F" w:rsidRDefault="00726645" w:rsidP="00F42BB9">
      <w:pPr>
        <w:spacing w:line="360" w:lineRule="auto"/>
        <w:rPr>
          <w:sz w:val="26"/>
          <w:szCs w:val="26"/>
        </w:rPr>
      </w:pPr>
      <w:r w:rsidRPr="00C25E9F">
        <w:rPr>
          <w:sz w:val="26"/>
          <w:szCs w:val="26"/>
        </w:rPr>
        <w:tab/>
      </w:r>
      <w:r w:rsidR="00436DFE">
        <w:rPr>
          <w:sz w:val="26"/>
          <w:szCs w:val="26"/>
        </w:rPr>
        <w:t>7</w:t>
      </w:r>
      <w:r w:rsidRPr="00C25E9F">
        <w:rPr>
          <w:sz w:val="26"/>
          <w:szCs w:val="26"/>
        </w:rPr>
        <w:t>.</w:t>
      </w:r>
      <w:r w:rsidRPr="00C25E9F">
        <w:rPr>
          <w:sz w:val="26"/>
          <w:szCs w:val="26"/>
        </w:rPr>
        <w:tab/>
        <w:t>That the contact person for technical issues related to this Tentative Order and the proposed Pennsylvania Total Resource Cost Test</w:t>
      </w:r>
      <w:r>
        <w:rPr>
          <w:sz w:val="26"/>
          <w:szCs w:val="26"/>
        </w:rPr>
        <w:t xml:space="preserve"> for Phase II of Act 129</w:t>
      </w:r>
      <w:r w:rsidRPr="00C25E9F">
        <w:rPr>
          <w:sz w:val="26"/>
          <w:szCs w:val="26"/>
        </w:rPr>
        <w:t xml:space="preserve"> is </w:t>
      </w:r>
      <w:r>
        <w:rPr>
          <w:sz w:val="26"/>
          <w:szCs w:val="26"/>
        </w:rPr>
        <w:t>Laura F</w:t>
      </w:r>
      <w:r w:rsidR="00F806CD">
        <w:rPr>
          <w:sz w:val="26"/>
          <w:szCs w:val="26"/>
        </w:rPr>
        <w:t>usare</w:t>
      </w:r>
      <w:r>
        <w:rPr>
          <w:sz w:val="26"/>
          <w:szCs w:val="26"/>
        </w:rPr>
        <w:t xml:space="preserve"> Edinger</w:t>
      </w:r>
      <w:r w:rsidRPr="00C25E9F">
        <w:rPr>
          <w:sz w:val="26"/>
          <w:szCs w:val="26"/>
        </w:rPr>
        <w:t xml:space="preserve">, Bureau of </w:t>
      </w:r>
      <w:r>
        <w:rPr>
          <w:sz w:val="26"/>
          <w:szCs w:val="26"/>
        </w:rPr>
        <w:t>Technical Utility Services</w:t>
      </w:r>
      <w:r w:rsidRPr="00C25E9F">
        <w:rPr>
          <w:sz w:val="26"/>
          <w:szCs w:val="26"/>
        </w:rPr>
        <w:t>, 717</w:t>
      </w:r>
      <w:r w:rsidRPr="00C25E9F">
        <w:rPr>
          <w:sz w:val="26"/>
          <w:szCs w:val="26"/>
        </w:rPr>
        <w:noBreakHyphen/>
      </w:r>
      <w:r>
        <w:rPr>
          <w:sz w:val="26"/>
          <w:szCs w:val="26"/>
        </w:rPr>
        <w:t>783-1555</w:t>
      </w:r>
      <w:r w:rsidRPr="00C25E9F">
        <w:rPr>
          <w:sz w:val="26"/>
          <w:szCs w:val="26"/>
        </w:rPr>
        <w:t xml:space="preserve"> or </w:t>
      </w:r>
      <w:hyperlink r:id="rId14" w:history="1">
        <w:r w:rsidRPr="00664195">
          <w:rPr>
            <w:rStyle w:val="Hyperlink"/>
            <w:sz w:val="26"/>
            <w:szCs w:val="26"/>
          </w:rPr>
          <w:t>ledinger@pa.gov</w:t>
        </w:r>
      </w:hyperlink>
      <w:r w:rsidRPr="00C25E9F">
        <w:rPr>
          <w:sz w:val="26"/>
          <w:szCs w:val="26"/>
        </w:rPr>
        <w:t xml:space="preserve">.  The contact person for legal and process issues related to this Tentative Order and the </w:t>
      </w:r>
      <w:r w:rsidRPr="00C25E9F">
        <w:rPr>
          <w:sz w:val="26"/>
          <w:szCs w:val="26"/>
        </w:rPr>
        <w:lastRenderedPageBreak/>
        <w:t>proposed PA TRC</w:t>
      </w:r>
      <w:r>
        <w:rPr>
          <w:sz w:val="26"/>
          <w:szCs w:val="26"/>
        </w:rPr>
        <w:t xml:space="preserve"> for Phase II of Act 129</w:t>
      </w:r>
      <w:r w:rsidRPr="00C25E9F">
        <w:rPr>
          <w:sz w:val="26"/>
          <w:szCs w:val="26"/>
        </w:rPr>
        <w:t xml:space="preserve"> is Louise Fink Smith, Law Bureau, 717</w:t>
      </w:r>
      <w:r w:rsidR="000D5FA5">
        <w:rPr>
          <w:sz w:val="26"/>
          <w:szCs w:val="26"/>
        </w:rPr>
        <w:noBreakHyphen/>
      </w:r>
      <w:r w:rsidRPr="00C25E9F">
        <w:rPr>
          <w:sz w:val="26"/>
          <w:szCs w:val="26"/>
        </w:rPr>
        <w:t>787</w:t>
      </w:r>
      <w:r w:rsidR="000D5FA5">
        <w:rPr>
          <w:sz w:val="26"/>
          <w:szCs w:val="26"/>
        </w:rPr>
        <w:noBreakHyphen/>
      </w:r>
      <w:r w:rsidRPr="00C25E9F">
        <w:rPr>
          <w:sz w:val="26"/>
          <w:szCs w:val="26"/>
        </w:rPr>
        <w:t xml:space="preserve">5000 or </w:t>
      </w:r>
      <w:hyperlink r:id="rId15" w:history="1">
        <w:r w:rsidRPr="00664195">
          <w:rPr>
            <w:rStyle w:val="Hyperlink"/>
            <w:sz w:val="26"/>
            <w:szCs w:val="26"/>
          </w:rPr>
          <w:t>finksmith@pa.gov</w:t>
        </w:r>
      </w:hyperlink>
      <w:r w:rsidRPr="00C25E9F">
        <w:rPr>
          <w:sz w:val="26"/>
          <w:szCs w:val="26"/>
        </w:rPr>
        <w:t>.</w:t>
      </w:r>
    </w:p>
    <w:p w:rsidR="00726645" w:rsidRPr="00C25E9F" w:rsidRDefault="00726645" w:rsidP="00F42BB9">
      <w:pPr>
        <w:spacing w:line="360" w:lineRule="auto"/>
        <w:ind w:firstLine="720"/>
        <w:rPr>
          <w:sz w:val="26"/>
          <w:szCs w:val="26"/>
        </w:rPr>
      </w:pPr>
    </w:p>
    <w:p w:rsidR="00726645" w:rsidRPr="00C25E9F" w:rsidRDefault="0072139A" w:rsidP="00F42BB9">
      <w:pPr>
        <w:pStyle w:val="p17"/>
        <w:spacing w:line="360" w:lineRule="auto"/>
        <w:ind w:left="5057"/>
        <w:rPr>
          <w:b/>
          <w:bCs/>
          <w:sz w:val="26"/>
          <w:szCs w:val="26"/>
        </w:rPr>
      </w:pPr>
      <w:r>
        <w:rPr>
          <w:noProof/>
        </w:rPr>
        <w:drawing>
          <wp:anchor distT="0" distB="0" distL="114300" distR="114300" simplePos="0" relativeHeight="251661312" behindDoc="1" locked="0" layoutInCell="1" allowOverlap="1" wp14:anchorId="00516AB2" wp14:editId="4E76E476">
            <wp:simplePos x="0" y="0"/>
            <wp:positionH relativeFrom="column">
              <wp:posOffset>2743200</wp:posOffset>
            </wp:positionH>
            <wp:positionV relativeFrom="paragraph">
              <wp:posOffset>3175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26645" w:rsidRPr="00C25E9F">
        <w:rPr>
          <w:b/>
          <w:bCs/>
          <w:sz w:val="26"/>
          <w:szCs w:val="26"/>
        </w:rPr>
        <w:t>BY THE COMMISSION</w:t>
      </w:r>
    </w:p>
    <w:p w:rsidR="00726645" w:rsidRPr="00C25E9F" w:rsidRDefault="00726645" w:rsidP="00F42BB9">
      <w:pPr>
        <w:tabs>
          <w:tab w:val="left" w:pos="5057"/>
        </w:tabs>
        <w:spacing w:line="360" w:lineRule="auto"/>
        <w:rPr>
          <w:b/>
          <w:bCs/>
          <w:sz w:val="26"/>
          <w:szCs w:val="26"/>
        </w:rPr>
      </w:pPr>
    </w:p>
    <w:p w:rsidR="00726645" w:rsidRPr="00C25E9F" w:rsidRDefault="00726645" w:rsidP="00F42BB9">
      <w:pPr>
        <w:tabs>
          <w:tab w:val="left" w:pos="5057"/>
        </w:tabs>
        <w:rPr>
          <w:b/>
          <w:bCs/>
          <w:sz w:val="26"/>
          <w:szCs w:val="26"/>
        </w:rPr>
      </w:pPr>
    </w:p>
    <w:p w:rsidR="00726645" w:rsidRPr="00C25E9F" w:rsidRDefault="00726645" w:rsidP="00F42BB9">
      <w:pPr>
        <w:pStyle w:val="p18"/>
        <w:ind w:left="5062"/>
        <w:rPr>
          <w:sz w:val="26"/>
          <w:szCs w:val="26"/>
        </w:rPr>
      </w:pPr>
      <w:r w:rsidRPr="00C25E9F">
        <w:rPr>
          <w:sz w:val="26"/>
          <w:szCs w:val="26"/>
        </w:rPr>
        <w:t>Rosemary Chiavetta</w:t>
      </w:r>
    </w:p>
    <w:p w:rsidR="00726645" w:rsidRPr="00C25E9F" w:rsidRDefault="00726645" w:rsidP="00F42BB9">
      <w:pPr>
        <w:pStyle w:val="p18"/>
        <w:ind w:left="5062"/>
        <w:rPr>
          <w:sz w:val="26"/>
          <w:szCs w:val="26"/>
        </w:rPr>
      </w:pPr>
      <w:r w:rsidRPr="00C25E9F">
        <w:rPr>
          <w:sz w:val="26"/>
          <w:szCs w:val="26"/>
        </w:rPr>
        <w:t>Secretary</w:t>
      </w:r>
    </w:p>
    <w:p w:rsidR="00726645" w:rsidRPr="00C25E9F" w:rsidRDefault="00726645" w:rsidP="00F42BB9">
      <w:pPr>
        <w:tabs>
          <w:tab w:val="left" w:pos="5062"/>
        </w:tabs>
        <w:spacing w:line="360" w:lineRule="auto"/>
        <w:rPr>
          <w:sz w:val="26"/>
          <w:szCs w:val="26"/>
        </w:rPr>
      </w:pPr>
    </w:p>
    <w:p w:rsidR="00726645" w:rsidRDefault="00726645" w:rsidP="00F42BB9">
      <w:pPr>
        <w:pStyle w:val="p14"/>
        <w:rPr>
          <w:sz w:val="26"/>
          <w:szCs w:val="26"/>
        </w:rPr>
      </w:pPr>
      <w:r w:rsidRPr="00C25E9F">
        <w:rPr>
          <w:sz w:val="26"/>
          <w:szCs w:val="26"/>
        </w:rPr>
        <w:t>(SEAL)</w:t>
      </w:r>
    </w:p>
    <w:p w:rsidR="00726645" w:rsidRPr="00C25E9F" w:rsidRDefault="00726645" w:rsidP="00F42BB9">
      <w:pPr>
        <w:pStyle w:val="p14"/>
        <w:rPr>
          <w:sz w:val="26"/>
          <w:szCs w:val="26"/>
        </w:rPr>
      </w:pPr>
    </w:p>
    <w:p w:rsidR="00726645" w:rsidRDefault="00726645" w:rsidP="00F42BB9">
      <w:pPr>
        <w:pStyle w:val="p14"/>
      </w:pPr>
      <w:r w:rsidRPr="00C25E9F">
        <w:rPr>
          <w:sz w:val="26"/>
        </w:rPr>
        <w:t>ORDER ADOPTE</w:t>
      </w:r>
      <w:r w:rsidRPr="00A3581E">
        <w:rPr>
          <w:sz w:val="26"/>
          <w:szCs w:val="26"/>
        </w:rPr>
        <w:t xml:space="preserve">D:  </w:t>
      </w:r>
      <w:r w:rsidR="00A3581E" w:rsidRPr="00A3581E">
        <w:rPr>
          <w:sz w:val="26"/>
          <w:szCs w:val="26"/>
        </w:rPr>
        <w:t>May 24, 2012</w:t>
      </w:r>
    </w:p>
    <w:p w:rsidR="00726645" w:rsidRPr="00C25E9F" w:rsidRDefault="00726645" w:rsidP="00F42BB9">
      <w:pPr>
        <w:pStyle w:val="p14"/>
      </w:pPr>
    </w:p>
    <w:p w:rsidR="00726645" w:rsidRPr="00C25E9F" w:rsidRDefault="00726645" w:rsidP="00F42BB9">
      <w:pPr>
        <w:pStyle w:val="p14"/>
        <w:rPr>
          <w:sz w:val="26"/>
        </w:rPr>
      </w:pPr>
      <w:r w:rsidRPr="00C25E9F">
        <w:rPr>
          <w:sz w:val="26"/>
        </w:rPr>
        <w:t xml:space="preserve">ORDER ENTERED:  </w:t>
      </w:r>
      <w:r w:rsidR="0072139A">
        <w:rPr>
          <w:sz w:val="26"/>
        </w:rPr>
        <w:t>May 25, 2012</w:t>
      </w:r>
      <w:bookmarkStart w:id="0" w:name="_GoBack"/>
      <w:bookmarkEnd w:id="0"/>
    </w:p>
    <w:p w:rsidR="00256620" w:rsidRDefault="00256620" w:rsidP="00375611">
      <w:pPr>
        <w:pStyle w:val="p14"/>
        <w:jc w:val="center"/>
        <w:rPr>
          <w:b/>
          <w:sz w:val="26"/>
          <w:szCs w:val="26"/>
        </w:rPr>
      </w:pPr>
    </w:p>
    <w:p w:rsidR="00256620" w:rsidRDefault="00256620" w:rsidP="00375611">
      <w:pPr>
        <w:pStyle w:val="p14"/>
        <w:jc w:val="center"/>
        <w:rPr>
          <w:b/>
          <w:sz w:val="26"/>
          <w:szCs w:val="26"/>
        </w:rPr>
      </w:pPr>
    </w:p>
    <w:p w:rsidR="00256620" w:rsidRDefault="00256620" w:rsidP="00375611">
      <w:pPr>
        <w:pStyle w:val="p14"/>
        <w:jc w:val="center"/>
        <w:rPr>
          <w:b/>
          <w:sz w:val="26"/>
          <w:szCs w:val="26"/>
        </w:rPr>
      </w:pPr>
    </w:p>
    <w:p w:rsidR="00256620" w:rsidRDefault="00256620" w:rsidP="00375611">
      <w:pPr>
        <w:pStyle w:val="p14"/>
        <w:jc w:val="center"/>
        <w:rPr>
          <w:b/>
          <w:sz w:val="26"/>
          <w:szCs w:val="26"/>
        </w:rPr>
        <w:sectPr w:rsidR="00256620" w:rsidSect="00256620">
          <w:pgSz w:w="12240" w:h="15840"/>
          <w:pgMar w:top="1440" w:right="1440" w:bottom="1440" w:left="1440" w:header="720" w:footer="720" w:gutter="0"/>
          <w:pgNumType w:start="1"/>
          <w:cols w:space="720"/>
          <w:titlePg/>
          <w:docGrid w:linePitch="360"/>
        </w:sectPr>
      </w:pPr>
    </w:p>
    <w:p w:rsidR="00726645" w:rsidRPr="001B2FDE" w:rsidRDefault="00726645" w:rsidP="00375611">
      <w:pPr>
        <w:pStyle w:val="p14"/>
        <w:jc w:val="center"/>
        <w:rPr>
          <w:b/>
          <w:sz w:val="26"/>
          <w:szCs w:val="26"/>
        </w:rPr>
      </w:pPr>
      <w:r w:rsidRPr="001B2FDE">
        <w:rPr>
          <w:b/>
          <w:sz w:val="26"/>
          <w:szCs w:val="26"/>
        </w:rPr>
        <w:lastRenderedPageBreak/>
        <w:t>Appendix A</w:t>
      </w:r>
    </w:p>
    <w:p w:rsidR="00726645" w:rsidRPr="001B2FDE" w:rsidRDefault="00726645" w:rsidP="00375611">
      <w:pPr>
        <w:pStyle w:val="p14"/>
        <w:rPr>
          <w:sz w:val="26"/>
          <w:szCs w:val="26"/>
        </w:rPr>
      </w:pPr>
    </w:p>
    <w:p w:rsidR="00726645" w:rsidRPr="001B2FDE" w:rsidRDefault="00726645" w:rsidP="00375611">
      <w:pPr>
        <w:pStyle w:val="p14"/>
        <w:rPr>
          <w:sz w:val="26"/>
          <w:szCs w:val="26"/>
        </w:rPr>
      </w:pPr>
    </w:p>
    <w:p w:rsidR="00726645" w:rsidRPr="001B2FDE" w:rsidRDefault="00726645" w:rsidP="00375611">
      <w:pPr>
        <w:pStyle w:val="p14"/>
        <w:rPr>
          <w:sz w:val="26"/>
          <w:szCs w:val="26"/>
        </w:rPr>
      </w:pPr>
    </w:p>
    <w:p w:rsidR="00726645" w:rsidRPr="001B2FDE" w:rsidRDefault="00726645" w:rsidP="00375611">
      <w:pPr>
        <w:pStyle w:val="p14"/>
        <w:jc w:val="center"/>
        <w:rPr>
          <w:sz w:val="26"/>
          <w:szCs w:val="26"/>
        </w:rPr>
      </w:pPr>
      <w:r w:rsidRPr="001B2FDE">
        <w:rPr>
          <w:sz w:val="26"/>
          <w:szCs w:val="26"/>
        </w:rPr>
        <w:t xml:space="preserve">The definitions and formulae to be used for the </w:t>
      </w:r>
    </w:p>
    <w:p w:rsidR="00726645" w:rsidRPr="001B2FDE" w:rsidRDefault="00726645" w:rsidP="00375611">
      <w:pPr>
        <w:pStyle w:val="p14"/>
        <w:jc w:val="center"/>
        <w:rPr>
          <w:sz w:val="26"/>
          <w:szCs w:val="26"/>
        </w:rPr>
      </w:pPr>
      <w:r w:rsidRPr="001B2FDE">
        <w:rPr>
          <w:sz w:val="26"/>
          <w:szCs w:val="26"/>
        </w:rPr>
        <w:t xml:space="preserve">Pennsylvania-specific TRC test, consistent with Act 129 of 2008, </w:t>
      </w:r>
    </w:p>
    <w:p w:rsidR="00726645" w:rsidRPr="001B2FDE" w:rsidRDefault="00726645" w:rsidP="00375611">
      <w:pPr>
        <w:pStyle w:val="p14"/>
        <w:jc w:val="center"/>
        <w:rPr>
          <w:sz w:val="26"/>
          <w:szCs w:val="26"/>
        </w:rPr>
      </w:pPr>
      <w:r w:rsidRPr="001B2FDE">
        <w:rPr>
          <w:sz w:val="26"/>
          <w:szCs w:val="26"/>
        </w:rPr>
        <w:t>are set forth in this Appendix.</w:t>
      </w:r>
    </w:p>
    <w:p w:rsidR="00726645" w:rsidRPr="001B2FDE" w:rsidRDefault="00726645" w:rsidP="00375611">
      <w:pPr>
        <w:pStyle w:val="p14"/>
        <w:jc w:val="center"/>
        <w:rPr>
          <w:sz w:val="26"/>
          <w:szCs w:val="26"/>
        </w:rPr>
      </w:pPr>
    </w:p>
    <w:p w:rsidR="00726645" w:rsidRPr="001B2FDE" w:rsidRDefault="00726645" w:rsidP="00375611">
      <w:pPr>
        <w:pStyle w:val="p14"/>
        <w:jc w:val="center"/>
        <w:rPr>
          <w:sz w:val="26"/>
          <w:szCs w:val="26"/>
        </w:rPr>
      </w:pPr>
      <w:r w:rsidRPr="001B2FDE">
        <w:rPr>
          <w:sz w:val="26"/>
          <w:szCs w:val="26"/>
        </w:rPr>
        <w:t>The definitions and formulae in this Appendix are taken from</w:t>
      </w:r>
    </w:p>
    <w:p w:rsidR="00726645" w:rsidRPr="001B2FDE" w:rsidRDefault="00726645" w:rsidP="00375611">
      <w:pPr>
        <w:pStyle w:val="p14"/>
        <w:jc w:val="center"/>
        <w:rPr>
          <w:sz w:val="26"/>
          <w:szCs w:val="26"/>
        </w:rPr>
      </w:pPr>
      <w:r w:rsidRPr="001B2FDE">
        <w:rPr>
          <w:sz w:val="26"/>
          <w:szCs w:val="26"/>
        </w:rPr>
        <w:t xml:space="preserve">pages 10 – 12, 15-17, and 22 of the </w:t>
      </w:r>
    </w:p>
    <w:p w:rsidR="00726645" w:rsidRPr="001B2FDE" w:rsidRDefault="00726645" w:rsidP="00375611">
      <w:pPr>
        <w:pStyle w:val="p14"/>
        <w:jc w:val="center"/>
        <w:rPr>
          <w:sz w:val="26"/>
          <w:szCs w:val="26"/>
        </w:rPr>
      </w:pPr>
      <w:r w:rsidRPr="001B2FDE">
        <w:rPr>
          <w:sz w:val="26"/>
          <w:szCs w:val="26"/>
        </w:rPr>
        <w:t xml:space="preserve">2002 </w:t>
      </w:r>
      <w:r w:rsidRPr="001B2FDE">
        <w:rPr>
          <w:i/>
          <w:sz w:val="26"/>
          <w:szCs w:val="26"/>
        </w:rPr>
        <w:t xml:space="preserve">California Standard Practice Manual </w:t>
      </w:r>
      <w:r w:rsidRPr="001B2FDE">
        <w:rPr>
          <w:sz w:val="26"/>
          <w:szCs w:val="26"/>
        </w:rPr>
        <w:t>(CA SPM)</w:t>
      </w:r>
      <w:r w:rsidRPr="001B2FDE">
        <w:rPr>
          <w:rStyle w:val="FootnoteReference"/>
          <w:sz w:val="26"/>
          <w:szCs w:val="26"/>
        </w:rPr>
        <w:footnoteReference w:id="60"/>
      </w:r>
    </w:p>
    <w:p w:rsidR="00726645" w:rsidRPr="001B2FDE" w:rsidRDefault="00726645" w:rsidP="00375611">
      <w:pPr>
        <w:pStyle w:val="p14"/>
        <w:jc w:val="center"/>
        <w:rPr>
          <w:sz w:val="26"/>
          <w:szCs w:val="26"/>
        </w:rPr>
      </w:pPr>
      <w:r w:rsidRPr="001B2FDE">
        <w:rPr>
          <w:sz w:val="26"/>
          <w:szCs w:val="26"/>
        </w:rPr>
        <w:t>without further specific attribution.</w:t>
      </w:r>
    </w:p>
    <w:p w:rsidR="00726645" w:rsidRPr="001B2FDE" w:rsidRDefault="00726645" w:rsidP="00375611">
      <w:pPr>
        <w:pStyle w:val="p14"/>
        <w:jc w:val="center"/>
        <w:rPr>
          <w:sz w:val="26"/>
          <w:szCs w:val="26"/>
        </w:rPr>
      </w:pPr>
    </w:p>
    <w:p w:rsidR="00726645" w:rsidRPr="001B2FDE" w:rsidRDefault="00726645" w:rsidP="00375611">
      <w:pPr>
        <w:rPr>
          <w:sz w:val="26"/>
          <w:szCs w:val="26"/>
        </w:rPr>
      </w:pPr>
      <w:r w:rsidRPr="001B2FDE">
        <w:rPr>
          <w:sz w:val="26"/>
          <w:szCs w:val="26"/>
        </w:rPr>
        <w:br w:type="page"/>
      </w:r>
    </w:p>
    <w:p w:rsidR="00726645" w:rsidRPr="001B2FDE" w:rsidRDefault="00726645" w:rsidP="00375611">
      <w:pPr>
        <w:tabs>
          <w:tab w:val="left" w:pos="1620"/>
        </w:tabs>
        <w:jc w:val="center"/>
        <w:rPr>
          <w:b/>
          <w:sz w:val="26"/>
          <w:szCs w:val="26"/>
        </w:rPr>
      </w:pPr>
      <w:r w:rsidRPr="001B2FDE">
        <w:rPr>
          <w:b/>
          <w:sz w:val="26"/>
          <w:szCs w:val="26"/>
        </w:rPr>
        <w:lastRenderedPageBreak/>
        <w:t>TRC Formulae</w:t>
      </w:r>
    </w:p>
    <w:p w:rsidR="00726645" w:rsidRPr="001B2FDE" w:rsidRDefault="00726645" w:rsidP="00375611">
      <w:pPr>
        <w:tabs>
          <w:tab w:val="left" w:pos="1620"/>
        </w:tabs>
        <w:rPr>
          <w:sz w:val="26"/>
          <w:szCs w:val="26"/>
        </w:rPr>
      </w:pPr>
    </w:p>
    <w:p w:rsidR="00726645" w:rsidRPr="001B2FDE" w:rsidRDefault="00726645" w:rsidP="00375611">
      <w:pPr>
        <w:tabs>
          <w:tab w:val="left" w:pos="1620"/>
        </w:tabs>
        <w:rPr>
          <w:sz w:val="26"/>
          <w:szCs w:val="26"/>
        </w:rPr>
      </w:pPr>
    </w:p>
    <w:p w:rsidR="00726645" w:rsidRPr="001B2FDE" w:rsidRDefault="00726645" w:rsidP="00375611">
      <w:pPr>
        <w:tabs>
          <w:tab w:val="left" w:pos="1620"/>
        </w:tabs>
        <w:spacing w:line="360" w:lineRule="auto"/>
        <w:rPr>
          <w:sz w:val="26"/>
          <w:szCs w:val="26"/>
        </w:rPr>
      </w:pPr>
      <w:r w:rsidRPr="001B2FDE">
        <w:rPr>
          <w:sz w:val="26"/>
          <w:szCs w:val="26"/>
        </w:rPr>
        <w:t>The formulae for the net present value (NPV</w:t>
      </w:r>
      <w:r w:rsidRPr="001B2FDE">
        <w:rPr>
          <w:sz w:val="26"/>
          <w:szCs w:val="26"/>
          <w:vertAlign w:val="subscript"/>
        </w:rPr>
        <w:t>TRC</w:t>
      </w:r>
      <w:r w:rsidRPr="001B2FDE">
        <w:rPr>
          <w:sz w:val="26"/>
          <w:szCs w:val="26"/>
        </w:rPr>
        <w:t>), the benefit/cost ratio (BCR</w:t>
      </w:r>
      <w:r w:rsidRPr="001B2FDE">
        <w:rPr>
          <w:sz w:val="26"/>
          <w:szCs w:val="26"/>
          <w:vertAlign w:val="subscript"/>
        </w:rPr>
        <w:t>TRC</w:t>
      </w:r>
      <w:r w:rsidRPr="001B2FDE">
        <w:rPr>
          <w:sz w:val="26"/>
          <w:szCs w:val="26"/>
        </w:rPr>
        <w:t xml:space="preserve">), and the levelized costs </w:t>
      </w:r>
      <w:r w:rsidR="00442E95">
        <w:rPr>
          <w:sz w:val="26"/>
          <w:szCs w:val="26"/>
        </w:rPr>
        <w:t>(</w:t>
      </w:r>
      <w:r w:rsidR="00442E95" w:rsidRPr="001B2FDE">
        <w:rPr>
          <w:sz w:val="26"/>
          <w:szCs w:val="26"/>
        </w:rPr>
        <w:t>LC</w:t>
      </w:r>
      <w:r w:rsidR="00442E95" w:rsidRPr="001B2FDE">
        <w:rPr>
          <w:sz w:val="26"/>
          <w:szCs w:val="26"/>
          <w:vertAlign w:val="subscript"/>
        </w:rPr>
        <w:t>TRC</w:t>
      </w:r>
      <w:r w:rsidR="00442E95">
        <w:rPr>
          <w:sz w:val="26"/>
          <w:szCs w:val="26"/>
        </w:rPr>
        <w:t xml:space="preserve">) </w:t>
      </w:r>
      <w:r w:rsidRPr="001B2FDE">
        <w:rPr>
          <w:sz w:val="26"/>
          <w:szCs w:val="26"/>
        </w:rPr>
        <w:t>are:</w:t>
      </w:r>
    </w:p>
    <w:p w:rsidR="00726645" w:rsidRPr="001B2FDE" w:rsidRDefault="00726645" w:rsidP="00375611">
      <w:pPr>
        <w:tabs>
          <w:tab w:val="left" w:pos="1620"/>
        </w:tabs>
        <w:spacing w:line="360" w:lineRule="auto"/>
        <w:rPr>
          <w:sz w:val="26"/>
          <w:szCs w:val="26"/>
        </w:rPr>
      </w:pPr>
    </w:p>
    <w:tbl>
      <w:tblPr>
        <w:tblW w:w="0" w:type="auto"/>
        <w:tblLook w:val="04A0" w:firstRow="1" w:lastRow="0" w:firstColumn="1" w:lastColumn="0" w:noHBand="0" w:noVBand="1"/>
      </w:tblPr>
      <w:tblGrid>
        <w:gridCol w:w="1278"/>
        <w:gridCol w:w="540"/>
        <w:gridCol w:w="7758"/>
      </w:tblGrid>
      <w:tr w:rsidR="00726645" w:rsidRPr="001B2FDE" w:rsidTr="00A232B9">
        <w:tc>
          <w:tcPr>
            <w:tcW w:w="1278" w:type="dxa"/>
          </w:tcPr>
          <w:p w:rsidR="00726645" w:rsidRPr="001B2FDE" w:rsidRDefault="00726645" w:rsidP="00A232B9">
            <w:pPr>
              <w:tabs>
                <w:tab w:val="left" w:pos="1620"/>
              </w:tabs>
              <w:rPr>
                <w:sz w:val="26"/>
                <w:szCs w:val="26"/>
              </w:rPr>
            </w:pPr>
            <w:r w:rsidRPr="001B2FDE">
              <w:rPr>
                <w:sz w:val="26"/>
                <w:szCs w:val="26"/>
              </w:rPr>
              <w:t>NPV</w:t>
            </w:r>
            <w:r w:rsidRPr="001B2FDE">
              <w:rPr>
                <w:sz w:val="26"/>
                <w:szCs w:val="26"/>
                <w:vertAlign w:val="subscript"/>
              </w:rPr>
              <w:t>TRC</w:t>
            </w:r>
          </w:p>
        </w:tc>
        <w:tc>
          <w:tcPr>
            <w:tcW w:w="540" w:type="dxa"/>
          </w:tcPr>
          <w:p w:rsidR="00726645" w:rsidRPr="001B2FDE" w:rsidRDefault="00726645" w:rsidP="00A232B9">
            <w:pPr>
              <w:tabs>
                <w:tab w:val="left" w:pos="1620"/>
              </w:tabs>
              <w:rPr>
                <w:sz w:val="26"/>
                <w:szCs w:val="26"/>
              </w:rPr>
            </w:pPr>
            <w:r w:rsidRPr="001B2FDE">
              <w:rPr>
                <w:sz w:val="26"/>
                <w:szCs w:val="26"/>
              </w:rPr>
              <w:t>=</w:t>
            </w:r>
          </w:p>
        </w:tc>
        <w:tc>
          <w:tcPr>
            <w:tcW w:w="7758" w:type="dxa"/>
          </w:tcPr>
          <w:p w:rsidR="00726645" w:rsidRPr="001B2FDE" w:rsidRDefault="00726645" w:rsidP="00A232B9">
            <w:pPr>
              <w:tabs>
                <w:tab w:val="left" w:pos="1620"/>
              </w:tabs>
              <w:rPr>
                <w:sz w:val="26"/>
                <w:szCs w:val="26"/>
              </w:rPr>
            </w:pPr>
            <w:r w:rsidRPr="001B2FDE">
              <w:rPr>
                <w:sz w:val="26"/>
                <w:szCs w:val="26"/>
              </w:rPr>
              <w:t>B</w:t>
            </w:r>
            <w:r w:rsidRPr="001B2FDE">
              <w:rPr>
                <w:sz w:val="26"/>
                <w:szCs w:val="26"/>
                <w:vertAlign w:val="subscript"/>
              </w:rPr>
              <w:t>TRC</w:t>
            </w:r>
            <w:r w:rsidRPr="001B2FDE">
              <w:rPr>
                <w:sz w:val="26"/>
                <w:szCs w:val="26"/>
              </w:rPr>
              <w:t xml:space="preserve"> – C</w:t>
            </w:r>
            <w:r w:rsidRPr="001B2FDE">
              <w:rPr>
                <w:sz w:val="26"/>
                <w:szCs w:val="26"/>
                <w:vertAlign w:val="subscript"/>
              </w:rPr>
              <w:t>TRC</w:t>
            </w:r>
          </w:p>
        </w:tc>
      </w:tr>
      <w:tr w:rsidR="00726645" w:rsidRPr="001B2FDE" w:rsidTr="00A232B9">
        <w:tc>
          <w:tcPr>
            <w:tcW w:w="1278" w:type="dxa"/>
          </w:tcPr>
          <w:p w:rsidR="00726645" w:rsidRPr="001B2FDE" w:rsidRDefault="00726645" w:rsidP="00A232B9">
            <w:pPr>
              <w:tabs>
                <w:tab w:val="left" w:pos="1620"/>
              </w:tabs>
              <w:rPr>
                <w:sz w:val="26"/>
                <w:szCs w:val="26"/>
              </w:rPr>
            </w:pPr>
            <w:r w:rsidRPr="001B2FDE">
              <w:rPr>
                <w:sz w:val="26"/>
                <w:szCs w:val="26"/>
              </w:rPr>
              <w:t>BCR</w:t>
            </w:r>
            <w:r w:rsidRPr="001B2FDE">
              <w:rPr>
                <w:sz w:val="26"/>
                <w:szCs w:val="26"/>
                <w:vertAlign w:val="subscript"/>
              </w:rPr>
              <w:t>TRC</w:t>
            </w:r>
          </w:p>
        </w:tc>
        <w:tc>
          <w:tcPr>
            <w:tcW w:w="540" w:type="dxa"/>
          </w:tcPr>
          <w:p w:rsidR="00726645" w:rsidRPr="001B2FDE" w:rsidRDefault="00726645" w:rsidP="00A232B9">
            <w:pPr>
              <w:tabs>
                <w:tab w:val="left" w:pos="1620"/>
              </w:tabs>
              <w:rPr>
                <w:sz w:val="26"/>
                <w:szCs w:val="26"/>
              </w:rPr>
            </w:pPr>
            <w:r w:rsidRPr="001B2FDE">
              <w:rPr>
                <w:sz w:val="26"/>
                <w:szCs w:val="26"/>
              </w:rPr>
              <w:t>=</w:t>
            </w:r>
          </w:p>
        </w:tc>
        <w:tc>
          <w:tcPr>
            <w:tcW w:w="7758" w:type="dxa"/>
          </w:tcPr>
          <w:p w:rsidR="00726645" w:rsidRPr="001B2FDE" w:rsidRDefault="00726645" w:rsidP="00A232B9">
            <w:pPr>
              <w:tabs>
                <w:tab w:val="left" w:pos="1620"/>
              </w:tabs>
              <w:rPr>
                <w:sz w:val="26"/>
                <w:szCs w:val="26"/>
              </w:rPr>
            </w:pPr>
            <w:r w:rsidRPr="001B2FDE">
              <w:rPr>
                <w:sz w:val="26"/>
                <w:szCs w:val="26"/>
              </w:rPr>
              <w:t>B</w:t>
            </w:r>
            <w:r w:rsidRPr="001B2FDE">
              <w:rPr>
                <w:sz w:val="26"/>
                <w:szCs w:val="26"/>
                <w:vertAlign w:val="subscript"/>
              </w:rPr>
              <w:t>TRC</w:t>
            </w:r>
            <w:r w:rsidRPr="001B2FDE">
              <w:rPr>
                <w:sz w:val="26"/>
                <w:szCs w:val="26"/>
              </w:rPr>
              <w:t>/C</w:t>
            </w:r>
            <w:r w:rsidRPr="001B2FDE">
              <w:rPr>
                <w:sz w:val="26"/>
                <w:szCs w:val="26"/>
                <w:vertAlign w:val="subscript"/>
              </w:rPr>
              <w:t>TRC</w:t>
            </w:r>
          </w:p>
        </w:tc>
      </w:tr>
      <w:tr w:rsidR="00726645" w:rsidRPr="001B2FDE" w:rsidTr="00A232B9">
        <w:tc>
          <w:tcPr>
            <w:tcW w:w="1278" w:type="dxa"/>
          </w:tcPr>
          <w:p w:rsidR="00726645" w:rsidRPr="001B2FDE" w:rsidRDefault="00726645" w:rsidP="00A232B9">
            <w:pPr>
              <w:tabs>
                <w:tab w:val="left" w:pos="1620"/>
              </w:tabs>
              <w:rPr>
                <w:sz w:val="26"/>
                <w:szCs w:val="26"/>
              </w:rPr>
            </w:pPr>
            <w:r w:rsidRPr="001B2FDE">
              <w:rPr>
                <w:sz w:val="26"/>
                <w:szCs w:val="26"/>
              </w:rPr>
              <w:t>LC</w:t>
            </w:r>
            <w:r w:rsidRPr="001B2FDE">
              <w:rPr>
                <w:sz w:val="26"/>
                <w:szCs w:val="26"/>
                <w:vertAlign w:val="subscript"/>
              </w:rPr>
              <w:t>TRC</w:t>
            </w:r>
          </w:p>
        </w:tc>
        <w:tc>
          <w:tcPr>
            <w:tcW w:w="540" w:type="dxa"/>
          </w:tcPr>
          <w:p w:rsidR="00726645" w:rsidRPr="001B2FDE" w:rsidRDefault="00726645" w:rsidP="00A232B9">
            <w:pPr>
              <w:tabs>
                <w:tab w:val="left" w:pos="1620"/>
              </w:tabs>
              <w:rPr>
                <w:sz w:val="26"/>
                <w:szCs w:val="26"/>
              </w:rPr>
            </w:pPr>
            <w:r w:rsidRPr="001B2FDE">
              <w:rPr>
                <w:sz w:val="26"/>
                <w:szCs w:val="26"/>
              </w:rPr>
              <w:t>=</w:t>
            </w:r>
          </w:p>
        </w:tc>
        <w:tc>
          <w:tcPr>
            <w:tcW w:w="7758" w:type="dxa"/>
          </w:tcPr>
          <w:p w:rsidR="00726645" w:rsidRPr="001B2FDE" w:rsidRDefault="00726645" w:rsidP="00A232B9">
            <w:pPr>
              <w:tabs>
                <w:tab w:val="left" w:pos="1620"/>
              </w:tabs>
              <w:rPr>
                <w:sz w:val="26"/>
                <w:szCs w:val="26"/>
              </w:rPr>
            </w:pPr>
            <w:r w:rsidRPr="001B2FDE">
              <w:rPr>
                <w:sz w:val="26"/>
                <w:szCs w:val="26"/>
              </w:rPr>
              <w:t>LCRC/IMP</w:t>
            </w:r>
          </w:p>
        </w:tc>
      </w:tr>
    </w:tbl>
    <w:p w:rsidR="00726645" w:rsidRPr="001B2FDE" w:rsidRDefault="00726645" w:rsidP="00375611">
      <w:pPr>
        <w:tabs>
          <w:tab w:val="left" w:pos="1620"/>
        </w:tabs>
        <w:rPr>
          <w:sz w:val="26"/>
          <w:szCs w:val="26"/>
        </w:rPr>
      </w:pPr>
    </w:p>
    <w:p w:rsidR="00726645" w:rsidRPr="001B2FDE" w:rsidRDefault="00726645" w:rsidP="00375611">
      <w:pPr>
        <w:tabs>
          <w:tab w:val="left" w:pos="1620"/>
        </w:tabs>
        <w:rPr>
          <w:sz w:val="26"/>
          <w:szCs w:val="26"/>
        </w:rPr>
      </w:pPr>
    </w:p>
    <w:p w:rsidR="00726645" w:rsidRPr="001B2FDE" w:rsidRDefault="00726645" w:rsidP="00375611">
      <w:pPr>
        <w:tabs>
          <w:tab w:val="left" w:pos="1620"/>
        </w:tabs>
        <w:rPr>
          <w:sz w:val="26"/>
          <w:szCs w:val="26"/>
        </w:rPr>
      </w:pPr>
    </w:p>
    <w:p w:rsidR="00726645" w:rsidRPr="001B2FDE" w:rsidRDefault="00726645" w:rsidP="00375611">
      <w:pPr>
        <w:tabs>
          <w:tab w:val="left" w:pos="1620"/>
        </w:tabs>
        <w:rPr>
          <w:sz w:val="26"/>
          <w:szCs w:val="26"/>
        </w:rPr>
      </w:pPr>
    </w:p>
    <w:p w:rsidR="00726645" w:rsidRPr="001B2FDE" w:rsidRDefault="00726645" w:rsidP="00375611">
      <w:pPr>
        <w:tabs>
          <w:tab w:val="left" w:pos="1620"/>
        </w:tabs>
        <w:spacing w:line="360" w:lineRule="auto"/>
        <w:rPr>
          <w:sz w:val="26"/>
          <w:szCs w:val="26"/>
        </w:rPr>
      </w:pPr>
      <w:r w:rsidRPr="001B2FDE">
        <w:rPr>
          <w:sz w:val="26"/>
          <w:szCs w:val="26"/>
        </w:rPr>
        <w:t>The B</w:t>
      </w:r>
      <w:r w:rsidRPr="001B2FDE">
        <w:rPr>
          <w:sz w:val="26"/>
          <w:szCs w:val="26"/>
          <w:vertAlign w:val="subscript"/>
        </w:rPr>
        <w:t>TRC</w:t>
      </w:r>
      <w:r w:rsidRPr="001B2FDE">
        <w:rPr>
          <w:sz w:val="26"/>
          <w:szCs w:val="26"/>
        </w:rPr>
        <w:t>, C</w:t>
      </w:r>
      <w:r w:rsidRPr="001B2FDE">
        <w:rPr>
          <w:sz w:val="26"/>
          <w:szCs w:val="26"/>
          <w:vertAlign w:val="subscript"/>
        </w:rPr>
        <w:t>TRC</w:t>
      </w:r>
      <w:r w:rsidRPr="001B2FDE">
        <w:rPr>
          <w:sz w:val="26"/>
          <w:szCs w:val="26"/>
        </w:rPr>
        <w:t xml:space="preserve">, LCRC, and IMP terms are defined as follows.  The first summation in the BTRC equation should be used for conservation and load management programs.  For fuel substitution programs, both the first and second summations should be used.  </w:t>
      </w:r>
    </w:p>
    <w:p w:rsidR="00726645" w:rsidRPr="001B2FDE" w:rsidRDefault="00726645" w:rsidP="00375611">
      <w:pPr>
        <w:tabs>
          <w:tab w:val="left" w:pos="1620"/>
        </w:tabs>
        <w:spacing w:line="360" w:lineRule="auto"/>
        <w:rPr>
          <w:sz w:val="26"/>
          <w:szCs w:val="26"/>
        </w:rPr>
      </w:pPr>
    </w:p>
    <w:p w:rsidR="00726645" w:rsidRPr="007352C8" w:rsidRDefault="00153932" w:rsidP="00375611">
      <w:pPr>
        <w:tabs>
          <w:tab w:val="left" w:pos="1620"/>
        </w:tabs>
        <w:rPr>
          <w:sz w:val="26"/>
          <w:szCs w:val="26"/>
        </w:rPr>
      </w:pPr>
      <m:oMathPara>
        <m:oMath>
          <m:sSub>
            <m:sSubPr>
              <m:ctrlPr>
                <w:rPr>
                  <w:rFonts w:ascii="Cambria Math" w:hAnsi="Cambria Math"/>
                  <w:i/>
                  <w:sz w:val="26"/>
                  <w:szCs w:val="26"/>
                </w:rPr>
              </m:ctrlPr>
            </m:sSubPr>
            <m:e>
              <m:r>
                <w:rPr>
                  <w:rFonts w:ascii="Cambria Math" w:hAnsi="Cambria Math"/>
                  <w:sz w:val="26"/>
                  <w:szCs w:val="26"/>
                </w:rPr>
                <m:t>B</m:t>
              </m:r>
            </m:e>
            <m:sub>
              <m:r>
                <w:rPr>
                  <w:rFonts w:ascii="Cambria Math" w:hAnsi="Cambria Math"/>
                  <w:sz w:val="26"/>
                  <w:szCs w:val="26"/>
                </w:rPr>
                <m:t>TRC</m:t>
              </m:r>
            </m:sub>
          </m:sSub>
          <m:r>
            <w:rPr>
              <w:rFonts w:ascii="Cambria Math"/>
              <w:sz w:val="26"/>
              <w:szCs w:val="26"/>
            </w:rPr>
            <m:t xml:space="preserve">= </m:t>
          </m:r>
          <m:nary>
            <m:naryPr>
              <m:chr m:val="∑"/>
              <m:limLoc m:val="undOvr"/>
              <m:ctrlPr>
                <w:rPr>
                  <w:rFonts w:ascii="Cambria Math" w:hAnsi="Cambria Math"/>
                  <w:i/>
                  <w:sz w:val="26"/>
                  <w:szCs w:val="26"/>
                </w:rPr>
              </m:ctrlPr>
            </m:naryPr>
            <m:sub>
              <m:r>
                <w:rPr>
                  <w:rFonts w:ascii="Cambria Math" w:hAnsi="Cambria Math"/>
                  <w:sz w:val="26"/>
                  <w:szCs w:val="26"/>
                </w:rPr>
                <m:t>t</m:t>
              </m:r>
              <m:r>
                <w:rPr>
                  <w:rFonts w:ascii="Cambria Math"/>
                  <w:sz w:val="26"/>
                  <w:szCs w:val="26"/>
                </w:rPr>
                <m:t>=1</m:t>
              </m:r>
              <m:r>
                <w:rPr>
                  <w:rFonts w:ascii="Cambria Math" w:hAnsi="Cambria Math"/>
                  <w:sz w:val="26"/>
                  <w:szCs w:val="26"/>
                </w:rPr>
                <m:t>N</m:t>
              </m:r>
            </m:sub>
            <m:sup/>
            <m:e/>
          </m:nary>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UAC</m:t>
                  </m:r>
                </m:e>
                <m:sub>
                  <m:r>
                    <w:rPr>
                      <w:rFonts w:ascii="Cambria Math" w:hAnsi="Cambria Math"/>
                      <w:sz w:val="26"/>
                      <w:szCs w:val="26"/>
                    </w:rPr>
                    <m:t>t</m:t>
                  </m:r>
                </m:sub>
              </m:sSub>
              <m:r>
                <w:rPr>
                  <w:rFonts w:ascii="Cambria Math"/>
                  <w:sz w:val="26"/>
                  <w:szCs w:val="26"/>
                </w:rPr>
                <m:t xml:space="preserve">+ </m:t>
              </m:r>
              <m:sSub>
                <m:sSubPr>
                  <m:ctrlPr>
                    <w:rPr>
                      <w:rFonts w:ascii="Cambria Math" w:hAnsi="Cambria Math"/>
                      <w:i/>
                      <w:sz w:val="26"/>
                      <w:szCs w:val="26"/>
                    </w:rPr>
                  </m:ctrlPr>
                </m:sSubPr>
                <m:e>
                  <m:r>
                    <w:rPr>
                      <w:rFonts w:ascii="Cambria Math" w:hAnsi="Cambria Math"/>
                      <w:sz w:val="26"/>
                      <w:szCs w:val="26"/>
                    </w:rPr>
                    <m:t>TC</m:t>
                  </m:r>
                </m:e>
                <m:sub>
                  <m:r>
                    <w:rPr>
                      <w:rFonts w:ascii="Cambria Math" w:hAnsi="Cambria Math"/>
                      <w:sz w:val="26"/>
                      <w:szCs w:val="26"/>
                    </w:rPr>
                    <m:t>t</m:t>
                  </m:r>
                </m:sub>
              </m:sSub>
            </m:num>
            <m:den>
              <m:sSup>
                <m:sSupPr>
                  <m:ctrlPr>
                    <w:rPr>
                      <w:rFonts w:ascii="Cambria Math" w:hAnsi="Cambria Math"/>
                      <w:i/>
                      <w:sz w:val="26"/>
                      <w:szCs w:val="26"/>
                    </w:rPr>
                  </m:ctrlPr>
                </m:sSupPr>
                <m:e>
                  <m:d>
                    <m:dPr>
                      <m:ctrlPr>
                        <w:rPr>
                          <w:rFonts w:ascii="Cambria Math" w:hAnsi="Cambria Math"/>
                          <w:i/>
                          <w:sz w:val="26"/>
                          <w:szCs w:val="26"/>
                        </w:rPr>
                      </m:ctrlPr>
                    </m:dPr>
                    <m:e>
                      <m:r>
                        <w:rPr>
                          <w:rFonts w:ascii="Cambria Math"/>
                          <w:sz w:val="26"/>
                          <w:szCs w:val="26"/>
                        </w:rPr>
                        <m:t>1+</m:t>
                      </m:r>
                      <m:r>
                        <w:rPr>
                          <w:rFonts w:ascii="Cambria Math" w:hAnsi="Cambria Math"/>
                          <w:sz w:val="26"/>
                          <w:szCs w:val="26"/>
                        </w:rPr>
                        <m:t>d</m:t>
                      </m:r>
                    </m:e>
                  </m:d>
                </m:e>
                <m:sup>
                  <m:r>
                    <w:rPr>
                      <w:rFonts w:ascii="Cambria Math" w:hAnsi="Cambria Math"/>
                      <w:sz w:val="26"/>
                      <w:szCs w:val="26"/>
                    </w:rPr>
                    <m:t>t-</m:t>
                  </m:r>
                  <m:r>
                    <w:rPr>
                      <w:rFonts w:ascii="Cambria Math"/>
                      <w:sz w:val="26"/>
                      <w:szCs w:val="26"/>
                    </w:rPr>
                    <m:t>1</m:t>
                  </m:r>
                </m:sup>
              </m:sSup>
            </m:den>
          </m:f>
          <m:r>
            <w:rPr>
              <w:rFonts w:ascii="Cambria Math"/>
              <w:sz w:val="26"/>
              <w:szCs w:val="26"/>
            </w:rPr>
            <m:t xml:space="preserve">+ </m:t>
          </m:r>
          <m:nary>
            <m:naryPr>
              <m:chr m:val="∑"/>
              <m:limLoc m:val="undOvr"/>
              <m:ctrlPr>
                <w:rPr>
                  <w:rFonts w:ascii="Cambria Math" w:hAnsi="Cambria Math"/>
                  <w:i/>
                  <w:sz w:val="26"/>
                  <w:szCs w:val="26"/>
                </w:rPr>
              </m:ctrlPr>
            </m:naryPr>
            <m:sub>
              <m:r>
                <w:rPr>
                  <w:rFonts w:ascii="Cambria Math" w:hAnsi="Cambria Math"/>
                  <w:sz w:val="26"/>
                  <w:szCs w:val="26"/>
                </w:rPr>
                <m:t>t</m:t>
              </m:r>
              <m:r>
                <w:rPr>
                  <w:rFonts w:ascii="Cambria Math"/>
                  <w:sz w:val="26"/>
                  <w:szCs w:val="26"/>
                </w:rPr>
                <m:t>=1</m:t>
              </m:r>
            </m:sub>
            <m:sup>
              <m:r>
                <w:rPr>
                  <w:rFonts w:ascii="Cambria Math" w:hAnsi="Cambria Math"/>
                  <w:sz w:val="26"/>
                  <w:szCs w:val="26"/>
                </w:rPr>
                <m:t>N</m:t>
              </m:r>
            </m:sup>
            <m:e>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UAC</m:t>
                      </m:r>
                    </m:e>
                    <m:sub>
                      <m:r>
                        <w:rPr>
                          <w:rFonts w:ascii="Cambria Math" w:hAnsi="Cambria Math"/>
                          <w:sz w:val="26"/>
                          <w:szCs w:val="26"/>
                        </w:rPr>
                        <m:t>at</m:t>
                      </m:r>
                    </m:sub>
                  </m:sSub>
                  <m:r>
                    <w:rPr>
                      <w:rFonts w:ascii="Cambria Math"/>
                      <w:sz w:val="26"/>
                      <w:szCs w:val="26"/>
                    </w:rPr>
                    <m:t xml:space="preserve">+ </m:t>
                  </m:r>
                  <m:sSub>
                    <m:sSubPr>
                      <m:ctrlPr>
                        <w:rPr>
                          <w:rFonts w:ascii="Cambria Math" w:hAnsi="Cambria Math"/>
                          <w:i/>
                          <w:sz w:val="26"/>
                          <w:szCs w:val="26"/>
                        </w:rPr>
                      </m:ctrlPr>
                    </m:sSubPr>
                    <m:e>
                      <m:r>
                        <w:rPr>
                          <w:rFonts w:ascii="Cambria Math" w:hAnsi="Cambria Math"/>
                          <w:sz w:val="26"/>
                          <w:szCs w:val="26"/>
                        </w:rPr>
                        <m:t>PAC</m:t>
                      </m:r>
                    </m:e>
                    <m:sub>
                      <m:r>
                        <w:rPr>
                          <w:rFonts w:ascii="Cambria Math" w:hAnsi="Cambria Math"/>
                          <w:sz w:val="26"/>
                          <w:szCs w:val="26"/>
                        </w:rPr>
                        <m:t>at</m:t>
                      </m:r>
                    </m:sub>
                  </m:sSub>
                </m:num>
                <m:den>
                  <m:sSup>
                    <m:sSupPr>
                      <m:ctrlPr>
                        <w:rPr>
                          <w:rFonts w:ascii="Cambria Math" w:hAnsi="Cambria Math"/>
                          <w:i/>
                          <w:sz w:val="26"/>
                          <w:szCs w:val="26"/>
                        </w:rPr>
                      </m:ctrlPr>
                    </m:sSupPr>
                    <m:e>
                      <m:d>
                        <m:dPr>
                          <m:ctrlPr>
                            <w:rPr>
                              <w:rFonts w:ascii="Cambria Math" w:hAnsi="Cambria Math"/>
                              <w:i/>
                              <w:sz w:val="26"/>
                              <w:szCs w:val="26"/>
                            </w:rPr>
                          </m:ctrlPr>
                        </m:dPr>
                        <m:e>
                          <m:r>
                            <w:rPr>
                              <w:rFonts w:ascii="Cambria Math"/>
                              <w:sz w:val="26"/>
                              <w:szCs w:val="26"/>
                            </w:rPr>
                            <m:t>1+</m:t>
                          </m:r>
                          <m:r>
                            <w:rPr>
                              <w:rFonts w:ascii="Cambria Math" w:hAnsi="Cambria Math"/>
                              <w:sz w:val="26"/>
                              <w:szCs w:val="26"/>
                            </w:rPr>
                            <m:t>d</m:t>
                          </m:r>
                        </m:e>
                      </m:d>
                    </m:e>
                    <m:sup>
                      <m:r>
                        <w:rPr>
                          <w:rFonts w:ascii="Cambria Math" w:hAnsi="Cambria Math"/>
                          <w:sz w:val="26"/>
                          <w:szCs w:val="26"/>
                        </w:rPr>
                        <m:t>t-</m:t>
                      </m:r>
                      <m:r>
                        <w:rPr>
                          <w:rFonts w:ascii="Cambria Math"/>
                          <w:sz w:val="26"/>
                          <w:szCs w:val="26"/>
                        </w:rPr>
                        <m:t>1</m:t>
                      </m:r>
                    </m:sup>
                  </m:sSup>
                </m:den>
              </m:f>
            </m:e>
          </m:nary>
        </m:oMath>
      </m:oMathPara>
    </w:p>
    <w:p w:rsidR="00726645" w:rsidRPr="001B2FDE" w:rsidRDefault="00726645" w:rsidP="00375611">
      <w:pPr>
        <w:tabs>
          <w:tab w:val="left" w:pos="1620"/>
        </w:tabs>
        <w:rPr>
          <w:sz w:val="26"/>
          <w:szCs w:val="26"/>
        </w:rPr>
      </w:pPr>
    </w:p>
    <w:p w:rsidR="00726645" w:rsidRPr="007352C8" w:rsidRDefault="007352C8" w:rsidP="00375611">
      <w:pPr>
        <w:tabs>
          <w:tab w:val="left" w:pos="1620"/>
        </w:tabs>
        <w:rPr>
          <w:sz w:val="26"/>
          <w:szCs w:val="26"/>
        </w:rPr>
      </w:pPr>
      <m:oMathPara>
        <m:oMath>
          <m:r>
            <w:rPr>
              <w:rFonts w:ascii="Cambria Math"/>
              <w:sz w:val="26"/>
              <w:szCs w:val="26"/>
            </w:rPr>
            <m:t xml:space="preserve">   </m:t>
          </m:r>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TRC</m:t>
              </m:r>
              <m:r>
                <w:rPr>
                  <w:rFonts w:ascii="Cambria Math"/>
                  <w:sz w:val="26"/>
                  <w:szCs w:val="26"/>
                </w:rPr>
                <m:t xml:space="preserve"> </m:t>
              </m:r>
            </m:sub>
          </m:sSub>
          <m:r>
            <w:rPr>
              <w:rFonts w:ascii="Cambria Math"/>
              <w:sz w:val="26"/>
              <w:szCs w:val="26"/>
            </w:rPr>
            <m:t xml:space="preserve"> = </m:t>
          </m:r>
          <m:nary>
            <m:naryPr>
              <m:chr m:val="∑"/>
              <m:limLoc m:val="undOvr"/>
              <m:ctrlPr>
                <w:rPr>
                  <w:rFonts w:ascii="Cambria Math" w:hAnsi="Cambria Math"/>
                  <w:i/>
                  <w:sz w:val="26"/>
                  <w:szCs w:val="26"/>
                </w:rPr>
              </m:ctrlPr>
            </m:naryPr>
            <m:sub>
              <m:r>
                <w:rPr>
                  <w:rFonts w:ascii="Cambria Math" w:hAnsi="Cambria Math"/>
                  <w:sz w:val="26"/>
                  <w:szCs w:val="26"/>
                </w:rPr>
                <m:t>t</m:t>
              </m:r>
              <m:r>
                <w:rPr>
                  <w:rFonts w:ascii="Cambria Math"/>
                  <w:sz w:val="26"/>
                  <w:szCs w:val="26"/>
                </w:rPr>
                <m:t>=1</m:t>
              </m:r>
            </m:sub>
            <m:sup>
              <m:r>
                <w:rPr>
                  <w:rFonts w:ascii="Cambria Math" w:hAnsi="Cambria Math"/>
                  <w:sz w:val="26"/>
                  <w:szCs w:val="26"/>
                </w:rPr>
                <m:t>N</m:t>
              </m:r>
            </m:sup>
            <m:e>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PRC</m:t>
                      </m:r>
                    </m:e>
                    <m:sub>
                      <m:r>
                        <w:rPr>
                          <w:rFonts w:ascii="Cambria Math" w:hAnsi="Cambria Math"/>
                          <w:sz w:val="26"/>
                          <w:szCs w:val="26"/>
                        </w:rPr>
                        <m:t>t</m:t>
                      </m:r>
                    </m:sub>
                  </m:sSub>
                  <m:r>
                    <w:rPr>
                      <w:rFonts w:ascii="Cambria Math"/>
                      <w:sz w:val="26"/>
                      <w:szCs w:val="26"/>
                    </w:rPr>
                    <m:t xml:space="preserve">+ </m:t>
                  </m:r>
                  <m:sSub>
                    <m:sSubPr>
                      <m:ctrlPr>
                        <w:rPr>
                          <w:rFonts w:ascii="Cambria Math" w:hAnsi="Cambria Math"/>
                          <w:i/>
                          <w:sz w:val="26"/>
                          <w:szCs w:val="26"/>
                        </w:rPr>
                      </m:ctrlPr>
                    </m:sSubPr>
                    <m:e>
                      <m:r>
                        <w:rPr>
                          <w:rFonts w:ascii="Cambria Math" w:hAnsi="Cambria Math"/>
                          <w:sz w:val="26"/>
                          <w:szCs w:val="26"/>
                        </w:rPr>
                        <m:t>PCN</m:t>
                      </m:r>
                    </m:e>
                    <m:sub>
                      <m:r>
                        <w:rPr>
                          <w:rFonts w:ascii="Cambria Math" w:hAnsi="Cambria Math"/>
                          <w:sz w:val="26"/>
                          <w:szCs w:val="26"/>
                        </w:rPr>
                        <m:t>t</m:t>
                      </m:r>
                    </m:sub>
                  </m:sSub>
                  <m:r>
                    <w:rPr>
                      <w:rFonts w:ascii="Cambria Math"/>
                      <w:sz w:val="26"/>
                      <w:szCs w:val="26"/>
                    </w:rPr>
                    <m:t xml:space="preserve">+ </m:t>
                  </m:r>
                  <m:sSub>
                    <m:sSubPr>
                      <m:ctrlPr>
                        <w:rPr>
                          <w:rFonts w:ascii="Cambria Math" w:hAnsi="Cambria Math"/>
                          <w:i/>
                          <w:sz w:val="26"/>
                          <w:szCs w:val="26"/>
                        </w:rPr>
                      </m:ctrlPr>
                    </m:sSubPr>
                    <m:e>
                      <m:r>
                        <w:rPr>
                          <w:rFonts w:ascii="Cambria Math" w:hAnsi="Cambria Math"/>
                          <w:sz w:val="26"/>
                          <w:szCs w:val="26"/>
                        </w:rPr>
                        <m:t>UIC</m:t>
                      </m:r>
                    </m:e>
                    <m:sub>
                      <m:r>
                        <w:rPr>
                          <w:rFonts w:ascii="Cambria Math" w:hAnsi="Cambria Math"/>
                          <w:sz w:val="26"/>
                          <w:szCs w:val="26"/>
                        </w:rPr>
                        <m:t>t</m:t>
                      </m:r>
                    </m:sub>
                  </m:sSub>
                </m:num>
                <m:den>
                  <m:sSup>
                    <m:sSupPr>
                      <m:ctrlPr>
                        <w:rPr>
                          <w:rFonts w:ascii="Cambria Math" w:hAnsi="Cambria Math"/>
                          <w:i/>
                          <w:sz w:val="26"/>
                          <w:szCs w:val="26"/>
                        </w:rPr>
                      </m:ctrlPr>
                    </m:sSupPr>
                    <m:e>
                      <m:d>
                        <m:dPr>
                          <m:ctrlPr>
                            <w:rPr>
                              <w:rFonts w:ascii="Cambria Math" w:hAnsi="Cambria Math"/>
                              <w:i/>
                              <w:sz w:val="26"/>
                              <w:szCs w:val="26"/>
                            </w:rPr>
                          </m:ctrlPr>
                        </m:dPr>
                        <m:e>
                          <m:r>
                            <w:rPr>
                              <w:rFonts w:ascii="Cambria Math"/>
                              <w:sz w:val="26"/>
                              <w:szCs w:val="26"/>
                            </w:rPr>
                            <m:t>1+</m:t>
                          </m:r>
                          <m:r>
                            <w:rPr>
                              <w:rFonts w:ascii="Cambria Math" w:hAnsi="Cambria Math"/>
                              <w:sz w:val="26"/>
                              <w:szCs w:val="26"/>
                            </w:rPr>
                            <m:t>d</m:t>
                          </m:r>
                        </m:e>
                      </m:d>
                    </m:e>
                    <m:sup>
                      <m:r>
                        <w:rPr>
                          <w:rFonts w:ascii="Cambria Math" w:hAnsi="Cambria Math"/>
                          <w:sz w:val="26"/>
                          <w:szCs w:val="26"/>
                        </w:rPr>
                        <m:t>t-</m:t>
                      </m:r>
                      <m:r>
                        <w:rPr>
                          <w:rFonts w:ascii="Cambria Math"/>
                          <w:sz w:val="26"/>
                          <w:szCs w:val="26"/>
                        </w:rPr>
                        <m:t>1</m:t>
                      </m:r>
                    </m:sup>
                  </m:sSup>
                </m:den>
              </m:f>
            </m:e>
          </m:nary>
          <m:r>
            <w:rPr>
              <w:rFonts w:ascii="Cambria Math"/>
              <w:sz w:val="26"/>
              <w:szCs w:val="26"/>
            </w:rPr>
            <m:t xml:space="preserve"> </m:t>
          </m:r>
        </m:oMath>
      </m:oMathPara>
    </w:p>
    <w:p w:rsidR="00726645" w:rsidRPr="001B2FDE" w:rsidRDefault="00726645" w:rsidP="00375611">
      <w:pPr>
        <w:tabs>
          <w:tab w:val="left" w:pos="1620"/>
        </w:tabs>
        <w:rPr>
          <w:sz w:val="26"/>
          <w:szCs w:val="26"/>
        </w:rPr>
      </w:pPr>
    </w:p>
    <w:p w:rsidR="00726645" w:rsidRPr="007352C8" w:rsidRDefault="007352C8" w:rsidP="00375611">
      <w:pPr>
        <w:tabs>
          <w:tab w:val="left" w:pos="1620"/>
        </w:tabs>
        <w:rPr>
          <w:sz w:val="26"/>
          <w:szCs w:val="26"/>
        </w:rPr>
      </w:pPr>
      <m:oMathPara>
        <m:oMath>
          <m:r>
            <w:rPr>
              <w:rFonts w:ascii="Cambria Math" w:hAnsi="Cambria Math"/>
              <w:sz w:val="26"/>
              <w:szCs w:val="26"/>
            </w:rPr>
            <m:t>LCRC</m:t>
          </m:r>
          <m:r>
            <w:rPr>
              <w:rFonts w:ascii="Cambria Math"/>
              <w:sz w:val="26"/>
              <w:szCs w:val="26"/>
            </w:rPr>
            <m:t xml:space="preserve">= </m:t>
          </m:r>
          <m:nary>
            <m:naryPr>
              <m:chr m:val="∑"/>
              <m:limLoc m:val="undOvr"/>
              <m:ctrlPr>
                <w:rPr>
                  <w:rFonts w:ascii="Cambria Math" w:hAnsi="Cambria Math"/>
                  <w:i/>
                  <w:sz w:val="26"/>
                  <w:szCs w:val="26"/>
                </w:rPr>
              </m:ctrlPr>
            </m:naryPr>
            <m:sub>
              <m:r>
                <w:rPr>
                  <w:rFonts w:ascii="Cambria Math" w:hAnsi="Cambria Math"/>
                  <w:sz w:val="26"/>
                  <w:szCs w:val="26"/>
                </w:rPr>
                <m:t>t</m:t>
              </m:r>
              <m:r>
                <w:rPr>
                  <w:rFonts w:ascii="Cambria Math"/>
                  <w:sz w:val="26"/>
                  <w:szCs w:val="26"/>
                </w:rPr>
                <m:t>=1</m:t>
              </m:r>
            </m:sub>
            <m:sup>
              <m:r>
                <w:rPr>
                  <w:rFonts w:ascii="Cambria Math" w:hAnsi="Cambria Math"/>
                  <w:sz w:val="26"/>
                  <w:szCs w:val="26"/>
                </w:rPr>
                <m:t>N</m:t>
              </m:r>
            </m:sup>
            <m:e>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PRC</m:t>
                      </m:r>
                    </m:e>
                    <m:sub>
                      <m:r>
                        <w:rPr>
                          <w:rFonts w:ascii="Cambria Math" w:hAnsi="Cambria Math"/>
                          <w:sz w:val="26"/>
                          <w:szCs w:val="26"/>
                        </w:rPr>
                        <m:t>t</m:t>
                      </m:r>
                    </m:sub>
                  </m:sSub>
                  <m:r>
                    <w:rPr>
                      <w:rFonts w:ascii="Cambria Math"/>
                      <w:sz w:val="26"/>
                      <w:szCs w:val="26"/>
                    </w:rPr>
                    <m:t>+</m:t>
                  </m:r>
                  <m:sSub>
                    <m:sSubPr>
                      <m:ctrlPr>
                        <w:rPr>
                          <w:rFonts w:ascii="Cambria Math" w:hAnsi="Cambria Math"/>
                          <w:i/>
                          <w:sz w:val="26"/>
                          <w:szCs w:val="26"/>
                        </w:rPr>
                      </m:ctrlPr>
                    </m:sSubPr>
                    <m:e>
                      <m:r>
                        <w:rPr>
                          <w:rFonts w:ascii="Cambria Math" w:hAnsi="Cambria Math"/>
                          <w:sz w:val="26"/>
                          <w:szCs w:val="26"/>
                        </w:rPr>
                        <m:t>PCN</m:t>
                      </m:r>
                    </m:e>
                    <m:sub>
                      <m:r>
                        <w:rPr>
                          <w:rFonts w:ascii="Cambria Math" w:hAnsi="Cambria Math"/>
                          <w:sz w:val="26"/>
                          <w:szCs w:val="26"/>
                        </w:rPr>
                        <m:t>t</m:t>
                      </m:r>
                    </m:sub>
                  </m:sSub>
                  <m:r>
                    <w:rPr>
                      <w:rFonts w:ascii="Cambria Math" w:hAnsi="Cambria Math"/>
                      <w:sz w:val="26"/>
                      <w:szCs w:val="26"/>
                    </w:rPr>
                    <m:t>-</m:t>
                  </m:r>
                  <m:r>
                    <w:rPr>
                      <w:rFonts w:ascii="Cambria Math"/>
                      <w:sz w:val="26"/>
                      <w:szCs w:val="26"/>
                    </w:rPr>
                    <m:t xml:space="preserve"> </m:t>
                  </m:r>
                  <m:sSub>
                    <m:sSubPr>
                      <m:ctrlPr>
                        <w:rPr>
                          <w:rFonts w:ascii="Cambria Math" w:hAnsi="Cambria Math"/>
                          <w:i/>
                          <w:sz w:val="26"/>
                          <w:szCs w:val="26"/>
                        </w:rPr>
                      </m:ctrlPr>
                    </m:sSubPr>
                    <m:e>
                      <m:r>
                        <w:rPr>
                          <w:rFonts w:ascii="Cambria Math" w:hAnsi="Cambria Math"/>
                          <w:sz w:val="26"/>
                          <w:szCs w:val="26"/>
                        </w:rPr>
                        <m:t>TC</m:t>
                      </m:r>
                    </m:e>
                    <m:sub>
                      <m:r>
                        <w:rPr>
                          <w:rFonts w:ascii="Cambria Math" w:hAnsi="Cambria Math"/>
                          <w:sz w:val="26"/>
                          <w:szCs w:val="26"/>
                        </w:rPr>
                        <m:t>t</m:t>
                      </m:r>
                    </m:sub>
                  </m:sSub>
                </m:num>
                <m:den>
                  <m:sSup>
                    <m:sSupPr>
                      <m:ctrlPr>
                        <w:rPr>
                          <w:rFonts w:ascii="Cambria Math" w:hAnsi="Cambria Math"/>
                          <w:i/>
                          <w:sz w:val="26"/>
                          <w:szCs w:val="26"/>
                        </w:rPr>
                      </m:ctrlPr>
                    </m:sSupPr>
                    <m:e>
                      <m:d>
                        <m:dPr>
                          <m:ctrlPr>
                            <w:rPr>
                              <w:rFonts w:ascii="Cambria Math" w:hAnsi="Cambria Math"/>
                              <w:i/>
                              <w:sz w:val="26"/>
                              <w:szCs w:val="26"/>
                            </w:rPr>
                          </m:ctrlPr>
                        </m:dPr>
                        <m:e>
                          <m:r>
                            <w:rPr>
                              <w:rFonts w:ascii="Cambria Math"/>
                              <w:sz w:val="26"/>
                              <w:szCs w:val="26"/>
                            </w:rPr>
                            <m:t>1+</m:t>
                          </m:r>
                          <m:r>
                            <w:rPr>
                              <w:rFonts w:ascii="Cambria Math" w:hAnsi="Cambria Math"/>
                              <w:sz w:val="26"/>
                              <w:szCs w:val="26"/>
                            </w:rPr>
                            <m:t>d</m:t>
                          </m:r>
                        </m:e>
                      </m:d>
                    </m:e>
                    <m:sup>
                      <m:r>
                        <w:rPr>
                          <w:rFonts w:ascii="Cambria Math" w:hAnsi="Cambria Math"/>
                          <w:sz w:val="26"/>
                          <w:szCs w:val="26"/>
                        </w:rPr>
                        <m:t>t-</m:t>
                      </m:r>
                      <m:r>
                        <w:rPr>
                          <w:rFonts w:ascii="Cambria Math"/>
                          <w:sz w:val="26"/>
                          <w:szCs w:val="26"/>
                        </w:rPr>
                        <m:t>1</m:t>
                      </m:r>
                    </m:sup>
                  </m:sSup>
                </m:den>
              </m:f>
            </m:e>
          </m:nary>
        </m:oMath>
      </m:oMathPara>
    </w:p>
    <w:p w:rsidR="00726645" w:rsidRPr="001B2FDE" w:rsidRDefault="00726645" w:rsidP="00375611">
      <w:pPr>
        <w:tabs>
          <w:tab w:val="left" w:pos="1620"/>
        </w:tabs>
        <w:rPr>
          <w:sz w:val="26"/>
          <w:szCs w:val="26"/>
        </w:rPr>
      </w:pPr>
    </w:p>
    <w:p w:rsidR="00726645" w:rsidRPr="007352C8" w:rsidRDefault="007352C8" w:rsidP="00375611">
      <w:pPr>
        <w:tabs>
          <w:tab w:val="left" w:pos="1620"/>
        </w:tabs>
        <w:rPr>
          <w:sz w:val="26"/>
          <w:szCs w:val="26"/>
        </w:rPr>
      </w:pPr>
      <m:oMathPara>
        <m:oMath>
          <m:r>
            <w:rPr>
              <w:rFonts w:ascii="Cambria Math" w:hAnsi="Cambria Math"/>
              <w:sz w:val="26"/>
              <w:szCs w:val="26"/>
            </w:rPr>
            <m:t>IMP</m:t>
          </m:r>
          <m:r>
            <w:rPr>
              <w:rFonts w:ascii="Cambria Math"/>
              <w:sz w:val="26"/>
              <w:szCs w:val="26"/>
            </w:rPr>
            <m:t xml:space="preserve">= </m:t>
          </m:r>
          <m:f>
            <m:fPr>
              <m:ctrlPr>
                <w:rPr>
                  <w:rFonts w:ascii="Cambria Math" w:hAnsi="Cambria Math"/>
                  <w:i/>
                  <w:sz w:val="26"/>
                  <w:szCs w:val="26"/>
                </w:rPr>
              </m:ctrlPr>
            </m:fPr>
            <m:num>
              <m:nary>
                <m:naryPr>
                  <m:chr m:val="∑"/>
                  <m:limLoc m:val="undOvr"/>
                  <m:ctrlPr>
                    <w:rPr>
                      <w:rFonts w:ascii="Cambria Math" w:hAnsi="Cambria Math"/>
                      <w:i/>
                      <w:sz w:val="26"/>
                      <w:szCs w:val="26"/>
                    </w:rPr>
                  </m:ctrlPr>
                </m:naryPr>
                <m:sub>
                  <m:r>
                    <w:rPr>
                      <w:rFonts w:ascii="Cambria Math" w:hAnsi="Cambria Math"/>
                      <w:sz w:val="26"/>
                      <w:szCs w:val="26"/>
                    </w:rPr>
                    <m:t>t</m:t>
                  </m:r>
                  <m:r>
                    <w:rPr>
                      <w:rFonts w:ascii="Cambria Math"/>
                      <w:sz w:val="26"/>
                      <w:szCs w:val="26"/>
                    </w:rPr>
                    <m:t>=1</m:t>
                  </m:r>
                </m:sub>
                <m:sup>
                  <m:r>
                    <w:rPr>
                      <w:rFonts w:ascii="Cambria Math" w:hAnsi="Cambria Math"/>
                      <w:sz w:val="26"/>
                      <w:szCs w:val="26"/>
                    </w:rPr>
                    <m:t>n</m:t>
                  </m:r>
                </m:sup>
                <m:e>
                  <m:d>
                    <m:dPr>
                      <m:begChr m:val="["/>
                      <m:endChr m:val="]"/>
                      <m:ctrlPr>
                        <w:rPr>
                          <w:rFonts w:ascii="Cambria Math" w:hAnsi="Cambria Math"/>
                          <w:i/>
                          <w:sz w:val="26"/>
                          <w:szCs w:val="26"/>
                        </w:rPr>
                      </m:ctrlPr>
                    </m:dPr>
                    <m:e>
                      <m:d>
                        <m:dPr>
                          <m:ctrlPr>
                            <w:rPr>
                              <w:rFonts w:ascii="Cambria Math" w:hAnsi="Cambria Math"/>
                              <w:i/>
                              <w:sz w:val="26"/>
                              <w:szCs w:val="26"/>
                            </w:rPr>
                          </m:ctrlPr>
                        </m:dPr>
                        <m:e>
                          <m:nary>
                            <m:naryPr>
                              <m:chr m:val="∑"/>
                              <m:limLoc m:val="undOvr"/>
                              <m:ctrlPr>
                                <w:rPr>
                                  <w:rFonts w:ascii="Cambria Math" w:hAnsi="Cambria Math"/>
                                  <w:i/>
                                  <w:sz w:val="26"/>
                                  <w:szCs w:val="26"/>
                                </w:rPr>
                              </m:ctrlPr>
                            </m:naryPr>
                            <m:sub>
                              <m:r>
                                <w:rPr>
                                  <w:rFonts w:ascii="Cambria Math" w:hAnsi="Cambria Math"/>
                                  <w:sz w:val="26"/>
                                  <w:szCs w:val="26"/>
                                </w:rPr>
                                <m:t>i</m:t>
                              </m:r>
                              <m:r>
                                <w:rPr>
                                  <w:rFonts w:ascii="Cambria Math"/>
                                  <w:sz w:val="26"/>
                                  <w:szCs w:val="26"/>
                                </w:rPr>
                                <m:t>=1</m:t>
                              </m:r>
                            </m:sub>
                            <m:sup>
                              <m:r>
                                <w:rPr>
                                  <w:rFonts w:ascii="Cambria Math" w:hAnsi="Cambria Math"/>
                                  <w:sz w:val="26"/>
                                  <w:szCs w:val="26"/>
                                </w:rPr>
                                <m:t>n</m:t>
                              </m:r>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EN</m:t>
                                  </m:r>
                                </m:e>
                                <m:sub>
                                  <m:r>
                                    <w:rPr>
                                      <w:rFonts w:ascii="Cambria Math" w:hAnsi="Cambria Math"/>
                                      <w:sz w:val="26"/>
                                      <w:szCs w:val="26"/>
                                    </w:rPr>
                                    <m:t>it</m:t>
                                  </m:r>
                                </m:sub>
                              </m:sSub>
                            </m:e>
                          </m:nary>
                        </m:e>
                      </m:d>
                      <m:r>
                        <w:rPr>
                          <w:rFonts w:ascii="Cambria Math"/>
                          <w:sz w:val="26"/>
                          <w:szCs w:val="26"/>
                        </w:rPr>
                        <m:t xml:space="preserve"> </m:t>
                      </m:r>
                      <m:r>
                        <w:rPr>
                          <w:rFonts w:ascii="Cambria Math" w:hAnsi="Cambria Math"/>
                          <w:sz w:val="26"/>
                          <w:szCs w:val="26"/>
                        </w:rPr>
                        <m:t>or</m:t>
                      </m:r>
                      <m:r>
                        <w:rPr>
                          <w:rFonts w:ascii="Cambria Math"/>
                          <w:sz w:val="26"/>
                          <w:szCs w:val="26"/>
                        </w:rPr>
                        <m:t xml:space="preserve"> (</m:t>
                      </m:r>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DN</m:t>
                          </m:r>
                        </m:e>
                        <m:sub>
                          <m:r>
                            <w:rPr>
                              <w:rFonts w:ascii="Cambria Math" w:hAnsi="Cambria Math"/>
                              <w:sz w:val="26"/>
                              <w:szCs w:val="26"/>
                            </w:rPr>
                            <m:t>it</m:t>
                          </m:r>
                        </m:sub>
                      </m:sSub>
                      <m:r>
                        <w:rPr>
                          <w:rFonts w:ascii="Cambria Math"/>
                          <w:sz w:val="26"/>
                          <w:szCs w:val="26"/>
                        </w:rPr>
                        <m:t xml:space="preserve"> </m:t>
                      </m:r>
                      <m:r>
                        <w:rPr>
                          <w:rFonts w:ascii="Cambria Math" w:hAnsi="Cambria Math"/>
                          <w:sz w:val="26"/>
                          <w:szCs w:val="26"/>
                        </w:rPr>
                        <m:t>w</m:t>
                      </m:r>
                      <m:r>
                        <w:rPr>
                          <w:rFonts w:hAnsi="Cambria Math"/>
                          <w:sz w:val="26"/>
                          <w:szCs w:val="26"/>
                        </w:rPr>
                        <m:t>h</m:t>
                      </m:r>
                      <m:r>
                        <w:rPr>
                          <w:rFonts w:ascii="Cambria Math" w:hAnsi="Cambria Math"/>
                          <w:sz w:val="26"/>
                          <w:szCs w:val="26"/>
                        </w:rPr>
                        <m:t>ere</m:t>
                      </m:r>
                      <m:r>
                        <w:rPr>
                          <w:rFonts w:ascii="Cambria Math"/>
                          <w:sz w:val="26"/>
                          <w:szCs w:val="26"/>
                        </w:rPr>
                        <m:t xml:space="preserve"> </m:t>
                      </m:r>
                      <m:r>
                        <w:rPr>
                          <w:rFonts w:ascii="Cambria Math" w:hAnsi="Cambria Math"/>
                          <w:sz w:val="26"/>
                          <w:szCs w:val="26"/>
                        </w:rPr>
                        <m:t>I</m:t>
                      </m:r>
                      <m:r>
                        <w:rPr>
                          <w:rFonts w:ascii="Cambria Math"/>
                          <w:sz w:val="26"/>
                          <w:szCs w:val="26"/>
                        </w:rPr>
                        <m:t>=</m:t>
                      </m:r>
                      <m:r>
                        <w:rPr>
                          <w:rFonts w:ascii="Cambria Math" w:hAnsi="Cambria Math"/>
                          <w:sz w:val="26"/>
                          <w:szCs w:val="26"/>
                        </w:rPr>
                        <m:t>peak</m:t>
                      </m:r>
                      <m:r>
                        <w:rPr>
                          <w:rFonts w:ascii="Cambria Math"/>
                          <w:sz w:val="26"/>
                          <w:szCs w:val="26"/>
                        </w:rPr>
                        <m:t xml:space="preserve"> </m:t>
                      </m:r>
                      <m:r>
                        <w:rPr>
                          <w:rFonts w:ascii="Cambria Math" w:hAnsi="Cambria Math"/>
                          <w:sz w:val="26"/>
                          <w:szCs w:val="26"/>
                        </w:rPr>
                        <m:t>period</m:t>
                      </m:r>
                      <m:r>
                        <w:rPr>
                          <w:rFonts w:ascii="Cambria Math"/>
                          <w:sz w:val="26"/>
                          <w:szCs w:val="26"/>
                        </w:rPr>
                        <m:t xml:space="preserve">) </m:t>
                      </m:r>
                    </m:e>
                  </m:d>
                </m:e>
              </m:nary>
            </m:num>
            <m:den>
              <m:sSup>
                <m:sSupPr>
                  <m:ctrlPr>
                    <w:rPr>
                      <w:rFonts w:ascii="Cambria Math" w:hAnsi="Cambria Math"/>
                      <w:i/>
                      <w:sz w:val="26"/>
                      <w:szCs w:val="26"/>
                    </w:rPr>
                  </m:ctrlPr>
                </m:sSupPr>
                <m:e>
                  <m:d>
                    <m:dPr>
                      <m:ctrlPr>
                        <w:rPr>
                          <w:rFonts w:ascii="Cambria Math" w:hAnsi="Cambria Math"/>
                          <w:i/>
                          <w:sz w:val="26"/>
                          <w:szCs w:val="26"/>
                        </w:rPr>
                      </m:ctrlPr>
                    </m:dPr>
                    <m:e>
                      <m:r>
                        <w:rPr>
                          <w:rFonts w:ascii="Cambria Math"/>
                          <w:sz w:val="26"/>
                          <w:szCs w:val="26"/>
                        </w:rPr>
                        <m:t>1+</m:t>
                      </m:r>
                      <m:r>
                        <w:rPr>
                          <w:rFonts w:ascii="Cambria Math" w:hAnsi="Cambria Math"/>
                          <w:sz w:val="26"/>
                          <w:szCs w:val="26"/>
                        </w:rPr>
                        <m:t>d</m:t>
                      </m:r>
                    </m:e>
                  </m:d>
                </m:e>
                <m:sup>
                  <m:r>
                    <w:rPr>
                      <w:rFonts w:ascii="Cambria Math" w:hAnsi="Cambria Math"/>
                      <w:sz w:val="26"/>
                      <w:szCs w:val="26"/>
                    </w:rPr>
                    <m:t>t-</m:t>
                  </m:r>
                  <m:r>
                    <w:rPr>
                      <w:rFonts w:ascii="Cambria Math"/>
                      <w:sz w:val="26"/>
                      <w:szCs w:val="26"/>
                    </w:rPr>
                    <m:t>1</m:t>
                  </m:r>
                </m:sup>
              </m:sSup>
            </m:den>
          </m:f>
        </m:oMath>
      </m:oMathPara>
    </w:p>
    <w:p w:rsidR="00726645" w:rsidRPr="001B2FDE" w:rsidRDefault="00726645" w:rsidP="00375611">
      <w:pPr>
        <w:tabs>
          <w:tab w:val="left" w:pos="1620"/>
        </w:tabs>
        <w:rPr>
          <w:sz w:val="26"/>
          <w:szCs w:val="26"/>
        </w:rPr>
      </w:pPr>
    </w:p>
    <w:p w:rsidR="00726645" w:rsidRPr="001B2FDE" w:rsidRDefault="00726645" w:rsidP="00153905">
      <w:pPr>
        <w:pStyle w:val="Heading4"/>
        <w:keepNext w:val="0"/>
        <w:numPr>
          <w:ilvl w:val="3"/>
          <w:numId w:val="27"/>
        </w:numPr>
        <w:spacing w:before="0" w:after="0" w:line="360" w:lineRule="auto"/>
        <w:ind w:firstLine="720"/>
        <w:rPr>
          <w:rFonts w:ascii="Times New Roman" w:hAnsi="Times New Roman"/>
          <w:b w:val="0"/>
          <w:sz w:val="26"/>
          <w:szCs w:val="26"/>
        </w:rPr>
      </w:pPr>
      <w:r w:rsidRPr="001B2FDE">
        <w:rPr>
          <w:rFonts w:ascii="Times New Roman" w:hAnsi="Times New Roman"/>
          <w:sz w:val="26"/>
          <w:szCs w:val="26"/>
        </w:rPr>
        <w:br w:type="page"/>
      </w:r>
    </w:p>
    <w:p w:rsidR="00726645" w:rsidRPr="00FD7EDC" w:rsidRDefault="00726645" w:rsidP="00FD7EDC">
      <w:pPr>
        <w:pStyle w:val="Heading4"/>
        <w:keepNext w:val="0"/>
        <w:numPr>
          <w:ilvl w:val="0"/>
          <w:numId w:val="0"/>
        </w:numPr>
        <w:spacing w:before="0" w:after="0" w:line="360" w:lineRule="auto"/>
        <w:ind w:firstLine="720"/>
        <w:rPr>
          <w:rFonts w:ascii="Times New Roman" w:hAnsi="Times New Roman"/>
          <w:b w:val="0"/>
          <w:sz w:val="26"/>
          <w:szCs w:val="26"/>
        </w:rPr>
      </w:pPr>
      <w:r w:rsidRPr="00FD7EDC">
        <w:rPr>
          <w:rFonts w:ascii="Times New Roman" w:hAnsi="Times New Roman"/>
          <w:b w:val="0"/>
          <w:sz w:val="26"/>
          <w:szCs w:val="26"/>
        </w:rPr>
        <w:lastRenderedPageBreak/>
        <w:t>The utility avoided cost terms (UAC</w:t>
      </w:r>
      <w:r w:rsidRPr="00FD7EDC">
        <w:rPr>
          <w:rFonts w:ascii="Times New Roman" w:hAnsi="Times New Roman"/>
          <w:b w:val="0"/>
          <w:sz w:val="26"/>
          <w:szCs w:val="26"/>
          <w:vertAlign w:val="subscript"/>
        </w:rPr>
        <w:t>t</w:t>
      </w:r>
      <w:r w:rsidRPr="00FD7EDC">
        <w:rPr>
          <w:rFonts w:ascii="Times New Roman" w:hAnsi="Times New Roman"/>
          <w:b w:val="0"/>
          <w:sz w:val="26"/>
          <w:szCs w:val="26"/>
        </w:rPr>
        <w:t>, UIC</w:t>
      </w:r>
      <w:r w:rsidRPr="00FD7EDC">
        <w:rPr>
          <w:rFonts w:ascii="Times New Roman" w:hAnsi="Times New Roman"/>
          <w:b w:val="0"/>
          <w:sz w:val="26"/>
          <w:szCs w:val="26"/>
          <w:vertAlign w:val="subscript"/>
        </w:rPr>
        <w:t>t</w:t>
      </w:r>
      <w:r w:rsidRPr="00FD7EDC">
        <w:rPr>
          <w:rFonts w:ascii="Times New Roman" w:hAnsi="Times New Roman"/>
          <w:b w:val="0"/>
          <w:sz w:val="26"/>
          <w:szCs w:val="26"/>
        </w:rPr>
        <w:t>, ,and UAC</w:t>
      </w:r>
      <w:r w:rsidRPr="00FD7EDC">
        <w:rPr>
          <w:rFonts w:ascii="Times New Roman" w:hAnsi="Times New Roman"/>
          <w:b w:val="0"/>
          <w:sz w:val="26"/>
          <w:szCs w:val="26"/>
          <w:vertAlign w:val="subscript"/>
        </w:rPr>
        <w:t>at</w:t>
      </w:r>
      <w:r w:rsidRPr="00FD7EDC">
        <w:rPr>
          <w:rFonts w:ascii="Times New Roman" w:hAnsi="Times New Roman"/>
          <w:b w:val="0"/>
          <w:sz w:val="26"/>
          <w:szCs w:val="26"/>
        </w:rPr>
        <w:t>) are determined by costing period to reflect time-variant costs of supply:</w:t>
      </w:r>
    </w:p>
    <w:p w:rsidR="00726645" w:rsidRPr="001B2FDE" w:rsidRDefault="00726645" w:rsidP="00375611">
      <w:pPr>
        <w:tabs>
          <w:tab w:val="left" w:pos="1620"/>
        </w:tabs>
        <w:rPr>
          <w:sz w:val="26"/>
          <w:szCs w:val="26"/>
        </w:rPr>
      </w:pPr>
    </w:p>
    <w:p w:rsidR="00726645" w:rsidRPr="001B2FDE" w:rsidRDefault="00726645" w:rsidP="00375611">
      <w:pPr>
        <w:tabs>
          <w:tab w:val="left" w:pos="1620"/>
        </w:tabs>
        <w:rPr>
          <w:sz w:val="26"/>
          <w:szCs w:val="26"/>
        </w:rPr>
      </w:pPr>
    </w:p>
    <w:p w:rsidR="00726645" w:rsidRPr="001B2FDE" w:rsidRDefault="00726645" w:rsidP="00375611">
      <w:pPr>
        <w:tabs>
          <w:tab w:val="left" w:pos="1620"/>
        </w:tabs>
        <w:rPr>
          <w:sz w:val="26"/>
          <w:szCs w:val="26"/>
        </w:rPr>
      </w:pPr>
    </w:p>
    <w:p w:rsidR="00726645" w:rsidRPr="007352C8" w:rsidRDefault="00153932" w:rsidP="00375611">
      <w:pPr>
        <w:tabs>
          <w:tab w:val="left" w:pos="1620"/>
        </w:tabs>
        <w:rPr>
          <w:sz w:val="26"/>
          <w:szCs w:val="26"/>
        </w:rPr>
      </w:pPr>
      <m:oMathPara>
        <m:oMath>
          <m:sSub>
            <m:sSubPr>
              <m:ctrlPr>
                <w:rPr>
                  <w:rFonts w:ascii="Cambria Math" w:hAnsi="Cambria Math"/>
                  <w:i/>
                  <w:sz w:val="26"/>
                  <w:szCs w:val="26"/>
                </w:rPr>
              </m:ctrlPr>
            </m:sSubPr>
            <m:e>
              <m:r>
                <w:rPr>
                  <w:rFonts w:ascii="Cambria Math" w:hAnsi="Cambria Math"/>
                  <w:sz w:val="26"/>
                  <w:szCs w:val="26"/>
                </w:rPr>
                <m:t>UAC</m:t>
              </m:r>
            </m:e>
            <m:sub>
              <m:r>
                <w:rPr>
                  <w:rFonts w:ascii="Cambria Math" w:hAnsi="Cambria Math"/>
                  <w:sz w:val="26"/>
                  <w:szCs w:val="26"/>
                </w:rPr>
                <m:t>t</m:t>
              </m:r>
            </m:sub>
          </m:sSub>
          <m:r>
            <w:rPr>
              <w:rFonts w:ascii="Cambria Math"/>
              <w:sz w:val="26"/>
              <w:szCs w:val="26"/>
            </w:rPr>
            <m:t xml:space="preserve">= </m:t>
          </m:r>
          <m:nary>
            <m:naryPr>
              <m:chr m:val="∑"/>
              <m:limLoc m:val="undOvr"/>
              <m:ctrlPr>
                <w:rPr>
                  <w:rFonts w:ascii="Cambria Math" w:hAnsi="Cambria Math"/>
                  <w:i/>
                  <w:sz w:val="26"/>
                  <w:szCs w:val="26"/>
                </w:rPr>
              </m:ctrlPr>
            </m:naryPr>
            <m:sub>
              <m:r>
                <w:rPr>
                  <w:rFonts w:ascii="Cambria Math" w:hAnsi="Cambria Math"/>
                  <w:sz w:val="26"/>
                  <w:szCs w:val="26"/>
                </w:rPr>
                <m:t>i</m:t>
              </m:r>
              <m:r>
                <w:rPr>
                  <w:rFonts w:ascii="Cambria Math"/>
                  <w:sz w:val="26"/>
                  <w:szCs w:val="26"/>
                </w:rPr>
                <m:t>=1</m:t>
              </m:r>
            </m:sub>
            <m:sup>
              <m:r>
                <w:rPr>
                  <w:rFonts w:ascii="Cambria Math" w:hAnsi="Cambria Math"/>
                  <w:sz w:val="26"/>
                  <w:szCs w:val="26"/>
                </w:rPr>
                <m:t>I</m:t>
              </m:r>
            </m:sup>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∆EN</m:t>
                      </m:r>
                    </m:e>
                    <m:sub>
                      <m:r>
                        <w:rPr>
                          <w:rFonts w:ascii="Cambria Math" w:hAnsi="Cambria Math"/>
                          <w:sz w:val="26"/>
                          <w:szCs w:val="26"/>
                        </w:rPr>
                        <m:t>it</m:t>
                      </m:r>
                    </m:sub>
                  </m:sSub>
                  <m:r>
                    <w:rPr>
                      <w:rFonts w:ascii="Cambria Math"/>
                      <w:sz w:val="26"/>
                      <w:szCs w:val="26"/>
                    </w:rPr>
                    <m:t xml:space="preserve"> </m:t>
                  </m:r>
                  <m:r>
                    <w:rPr>
                      <w:rFonts w:ascii="Cambria Math" w:hAnsi="Cambria Math"/>
                      <w:sz w:val="26"/>
                      <w:szCs w:val="26"/>
                    </w:rPr>
                    <m:t>×</m:t>
                  </m:r>
                  <m:r>
                    <w:rPr>
                      <w:rFonts w:ascii="Cambria Math"/>
                      <w:sz w:val="26"/>
                      <w:szCs w:val="26"/>
                    </w:rPr>
                    <m:t xml:space="preserve"> </m:t>
                  </m:r>
                  <m:sSub>
                    <m:sSubPr>
                      <m:ctrlPr>
                        <w:rPr>
                          <w:rFonts w:ascii="Cambria Math" w:hAnsi="Cambria Math"/>
                          <w:i/>
                          <w:sz w:val="26"/>
                          <w:szCs w:val="26"/>
                        </w:rPr>
                      </m:ctrlPr>
                    </m:sSubPr>
                    <m:e>
                      <m:r>
                        <w:rPr>
                          <w:rFonts w:ascii="Cambria Math" w:hAnsi="Cambria Math"/>
                          <w:sz w:val="26"/>
                          <w:szCs w:val="26"/>
                        </w:rPr>
                        <m:t>MC</m:t>
                      </m:r>
                      <m:r>
                        <w:rPr>
                          <w:rFonts w:ascii="Cambria Math"/>
                          <w:sz w:val="26"/>
                          <w:szCs w:val="26"/>
                        </w:rPr>
                        <m:t>:</m:t>
                      </m:r>
                      <m:r>
                        <w:rPr>
                          <w:rFonts w:ascii="Cambria Math" w:hAnsi="Cambria Math"/>
                          <w:sz w:val="26"/>
                          <w:szCs w:val="26"/>
                        </w:rPr>
                        <m:t>E</m:t>
                      </m:r>
                    </m:e>
                    <m:sub>
                      <m:r>
                        <w:rPr>
                          <w:rFonts w:ascii="Cambria Math" w:hAnsi="Cambria Math"/>
                          <w:sz w:val="26"/>
                          <w:szCs w:val="26"/>
                        </w:rPr>
                        <m:t>it</m:t>
                      </m:r>
                    </m:sub>
                  </m:sSub>
                  <m:r>
                    <w:rPr>
                      <w:rFonts w:ascii="Cambria Math"/>
                      <w:sz w:val="26"/>
                      <w:szCs w:val="26"/>
                    </w:rPr>
                    <m:t xml:space="preserve"> </m:t>
                  </m:r>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it</m:t>
                      </m:r>
                    </m:sub>
                  </m:sSub>
                </m:e>
              </m:d>
            </m:e>
          </m:nary>
          <m:r>
            <w:rPr>
              <w:rFonts w:ascii="Cambria Math"/>
              <w:sz w:val="26"/>
              <w:szCs w:val="26"/>
            </w:rPr>
            <m:t xml:space="preserve">+ </m:t>
          </m:r>
          <m:nary>
            <m:naryPr>
              <m:chr m:val="∑"/>
              <m:limLoc m:val="undOvr"/>
              <m:ctrlPr>
                <w:rPr>
                  <w:rFonts w:ascii="Cambria Math" w:hAnsi="Cambria Math"/>
                  <w:i/>
                  <w:sz w:val="26"/>
                  <w:szCs w:val="26"/>
                </w:rPr>
              </m:ctrlPr>
            </m:naryPr>
            <m:sub>
              <m:r>
                <w:rPr>
                  <w:rFonts w:ascii="Cambria Math" w:hAnsi="Cambria Math"/>
                  <w:sz w:val="26"/>
                  <w:szCs w:val="26"/>
                </w:rPr>
                <m:t>i</m:t>
              </m:r>
              <m:r>
                <w:rPr>
                  <w:rFonts w:ascii="Cambria Math"/>
                  <w:sz w:val="26"/>
                  <w:szCs w:val="26"/>
                </w:rPr>
                <m:t>=1</m:t>
              </m:r>
            </m:sub>
            <m:sup>
              <m:r>
                <w:rPr>
                  <w:rFonts w:ascii="Cambria Math" w:hAnsi="Cambria Math"/>
                  <w:sz w:val="26"/>
                  <w:szCs w:val="26"/>
                </w:rPr>
                <m:t>I</m:t>
              </m:r>
            </m:sup>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∆DN</m:t>
                      </m:r>
                    </m:e>
                    <m:sub>
                      <m:r>
                        <w:rPr>
                          <w:rFonts w:ascii="Cambria Math" w:hAnsi="Cambria Math"/>
                          <w:sz w:val="26"/>
                          <w:szCs w:val="26"/>
                        </w:rPr>
                        <m:t>it</m:t>
                      </m:r>
                    </m:sub>
                  </m:sSub>
                  <m:r>
                    <w:rPr>
                      <w:rFonts w:ascii="Cambria Math"/>
                      <w:sz w:val="26"/>
                      <w:szCs w:val="26"/>
                    </w:rPr>
                    <m:t xml:space="preserve"> </m:t>
                  </m:r>
                  <m:r>
                    <w:rPr>
                      <w:rFonts w:ascii="Cambria Math" w:hAnsi="Cambria Math"/>
                      <w:sz w:val="26"/>
                      <w:szCs w:val="26"/>
                    </w:rPr>
                    <m:t>×</m:t>
                  </m:r>
                  <m:r>
                    <w:rPr>
                      <w:rFonts w:ascii="Cambria Math"/>
                      <w:sz w:val="26"/>
                      <w:szCs w:val="26"/>
                    </w:rPr>
                    <m:t xml:space="preserve"> </m:t>
                  </m:r>
                  <m:sSub>
                    <m:sSubPr>
                      <m:ctrlPr>
                        <w:rPr>
                          <w:rFonts w:ascii="Cambria Math" w:hAnsi="Cambria Math"/>
                          <w:i/>
                          <w:sz w:val="26"/>
                          <w:szCs w:val="26"/>
                        </w:rPr>
                      </m:ctrlPr>
                    </m:sSubPr>
                    <m:e>
                      <m:r>
                        <w:rPr>
                          <w:rFonts w:ascii="Cambria Math" w:hAnsi="Cambria Math"/>
                          <w:sz w:val="26"/>
                          <w:szCs w:val="26"/>
                        </w:rPr>
                        <m:t>MC</m:t>
                      </m:r>
                      <m:r>
                        <w:rPr>
                          <w:rFonts w:ascii="Cambria Math"/>
                          <w:sz w:val="26"/>
                          <w:szCs w:val="26"/>
                        </w:rPr>
                        <m:t>:</m:t>
                      </m:r>
                      <m:r>
                        <w:rPr>
                          <w:rFonts w:ascii="Cambria Math" w:hAnsi="Cambria Math"/>
                          <w:sz w:val="26"/>
                          <w:szCs w:val="26"/>
                        </w:rPr>
                        <m:t>D</m:t>
                      </m:r>
                    </m:e>
                    <m:sub>
                      <m:r>
                        <w:rPr>
                          <w:rFonts w:ascii="Cambria Math" w:hAnsi="Cambria Math"/>
                          <w:sz w:val="26"/>
                          <w:szCs w:val="26"/>
                        </w:rPr>
                        <m:t>it</m:t>
                      </m:r>
                    </m:sub>
                  </m:sSub>
                  <m:r>
                    <w:rPr>
                      <w:rFonts w:ascii="Cambria Math"/>
                      <w:sz w:val="26"/>
                      <w:szCs w:val="26"/>
                    </w:rPr>
                    <m:t xml:space="preserve"> </m:t>
                  </m:r>
                  <m:r>
                    <w:rPr>
                      <w:rFonts w:ascii="Cambria Math" w:hAnsi="Cambria Math"/>
                      <w:sz w:val="26"/>
                      <w:szCs w:val="26"/>
                    </w:rPr>
                    <m:t>×</m:t>
                  </m:r>
                  <m:r>
                    <w:rPr>
                      <w:rFonts w:ascii="Cambria Math"/>
                      <w:sz w:val="26"/>
                      <w:szCs w:val="26"/>
                    </w:rPr>
                    <m:t xml:space="preserve"> </m:t>
                  </m:r>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it</m:t>
                      </m:r>
                    </m:sub>
                  </m:sSub>
                </m:e>
              </m:d>
            </m:e>
          </m:nary>
        </m:oMath>
      </m:oMathPara>
    </w:p>
    <w:p w:rsidR="00726645" w:rsidRPr="001B2FDE" w:rsidRDefault="00726645" w:rsidP="00375611">
      <w:pPr>
        <w:tabs>
          <w:tab w:val="left" w:pos="1620"/>
        </w:tabs>
        <w:rPr>
          <w:sz w:val="26"/>
          <w:szCs w:val="26"/>
        </w:rPr>
      </w:pPr>
    </w:p>
    <w:p w:rsidR="00726645" w:rsidRPr="001B2FDE" w:rsidRDefault="00726645" w:rsidP="00375611">
      <w:pPr>
        <w:rPr>
          <w:sz w:val="26"/>
          <w:szCs w:val="26"/>
        </w:rPr>
      </w:pPr>
    </w:p>
    <w:p w:rsidR="00726645" w:rsidRPr="001B2FDE" w:rsidRDefault="00726645" w:rsidP="00375611">
      <w:pPr>
        <w:rPr>
          <w:sz w:val="26"/>
          <w:szCs w:val="26"/>
        </w:rPr>
      </w:pPr>
    </w:p>
    <w:tbl>
      <w:tblPr>
        <w:tblW w:w="0" w:type="auto"/>
        <w:tblInd w:w="918" w:type="dxa"/>
        <w:tblLook w:val="04A0" w:firstRow="1" w:lastRow="0" w:firstColumn="1" w:lastColumn="0" w:noHBand="0" w:noVBand="1"/>
      </w:tblPr>
      <w:tblGrid>
        <w:gridCol w:w="869"/>
        <w:gridCol w:w="363"/>
        <w:gridCol w:w="7426"/>
      </w:tblGrid>
      <w:tr w:rsidR="00726645" w:rsidRPr="001B2FDE" w:rsidTr="00A232B9">
        <w:tc>
          <w:tcPr>
            <w:tcW w:w="720" w:type="dxa"/>
          </w:tcPr>
          <w:p w:rsidR="00726645" w:rsidRPr="001B2FDE" w:rsidRDefault="00726645" w:rsidP="00A232B9">
            <w:pPr>
              <w:tabs>
                <w:tab w:val="left" w:pos="1620"/>
              </w:tabs>
              <w:rPr>
                <w:i/>
                <w:sz w:val="26"/>
                <w:szCs w:val="26"/>
              </w:rPr>
            </w:pPr>
            <w:r w:rsidRPr="001B2FDE">
              <w:rPr>
                <w:i/>
                <w:sz w:val="26"/>
                <w:szCs w:val="26"/>
              </w:rPr>
              <w:t>UAC</w:t>
            </w:r>
            <w:r w:rsidRPr="001B2FDE">
              <w:rPr>
                <w:i/>
                <w:sz w:val="26"/>
                <w:szCs w:val="26"/>
                <w:vertAlign w:val="subscript"/>
              </w:rPr>
              <w:t>at</w:t>
            </w:r>
          </w:p>
        </w:tc>
        <w:tc>
          <w:tcPr>
            <w:tcW w:w="360" w:type="dxa"/>
          </w:tcPr>
          <w:p w:rsidR="00726645" w:rsidRPr="001B2FDE" w:rsidRDefault="00726645" w:rsidP="00A232B9">
            <w:pPr>
              <w:tabs>
                <w:tab w:val="left" w:pos="1620"/>
              </w:tabs>
              <w:rPr>
                <w:sz w:val="26"/>
                <w:szCs w:val="26"/>
              </w:rPr>
            </w:pPr>
            <w:r w:rsidRPr="001B2FDE">
              <w:rPr>
                <w:sz w:val="26"/>
                <w:szCs w:val="26"/>
              </w:rPr>
              <w:t>=</w:t>
            </w:r>
          </w:p>
        </w:tc>
        <w:tc>
          <w:tcPr>
            <w:tcW w:w="7578" w:type="dxa"/>
          </w:tcPr>
          <w:p w:rsidR="00726645" w:rsidRPr="001B2FDE" w:rsidRDefault="00726645" w:rsidP="00A232B9">
            <w:pPr>
              <w:tabs>
                <w:tab w:val="left" w:pos="1620"/>
              </w:tabs>
              <w:rPr>
                <w:sz w:val="26"/>
                <w:szCs w:val="26"/>
              </w:rPr>
            </w:pPr>
            <w:r w:rsidRPr="001B2FDE">
              <w:rPr>
                <w:sz w:val="26"/>
                <w:szCs w:val="26"/>
              </w:rPr>
              <w:t xml:space="preserve">Use </w:t>
            </w:r>
            <w:r w:rsidRPr="001B2FDE">
              <w:rPr>
                <w:i/>
                <w:sz w:val="26"/>
                <w:szCs w:val="26"/>
              </w:rPr>
              <w:t>UAC</w:t>
            </w:r>
            <w:r w:rsidRPr="001B2FDE">
              <w:rPr>
                <w:i/>
                <w:sz w:val="26"/>
                <w:szCs w:val="26"/>
                <w:vertAlign w:val="subscript"/>
              </w:rPr>
              <w:t>t</w:t>
            </w:r>
            <w:r w:rsidRPr="001B2FDE">
              <w:rPr>
                <w:sz w:val="26"/>
                <w:szCs w:val="26"/>
              </w:rPr>
              <w:t xml:space="preserve"> formula but with marginal costs and costing periods appropriate for the alternate fuel utility.</w:t>
            </w:r>
          </w:p>
        </w:tc>
      </w:tr>
    </w:tbl>
    <w:p w:rsidR="00726645" w:rsidRPr="001B2FDE" w:rsidRDefault="00726645" w:rsidP="00375611">
      <w:pPr>
        <w:tabs>
          <w:tab w:val="left" w:pos="1620"/>
        </w:tabs>
        <w:rPr>
          <w:sz w:val="26"/>
          <w:szCs w:val="26"/>
        </w:rPr>
      </w:pPr>
    </w:p>
    <w:p w:rsidR="00726645" w:rsidRPr="001B2FDE" w:rsidRDefault="00726645" w:rsidP="00375611">
      <w:pPr>
        <w:tabs>
          <w:tab w:val="left" w:pos="1620"/>
        </w:tabs>
        <w:rPr>
          <w:sz w:val="26"/>
          <w:szCs w:val="26"/>
        </w:rPr>
      </w:pPr>
    </w:p>
    <w:p w:rsidR="00726645" w:rsidRPr="001B2FDE" w:rsidRDefault="00726645" w:rsidP="00375611">
      <w:pPr>
        <w:tabs>
          <w:tab w:val="left" w:pos="1620"/>
        </w:tabs>
        <w:rPr>
          <w:sz w:val="26"/>
          <w:szCs w:val="26"/>
        </w:rPr>
      </w:pPr>
    </w:p>
    <w:p w:rsidR="00726645" w:rsidRPr="007352C8" w:rsidRDefault="00153932" w:rsidP="00375611">
      <w:pPr>
        <w:tabs>
          <w:tab w:val="left" w:pos="1620"/>
        </w:tabs>
        <w:rPr>
          <w:sz w:val="26"/>
          <w:szCs w:val="26"/>
        </w:rPr>
      </w:pPr>
      <m:oMathPara>
        <m:oMath>
          <m:sSub>
            <m:sSubPr>
              <m:ctrlPr>
                <w:rPr>
                  <w:rFonts w:ascii="Cambria Math" w:hAnsi="Cambria Math"/>
                  <w:i/>
                  <w:sz w:val="26"/>
                  <w:szCs w:val="26"/>
                </w:rPr>
              </m:ctrlPr>
            </m:sSubPr>
            <m:e>
              <m:r>
                <w:rPr>
                  <w:rFonts w:ascii="Cambria Math" w:hAnsi="Cambria Math"/>
                  <w:sz w:val="26"/>
                  <w:szCs w:val="26"/>
                </w:rPr>
                <m:t>UIC</m:t>
              </m:r>
            </m:e>
            <m:sub>
              <m:r>
                <w:rPr>
                  <w:rFonts w:ascii="Cambria Math" w:hAnsi="Cambria Math"/>
                  <w:sz w:val="26"/>
                  <w:szCs w:val="26"/>
                </w:rPr>
                <m:t>t</m:t>
              </m:r>
            </m:sub>
          </m:sSub>
          <m:r>
            <w:rPr>
              <w:rFonts w:ascii="Cambria Math"/>
              <w:sz w:val="26"/>
              <w:szCs w:val="26"/>
            </w:rPr>
            <m:t xml:space="preserve">= </m:t>
          </m:r>
          <m:nary>
            <m:naryPr>
              <m:chr m:val="∑"/>
              <m:limLoc m:val="undOvr"/>
              <m:ctrlPr>
                <w:rPr>
                  <w:rFonts w:ascii="Cambria Math" w:hAnsi="Cambria Math"/>
                  <w:i/>
                  <w:sz w:val="26"/>
                  <w:szCs w:val="26"/>
                </w:rPr>
              </m:ctrlPr>
            </m:naryPr>
            <m:sub>
              <m:r>
                <w:rPr>
                  <w:rFonts w:ascii="Cambria Math" w:hAnsi="Cambria Math"/>
                  <w:sz w:val="26"/>
                  <w:szCs w:val="26"/>
                </w:rPr>
                <m:t>i</m:t>
              </m:r>
              <m:r>
                <w:rPr>
                  <w:rFonts w:ascii="Cambria Math"/>
                  <w:sz w:val="26"/>
                  <w:szCs w:val="26"/>
                </w:rPr>
                <m:t>=1</m:t>
              </m:r>
            </m:sub>
            <m:sup>
              <m:r>
                <w:rPr>
                  <w:rFonts w:ascii="Cambria Math" w:hAnsi="Cambria Math"/>
                  <w:sz w:val="26"/>
                  <w:szCs w:val="26"/>
                </w:rPr>
                <m:t>I</m:t>
              </m:r>
            </m:sup>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∆EN</m:t>
                      </m:r>
                    </m:e>
                    <m:sub>
                      <m:r>
                        <w:rPr>
                          <w:rFonts w:ascii="Cambria Math" w:hAnsi="Cambria Math"/>
                          <w:sz w:val="26"/>
                          <w:szCs w:val="26"/>
                        </w:rPr>
                        <m:t>it</m:t>
                      </m:r>
                    </m:sub>
                  </m:sSub>
                  <m:r>
                    <w:rPr>
                      <w:rFonts w:ascii="Cambria Math"/>
                      <w:sz w:val="26"/>
                      <w:szCs w:val="26"/>
                    </w:rPr>
                    <m:t xml:space="preserve"> </m:t>
                  </m:r>
                  <m:r>
                    <w:rPr>
                      <w:rFonts w:ascii="Cambria Math" w:hAnsi="Cambria Math"/>
                      <w:sz w:val="26"/>
                      <w:szCs w:val="26"/>
                    </w:rPr>
                    <m:t>×</m:t>
                  </m:r>
                  <m:r>
                    <w:rPr>
                      <w:rFonts w:ascii="Cambria Math"/>
                      <w:sz w:val="26"/>
                      <w:szCs w:val="26"/>
                    </w:rPr>
                    <m:t xml:space="preserve"> </m:t>
                  </m:r>
                  <m:sSub>
                    <m:sSubPr>
                      <m:ctrlPr>
                        <w:rPr>
                          <w:rFonts w:ascii="Cambria Math" w:hAnsi="Cambria Math"/>
                          <w:i/>
                          <w:sz w:val="26"/>
                          <w:szCs w:val="26"/>
                        </w:rPr>
                      </m:ctrlPr>
                    </m:sSubPr>
                    <m:e>
                      <m:r>
                        <w:rPr>
                          <w:rFonts w:ascii="Cambria Math" w:hAnsi="Cambria Math"/>
                          <w:sz w:val="26"/>
                          <w:szCs w:val="26"/>
                        </w:rPr>
                        <m:t>MC</m:t>
                      </m:r>
                      <m:r>
                        <w:rPr>
                          <w:rFonts w:ascii="Cambria Math"/>
                          <w:sz w:val="26"/>
                          <w:szCs w:val="26"/>
                        </w:rPr>
                        <m:t>:</m:t>
                      </m:r>
                      <m:r>
                        <w:rPr>
                          <w:rFonts w:ascii="Cambria Math" w:hAnsi="Cambria Math"/>
                          <w:sz w:val="26"/>
                          <w:szCs w:val="26"/>
                        </w:rPr>
                        <m:t>E</m:t>
                      </m:r>
                    </m:e>
                    <m:sub>
                      <m:r>
                        <w:rPr>
                          <w:rFonts w:ascii="Cambria Math" w:hAnsi="Cambria Math"/>
                          <w:sz w:val="26"/>
                          <w:szCs w:val="26"/>
                        </w:rPr>
                        <m:t>it</m:t>
                      </m:r>
                    </m:sub>
                  </m:sSub>
                  <m:r>
                    <w:rPr>
                      <w:rFonts w:ascii="Cambria Math"/>
                      <w:sz w:val="26"/>
                      <w:szCs w:val="26"/>
                    </w:rPr>
                    <m:t xml:space="preserve"> </m:t>
                  </m:r>
                  <m:r>
                    <w:rPr>
                      <w:rFonts w:ascii="Cambria Math" w:hAnsi="Cambria Math"/>
                      <w:sz w:val="26"/>
                      <w:szCs w:val="26"/>
                    </w:rPr>
                    <m:t>×</m:t>
                  </m:r>
                  <m:r>
                    <w:rPr>
                      <w:rFonts w:ascii="Cambria Math"/>
                      <w:sz w:val="26"/>
                      <w:szCs w:val="26"/>
                    </w:rPr>
                    <m:t>(</m:t>
                  </m:r>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it</m:t>
                      </m:r>
                    </m:sub>
                  </m:sSub>
                  <m:r>
                    <w:rPr>
                      <w:rFonts w:ascii="Cambria Math" w:hAnsi="Cambria Math"/>
                      <w:sz w:val="26"/>
                      <w:szCs w:val="26"/>
                    </w:rPr>
                    <m:t>-</m:t>
                  </m:r>
                  <m:r>
                    <w:rPr>
                      <w:rFonts w:ascii="Cambria Math"/>
                      <w:sz w:val="26"/>
                      <w:szCs w:val="26"/>
                    </w:rPr>
                    <m:t xml:space="preserve"> 1)</m:t>
                  </m:r>
                </m:e>
              </m:d>
            </m:e>
          </m:nary>
          <m:r>
            <w:rPr>
              <w:rFonts w:ascii="Cambria Math"/>
              <w:sz w:val="26"/>
              <w:szCs w:val="26"/>
            </w:rPr>
            <m:t xml:space="preserve">+ </m:t>
          </m:r>
          <m:nary>
            <m:naryPr>
              <m:chr m:val="∑"/>
              <m:limLoc m:val="undOvr"/>
              <m:ctrlPr>
                <w:rPr>
                  <w:rFonts w:ascii="Cambria Math" w:hAnsi="Cambria Math"/>
                  <w:i/>
                  <w:sz w:val="26"/>
                  <w:szCs w:val="26"/>
                </w:rPr>
              </m:ctrlPr>
            </m:naryPr>
            <m:sub>
              <m:r>
                <w:rPr>
                  <w:rFonts w:ascii="Cambria Math" w:hAnsi="Cambria Math"/>
                  <w:sz w:val="26"/>
                  <w:szCs w:val="26"/>
                </w:rPr>
                <m:t>i</m:t>
              </m:r>
              <m:r>
                <w:rPr>
                  <w:rFonts w:ascii="Cambria Math"/>
                  <w:sz w:val="26"/>
                  <w:szCs w:val="26"/>
                </w:rPr>
                <m:t>=1</m:t>
              </m:r>
            </m:sub>
            <m:sup>
              <m:r>
                <w:rPr>
                  <w:rFonts w:ascii="Cambria Math" w:hAnsi="Cambria Math"/>
                  <w:sz w:val="26"/>
                  <w:szCs w:val="26"/>
                </w:rPr>
                <m:t>I</m:t>
              </m:r>
            </m:sup>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∆DN</m:t>
                      </m:r>
                    </m:e>
                    <m:sub>
                      <m:r>
                        <w:rPr>
                          <w:rFonts w:ascii="Cambria Math" w:hAnsi="Cambria Math"/>
                          <w:sz w:val="26"/>
                          <w:szCs w:val="26"/>
                        </w:rPr>
                        <m:t>it</m:t>
                      </m:r>
                    </m:sub>
                  </m:sSub>
                  <m:r>
                    <w:rPr>
                      <w:rFonts w:ascii="Cambria Math"/>
                      <w:sz w:val="26"/>
                      <w:szCs w:val="26"/>
                    </w:rPr>
                    <m:t xml:space="preserve"> </m:t>
                  </m:r>
                  <m:r>
                    <w:rPr>
                      <w:rFonts w:ascii="Cambria Math" w:hAnsi="Cambria Math"/>
                      <w:sz w:val="26"/>
                      <w:szCs w:val="26"/>
                    </w:rPr>
                    <m:t>×</m:t>
                  </m:r>
                  <m:r>
                    <w:rPr>
                      <w:rFonts w:ascii="Cambria Math"/>
                      <w:sz w:val="26"/>
                      <w:szCs w:val="26"/>
                    </w:rPr>
                    <m:t xml:space="preserve"> </m:t>
                  </m:r>
                  <m:sSub>
                    <m:sSubPr>
                      <m:ctrlPr>
                        <w:rPr>
                          <w:rFonts w:ascii="Cambria Math" w:hAnsi="Cambria Math"/>
                          <w:i/>
                          <w:sz w:val="26"/>
                          <w:szCs w:val="26"/>
                        </w:rPr>
                      </m:ctrlPr>
                    </m:sSubPr>
                    <m:e>
                      <m:r>
                        <w:rPr>
                          <w:rFonts w:ascii="Cambria Math" w:hAnsi="Cambria Math"/>
                          <w:sz w:val="26"/>
                          <w:szCs w:val="26"/>
                        </w:rPr>
                        <m:t>MC</m:t>
                      </m:r>
                      <m:r>
                        <w:rPr>
                          <w:rFonts w:ascii="Cambria Math"/>
                          <w:sz w:val="26"/>
                          <w:szCs w:val="26"/>
                        </w:rPr>
                        <m:t>:</m:t>
                      </m:r>
                      <m:r>
                        <w:rPr>
                          <w:rFonts w:ascii="Cambria Math" w:hAnsi="Cambria Math"/>
                          <w:sz w:val="26"/>
                          <w:szCs w:val="26"/>
                        </w:rPr>
                        <m:t>D</m:t>
                      </m:r>
                    </m:e>
                    <m:sub>
                      <m:r>
                        <w:rPr>
                          <w:rFonts w:ascii="Cambria Math" w:hAnsi="Cambria Math"/>
                          <w:sz w:val="26"/>
                          <w:szCs w:val="26"/>
                        </w:rPr>
                        <m:t>it</m:t>
                      </m:r>
                    </m:sub>
                  </m:sSub>
                  <m:r>
                    <w:rPr>
                      <w:rFonts w:ascii="Cambria Math"/>
                      <w:sz w:val="26"/>
                      <w:szCs w:val="26"/>
                    </w:rPr>
                    <m:t xml:space="preserve"> </m:t>
                  </m:r>
                  <m:r>
                    <w:rPr>
                      <w:rFonts w:ascii="Cambria Math" w:hAnsi="Cambria Math"/>
                      <w:sz w:val="26"/>
                      <w:szCs w:val="26"/>
                    </w:rPr>
                    <m:t>×</m:t>
                  </m:r>
                  <m:r>
                    <w:rPr>
                      <w:rFonts w:ascii="Cambria Math"/>
                      <w:sz w:val="26"/>
                      <w:szCs w:val="26"/>
                    </w:rPr>
                    <m:t>(</m:t>
                  </m:r>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it</m:t>
                      </m:r>
                    </m:sub>
                  </m:sSub>
                  <m:r>
                    <w:rPr>
                      <w:rFonts w:ascii="Cambria Math" w:hAnsi="Cambria Math"/>
                      <w:sz w:val="26"/>
                      <w:szCs w:val="26"/>
                    </w:rPr>
                    <m:t>-</m:t>
                  </m:r>
                  <m:r>
                    <w:rPr>
                      <w:rFonts w:ascii="Cambria Math"/>
                      <w:sz w:val="26"/>
                      <w:szCs w:val="26"/>
                    </w:rPr>
                    <m:t xml:space="preserve"> 1)</m:t>
                  </m:r>
                </m:e>
              </m:d>
            </m:e>
          </m:nary>
        </m:oMath>
      </m:oMathPara>
    </w:p>
    <w:p w:rsidR="00726645" w:rsidRPr="001B2FDE" w:rsidRDefault="00726645" w:rsidP="00375611">
      <w:pPr>
        <w:tabs>
          <w:tab w:val="left" w:pos="1620"/>
        </w:tabs>
        <w:rPr>
          <w:sz w:val="26"/>
          <w:szCs w:val="26"/>
        </w:rPr>
      </w:pPr>
      <w:r w:rsidRPr="001B2FDE">
        <w:rPr>
          <w:sz w:val="26"/>
          <w:szCs w:val="26"/>
        </w:rPr>
        <w:br w:type="page"/>
      </w:r>
    </w:p>
    <w:p w:rsidR="00726645" w:rsidRPr="001B2FDE" w:rsidRDefault="00726645" w:rsidP="00375611">
      <w:pPr>
        <w:tabs>
          <w:tab w:val="left" w:pos="1620"/>
        </w:tabs>
        <w:rPr>
          <w:sz w:val="26"/>
          <w:szCs w:val="26"/>
        </w:rPr>
      </w:pPr>
    </w:p>
    <w:p w:rsidR="00726645" w:rsidRPr="001B2FDE" w:rsidRDefault="00726645" w:rsidP="00375611">
      <w:pPr>
        <w:tabs>
          <w:tab w:val="left" w:pos="1620"/>
        </w:tabs>
        <w:jc w:val="center"/>
        <w:rPr>
          <w:b/>
          <w:sz w:val="26"/>
          <w:szCs w:val="26"/>
        </w:rPr>
      </w:pPr>
      <w:r w:rsidRPr="001B2FDE">
        <w:rPr>
          <w:b/>
          <w:sz w:val="26"/>
          <w:szCs w:val="26"/>
        </w:rPr>
        <w:t>Glossary of Terms</w:t>
      </w:r>
    </w:p>
    <w:p w:rsidR="00726645" w:rsidRPr="001B2FDE" w:rsidRDefault="00726645" w:rsidP="00375611">
      <w:pPr>
        <w:tabs>
          <w:tab w:val="left" w:pos="1620"/>
        </w:tabs>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540"/>
        <w:gridCol w:w="7758"/>
      </w:tblGrid>
      <w:tr w:rsidR="00726645" w:rsidRPr="001B2FDE" w:rsidTr="00A232B9">
        <w:tc>
          <w:tcPr>
            <w:tcW w:w="1278" w:type="dxa"/>
          </w:tcPr>
          <w:p w:rsidR="00726645" w:rsidRPr="001B2FDE" w:rsidRDefault="00726645" w:rsidP="00A232B9">
            <w:pPr>
              <w:tabs>
                <w:tab w:val="left" w:pos="1620"/>
              </w:tabs>
              <w:rPr>
                <w:sz w:val="26"/>
                <w:szCs w:val="26"/>
              </w:rPr>
            </w:pPr>
            <w:r w:rsidRPr="001B2FDE">
              <w:rPr>
                <w:sz w:val="26"/>
                <w:szCs w:val="26"/>
              </w:rPr>
              <w:t>∆DNit</w:t>
            </w:r>
          </w:p>
        </w:tc>
        <w:tc>
          <w:tcPr>
            <w:tcW w:w="540" w:type="dxa"/>
          </w:tcPr>
          <w:p w:rsidR="00726645" w:rsidRPr="001B2FDE" w:rsidRDefault="00726645" w:rsidP="00A232B9">
            <w:pPr>
              <w:tabs>
                <w:tab w:val="left" w:pos="1620"/>
              </w:tabs>
              <w:rPr>
                <w:sz w:val="26"/>
                <w:szCs w:val="26"/>
              </w:rPr>
            </w:pPr>
          </w:p>
        </w:tc>
        <w:tc>
          <w:tcPr>
            <w:tcW w:w="7758" w:type="dxa"/>
          </w:tcPr>
          <w:p w:rsidR="00726645" w:rsidRPr="001B2FDE" w:rsidRDefault="00726645" w:rsidP="00A232B9">
            <w:pPr>
              <w:tabs>
                <w:tab w:val="left" w:pos="1620"/>
              </w:tabs>
              <w:rPr>
                <w:sz w:val="26"/>
                <w:szCs w:val="26"/>
              </w:rPr>
            </w:pPr>
            <w:r w:rsidRPr="001B2FDE">
              <w:rPr>
                <w:sz w:val="26"/>
                <w:szCs w:val="26"/>
              </w:rPr>
              <w:t xml:space="preserve">Reduction in net demand in costing period </w:t>
            </w:r>
            <w:r w:rsidRPr="001B2FDE">
              <w:rPr>
                <w:i/>
                <w:sz w:val="26"/>
                <w:szCs w:val="26"/>
              </w:rPr>
              <w:t>i</w:t>
            </w:r>
            <w:r w:rsidRPr="001B2FDE">
              <w:rPr>
                <w:sz w:val="26"/>
                <w:szCs w:val="26"/>
              </w:rPr>
              <w:t xml:space="preserve"> in year </w:t>
            </w:r>
            <w:r w:rsidRPr="001B2FDE">
              <w:rPr>
                <w:i/>
                <w:sz w:val="26"/>
                <w:szCs w:val="26"/>
              </w:rPr>
              <w:t>t</w:t>
            </w:r>
          </w:p>
        </w:tc>
      </w:tr>
      <w:tr w:rsidR="00726645" w:rsidRPr="001B2FDE" w:rsidTr="00A232B9">
        <w:tc>
          <w:tcPr>
            <w:tcW w:w="1278" w:type="dxa"/>
          </w:tcPr>
          <w:p w:rsidR="00726645" w:rsidRPr="001B2FDE" w:rsidRDefault="00726645" w:rsidP="00A232B9">
            <w:pPr>
              <w:tabs>
                <w:tab w:val="left" w:pos="1620"/>
              </w:tabs>
              <w:rPr>
                <w:sz w:val="26"/>
                <w:szCs w:val="26"/>
              </w:rPr>
            </w:pPr>
            <w:r w:rsidRPr="001B2FDE">
              <w:rPr>
                <w:sz w:val="26"/>
                <w:szCs w:val="26"/>
              </w:rPr>
              <w:t>∆ENit</w:t>
            </w:r>
          </w:p>
        </w:tc>
        <w:tc>
          <w:tcPr>
            <w:tcW w:w="540" w:type="dxa"/>
          </w:tcPr>
          <w:p w:rsidR="00726645" w:rsidRPr="001B2FDE" w:rsidRDefault="00726645" w:rsidP="00A232B9">
            <w:pPr>
              <w:tabs>
                <w:tab w:val="left" w:pos="1620"/>
              </w:tabs>
              <w:rPr>
                <w:sz w:val="26"/>
                <w:szCs w:val="26"/>
              </w:rPr>
            </w:pPr>
          </w:p>
        </w:tc>
        <w:tc>
          <w:tcPr>
            <w:tcW w:w="7758" w:type="dxa"/>
          </w:tcPr>
          <w:p w:rsidR="00726645" w:rsidRPr="001B2FDE" w:rsidRDefault="00726645" w:rsidP="00A232B9">
            <w:pPr>
              <w:tabs>
                <w:tab w:val="left" w:pos="1620"/>
              </w:tabs>
              <w:rPr>
                <w:sz w:val="26"/>
                <w:szCs w:val="26"/>
              </w:rPr>
            </w:pPr>
            <w:r w:rsidRPr="001B2FDE">
              <w:rPr>
                <w:sz w:val="26"/>
                <w:szCs w:val="26"/>
              </w:rPr>
              <w:t xml:space="preserve">Reduction in net energy use in costing period </w:t>
            </w:r>
            <w:r w:rsidRPr="001B2FDE">
              <w:rPr>
                <w:i/>
                <w:sz w:val="26"/>
                <w:szCs w:val="26"/>
              </w:rPr>
              <w:t>i</w:t>
            </w:r>
            <w:r w:rsidRPr="001B2FDE">
              <w:rPr>
                <w:sz w:val="26"/>
                <w:szCs w:val="26"/>
              </w:rPr>
              <w:t xml:space="preserve"> in year </w:t>
            </w:r>
            <w:r w:rsidRPr="001B2FDE">
              <w:rPr>
                <w:i/>
                <w:sz w:val="26"/>
                <w:szCs w:val="26"/>
              </w:rPr>
              <w:t>t</w:t>
            </w:r>
          </w:p>
        </w:tc>
      </w:tr>
      <w:tr w:rsidR="00726645" w:rsidRPr="001B2FDE" w:rsidTr="00A232B9">
        <w:tc>
          <w:tcPr>
            <w:tcW w:w="1278" w:type="dxa"/>
            <w:hideMark/>
          </w:tcPr>
          <w:p w:rsidR="00726645" w:rsidRPr="001B2FDE" w:rsidRDefault="00726645" w:rsidP="00A232B9">
            <w:pPr>
              <w:tabs>
                <w:tab w:val="left" w:pos="1620"/>
              </w:tabs>
              <w:rPr>
                <w:sz w:val="26"/>
                <w:szCs w:val="26"/>
              </w:rPr>
            </w:pPr>
            <w:r w:rsidRPr="001B2FDE">
              <w:rPr>
                <w:sz w:val="26"/>
                <w:szCs w:val="26"/>
              </w:rPr>
              <w:t>BCR</w:t>
            </w:r>
            <w:r w:rsidRPr="001B2FDE">
              <w:rPr>
                <w:sz w:val="26"/>
                <w:szCs w:val="26"/>
                <w:vertAlign w:val="subscript"/>
              </w:rPr>
              <w:t>TRC</w:t>
            </w:r>
          </w:p>
        </w:tc>
        <w:tc>
          <w:tcPr>
            <w:tcW w:w="540" w:type="dxa"/>
            <w:hideMark/>
          </w:tcPr>
          <w:p w:rsidR="00726645" w:rsidRPr="001B2FDE" w:rsidRDefault="00726645" w:rsidP="00A232B9">
            <w:pPr>
              <w:tabs>
                <w:tab w:val="left" w:pos="1620"/>
              </w:tabs>
              <w:rPr>
                <w:sz w:val="26"/>
                <w:szCs w:val="26"/>
              </w:rPr>
            </w:pPr>
            <w:r w:rsidRPr="001B2FDE">
              <w:rPr>
                <w:sz w:val="26"/>
                <w:szCs w:val="26"/>
              </w:rPr>
              <w:t>=</w:t>
            </w:r>
          </w:p>
        </w:tc>
        <w:tc>
          <w:tcPr>
            <w:tcW w:w="7758" w:type="dxa"/>
            <w:hideMark/>
          </w:tcPr>
          <w:p w:rsidR="00726645" w:rsidRPr="001B2FDE" w:rsidRDefault="00726645" w:rsidP="00A232B9">
            <w:pPr>
              <w:tabs>
                <w:tab w:val="left" w:pos="1620"/>
              </w:tabs>
              <w:rPr>
                <w:sz w:val="26"/>
                <w:szCs w:val="26"/>
              </w:rPr>
            </w:pPr>
            <w:r w:rsidRPr="001B2FDE">
              <w:rPr>
                <w:sz w:val="26"/>
                <w:szCs w:val="26"/>
              </w:rPr>
              <w:t>Benefit/cost ratio of total costs of the resource</w:t>
            </w:r>
          </w:p>
        </w:tc>
      </w:tr>
      <w:tr w:rsidR="00726645" w:rsidRPr="001B2FDE" w:rsidTr="00A232B9">
        <w:tc>
          <w:tcPr>
            <w:tcW w:w="1278" w:type="dxa"/>
            <w:hideMark/>
          </w:tcPr>
          <w:p w:rsidR="00726645" w:rsidRPr="001B2FDE" w:rsidRDefault="00726645" w:rsidP="00A232B9">
            <w:pPr>
              <w:tabs>
                <w:tab w:val="left" w:pos="1620"/>
              </w:tabs>
              <w:rPr>
                <w:sz w:val="26"/>
                <w:szCs w:val="26"/>
              </w:rPr>
            </w:pPr>
            <w:r w:rsidRPr="001B2FDE">
              <w:rPr>
                <w:sz w:val="26"/>
                <w:szCs w:val="26"/>
              </w:rPr>
              <w:t>B</w:t>
            </w:r>
            <w:r w:rsidRPr="001B2FDE">
              <w:rPr>
                <w:sz w:val="26"/>
                <w:szCs w:val="26"/>
                <w:vertAlign w:val="subscript"/>
              </w:rPr>
              <w:t>TRC</w:t>
            </w:r>
          </w:p>
        </w:tc>
        <w:tc>
          <w:tcPr>
            <w:tcW w:w="540" w:type="dxa"/>
            <w:hideMark/>
          </w:tcPr>
          <w:p w:rsidR="00726645" w:rsidRPr="001B2FDE" w:rsidRDefault="00726645" w:rsidP="00A232B9">
            <w:pPr>
              <w:tabs>
                <w:tab w:val="left" w:pos="1620"/>
              </w:tabs>
              <w:rPr>
                <w:sz w:val="26"/>
                <w:szCs w:val="26"/>
              </w:rPr>
            </w:pPr>
            <w:r w:rsidRPr="001B2FDE">
              <w:rPr>
                <w:sz w:val="26"/>
                <w:szCs w:val="26"/>
              </w:rPr>
              <w:t>=</w:t>
            </w:r>
          </w:p>
        </w:tc>
        <w:tc>
          <w:tcPr>
            <w:tcW w:w="7758" w:type="dxa"/>
            <w:hideMark/>
          </w:tcPr>
          <w:p w:rsidR="00726645" w:rsidRPr="001B2FDE" w:rsidRDefault="00726645" w:rsidP="00A232B9">
            <w:pPr>
              <w:tabs>
                <w:tab w:val="left" w:pos="1620"/>
              </w:tabs>
              <w:rPr>
                <w:sz w:val="26"/>
                <w:szCs w:val="26"/>
              </w:rPr>
            </w:pPr>
            <w:r w:rsidRPr="001B2FDE">
              <w:rPr>
                <w:sz w:val="26"/>
                <w:szCs w:val="26"/>
              </w:rPr>
              <w:t>Benefits of the program</w:t>
            </w:r>
          </w:p>
        </w:tc>
      </w:tr>
      <w:tr w:rsidR="00726645" w:rsidRPr="001B2FDE" w:rsidTr="00A232B9">
        <w:tc>
          <w:tcPr>
            <w:tcW w:w="1278" w:type="dxa"/>
            <w:hideMark/>
          </w:tcPr>
          <w:p w:rsidR="00726645" w:rsidRPr="001B2FDE" w:rsidRDefault="00726645" w:rsidP="00A232B9">
            <w:pPr>
              <w:tabs>
                <w:tab w:val="left" w:pos="1620"/>
              </w:tabs>
              <w:rPr>
                <w:sz w:val="26"/>
                <w:szCs w:val="26"/>
              </w:rPr>
            </w:pPr>
            <w:r w:rsidRPr="001B2FDE">
              <w:rPr>
                <w:sz w:val="26"/>
                <w:szCs w:val="26"/>
              </w:rPr>
              <w:t>C</w:t>
            </w:r>
            <w:r w:rsidRPr="001B2FDE">
              <w:rPr>
                <w:sz w:val="26"/>
                <w:szCs w:val="26"/>
                <w:vertAlign w:val="subscript"/>
              </w:rPr>
              <w:t>TRC</w:t>
            </w:r>
          </w:p>
        </w:tc>
        <w:tc>
          <w:tcPr>
            <w:tcW w:w="540" w:type="dxa"/>
            <w:hideMark/>
          </w:tcPr>
          <w:p w:rsidR="00726645" w:rsidRPr="001B2FDE" w:rsidRDefault="00726645" w:rsidP="00A232B9">
            <w:pPr>
              <w:tabs>
                <w:tab w:val="left" w:pos="1620"/>
              </w:tabs>
              <w:rPr>
                <w:sz w:val="26"/>
                <w:szCs w:val="26"/>
              </w:rPr>
            </w:pPr>
            <w:r w:rsidRPr="001B2FDE">
              <w:rPr>
                <w:sz w:val="26"/>
                <w:szCs w:val="26"/>
              </w:rPr>
              <w:t>=</w:t>
            </w:r>
          </w:p>
        </w:tc>
        <w:tc>
          <w:tcPr>
            <w:tcW w:w="7758" w:type="dxa"/>
            <w:hideMark/>
          </w:tcPr>
          <w:p w:rsidR="00726645" w:rsidRPr="001B2FDE" w:rsidRDefault="00726645" w:rsidP="00A232B9">
            <w:pPr>
              <w:tabs>
                <w:tab w:val="left" w:pos="1620"/>
              </w:tabs>
              <w:rPr>
                <w:sz w:val="26"/>
                <w:szCs w:val="26"/>
              </w:rPr>
            </w:pPr>
            <w:r w:rsidRPr="001B2FDE">
              <w:rPr>
                <w:sz w:val="26"/>
                <w:szCs w:val="26"/>
              </w:rPr>
              <w:t>Costs of the program</w:t>
            </w:r>
          </w:p>
        </w:tc>
      </w:tr>
      <w:tr w:rsidR="00726645" w:rsidRPr="001B2FDE" w:rsidTr="00A232B9">
        <w:tc>
          <w:tcPr>
            <w:tcW w:w="1278" w:type="dxa"/>
          </w:tcPr>
          <w:p w:rsidR="00726645" w:rsidRPr="001B2FDE" w:rsidRDefault="00726645" w:rsidP="00A232B9">
            <w:pPr>
              <w:tabs>
                <w:tab w:val="left" w:pos="1620"/>
              </w:tabs>
              <w:rPr>
                <w:sz w:val="26"/>
                <w:szCs w:val="26"/>
              </w:rPr>
            </w:pPr>
            <w:r w:rsidRPr="001B2FDE">
              <w:rPr>
                <w:sz w:val="26"/>
                <w:szCs w:val="26"/>
              </w:rPr>
              <w:t>D</w:t>
            </w:r>
          </w:p>
        </w:tc>
        <w:tc>
          <w:tcPr>
            <w:tcW w:w="540" w:type="dxa"/>
          </w:tcPr>
          <w:p w:rsidR="00726645" w:rsidRPr="001B2FDE" w:rsidRDefault="00726645" w:rsidP="00A232B9">
            <w:pPr>
              <w:tabs>
                <w:tab w:val="left" w:pos="1620"/>
              </w:tabs>
              <w:rPr>
                <w:sz w:val="26"/>
                <w:szCs w:val="26"/>
              </w:rPr>
            </w:pPr>
            <w:r w:rsidRPr="001B2FDE">
              <w:rPr>
                <w:sz w:val="26"/>
                <w:szCs w:val="26"/>
              </w:rPr>
              <w:t>=</w:t>
            </w:r>
          </w:p>
        </w:tc>
        <w:tc>
          <w:tcPr>
            <w:tcW w:w="7758" w:type="dxa"/>
          </w:tcPr>
          <w:p w:rsidR="00726645" w:rsidRPr="001B2FDE" w:rsidRDefault="00726645" w:rsidP="00A232B9">
            <w:pPr>
              <w:tabs>
                <w:tab w:val="left" w:pos="1620"/>
              </w:tabs>
              <w:rPr>
                <w:sz w:val="26"/>
                <w:szCs w:val="26"/>
              </w:rPr>
            </w:pPr>
            <w:r w:rsidRPr="001B2FDE">
              <w:rPr>
                <w:sz w:val="26"/>
                <w:szCs w:val="26"/>
              </w:rPr>
              <w:t>Interest rate (discount)</w:t>
            </w:r>
          </w:p>
        </w:tc>
      </w:tr>
      <w:tr w:rsidR="00726645" w:rsidRPr="001B2FDE" w:rsidTr="00A232B9">
        <w:tc>
          <w:tcPr>
            <w:tcW w:w="1278" w:type="dxa"/>
          </w:tcPr>
          <w:p w:rsidR="00726645" w:rsidRPr="001B2FDE" w:rsidRDefault="00726645" w:rsidP="00A232B9">
            <w:pPr>
              <w:tabs>
                <w:tab w:val="left" w:pos="1620"/>
              </w:tabs>
              <w:rPr>
                <w:sz w:val="26"/>
                <w:szCs w:val="26"/>
              </w:rPr>
            </w:pPr>
            <w:r w:rsidRPr="001B2FDE">
              <w:rPr>
                <w:sz w:val="26"/>
                <w:szCs w:val="26"/>
              </w:rPr>
              <w:t>E</w:t>
            </w:r>
          </w:p>
        </w:tc>
        <w:tc>
          <w:tcPr>
            <w:tcW w:w="540" w:type="dxa"/>
          </w:tcPr>
          <w:p w:rsidR="00726645" w:rsidRPr="001B2FDE" w:rsidRDefault="00726645" w:rsidP="00A232B9">
            <w:pPr>
              <w:tabs>
                <w:tab w:val="left" w:pos="1620"/>
              </w:tabs>
              <w:rPr>
                <w:sz w:val="26"/>
                <w:szCs w:val="26"/>
              </w:rPr>
            </w:pPr>
            <w:r w:rsidRPr="001B2FDE">
              <w:rPr>
                <w:sz w:val="26"/>
                <w:szCs w:val="26"/>
              </w:rPr>
              <w:t xml:space="preserve">= </w:t>
            </w:r>
          </w:p>
        </w:tc>
        <w:tc>
          <w:tcPr>
            <w:tcW w:w="7758" w:type="dxa"/>
          </w:tcPr>
          <w:p w:rsidR="00726645" w:rsidRPr="001B2FDE" w:rsidRDefault="00726645" w:rsidP="00A232B9">
            <w:pPr>
              <w:tabs>
                <w:tab w:val="left" w:pos="1620"/>
              </w:tabs>
              <w:rPr>
                <w:sz w:val="26"/>
                <w:szCs w:val="26"/>
              </w:rPr>
            </w:pPr>
            <w:r w:rsidRPr="001B2FDE">
              <w:rPr>
                <w:sz w:val="26"/>
                <w:szCs w:val="26"/>
              </w:rPr>
              <w:t xml:space="preserve">Discounted stream of system energy sales (kWh or therms) or demand sales (kW) for first year customers.  </w:t>
            </w:r>
          </w:p>
        </w:tc>
      </w:tr>
      <w:tr w:rsidR="00726645" w:rsidRPr="001B2FDE" w:rsidTr="00A232B9">
        <w:tc>
          <w:tcPr>
            <w:tcW w:w="1278" w:type="dxa"/>
          </w:tcPr>
          <w:p w:rsidR="00726645" w:rsidRPr="001B2FDE" w:rsidRDefault="00726645" w:rsidP="00A232B9">
            <w:pPr>
              <w:tabs>
                <w:tab w:val="left" w:pos="1620"/>
              </w:tabs>
              <w:rPr>
                <w:sz w:val="26"/>
                <w:szCs w:val="26"/>
              </w:rPr>
            </w:pPr>
            <w:r w:rsidRPr="001B2FDE">
              <w:rPr>
                <w:sz w:val="26"/>
                <w:szCs w:val="26"/>
              </w:rPr>
              <w:t>E</w:t>
            </w:r>
            <w:r w:rsidRPr="001B2FDE">
              <w:rPr>
                <w:sz w:val="26"/>
                <w:szCs w:val="26"/>
                <w:vertAlign w:val="subscript"/>
              </w:rPr>
              <w:t>t</w:t>
            </w:r>
          </w:p>
        </w:tc>
        <w:tc>
          <w:tcPr>
            <w:tcW w:w="540" w:type="dxa"/>
          </w:tcPr>
          <w:p w:rsidR="00726645" w:rsidRPr="001B2FDE" w:rsidRDefault="00726645" w:rsidP="00A232B9">
            <w:pPr>
              <w:tabs>
                <w:tab w:val="left" w:pos="1620"/>
              </w:tabs>
              <w:rPr>
                <w:sz w:val="26"/>
                <w:szCs w:val="26"/>
              </w:rPr>
            </w:pPr>
            <w:r w:rsidRPr="001B2FDE">
              <w:rPr>
                <w:sz w:val="26"/>
                <w:szCs w:val="26"/>
              </w:rPr>
              <w:t>=</w:t>
            </w:r>
          </w:p>
        </w:tc>
        <w:tc>
          <w:tcPr>
            <w:tcW w:w="7758" w:type="dxa"/>
          </w:tcPr>
          <w:p w:rsidR="00726645" w:rsidRPr="001B2FDE" w:rsidRDefault="00726645" w:rsidP="00A232B9">
            <w:pPr>
              <w:tabs>
                <w:tab w:val="left" w:pos="1620"/>
              </w:tabs>
              <w:rPr>
                <w:sz w:val="26"/>
                <w:szCs w:val="26"/>
              </w:rPr>
            </w:pPr>
            <w:r w:rsidRPr="001B2FDE">
              <w:rPr>
                <w:sz w:val="26"/>
                <w:szCs w:val="26"/>
              </w:rPr>
              <w:t>System sales in kWh, kW, or therms for first year customers</w:t>
            </w:r>
          </w:p>
        </w:tc>
      </w:tr>
      <w:tr w:rsidR="00726645" w:rsidRPr="001B2FDE" w:rsidTr="00A232B9">
        <w:tc>
          <w:tcPr>
            <w:tcW w:w="1278" w:type="dxa"/>
          </w:tcPr>
          <w:p w:rsidR="00726645" w:rsidRPr="001B2FDE" w:rsidRDefault="00726645" w:rsidP="00A232B9">
            <w:pPr>
              <w:tabs>
                <w:tab w:val="left" w:pos="1620"/>
              </w:tabs>
              <w:rPr>
                <w:sz w:val="26"/>
                <w:szCs w:val="26"/>
              </w:rPr>
            </w:pPr>
            <w:r w:rsidRPr="001B2FDE">
              <w:rPr>
                <w:sz w:val="26"/>
                <w:szCs w:val="26"/>
              </w:rPr>
              <w:t>I</w:t>
            </w:r>
          </w:p>
        </w:tc>
        <w:tc>
          <w:tcPr>
            <w:tcW w:w="540" w:type="dxa"/>
          </w:tcPr>
          <w:p w:rsidR="00726645" w:rsidRPr="001B2FDE" w:rsidRDefault="00726645" w:rsidP="00A232B9">
            <w:pPr>
              <w:tabs>
                <w:tab w:val="left" w:pos="1620"/>
              </w:tabs>
              <w:rPr>
                <w:sz w:val="26"/>
                <w:szCs w:val="26"/>
              </w:rPr>
            </w:pPr>
            <w:r w:rsidRPr="001B2FDE">
              <w:rPr>
                <w:sz w:val="26"/>
                <w:szCs w:val="26"/>
              </w:rPr>
              <w:t>=</w:t>
            </w:r>
          </w:p>
        </w:tc>
        <w:tc>
          <w:tcPr>
            <w:tcW w:w="7758" w:type="dxa"/>
          </w:tcPr>
          <w:p w:rsidR="00726645" w:rsidRPr="001B2FDE" w:rsidRDefault="00726645" w:rsidP="00A232B9">
            <w:pPr>
              <w:tabs>
                <w:tab w:val="left" w:pos="1620"/>
              </w:tabs>
              <w:rPr>
                <w:sz w:val="26"/>
                <w:szCs w:val="26"/>
              </w:rPr>
            </w:pPr>
            <w:r w:rsidRPr="001B2FDE">
              <w:rPr>
                <w:sz w:val="26"/>
                <w:szCs w:val="26"/>
              </w:rPr>
              <w:t>Number of periods of a participant’s participation</w:t>
            </w:r>
          </w:p>
        </w:tc>
      </w:tr>
      <w:tr w:rsidR="00726645" w:rsidRPr="001B2FDE" w:rsidTr="00A232B9">
        <w:tc>
          <w:tcPr>
            <w:tcW w:w="1278" w:type="dxa"/>
            <w:hideMark/>
          </w:tcPr>
          <w:p w:rsidR="00726645" w:rsidRPr="001B2FDE" w:rsidRDefault="00726645" w:rsidP="00A232B9">
            <w:pPr>
              <w:tabs>
                <w:tab w:val="left" w:pos="1620"/>
              </w:tabs>
              <w:rPr>
                <w:sz w:val="26"/>
                <w:szCs w:val="26"/>
              </w:rPr>
            </w:pPr>
            <w:r w:rsidRPr="001B2FDE">
              <w:rPr>
                <w:sz w:val="26"/>
                <w:szCs w:val="26"/>
              </w:rPr>
              <w:t>IMP</w:t>
            </w:r>
          </w:p>
        </w:tc>
        <w:tc>
          <w:tcPr>
            <w:tcW w:w="540" w:type="dxa"/>
            <w:hideMark/>
          </w:tcPr>
          <w:p w:rsidR="00726645" w:rsidRPr="001B2FDE" w:rsidRDefault="00726645" w:rsidP="00A232B9">
            <w:pPr>
              <w:tabs>
                <w:tab w:val="left" w:pos="1620"/>
              </w:tabs>
              <w:rPr>
                <w:sz w:val="26"/>
                <w:szCs w:val="26"/>
              </w:rPr>
            </w:pPr>
            <w:r w:rsidRPr="001B2FDE">
              <w:rPr>
                <w:sz w:val="26"/>
                <w:szCs w:val="26"/>
              </w:rPr>
              <w:t>=</w:t>
            </w:r>
          </w:p>
        </w:tc>
        <w:tc>
          <w:tcPr>
            <w:tcW w:w="7758" w:type="dxa"/>
            <w:hideMark/>
          </w:tcPr>
          <w:p w:rsidR="00726645" w:rsidRPr="001B2FDE" w:rsidRDefault="00726645" w:rsidP="00A232B9">
            <w:pPr>
              <w:tabs>
                <w:tab w:val="left" w:pos="1620"/>
              </w:tabs>
              <w:rPr>
                <w:sz w:val="26"/>
                <w:szCs w:val="26"/>
              </w:rPr>
            </w:pPr>
            <w:r w:rsidRPr="001B2FDE">
              <w:rPr>
                <w:sz w:val="26"/>
                <w:szCs w:val="26"/>
              </w:rPr>
              <w:t>Total discounted lead impacts of the program</w:t>
            </w:r>
          </w:p>
        </w:tc>
      </w:tr>
      <w:tr w:rsidR="00726645" w:rsidRPr="001B2FDE" w:rsidTr="00A232B9">
        <w:tc>
          <w:tcPr>
            <w:tcW w:w="1278" w:type="dxa"/>
          </w:tcPr>
          <w:p w:rsidR="00726645" w:rsidRPr="001B2FDE" w:rsidRDefault="00726645" w:rsidP="00A232B9">
            <w:pPr>
              <w:tabs>
                <w:tab w:val="left" w:pos="1620"/>
              </w:tabs>
              <w:rPr>
                <w:sz w:val="26"/>
                <w:szCs w:val="26"/>
                <w:vertAlign w:val="subscript"/>
              </w:rPr>
            </w:pPr>
            <w:r w:rsidRPr="001B2FDE">
              <w:rPr>
                <w:sz w:val="26"/>
                <w:szCs w:val="26"/>
              </w:rPr>
              <w:t>K</w:t>
            </w:r>
            <w:r w:rsidRPr="001B2FDE">
              <w:rPr>
                <w:sz w:val="26"/>
                <w:szCs w:val="26"/>
                <w:vertAlign w:val="subscript"/>
              </w:rPr>
              <w:t>it</w:t>
            </w:r>
          </w:p>
        </w:tc>
        <w:tc>
          <w:tcPr>
            <w:tcW w:w="540" w:type="dxa"/>
          </w:tcPr>
          <w:p w:rsidR="00726645" w:rsidRPr="001B2FDE" w:rsidRDefault="00726645" w:rsidP="00A232B9">
            <w:pPr>
              <w:tabs>
                <w:tab w:val="left" w:pos="1620"/>
              </w:tabs>
              <w:rPr>
                <w:sz w:val="26"/>
                <w:szCs w:val="26"/>
              </w:rPr>
            </w:pPr>
            <w:r w:rsidRPr="001B2FDE">
              <w:rPr>
                <w:sz w:val="26"/>
                <w:szCs w:val="26"/>
              </w:rPr>
              <w:t>=</w:t>
            </w:r>
          </w:p>
        </w:tc>
        <w:tc>
          <w:tcPr>
            <w:tcW w:w="7758" w:type="dxa"/>
          </w:tcPr>
          <w:p w:rsidR="00726645" w:rsidRPr="001B2FDE" w:rsidRDefault="00726645" w:rsidP="00A232B9">
            <w:pPr>
              <w:tabs>
                <w:tab w:val="left" w:pos="1620"/>
              </w:tabs>
              <w:rPr>
                <w:sz w:val="26"/>
                <w:szCs w:val="26"/>
              </w:rPr>
            </w:pPr>
            <w:r w:rsidRPr="001B2FDE">
              <w:rPr>
                <w:sz w:val="26"/>
                <w:szCs w:val="26"/>
              </w:rPr>
              <w:t>1 when ∆EG</w:t>
            </w:r>
            <w:r w:rsidRPr="001B2FDE">
              <w:rPr>
                <w:sz w:val="26"/>
                <w:szCs w:val="26"/>
                <w:vertAlign w:val="subscript"/>
              </w:rPr>
              <w:t>it</w:t>
            </w:r>
            <w:r w:rsidRPr="001B2FDE">
              <w:rPr>
                <w:sz w:val="26"/>
                <w:szCs w:val="26"/>
              </w:rPr>
              <w:t xml:space="preserve"> or ∆DG</w:t>
            </w:r>
            <w:r w:rsidRPr="001B2FDE">
              <w:rPr>
                <w:sz w:val="26"/>
                <w:szCs w:val="26"/>
                <w:vertAlign w:val="subscript"/>
              </w:rPr>
              <w:t>it</w:t>
            </w:r>
            <w:r w:rsidRPr="001B2FDE">
              <w:rPr>
                <w:sz w:val="26"/>
                <w:szCs w:val="26"/>
              </w:rPr>
              <w:t xml:space="preserve"> is positive (</w:t>
            </w:r>
            <w:r w:rsidRPr="001B2FDE">
              <w:rPr>
                <w:i/>
                <w:sz w:val="26"/>
                <w:szCs w:val="26"/>
              </w:rPr>
              <w:t>i.e.</w:t>
            </w:r>
            <w:r w:rsidRPr="001B2FDE">
              <w:rPr>
                <w:sz w:val="26"/>
                <w:szCs w:val="26"/>
              </w:rPr>
              <w:t xml:space="preserve">, a reduction) in costing period </w:t>
            </w:r>
            <w:r w:rsidRPr="001B2FDE">
              <w:rPr>
                <w:i/>
                <w:sz w:val="26"/>
                <w:szCs w:val="26"/>
              </w:rPr>
              <w:t>i</w:t>
            </w:r>
            <w:r w:rsidRPr="001B2FDE">
              <w:rPr>
                <w:sz w:val="26"/>
                <w:szCs w:val="26"/>
              </w:rPr>
              <w:t xml:space="preserve"> in year </w:t>
            </w:r>
            <w:r w:rsidRPr="001B2FDE">
              <w:rPr>
                <w:i/>
                <w:sz w:val="26"/>
                <w:szCs w:val="26"/>
              </w:rPr>
              <w:t>t</w:t>
            </w:r>
            <w:r w:rsidRPr="001B2FDE">
              <w:rPr>
                <w:sz w:val="26"/>
                <w:szCs w:val="26"/>
              </w:rPr>
              <w:t>, and 0 (zero) otherwise</w:t>
            </w:r>
          </w:p>
        </w:tc>
      </w:tr>
      <w:tr w:rsidR="00726645" w:rsidRPr="001B2FDE" w:rsidTr="00A232B9">
        <w:tc>
          <w:tcPr>
            <w:tcW w:w="1278" w:type="dxa"/>
            <w:hideMark/>
          </w:tcPr>
          <w:p w:rsidR="00726645" w:rsidRPr="001B2FDE" w:rsidRDefault="00726645" w:rsidP="00A232B9">
            <w:pPr>
              <w:tabs>
                <w:tab w:val="left" w:pos="1620"/>
              </w:tabs>
              <w:rPr>
                <w:sz w:val="26"/>
                <w:szCs w:val="26"/>
              </w:rPr>
            </w:pPr>
            <w:r w:rsidRPr="001B2FDE">
              <w:rPr>
                <w:sz w:val="26"/>
                <w:szCs w:val="26"/>
              </w:rPr>
              <w:t>LCRC</w:t>
            </w:r>
          </w:p>
        </w:tc>
        <w:tc>
          <w:tcPr>
            <w:tcW w:w="540" w:type="dxa"/>
            <w:hideMark/>
          </w:tcPr>
          <w:p w:rsidR="00726645" w:rsidRPr="001B2FDE" w:rsidRDefault="00726645" w:rsidP="00A232B9">
            <w:pPr>
              <w:tabs>
                <w:tab w:val="left" w:pos="1620"/>
              </w:tabs>
              <w:rPr>
                <w:sz w:val="26"/>
                <w:szCs w:val="26"/>
              </w:rPr>
            </w:pPr>
            <w:r w:rsidRPr="001B2FDE">
              <w:rPr>
                <w:sz w:val="26"/>
                <w:szCs w:val="26"/>
              </w:rPr>
              <w:t>=</w:t>
            </w:r>
          </w:p>
        </w:tc>
        <w:tc>
          <w:tcPr>
            <w:tcW w:w="7758" w:type="dxa"/>
            <w:hideMark/>
          </w:tcPr>
          <w:p w:rsidR="00726645" w:rsidRPr="001B2FDE" w:rsidRDefault="00726645" w:rsidP="00A232B9">
            <w:pPr>
              <w:tabs>
                <w:tab w:val="left" w:pos="1620"/>
              </w:tabs>
              <w:rPr>
                <w:sz w:val="26"/>
                <w:szCs w:val="26"/>
              </w:rPr>
            </w:pPr>
            <w:r w:rsidRPr="001B2FDE">
              <w:rPr>
                <w:sz w:val="26"/>
                <w:szCs w:val="26"/>
              </w:rPr>
              <w:t>Total resource costs used for levelizing</w:t>
            </w:r>
          </w:p>
        </w:tc>
      </w:tr>
      <w:tr w:rsidR="00726645" w:rsidRPr="001B2FDE" w:rsidTr="00A232B9">
        <w:tc>
          <w:tcPr>
            <w:tcW w:w="1278" w:type="dxa"/>
            <w:hideMark/>
          </w:tcPr>
          <w:p w:rsidR="00726645" w:rsidRPr="001B2FDE" w:rsidRDefault="00726645" w:rsidP="00A232B9">
            <w:pPr>
              <w:tabs>
                <w:tab w:val="left" w:pos="1620"/>
              </w:tabs>
              <w:rPr>
                <w:sz w:val="26"/>
                <w:szCs w:val="26"/>
              </w:rPr>
            </w:pPr>
            <w:r w:rsidRPr="001B2FDE">
              <w:rPr>
                <w:sz w:val="26"/>
                <w:szCs w:val="26"/>
              </w:rPr>
              <w:t>LC</w:t>
            </w:r>
            <w:r w:rsidRPr="001B2FDE">
              <w:rPr>
                <w:sz w:val="26"/>
                <w:szCs w:val="26"/>
                <w:vertAlign w:val="subscript"/>
              </w:rPr>
              <w:t>TRC</w:t>
            </w:r>
          </w:p>
        </w:tc>
        <w:tc>
          <w:tcPr>
            <w:tcW w:w="540" w:type="dxa"/>
            <w:hideMark/>
          </w:tcPr>
          <w:p w:rsidR="00726645" w:rsidRPr="001B2FDE" w:rsidRDefault="00726645" w:rsidP="00A232B9">
            <w:pPr>
              <w:tabs>
                <w:tab w:val="left" w:pos="1620"/>
              </w:tabs>
              <w:rPr>
                <w:sz w:val="26"/>
                <w:szCs w:val="26"/>
              </w:rPr>
            </w:pPr>
            <w:r w:rsidRPr="001B2FDE">
              <w:rPr>
                <w:sz w:val="26"/>
                <w:szCs w:val="26"/>
              </w:rPr>
              <w:t>=</w:t>
            </w:r>
          </w:p>
        </w:tc>
        <w:tc>
          <w:tcPr>
            <w:tcW w:w="7758" w:type="dxa"/>
            <w:hideMark/>
          </w:tcPr>
          <w:p w:rsidR="00726645" w:rsidRPr="001B2FDE" w:rsidRDefault="00726645" w:rsidP="00A232B9">
            <w:pPr>
              <w:tabs>
                <w:tab w:val="left" w:pos="1620"/>
              </w:tabs>
              <w:rPr>
                <w:sz w:val="26"/>
                <w:szCs w:val="26"/>
              </w:rPr>
            </w:pPr>
            <w:r w:rsidRPr="001B2FDE">
              <w:rPr>
                <w:sz w:val="26"/>
                <w:szCs w:val="26"/>
              </w:rPr>
              <w:t>Levelized cost per unit of the total cost of the resource (cents/kWh for conservation programs; $/kWh for load management programs)</w:t>
            </w:r>
          </w:p>
        </w:tc>
      </w:tr>
      <w:tr w:rsidR="00726645" w:rsidRPr="001B2FDE" w:rsidTr="00A232B9">
        <w:tc>
          <w:tcPr>
            <w:tcW w:w="1278" w:type="dxa"/>
          </w:tcPr>
          <w:p w:rsidR="00726645" w:rsidRPr="001B2FDE" w:rsidRDefault="00726645" w:rsidP="00A232B9">
            <w:pPr>
              <w:tabs>
                <w:tab w:val="left" w:pos="1620"/>
              </w:tabs>
              <w:rPr>
                <w:sz w:val="26"/>
                <w:szCs w:val="26"/>
              </w:rPr>
            </w:pPr>
            <w:r w:rsidRPr="001B2FDE">
              <w:rPr>
                <w:sz w:val="26"/>
                <w:szCs w:val="26"/>
              </w:rPr>
              <w:t>MC:Dit</w:t>
            </w:r>
          </w:p>
        </w:tc>
        <w:tc>
          <w:tcPr>
            <w:tcW w:w="540" w:type="dxa"/>
          </w:tcPr>
          <w:p w:rsidR="00726645" w:rsidRPr="001B2FDE" w:rsidRDefault="00726645" w:rsidP="00A232B9">
            <w:pPr>
              <w:tabs>
                <w:tab w:val="left" w:pos="1620"/>
              </w:tabs>
              <w:rPr>
                <w:sz w:val="26"/>
                <w:szCs w:val="26"/>
              </w:rPr>
            </w:pPr>
          </w:p>
        </w:tc>
        <w:tc>
          <w:tcPr>
            <w:tcW w:w="7758" w:type="dxa"/>
          </w:tcPr>
          <w:p w:rsidR="00726645" w:rsidRPr="001B2FDE" w:rsidRDefault="00726645" w:rsidP="00A232B9">
            <w:pPr>
              <w:tabs>
                <w:tab w:val="left" w:pos="1620"/>
              </w:tabs>
              <w:rPr>
                <w:sz w:val="26"/>
                <w:szCs w:val="26"/>
              </w:rPr>
            </w:pPr>
            <w:r w:rsidRPr="001B2FDE">
              <w:rPr>
                <w:sz w:val="26"/>
                <w:szCs w:val="26"/>
              </w:rPr>
              <w:t xml:space="preserve">Marginal cost of demand in costing period </w:t>
            </w:r>
            <w:r w:rsidRPr="001B2FDE">
              <w:rPr>
                <w:i/>
                <w:sz w:val="26"/>
                <w:szCs w:val="26"/>
              </w:rPr>
              <w:t>i</w:t>
            </w:r>
            <w:r w:rsidRPr="001B2FDE">
              <w:rPr>
                <w:sz w:val="26"/>
                <w:szCs w:val="26"/>
              </w:rPr>
              <w:t xml:space="preserve"> in year </w:t>
            </w:r>
            <w:r w:rsidRPr="001B2FDE">
              <w:rPr>
                <w:i/>
                <w:sz w:val="26"/>
                <w:szCs w:val="26"/>
              </w:rPr>
              <w:t>t</w:t>
            </w:r>
          </w:p>
        </w:tc>
      </w:tr>
      <w:tr w:rsidR="00726645" w:rsidRPr="001B2FDE" w:rsidTr="00A232B9">
        <w:tc>
          <w:tcPr>
            <w:tcW w:w="1278" w:type="dxa"/>
          </w:tcPr>
          <w:p w:rsidR="00726645" w:rsidRPr="001B2FDE" w:rsidRDefault="00726645" w:rsidP="00A232B9">
            <w:pPr>
              <w:tabs>
                <w:tab w:val="left" w:pos="1620"/>
              </w:tabs>
              <w:rPr>
                <w:sz w:val="26"/>
                <w:szCs w:val="26"/>
              </w:rPr>
            </w:pPr>
            <w:r w:rsidRPr="001B2FDE">
              <w:rPr>
                <w:sz w:val="26"/>
                <w:szCs w:val="26"/>
              </w:rPr>
              <w:t>MC:Eit</w:t>
            </w:r>
          </w:p>
        </w:tc>
        <w:tc>
          <w:tcPr>
            <w:tcW w:w="540" w:type="dxa"/>
          </w:tcPr>
          <w:p w:rsidR="00726645" w:rsidRPr="001B2FDE" w:rsidRDefault="00726645" w:rsidP="00A232B9">
            <w:pPr>
              <w:tabs>
                <w:tab w:val="left" w:pos="1620"/>
              </w:tabs>
              <w:rPr>
                <w:sz w:val="26"/>
                <w:szCs w:val="26"/>
              </w:rPr>
            </w:pPr>
          </w:p>
        </w:tc>
        <w:tc>
          <w:tcPr>
            <w:tcW w:w="7758" w:type="dxa"/>
          </w:tcPr>
          <w:p w:rsidR="00726645" w:rsidRPr="001B2FDE" w:rsidRDefault="00726645" w:rsidP="00A232B9">
            <w:pPr>
              <w:tabs>
                <w:tab w:val="left" w:pos="1620"/>
              </w:tabs>
              <w:rPr>
                <w:sz w:val="26"/>
                <w:szCs w:val="26"/>
              </w:rPr>
            </w:pPr>
            <w:r w:rsidRPr="001B2FDE">
              <w:rPr>
                <w:sz w:val="26"/>
                <w:szCs w:val="26"/>
              </w:rPr>
              <w:t xml:space="preserve">Marginal cost of energy in costing period </w:t>
            </w:r>
            <w:r w:rsidRPr="001B2FDE">
              <w:rPr>
                <w:i/>
                <w:sz w:val="26"/>
                <w:szCs w:val="26"/>
              </w:rPr>
              <w:t>i</w:t>
            </w:r>
            <w:r w:rsidRPr="001B2FDE">
              <w:rPr>
                <w:sz w:val="26"/>
                <w:szCs w:val="26"/>
              </w:rPr>
              <w:t xml:space="preserve"> in year </w:t>
            </w:r>
            <w:r w:rsidRPr="001B2FDE">
              <w:rPr>
                <w:i/>
                <w:sz w:val="26"/>
                <w:szCs w:val="26"/>
              </w:rPr>
              <w:t>t</w:t>
            </w:r>
          </w:p>
        </w:tc>
      </w:tr>
      <w:tr w:rsidR="00726645" w:rsidRPr="001B2FDE" w:rsidTr="00A232B9">
        <w:tc>
          <w:tcPr>
            <w:tcW w:w="1278" w:type="dxa"/>
            <w:hideMark/>
          </w:tcPr>
          <w:p w:rsidR="00726645" w:rsidRPr="001B2FDE" w:rsidRDefault="00726645" w:rsidP="00A232B9">
            <w:pPr>
              <w:tabs>
                <w:tab w:val="left" w:pos="1620"/>
              </w:tabs>
              <w:rPr>
                <w:sz w:val="26"/>
                <w:szCs w:val="26"/>
              </w:rPr>
            </w:pPr>
            <w:r w:rsidRPr="001B2FDE">
              <w:rPr>
                <w:sz w:val="26"/>
                <w:szCs w:val="26"/>
              </w:rPr>
              <w:t>NPV</w:t>
            </w:r>
            <w:r w:rsidRPr="001B2FDE">
              <w:rPr>
                <w:sz w:val="26"/>
                <w:szCs w:val="26"/>
                <w:vertAlign w:val="subscript"/>
              </w:rPr>
              <w:t>TRC</w:t>
            </w:r>
          </w:p>
        </w:tc>
        <w:tc>
          <w:tcPr>
            <w:tcW w:w="540" w:type="dxa"/>
            <w:hideMark/>
          </w:tcPr>
          <w:p w:rsidR="00726645" w:rsidRPr="001B2FDE" w:rsidRDefault="00726645" w:rsidP="00A232B9">
            <w:pPr>
              <w:tabs>
                <w:tab w:val="left" w:pos="1620"/>
              </w:tabs>
              <w:rPr>
                <w:sz w:val="26"/>
                <w:szCs w:val="26"/>
              </w:rPr>
            </w:pPr>
            <w:r w:rsidRPr="001B2FDE">
              <w:rPr>
                <w:sz w:val="26"/>
                <w:szCs w:val="26"/>
              </w:rPr>
              <w:t>=</w:t>
            </w:r>
          </w:p>
        </w:tc>
        <w:tc>
          <w:tcPr>
            <w:tcW w:w="7758" w:type="dxa"/>
            <w:hideMark/>
          </w:tcPr>
          <w:p w:rsidR="00726645" w:rsidRPr="001B2FDE" w:rsidRDefault="00726645" w:rsidP="00A232B9">
            <w:pPr>
              <w:tabs>
                <w:tab w:val="left" w:pos="1620"/>
              </w:tabs>
              <w:rPr>
                <w:sz w:val="26"/>
                <w:szCs w:val="26"/>
              </w:rPr>
            </w:pPr>
            <w:r w:rsidRPr="001B2FDE">
              <w:rPr>
                <w:sz w:val="26"/>
                <w:szCs w:val="26"/>
              </w:rPr>
              <w:t>Net present value of total costs of the resource</w:t>
            </w:r>
          </w:p>
        </w:tc>
      </w:tr>
      <w:tr w:rsidR="00726645" w:rsidRPr="001B2FDE" w:rsidTr="00A232B9">
        <w:tc>
          <w:tcPr>
            <w:tcW w:w="1278" w:type="dxa"/>
          </w:tcPr>
          <w:p w:rsidR="00726645" w:rsidRPr="001B2FDE" w:rsidRDefault="00726645" w:rsidP="00A232B9">
            <w:pPr>
              <w:tabs>
                <w:tab w:val="left" w:pos="1620"/>
              </w:tabs>
              <w:rPr>
                <w:sz w:val="26"/>
                <w:szCs w:val="26"/>
                <w:vertAlign w:val="subscript"/>
              </w:rPr>
            </w:pPr>
            <w:r w:rsidRPr="001B2FDE">
              <w:rPr>
                <w:sz w:val="26"/>
                <w:szCs w:val="26"/>
              </w:rPr>
              <w:t>PAC</w:t>
            </w:r>
            <w:r w:rsidRPr="001B2FDE">
              <w:rPr>
                <w:sz w:val="26"/>
                <w:szCs w:val="26"/>
                <w:vertAlign w:val="subscript"/>
              </w:rPr>
              <w:t>at</w:t>
            </w:r>
          </w:p>
        </w:tc>
        <w:tc>
          <w:tcPr>
            <w:tcW w:w="540" w:type="dxa"/>
          </w:tcPr>
          <w:p w:rsidR="00726645" w:rsidRPr="001B2FDE" w:rsidRDefault="00726645" w:rsidP="00A232B9">
            <w:pPr>
              <w:tabs>
                <w:tab w:val="left" w:pos="1620"/>
              </w:tabs>
              <w:rPr>
                <w:sz w:val="26"/>
                <w:szCs w:val="26"/>
              </w:rPr>
            </w:pPr>
            <w:r w:rsidRPr="001B2FDE">
              <w:rPr>
                <w:sz w:val="26"/>
                <w:szCs w:val="26"/>
              </w:rPr>
              <w:t>=</w:t>
            </w:r>
          </w:p>
        </w:tc>
        <w:tc>
          <w:tcPr>
            <w:tcW w:w="7758" w:type="dxa"/>
          </w:tcPr>
          <w:p w:rsidR="00726645" w:rsidRPr="001B2FDE" w:rsidRDefault="00726645" w:rsidP="00A232B9">
            <w:pPr>
              <w:tabs>
                <w:tab w:val="left" w:pos="1620"/>
              </w:tabs>
              <w:rPr>
                <w:sz w:val="26"/>
                <w:szCs w:val="26"/>
              </w:rPr>
            </w:pPr>
            <w:r w:rsidRPr="001B2FDE">
              <w:rPr>
                <w:sz w:val="26"/>
                <w:szCs w:val="26"/>
              </w:rPr>
              <w:t>Participant avoided costs in year t for the alternate fuel devices (</w:t>
            </w:r>
            <w:r w:rsidRPr="001B2FDE">
              <w:rPr>
                <w:i/>
                <w:sz w:val="26"/>
                <w:szCs w:val="26"/>
              </w:rPr>
              <w:t>i.e.</w:t>
            </w:r>
            <w:r w:rsidRPr="001B2FDE">
              <w:rPr>
                <w:sz w:val="26"/>
                <w:szCs w:val="26"/>
              </w:rPr>
              <w:t>, costs of devices not chosen)</w:t>
            </w:r>
          </w:p>
        </w:tc>
      </w:tr>
      <w:tr w:rsidR="00726645" w:rsidRPr="001B2FDE" w:rsidTr="00A232B9">
        <w:tc>
          <w:tcPr>
            <w:tcW w:w="1278" w:type="dxa"/>
            <w:hideMark/>
          </w:tcPr>
          <w:p w:rsidR="00726645" w:rsidRPr="001B2FDE" w:rsidRDefault="00726645" w:rsidP="00A232B9">
            <w:pPr>
              <w:tabs>
                <w:tab w:val="left" w:pos="1620"/>
              </w:tabs>
              <w:rPr>
                <w:sz w:val="26"/>
                <w:szCs w:val="26"/>
              </w:rPr>
            </w:pPr>
            <w:r w:rsidRPr="001B2FDE">
              <w:rPr>
                <w:sz w:val="26"/>
                <w:szCs w:val="26"/>
              </w:rPr>
              <w:t>PCN</w:t>
            </w:r>
          </w:p>
        </w:tc>
        <w:tc>
          <w:tcPr>
            <w:tcW w:w="540" w:type="dxa"/>
            <w:hideMark/>
          </w:tcPr>
          <w:p w:rsidR="00726645" w:rsidRPr="001B2FDE" w:rsidRDefault="00726645" w:rsidP="00A232B9">
            <w:pPr>
              <w:tabs>
                <w:tab w:val="left" w:pos="1620"/>
              </w:tabs>
              <w:rPr>
                <w:sz w:val="26"/>
                <w:szCs w:val="26"/>
              </w:rPr>
            </w:pPr>
            <w:r w:rsidRPr="001B2FDE">
              <w:rPr>
                <w:sz w:val="26"/>
                <w:szCs w:val="26"/>
              </w:rPr>
              <w:t>=</w:t>
            </w:r>
          </w:p>
        </w:tc>
        <w:tc>
          <w:tcPr>
            <w:tcW w:w="7758" w:type="dxa"/>
            <w:hideMark/>
          </w:tcPr>
          <w:p w:rsidR="00726645" w:rsidRPr="001B2FDE" w:rsidRDefault="00726645" w:rsidP="00A232B9">
            <w:pPr>
              <w:tabs>
                <w:tab w:val="left" w:pos="1620"/>
              </w:tabs>
              <w:rPr>
                <w:sz w:val="26"/>
                <w:szCs w:val="26"/>
              </w:rPr>
            </w:pPr>
            <w:r w:rsidRPr="001B2FDE">
              <w:rPr>
                <w:sz w:val="26"/>
                <w:szCs w:val="26"/>
              </w:rPr>
              <w:t>Net participant costs; in PA, the costs of the end-user customer (participating or non-participating)</w:t>
            </w:r>
          </w:p>
        </w:tc>
      </w:tr>
      <w:tr w:rsidR="00726645" w:rsidRPr="001B2FDE" w:rsidTr="00A232B9">
        <w:tc>
          <w:tcPr>
            <w:tcW w:w="1278" w:type="dxa"/>
          </w:tcPr>
          <w:p w:rsidR="00726645" w:rsidRPr="001B2FDE" w:rsidRDefault="00726645" w:rsidP="00A232B9">
            <w:pPr>
              <w:tabs>
                <w:tab w:val="left" w:pos="1620"/>
              </w:tabs>
              <w:rPr>
                <w:sz w:val="26"/>
                <w:szCs w:val="26"/>
              </w:rPr>
            </w:pPr>
            <w:r w:rsidRPr="001B2FDE">
              <w:rPr>
                <w:sz w:val="26"/>
                <w:szCs w:val="26"/>
              </w:rPr>
              <w:t>PRC</w:t>
            </w:r>
            <w:r w:rsidRPr="001B2FDE">
              <w:rPr>
                <w:sz w:val="26"/>
                <w:szCs w:val="26"/>
                <w:vertAlign w:val="subscript"/>
              </w:rPr>
              <w:t>t</w:t>
            </w:r>
          </w:p>
        </w:tc>
        <w:tc>
          <w:tcPr>
            <w:tcW w:w="540" w:type="dxa"/>
          </w:tcPr>
          <w:p w:rsidR="00726645" w:rsidRPr="001B2FDE" w:rsidRDefault="00726645" w:rsidP="00A232B9">
            <w:pPr>
              <w:tabs>
                <w:tab w:val="left" w:pos="1620"/>
              </w:tabs>
              <w:rPr>
                <w:sz w:val="26"/>
                <w:szCs w:val="26"/>
              </w:rPr>
            </w:pPr>
            <w:r w:rsidRPr="001B2FDE">
              <w:rPr>
                <w:sz w:val="26"/>
                <w:szCs w:val="26"/>
              </w:rPr>
              <w:t>=</w:t>
            </w:r>
          </w:p>
        </w:tc>
        <w:tc>
          <w:tcPr>
            <w:tcW w:w="7758" w:type="dxa"/>
          </w:tcPr>
          <w:p w:rsidR="00726645" w:rsidRPr="001B2FDE" w:rsidRDefault="00726645" w:rsidP="00A232B9">
            <w:pPr>
              <w:tabs>
                <w:tab w:val="left" w:pos="1620"/>
              </w:tabs>
              <w:rPr>
                <w:i/>
                <w:sz w:val="26"/>
                <w:szCs w:val="26"/>
              </w:rPr>
            </w:pPr>
            <w:r w:rsidRPr="001B2FDE">
              <w:rPr>
                <w:sz w:val="26"/>
                <w:szCs w:val="26"/>
              </w:rPr>
              <w:t xml:space="preserve">Program administrator costs in year </w:t>
            </w:r>
            <w:r w:rsidRPr="001B2FDE">
              <w:rPr>
                <w:i/>
                <w:sz w:val="26"/>
                <w:szCs w:val="26"/>
              </w:rPr>
              <w:t>t</w:t>
            </w:r>
            <w:r w:rsidRPr="001B2FDE">
              <w:rPr>
                <w:sz w:val="26"/>
                <w:szCs w:val="26"/>
              </w:rPr>
              <w:t>; in PA, the EDC</w:t>
            </w:r>
          </w:p>
        </w:tc>
      </w:tr>
      <w:tr w:rsidR="00726645" w:rsidRPr="001B2FDE" w:rsidTr="00A232B9">
        <w:tc>
          <w:tcPr>
            <w:tcW w:w="1278" w:type="dxa"/>
          </w:tcPr>
          <w:p w:rsidR="00726645" w:rsidRPr="001B2FDE" w:rsidRDefault="00726645" w:rsidP="00A232B9">
            <w:pPr>
              <w:tabs>
                <w:tab w:val="left" w:pos="1620"/>
              </w:tabs>
              <w:rPr>
                <w:sz w:val="26"/>
                <w:szCs w:val="26"/>
                <w:vertAlign w:val="subscript"/>
              </w:rPr>
            </w:pPr>
            <w:r w:rsidRPr="001B2FDE">
              <w:rPr>
                <w:sz w:val="26"/>
                <w:szCs w:val="26"/>
              </w:rPr>
              <w:t>TC</w:t>
            </w:r>
            <w:r w:rsidRPr="001B2FDE">
              <w:rPr>
                <w:sz w:val="26"/>
                <w:szCs w:val="26"/>
                <w:vertAlign w:val="subscript"/>
              </w:rPr>
              <w:t>t</w:t>
            </w:r>
          </w:p>
        </w:tc>
        <w:tc>
          <w:tcPr>
            <w:tcW w:w="540" w:type="dxa"/>
          </w:tcPr>
          <w:p w:rsidR="00726645" w:rsidRPr="001B2FDE" w:rsidRDefault="00726645" w:rsidP="00A232B9">
            <w:pPr>
              <w:tabs>
                <w:tab w:val="left" w:pos="1620"/>
              </w:tabs>
              <w:rPr>
                <w:sz w:val="26"/>
                <w:szCs w:val="26"/>
              </w:rPr>
            </w:pPr>
            <w:r w:rsidRPr="001B2FDE">
              <w:rPr>
                <w:sz w:val="26"/>
                <w:szCs w:val="26"/>
              </w:rPr>
              <w:t>=</w:t>
            </w:r>
          </w:p>
        </w:tc>
        <w:tc>
          <w:tcPr>
            <w:tcW w:w="7758" w:type="dxa"/>
          </w:tcPr>
          <w:p w:rsidR="00726645" w:rsidRPr="001B2FDE" w:rsidRDefault="00726645" w:rsidP="00A232B9">
            <w:pPr>
              <w:tabs>
                <w:tab w:val="left" w:pos="1620"/>
              </w:tabs>
              <w:rPr>
                <w:sz w:val="26"/>
                <w:szCs w:val="26"/>
              </w:rPr>
            </w:pPr>
            <w:r w:rsidRPr="001B2FDE">
              <w:rPr>
                <w:sz w:val="26"/>
                <w:szCs w:val="26"/>
              </w:rPr>
              <w:t>Tax credits year t</w:t>
            </w:r>
          </w:p>
        </w:tc>
      </w:tr>
      <w:tr w:rsidR="00726645" w:rsidRPr="001B2FDE" w:rsidTr="00A232B9">
        <w:tc>
          <w:tcPr>
            <w:tcW w:w="1278" w:type="dxa"/>
          </w:tcPr>
          <w:p w:rsidR="00726645" w:rsidRPr="001B2FDE" w:rsidRDefault="00726645" w:rsidP="00A232B9">
            <w:pPr>
              <w:tabs>
                <w:tab w:val="left" w:pos="1620"/>
              </w:tabs>
              <w:rPr>
                <w:sz w:val="26"/>
                <w:szCs w:val="26"/>
              </w:rPr>
            </w:pPr>
            <w:r w:rsidRPr="001B2FDE">
              <w:rPr>
                <w:sz w:val="26"/>
                <w:szCs w:val="26"/>
              </w:rPr>
              <w:t>UAC</w:t>
            </w:r>
            <w:r w:rsidRPr="001B2FDE">
              <w:rPr>
                <w:sz w:val="26"/>
                <w:szCs w:val="26"/>
                <w:vertAlign w:val="subscript"/>
              </w:rPr>
              <w:t>at</w:t>
            </w:r>
          </w:p>
        </w:tc>
        <w:tc>
          <w:tcPr>
            <w:tcW w:w="540" w:type="dxa"/>
          </w:tcPr>
          <w:p w:rsidR="00726645" w:rsidRPr="001B2FDE" w:rsidRDefault="00726645" w:rsidP="00A232B9">
            <w:pPr>
              <w:tabs>
                <w:tab w:val="left" w:pos="1620"/>
              </w:tabs>
              <w:rPr>
                <w:sz w:val="26"/>
                <w:szCs w:val="26"/>
              </w:rPr>
            </w:pPr>
            <w:r w:rsidRPr="001B2FDE">
              <w:rPr>
                <w:sz w:val="26"/>
                <w:szCs w:val="26"/>
              </w:rPr>
              <w:t>=</w:t>
            </w:r>
          </w:p>
        </w:tc>
        <w:tc>
          <w:tcPr>
            <w:tcW w:w="7758" w:type="dxa"/>
          </w:tcPr>
          <w:p w:rsidR="00726645" w:rsidRPr="001B2FDE" w:rsidRDefault="00726645" w:rsidP="00A232B9">
            <w:pPr>
              <w:tabs>
                <w:tab w:val="left" w:pos="1620"/>
              </w:tabs>
              <w:rPr>
                <w:sz w:val="26"/>
                <w:szCs w:val="26"/>
              </w:rPr>
            </w:pPr>
            <w:r w:rsidRPr="001B2FDE">
              <w:rPr>
                <w:sz w:val="26"/>
                <w:szCs w:val="26"/>
              </w:rPr>
              <w:t xml:space="preserve">Utility avoided supply costs for the alternate fuel in year </w:t>
            </w:r>
            <w:r w:rsidRPr="001B2FDE">
              <w:rPr>
                <w:i/>
                <w:sz w:val="26"/>
                <w:szCs w:val="26"/>
              </w:rPr>
              <w:t>t</w:t>
            </w:r>
          </w:p>
        </w:tc>
      </w:tr>
      <w:tr w:rsidR="00726645" w:rsidRPr="001B2FDE" w:rsidTr="00A232B9">
        <w:tc>
          <w:tcPr>
            <w:tcW w:w="1278" w:type="dxa"/>
          </w:tcPr>
          <w:p w:rsidR="00726645" w:rsidRPr="001B2FDE" w:rsidRDefault="00726645" w:rsidP="00A232B9">
            <w:pPr>
              <w:tabs>
                <w:tab w:val="left" w:pos="1620"/>
              </w:tabs>
              <w:rPr>
                <w:sz w:val="26"/>
                <w:szCs w:val="26"/>
              </w:rPr>
            </w:pPr>
            <w:r w:rsidRPr="001B2FDE">
              <w:rPr>
                <w:sz w:val="26"/>
                <w:szCs w:val="26"/>
              </w:rPr>
              <w:t>UAC</w:t>
            </w:r>
            <w:r w:rsidRPr="001B2FDE">
              <w:rPr>
                <w:sz w:val="26"/>
                <w:szCs w:val="26"/>
                <w:vertAlign w:val="subscript"/>
              </w:rPr>
              <w:t>t</w:t>
            </w:r>
          </w:p>
        </w:tc>
        <w:tc>
          <w:tcPr>
            <w:tcW w:w="540" w:type="dxa"/>
          </w:tcPr>
          <w:p w:rsidR="00726645" w:rsidRPr="001B2FDE" w:rsidRDefault="00726645" w:rsidP="00A232B9">
            <w:pPr>
              <w:tabs>
                <w:tab w:val="left" w:pos="1620"/>
              </w:tabs>
              <w:rPr>
                <w:sz w:val="26"/>
                <w:szCs w:val="26"/>
              </w:rPr>
            </w:pPr>
            <w:r w:rsidRPr="001B2FDE">
              <w:rPr>
                <w:sz w:val="26"/>
                <w:szCs w:val="26"/>
              </w:rPr>
              <w:t>=</w:t>
            </w:r>
          </w:p>
        </w:tc>
        <w:tc>
          <w:tcPr>
            <w:tcW w:w="7758" w:type="dxa"/>
          </w:tcPr>
          <w:p w:rsidR="00726645" w:rsidRPr="001B2FDE" w:rsidRDefault="00726645" w:rsidP="00A232B9">
            <w:pPr>
              <w:tabs>
                <w:tab w:val="left" w:pos="1620"/>
              </w:tabs>
              <w:rPr>
                <w:sz w:val="26"/>
                <w:szCs w:val="26"/>
              </w:rPr>
            </w:pPr>
            <w:r w:rsidRPr="001B2FDE">
              <w:rPr>
                <w:sz w:val="26"/>
                <w:szCs w:val="26"/>
              </w:rPr>
              <w:t xml:space="preserve">Utility avoided supply costs in year </w:t>
            </w:r>
            <w:r w:rsidRPr="001B2FDE">
              <w:rPr>
                <w:i/>
                <w:sz w:val="26"/>
                <w:szCs w:val="26"/>
              </w:rPr>
              <w:t>t</w:t>
            </w:r>
          </w:p>
        </w:tc>
      </w:tr>
      <w:tr w:rsidR="00726645" w:rsidRPr="001B2FDE" w:rsidTr="00A232B9">
        <w:tc>
          <w:tcPr>
            <w:tcW w:w="1278" w:type="dxa"/>
          </w:tcPr>
          <w:p w:rsidR="00726645" w:rsidRPr="001B2FDE" w:rsidRDefault="00726645" w:rsidP="00A232B9">
            <w:pPr>
              <w:tabs>
                <w:tab w:val="left" w:pos="1620"/>
              </w:tabs>
              <w:rPr>
                <w:sz w:val="26"/>
                <w:szCs w:val="26"/>
              </w:rPr>
            </w:pPr>
            <w:r w:rsidRPr="001B2FDE">
              <w:rPr>
                <w:sz w:val="26"/>
                <w:szCs w:val="26"/>
              </w:rPr>
              <w:t>UIC</w:t>
            </w:r>
            <w:r w:rsidRPr="001B2FDE">
              <w:rPr>
                <w:sz w:val="26"/>
                <w:szCs w:val="26"/>
                <w:vertAlign w:val="subscript"/>
              </w:rPr>
              <w:t>t</w:t>
            </w:r>
          </w:p>
        </w:tc>
        <w:tc>
          <w:tcPr>
            <w:tcW w:w="540" w:type="dxa"/>
          </w:tcPr>
          <w:p w:rsidR="00726645" w:rsidRPr="001B2FDE" w:rsidRDefault="00726645" w:rsidP="00A232B9">
            <w:pPr>
              <w:tabs>
                <w:tab w:val="left" w:pos="1620"/>
              </w:tabs>
              <w:rPr>
                <w:sz w:val="26"/>
                <w:szCs w:val="26"/>
              </w:rPr>
            </w:pPr>
            <w:r w:rsidRPr="001B2FDE">
              <w:rPr>
                <w:sz w:val="26"/>
                <w:szCs w:val="26"/>
              </w:rPr>
              <w:t>=</w:t>
            </w:r>
          </w:p>
        </w:tc>
        <w:tc>
          <w:tcPr>
            <w:tcW w:w="7758" w:type="dxa"/>
          </w:tcPr>
          <w:p w:rsidR="00726645" w:rsidRPr="001B2FDE" w:rsidRDefault="00726645" w:rsidP="00A232B9">
            <w:pPr>
              <w:tabs>
                <w:tab w:val="left" w:pos="1620"/>
              </w:tabs>
              <w:rPr>
                <w:sz w:val="26"/>
                <w:szCs w:val="26"/>
              </w:rPr>
            </w:pPr>
            <w:r w:rsidRPr="001B2FDE">
              <w:rPr>
                <w:sz w:val="26"/>
                <w:szCs w:val="26"/>
              </w:rPr>
              <w:t xml:space="preserve">Utility increased supply costs in year </w:t>
            </w:r>
            <w:r w:rsidRPr="001B2FDE">
              <w:rPr>
                <w:i/>
                <w:sz w:val="26"/>
                <w:szCs w:val="26"/>
              </w:rPr>
              <w:t>t</w:t>
            </w:r>
          </w:p>
        </w:tc>
      </w:tr>
    </w:tbl>
    <w:p w:rsidR="00726645" w:rsidRPr="001B2FDE" w:rsidRDefault="00726645" w:rsidP="00375611">
      <w:pPr>
        <w:pStyle w:val="p14"/>
        <w:tabs>
          <w:tab w:val="left" w:pos="1620"/>
        </w:tabs>
        <w:rPr>
          <w:sz w:val="26"/>
          <w:szCs w:val="26"/>
        </w:rPr>
      </w:pPr>
    </w:p>
    <w:p w:rsidR="00726645" w:rsidRPr="001B2FDE" w:rsidRDefault="00726645" w:rsidP="00375611">
      <w:pPr>
        <w:overflowPunct/>
        <w:autoSpaceDE/>
        <w:autoSpaceDN/>
        <w:adjustRightInd/>
        <w:textAlignment w:val="auto"/>
        <w:rPr>
          <w:sz w:val="26"/>
          <w:szCs w:val="26"/>
        </w:rPr>
      </w:pPr>
      <w:r w:rsidRPr="001B2FDE">
        <w:rPr>
          <w:sz w:val="26"/>
          <w:szCs w:val="26"/>
        </w:rPr>
        <w:br w:type="page"/>
      </w:r>
    </w:p>
    <w:p w:rsidR="00726645" w:rsidRPr="001B2FDE" w:rsidRDefault="00726645" w:rsidP="00375611">
      <w:pPr>
        <w:pStyle w:val="p14"/>
        <w:tabs>
          <w:tab w:val="left" w:pos="1620"/>
        </w:tabs>
        <w:jc w:val="center"/>
        <w:rPr>
          <w:b/>
          <w:sz w:val="26"/>
          <w:szCs w:val="26"/>
        </w:rPr>
      </w:pPr>
      <w:r w:rsidRPr="001B2FDE">
        <w:rPr>
          <w:b/>
          <w:sz w:val="26"/>
          <w:szCs w:val="26"/>
        </w:rPr>
        <w:lastRenderedPageBreak/>
        <w:t>Appendix B</w:t>
      </w:r>
    </w:p>
    <w:p w:rsidR="00726645" w:rsidRPr="001B2FDE" w:rsidRDefault="00726645" w:rsidP="00375611">
      <w:pPr>
        <w:pStyle w:val="p14"/>
        <w:tabs>
          <w:tab w:val="left" w:pos="1620"/>
        </w:tabs>
        <w:jc w:val="center"/>
        <w:rPr>
          <w:b/>
          <w:sz w:val="26"/>
          <w:szCs w:val="26"/>
        </w:rPr>
      </w:pPr>
      <w:r w:rsidRPr="001B2FDE">
        <w:rPr>
          <w:b/>
          <w:sz w:val="26"/>
          <w:szCs w:val="26"/>
        </w:rPr>
        <w:t>List of Acronyms</w:t>
      </w:r>
    </w:p>
    <w:p w:rsidR="00726645" w:rsidRPr="001B2FDE" w:rsidRDefault="00726645" w:rsidP="00375611">
      <w:pPr>
        <w:pStyle w:val="p14"/>
        <w:tabs>
          <w:tab w:val="left" w:pos="1620"/>
        </w:tabs>
        <w:rPr>
          <w:sz w:val="26"/>
          <w:szCs w:val="26"/>
        </w:rPr>
      </w:pPr>
    </w:p>
    <w:p w:rsidR="004760C9" w:rsidRDefault="004760C9" w:rsidP="00375611">
      <w:pPr>
        <w:spacing w:line="360" w:lineRule="auto"/>
        <w:rPr>
          <w:sz w:val="26"/>
        </w:rPr>
      </w:pPr>
    </w:p>
    <w:p w:rsidR="004760C9" w:rsidRDefault="004760C9" w:rsidP="00375611">
      <w:pPr>
        <w:spacing w:line="360" w:lineRule="auto"/>
        <w:rPr>
          <w:sz w:val="26"/>
        </w:rPr>
      </w:pPr>
      <w:r>
        <w:rPr>
          <w:sz w:val="26"/>
        </w:rPr>
        <w:t>AEO: Annual Energy Outlook</w:t>
      </w:r>
    </w:p>
    <w:p w:rsidR="00726645" w:rsidRDefault="00E70518" w:rsidP="00375611">
      <w:pPr>
        <w:spacing w:line="360" w:lineRule="auto"/>
        <w:rPr>
          <w:sz w:val="26"/>
        </w:rPr>
      </w:pPr>
      <w:r>
        <w:rPr>
          <w:sz w:val="26"/>
        </w:rPr>
        <w:t>B/C:  Benefit/C</w:t>
      </w:r>
      <w:r w:rsidR="00726645" w:rsidRPr="001B2FDE">
        <w:rPr>
          <w:sz w:val="26"/>
        </w:rPr>
        <w:t>ost</w:t>
      </w:r>
    </w:p>
    <w:p w:rsidR="00695B56" w:rsidRPr="001B2FDE" w:rsidRDefault="00695B56" w:rsidP="00695B56">
      <w:pPr>
        <w:pStyle w:val="p14"/>
        <w:tabs>
          <w:tab w:val="left" w:pos="1620"/>
        </w:tabs>
        <w:spacing w:line="360" w:lineRule="auto"/>
        <w:rPr>
          <w:sz w:val="26"/>
          <w:szCs w:val="26"/>
        </w:rPr>
      </w:pPr>
      <w:r>
        <w:rPr>
          <w:sz w:val="26"/>
          <w:szCs w:val="26"/>
        </w:rPr>
        <w:t>California Manual</w:t>
      </w:r>
      <w:r w:rsidRPr="001B2FDE">
        <w:rPr>
          <w:sz w:val="26"/>
          <w:szCs w:val="26"/>
        </w:rPr>
        <w:t>:  2002 California Standard Practice Manual</w:t>
      </w:r>
    </w:p>
    <w:p w:rsidR="00726645" w:rsidRPr="001B2FDE" w:rsidRDefault="00726645" w:rsidP="00375611">
      <w:pPr>
        <w:spacing w:line="360" w:lineRule="auto"/>
        <w:rPr>
          <w:sz w:val="26"/>
        </w:rPr>
      </w:pPr>
      <w:r w:rsidRPr="001B2FDE">
        <w:rPr>
          <w:sz w:val="26"/>
        </w:rPr>
        <w:t>CFL:  Compact Fluorescent Light bulb</w:t>
      </w:r>
    </w:p>
    <w:p w:rsidR="00726645" w:rsidRPr="001B2FDE" w:rsidRDefault="00726645" w:rsidP="00375611">
      <w:pPr>
        <w:spacing w:line="360" w:lineRule="auto"/>
        <w:rPr>
          <w:sz w:val="26"/>
          <w:szCs w:val="26"/>
        </w:rPr>
      </w:pPr>
      <w:r w:rsidRPr="001B2FDE">
        <w:rPr>
          <w:sz w:val="26"/>
          <w:szCs w:val="26"/>
        </w:rPr>
        <w:t>EDC:  Electric Distribution Company</w:t>
      </w:r>
    </w:p>
    <w:p w:rsidR="00726645" w:rsidRPr="001B2FDE" w:rsidRDefault="00726645" w:rsidP="00375611">
      <w:pPr>
        <w:spacing w:line="360" w:lineRule="auto"/>
        <w:rPr>
          <w:sz w:val="26"/>
          <w:szCs w:val="26"/>
        </w:rPr>
      </w:pPr>
      <w:r w:rsidRPr="001B2FDE">
        <w:rPr>
          <w:sz w:val="26"/>
          <w:szCs w:val="26"/>
        </w:rPr>
        <w:t>EE:  Energy Efficiency</w:t>
      </w:r>
    </w:p>
    <w:p w:rsidR="00726645" w:rsidRDefault="00726645" w:rsidP="00375611">
      <w:pPr>
        <w:spacing w:line="360" w:lineRule="auto"/>
        <w:rPr>
          <w:sz w:val="26"/>
          <w:szCs w:val="26"/>
        </w:rPr>
      </w:pPr>
      <w:r w:rsidRPr="001B2FDE">
        <w:rPr>
          <w:sz w:val="26"/>
          <w:szCs w:val="26"/>
        </w:rPr>
        <w:t>EE&amp;C:  Energy Efficiency and Conservation</w:t>
      </w:r>
    </w:p>
    <w:p w:rsidR="004760C9" w:rsidRPr="001B2FDE" w:rsidRDefault="004760C9" w:rsidP="00375611">
      <w:pPr>
        <w:spacing w:line="360" w:lineRule="auto"/>
        <w:rPr>
          <w:sz w:val="26"/>
          <w:szCs w:val="26"/>
        </w:rPr>
      </w:pPr>
      <w:r>
        <w:rPr>
          <w:sz w:val="26"/>
          <w:szCs w:val="26"/>
        </w:rPr>
        <w:t>EIA: Energy Information Administration</w:t>
      </w:r>
    </w:p>
    <w:p w:rsidR="00726645" w:rsidRPr="001B2FDE" w:rsidRDefault="00726645" w:rsidP="00375611">
      <w:pPr>
        <w:spacing w:line="360" w:lineRule="auto"/>
        <w:rPr>
          <w:sz w:val="26"/>
          <w:szCs w:val="26"/>
        </w:rPr>
      </w:pPr>
      <w:r w:rsidRPr="001B2FDE">
        <w:rPr>
          <w:sz w:val="26"/>
          <w:szCs w:val="26"/>
        </w:rPr>
        <w:t>EM&amp;V:  Evaluation, Measurement, and Verification</w:t>
      </w:r>
    </w:p>
    <w:p w:rsidR="00726645" w:rsidRPr="001B2FDE" w:rsidRDefault="00726645" w:rsidP="00375611">
      <w:pPr>
        <w:spacing w:line="360" w:lineRule="auto"/>
        <w:rPr>
          <w:sz w:val="26"/>
          <w:szCs w:val="26"/>
        </w:rPr>
      </w:pPr>
      <w:r w:rsidRPr="001B2FDE">
        <w:rPr>
          <w:sz w:val="26"/>
          <w:szCs w:val="26"/>
        </w:rPr>
        <w:t>FSWG:  Fuel Switching Working Group</w:t>
      </w:r>
    </w:p>
    <w:p w:rsidR="00726645" w:rsidRPr="001B2FDE" w:rsidRDefault="00726645" w:rsidP="00375611">
      <w:pPr>
        <w:spacing w:line="360" w:lineRule="auto"/>
        <w:rPr>
          <w:sz w:val="26"/>
          <w:szCs w:val="26"/>
        </w:rPr>
      </w:pPr>
      <w:r w:rsidRPr="001B2FDE">
        <w:rPr>
          <w:sz w:val="26"/>
          <w:szCs w:val="26"/>
        </w:rPr>
        <w:t>NPV:  Net Present Value</w:t>
      </w:r>
    </w:p>
    <w:p w:rsidR="00726645" w:rsidRDefault="00726645" w:rsidP="00375611">
      <w:pPr>
        <w:spacing w:line="360" w:lineRule="auto"/>
        <w:rPr>
          <w:sz w:val="26"/>
          <w:szCs w:val="26"/>
        </w:rPr>
      </w:pPr>
      <w:r w:rsidRPr="001B2FDE">
        <w:rPr>
          <w:sz w:val="26"/>
          <w:szCs w:val="26"/>
        </w:rPr>
        <w:t>NTG:  Net-to-Gross</w:t>
      </w:r>
    </w:p>
    <w:p w:rsidR="00695B56" w:rsidRDefault="002122CB" w:rsidP="00375611">
      <w:pPr>
        <w:spacing w:line="360" w:lineRule="auto"/>
        <w:rPr>
          <w:sz w:val="26"/>
          <w:szCs w:val="26"/>
        </w:rPr>
      </w:pPr>
      <w:r>
        <w:rPr>
          <w:sz w:val="26"/>
          <w:szCs w:val="26"/>
        </w:rPr>
        <w:t xml:space="preserve">Phase I: Act 129 from June 1, 2009 through May 31, 2013 </w:t>
      </w:r>
    </w:p>
    <w:p w:rsidR="002122CB" w:rsidRPr="001B2FDE" w:rsidRDefault="002122CB" w:rsidP="00375611">
      <w:pPr>
        <w:spacing w:line="360" w:lineRule="auto"/>
        <w:rPr>
          <w:sz w:val="26"/>
          <w:szCs w:val="26"/>
        </w:rPr>
      </w:pPr>
      <w:r>
        <w:rPr>
          <w:sz w:val="26"/>
          <w:szCs w:val="26"/>
        </w:rPr>
        <w:t>Phase II:  Act 129 from June 1, 2013 through May 31, 2016</w:t>
      </w:r>
    </w:p>
    <w:p w:rsidR="00726645" w:rsidRPr="001B2FDE" w:rsidRDefault="00726645" w:rsidP="00375611">
      <w:pPr>
        <w:spacing w:line="360" w:lineRule="auto"/>
        <w:rPr>
          <w:sz w:val="26"/>
          <w:szCs w:val="26"/>
        </w:rPr>
      </w:pPr>
      <w:r w:rsidRPr="001B2FDE">
        <w:rPr>
          <w:sz w:val="26"/>
          <w:szCs w:val="26"/>
        </w:rPr>
        <w:t xml:space="preserve">PJM:  The regional transmission organization (RTO) covering, </w:t>
      </w:r>
      <w:r w:rsidRPr="001B2FDE">
        <w:rPr>
          <w:i/>
          <w:sz w:val="26"/>
          <w:szCs w:val="26"/>
        </w:rPr>
        <w:t>inter alia</w:t>
      </w:r>
      <w:r w:rsidRPr="001B2FDE">
        <w:rPr>
          <w:sz w:val="26"/>
          <w:szCs w:val="26"/>
        </w:rPr>
        <w:t>, Pennsylvania</w:t>
      </w:r>
    </w:p>
    <w:p w:rsidR="00726645" w:rsidRPr="001B2FDE" w:rsidRDefault="00726645" w:rsidP="00375611">
      <w:pPr>
        <w:spacing w:line="360" w:lineRule="auto"/>
        <w:rPr>
          <w:sz w:val="26"/>
          <w:szCs w:val="26"/>
        </w:rPr>
      </w:pPr>
      <w:r w:rsidRPr="001B2FDE">
        <w:rPr>
          <w:sz w:val="26"/>
          <w:szCs w:val="26"/>
        </w:rPr>
        <w:t>PUC:  Public Utility Commission</w:t>
      </w:r>
    </w:p>
    <w:p w:rsidR="00726645" w:rsidRPr="001B2FDE" w:rsidRDefault="00726645" w:rsidP="00375611">
      <w:pPr>
        <w:spacing w:line="360" w:lineRule="auto"/>
        <w:rPr>
          <w:sz w:val="26"/>
          <w:szCs w:val="26"/>
        </w:rPr>
      </w:pPr>
      <w:r w:rsidRPr="001B2FDE">
        <w:rPr>
          <w:sz w:val="26"/>
          <w:szCs w:val="26"/>
        </w:rPr>
        <w:t>RTO:  Regional Transmission Organization</w:t>
      </w:r>
    </w:p>
    <w:p w:rsidR="00726645" w:rsidRPr="001B2FDE" w:rsidRDefault="00726645" w:rsidP="00375611">
      <w:pPr>
        <w:spacing w:line="360" w:lineRule="auto"/>
        <w:rPr>
          <w:sz w:val="26"/>
          <w:szCs w:val="26"/>
        </w:rPr>
      </w:pPr>
      <w:r w:rsidRPr="001B2FDE">
        <w:rPr>
          <w:sz w:val="26"/>
          <w:szCs w:val="26"/>
        </w:rPr>
        <w:t>SWE:  Statewide Evaluator</w:t>
      </w:r>
    </w:p>
    <w:p w:rsidR="00726645" w:rsidRPr="001B2FDE" w:rsidRDefault="00726645" w:rsidP="00375611">
      <w:pPr>
        <w:spacing w:line="360" w:lineRule="auto"/>
        <w:rPr>
          <w:sz w:val="26"/>
          <w:szCs w:val="26"/>
        </w:rPr>
      </w:pPr>
      <w:r w:rsidRPr="001B2FDE">
        <w:rPr>
          <w:sz w:val="26"/>
          <w:szCs w:val="26"/>
        </w:rPr>
        <w:t>TRC:  Total Resource Cost</w:t>
      </w:r>
    </w:p>
    <w:p w:rsidR="00726645" w:rsidRDefault="00726645"/>
    <w:sectPr w:rsidR="00726645" w:rsidSect="002566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932" w:rsidRDefault="00153932" w:rsidP="00F42BB9">
      <w:r>
        <w:separator/>
      </w:r>
    </w:p>
  </w:endnote>
  <w:endnote w:type="continuationSeparator" w:id="0">
    <w:p w:rsidR="00153932" w:rsidRDefault="00153932" w:rsidP="00F4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275939"/>
      <w:docPartObj>
        <w:docPartGallery w:val="Page Numbers (Bottom of Page)"/>
        <w:docPartUnique/>
      </w:docPartObj>
    </w:sdtPr>
    <w:sdtEndPr>
      <w:rPr>
        <w:noProof/>
      </w:rPr>
    </w:sdtEndPr>
    <w:sdtContent>
      <w:p w:rsidR="00A75905" w:rsidRPr="00256620" w:rsidRDefault="00A75905" w:rsidP="00256620">
        <w:pPr>
          <w:pStyle w:val="Footer"/>
          <w:jc w:val="center"/>
        </w:pPr>
        <w:r>
          <w:fldChar w:fldCharType="begin"/>
        </w:r>
        <w:r>
          <w:instrText xml:space="preserve"> PAGE   \* MERGEFORMAT </w:instrText>
        </w:r>
        <w:r>
          <w:fldChar w:fldCharType="separate"/>
        </w:r>
        <w:r w:rsidR="0072139A">
          <w:rPr>
            <w:noProof/>
          </w:rPr>
          <w:t>31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270687"/>
      <w:docPartObj>
        <w:docPartGallery w:val="Page Numbers (Bottom of Page)"/>
        <w:docPartUnique/>
      </w:docPartObj>
    </w:sdtPr>
    <w:sdtEndPr>
      <w:rPr>
        <w:noProof/>
      </w:rPr>
    </w:sdtEndPr>
    <w:sdtContent>
      <w:p w:rsidR="00A75905" w:rsidRDefault="00A75905" w:rsidP="00256620">
        <w:pPr>
          <w:pStyle w:val="Footer"/>
          <w:jc w:val="center"/>
        </w:pPr>
        <w:r>
          <w:fldChar w:fldCharType="begin"/>
        </w:r>
        <w:r>
          <w:instrText xml:space="preserve"> PAGE   \* MERGEFORMAT </w:instrText>
        </w:r>
        <w:r>
          <w:fldChar w:fldCharType="separate"/>
        </w:r>
        <w:r w:rsidR="0072139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932" w:rsidRDefault="00153932" w:rsidP="00F42BB9">
      <w:r>
        <w:separator/>
      </w:r>
    </w:p>
  </w:footnote>
  <w:footnote w:type="continuationSeparator" w:id="0">
    <w:p w:rsidR="00153932" w:rsidRDefault="00153932" w:rsidP="00F42BB9">
      <w:r>
        <w:continuationSeparator/>
      </w:r>
    </w:p>
  </w:footnote>
  <w:footnote w:id="1">
    <w:p w:rsidR="00A75905" w:rsidRPr="00571FE3" w:rsidRDefault="00A75905" w:rsidP="00364B12">
      <w:pPr>
        <w:pStyle w:val="FootnoteText"/>
        <w:rPr>
          <w:sz w:val="22"/>
          <w:szCs w:val="22"/>
        </w:rPr>
      </w:pPr>
      <w:r w:rsidRPr="00571FE3">
        <w:rPr>
          <w:rStyle w:val="FootnoteReference"/>
          <w:sz w:val="22"/>
          <w:szCs w:val="22"/>
        </w:rPr>
        <w:footnoteRef/>
      </w:r>
      <w:r w:rsidRPr="00571FE3">
        <w:rPr>
          <w:sz w:val="22"/>
          <w:szCs w:val="22"/>
        </w:rPr>
        <w:t xml:space="preserve">  </w:t>
      </w:r>
      <w:r w:rsidRPr="00571FE3">
        <w:rPr>
          <w:i/>
          <w:sz w:val="22"/>
          <w:szCs w:val="22"/>
        </w:rPr>
        <w:t>See</w:t>
      </w:r>
      <w:r w:rsidRPr="00571FE3">
        <w:rPr>
          <w:sz w:val="22"/>
          <w:szCs w:val="22"/>
        </w:rPr>
        <w:t xml:space="preserve"> Docket No. M-2009-2108601 for an extended history of Phase </w:t>
      </w:r>
      <w:r>
        <w:rPr>
          <w:sz w:val="22"/>
          <w:szCs w:val="22"/>
        </w:rPr>
        <w:t>I.</w:t>
      </w:r>
      <w:r w:rsidRPr="00571FE3">
        <w:rPr>
          <w:sz w:val="22"/>
          <w:szCs w:val="22"/>
        </w:rPr>
        <w:t xml:space="preserve"> </w:t>
      </w:r>
    </w:p>
  </w:footnote>
  <w:footnote w:id="2">
    <w:p w:rsidR="00A75905" w:rsidRDefault="00A75905" w:rsidP="008779C4">
      <w:pPr>
        <w:pStyle w:val="FootnoteText"/>
      </w:pPr>
      <w:r w:rsidRPr="0092760C">
        <w:rPr>
          <w:rStyle w:val="FootnoteReference"/>
          <w:sz w:val="22"/>
          <w:szCs w:val="22"/>
        </w:rPr>
        <w:footnoteRef/>
      </w:r>
      <w:r w:rsidRPr="0092760C">
        <w:rPr>
          <w:sz w:val="22"/>
          <w:szCs w:val="22"/>
        </w:rPr>
        <w:t xml:space="preserve">  Section 2806.1(c)(3) provides that, based on a review to be concluded by November 30, 2013, if “the commission determines that the benefits of the program exceed the costs, the commission shall adopt additional incremental reductions in consumption.”  Section 2806.1(d)(2) provides that, based on a review to be concluded by November 30, 2013, if “the commission determines that the benefits of the plans exceed the costs, the commission shall set additional incremental requirements for reduction in peak demand for the 100 hours of greatest demand or an alternative reduction approved by the </w:t>
      </w:r>
      <w:r>
        <w:rPr>
          <w:sz w:val="22"/>
          <w:szCs w:val="22"/>
        </w:rPr>
        <w:t>C</w:t>
      </w:r>
      <w:r w:rsidRPr="0092760C">
        <w:rPr>
          <w:sz w:val="22"/>
          <w:szCs w:val="22"/>
        </w:rPr>
        <w:t>ommission.”</w:t>
      </w:r>
    </w:p>
  </w:footnote>
  <w:footnote w:id="3">
    <w:p w:rsidR="00A75905" w:rsidRDefault="00A75905" w:rsidP="00353B8C">
      <w:pPr>
        <w:pStyle w:val="FootnoteText"/>
      </w:pPr>
      <w:r>
        <w:rPr>
          <w:rStyle w:val="FootnoteReference"/>
        </w:rPr>
        <w:footnoteRef/>
      </w:r>
      <w:r>
        <w:t xml:space="preserve"> </w:t>
      </w:r>
      <w:r w:rsidRPr="0092760C">
        <w:rPr>
          <w:i/>
          <w:sz w:val="22"/>
          <w:szCs w:val="22"/>
        </w:rPr>
        <w:t>The California Standard Practice Manual – Economic Analysis of Demand</w:t>
      </w:r>
      <w:r w:rsidRPr="0092760C">
        <w:rPr>
          <w:i/>
          <w:sz w:val="22"/>
          <w:szCs w:val="22"/>
        </w:rPr>
        <w:noBreakHyphen/>
        <w:t>Side Programs and Projects</w:t>
      </w:r>
      <w:r w:rsidRPr="0092760C">
        <w:rPr>
          <w:sz w:val="22"/>
          <w:szCs w:val="22"/>
        </w:rPr>
        <w:t xml:space="preserve">, July 2002, p. 18.  </w:t>
      </w:r>
      <w:r w:rsidRPr="0092760C">
        <w:rPr>
          <w:i/>
          <w:color w:val="000000"/>
          <w:sz w:val="22"/>
          <w:szCs w:val="22"/>
        </w:rPr>
        <w:t>See</w:t>
      </w:r>
      <w:r w:rsidRPr="0092760C">
        <w:rPr>
          <w:color w:val="1F497D"/>
          <w:sz w:val="22"/>
          <w:szCs w:val="22"/>
        </w:rPr>
        <w:t xml:space="preserve"> </w:t>
      </w:r>
      <w:hyperlink r:id="rId1" w:history="1">
        <w:r w:rsidRPr="0092760C">
          <w:rPr>
            <w:rStyle w:val="Hyperlink"/>
            <w:sz w:val="22"/>
            <w:szCs w:val="22"/>
          </w:rPr>
          <w:t>http://www.calmac.org/events/SPM_9_20_02.pdf</w:t>
        </w:r>
      </w:hyperlink>
      <w:r w:rsidRPr="0092760C">
        <w:rPr>
          <w:color w:val="1F497D"/>
          <w:sz w:val="22"/>
          <w:szCs w:val="22"/>
        </w:rPr>
        <w:t>.</w:t>
      </w:r>
    </w:p>
  </w:footnote>
  <w:footnote w:id="4">
    <w:p w:rsidR="00A75905" w:rsidRDefault="00A75905" w:rsidP="00353B8C">
      <w:pPr>
        <w:pStyle w:val="FootnoteText"/>
      </w:pPr>
      <w:r w:rsidRPr="00AF46D2">
        <w:rPr>
          <w:rStyle w:val="FootnoteReference"/>
          <w:sz w:val="22"/>
          <w:szCs w:val="22"/>
        </w:rPr>
        <w:footnoteRef/>
      </w:r>
      <w:r w:rsidRPr="00AF46D2">
        <w:rPr>
          <w:sz w:val="22"/>
          <w:szCs w:val="22"/>
        </w:rPr>
        <w:t xml:space="preserve">  </w:t>
      </w:r>
      <w:r>
        <w:rPr>
          <w:sz w:val="22"/>
          <w:szCs w:val="22"/>
        </w:rPr>
        <w:t>The Commission</w:t>
      </w:r>
      <w:r w:rsidRPr="00AF46D2">
        <w:rPr>
          <w:sz w:val="22"/>
          <w:szCs w:val="22"/>
        </w:rPr>
        <w:t xml:space="preserve"> will look at avoided supply costs such as the reduction in forecasted zonal wholesale electric generation prices, ancillary services, losses, generation capacity, transmission capacity, and distribution capacity.</w:t>
      </w:r>
    </w:p>
  </w:footnote>
  <w:footnote w:id="5">
    <w:p w:rsidR="00A75905" w:rsidRDefault="00A75905" w:rsidP="00353B8C">
      <w:pPr>
        <w:pStyle w:val="FootnoteText"/>
      </w:pPr>
      <w:r w:rsidRPr="00AF46D2">
        <w:rPr>
          <w:rStyle w:val="FootnoteReference"/>
          <w:sz w:val="22"/>
          <w:szCs w:val="22"/>
        </w:rPr>
        <w:footnoteRef/>
      </w:r>
      <w:r w:rsidRPr="00AF46D2">
        <w:rPr>
          <w:sz w:val="22"/>
          <w:szCs w:val="22"/>
        </w:rPr>
        <w:t xml:space="preserve">  In this regard, we hereby clarify that the TRC test will use the </w:t>
      </w:r>
      <w:r w:rsidRPr="00AF46D2">
        <w:rPr>
          <w:i/>
          <w:sz w:val="22"/>
          <w:szCs w:val="22"/>
        </w:rPr>
        <w:t>incremental</w:t>
      </w:r>
      <w:r w:rsidRPr="00AF46D2">
        <w:rPr>
          <w:sz w:val="22"/>
          <w:szCs w:val="22"/>
        </w:rPr>
        <w:t xml:space="preserve"> costs of services and equipment.  This matter is discussed in more detail below in the segment addressing incentive payments from an EDC.  </w:t>
      </w:r>
    </w:p>
  </w:footnote>
  <w:footnote w:id="6">
    <w:p w:rsidR="00A75905" w:rsidRDefault="00A75905" w:rsidP="00353B8C">
      <w:pPr>
        <w:pStyle w:val="FootnoteText"/>
      </w:pPr>
      <w:r w:rsidRPr="00AF46D2">
        <w:rPr>
          <w:rStyle w:val="FootnoteReference"/>
          <w:sz w:val="22"/>
          <w:szCs w:val="22"/>
        </w:rPr>
        <w:footnoteRef/>
      </w:r>
      <w:r w:rsidRPr="00AF46D2">
        <w:rPr>
          <w:sz w:val="22"/>
          <w:szCs w:val="22"/>
        </w:rPr>
        <w:t xml:space="preserve">  </w:t>
      </w:r>
      <w:r w:rsidRPr="00AF46D2">
        <w:rPr>
          <w:i/>
          <w:sz w:val="22"/>
          <w:szCs w:val="22"/>
        </w:rPr>
        <w:t>See</w:t>
      </w:r>
      <w:r w:rsidRPr="00AF46D2">
        <w:rPr>
          <w:sz w:val="22"/>
          <w:szCs w:val="22"/>
        </w:rPr>
        <w:t xml:space="preserve"> the Appendix of this order.  </w:t>
      </w:r>
      <w:r w:rsidRPr="00AF46D2">
        <w:rPr>
          <w:i/>
          <w:sz w:val="22"/>
          <w:szCs w:val="22"/>
        </w:rPr>
        <w:t>See</w:t>
      </w:r>
      <w:r w:rsidRPr="00AF46D2">
        <w:rPr>
          <w:sz w:val="22"/>
          <w:szCs w:val="22"/>
        </w:rPr>
        <w:t xml:space="preserve">, </w:t>
      </w:r>
      <w:r w:rsidRPr="00AF46D2">
        <w:rPr>
          <w:i/>
          <w:sz w:val="22"/>
          <w:szCs w:val="22"/>
        </w:rPr>
        <w:t>also</w:t>
      </w:r>
      <w:r w:rsidRPr="00AF46D2">
        <w:rPr>
          <w:sz w:val="22"/>
          <w:szCs w:val="22"/>
        </w:rPr>
        <w:t xml:space="preserve">, </w:t>
      </w:r>
      <w:r w:rsidRPr="00AF46D2">
        <w:rPr>
          <w:i/>
          <w:sz w:val="22"/>
          <w:szCs w:val="22"/>
        </w:rPr>
        <w:t>California Manual</w:t>
      </w:r>
      <w:r w:rsidRPr="00AF46D2">
        <w:rPr>
          <w:sz w:val="22"/>
          <w:szCs w:val="22"/>
        </w:rPr>
        <w:t xml:space="preserve"> (at 18</w:t>
      </w:r>
      <w:r w:rsidRPr="00AF46D2">
        <w:rPr>
          <w:sz w:val="22"/>
          <w:szCs w:val="22"/>
        </w:rPr>
        <w:noBreakHyphen/>
        <w:t xml:space="preserve">19) for the underlying methodology to calculate the NPV and B/C ratio of the TRC test.  </w:t>
      </w:r>
    </w:p>
  </w:footnote>
  <w:footnote w:id="7">
    <w:p w:rsidR="00A75905" w:rsidRPr="00082F3E" w:rsidRDefault="00A75905" w:rsidP="0046014B">
      <w:pPr>
        <w:pStyle w:val="FootnoteText"/>
        <w:rPr>
          <w:sz w:val="22"/>
          <w:szCs w:val="22"/>
        </w:rPr>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2009 PA T</w:t>
      </w:r>
      <w:r>
        <w:rPr>
          <w:i/>
          <w:sz w:val="22"/>
          <w:szCs w:val="22"/>
        </w:rPr>
        <w:t>R</w:t>
      </w:r>
      <w:r w:rsidRPr="001F355E">
        <w:rPr>
          <w:i/>
          <w:sz w:val="22"/>
          <w:szCs w:val="22"/>
        </w:rPr>
        <w:t xml:space="preserve">C Test Order, </w:t>
      </w:r>
      <w:r w:rsidRPr="001F355E">
        <w:rPr>
          <w:sz w:val="22"/>
          <w:szCs w:val="22"/>
        </w:rPr>
        <w:t xml:space="preserve">Docket No. M-2009-2108601 </w:t>
      </w:r>
      <w:r>
        <w:rPr>
          <w:sz w:val="22"/>
          <w:szCs w:val="22"/>
        </w:rPr>
        <w:t>(</w:t>
      </w:r>
      <w:r w:rsidRPr="001F355E">
        <w:rPr>
          <w:sz w:val="22"/>
          <w:szCs w:val="22"/>
        </w:rPr>
        <w:t>June 23, 2009</w:t>
      </w:r>
      <w:r>
        <w:rPr>
          <w:sz w:val="22"/>
          <w:szCs w:val="22"/>
        </w:rPr>
        <w:t>), page 5.</w:t>
      </w:r>
      <w:r w:rsidRPr="00082F3E">
        <w:rPr>
          <w:sz w:val="22"/>
          <w:szCs w:val="22"/>
        </w:rPr>
        <w:t xml:space="preserve"> </w:t>
      </w:r>
    </w:p>
  </w:footnote>
  <w:footnote w:id="8">
    <w:p w:rsidR="00A75905" w:rsidRPr="0046014B" w:rsidRDefault="00A75905">
      <w:pPr>
        <w:pStyle w:val="FootnoteText"/>
        <w:rPr>
          <w:sz w:val="22"/>
          <w:szCs w:val="22"/>
        </w:rPr>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2009 PA T</w:t>
      </w:r>
      <w:r>
        <w:rPr>
          <w:i/>
          <w:sz w:val="22"/>
          <w:szCs w:val="22"/>
        </w:rPr>
        <w:t>R</w:t>
      </w:r>
      <w:r w:rsidRPr="001F355E">
        <w:rPr>
          <w:i/>
          <w:sz w:val="22"/>
          <w:szCs w:val="22"/>
        </w:rPr>
        <w:t>C Test Order</w:t>
      </w:r>
      <w:r>
        <w:rPr>
          <w:sz w:val="22"/>
          <w:szCs w:val="22"/>
        </w:rPr>
        <w:t>, pages 5-6.</w:t>
      </w:r>
    </w:p>
  </w:footnote>
  <w:footnote w:id="9">
    <w:p w:rsidR="00A75905" w:rsidRPr="0046014B" w:rsidRDefault="00A75905">
      <w:pPr>
        <w:pStyle w:val="FootnoteText"/>
        <w:rPr>
          <w:i/>
        </w:rPr>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2009 PA T</w:t>
      </w:r>
      <w:r>
        <w:rPr>
          <w:i/>
          <w:sz w:val="22"/>
          <w:szCs w:val="22"/>
        </w:rPr>
        <w:t>R</w:t>
      </w:r>
      <w:r w:rsidRPr="001F355E">
        <w:rPr>
          <w:i/>
          <w:sz w:val="22"/>
          <w:szCs w:val="22"/>
        </w:rPr>
        <w:t>C Test Order</w:t>
      </w:r>
      <w:r>
        <w:rPr>
          <w:sz w:val="22"/>
          <w:szCs w:val="22"/>
        </w:rPr>
        <w:t>, pages 8-9.</w:t>
      </w:r>
      <w:r w:rsidRPr="00082F3E">
        <w:rPr>
          <w:sz w:val="22"/>
          <w:szCs w:val="22"/>
        </w:rPr>
        <w:t xml:space="preserve"> </w:t>
      </w:r>
    </w:p>
  </w:footnote>
  <w:footnote w:id="10">
    <w:p w:rsidR="00A75905" w:rsidRPr="00386AC4" w:rsidRDefault="00A75905" w:rsidP="00304F82">
      <w:pPr>
        <w:rPr>
          <w:i/>
        </w:rPr>
      </w:pPr>
      <w:r w:rsidRPr="00CC3778">
        <w:rPr>
          <w:rStyle w:val="FootnoteReference"/>
          <w:sz w:val="22"/>
          <w:szCs w:val="22"/>
        </w:rPr>
        <w:footnoteRef/>
      </w:r>
      <w:r w:rsidRPr="00CC3778">
        <w:rPr>
          <w:sz w:val="22"/>
          <w:szCs w:val="22"/>
        </w:rPr>
        <w:t xml:space="preserve"> </w:t>
      </w:r>
      <w:r w:rsidRPr="00386AC4">
        <w:rPr>
          <w:i/>
          <w:sz w:val="22"/>
          <w:szCs w:val="22"/>
        </w:rPr>
        <w:t>See</w:t>
      </w:r>
      <w:r>
        <w:rPr>
          <w:i/>
          <w:sz w:val="22"/>
          <w:szCs w:val="22"/>
        </w:rPr>
        <w:t xml:space="preserve"> </w:t>
      </w:r>
      <w:r w:rsidRPr="00386AC4">
        <w:rPr>
          <w:i/>
          <w:sz w:val="22"/>
          <w:szCs w:val="22"/>
        </w:rPr>
        <w:t>Petition of Duquesne Light Company for Approval of its Energy Efficiency and Conservation and Demand Response Plan, Approval of its Recovery of its Costs through a Reconcilable Adjustment Clause and Approval of Matters Relating to the Energy Efficiency and Conservation Plan Order</w:t>
      </w:r>
      <w:r>
        <w:rPr>
          <w:sz w:val="22"/>
          <w:szCs w:val="22"/>
        </w:rPr>
        <w:t>, Docket No. M-2009-2093217 (October 27, 2009), pages 100-101.</w:t>
      </w:r>
    </w:p>
  </w:footnote>
  <w:footnote w:id="11">
    <w:p w:rsidR="00A75905" w:rsidRDefault="00A75905">
      <w:pPr>
        <w:pStyle w:val="FootnoteText"/>
      </w:pPr>
      <w:r>
        <w:rPr>
          <w:rStyle w:val="FootnoteReference"/>
        </w:rPr>
        <w:footnoteRef/>
      </w:r>
      <w:r>
        <w:t xml:space="preserve"> </w:t>
      </w:r>
      <w:r w:rsidRPr="00CC3778">
        <w:rPr>
          <w:i/>
          <w:sz w:val="22"/>
          <w:szCs w:val="22"/>
        </w:rPr>
        <w:t>See</w:t>
      </w:r>
      <w:r>
        <w:rPr>
          <w:i/>
          <w:sz w:val="22"/>
          <w:szCs w:val="22"/>
        </w:rPr>
        <w:t xml:space="preserve"> Petition of PECO Energy Company for Approval of its Act 129 Energy Efficiency and Conservation Plan, </w:t>
      </w:r>
      <w:r>
        <w:rPr>
          <w:sz w:val="22"/>
          <w:szCs w:val="22"/>
        </w:rPr>
        <w:t>Docket No. M-2009-2093215 (October 28, 2009), p. 51.</w:t>
      </w:r>
    </w:p>
  </w:footnote>
  <w:footnote w:id="12">
    <w:p w:rsidR="00A75905" w:rsidRPr="0046014B" w:rsidRDefault="00A75905" w:rsidP="0046014B">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2009 PA T</w:t>
      </w:r>
      <w:r>
        <w:rPr>
          <w:i/>
          <w:sz w:val="22"/>
          <w:szCs w:val="22"/>
        </w:rPr>
        <w:t>R</w:t>
      </w:r>
      <w:r w:rsidRPr="001F355E">
        <w:rPr>
          <w:i/>
          <w:sz w:val="22"/>
          <w:szCs w:val="22"/>
        </w:rPr>
        <w:t>C Test Order</w:t>
      </w:r>
      <w:r>
        <w:rPr>
          <w:sz w:val="22"/>
          <w:szCs w:val="22"/>
        </w:rPr>
        <w:t>, pages 8-9.</w:t>
      </w:r>
    </w:p>
  </w:footnote>
  <w:footnote w:id="13">
    <w:p w:rsidR="00A75905" w:rsidRDefault="00A75905">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2011 PA T</w:t>
      </w:r>
      <w:r>
        <w:rPr>
          <w:i/>
          <w:sz w:val="22"/>
          <w:szCs w:val="22"/>
        </w:rPr>
        <w:t>R</w:t>
      </w:r>
      <w:r w:rsidRPr="001F355E">
        <w:rPr>
          <w:i/>
          <w:sz w:val="22"/>
          <w:szCs w:val="22"/>
        </w:rPr>
        <w:t xml:space="preserve">C Test Order, </w:t>
      </w:r>
      <w:r w:rsidRPr="001F355E">
        <w:rPr>
          <w:sz w:val="22"/>
          <w:szCs w:val="22"/>
        </w:rPr>
        <w:t>Docket</w:t>
      </w:r>
      <w:r w:rsidRPr="00082F3E">
        <w:rPr>
          <w:sz w:val="22"/>
          <w:szCs w:val="22"/>
        </w:rPr>
        <w:t xml:space="preserve"> No. M-2009-2108601 </w:t>
      </w:r>
      <w:r>
        <w:rPr>
          <w:sz w:val="22"/>
          <w:szCs w:val="22"/>
        </w:rPr>
        <w:t>(August 2, 2011), pages 48-49.</w:t>
      </w:r>
    </w:p>
  </w:footnote>
  <w:footnote w:id="14">
    <w:p w:rsidR="00A75905" w:rsidRDefault="00A75905" w:rsidP="00B270A5">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2011 PA T</w:t>
      </w:r>
      <w:r>
        <w:rPr>
          <w:i/>
          <w:sz w:val="22"/>
          <w:szCs w:val="22"/>
        </w:rPr>
        <w:t>R</w:t>
      </w:r>
      <w:r w:rsidRPr="001F355E">
        <w:rPr>
          <w:i/>
          <w:sz w:val="22"/>
          <w:szCs w:val="22"/>
        </w:rPr>
        <w:t>C Test Order</w:t>
      </w:r>
      <w:r>
        <w:rPr>
          <w:sz w:val="22"/>
          <w:szCs w:val="22"/>
        </w:rPr>
        <w:t>, pages 33-34.</w:t>
      </w:r>
    </w:p>
    <w:p w:rsidR="00A75905" w:rsidRDefault="00A75905">
      <w:pPr>
        <w:pStyle w:val="FootnoteText"/>
      </w:pPr>
    </w:p>
  </w:footnote>
  <w:footnote w:id="15">
    <w:p w:rsidR="00A75905" w:rsidRDefault="00A75905" w:rsidP="00334081">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2009 PA T</w:t>
      </w:r>
      <w:r>
        <w:rPr>
          <w:i/>
          <w:sz w:val="22"/>
          <w:szCs w:val="22"/>
        </w:rPr>
        <w:t>R</w:t>
      </w:r>
      <w:r w:rsidRPr="001F355E">
        <w:rPr>
          <w:i/>
          <w:sz w:val="22"/>
          <w:szCs w:val="22"/>
        </w:rPr>
        <w:t>C Test Order</w:t>
      </w:r>
      <w:r>
        <w:rPr>
          <w:sz w:val="22"/>
          <w:szCs w:val="22"/>
        </w:rPr>
        <w:t>, pages 19-20.</w:t>
      </w:r>
    </w:p>
  </w:footnote>
  <w:footnote w:id="16">
    <w:p w:rsidR="00A75905" w:rsidRDefault="00A75905" w:rsidP="00334081">
      <w:pPr>
        <w:pStyle w:val="ListParagraph"/>
        <w:spacing w:after="0" w:line="240" w:lineRule="auto"/>
        <w:ind w:left="0"/>
      </w:pPr>
      <w:r>
        <w:rPr>
          <w:rStyle w:val="FootnoteReference"/>
        </w:rPr>
        <w:footnoteRef/>
      </w:r>
      <w:r>
        <w:t xml:space="preserve"> </w:t>
      </w:r>
      <w:r w:rsidRPr="00E0758A">
        <w:rPr>
          <w:rFonts w:ascii="Times New Roman" w:hAnsi="Times New Roman"/>
        </w:rPr>
        <w:t xml:space="preserve">Any savings manifested up to 15 years from the start of a program measure should be included in the TRC calculations regardless of when the program measure was installed.  Rejecting such a proposal would allow EDCs to include only benefits manifested during the 15-year period starting at the beginning of Act 129 plans.  Such a restriction would burden EDCs to provide cost-effective EE&amp;C programs in the latter years of Act 129 plans, as the passage of time would inevitably restrict allowable TRC benefits.  </w:t>
      </w:r>
    </w:p>
  </w:footnote>
  <w:footnote w:id="17">
    <w:p w:rsidR="00A75905" w:rsidRDefault="00A75905">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w:t>
      </w:r>
      <w:r>
        <w:rPr>
          <w:i/>
          <w:sz w:val="22"/>
          <w:szCs w:val="22"/>
        </w:rPr>
        <w:t>11</w:t>
      </w:r>
      <w:r w:rsidRPr="001F355E">
        <w:rPr>
          <w:i/>
          <w:sz w:val="22"/>
          <w:szCs w:val="22"/>
        </w:rPr>
        <w:t xml:space="preserve"> PA T</w:t>
      </w:r>
      <w:r>
        <w:rPr>
          <w:i/>
          <w:sz w:val="22"/>
          <w:szCs w:val="22"/>
        </w:rPr>
        <w:t>R</w:t>
      </w:r>
      <w:r w:rsidRPr="001F355E">
        <w:rPr>
          <w:i/>
          <w:sz w:val="22"/>
          <w:szCs w:val="22"/>
        </w:rPr>
        <w:t>C Test Order</w:t>
      </w:r>
      <w:r>
        <w:rPr>
          <w:sz w:val="22"/>
          <w:szCs w:val="22"/>
        </w:rPr>
        <w:t>, pages 35-36.</w:t>
      </w:r>
    </w:p>
  </w:footnote>
  <w:footnote w:id="18">
    <w:p w:rsidR="00A75905" w:rsidRPr="00986B2B" w:rsidRDefault="00A75905">
      <w:pPr>
        <w:pStyle w:val="FootnoteText"/>
        <w:rPr>
          <w:i/>
        </w:rPr>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w:t>
      </w:r>
      <w:r>
        <w:rPr>
          <w:i/>
          <w:sz w:val="22"/>
          <w:szCs w:val="22"/>
        </w:rPr>
        <w:t>11</w:t>
      </w:r>
      <w:r w:rsidRPr="001F355E">
        <w:rPr>
          <w:i/>
          <w:sz w:val="22"/>
          <w:szCs w:val="22"/>
        </w:rPr>
        <w:t xml:space="preserve"> PA T</w:t>
      </w:r>
      <w:r>
        <w:rPr>
          <w:i/>
          <w:sz w:val="22"/>
          <w:szCs w:val="22"/>
        </w:rPr>
        <w:t>R</w:t>
      </w:r>
      <w:r w:rsidRPr="001F355E">
        <w:rPr>
          <w:i/>
          <w:sz w:val="22"/>
          <w:szCs w:val="22"/>
        </w:rPr>
        <w:t>C Test Order</w:t>
      </w:r>
      <w:r>
        <w:rPr>
          <w:sz w:val="22"/>
          <w:szCs w:val="22"/>
        </w:rPr>
        <w:t>, page 36.</w:t>
      </w:r>
    </w:p>
  </w:footnote>
  <w:footnote w:id="19">
    <w:p w:rsidR="00A75905" w:rsidRPr="00FE7C75" w:rsidRDefault="00A75905">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2009 PA T</w:t>
      </w:r>
      <w:r>
        <w:rPr>
          <w:i/>
          <w:sz w:val="22"/>
          <w:szCs w:val="22"/>
        </w:rPr>
        <w:t>R</w:t>
      </w:r>
      <w:r w:rsidRPr="001F355E">
        <w:rPr>
          <w:i/>
          <w:sz w:val="22"/>
          <w:szCs w:val="22"/>
        </w:rPr>
        <w:t>C Test Order</w:t>
      </w:r>
      <w:r>
        <w:rPr>
          <w:sz w:val="22"/>
          <w:szCs w:val="22"/>
        </w:rPr>
        <w:t>, page 21.</w:t>
      </w:r>
    </w:p>
  </w:footnote>
  <w:footnote w:id="20">
    <w:p w:rsidR="00A75905" w:rsidRDefault="00A75905" w:rsidP="002E75FB">
      <w:pPr>
        <w:pStyle w:val="FootnoteText"/>
      </w:pPr>
      <w:r>
        <w:rPr>
          <w:rStyle w:val="FootnoteReference"/>
        </w:rPr>
        <w:footnoteRef/>
      </w:r>
      <w:r>
        <w:t xml:space="preserve">  </w:t>
      </w:r>
      <w:r w:rsidRPr="00AF46D2">
        <w:rPr>
          <w:sz w:val="22"/>
          <w:szCs w:val="22"/>
        </w:rPr>
        <w:t>The Alternative Energy Investment Act, 64 Pa.</w:t>
      </w:r>
      <w:r>
        <w:rPr>
          <w:sz w:val="22"/>
          <w:szCs w:val="22"/>
        </w:rPr>
        <w:t xml:space="preserve"> </w:t>
      </w:r>
      <w:r w:rsidRPr="00AF46D2">
        <w:rPr>
          <w:sz w:val="22"/>
          <w:szCs w:val="22"/>
        </w:rPr>
        <w:t xml:space="preserve">C.S. §§ 1515, </w:t>
      </w:r>
      <w:r w:rsidRPr="00AF46D2">
        <w:rPr>
          <w:i/>
          <w:sz w:val="22"/>
          <w:szCs w:val="22"/>
        </w:rPr>
        <w:t>et seq.</w:t>
      </w:r>
      <w:r>
        <w:rPr>
          <w:sz w:val="22"/>
          <w:szCs w:val="22"/>
        </w:rPr>
        <w:t>,</w:t>
      </w:r>
      <w:r w:rsidRPr="00AF46D2">
        <w:rPr>
          <w:sz w:val="22"/>
          <w:szCs w:val="22"/>
        </w:rPr>
        <w:t xml:space="preserve"> Act 1 of 2008 (Act 1)</w:t>
      </w:r>
      <w:r>
        <w:rPr>
          <w:sz w:val="22"/>
          <w:szCs w:val="22"/>
        </w:rPr>
        <w:t>,</w:t>
      </w:r>
      <w:r w:rsidRPr="00AF46D2">
        <w:rPr>
          <w:sz w:val="22"/>
          <w:szCs w:val="22"/>
        </w:rPr>
        <w:t xml:space="preserve"> provides incentives including grants, loans, rebates, and tax credits for individuals, businesses, nonprofit economic development organizations, and political subdivisions.  Incentives are provided for energy efficiency measures, energy conservation measures, and alternative energy generators.  Act 1 programs are administered by the Pennsylvania Department of Environmental Protection, the Pennsylvania Department of Economic Development, the Pennsylvania Treasury Department, and the Pennsylvania Housing and Finance Agency. </w:t>
      </w:r>
    </w:p>
  </w:footnote>
  <w:footnote w:id="21">
    <w:p w:rsidR="00A75905" w:rsidRDefault="00A75905">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2009 PA T</w:t>
      </w:r>
      <w:r>
        <w:rPr>
          <w:i/>
          <w:sz w:val="22"/>
          <w:szCs w:val="22"/>
        </w:rPr>
        <w:t>R</w:t>
      </w:r>
      <w:r w:rsidRPr="001F355E">
        <w:rPr>
          <w:i/>
          <w:sz w:val="22"/>
          <w:szCs w:val="22"/>
        </w:rPr>
        <w:t>C Test Order</w:t>
      </w:r>
      <w:r>
        <w:rPr>
          <w:sz w:val="22"/>
          <w:szCs w:val="22"/>
        </w:rPr>
        <w:t>, pages 21-25.</w:t>
      </w:r>
    </w:p>
  </w:footnote>
  <w:footnote w:id="22">
    <w:p w:rsidR="00A75905" w:rsidRDefault="00A75905" w:rsidP="002E75FB">
      <w:pPr>
        <w:pStyle w:val="FootnoteText"/>
      </w:pPr>
      <w:r>
        <w:rPr>
          <w:rStyle w:val="FootnoteReference"/>
        </w:rPr>
        <w:footnoteRef/>
      </w:r>
      <w:r>
        <w:t xml:space="preserve">  </w:t>
      </w:r>
      <w:r w:rsidRPr="00AF46D2">
        <w:rPr>
          <w:sz w:val="22"/>
          <w:szCs w:val="22"/>
        </w:rPr>
        <w:t>American Recovery and Reinvestment Act of 2009</w:t>
      </w:r>
      <w:r>
        <w:rPr>
          <w:sz w:val="22"/>
          <w:szCs w:val="22"/>
        </w:rPr>
        <w:t xml:space="preserve"> (ARRA)</w:t>
      </w:r>
      <w:r w:rsidRPr="00AF46D2">
        <w:rPr>
          <w:sz w:val="22"/>
          <w:szCs w:val="22"/>
        </w:rPr>
        <w:t xml:space="preserve">.  </w:t>
      </w:r>
      <w:r w:rsidRPr="00AF46D2">
        <w:rPr>
          <w:i/>
          <w:sz w:val="22"/>
          <w:szCs w:val="22"/>
        </w:rPr>
        <w:t>See</w:t>
      </w:r>
      <w:r w:rsidRPr="00AF46D2">
        <w:rPr>
          <w:sz w:val="22"/>
          <w:szCs w:val="22"/>
        </w:rPr>
        <w:t xml:space="preserve"> </w:t>
      </w:r>
      <w:hyperlink r:id="rId2" w:history="1">
        <w:r w:rsidRPr="00AF46D2">
          <w:rPr>
            <w:rStyle w:val="Hyperlink"/>
            <w:sz w:val="22"/>
            <w:szCs w:val="22"/>
          </w:rPr>
          <w:t>http://frwebgate.access.gpo.gov/cgi-bin/getdoc.cgi?dbname=111_cong_bills&amp;docid=f:h1enr.pdf</w:t>
        </w:r>
      </w:hyperlink>
      <w:r w:rsidRPr="00AF46D2">
        <w:rPr>
          <w:sz w:val="22"/>
          <w:szCs w:val="22"/>
        </w:rPr>
        <w:t>.</w:t>
      </w:r>
    </w:p>
  </w:footnote>
  <w:footnote w:id="23">
    <w:p w:rsidR="00A75905" w:rsidRDefault="00A75905">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2009 PA T</w:t>
      </w:r>
      <w:r>
        <w:rPr>
          <w:i/>
          <w:sz w:val="22"/>
          <w:szCs w:val="22"/>
        </w:rPr>
        <w:t>R</w:t>
      </w:r>
      <w:r w:rsidRPr="001F355E">
        <w:rPr>
          <w:i/>
          <w:sz w:val="22"/>
          <w:szCs w:val="22"/>
        </w:rPr>
        <w:t>C Test Order</w:t>
      </w:r>
      <w:r>
        <w:rPr>
          <w:sz w:val="22"/>
          <w:szCs w:val="22"/>
        </w:rPr>
        <w:t>, pages 24-25.</w:t>
      </w:r>
    </w:p>
  </w:footnote>
  <w:footnote w:id="24">
    <w:p w:rsidR="00A75905" w:rsidRPr="00FE7C75" w:rsidRDefault="00A75905">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2011 PA T</w:t>
      </w:r>
      <w:r>
        <w:rPr>
          <w:i/>
          <w:sz w:val="22"/>
          <w:szCs w:val="22"/>
        </w:rPr>
        <w:t>R</w:t>
      </w:r>
      <w:r w:rsidRPr="001F355E">
        <w:rPr>
          <w:i/>
          <w:sz w:val="22"/>
          <w:szCs w:val="22"/>
        </w:rPr>
        <w:t>C Test Order</w:t>
      </w:r>
      <w:r>
        <w:rPr>
          <w:sz w:val="22"/>
          <w:szCs w:val="22"/>
        </w:rPr>
        <w:t>, page 17.</w:t>
      </w:r>
    </w:p>
  </w:footnote>
  <w:footnote w:id="25">
    <w:p w:rsidR="00A75905" w:rsidRPr="000D5FA5" w:rsidRDefault="00A75905" w:rsidP="00C07C69">
      <w:pPr>
        <w:rPr>
          <w:sz w:val="22"/>
          <w:szCs w:val="22"/>
        </w:rPr>
      </w:pPr>
      <w:r w:rsidRPr="000D5FA5">
        <w:rPr>
          <w:rStyle w:val="FootnoteReference"/>
          <w:sz w:val="22"/>
          <w:szCs w:val="22"/>
        </w:rPr>
        <w:footnoteRef/>
      </w:r>
      <w:r w:rsidRPr="000D5FA5">
        <w:rPr>
          <w:sz w:val="22"/>
          <w:szCs w:val="22"/>
        </w:rPr>
        <w:t xml:space="preserve">  Our use of the terms “equipment” and “device” in this sense are generally interchangeable and stem from the use of both terms in the NAPEE Guide.  For purposes of TRC testing, the terms are interchangeable; in practice “equipment” </w:t>
      </w:r>
      <w:r w:rsidRPr="000D5FA5">
        <w:rPr>
          <w:color w:val="0D0D0D"/>
          <w:sz w:val="22"/>
          <w:szCs w:val="22"/>
        </w:rPr>
        <w:t xml:space="preserve">would suggest something that has multiple components such as an HVAC system, and “device” would be a thing such as a light bulb, a refrigerator, or a specific component of a system such as a programmable thermostat. </w:t>
      </w:r>
    </w:p>
  </w:footnote>
  <w:footnote w:id="26">
    <w:p w:rsidR="00A75905" w:rsidRPr="000D5FA5" w:rsidRDefault="00A75905">
      <w:pPr>
        <w:pStyle w:val="FootnoteText"/>
        <w:rPr>
          <w:sz w:val="22"/>
          <w:szCs w:val="22"/>
        </w:rPr>
      </w:pPr>
      <w:r w:rsidRPr="000D5FA5">
        <w:rPr>
          <w:rStyle w:val="FootnoteReference"/>
          <w:sz w:val="22"/>
          <w:szCs w:val="22"/>
        </w:rPr>
        <w:footnoteRef/>
      </w:r>
      <w:r w:rsidRPr="000D5FA5">
        <w:rPr>
          <w:sz w:val="22"/>
          <w:szCs w:val="22"/>
        </w:rPr>
        <w:t xml:space="preserve"> </w:t>
      </w:r>
      <w:r w:rsidRPr="000D5FA5">
        <w:rPr>
          <w:i/>
          <w:sz w:val="22"/>
          <w:szCs w:val="22"/>
        </w:rPr>
        <w:t>See</w:t>
      </w:r>
      <w:r w:rsidRPr="000D5FA5">
        <w:rPr>
          <w:sz w:val="22"/>
          <w:szCs w:val="22"/>
        </w:rPr>
        <w:t xml:space="preserve"> </w:t>
      </w:r>
      <w:r w:rsidRPr="000D5FA5">
        <w:rPr>
          <w:i/>
          <w:sz w:val="22"/>
          <w:szCs w:val="22"/>
        </w:rPr>
        <w:t>2009 PA TRC Test Order</w:t>
      </w:r>
      <w:r w:rsidRPr="000D5FA5">
        <w:rPr>
          <w:sz w:val="22"/>
          <w:szCs w:val="22"/>
        </w:rPr>
        <w:t>, pages 30-31.</w:t>
      </w:r>
    </w:p>
  </w:footnote>
  <w:footnote w:id="27">
    <w:p w:rsidR="00A75905" w:rsidRDefault="00A75905" w:rsidP="00A26D0C">
      <w:pPr>
        <w:pStyle w:val="FootnoteText"/>
      </w:pPr>
      <w:r w:rsidRPr="000D5FA5">
        <w:rPr>
          <w:rStyle w:val="FootnoteReference"/>
          <w:color w:val="0D0D0D"/>
          <w:sz w:val="22"/>
          <w:szCs w:val="22"/>
        </w:rPr>
        <w:footnoteRef/>
      </w:r>
      <w:r w:rsidRPr="000D5FA5">
        <w:rPr>
          <w:color w:val="0D0D0D"/>
          <w:sz w:val="22"/>
          <w:szCs w:val="22"/>
        </w:rPr>
        <w:t xml:space="preserve">  National Action Plan for Energy Efficiency (NAPEE) (2007</w:t>
      </w:r>
      <w:r w:rsidRPr="000D5FA5">
        <w:rPr>
          <w:color w:val="000000"/>
          <w:sz w:val="22"/>
          <w:szCs w:val="22"/>
        </w:rPr>
        <w:t xml:space="preserve">).  </w:t>
      </w:r>
      <w:r w:rsidRPr="000D5FA5">
        <w:rPr>
          <w:i/>
          <w:iCs/>
          <w:color w:val="000000"/>
          <w:sz w:val="22"/>
          <w:szCs w:val="22"/>
        </w:rPr>
        <w:t>Guide to Resource Planning with Energy Efficiency</w:t>
      </w:r>
      <w:r w:rsidRPr="000D5FA5">
        <w:rPr>
          <w:color w:val="000000"/>
          <w:sz w:val="22"/>
          <w:szCs w:val="22"/>
        </w:rPr>
        <w:t xml:space="preserve">.  Prepared by Price, Snuller, </w:t>
      </w:r>
      <w:r w:rsidRPr="000D5FA5">
        <w:rPr>
          <w:i/>
          <w:color w:val="000000"/>
          <w:sz w:val="22"/>
          <w:szCs w:val="22"/>
        </w:rPr>
        <w:t xml:space="preserve">et al. </w:t>
      </w:r>
      <w:r w:rsidRPr="000D5FA5">
        <w:rPr>
          <w:color w:val="000000"/>
          <w:sz w:val="22"/>
          <w:szCs w:val="22"/>
        </w:rPr>
        <w:t xml:space="preserve"> Energy and Environmental Economics, Inc. </w:t>
      </w:r>
      <w:hyperlink r:id="rId3" w:history="1">
        <w:r w:rsidRPr="000D5FA5">
          <w:rPr>
            <w:rStyle w:val="Hyperlink"/>
            <w:sz w:val="22"/>
            <w:szCs w:val="22"/>
          </w:rPr>
          <w:t>www.epa.gov/eeactionplan</w:t>
        </w:r>
      </w:hyperlink>
      <w:r w:rsidRPr="000D5FA5">
        <w:rPr>
          <w:color w:val="000000"/>
          <w:sz w:val="22"/>
          <w:szCs w:val="22"/>
        </w:rPr>
        <w:t>.</w:t>
      </w:r>
    </w:p>
  </w:footnote>
  <w:footnote w:id="28">
    <w:p w:rsidR="00A75905" w:rsidRDefault="00A75905">
      <w:pPr>
        <w:pStyle w:val="FootnoteText"/>
      </w:pPr>
      <w:r>
        <w:rPr>
          <w:rStyle w:val="FootnoteReference"/>
        </w:rPr>
        <w:footnoteRef/>
      </w:r>
      <w:r>
        <w:t xml:space="preserve">  </w:t>
      </w:r>
      <w:r w:rsidRPr="001F355E">
        <w:rPr>
          <w:i/>
          <w:sz w:val="22"/>
          <w:szCs w:val="22"/>
        </w:rPr>
        <w:t>See</w:t>
      </w:r>
      <w:r w:rsidRPr="001F355E">
        <w:rPr>
          <w:sz w:val="22"/>
          <w:szCs w:val="22"/>
        </w:rPr>
        <w:t xml:space="preserve"> </w:t>
      </w:r>
      <w:r>
        <w:rPr>
          <w:i/>
          <w:sz w:val="22"/>
          <w:szCs w:val="22"/>
        </w:rPr>
        <w:t>2011</w:t>
      </w:r>
      <w:r w:rsidRPr="001F355E">
        <w:rPr>
          <w:i/>
          <w:sz w:val="22"/>
          <w:szCs w:val="22"/>
        </w:rPr>
        <w:t xml:space="preserve"> PA T</w:t>
      </w:r>
      <w:r>
        <w:rPr>
          <w:i/>
          <w:sz w:val="22"/>
          <w:szCs w:val="22"/>
        </w:rPr>
        <w:t>R</w:t>
      </w:r>
      <w:r w:rsidRPr="001F355E">
        <w:rPr>
          <w:i/>
          <w:sz w:val="22"/>
          <w:szCs w:val="22"/>
        </w:rPr>
        <w:t>C Test Order</w:t>
      </w:r>
      <w:r>
        <w:rPr>
          <w:sz w:val="22"/>
          <w:szCs w:val="22"/>
        </w:rPr>
        <w:t>, pages 30-33.</w:t>
      </w:r>
    </w:p>
  </w:footnote>
  <w:footnote w:id="29">
    <w:p w:rsidR="00A75905" w:rsidRDefault="00A75905">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2011 PA T</w:t>
      </w:r>
      <w:r>
        <w:rPr>
          <w:i/>
          <w:sz w:val="22"/>
          <w:szCs w:val="22"/>
        </w:rPr>
        <w:t>R</w:t>
      </w:r>
      <w:r w:rsidRPr="001F355E">
        <w:rPr>
          <w:i/>
          <w:sz w:val="22"/>
          <w:szCs w:val="22"/>
        </w:rPr>
        <w:t>C Test Order</w:t>
      </w:r>
      <w:r>
        <w:rPr>
          <w:sz w:val="22"/>
          <w:szCs w:val="22"/>
        </w:rPr>
        <w:t>, page 33.</w:t>
      </w:r>
    </w:p>
  </w:footnote>
  <w:footnote w:id="30">
    <w:p w:rsidR="00A75905" w:rsidRPr="00584A78" w:rsidRDefault="00A75905">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2009 PA T</w:t>
      </w:r>
      <w:r>
        <w:rPr>
          <w:i/>
          <w:sz w:val="22"/>
          <w:szCs w:val="22"/>
        </w:rPr>
        <w:t>R</w:t>
      </w:r>
      <w:r w:rsidRPr="001F355E">
        <w:rPr>
          <w:i/>
          <w:sz w:val="22"/>
          <w:szCs w:val="22"/>
        </w:rPr>
        <w:t>C Test Order</w:t>
      </w:r>
      <w:r>
        <w:rPr>
          <w:sz w:val="22"/>
          <w:szCs w:val="22"/>
        </w:rPr>
        <w:t>, pages 9-12.</w:t>
      </w:r>
    </w:p>
  </w:footnote>
  <w:footnote w:id="31">
    <w:p w:rsidR="00A75905" w:rsidRDefault="00A75905" w:rsidP="00F413D7">
      <w:pPr>
        <w:pStyle w:val="FootnoteText"/>
      </w:pPr>
      <w:r w:rsidRPr="00AF46D2">
        <w:rPr>
          <w:rStyle w:val="FootnoteReference"/>
          <w:sz w:val="22"/>
          <w:szCs w:val="22"/>
        </w:rPr>
        <w:footnoteRef/>
      </w:r>
      <w:r w:rsidRPr="00AF46D2">
        <w:rPr>
          <w:sz w:val="22"/>
          <w:szCs w:val="22"/>
        </w:rPr>
        <w:t xml:space="preserve">  Instead of EIA’s AEO electric price projections or the NYMEX electric futures/NYMEX PJM electric generation futures price.</w:t>
      </w:r>
    </w:p>
  </w:footnote>
  <w:footnote w:id="32">
    <w:p w:rsidR="00A75905" w:rsidRPr="005E343F" w:rsidRDefault="00A75905" w:rsidP="00392C09">
      <w:pPr>
        <w:rPr>
          <w:sz w:val="22"/>
          <w:szCs w:val="22"/>
        </w:rPr>
      </w:pPr>
      <w:r w:rsidRPr="00685E7D">
        <w:rPr>
          <w:rStyle w:val="FootnoteReference"/>
          <w:sz w:val="22"/>
          <w:szCs w:val="22"/>
        </w:rPr>
        <w:footnoteRef/>
      </w:r>
      <w:r w:rsidRPr="00685E7D">
        <w:rPr>
          <w:sz w:val="22"/>
          <w:szCs w:val="22"/>
        </w:rPr>
        <w:t xml:space="preserve">  “Spark price spread” </w:t>
      </w:r>
      <w:r>
        <w:rPr>
          <w:sz w:val="22"/>
          <w:szCs w:val="22"/>
        </w:rPr>
        <w:t>refers to</w:t>
      </w:r>
      <w:r w:rsidRPr="00685E7D">
        <w:rPr>
          <w:sz w:val="22"/>
          <w:szCs w:val="22"/>
        </w:rPr>
        <w:t xml:space="preserve"> the difference between the price of electricity sold by a generator and the price of the fuel used to generate it, adjusted for equivalent units.  The spark price spread can be expressed in $/MWh or $/MMBTUs (or other applicable units).  To express in $/MWh, the spread is calculated by multiplying the price of gas, for example (in $/MMBtu), by the heat rate (in Btu/KWh), dividing by 1,000, and then subtracting from the electricity price (in $/MWh).  The heat rate is defined as the ratio of energy inputs used by a generating facility expressed in BTUs (British Thermal Units), to the energy output of that facility expressed in kilowatt-hours.  </w:t>
      </w:r>
      <w:r w:rsidRPr="00685E7D">
        <w:rPr>
          <w:i/>
          <w:sz w:val="22"/>
          <w:szCs w:val="22"/>
        </w:rPr>
        <w:t>See</w:t>
      </w:r>
      <w:r w:rsidRPr="00685E7D">
        <w:rPr>
          <w:sz w:val="22"/>
          <w:szCs w:val="22"/>
        </w:rPr>
        <w:t xml:space="preserve"> </w:t>
      </w:r>
      <w:hyperlink r:id="rId4" w:history="1">
        <w:r w:rsidRPr="005E343F">
          <w:rPr>
            <w:rStyle w:val="Hyperlink"/>
            <w:sz w:val="22"/>
            <w:szCs w:val="22"/>
          </w:rPr>
          <w:t>http://moneyterms.co.uk/spark-spread/</w:t>
        </w:r>
      </w:hyperlink>
      <w:r w:rsidRPr="005E343F">
        <w:rPr>
          <w:sz w:val="22"/>
          <w:szCs w:val="22"/>
        </w:rPr>
        <w:t>.</w:t>
      </w:r>
    </w:p>
  </w:footnote>
  <w:footnote w:id="33">
    <w:p w:rsidR="00A75905" w:rsidRPr="00554F63" w:rsidRDefault="00A75905">
      <w:pPr>
        <w:pStyle w:val="FootnoteText"/>
      </w:pPr>
      <w:r w:rsidRPr="005E343F">
        <w:rPr>
          <w:rStyle w:val="FootnoteReference"/>
          <w:sz w:val="22"/>
          <w:szCs w:val="22"/>
        </w:rPr>
        <w:footnoteRef/>
      </w:r>
      <w:r w:rsidRPr="005E343F">
        <w:rPr>
          <w:sz w:val="22"/>
          <w:szCs w:val="22"/>
        </w:rPr>
        <w:t xml:space="preserve"> </w:t>
      </w:r>
      <w:r>
        <w:rPr>
          <w:sz w:val="22"/>
          <w:szCs w:val="22"/>
        </w:rPr>
        <w:t xml:space="preserve"> </w:t>
      </w:r>
      <w:r w:rsidRPr="005E343F">
        <w:rPr>
          <w:i/>
          <w:sz w:val="22"/>
          <w:szCs w:val="22"/>
        </w:rPr>
        <w:t xml:space="preserve">See </w:t>
      </w:r>
      <w:hyperlink r:id="rId5" w:history="1">
        <w:r w:rsidRPr="000D226B">
          <w:rPr>
            <w:rStyle w:val="Hyperlink"/>
            <w:sz w:val="22"/>
            <w:szCs w:val="22"/>
          </w:rPr>
          <w:t>http://www.eia.gov/forecasts/aeo/electricity_generation.cfm</w:t>
        </w:r>
      </w:hyperlink>
      <w:r>
        <w:rPr>
          <w:sz w:val="22"/>
          <w:szCs w:val="22"/>
        </w:rPr>
        <w:t>.</w:t>
      </w:r>
    </w:p>
  </w:footnote>
  <w:footnote w:id="34">
    <w:p w:rsidR="00A75905" w:rsidRDefault="00A75905" w:rsidP="00265F85">
      <w:pPr>
        <w:pStyle w:val="FootnoteText"/>
      </w:pPr>
      <w:r w:rsidRPr="00AF46D2">
        <w:rPr>
          <w:rStyle w:val="FootnoteReference"/>
          <w:sz w:val="22"/>
          <w:szCs w:val="22"/>
        </w:rPr>
        <w:footnoteRef/>
      </w:r>
      <w:r w:rsidRPr="00AF46D2">
        <w:rPr>
          <w:sz w:val="22"/>
          <w:szCs w:val="22"/>
        </w:rPr>
        <w:t xml:space="preserve">  Reliability Pricing Model</w:t>
      </w:r>
      <w:r>
        <w:rPr>
          <w:sz w:val="22"/>
          <w:szCs w:val="22"/>
        </w:rPr>
        <w:t>,</w:t>
      </w:r>
      <w:r w:rsidRPr="00AF46D2">
        <w:rPr>
          <w:sz w:val="22"/>
          <w:szCs w:val="22"/>
        </w:rPr>
        <w:t xml:space="preserve"> for capacity pricing.</w:t>
      </w:r>
    </w:p>
  </w:footnote>
  <w:footnote w:id="35">
    <w:p w:rsidR="00A75905" w:rsidRDefault="00A75905">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w:t>
      </w:r>
      <w:r>
        <w:rPr>
          <w:i/>
          <w:sz w:val="22"/>
          <w:szCs w:val="22"/>
        </w:rPr>
        <w:t>09</w:t>
      </w:r>
      <w:r w:rsidRPr="001F355E">
        <w:rPr>
          <w:i/>
          <w:sz w:val="22"/>
          <w:szCs w:val="22"/>
        </w:rPr>
        <w:t xml:space="preserve"> PA T</w:t>
      </w:r>
      <w:r>
        <w:rPr>
          <w:i/>
          <w:sz w:val="22"/>
          <w:szCs w:val="22"/>
        </w:rPr>
        <w:t>R</w:t>
      </w:r>
      <w:r w:rsidRPr="001F355E">
        <w:rPr>
          <w:i/>
          <w:sz w:val="22"/>
          <w:szCs w:val="22"/>
        </w:rPr>
        <w:t>C Test Order</w:t>
      </w:r>
      <w:r>
        <w:rPr>
          <w:sz w:val="22"/>
          <w:szCs w:val="22"/>
        </w:rPr>
        <w:t>, pages 13-15.</w:t>
      </w:r>
    </w:p>
  </w:footnote>
  <w:footnote w:id="36">
    <w:p w:rsidR="00A75905" w:rsidRPr="008B2EE4" w:rsidRDefault="00A75905">
      <w:pPr>
        <w:pStyle w:val="FootnoteText"/>
        <w:rPr>
          <w:sz w:val="22"/>
          <w:szCs w:val="22"/>
        </w:rPr>
      </w:pPr>
      <w:r w:rsidRPr="008B2EE4">
        <w:rPr>
          <w:rStyle w:val="FootnoteReference"/>
          <w:sz w:val="22"/>
          <w:szCs w:val="22"/>
        </w:rPr>
        <w:footnoteRef/>
      </w:r>
      <w:r w:rsidRPr="008B2EE4">
        <w:rPr>
          <w:sz w:val="22"/>
          <w:szCs w:val="22"/>
        </w:rPr>
        <w:t xml:space="preserve">  </w:t>
      </w:r>
      <w:hyperlink r:id="rId6" w:history="1">
        <w:r w:rsidRPr="008B2EE4">
          <w:rPr>
            <w:rStyle w:val="Hyperlink"/>
            <w:sz w:val="22"/>
            <w:szCs w:val="22"/>
          </w:rPr>
          <w:t>http://data.bls.gov/PDQ/servlet/SurveyOutputServlet?series_id=PCU221110221110</w:t>
        </w:r>
      </w:hyperlink>
      <w:r w:rsidRPr="008B2EE4">
        <w:rPr>
          <w:color w:val="000000"/>
          <w:sz w:val="22"/>
          <w:szCs w:val="22"/>
        </w:rPr>
        <w:t>.  This escalator is widely accepted in the industry and financial markets; it is energy-industry-specific, readily ascertainable, and easy to use.  Like its more familiar counterparts, the BLS’ Consumer Price Index (CPI) and the Producer Price Index (PPI), it will produce expected values of future market variables within reasonable limits. </w:t>
      </w:r>
      <w:r w:rsidRPr="008B2EE4" w:rsidDel="008B2EE4">
        <w:rPr>
          <w:rFonts w:eastAsiaTheme="minorHAnsi"/>
          <w:sz w:val="22"/>
          <w:szCs w:val="22"/>
        </w:rPr>
        <w:t xml:space="preserve"> </w:t>
      </w:r>
    </w:p>
  </w:footnote>
  <w:footnote w:id="37">
    <w:p w:rsidR="00A75905" w:rsidRDefault="00A75905" w:rsidP="00A97E8E">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2009 PA T</w:t>
      </w:r>
      <w:r>
        <w:rPr>
          <w:i/>
          <w:sz w:val="22"/>
          <w:szCs w:val="22"/>
        </w:rPr>
        <w:t>R</w:t>
      </w:r>
      <w:r w:rsidRPr="001F355E">
        <w:rPr>
          <w:i/>
          <w:sz w:val="22"/>
          <w:szCs w:val="22"/>
        </w:rPr>
        <w:t>C Test Order</w:t>
      </w:r>
      <w:r>
        <w:rPr>
          <w:sz w:val="22"/>
          <w:szCs w:val="22"/>
        </w:rPr>
        <w:t>, page 17.</w:t>
      </w:r>
    </w:p>
  </w:footnote>
  <w:footnote w:id="38">
    <w:p w:rsidR="00A75905" w:rsidRDefault="00A75905" w:rsidP="00A97E8E">
      <w:pPr>
        <w:pStyle w:val="FootnoteText"/>
      </w:pPr>
      <w:r>
        <w:rPr>
          <w:rStyle w:val="FootnoteReference"/>
        </w:rPr>
        <w:footnoteRef/>
      </w:r>
      <w:r>
        <w:t xml:space="preserve"> </w:t>
      </w:r>
      <w:r w:rsidRPr="00975ABC">
        <w:rPr>
          <w:sz w:val="22"/>
          <w:szCs w:val="22"/>
        </w:rPr>
        <w:t>For example, CFLs are typically used during the night rather than during the day, yet overall residential usage profiles can be heavy during the day due to air conditioning and cooling load.</w:t>
      </w:r>
      <w:r w:rsidRPr="00767C1B">
        <w:rPr>
          <w:sz w:val="26"/>
          <w:szCs w:val="26"/>
        </w:rPr>
        <w:t xml:space="preserve">  </w:t>
      </w:r>
    </w:p>
  </w:footnote>
  <w:footnote w:id="39">
    <w:p w:rsidR="00A75905" w:rsidRDefault="00A75905" w:rsidP="00A97E8E">
      <w:pPr>
        <w:pStyle w:val="FootnoteText"/>
      </w:pPr>
      <w:r w:rsidRPr="00AF46D2">
        <w:rPr>
          <w:rStyle w:val="FootnoteReference"/>
          <w:sz w:val="22"/>
          <w:szCs w:val="22"/>
        </w:rPr>
        <w:footnoteRef/>
      </w:r>
      <w:r w:rsidRPr="00AF46D2">
        <w:rPr>
          <w:sz w:val="22"/>
          <w:szCs w:val="22"/>
        </w:rPr>
        <w:t xml:space="preserve">  Locational marginal pricing.</w:t>
      </w:r>
    </w:p>
  </w:footnote>
  <w:footnote w:id="40">
    <w:p w:rsidR="00A75905" w:rsidRPr="00D12AF2" w:rsidRDefault="00A75905" w:rsidP="00A97E8E">
      <w:pPr>
        <w:pStyle w:val="FootnoteText"/>
      </w:pPr>
      <w:r w:rsidRPr="00AF46D2">
        <w:rPr>
          <w:rStyle w:val="FootnoteReference"/>
          <w:sz w:val="22"/>
          <w:szCs w:val="22"/>
        </w:rPr>
        <w:footnoteRef/>
      </w:r>
      <w:r w:rsidRPr="00AF46D2">
        <w:rPr>
          <w:sz w:val="22"/>
          <w:szCs w:val="22"/>
        </w:rPr>
        <w:t xml:space="preserve"> </w:t>
      </w:r>
      <w:hyperlink r:id="rId7" w:history="1">
        <w:r w:rsidRPr="0050377A">
          <w:rPr>
            <w:rStyle w:val="Hyperlink"/>
            <w:sz w:val="22"/>
            <w:szCs w:val="22"/>
          </w:rPr>
          <w:t>http://www.monitoringanalytics.com/reports/PJM_State_of_the_Market/2008/2008-som-pjm-volume2-sec2.pdf</w:t>
        </w:r>
      </w:hyperlink>
      <w:r w:rsidRPr="0050377A">
        <w:rPr>
          <w:sz w:val="22"/>
          <w:szCs w:val="22"/>
        </w:rPr>
        <w:t>, page 52.</w:t>
      </w:r>
      <w:r w:rsidRPr="00D12AF2">
        <w:t xml:space="preserve"> </w:t>
      </w:r>
    </w:p>
  </w:footnote>
  <w:footnote w:id="41">
    <w:p w:rsidR="00A75905" w:rsidRDefault="00A75905" w:rsidP="00A97E8E">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2009 PA T</w:t>
      </w:r>
      <w:r>
        <w:rPr>
          <w:i/>
          <w:sz w:val="22"/>
          <w:szCs w:val="22"/>
        </w:rPr>
        <w:t>R</w:t>
      </w:r>
      <w:r w:rsidRPr="001F355E">
        <w:rPr>
          <w:i/>
          <w:sz w:val="22"/>
          <w:szCs w:val="22"/>
        </w:rPr>
        <w:t>C Test Order</w:t>
      </w:r>
      <w:r>
        <w:rPr>
          <w:sz w:val="22"/>
          <w:szCs w:val="22"/>
        </w:rPr>
        <w:t>. 17-18.</w:t>
      </w:r>
    </w:p>
  </w:footnote>
  <w:footnote w:id="42">
    <w:p w:rsidR="00A75905" w:rsidRDefault="00A75905" w:rsidP="008B2EE4">
      <w:pPr>
        <w:pStyle w:val="FootnoteText"/>
      </w:pPr>
      <w:r>
        <w:rPr>
          <w:rStyle w:val="FootnoteReference"/>
        </w:rPr>
        <w:footnoteRef/>
      </w:r>
      <w:r>
        <w:t xml:space="preserve">  </w:t>
      </w:r>
      <w:r w:rsidRPr="004F304D">
        <w:rPr>
          <w:sz w:val="22"/>
          <w:szCs w:val="22"/>
        </w:rPr>
        <w:t>http://www.monitoringanalytics.com/reports/PJM_State_of_the_Market/2011/2011-som-pjm-volume2-sec10.pdf</w:t>
      </w:r>
      <w:r>
        <w:rPr>
          <w:sz w:val="22"/>
          <w:szCs w:val="22"/>
        </w:rPr>
        <w:t>.</w:t>
      </w:r>
    </w:p>
  </w:footnote>
  <w:footnote w:id="43">
    <w:p w:rsidR="00A75905" w:rsidRDefault="00A75905">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w:t>
      </w:r>
      <w:r>
        <w:rPr>
          <w:i/>
          <w:sz w:val="22"/>
          <w:szCs w:val="22"/>
        </w:rPr>
        <w:t>11</w:t>
      </w:r>
      <w:r w:rsidRPr="001F355E">
        <w:rPr>
          <w:i/>
          <w:sz w:val="22"/>
          <w:szCs w:val="22"/>
        </w:rPr>
        <w:t xml:space="preserve"> PA T</w:t>
      </w:r>
      <w:r>
        <w:rPr>
          <w:i/>
          <w:sz w:val="22"/>
          <w:szCs w:val="22"/>
        </w:rPr>
        <w:t>R</w:t>
      </w:r>
      <w:r w:rsidRPr="001F355E">
        <w:rPr>
          <w:i/>
          <w:sz w:val="22"/>
          <w:szCs w:val="22"/>
        </w:rPr>
        <w:t>C Test Order</w:t>
      </w:r>
      <w:r>
        <w:rPr>
          <w:sz w:val="22"/>
          <w:szCs w:val="22"/>
        </w:rPr>
        <w:t>, pages 37-39.</w:t>
      </w:r>
    </w:p>
  </w:footnote>
  <w:footnote w:id="44">
    <w:p w:rsidR="00A75905" w:rsidRDefault="00A75905">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w:t>
      </w:r>
      <w:r>
        <w:rPr>
          <w:i/>
          <w:sz w:val="22"/>
          <w:szCs w:val="22"/>
        </w:rPr>
        <w:t>11</w:t>
      </w:r>
      <w:r w:rsidRPr="001F355E">
        <w:rPr>
          <w:i/>
          <w:sz w:val="22"/>
          <w:szCs w:val="22"/>
        </w:rPr>
        <w:t xml:space="preserve"> PA T</w:t>
      </w:r>
      <w:r>
        <w:rPr>
          <w:i/>
          <w:sz w:val="22"/>
          <w:szCs w:val="22"/>
        </w:rPr>
        <w:t>R</w:t>
      </w:r>
      <w:r w:rsidRPr="001F355E">
        <w:rPr>
          <w:i/>
          <w:sz w:val="22"/>
          <w:szCs w:val="22"/>
        </w:rPr>
        <w:t>C Test Order</w:t>
      </w:r>
      <w:r>
        <w:rPr>
          <w:sz w:val="22"/>
          <w:szCs w:val="22"/>
        </w:rPr>
        <w:t>, pages 39-40.</w:t>
      </w:r>
    </w:p>
  </w:footnote>
  <w:footnote w:id="45">
    <w:p w:rsidR="00A75905" w:rsidRPr="00D909CF" w:rsidRDefault="00A75905" w:rsidP="00C961A7">
      <w:pPr>
        <w:pStyle w:val="FootnoteText"/>
        <w:rPr>
          <w:sz w:val="22"/>
          <w:szCs w:val="22"/>
        </w:rPr>
      </w:pPr>
      <w:r>
        <w:rPr>
          <w:rStyle w:val="FootnoteReference"/>
        </w:rPr>
        <w:footnoteRef/>
      </w:r>
      <w:r>
        <w:t xml:space="preserve">  </w:t>
      </w:r>
      <w:r w:rsidRPr="00D909CF">
        <w:rPr>
          <w:i/>
          <w:sz w:val="22"/>
          <w:szCs w:val="22"/>
        </w:rPr>
        <w:t xml:space="preserve">See Staff Report </w:t>
      </w:r>
      <w:r w:rsidRPr="00D909CF">
        <w:rPr>
          <w:sz w:val="22"/>
          <w:szCs w:val="22"/>
        </w:rPr>
        <w:t xml:space="preserve">at </w:t>
      </w:r>
      <w:hyperlink r:id="rId8" w:history="1">
        <w:r w:rsidRPr="000D226B">
          <w:rPr>
            <w:rStyle w:val="Hyperlink"/>
            <w:sz w:val="22"/>
            <w:szCs w:val="22"/>
          </w:rPr>
          <w:t>http://www.puc.state.pa.us/electric/Act129/Fuel_Switching.aspx</w:t>
        </w:r>
      </w:hyperlink>
      <w:r>
        <w:rPr>
          <w:sz w:val="22"/>
          <w:szCs w:val="22"/>
        </w:rPr>
        <w:t>.</w:t>
      </w:r>
      <w:r>
        <w:t xml:space="preserve"> </w:t>
      </w:r>
    </w:p>
  </w:footnote>
  <w:footnote w:id="46">
    <w:p w:rsidR="00A75905" w:rsidRDefault="00A75905" w:rsidP="00C961A7">
      <w:pPr>
        <w:pStyle w:val="FootnoteText"/>
      </w:pPr>
      <w:r>
        <w:rPr>
          <w:rStyle w:val="FootnoteReference"/>
        </w:rPr>
        <w:footnoteRef/>
      </w:r>
      <w:r>
        <w:t xml:space="preserve">  </w:t>
      </w:r>
      <w:r w:rsidRPr="001F355E">
        <w:rPr>
          <w:i/>
          <w:sz w:val="22"/>
          <w:szCs w:val="22"/>
        </w:rPr>
        <w:t>See</w:t>
      </w:r>
      <w:r w:rsidRPr="001F355E">
        <w:rPr>
          <w:sz w:val="22"/>
          <w:szCs w:val="22"/>
        </w:rPr>
        <w:t xml:space="preserve"> </w:t>
      </w:r>
      <w:r>
        <w:rPr>
          <w:i/>
          <w:sz w:val="22"/>
          <w:szCs w:val="22"/>
        </w:rPr>
        <w:t>2011</w:t>
      </w:r>
      <w:r w:rsidRPr="001F355E">
        <w:rPr>
          <w:i/>
          <w:sz w:val="22"/>
          <w:szCs w:val="22"/>
        </w:rPr>
        <w:t xml:space="preserve"> PA T</w:t>
      </w:r>
      <w:r>
        <w:rPr>
          <w:i/>
          <w:sz w:val="22"/>
          <w:szCs w:val="22"/>
        </w:rPr>
        <w:t>R</w:t>
      </w:r>
      <w:r w:rsidRPr="001F355E">
        <w:rPr>
          <w:i/>
          <w:sz w:val="22"/>
          <w:szCs w:val="22"/>
        </w:rPr>
        <w:t>C Test Order</w:t>
      </w:r>
      <w:r>
        <w:rPr>
          <w:sz w:val="22"/>
          <w:szCs w:val="22"/>
        </w:rPr>
        <w:t>, pages 27-29.</w:t>
      </w:r>
    </w:p>
  </w:footnote>
  <w:footnote w:id="47">
    <w:p w:rsidR="00A75905" w:rsidRPr="00D80726" w:rsidRDefault="00A75905" w:rsidP="00C961A7">
      <w:pPr>
        <w:pStyle w:val="FootnoteText"/>
        <w:rPr>
          <w:i/>
        </w:rPr>
      </w:pPr>
      <w:r>
        <w:rPr>
          <w:rStyle w:val="FootnoteReference"/>
        </w:rPr>
        <w:footnoteRef/>
      </w:r>
      <w:r>
        <w:t xml:space="preserve">  </w:t>
      </w:r>
      <w:r w:rsidRPr="001F355E">
        <w:rPr>
          <w:i/>
          <w:sz w:val="22"/>
          <w:szCs w:val="22"/>
        </w:rPr>
        <w:t>See</w:t>
      </w:r>
      <w:r w:rsidRPr="001F355E">
        <w:rPr>
          <w:sz w:val="22"/>
          <w:szCs w:val="22"/>
        </w:rPr>
        <w:t xml:space="preserve"> </w:t>
      </w:r>
      <w:r>
        <w:rPr>
          <w:i/>
          <w:sz w:val="22"/>
          <w:szCs w:val="22"/>
        </w:rPr>
        <w:t>2011</w:t>
      </w:r>
      <w:r w:rsidRPr="001F355E">
        <w:rPr>
          <w:i/>
          <w:sz w:val="22"/>
          <w:szCs w:val="22"/>
        </w:rPr>
        <w:t xml:space="preserve"> PA T</w:t>
      </w:r>
      <w:r>
        <w:rPr>
          <w:i/>
          <w:sz w:val="22"/>
          <w:szCs w:val="22"/>
        </w:rPr>
        <w:t>R</w:t>
      </w:r>
      <w:r w:rsidRPr="001F355E">
        <w:rPr>
          <w:i/>
          <w:sz w:val="22"/>
          <w:szCs w:val="22"/>
        </w:rPr>
        <w:t>C Test Order</w:t>
      </w:r>
      <w:r>
        <w:rPr>
          <w:sz w:val="22"/>
          <w:szCs w:val="22"/>
        </w:rPr>
        <w:t>, pages 29-30.</w:t>
      </w:r>
    </w:p>
  </w:footnote>
  <w:footnote w:id="48">
    <w:p w:rsidR="00A75905" w:rsidRDefault="00A75905" w:rsidP="000B68E8">
      <w:pPr>
        <w:pStyle w:val="FootnoteText"/>
      </w:pPr>
      <w:r w:rsidRPr="00AF46D2">
        <w:rPr>
          <w:rStyle w:val="FootnoteReference"/>
          <w:sz w:val="22"/>
          <w:szCs w:val="22"/>
        </w:rPr>
        <w:footnoteRef/>
      </w:r>
      <w:r w:rsidRPr="00AF46D2">
        <w:rPr>
          <w:sz w:val="22"/>
          <w:szCs w:val="22"/>
        </w:rPr>
        <w:t xml:space="preserve">  Alternative Energy Portfolio Standards Act</w:t>
      </w:r>
      <w:r>
        <w:rPr>
          <w:sz w:val="22"/>
          <w:szCs w:val="22"/>
        </w:rPr>
        <w:t>,</w:t>
      </w:r>
      <w:r w:rsidRPr="00AF46D2">
        <w:rPr>
          <w:sz w:val="22"/>
          <w:szCs w:val="22"/>
        </w:rPr>
        <w:t xml:space="preserve"> 73 P.S. §§ 1648.1-1648.8.</w:t>
      </w:r>
    </w:p>
  </w:footnote>
  <w:footnote w:id="49">
    <w:p w:rsidR="00A75905" w:rsidRPr="00963BBF" w:rsidRDefault="00A75905">
      <w:pPr>
        <w:pStyle w:val="FootnoteText"/>
        <w:rPr>
          <w:sz w:val="22"/>
          <w:szCs w:val="22"/>
        </w:rPr>
      </w:pPr>
      <w:r>
        <w:rPr>
          <w:rStyle w:val="FootnoteReference"/>
        </w:rPr>
        <w:footnoteRef/>
      </w:r>
      <w:r>
        <w:t xml:space="preserve">  </w:t>
      </w:r>
      <w:r>
        <w:rPr>
          <w:sz w:val="22"/>
          <w:szCs w:val="22"/>
        </w:rPr>
        <w:t>Carbon costs legislation does not yet exist and, thus, carbon “costs” and the costs of compliance with carbon legislation are not known or knowable and will not be considered to be “avoided” costs.</w:t>
      </w:r>
    </w:p>
  </w:footnote>
  <w:footnote w:id="50">
    <w:p w:rsidR="00A75905" w:rsidRDefault="00A75905">
      <w:pPr>
        <w:pStyle w:val="FootnoteText"/>
      </w:pPr>
      <w:r>
        <w:rPr>
          <w:rStyle w:val="FootnoteReference"/>
        </w:rPr>
        <w:footnoteRef/>
      </w:r>
      <w:r>
        <w:t xml:space="preserve"> </w:t>
      </w:r>
      <w:r w:rsidRPr="001F355E">
        <w:rPr>
          <w:i/>
          <w:sz w:val="22"/>
          <w:szCs w:val="22"/>
        </w:rPr>
        <w:t>See</w:t>
      </w:r>
      <w:r w:rsidRPr="001F355E">
        <w:rPr>
          <w:sz w:val="22"/>
          <w:szCs w:val="22"/>
        </w:rPr>
        <w:t xml:space="preserve"> </w:t>
      </w:r>
      <w:r w:rsidRPr="001F355E">
        <w:rPr>
          <w:i/>
          <w:sz w:val="22"/>
          <w:szCs w:val="22"/>
        </w:rPr>
        <w:t>2009 PA T</w:t>
      </w:r>
      <w:r>
        <w:rPr>
          <w:i/>
          <w:sz w:val="22"/>
          <w:szCs w:val="22"/>
        </w:rPr>
        <w:t>R</w:t>
      </w:r>
      <w:r w:rsidRPr="001F355E">
        <w:rPr>
          <w:i/>
          <w:sz w:val="22"/>
          <w:szCs w:val="22"/>
        </w:rPr>
        <w:t>C Test Order</w:t>
      </w:r>
      <w:r>
        <w:rPr>
          <w:sz w:val="22"/>
          <w:szCs w:val="22"/>
        </w:rPr>
        <w:t>, page 19.</w:t>
      </w:r>
    </w:p>
  </w:footnote>
  <w:footnote w:id="51">
    <w:p w:rsidR="00A75905" w:rsidRPr="005E343F" w:rsidRDefault="00A75905" w:rsidP="006A6CE6">
      <w:pPr>
        <w:pStyle w:val="FootnoteText"/>
        <w:rPr>
          <w:rFonts w:asciiTheme="minorHAnsi" w:hAnsiTheme="minorHAnsi" w:cstheme="minorBidi"/>
          <w:sz w:val="22"/>
          <w:szCs w:val="22"/>
        </w:rPr>
      </w:pPr>
      <w:r>
        <w:rPr>
          <w:rStyle w:val="FootnoteReference"/>
        </w:rPr>
        <w:footnoteRef/>
      </w:r>
      <w:r>
        <w:t xml:space="preserve"> </w:t>
      </w:r>
      <w:r w:rsidRPr="005E343F">
        <w:rPr>
          <w:sz w:val="22"/>
          <w:szCs w:val="22"/>
        </w:rPr>
        <w:t>General residential programs defined as non-low-income residential programs applicable to the low-income population.  Exclusions include programs with high costs of participation and low participation rates such as whole-house comprehensive programs.</w:t>
      </w:r>
    </w:p>
  </w:footnote>
  <w:footnote w:id="52">
    <w:p w:rsidR="00A75905" w:rsidRPr="005E343F" w:rsidRDefault="00A75905" w:rsidP="006A6CE6">
      <w:pPr>
        <w:pStyle w:val="FootnoteText"/>
        <w:rPr>
          <w:rFonts w:asciiTheme="minorHAnsi" w:hAnsiTheme="minorHAnsi" w:cstheme="minorBidi"/>
          <w:sz w:val="22"/>
          <w:szCs w:val="22"/>
        </w:rPr>
      </w:pPr>
      <w:r w:rsidRPr="005E343F">
        <w:rPr>
          <w:rStyle w:val="FootnoteReference"/>
          <w:sz w:val="22"/>
          <w:szCs w:val="22"/>
        </w:rPr>
        <w:footnoteRef/>
      </w:r>
      <w:r w:rsidRPr="005E343F">
        <w:rPr>
          <w:sz w:val="22"/>
          <w:szCs w:val="22"/>
        </w:rPr>
        <w:t xml:space="preserve"> </w:t>
      </w:r>
      <w:r>
        <w:rPr>
          <w:sz w:val="22"/>
          <w:szCs w:val="22"/>
        </w:rPr>
        <w:t xml:space="preserve"> </w:t>
      </w:r>
      <w:r w:rsidRPr="005E343F">
        <w:rPr>
          <w:sz w:val="22"/>
          <w:szCs w:val="22"/>
        </w:rPr>
        <w:t>Report of the Act 129</w:t>
      </w:r>
      <w:r>
        <w:rPr>
          <w:sz w:val="22"/>
          <w:szCs w:val="22"/>
        </w:rPr>
        <w:t xml:space="preserve"> Low-Income</w:t>
      </w:r>
      <w:r w:rsidRPr="005E343F">
        <w:rPr>
          <w:sz w:val="22"/>
          <w:szCs w:val="22"/>
        </w:rPr>
        <w:t xml:space="preserve"> Working Group</w:t>
      </w:r>
      <w:r>
        <w:rPr>
          <w:sz w:val="22"/>
          <w:szCs w:val="22"/>
        </w:rPr>
        <w:t>,</w:t>
      </w:r>
      <w:r w:rsidRPr="005E343F">
        <w:rPr>
          <w:sz w:val="22"/>
          <w:szCs w:val="22"/>
        </w:rPr>
        <w:t xml:space="preserve"> Docket No. 2009-2146801</w:t>
      </w:r>
      <w:r>
        <w:rPr>
          <w:sz w:val="22"/>
          <w:szCs w:val="22"/>
        </w:rPr>
        <w:t xml:space="preserve"> (March 19, 2010), page 3</w:t>
      </w:r>
      <w:r w:rsidRPr="005E343F">
        <w:rPr>
          <w:sz w:val="22"/>
          <w:szCs w:val="22"/>
        </w:rPr>
        <w:t>.</w:t>
      </w:r>
    </w:p>
  </w:footnote>
  <w:footnote w:id="53">
    <w:p w:rsidR="00A75905" w:rsidRPr="00AE739B" w:rsidRDefault="00A75905">
      <w:pPr>
        <w:pStyle w:val="FootnoteText"/>
        <w:rPr>
          <w:sz w:val="22"/>
          <w:szCs w:val="22"/>
        </w:rPr>
      </w:pPr>
      <w:r w:rsidRPr="00AE739B">
        <w:rPr>
          <w:rStyle w:val="FootnoteReference"/>
          <w:sz w:val="22"/>
          <w:szCs w:val="22"/>
        </w:rPr>
        <w:footnoteRef/>
      </w:r>
      <w:r w:rsidRPr="00AE739B">
        <w:rPr>
          <w:sz w:val="22"/>
          <w:szCs w:val="22"/>
        </w:rPr>
        <w:t xml:space="preserve"> </w:t>
      </w:r>
      <w:r>
        <w:rPr>
          <w:sz w:val="22"/>
          <w:szCs w:val="22"/>
        </w:rPr>
        <w:t xml:space="preserve"> Report of the Act 129 Low-Income Working Group, page 7.</w:t>
      </w:r>
    </w:p>
  </w:footnote>
  <w:footnote w:id="54">
    <w:p w:rsidR="00A75905" w:rsidRPr="00AE739B" w:rsidRDefault="00A75905">
      <w:pPr>
        <w:pStyle w:val="FootnoteText"/>
        <w:rPr>
          <w:sz w:val="22"/>
          <w:szCs w:val="22"/>
        </w:rPr>
      </w:pPr>
      <w:r w:rsidRPr="00AE739B">
        <w:rPr>
          <w:rStyle w:val="FootnoteReference"/>
          <w:sz w:val="22"/>
          <w:szCs w:val="22"/>
        </w:rPr>
        <w:footnoteRef/>
      </w:r>
      <w:r w:rsidRPr="00AE739B">
        <w:rPr>
          <w:sz w:val="22"/>
          <w:szCs w:val="22"/>
        </w:rPr>
        <w:t xml:space="preserve"> </w:t>
      </w:r>
      <w:r>
        <w:rPr>
          <w:sz w:val="22"/>
          <w:szCs w:val="22"/>
        </w:rPr>
        <w:t xml:space="preserve"> Report on 2010 Universal Service Programs &amp; Collections Performance of the Pennsylvania Electric Distribution Companies &amp; Natural Gas Companies. April 2010. </w:t>
      </w:r>
      <w:r w:rsidRPr="006E0CE8">
        <w:rPr>
          <w:sz w:val="22"/>
          <w:szCs w:val="22"/>
        </w:rPr>
        <w:t>http://www.puc.state.pa.us/general/publications_reports/pdf/EDC_NGDC_UniServ_Rpt2010.pdf</w:t>
      </w:r>
    </w:p>
  </w:footnote>
  <w:footnote w:id="55">
    <w:p w:rsidR="00A75905" w:rsidRPr="00AF46D2" w:rsidRDefault="00A75905" w:rsidP="001006AC">
      <w:pPr>
        <w:pStyle w:val="FootnoteText"/>
        <w:rPr>
          <w:sz w:val="22"/>
          <w:szCs w:val="22"/>
        </w:rPr>
      </w:pPr>
      <w:r w:rsidRPr="00AF46D2">
        <w:rPr>
          <w:rStyle w:val="FootnoteReference"/>
          <w:sz w:val="22"/>
          <w:szCs w:val="22"/>
        </w:rPr>
        <w:footnoteRef/>
      </w:r>
      <w:r w:rsidRPr="00AF46D2">
        <w:rPr>
          <w:sz w:val="22"/>
          <w:szCs w:val="22"/>
        </w:rPr>
        <w:t xml:space="preserve">  National Action Plan for Energy Efficiency (2008).  </w:t>
      </w:r>
      <w:r w:rsidRPr="00AF46D2">
        <w:rPr>
          <w:i/>
          <w:sz w:val="22"/>
          <w:szCs w:val="22"/>
        </w:rPr>
        <w:t>Understanding Cost-Effectiveness of Energy Efficiency Programs:  Best Practices, Technical Methods, and Emerging Issues for Policy-Makers</w:t>
      </w:r>
      <w:r w:rsidRPr="00AF46D2">
        <w:rPr>
          <w:sz w:val="22"/>
          <w:szCs w:val="22"/>
        </w:rPr>
        <w:t xml:space="preserve">.  Energy and Environmental Economics, Inc. and Regulatory Assistance Project.  </w:t>
      </w:r>
      <w:hyperlink r:id="rId9" w:history="1">
        <w:r w:rsidRPr="00AF46D2">
          <w:rPr>
            <w:rStyle w:val="Hyperlink"/>
            <w:sz w:val="22"/>
            <w:szCs w:val="22"/>
          </w:rPr>
          <w:t>www.epa.gov/eeactionplan</w:t>
        </w:r>
      </w:hyperlink>
      <w:r w:rsidRPr="00AF46D2">
        <w:rPr>
          <w:sz w:val="22"/>
          <w:szCs w:val="22"/>
        </w:rPr>
        <w:t>.</w:t>
      </w:r>
    </w:p>
  </w:footnote>
  <w:footnote w:id="56">
    <w:p w:rsidR="00A75905" w:rsidRPr="00AF46D2" w:rsidRDefault="00A75905" w:rsidP="001006AC">
      <w:pPr>
        <w:pStyle w:val="FootnoteText"/>
        <w:rPr>
          <w:sz w:val="22"/>
          <w:szCs w:val="22"/>
        </w:rPr>
      </w:pPr>
      <w:r w:rsidRPr="00AF46D2">
        <w:rPr>
          <w:rStyle w:val="FootnoteReference"/>
          <w:sz w:val="22"/>
          <w:szCs w:val="22"/>
        </w:rPr>
        <w:footnoteRef/>
      </w:r>
      <w:r w:rsidRPr="00AF46D2">
        <w:rPr>
          <w:sz w:val="22"/>
          <w:szCs w:val="22"/>
        </w:rPr>
        <w:t xml:space="preserve"> The concept of free riders is that a number of customers may take advantage of rebates or cost savings available through conservation programs even though they would have installed the efficient equipment on their own.  Take-back effect occurs if customers use the reduction in bills/energy to increase their energy use to be more comfortable or for convenience.  Spillover is the opposite of the free</w:t>
      </w:r>
      <w:r>
        <w:rPr>
          <w:sz w:val="22"/>
          <w:szCs w:val="22"/>
        </w:rPr>
        <w:t>-</w:t>
      </w:r>
      <w:r w:rsidRPr="00AF46D2">
        <w:rPr>
          <w:sz w:val="22"/>
          <w:szCs w:val="22"/>
        </w:rPr>
        <w:t>rider effect</w:t>
      </w:r>
      <w:r>
        <w:rPr>
          <w:sz w:val="22"/>
          <w:szCs w:val="22"/>
        </w:rPr>
        <w:t>,</w:t>
      </w:r>
      <w:r w:rsidRPr="00AF46D2">
        <w:rPr>
          <w:sz w:val="22"/>
          <w:szCs w:val="22"/>
        </w:rPr>
        <w:t xml:space="preserve"> where customers adopt efficiency measures because they are influenced by program-related information and marketing efforts</w:t>
      </w:r>
      <w:r>
        <w:rPr>
          <w:sz w:val="22"/>
          <w:szCs w:val="22"/>
        </w:rPr>
        <w:t>,</w:t>
      </w:r>
      <w:r w:rsidRPr="00AF46D2">
        <w:rPr>
          <w:sz w:val="22"/>
          <w:szCs w:val="22"/>
        </w:rPr>
        <w:t xml:space="preserve"> although they do not actually participate in the program.  NTG adjustments for free riders and take-back effects result in the subtraction of claimed energy savings whereas spillover effects NTG adjustments result in an addition of claimed energy savings.</w:t>
      </w:r>
    </w:p>
  </w:footnote>
  <w:footnote w:id="57">
    <w:p w:rsidR="00A75905" w:rsidRPr="005E343F" w:rsidRDefault="00A75905" w:rsidP="001006AC">
      <w:pPr>
        <w:pStyle w:val="FootnoteText"/>
        <w:rPr>
          <w:sz w:val="22"/>
          <w:szCs w:val="22"/>
        </w:rPr>
      </w:pPr>
      <w:r>
        <w:rPr>
          <w:rStyle w:val="FootnoteReference"/>
        </w:rPr>
        <w:footnoteRef/>
      </w:r>
      <w:r>
        <w:t xml:space="preserve"> </w:t>
      </w:r>
      <w:r w:rsidRPr="005E343F">
        <w:rPr>
          <w:i/>
          <w:sz w:val="22"/>
          <w:szCs w:val="22"/>
        </w:rPr>
        <w:t xml:space="preserve">See 2011 TRC </w:t>
      </w:r>
      <w:r>
        <w:rPr>
          <w:i/>
          <w:sz w:val="22"/>
          <w:szCs w:val="22"/>
        </w:rPr>
        <w:t>T</w:t>
      </w:r>
      <w:r w:rsidRPr="005E343F">
        <w:rPr>
          <w:i/>
          <w:sz w:val="22"/>
          <w:szCs w:val="22"/>
        </w:rPr>
        <w:t>est Order</w:t>
      </w:r>
      <w:r>
        <w:rPr>
          <w:sz w:val="22"/>
          <w:szCs w:val="22"/>
        </w:rPr>
        <w:t>, pages 25-26</w:t>
      </w:r>
      <w:r w:rsidRPr="005E343F">
        <w:rPr>
          <w:sz w:val="22"/>
          <w:szCs w:val="22"/>
        </w:rPr>
        <w:t>.</w:t>
      </w:r>
    </w:p>
  </w:footnote>
  <w:footnote w:id="58">
    <w:p w:rsidR="00A75905" w:rsidRPr="005E343F" w:rsidRDefault="00A75905" w:rsidP="006A7EB7">
      <w:pPr>
        <w:pStyle w:val="FootnoteText"/>
        <w:rPr>
          <w:i/>
          <w:sz w:val="22"/>
          <w:szCs w:val="22"/>
        </w:rPr>
      </w:pPr>
      <w:r w:rsidRPr="005E343F">
        <w:rPr>
          <w:rStyle w:val="FootnoteReference"/>
          <w:sz w:val="22"/>
          <w:szCs w:val="22"/>
        </w:rPr>
        <w:footnoteRef/>
      </w:r>
      <w:r w:rsidRPr="005E343F">
        <w:rPr>
          <w:sz w:val="22"/>
          <w:szCs w:val="22"/>
        </w:rPr>
        <w:t xml:space="preserve"> </w:t>
      </w:r>
      <w:r w:rsidRPr="005E343F">
        <w:rPr>
          <w:i/>
          <w:sz w:val="22"/>
          <w:szCs w:val="22"/>
        </w:rPr>
        <w:t xml:space="preserve">See Energy Efficiency and Conservation, </w:t>
      </w:r>
      <w:r w:rsidRPr="005E343F">
        <w:rPr>
          <w:sz w:val="22"/>
          <w:szCs w:val="22"/>
        </w:rPr>
        <w:t>Secretarial Letter, (</w:t>
      </w:r>
      <w:r w:rsidRPr="005E343F">
        <w:rPr>
          <w:i/>
          <w:sz w:val="22"/>
          <w:szCs w:val="22"/>
        </w:rPr>
        <w:t>March 4, 2011 Secretarial Letter</w:t>
      </w:r>
      <w:r w:rsidRPr="005E343F">
        <w:rPr>
          <w:sz w:val="22"/>
          <w:szCs w:val="22"/>
        </w:rPr>
        <w:t>) at Docket No. M-2008-2069887, served March 4, 2011</w:t>
      </w:r>
    </w:p>
  </w:footnote>
  <w:footnote w:id="59">
    <w:p w:rsidR="00A75905" w:rsidRDefault="00A75905" w:rsidP="00F42BB9">
      <w:pPr>
        <w:pStyle w:val="FootnoteText"/>
      </w:pPr>
      <w:r w:rsidRPr="00926B15">
        <w:rPr>
          <w:rStyle w:val="FootnoteReference"/>
          <w:sz w:val="22"/>
          <w:szCs w:val="22"/>
        </w:rPr>
        <w:footnoteRef/>
      </w:r>
      <w:r w:rsidRPr="00926B15">
        <w:rPr>
          <w:sz w:val="22"/>
          <w:szCs w:val="22"/>
        </w:rPr>
        <w:t xml:space="preserve">  </w:t>
      </w:r>
      <w:hyperlink r:id="rId10" w:history="1">
        <w:r w:rsidRPr="00A3581E">
          <w:rPr>
            <w:rStyle w:val="Hyperlink"/>
            <w:sz w:val="22"/>
            <w:szCs w:val="22"/>
          </w:rPr>
          <w:t>http://www.puc.state.pa.us/electric/Act_129_info.aspx</w:t>
        </w:r>
      </w:hyperlink>
      <w:r w:rsidRPr="00A3581E">
        <w:rPr>
          <w:sz w:val="22"/>
          <w:szCs w:val="22"/>
        </w:rPr>
        <w:t>.</w:t>
      </w:r>
      <w:r w:rsidRPr="00926B15">
        <w:rPr>
          <w:sz w:val="22"/>
          <w:szCs w:val="22"/>
        </w:rPr>
        <w:t xml:space="preserve"> </w:t>
      </w:r>
    </w:p>
  </w:footnote>
  <w:footnote w:id="60">
    <w:p w:rsidR="00A75905" w:rsidRPr="00A13C19" w:rsidRDefault="00A75905" w:rsidP="00375611">
      <w:pPr>
        <w:rPr>
          <w:color w:val="1F497D"/>
          <w:sz w:val="22"/>
          <w:szCs w:val="22"/>
        </w:rPr>
      </w:pPr>
      <w:r w:rsidRPr="0092760C">
        <w:rPr>
          <w:rStyle w:val="FootnoteReference"/>
          <w:color w:val="000000"/>
          <w:sz w:val="22"/>
          <w:szCs w:val="22"/>
        </w:rPr>
        <w:footnoteRef/>
      </w:r>
      <w:r w:rsidRPr="0092760C">
        <w:rPr>
          <w:color w:val="000000"/>
          <w:sz w:val="22"/>
          <w:szCs w:val="22"/>
        </w:rPr>
        <w:t xml:space="preserve">  </w:t>
      </w:r>
      <w:r w:rsidRPr="0092760C">
        <w:rPr>
          <w:i/>
          <w:sz w:val="22"/>
          <w:szCs w:val="22"/>
        </w:rPr>
        <w:t>The California Standard Practice Manual – Economic Analysis of Demand</w:t>
      </w:r>
      <w:r w:rsidRPr="0092760C">
        <w:rPr>
          <w:i/>
          <w:sz w:val="22"/>
          <w:szCs w:val="22"/>
        </w:rPr>
        <w:noBreakHyphen/>
        <w:t>Side Programs and Projects</w:t>
      </w:r>
      <w:r w:rsidRPr="0092760C">
        <w:rPr>
          <w:sz w:val="22"/>
          <w:szCs w:val="22"/>
        </w:rPr>
        <w:t xml:space="preserve">, July 2002, p. 18.  </w:t>
      </w:r>
      <w:r w:rsidRPr="0092760C">
        <w:rPr>
          <w:i/>
          <w:color w:val="000000"/>
          <w:sz w:val="22"/>
          <w:szCs w:val="22"/>
        </w:rPr>
        <w:t>See</w:t>
      </w:r>
      <w:r w:rsidRPr="0092760C">
        <w:rPr>
          <w:color w:val="1F497D"/>
          <w:sz w:val="22"/>
          <w:szCs w:val="22"/>
        </w:rPr>
        <w:t xml:space="preserve"> </w:t>
      </w:r>
      <w:hyperlink r:id="rId11" w:history="1">
        <w:r w:rsidRPr="0092760C">
          <w:rPr>
            <w:rStyle w:val="Hyperlink"/>
            <w:sz w:val="22"/>
            <w:szCs w:val="22"/>
          </w:rPr>
          <w:t>http://www.calmac.org/events/SPM_9_20_02.pdf</w:t>
        </w:r>
      </w:hyperlink>
      <w:r w:rsidRPr="0092760C">
        <w:rPr>
          <w:color w:val="1F497D"/>
          <w:sz w:val="22"/>
          <w:szCs w:val="22"/>
        </w:rPr>
        <w:t>.</w:t>
      </w:r>
    </w:p>
    <w:p w:rsidR="00A75905" w:rsidRDefault="00A75905" w:rsidP="0037561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4170"/>
    <w:multiLevelType w:val="hybridMultilevel"/>
    <w:tmpl w:val="BE86A27E"/>
    <w:lvl w:ilvl="0" w:tplc="105AA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380BFA"/>
    <w:multiLevelType w:val="hybridMultilevel"/>
    <w:tmpl w:val="7A2E9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726268"/>
    <w:multiLevelType w:val="hybridMultilevel"/>
    <w:tmpl w:val="A62EB438"/>
    <w:lvl w:ilvl="0" w:tplc="A82E7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0C6CA5"/>
    <w:multiLevelType w:val="hybridMultilevel"/>
    <w:tmpl w:val="121CFA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C64F8"/>
    <w:multiLevelType w:val="hybridMultilevel"/>
    <w:tmpl w:val="331AFAE0"/>
    <w:lvl w:ilvl="0" w:tplc="961C517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ED04F66"/>
    <w:multiLevelType w:val="hybridMultilevel"/>
    <w:tmpl w:val="F252E586"/>
    <w:lvl w:ilvl="0" w:tplc="9080F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EC2CAD"/>
    <w:multiLevelType w:val="hybridMultilevel"/>
    <w:tmpl w:val="D7045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323A66"/>
    <w:multiLevelType w:val="hybridMultilevel"/>
    <w:tmpl w:val="86388FCA"/>
    <w:lvl w:ilvl="0" w:tplc="D2F475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95F0A"/>
    <w:multiLevelType w:val="hybridMultilevel"/>
    <w:tmpl w:val="50D209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5F2EDD"/>
    <w:multiLevelType w:val="hybridMultilevel"/>
    <w:tmpl w:val="441C5D3C"/>
    <w:lvl w:ilvl="0" w:tplc="2CCAA71A">
      <w:start w:val="1"/>
      <w:numFmt w:val="lowerLetter"/>
      <w:lvlText w:val="%1)"/>
      <w:lvlJc w:val="left"/>
      <w:pPr>
        <w:ind w:left="1080" w:hanging="360"/>
      </w:pPr>
      <w:rPr>
        <w:rFonts w:ascii="Times New Roman" w:hAnsi="Times New Roman" w:cs="Times New Roman"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BF723A"/>
    <w:multiLevelType w:val="hybridMultilevel"/>
    <w:tmpl w:val="5552A066"/>
    <w:lvl w:ilvl="0" w:tplc="B26EC4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0877A5"/>
    <w:multiLevelType w:val="hybridMultilevel"/>
    <w:tmpl w:val="E2788F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86FCC"/>
    <w:multiLevelType w:val="hybridMultilevel"/>
    <w:tmpl w:val="6AFA5CC4"/>
    <w:lvl w:ilvl="0" w:tplc="81063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0B2B8E"/>
    <w:multiLevelType w:val="hybridMultilevel"/>
    <w:tmpl w:val="49DCC950"/>
    <w:lvl w:ilvl="0" w:tplc="BB424E0E">
      <w:start w:val="1"/>
      <w:numFmt w:val="upperLetter"/>
      <w:lvlText w:val="%1."/>
      <w:lvlJc w:val="left"/>
      <w:pPr>
        <w:ind w:left="1080" w:hanging="360"/>
      </w:pPr>
      <w:rPr>
        <w:rFonts w:hint="default"/>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224D93"/>
    <w:multiLevelType w:val="hybridMultilevel"/>
    <w:tmpl w:val="61AEDCE4"/>
    <w:lvl w:ilvl="0" w:tplc="C4B861AC">
      <w:start w:val="1"/>
      <w:numFmt w:val="upperRoman"/>
      <w:lvlText w:val="%1."/>
      <w:lvlJc w:val="left"/>
      <w:pPr>
        <w:ind w:left="1080" w:hanging="720"/>
      </w:pPr>
      <w:rPr>
        <w:rFonts w:hint="default"/>
        <w:b/>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001002"/>
    <w:multiLevelType w:val="hybridMultilevel"/>
    <w:tmpl w:val="C5FA7F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C14A14"/>
    <w:multiLevelType w:val="hybridMultilevel"/>
    <w:tmpl w:val="2ED884F2"/>
    <w:lvl w:ilvl="0" w:tplc="DBCE2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7E4AF1"/>
    <w:multiLevelType w:val="hybridMultilevel"/>
    <w:tmpl w:val="14AE9946"/>
    <w:lvl w:ilvl="0" w:tplc="4F1E9F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E468D0"/>
    <w:multiLevelType w:val="hybridMultilevel"/>
    <w:tmpl w:val="019E6132"/>
    <w:lvl w:ilvl="0" w:tplc="41109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373268"/>
    <w:multiLevelType w:val="hybridMultilevel"/>
    <w:tmpl w:val="6262CBA0"/>
    <w:lvl w:ilvl="0" w:tplc="E0D28CC8">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63F31E56"/>
    <w:multiLevelType w:val="multilevel"/>
    <w:tmpl w:val="8868649E"/>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rFonts w:ascii="Times New Roman" w:hAnsi="Times New Roman" w:cs="Times New Roman" w:hint="default"/>
        <w:b w:val="0"/>
        <w:color w:val="000000" w:themeColor="text1"/>
      </w:rPr>
    </w:lvl>
    <w:lvl w:ilvl="2">
      <w:start w:val="1"/>
      <w:numFmt w:val="decimal"/>
      <w:pStyle w:val="Heading3"/>
      <w:lvlText w:val="%3."/>
      <w:lvlJc w:val="left"/>
      <w:pPr>
        <w:ind w:left="1440" w:firstLine="0"/>
      </w:pPr>
      <w:rPr>
        <w:color w:val="000000" w:themeColor="text1"/>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nsid w:val="646D6392"/>
    <w:multiLevelType w:val="hybridMultilevel"/>
    <w:tmpl w:val="808E4372"/>
    <w:lvl w:ilvl="0" w:tplc="A82E7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B43CFD"/>
    <w:multiLevelType w:val="hybridMultilevel"/>
    <w:tmpl w:val="378E8C04"/>
    <w:lvl w:ilvl="0" w:tplc="C53AD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A871A4"/>
    <w:multiLevelType w:val="hybridMultilevel"/>
    <w:tmpl w:val="FBB62F44"/>
    <w:lvl w:ilvl="0" w:tplc="A82E74D0">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427865"/>
    <w:multiLevelType w:val="hybridMultilevel"/>
    <w:tmpl w:val="F8F68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B1E4B"/>
    <w:multiLevelType w:val="hybridMultilevel"/>
    <w:tmpl w:val="CAF2294C"/>
    <w:lvl w:ilvl="0" w:tplc="CAD4A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C87F66"/>
    <w:multiLevelType w:val="hybridMultilevel"/>
    <w:tmpl w:val="29503958"/>
    <w:lvl w:ilvl="0" w:tplc="160080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513B4F"/>
    <w:multiLevelType w:val="hybridMultilevel"/>
    <w:tmpl w:val="F1120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001393"/>
    <w:multiLevelType w:val="hybridMultilevel"/>
    <w:tmpl w:val="5DD673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7CC91160"/>
    <w:multiLevelType w:val="hybridMultilevel"/>
    <w:tmpl w:val="FA1A6EC4"/>
    <w:lvl w:ilvl="0" w:tplc="9D961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FB462C4"/>
    <w:multiLevelType w:val="hybridMultilevel"/>
    <w:tmpl w:val="916448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0"/>
  </w:num>
  <w:num w:numId="3">
    <w:abstractNumId w:val="1"/>
  </w:num>
  <w:num w:numId="4">
    <w:abstractNumId w:val="22"/>
  </w:num>
  <w:num w:numId="5">
    <w:abstractNumId w:val="29"/>
  </w:num>
  <w:num w:numId="6">
    <w:abstractNumId w:val="0"/>
  </w:num>
  <w:num w:numId="7">
    <w:abstractNumId w:val="17"/>
  </w:num>
  <w:num w:numId="8">
    <w:abstractNumId w:val="10"/>
  </w:num>
  <w:num w:numId="9">
    <w:abstractNumId w:val="23"/>
  </w:num>
  <w:num w:numId="10">
    <w:abstractNumId w:val="11"/>
  </w:num>
  <w:num w:numId="11">
    <w:abstractNumId w:val="2"/>
  </w:num>
  <w:num w:numId="12">
    <w:abstractNumId w:val="9"/>
  </w:num>
  <w:num w:numId="13">
    <w:abstractNumId w:val="21"/>
  </w:num>
  <w:num w:numId="14">
    <w:abstractNumId w:val="12"/>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4"/>
  </w:num>
  <w:num w:numId="18">
    <w:abstractNumId w:val="26"/>
  </w:num>
  <w:num w:numId="19">
    <w:abstractNumId w:val="3"/>
  </w:num>
  <w:num w:numId="20">
    <w:abstractNumId w:val="16"/>
  </w:num>
  <w:num w:numId="21">
    <w:abstractNumId w:val="18"/>
  </w:num>
  <w:num w:numId="22">
    <w:abstractNumId w:val="5"/>
  </w:num>
  <w:num w:numId="23">
    <w:abstractNumId w:val="8"/>
  </w:num>
  <w:num w:numId="24">
    <w:abstractNumId w:val="20"/>
  </w:num>
  <w:num w:numId="25">
    <w:abstractNumId w:val="14"/>
  </w:num>
  <w:num w:numId="26">
    <w:abstractNumId w:val="7"/>
  </w:num>
  <w:num w:numId="27">
    <w:abstractNumId w:val="13"/>
  </w:num>
  <w:num w:numId="28">
    <w:abstractNumId w:val="27"/>
  </w:num>
  <w:num w:numId="29">
    <w:abstractNumId w:val="24"/>
  </w:num>
  <w:num w:numId="30">
    <w:abstractNumId w:val="15"/>
  </w:num>
  <w:num w:numId="31">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50"/>
    <w:rsid w:val="00023900"/>
    <w:rsid w:val="000264B4"/>
    <w:rsid w:val="00026BA6"/>
    <w:rsid w:val="000277A5"/>
    <w:rsid w:val="00030267"/>
    <w:rsid w:val="00030CB8"/>
    <w:rsid w:val="00034A3C"/>
    <w:rsid w:val="000403EE"/>
    <w:rsid w:val="00045FA7"/>
    <w:rsid w:val="00052C78"/>
    <w:rsid w:val="00053523"/>
    <w:rsid w:val="00056AD0"/>
    <w:rsid w:val="00062307"/>
    <w:rsid w:val="00062F7D"/>
    <w:rsid w:val="00065354"/>
    <w:rsid w:val="000726CE"/>
    <w:rsid w:val="00072A45"/>
    <w:rsid w:val="00072C67"/>
    <w:rsid w:val="00074816"/>
    <w:rsid w:val="00080AC7"/>
    <w:rsid w:val="00082F3E"/>
    <w:rsid w:val="00092E36"/>
    <w:rsid w:val="0009589A"/>
    <w:rsid w:val="000A272B"/>
    <w:rsid w:val="000A3C2E"/>
    <w:rsid w:val="000A7DCB"/>
    <w:rsid w:val="000B43EE"/>
    <w:rsid w:val="000B4AB3"/>
    <w:rsid w:val="000B68E8"/>
    <w:rsid w:val="000B6C9F"/>
    <w:rsid w:val="000C6805"/>
    <w:rsid w:val="000D1E00"/>
    <w:rsid w:val="000D3ECB"/>
    <w:rsid w:val="000D577A"/>
    <w:rsid w:val="000D5FA5"/>
    <w:rsid w:val="000D76E5"/>
    <w:rsid w:val="000E1ED7"/>
    <w:rsid w:val="000F3E6A"/>
    <w:rsid w:val="000F461D"/>
    <w:rsid w:val="000F575B"/>
    <w:rsid w:val="000F67B9"/>
    <w:rsid w:val="001006AC"/>
    <w:rsid w:val="00102220"/>
    <w:rsid w:val="00103FC5"/>
    <w:rsid w:val="0010497F"/>
    <w:rsid w:val="0010524E"/>
    <w:rsid w:val="00105711"/>
    <w:rsid w:val="00106BB4"/>
    <w:rsid w:val="00106D3F"/>
    <w:rsid w:val="00107FD8"/>
    <w:rsid w:val="00110A24"/>
    <w:rsid w:val="0011696E"/>
    <w:rsid w:val="00121859"/>
    <w:rsid w:val="0012276A"/>
    <w:rsid w:val="00125043"/>
    <w:rsid w:val="0013198E"/>
    <w:rsid w:val="00132B64"/>
    <w:rsid w:val="00137CA1"/>
    <w:rsid w:val="00142D38"/>
    <w:rsid w:val="00145E22"/>
    <w:rsid w:val="00145FAF"/>
    <w:rsid w:val="00147CF1"/>
    <w:rsid w:val="00150850"/>
    <w:rsid w:val="00153905"/>
    <w:rsid w:val="00153932"/>
    <w:rsid w:val="0016772F"/>
    <w:rsid w:val="001727F1"/>
    <w:rsid w:val="00175CE6"/>
    <w:rsid w:val="00176350"/>
    <w:rsid w:val="00183B3B"/>
    <w:rsid w:val="00193E37"/>
    <w:rsid w:val="00197671"/>
    <w:rsid w:val="001A075F"/>
    <w:rsid w:val="001A20A5"/>
    <w:rsid w:val="001A53BB"/>
    <w:rsid w:val="001A71EC"/>
    <w:rsid w:val="001B2FDE"/>
    <w:rsid w:val="001B5D67"/>
    <w:rsid w:val="001C5AFB"/>
    <w:rsid w:val="001C5D50"/>
    <w:rsid w:val="001D2847"/>
    <w:rsid w:val="001E408B"/>
    <w:rsid w:val="001E5E5E"/>
    <w:rsid w:val="001E5F89"/>
    <w:rsid w:val="001F0689"/>
    <w:rsid w:val="001F1D0A"/>
    <w:rsid w:val="001F355E"/>
    <w:rsid w:val="001F462B"/>
    <w:rsid w:val="001F4947"/>
    <w:rsid w:val="001F5659"/>
    <w:rsid w:val="00200D22"/>
    <w:rsid w:val="00205C96"/>
    <w:rsid w:val="00205D3D"/>
    <w:rsid w:val="00206F13"/>
    <w:rsid w:val="00210F48"/>
    <w:rsid w:val="002122CB"/>
    <w:rsid w:val="00213D85"/>
    <w:rsid w:val="0021572E"/>
    <w:rsid w:val="002166DA"/>
    <w:rsid w:val="00221B6C"/>
    <w:rsid w:val="00230939"/>
    <w:rsid w:val="0023095B"/>
    <w:rsid w:val="00235FE6"/>
    <w:rsid w:val="0025145D"/>
    <w:rsid w:val="00255DB6"/>
    <w:rsid w:val="00256620"/>
    <w:rsid w:val="002641D7"/>
    <w:rsid w:val="00265F85"/>
    <w:rsid w:val="00267E2B"/>
    <w:rsid w:val="00270284"/>
    <w:rsid w:val="00274BD7"/>
    <w:rsid w:val="002804D2"/>
    <w:rsid w:val="00283B32"/>
    <w:rsid w:val="00291C67"/>
    <w:rsid w:val="00293D56"/>
    <w:rsid w:val="002A2F04"/>
    <w:rsid w:val="002A5EFA"/>
    <w:rsid w:val="002A6B66"/>
    <w:rsid w:val="002A749B"/>
    <w:rsid w:val="002B2868"/>
    <w:rsid w:val="002B2F21"/>
    <w:rsid w:val="002B3DF4"/>
    <w:rsid w:val="002B5148"/>
    <w:rsid w:val="002C2D78"/>
    <w:rsid w:val="002C45C0"/>
    <w:rsid w:val="002C71BA"/>
    <w:rsid w:val="002D7837"/>
    <w:rsid w:val="002E56D0"/>
    <w:rsid w:val="002E6B7B"/>
    <w:rsid w:val="002E75FB"/>
    <w:rsid w:val="002F1828"/>
    <w:rsid w:val="002F245E"/>
    <w:rsid w:val="002F4C1B"/>
    <w:rsid w:val="003000D8"/>
    <w:rsid w:val="00300CD8"/>
    <w:rsid w:val="00300DEA"/>
    <w:rsid w:val="0030194E"/>
    <w:rsid w:val="00302FB5"/>
    <w:rsid w:val="00304F82"/>
    <w:rsid w:val="003100D2"/>
    <w:rsid w:val="003109B6"/>
    <w:rsid w:val="003117EE"/>
    <w:rsid w:val="0031393A"/>
    <w:rsid w:val="00330714"/>
    <w:rsid w:val="0033144C"/>
    <w:rsid w:val="0033253C"/>
    <w:rsid w:val="00334081"/>
    <w:rsid w:val="00335A41"/>
    <w:rsid w:val="003360C2"/>
    <w:rsid w:val="003364C7"/>
    <w:rsid w:val="00336FA9"/>
    <w:rsid w:val="00351F19"/>
    <w:rsid w:val="00353B8C"/>
    <w:rsid w:val="00363745"/>
    <w:rsid w:val="00364620"/>
    <w:rsid w:val="0036493E"/>
    <w:rsid w:val="00364B12"/>
    <w:rsid w:val="003710A1"/>
    <w:rsid w:val="00374CB3"/>
    <w:rsid w:val="00375611"/>
    <w:rsid w:val="00375AD4"/>
    <w:rsid w:val="00386AC4"/>
    <w:rsid w:val="0038784B"/>
    <w:rsid w:val="00392B2A"/>
    <w:rsid w:val="00392C09"/>
    <w:rsid w:val="003A09BA"/>
    <w:rsid w:val="003A474C"/>
    <w:rsid w:val="003A4F27"/>
    <w:rsid w:val="003A5B5E"/>
    <w:rsid w:val="003A7E7F"/>
    <w:rsid w:val="003B25DA"/>
    <w:rsid w:val="003B548C"/>
    <w:rsid w:val="003B6079"/>
    <w:rsid w:val="003C2BCA"/>
    <w:rsid w:val="003D2855"/>
    <w:rsid w:val="003D3B08"/>
    <w:rsid w:val="003E61C1"/>
    <w:rsid w:val="003E7B81"/>
    <w:rsid w:val="003F0E52"/>
    <w:rsid w:val="003F2312"/>
    <w:rsid w:val="003F4289"/>
    <w:rsid w:val="00400917"/>
    <w:rsid w:val="0040551F"/>
    <w:rsid w:val="004127C9"/>
    <w:rsid w:val="00421332"/>
    <w:rsid w:val="004221D0"/>
    <w:rsid w:val="00436DFE"/>
    <w:rsid w:val="00436F29"/>
    <w:rsid w:val="00437848"/>
    <w:rsid w:val="00437999"/>
    <w:rsid w:val="00442E95"/>
    <w:rsid w:val="0046014B"/>
    <w:rsid w:val="00464F1A"/>
    <w:rsid w:val="00471A48"/>
    <w:rsid w:val="00475F04"/>
    <w:rsid w:val="004760C9"/>
    <w:rsid w:val="00477C48"/>
    <w:rsid w:val="00494ABC"/>
    <w:rsid w:val="00497E35"/>
    <w:rsid w:val="004B032E"/>
    <w:rsid w:val="004B60A9"/>
    <w:rsid w:val="004B7CD8"/>
    <w:rsid w:val="004C0DCB"/>
    <w:rsid w:val="004C2CA6"/>
    <w:rsid w:val="004C45F3"/>
    <w:rsid w:val="004C59E4"/>
    <w:rsid w:val="004D0031"/>
    <w:rsid w:val="004D3654"/>
    <w:rsid w:val="004F4FDF"/>
    <w:rsid w:val="004F564F"/>
    <w:rsid w:val="0050245F"/>
    <w:rsid w:val="0050377A"/>
    <w:rsid w:val="00505B2C"/>
    <w:rsid w:val="005064B3"/>
    <w:rsid w:val="005119CC"/>
    <w:rsid w:val="0051321B"/>
    <w:rsid w:val="0051497A"/>
    <w:rsid w:val="00517351"/>
    <w:rsid w:val="00517CF9"/>
    <w:rsid w:val="00522824"/>
    <w:rsid w:val="005364F6"/>
    <w:rsid w:val="005400E8"/>
    <w:rsid w:val="00542270"/>
    <w:rsid w:val="00543A18"/>
    <w:rsid w:val="00550795"/>
    <w:rsid w:val="0055490E"/>
    <w:rsid w:val="00554F63"/>
    <w:rsid w:val="00556826"/>
    <w:rsid w:val="00563850"/>
    <w:rsid w:val="00563DF7"/>
    <w:rsid w:val="00570D97"/>
    <w:rsid w:val="00571FE3"/>
    <w:rsid w:val="00576160"/>
    <w:rsid w:val="00580CC2"/>
    <w:rsid w:val="00584A78"/>
    <w:rsid w:val="0059154D"/>
    <w:rsid w:val="00597136"/>
    <w:rsid w:val="005977FC"/>
    <w:rsid w:val="005B26DF"/>
    <w:rsid w:val="005C0B28"/>
    <w:rsid w:val="005C5BA3"/>
    <w:rsid w:val="005D518B"/>
    <w:rsid w:val="005D6A99"/>
    <w:rsid w:val="005E343F"/>
    <w:rsid w:val="006002BE"/>
    <w:rsid w:val="00600A1C"/>
    <w:rsid w:val="00603211"/>
    <w:rsid w:val="00603596"/>
    <w:rsid w:val="00606292"/>
    <w:rsid w:val="00612B43"/>
    <w:rsid w:val="006137A4"/>
    <w:rsid w:val="00615BDE"/>
    <w:rsid w:val="00615F90"/>
    <w:rsid w:val="00616D4D"/>
    <w:rsid w:val="006247A2"/>
    <w:rsid w:val="006271B8"/>
    <w:rsid w:val="00630D25"/>
    <w:rsid w:val="0063120F"/>
    <w:rsid w:val="00633795"/>
    <w:rsid w:val="00642F1B"/>
    <w:rsid w:val="00643076"/>
    <w:rsid w:val="0064556F"/>
    <w:rsid w:val="00650509"/>
    <w:rsid w:val="00650A70"/>
    <w:rsid w:val="00652D2A"/>
    <w:rsid w:val="0066002C"/>
    <w:rsid w:val="0066376D"/>
    <w:rsid w:val="00664195"/>
    <w:rsid w:val="00671474"/>
    <w:rsid w:val="0067250C"/>
    <w:rsid w:val="00672AEF"/>
    <w:rsid w:val="0068047D"/>
    <w:rsid w:val="00684074"/>
    <w:rsid w:val="00692351"/>
    <w:rsid w:val="006943B8"/>
    <w:rsid w:val="0069524B"/>
    <w:rsid w:val="00695738"/>
    <w:rsid w:val="00695B56"/>
    <w:rsid w:val="006971D6"/>
    <w:rsid w:val="006A5EFA"/>
    <w:rsid w:val="006A6CE6"/>
    <w:rsid w:val="006A7EB7"/>
    <w:rsid w:val="006B1949"/>
    <w:rsid w:val="006B36AD"/>
    <w:rsid w:val="006B7D94"/>
    <w:rsid w:val="006C54F5"/>
    <w:rsid w:val="006C6110"/>
    <w:rsid w:val="006D0F79"/>
    <w:rsid w:val="006D5B67"/>
    <w:rsid w:val="006E0CE8"/>
    <w:rsid w:val="006E6F27"/>
    <w:rsid w:val="007013AA"/>
    <w:rsid w:val="00702B82"/>
    <w:rsid w:val="00713077"/>
    <w:rsid w:val="007165D2"/>
    <w:rsid w:val="0072139A"/>
    <w:rsid w:val="00726645"/>
    <w:rsid w:val="007322C4"/>
    <w:rsid w:val="00734DD4"/>
    <w:rsid w:val="007352C8"/>
    <w:rsid w:val="00735981"/>
    <w:rsid w:val="00737D48"/>
    <w:rsid w:val="00740831"/>
    <w:rsid w:val="0074744E"/>
    <w:rsid w:val="00747C85"/>
    <w:rsid w:val="007508CD"/>
    <w:rsid w:val="00760692"/>
    <w:rsid w:val="00763C5C"/>
    <w:rsid w:val="0076711D"/>
    <w:rsid w:val="00767169"/>
    <w:rsid w:val="007672BA"/>
    <w:rsid w:val="00767C1B"/>
    <w:rsid w:val="0077065C"/>
    <w:rsid w:val="00771F35"/>
    <w:rsid w:val="007733F3"/>
    <w:rsid w:val="0077547A"/>
    <w:rsid w:val="007770CC"/>
    <w:rsid w:val="007824FC"/>
    <w:rsid w:val="0079206F"/>
    <w:rsid w:val="007978A2"/>
    <w:rsid w:val="007A252C"/>
    <w:rsid w:val="007A29D1"/>
    <w:rsid w:val="007B3D37"/>
    <w:rsid w:val="007C37D7"/>
    <w:rsid w:val="007C69F6"/>
    <w:rsid w:val="007C7980"/>
    <w:rsid w:val="007C7D4A"/>
    <w:rsid w:val="007D07ED"/>
    <w:rsid w:val="007D0EE9"/>
    <w:rsid w:val="007D6ECB"/>
    <w:rsid w:val="007F1C9D"/>
    <w:rsid w:val="007F7AEF"/>
    <w:rsid w:val="0080297A"/>
    <w:rsid w:val="00816751"/>
    <w:rsid w:val="0081693B"/>
    <w:rsid w:val="00820EFD"/>
    <w:rsid w:val="0083091E"/>
    <w:rsid w:val="008314FA"/>
    <w:rsid w:val="00831F55"/>
    <w:rsid w:val="00834081"/>
    <w:rsid w:val="008344A1"/>
    <w:rsid w:val="008359C2"/>
    <w:rsid w:val="008369BF"/>
    <w:rsid w:val="00842A7C"/>
    <w:rsid w:val="00843A35"/>
    <w:rsid w:val="008449D8"/>
    <w:rsid w:val="00845278"/>
    <w:rsid w:val="008455DB"/>
    <w:rsid w:val="00845F20"/>
    <w:rsid w:val="00847AB5"/>
    <w:rsid w:val="0085210B"/>
    <w:rsid w:val="00852B1D"/>
    <w:rsid w:val="008543B9"/>
    <w:rsid w:val="00855963"/>
    <w:rsid w:val="00857C6F"/>
    <w:rsid w:val="00862220"/>
    <w:rsid w:val="0086296D"/>
    <w:rsid w:val="00863D5F"/>
    <w:rsid w:val="00864FFE"/>
    <w:rsid w:val="00874A17"/>
    <w:rsid w:val="008779C4"/>
    <w:rsid w:val="00880E97"/>
    <w:rsid w:val="00881209"/>
    <w:rsid w:val="00885AEE"/>
    <w:rsid w:val="00891F93"/>
    <w:rsid w:val="00894E05"/>
    <w:rsid w:val="00895A9E"/>
    <w:rsid w:val="008A1D1D"/>
    <w:rsid w:val="008A2263"/>
    <w:rsid w:val="008A57BB"/>
    <w:rsid w:val="008A6185"/>
    <w:rsid w:val="008B2EE4"/>
    <w:rsid w:val="008C0735"/>
    <w:rsid w:val="008C3F66"/>
    <w:rsid w:val="008C5AC5"/>
    <w:rsid w:val="008C7BF5"/>
    <w:rsid w:val="008D05AB"/>
    <w:rsid w:val="008D2551"/>
    <w:rsid w:val="008D2F8E"/>
    <w:rsid w:val="008E41BA"/>
    <w:rsid w:val="008E5FFA"/>
    <w:rsid w:val="008E71D8"/>
    <w:rsid w:val="008F3F28"/>
    <w:rsid w:val="00900539"/>
    <w:rsid w:val="00900D43"/>
    <w:rsid w:val="00903612"/>
    <w:rsid w:val="009100F0"/>
    <w:rsid w:val="0091353F"/>
    <w:rsid w:val="00913644"/>
    <w:rsid w:val="00917107"/>
    <w:rsid w:val="00924DFC"/>
    <w:rsid w:val="00926322"/>
    <w:rsid w:val="00926B15"/>
    <w:rsid w:val="00926E2C"/>
    <w:rsid w:val="0092760C"/>
    <w:rsid w:val="00931A13"/>
    <w:rsid w:val="0093226B"/>
    <w:rsid w:val="0093482C"/>
    <w:rsid w:val="009365AB"/>
    <w:rsid w:val="00936605"/>
    <w:rsid w:val="0094367A"/>
    <w:rsid w:val="00945C13"/>
    <w:rsid w:val="009573CC"/>
    <w:rsid w:val="00957ED7"/>
    <w:rsid w:val="0096027B"/>
    <w:rsid w:val="00960E14"/>
    <w:rsid w:val="00963BBF"/>
    <w:rsid w:val="00964D98"/>
    <w:rsid w:val="009728E5"/>
    <w:rsid w:val="00973F09"/>
    <w:rsid w:val="00975ABC"/>
    <w:rsid w:val="00982A49"/>
    <w:rsid w:val="009836A4"/>
    <w:rsid w:val="00986B2B"/>
    <w:rsid w:val="009871D2"/>
    <w:rsid w:val="00990896"/>
    <w:rsid w:val="00991D96"/>
    <w:rsid w:val="00992204"/>
    <w:rsid w:val="00994B14"/>
    <w:rsid w:val="0099505C"/>
    <w:rsid w:val="00997DA2"/>
    <w:rsid w:val="009A2EB0"/>
    <w:rsid w:val="009A4D6C"/>
    <w:rsid w:val="009A5E92"/>
    <w:rsid w:val="009B04CF"/>
    <w:rsid w:val="009B3A7A"/>
    <w:rsid w:val="009B56D9"/>
    <w:rsid w:val="009C4277"/>
    <w:rsid w:val="009D11F2"/>
    <w:rsid w:val="009D2977"/>
    <w:rsid w:val="009D585F"/>
    <w:rsid w:val="009D778B"/>
    <w:rsid w:val="009D7D60"/>
    <w:rsid w:val="009E3BF5"/>
    <w:rsid w:val="009E46A3"/>
    <w:rsid w:val="009F4859"/>
    <w:rsid w:val="00A00289"/>
    <w:rsid w:val="00A01491"/>
    <w:rsid w:val="00A0169D"/>
    <w:rsid w:val="00A01895"/>
    <w:rsid w:val="00A01F21"/>
    <w:rsid w:val="00A13C19"/>
    <w:rsid w:val="00A13DB9"/>
    <w:rsid w:val="00A14A33"/>
    <w:rsid w:val="00A16AC1"/>
    <w:rsid w:val="00A232B9"/>
    <w:rsid w:val="00A24F89"/>
    <w:rsid w:val="00A250C5"/>
    <w:rsid w:val="00A25DD3"/>
    <w:rsid w:val="00A25E08"/>
    <w:rsid w:val="00A26D0C"/>
    <w:rsid w:val="00A30B40"/>
    <w:rsid w:val="00A317DA"/>
    <w:rsid w:val="00A33523"/>
    <w:rsid w:val="00A357EA"/>
    <w:rsid w:val="00A3581E"/>
    <w:rsid w:val="00A401A5"/>
    <w:rsid w:val="00A41645"/>
    <w:rsid w:val="00A426D4"/>
    <w:rsid w:val="00A42760"/>
    <w:rsid w:val="00A43714"/>
    <w:rsid w:val="00A44230"/>
    <w:rsid w:val="00A444DA"/>
    <w:rsid w:val="00A45FB7"/>
    <w:rsid w:val="00A46D4C"/>
    <w:rsid w:val="00A50BDF"/>
    <w:rsid w:val="00A54194"/>
    <w:rsid w:val="00A5639F"/>
    <w:rsid w:val="00A63C59"/>
    <w:rsid w:val="00A6458B"/>
    <w:rsid w:val="00A6565D"/>
    <w:rsid w:val="00A71128"/>
    <w:rsid w:val="00A737C3"/>
    <w:rsid w:val="00A75905"/>
    <w:rsid w:val="00A75AF0"/>
    <w:rsid w:val="00A77496"/>
    <w:rsid w:val="00A86E43"/>
    <w:rsid w:val="00A873BD"/>
    <w:rsid w:val="00A931E8"/>
    <w:rsid w:val="00A93F3B"/>
    <w:rsid w:val="00A9483E"/>
    <w:rsid w:val="00A95BD1"/>
    <w:rsid w:val="00A97E8E"/>
    <w:rsid w:val="00AA5A03"/>
    <w:rsid w:val="00AB01FE"/>
    <w:rsid w:val="00AC35F5"/>
    <w:rsid w:val="00AC3E5C"/>
    <w:rsid w:val="00AC6BB2"/>
    <w:rsid w:val="00AC6E08"/>
    <w:rsid w:val="00AC6FAE"/>
    <w:rsid w:val="00AD2274"/>
    <w:rsid w:val="00AD3346"/>
    <w:rsid w:val="00AD4401"/>
    <w:rsid w:val="00AD5A43"/>
    <w:rsid w:val="00AE1404"/>
    <w:rsid w:val="00AE1C54"/>
    <w:rsid w:val="00AE2544"/>
    <w:rsid w:val="00AE739B"/>
    <w:rsid w:val="00AF1FAA"/>
    <w:rsid w:val="00AF45C3"/>
    <w:rsid w:val="00AF46D2"/>
    <w:rsid w:val="00AF57B6"/>
    <w:rsid w:val="00B01787"/>
    <w:rsid w:val="00B17F1A"/>
    <w:rsid w:val="00B26459"/>
    <w:rsid w:val="00B270A5"/>
    <w:rsid w:val="00B3506F"/>
    <w:rsid w:val="00B3566A"/>
    <w:rsid w:val="00B36FE5"/>
    <w:rsid w:val="00B5063F"/>
    <w:rsid w:val="00B54156"/>
    <w:rsid w:val="00B62A9E"/>
    <w:rsid w:val="00B641C0"/>
    <w:rsid w:val="00B66372"/>
    <w:rsid w:val="00B71146"/>
    <w:rsid w:val="00B72D4A"/>
    <w:rsid w:val="00B75037"/>
    <w:rsid w:val="00B75449"/>
    <w:rsid w:val="00B86DE8"/>
    <w:rsid w:val="00B92812"/>
    <w:rsid w:val="00B92DB0"/>
    <w:rsid w:val="00B97E10"/>
    <w:rsid w:val="00BA04A6"/>
    <w:rsid w:val="00BA0DC6"/>
    <w:rsid w:val="00BA488E"/>
    <w:rsid w:val="00BB4A32"/>
    <w:rsid w:val="00BB62C2"/>
    <w:rsid w:val="00BB70E4"/>
    <w:rsid w:val="00BC4393"/>
    <w:rsid w:val="00BC5A8D"/>
    <w:rsid w:val="00BC5F0D"/>
    <w:rsid w:val="00BC6BDB"/>
    <w:rsid w:val="00BC6F3A"/>
    <w:rsid w:val="00BD4C1A"/>
    <w:rsid w:val="00BD4CA7"/>
    <w:rsid w:val="00BF1B9A"/>
    <w:rsid w:val="00BF50AF"/>
    <w:rsid w:val="00BF5531"/>
    <w:rsid w:val="00C029CB"/>
    <w:rsid w:val="00C03C64"/>
    <w:rsid w:val="00C075FD"/>
    <w:rsid w:val="00C07C69"/>
    <w:rsid w:val="00C11C8A"/>
    <w:rsid w:val="00C1639A"/>
    <w:rsid w:val="00C178FA"/>
    <w:rsid w:val="00C25E9F"/>
    <w:rsid w:val="00C30D02"/>
    <w:rsid w:val="00C37A3F"/>
    <w:rsid w:val="00C40CBE"/>
    <w:rsid w:val="00C425BC"/>
    <w:rsid w:val="00C43DBF"/>
    <w:rsid w:val="00C52EAD"/>
    <w:rsid w:val="00C57E85"/>
    <w:rsid w:val="00C64696"/>
    <w:rsid w:val="00C65990"/>
    <w:rsid w:val="00C65BB0"/>
    <w:rsid w:val="00C74834"/>
    <w:rsid w:val="00C9396B"/>
    <w:rsid w:val="00C961A7"/>
    <w:rsid w:val="00CA66E2"/>
    <w:rsid w:val="00CB236F"/>
    <w:rsid w:val="00CB3D48"/>
    <w:rsid w:val="00CC3778"/>
    <w:rsid w:val="00CD237E"/>
    <w:rsid w:val="00CD41D0"/>
    <w:rsid w:val="00CE0FA4"/>
    <w:rsid w:val="00CE619D"/>
    <w:rsid w:val="00CE7A3D"/>
    <w:rsid w:val="00CE7F42"/>
    <w:rsid w:val="00CF0167"/>
    <w:rsid w:val="00CF1E66"/>
    <w:rsid w:val="00CF6523"/>
    <w:rsid w:val="00CF7F5E"/>
    <w:rsid w:val="00D04789"/>
    <w:rsid w:val="00D103B1"/>
    <w:rsid w:val="00D12AF2"/>
    <w:rsid w:val="00D12C8B"/>
    <w:rsid w:val="00D16085"/>
    <w:rsid w:val="00D16E1B"/>
    <w:rsid w:val="00D22627"/>
    <w:rsid w:val="00D2508E"/>
    <w:rsid w:val="00D27325"/>
    <w:rsid w:val="00D316BD"/>
    <w:rsid w:val="00D31BAD"/>
    <w:rsid w:val="00D3483C"/>
    <w:rsid w:val="00D4401A"/>
    <w:rsid w:val="00D46558"/>
    <w:rsid w:val="00D600F0"/>
    <w:rsid w:val="00D60730"/>
    <w:rsid w:val="00D62A1D"/>
    <w:rsid w:val="00D663D4"/>
    <w:rsid w:val="00D663DB"/>
    <w:rsid w:val="00D75DD7"/>
    <w:rsid w:val="00D76BBE"/>
    <w:rsid w:val="00D80726"/>
    <w:rsid w:val="00D82587"/>
    <w:rsid w:val="00D82CB0"/>
    <w:rsid w:val="00D83394"/>
    <w:rsid w:val="00D83BFB"/>
    <w:rsid w:val="00D90559"/>
    <w:rsid w:val="00D909CF"/>
    <w:rsid w:val="00D961B8"/>
    <w:rsid w:val="00DA2767"/>
    <w:rsid w:val="00DA3968"/>
    <w:rsid w:val="00DB12D0"/>
    <w:rsid w:val="00DB2C3D"/>
    <w:rsid w:val="00DB3953"/>
    <w:rsid w:val="00DB76A1"/>
    <w:rsid w:val="00DC0077"/>
    <w:rsid w:val="00DC1211"/>
    <w:rsid w:val="00DC6748"/>
    <w:rsid w:val="00DC6E03"/>
    <w:rsid w:val="00DD107A"/>
    <w:rsid w:val="00DE1DFB"/>
    <w:rsid w:val="00DF0156"/>
    <w:rsid w:val="00DF1F55"/>
    <w:rsid w:val="00DF306C"/>
    <w:rsid w:val="00DF6BAB"/>
    <w:rsid w:val="00DF7B31"/>
    <w:rsid w:val="00E02F19"/>
    <w:rsid w:val="00E0725F"/>
    <w:rsid w:val="00E0758A"/>
    <w:rsid w:val="00E128EE"/>
    <w:rsid w:val="00E1318B"/>
    <w:rsid w:val="00E14E17"/>
    <w:rsid w:val="00E14E36"/>
    <w:rsid w:val="00E1680F"/>
    <w:rsid w:val="00E2010A"/>
    <w:rsid w:val="00E2257F"/>
    <w:rsid w:val="00E31292"/>
    <w:rsid w:val="00E31BE6"/>
    <w:rsid w:val="00E40B1B"/>
    <w:rsid w:val="00E45C88"/>
    <w:rsid w:val="00E45EA9"/>
    <w:rsid w:val="00E47F43"/>
    <w:rsid w:val="00E505CE"/>
    <w:rsid w:val="00E50BAA"/>
    <w:rsid w:val="00E52654"/>
    <w:rsid w:val="00E573F1"/>
    <w:rsid w:val="00E57DFD"/>
    <w:rsid w:val="00E6000B"/>
    <w:rsid w:val="00E61494"/>
    <w:rsid w:val="00E64AB7"/>
    <w:rsid w:val="00E70518"/>
    <w:rsid w:val="00E73120"/>
    <w:rsid w:val="00E738D8"/>
    <w:rsid w:val="00E768B7"/>
    <w:rsid w:val="00E7781E"/>
    <w:rsid w:val="00E864A5"/>
    <w:rsid w:val="00E90321"/>
    <w:rsid w:val="00EB1873"/>
    <w:rsid w:val="00EB1C59"/>
    <w:rsid w:val="00EB49F3"/>
    <w:rsid w:val="00EC39F3"/>
    <w:rsid w:val="00EC69CC"/>
    <w:rsid w:val="00ED408F"/>
    <w:rsid w:val="00ED728E"/>
    <w:rsid w:val="00EE4522"/>
    <w:rsid w:val="00EE5B93"/>
    <w:rsid w:val="00EF0765"/>
    <w:rsid w:val="00EF184F"/>
    <w:rsid w:val="00EF2FB2"/>
    <w:rsid w:val="00EF326F"/>
    <w:rsid w:val="00EF3DEA"/>
    <w:rsid w:val="00EF5F48"/>
    <w:rsid w:val="00EF710C"/>
    <w:rsid w:val="00F028B7"/>
    <w:rsid w:val="00F03611"/>
    <w:rsid w:val="00F059EC"/>
    <w:rsid w:val="00F07218"/>
    <w:rsid w:val="00F12808"/>
    <w:rsid w:val="00F1423B"/>
    <w:rsid w:val="00F16078"/>
    <w:rsid w:val="00F20A1C"/>
    <w:rsid w:val="00F32029"/>
    <w:rsid w:val="00F33B00"/>
    <w:rsid w:val="00F347F1"/>
    <w:rsid w:val="00F35A77"/>
    <w:rsid w:val="00F35FF0"/>
    <w:rsid w:val="00F36023"/>
    <w:rsid w:val="00F36F8D"/>
    <w:rsid w:val="00F379CB"/>
    <w:rsid w:val="00F413D7"/>
    <w:rsid w:val="00F42BB9"/>
    <w:rsid w:val="00F52B24"/>
    <w:rsid w:val="00F53473"/>
    <w:rsid w:val="00F536A5"/>
    <w:rsid w:val="00F54115"/>
    <w:rsid w:val="00F62031"/>
    <w:rsid w:val="00F6545E"/>
    <w:rsid w:val="00F6585C"/>
    <w:rsid w:val="00F72065"/>
    <w:rsid w:val="00F76959"/>
    <w:rsid w:val="00F806CD"/>
    <w:rsid w:val="00F839FD"/>
    <w:rsid w:val="00F87C9A"/>
    <w:rsid w:val="00F910CF"/>
    <w:rsid w:val="00F97B38"/>
    <w:rsid w:val="00FA30CC"/>
    <w:rsid w:val="00FB39FA"/>
    <w:rsid w:val="00FB43F4"/>
    <w:rsid w:val="00FC0506"/>
    <w:rsid w:val="00FC22D8"/>
    <w:rsid w:val="00FD6D3D"/>
    <w:rsid w:val="00FD7722"/>
    <w:rsid w:val="00FD7EDC"/>
    <w:rsid w:val="00FE157B"/>
    <w:rsid w:val="00FE359B"/>
    <w:rsid w:val="00FE7C75"/>
    <w:rsid w:val="00FE7ED6"/>
    <w:rsid w:val="00FF1531"/>
    <w:rsid w:val="00FF3D7C"/>
    <w:rsid w:val="00FF70A1"/>
    <w:rsid w:val="00FF7B61"/>
    <w:rsid w:val="00F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3D"/>
    <w:pPr>
      <w:overflowPunct w:val="0"/>
      <w:autoSpaceDE w:val="0"/>
      <w:autoSpaceDN w:val="0"/>
      <w:adjustRightInd w:val="0"/>
      <w:textAlignment w:val="baseline"/>
    </w:pPr>
    <w:rPr>
      <w:rFonts w:ascii="Times New Roman" w:hAnsi="Times New Roman"/>
      <w:sz w:val="24"/>
    </w:rPr>
  </w:style>
  <w:style w:type="paragraph" w:styleId="Heading1">
    <w:name w:val="heading 1"/>
    <w:basedOn w:val="Normal"/>
    <w:next w:val="Normal"/>
    <w:link w:val="Heading1Char"/>
    <w:uiPriority w:val="9"/>
    <w:qFormat/>
    <w:rsid w:val="007A252C"/>
    <w:pPr>
      <w:keepNext/>
      <w:keepLines/>
      <w:numPr>
        <w:numId w:val="2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252C"/>
    <w:pPr>
      <w:keepNext/>
      <w:keepLines/>
      <w:numPr>
        <w:ilvl w:val="1"/>
        <w:numId w:val="2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252C"/>
    <w:pPr>
      <w:keepNext/>
      <w:keepLines/>
      <w:numPr>
        <w:ilvl w:val="2"/>
        <w:numId w:val="2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375611"/>
    <w:pPr>
      <w:keepNext/>
      <w:numPr>
        <w:ilvl w:val="3"/>
        <w:numId w:val="24"/>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7A252C"/>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A252C"/>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252C"/>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252C"/>
    <w:pPr>
      <w:keepNext/>
      <w:keepLines/>
      <w:numPr>
        <w:ilvl w:val="7"/>
        <w:numId w:val="2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A252C"/>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375611"/>
    <w:rPr>
      <w:b/>
      <w:bCs/>
      <w:sz w:val="28"/>
      <w:szCs w:val="28"/>
    </w:rPr>
  </w:style>
  <w:style w:type="paragraph" w:customStyle="1" w:styleId="p3">
    <w:name w:val="p3"/>
    <w:basedOn w:val="Normal"/>
    <w:rsid w:val="00CE7A3D"/>
    <w:pPr>
      <w:widowControl w:val="0"/>
      <w:tabs>
        <w:tab w:val="left" w:pos="204"/>
      </w:tabs>
      <w:overflowPunct/>
      <w:textAlignment w:val="auto"/>
    </w:pPr>
    <w:rPr>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rsid w:val="00F42BB9"/>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link w:val="FootnoteText"/>
    <w:locked/>
    <w:rsid w:val="00F42BB9"/>
    <w:rPr>
      <w:rFonts w:ascii="Times New Roman" w:hAnsi="Times New Roman" w:cs="Times New Roman"/>
      <w:sz w:val="20"/>
      <w:szCs w:val="20"/>
    </w:rPr>
  </w:style>
  <w:style w:type="character" w:styleId="FootnoteReference">
    <w:name w:val="footnote reference"/>
    <w:aliases w:val="o,fr"/>
    <w:rsid w:val="00F42BB9"/>
    <w:rPr>
      <w:rFonts w:cs="Times New Roman"/>
      <w:vertAlign w:val="superscript"/>
    </w:rPr>
  </w:style>
  <w:style w:type="paragraph" w:customStyle="1" w:styleId="p14">
    <w:name w:val="p14"/>
    <w:basedOn w:val="Normal"/>
    <w:rsid w:val="00F42BB9"/>
    <w:pPr>
      <w:widowControl w:val="0"/>
      <w:tabs>
        <w:tab w:val="left" w:pos="204"/>
      </w:tabs>
      <w:overflowPunct/>
      <w:textAlignment w:val="auto"/>
    </w:pPr>
    <w:rPr>
      <w:szCs w:val="24"/>
    </w:rPr>
  </w:style>
  <w:style w:type="paragraph" w:customStyle="1" w:styleId="p17">
    <w:name w:val="p17"/>
    <w:basedOn w:val="Normal"/>
    <w:uiPriority w:val="99"/>
    <w:rsid w:val="00F42BB9"/>
    <w:pPr>
      <w:widowControl w:val="0"/>
      <w:tabs>
        <w:tab w:val="left" w:pos="5057"/>
      </w:tabs>
      <w:overflowPunct/>
      <w:ind w:left="3617"/>
      <w:textAlignment w:val="auto"/>
    </w:pPr>
    <w:rPr>
      <w:szCs w:val="24"/>
    </w:rPr>
  </w:style>
  <w:style w:type="paragraph" w:customStyle="1" w:styleId="p18">
    <w:name w:val="p18"/>
    <w:basedOn w:val="Normal"/>
    <w:uiPriority w:val="99"/>
    <w:rsid w:val="00F42BB9"/>
    <w:pPr>
      <w:widowControl w:val="0"/>
      <w:tabs>
        <w:tab w:val="left" w:pos="5062"/>
      </w:tabs>
      <w:overflowPunct/>
      <w:ind w:left="3622"/>
      <w:textAlignment w:val="auto"/>
    </w:pPr>
    <w:rPr>
      <w:szCs w:val="24"/>
    </w:rPr>
  </w:style>
  <w:style w:type="character" w:styleId="Hyperlink">
    <w:name w:val="Hyperlink"/>
    <w:uiPriority w:val="99"/>
    <w:rsid w:val="00F42BB9"/>
    <w:rPr>
      <w:rFonts w:cs="Times New Roman"/>
      <w:color w:val="0000FF"/>
      <w:u w:val="single"/>
    </w:rPr>
  </w:style>
  <w:style w:type="paragraph" w:styleId="ListParagraph">
    <w:name w:val="List Paragraph"/>
    <w:basedOn w:val="Normal"/>
    <w:uiPriority w:val="34"/>
    <w:qFormat/>
    <w:rsid w:val="00964D98"/>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txt21">
    <w:name w:val="txt21"/>
    <w:rsid w:val="00964D98"/>
    <w:rPr>
      <w:rFonts w:ascii="Arial" w:hAnsi="Arial" w:cs="Arial"/>
      <w:color w:val="000000"/>
      <w:sz w:val="18"/>
      <w:szCs w:val="18"/>
    </w:rPr>
  </w:style>
  <w:style w:type="paragraph" w:styleId="BalloonText">
    <w:name w:val="Balloon Text"/>
    <w:basedOn w:val="Normal"/>
    <w:link w:val="BalloonTextChar"/>
    <w:uiPriority w:val="99"/>
    <w:semiHidden/>
    <w:unhideWhenUsed/>
    <w:rsid w:val="00375611"/>
    <w:rPr>
      <w:rFonts w:ascii="Tahoma" w:hAnsi="Tahoma" w:cs="Tahoma"/>
      <w:sz w:val="16"/>
      <w:szCs w:val="16"/>
    </w:rPr>
  </w:style>
  <w:style w:type="character" w:customStyle="1" w:styleId="BalloonTextChar">
    <w:name w:val="Balloon Text Char"/>
    <w:link w:val="BalloonText"/>
    <w:uiPriority w:val="99"/>
    <w:semiHidden/>
    <w:locked/>
    <w:rsid w:val="00375611"/>
    <w:rPr>
      <w:rFonts w:ascii="Tahoma" w:hAnsi="Tahoma" w:cs="Tahoma"/>
      <w:sz w:val="16"/>
      <w:szCs w:val="16"/>
    </w:rPr>
  </w:style>
  <w:style w:type="paragraph" w:styleId="BodyText2">
    <w:name w:val="Body Text 2"/>
    <w:basedOn w:val="Normal"/>
    <w:link w:val="BodyText2Char"/>
    <w:uiPriority w:val="99"/>
    <w:rsid w:val="00BC5F0D"/>
    <w:pPr>
      <w:spacing w:after="120" w:line="480" w:lineRule="auto"/>
    </w:pPr>
  </w:style>
  <w:style w:type="character" w:customStyle="1" w:styleId="BodyText2Char">
    <w:name w:val="Body Text 2 Char"/>
    <w:link w:val="BodyText2"/>
    <w:uiPriority w:val="99"/>
    <w:locked/>
    <w:rsid w:val="00BC5F0D"/>
    <w:rPr>
      <w:rFonts w:ascii="Times New Roman" w:hAnsi="Times New Roman" w:cs="Times New Roman"/>
      <w:sz w:val="20"/>
      <w:szCs w:val="20"/>
    </w:rPr>
  </w:style>
  <w:style w:type="paragraph" w:customStyle="1" w:styleId="FirmDouble05">
    <w:name w:val="Firm Double 05"/>
    <w:basedOn w:val="Normal"/>
    <w:rsid w:val="006A5EFA"/>
    <w:pPr>
      <w:overflowPunct/>
      <w:autoSpaceDE/>
      <w:autoSpaceDN/>
      <w:adjustRightInd/>
      <w:spacing w:line="480" w:lineRule="auto"/>
      <w:ind w:firstLine="720"/>
      <w:textAlignment w:val="auto"/>
    </w:pPr>
    <w:rPr>
      <w:szCs w:val="24"/>
    </w:rPr>
  </w:style>
  <w:style w:type="paragraph" w:customStyle="1" w:styleId="WBBodyText1">
    <w:name w:val="WB Body Text 1"/>
    <w:aliases w:val="B1"/>
    <w:basedOn w:val="Normal"/>
    <w:uiPriority w:val="99"/>
    <w:rsid w:val="00105711"/>
    <w:pPr>
      <w:overflowPunct/>
      <w:autoSpaceDE/>
      <w:autoSpaceDN/>
      <w:adjustRightInd/>
      <w:spacing w:after="240"/>
      <w:ind w:firstLine="720"/>
      <w:textAlignment w:val="auto"/>
    </w:pPr>
    <w:rPr>
      <w:szCs w:val="24"/>
    </w:rPr>
  </w:style>
  <w:style w:type="paragraph" w:styleId="PlainText">
    <w:name w:val="Plain Text"/>
    <w:basedOn w:val="Normal"/>
    <w:link w:val="PlainTextChar"/>
    <w:uiPriority w:val="99"/>
    <w:unhideWhenUsed/>
    <w:rsid w:val="00265F85"/>
    <w:pPr>
      <w:overflowPunct/>
      <w:autoSpaceDE/>
      <w:autoSpaceDN/>
      <w:adjustRightInd/>
      <w:textAlignment w:val="auto"/>
    </w:pPr>
    <w:rPr>
      <w:rFonts w:ascii="Consolas" w:hAnsi="Consolas"/>
      <w:sz w:val="21"/>
      <w:szCs w:val="21"/>
    </w:rPr>
  </w:style>
  <w:style w:type="character" w:customStyle="1" w:styleId="PlainTextChar">
    <w:name w:val="Plain Text Char"/>
    <w:basedOn w:val="DefaultParagraphFont"/>
    <w:link w:val="PlainText"/>
    <w:uiPriority w:val="99"/>
    <w:rsid w:val="00265F85"/>
    <w:rPr>
      <w:rFonts w:ascii="Consolas" w:hAnsi="Consolas"/>
      <w:sz w:val="21"/>
      <w:szCs w:val="21"/>
    </w:rPr>
  </w:style>
  <w:style w:type="character" w:styleId="CommentReference">
    <w:name w:val="annotation reference"/>
    <w:basedOn w:val="DefaultParagraphFont"/>
    <w:uiPriority w:val="99"/>
    <w:semiHidden/>
    <w:unhideWhenUsed/>
    <w:rsid w:val="00BF1B9A"/>
    <w:rPr>
      <w:sz w:val="16"/>
      <w:szCs w:val="16"/>
    </w:rPr>
  </w:style>
  <w:style w:type="paragraph" w:styleId="CommentText">
    <w:name w:val="annotation text"/>
    <w:basedOn w:val="Normal"/>
    <w:link w:val="CommentTextChar"/>
    <w:uiPriority w:val="99"/>
    <w:semiHidden/>
    <w:unhideWhenUsed/>
    <w:rsid w:val="00BF1B9A"/>
    <w:rPr>
      <w:sz w:val="20"/>
    </w:rPr>
  </w:style>
  <w:style w:type="character" w:customStyle="1" w:styleId="CommentTextChar">
    <w:name w:val="Comment Text Char"/>
    <w:basedOn w:val="DefaultParagraphFont"/>
    <w:link w:val="CommentText"/>
    <w:uiPriority w:val="99"/>
    <w:semiHidden/>
    <w:rsid w:val="00BF1B9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F1B9A"/>
    <w:rPr>
      <w:b/>
      <w:bCs/>
    </w:rPr>
  </w:style>
  <w:style w:type="character" w:customStyle="1" w:styleId="CommentSubjectChar">
    <w:name w:val="Comment Subject Char"/>
    <w:basedOn w:val="CommentTextChar"/>
    <w:link w:val="CommentSubject"/>
    <w:uiPriority w:val="99"/>
    <w:semiHidden/>
    <w:rsid w:val="00BF1B9A"/>
    <w:rPr>
      <w:rFonts w:ascii="Times New Roman" w:hAnsi="Times New Roman"/>
      <w:b/>
      <w:bCs/>
    </w:rPr>
  </w:style>
  <w:style w:type="paragraph" w:styleId="Header">
    <w:name w:val="header"/>
    <w:basedOn w:val="Normal"/>
    <w:link w:val="HeaderChar"/>
    <w:uiPriority w:val="99"/>
    <w:unhideWhenUsed/>
    <w:rsid w:val="0064556F"/>
    <w:pPr>
      <w:tabs>
        <w:tab w:val="center" w:pos="4680"/>
        <w:tab w:val="right" w:pos="9360"/>
      </w:tabs>
    </w:pPr>
  </w:style>
  <w:style w:type="character" w:customStyle="1" w:styleId="HeaderChar">
    <w:name w:val="Header Char"/>
    <w:basedOn w:val="DefaultParagraphFont"/>
    <w:link w:val="Header"/>
    <w:uiPriority w:val="99"/>
    <w:rsid w:val="0064556F"/>
    <w:rPr>
      <w:rFonts w:ascii="Times New Roman" w:hAnsi="Times New Roman"/>
      <w:sz w:val="24"/>
    </w:rPr>
  </w:style>
  <w:style w:type="paragraph" w:styleId="Footer">
    <w:name w:val="footer"/>
    <w:basedOn w:val="Normal"/>
    <w:link w:val="FooterChar"/>
    <w:uiPriority w:val="99"/>
    <w:unhideWhenUsed/>
    <w:rsid w:val="0064556F"/>
    <w:pPr>
      <w:tabs>
        <w:tab w:val="center" w:pos="4680"/>
        <w:tab w:val="right" w:pos="9360"/>
      </w:tabs>
    </w:pPr>
  </w:style>
  <w:style w:type="character" w:customStyle="1" w:styleId="FooterChar">
    <w:name w:val="Footer Char"/>
    <w:basedOn w:val="DefaultParagraphFont"/>
    <w:link w:val="Footer"/>
    <w:uiPriority w:val="99"/>
    <w:rsid w:val="0064556F"/>
    <w:rPr>
      <w:rFonts w:ascii="Times New Roman" w:hAnsi="Times New Roman"/>
      <w:sz w:val="24"/>
    </w:rPr>
  </w:style>
  <w:style w:type="character" w:styleId="FollowedHyperlink">
    <w:name w:val="FollowedHyperlink"/>
    <w:basedOn w:val="DefaultParagraphFont"/>
    <w:uiPriority w:val="99"/>
    <w:semiHidden/>
    <w:unhideWhenUsed/>
    <w:rsid w:val="006E6F27"/>
    <w:rPr>
      <w:color w:val="800080" w:themeColor="followedHyperlink"/>
      <w:u w:val="single"/>
    </w:rPr>
  </w:style>
  <w:style w:type="character" w:customStyle="1" w:styleId="Heading1Char">
    <w:name w:val="Heading 1 Char"/>
    <w:basedOn w:val="DefaultParagraphFont"/>
    <w:link w:val="Heading1"/>
    <w:uiPriority w:val="9"/>
    <w:rsid w:val="007A25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25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252C"/>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semiHidden/>
    <w:rsid w:val="007A252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7A252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7A252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A252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A252C"/>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3D"/>
    <w:pPr>
      <w:overflowPunct w:val="0"/>
      <w:autoSpaceDE w:val="0"/>
      <w:autoSpaceDN w:val="0"/>
      <w:adjustRightInd w:val="0"/>
      <w:textAlignment w:val="baseline"/>
    </w:pPr>
    <w:rPr>
      <w:rFonts w:ascii="Times New Roman" w:hAnsi="Times New Roman"/>
      <w:sz w:val="24"/>
    </w:rPr>
  </w:style>
  <w:style w:type="paragraph" w:styleId="Heading1">
    <w:name w:val="heading 1"/>
    <w:basedOn w:val="Normal"/>
    <w:next w:val="Normal"/>
    <w:link w:val="Heading1Char"/>
    <w:uiPriority w:val="9"/>
    <w:qFormat/>
    <w:rsid w:val="007A252C"/>
    <w:pPr>
      <w:keepNext/>
      <w:keepLines/>
      <w:numPr>
        <w:numId w:val="2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252C"/>
    <w:pPr>
      <w:keepNext/>
      <w:keepLines/>
      <w:numPr>
        <w:ilvl w:val="1"/>
        <w:numId w:val="2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252C"/>
    <w:pPr>
      <w:keepNext/>
      <w:keepLines/>
      <w:numPr>
        <w:ilvl w:val="2"/>
        <w:numId w:val="2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375611"/>
    <w:pPr>
      <w:keepNext/>
      <w:numPr>
        <w:ilvl w:val="3"/>
        <w:numId w:val="24"/>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7A252C"/>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A252C"/>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252C"/>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252C"/>
    <w:pPr>
      <w:keepNext/>
      <w:keepLines/>
      <w:numPr>
        <w:ilvl w:val="7"/>
        <w:numId w:val="2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A252C"/>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375611"/>
    <w:rPr>
      <w:b/>
      <w:bCs/>
      <w:sz w:val="28"/>
      <w:szCs w:val="28"/>
    </w:rPr>
  </w:style>
  <w:style w:type="paragraph" w:customStyle="1" w:styleId="p3">
    <w:name w:val="p3"/>
    <w:basedOn w:val="Normal"/>
    <w:rsid w:val="00CE7A3D"/>
    <w:pPr>
      <w:widowControl w:val="0"/>
      <w:tabs>
        <w:tab w:val="left" w:pos="204"/>
      </w:tabs>
      <w:overflowPunct/>
      <w:textAlignment w:val="auto"/>
    </w:pPr>
    <w:rPr>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rsid w:val="00F42BB9"/>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link w:val="FootnoteText"/>
    <w:locked/>
    <w:rsid w:val="00F42BB9"/>
    <w:rPr>
      <w:rFonts w:ascii="Times New Roman" w:hAnsi="Times New Roman" w:cs="Times New Roman"/>
      <w:sz w:val="20"/>
      <w:szCs w:val="20"/>
    </w:rPr>
  </w:style>
  <w:style w:type="character" w:styleId="FootnoteReference">
    <w:name w:val="footnote reference"/>
    <w:aliases w:val="o,fr"/>
    <w:rsid w:val="00F42BB9"/>
    <w:rPr>
      <w:rFonts w:cs="Times New Roman"/>
      <w:vertAlign w:val="superscript"/>
    </w:rPr>
  </w:style>
  <w:style w:type="paragraph" w:customStyle="1" w:styleId="p14">
    <w:name w:val="p14"/>
    <w:basedOn w:val="Normal"/>
    <w:rsid w:val="00F42BB9"/>
    <w:pPr>
      <w:widowControl w:val="0"/>
      <w:tabs>
        <w:tab w:val="left" w:pos="204"/>
      </w:tabs>
      <w:overflowPunct/>
      <w:textAlignment w:val="auto"/>
    </w:pPr>
    <w:rPr>
      <w:szCs w:val="24"/>
    </w:rPr>
  </w:style>
  <w:style w:type="paragraph" w:customStyle="1" w:styleId="p17">
    <w:name w:val="p17"/>
    <w:basedOn w:val="Normal"/>
    <w:uiPriority w:val="99"/>
    <w:rsid w:val="00F42BB9"/>
    <w:pPr>
      <w:widowControl w:val="0"/>
      <w:tabs>
        <w:tab w:val="left" w:pos="5057"/>
      </w:tabs>
      <w:overflowPunct/>
      <w:ind w:left="3617"/>
      <w:textAlignment w:val="auto"/>
    </w:pPr>
    <w:rPr>
      <w:szCs w:val="24"/>
    </w:rPr>
  </w:style>
  <w:style w:type="paragraph" w:customStyle="1" w:styleId="p18">
    <w:name w:val="p18"/>
    <w:basedOn w:val="Normal"/>
    <w:uiPriority w:val="99"/>
    <w:rsid w:val="00F42BB9"/>
    <w:pPr>
      <w:widowControl w:val="0"/>
      <w:tabs>
        <w:tab w:val="left" w:pos="5062"/>
      </w:tabs>
      <w:overflowPunct/>
      <w:ind w:left="3622"/>
      <w:textAlignment w:val="auto"/>
    </w:pPr>
    <w:rPr>
      <w:szCs w:val="24"/>
    </w:rPr>
  </w:style>
  <w:style w:type="character" w:styleId="Hyperlink">
    <w:name w:val="Hyperlink"/>
    <w:uiPriority w:val="99"/>
    <w:rsid w:val="00F42BB9"/>
    <w:rPr>
      <w:rFonts w:cs="Times New Roman"/>
      <w:color w:val="0000FF"/>
      <w:u w:val="single"/>
    </w:rPr>
  </w:style>
  <w:style w:type="paragraph" w:styleId="ListParagraph">
    <w:name w:val="List Paragraph"/>
    <w:basedOn w:val="Normal"/>
    <w:uiPriority w:val="34"/>
    <w:qFormat/>
    <w:rsid w:val="00964D98"/>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txt21">
    <w:name w:val="txt21"/>
    <w:rsid w:val="00964D98"/>
    <w:rPr>
      <w:rFonts w:ascii="Arial" w:hAnsi="Arial" w:cs="Arial"/>
      <w:color w:val="000000"/>
      <w:sz w:val="18"/>
      <w:szCs w:val="18"/>
    </w:rPr>
  </w:style>
  <w:style w:type="paragraph" w:styleId="BalloonText">
    <w:name w:val="Balloon Text"/>
    <w:basedOn w:val="Normal"/>
    <w:link w:val="BalloonTextChar"/>
    <w:uiPriority w:val="99"/>
    <w:semiHidden/>
    <w:unhideWhenUsed/>
    <w:rsid w:val="00375611"/>
    <w:rPr>
      <w:rFonts w:ascii="Tahoma" w:hAnsi="Tahoma" w:cs="Tahoma"/>
      <w:sz w:val="16"/>
      <w:szCs w:val="16"/>
    </w:rPr>
  </w:style>
  <w:style w:type="character" w:customStyle="1" w:styleId="BalloonTextChar">
    <w:name w:val="Balloon Text Char"/>
    <w:link w:val="BalloonText"/>
    <w:uiPriority w:val="99"/>
    <w:semiHidden/>
    <w:locked/>
    <w:rsid w:val="00375611"/>
    <w:rPr>
      <w:rFonts w:ascii="Tahoma" w:hAnsi="Tahoma" w:cs="Tahoma"/>
      <w:sz w:val="16"/>
      <w:szCs w:val="16"/>
    </w:rPr>
  </w:style>
  <w:style w:type="paragraph" w:styleId="BodyText2">
    <w:name w:val="Body Text 2"/>
    <w:basedOn w:val="Normal"/>
    <w:link w:val="BodyText2Char"/>
    <w:uiPriority w:val="99"/>
    <w:rsid w:val="00BC5F0D"/>
    <w:pPr>
      <w:spacing w:after="120" w:line="480" w:lineRule="auto"/>
    </w:pPr>
  </w:style>
  <w:style w:type="character" w:customStyle="1" w:styleId="BodyText2Char">
    <w:name w:val="Body Text 2 Char"/>
    <w:link w:val="BodyText2"/>
    <w:uiPriority w:val="99"/>
    <w:locked/>
    <w:rsid w:val="00BC5F0D"/>
    <w:rPr>
      <w:rFonts w:ascii="Times New Roman" w:hAnsi="Times New Roman" w:cs="Times New Roman"/>
      <w:sz w:val="20"/>
      <w:szCs w:val="20"/>
    </w:rPr>
  </w:style>
  <w:style w:type="paragraph" w:customStyle="1" w:styleId="FirmDouble05">
    <w:name w:val="Firm Double 05"/>
    <w:basedOn w:val="Normal"/>
    <w:rsid w:val="006A5EFA"/>
    <w:pPr>
      <w:overflowPunct/>
      <w:autoSpaceDE/>
      <w:autoSpaceDN/>
      <w:adjustRightInd/>
      <w:spacing w:line="480" w:lineRule="auto"/>
      <w:ind w:firstLine="720"/>
      <w:textAlignment w:val="auto"/>
    </w:pPr>
    <w:rPr>
      <w:szCs w:val="24"/>
    </w:rPr>
  </w:style>
  <w:style w:type="paragraph" w:customStyle="1" w:styleId="WBBodyText1">
    <w:name w:val="WB Body Text 1"/>
    <w:aliases w:val="B1"/>
    <w:basedOn w:val="Normal"/>
    <w:uiPriority w:val="99"/>
    <w:rsid w:val="00105711"/>
    <w:pPr>
      <w:overflowPunct/>
      <w:autoSpaceDE/>
      <w:autoSpaceDN/>
      <w:adjustRightInd/>
      <w:spacing w:after="240"/>
      <w:ind w:firstLine="720"/>
      <w:textAlignment w:val="auto"/>
    </w:pPr>
    <w:rPr>
      <w:szCs w:val="24"/>
    </w:rPr>
  </w:style>
  <w:style w:type="paragraph" w:styleId="PlainText">
    <w:name w:val="Plain Text"/>
    <w:basedOn w:val="Normal"/>
    <w:link w:val="PlainTextChar"/>
    <w:uiPriority w:val="99"/>
    <w:unhideWhenUsed/>
    <w:rsid w:val="00265F85"/>
    <w:pPr>
      <w:overflowPunct/>
      <w:autoSpaceDE/>
      <w:autoSpaceDN/>
      <w:adjustRightInd/>
      <w:textAlignment w:val="auto"/>
    </w:pPr>
    <w:rPr>
      <w:rFonts w:ascii="Consolas" w:hAnsi="Consolas"/>
      <w:sz w:val="21"/>
      <w:szCs w:val="21"/>
    </w:rPr>
  </w:style>
  <w:style w:type="character" w:customStyle="1" w:styleId="PlainTextChar">
    <w:name w:val="Plain Text Char"/>
    <w:basedOn w:val="DefaultParagraphFont"/>
    <w:link w:val="PlainText"/>
    <w:uiPriority w:val="99"/>
    <w:rsid w:val="00265F85"/>
    <w:rPr>
      <w:rFonts w:ascii="Consolas" w:hAnsi="Consolas"/>
      <w:sz w:val="21"/>
      <w:szCs w:val="21"/>
    </w:rPr>
  </w:style>
  <w:style w:type="character" w:styleId="CommentReference">
    <w:name w:val="annotation reference"/>
    <w:basedOn w:val="DefaultParagraphFont"/>
    <w:uiPriority w:val="99"/>
    <w:semiHidden/>
    <w:unhideWhenUsed/>
    <w:rsid w:val="00BF1B9A"/>
    <w:rPr>
      <w:sz w:val="16"/>
      <w:szCs w:val="16"/>
    </w:rPr>
  </w:style>
  <w:style w:type="paragraph" w:styleId="CommentText">
    <w:name w:val="annotation text"/>
    <w:basedOn w:val="Normal"/>
    <w:link w:val="CommentTextChar"/>
    <w:uiPriority w:val="99"/>
    <w:semiHidden/>
    <w:unhideWhenUsed/>
    <w:rsid w:val="00BF1B9A"/>
    <w:rPr>
      <w:sz w:val="20"/>
    </w:rPr>
  </w:style>
  <w:style w:type="character" w:customStyle="1" w:styleId="CommentTextChar">
    <w:name w:val="Comment Text Char"/>
    <w:basedOn w:val="DefaultParagraphFont"/>
    <w:link w:val="CommentText"/>
    <w:uiPriority w:val="99"/>
    <w:semiHidden/>
    <w:rsid w:val="00BF1B9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F1B9A"/>
    <w:rPr>
      <w:b/>
      <w:bCs/>
    </w:rPr>
  </w:style>
  <w:style w:type="character" w:customStyle="1" w:styleId="CommentSubjectChar">
    <w:name w:val="Comment Subject Char"/>
    <w:basedOn w:val="CommentTextChar"/>
    <w:link w:val="CommentSubject"/>
    <w:uiPriority w:val="99"/>
    <w:semiHidden/>
    <w:rsid w:val="00BF1B9A"/>
    <w:rPr>
      <w:rFonts w:ascii="Times New Roman" w:hAnsi="Times New Roman"/>
      <w:b/>
      <w:bCs/>
    </w:rPr>
  </w:style>
  <w:style w:type="paragraph" w:styleId="Header">
    <w:name w:val="header"/>
    <w:basedOn w:val="Normal"/>
    <w:link w:val="HeaderChar"/>
    <w:uiPriority w:val="99"/>
    <w:unhideWhenUsed/>
    <w:rsid w:val="0064556F"/>
    <w:pPr>
      <w:tabs>
        <w:tab w:val="center" w:pos="4680"/>
        <w:tab w:val="right" w:pos="9360"/>
      </w:tabs>
    </w:pPr>
  </w:style>
  <w:style w:type="character" w:customStyle="1" w:styleId="HeaderChar">
    <w:name w:val="Header Char"/>
    <w:basedOn w:val="DefaultParagraphFont"/>
    <w:link w:val="Header"/>
    <w:uiPriority w:val="99"/>
    <w:rsid w:val="0064556F"/>
    <w:rPr>
      <w:rFonts w:ascii="Times New Roman" w:hAnsi="Times New Roman"/>
      <w:sz w:val="24"/>
    </w:rPr>
  </w:style>
  <w:style w:type="paragraph" w:styleId="Footer">
    <w:name w:val="footer"/>
    <w:basedOn w:val="Normal"/>
    <w:link w:val="FooterChar"/>
    <w:uiPriority w:val="99"/>
    <w:unhideWhenUsed/>
    <w:rsid w:val="0064556F"/>
    <w:pPr>
      <w:tabs>
        <w:tab w:val="center" w:pos="4680"/>
        <w:tab w:val="right" w:pos="9360"/>
      </w:tabs>
    </w:pPr>
  </w:style>
  <w:style w:type="character" w:customStyle="1" w:styleId="FooterChar">
    <w:name w:val="Footer Char"/>
    <w:basedOn w:val="DefaultParagraphFont"/>
    <w:link w:val="Footer"/>
    <w:uiPriority w:val="99"/>
    <w:rsid w:val="0064556F"/>
    <w:rPr>
      <w:rFonts w:ascii="Times New Roman" w:hAnsi="Times New Roman"/>
      <w:sz w:val="24"/>
    </w:rPr>
  </w:style>
  <w:style w:type="character" w:styleId="FollowedHyperlink">
    <w:name w:val="FollowedHyperlink"/>
    <w:basedOn w:val="DefaultParagraphFont"/>
    <w:uiPriority w:val="99"/>
    <w:semiHidden/>
    <w:unhideWhenUsed/>
    <w:rsid w:val="006E6F27"/>
    <w:rPr>
      <w:color w:val="800080" w:themeColor="followedHyperlink"/>
      <w:u w:val="single"/>
    </w:rPr>
  </w:style>
  <w:style w:type="character" w:customStyle="1" w:styleId="Heading1Char">
    <w:name w:val="Heading 1 Char"/>
    <w:basedOn w:val="DefaultParagraphFont"/>
    <w:link w:val="Heading1"/>
    <w:uiPriority w:val="9"/>
    <w:rsid w:val="007A25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25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252C"/>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semiHidden/>
    <w:rsid w:val="007A252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7A252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7A252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A252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A252C"/>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77370">
      <w:bodyDiv w:val="1"/>
      <w:marLeft w:val="0"/>
      <w:marRight w:val="0"/>
      <w:marTop w:val="0"/>
      <w:marBottom w:val="0"/>
      <w:divBdr>
        <w:top w:val="none" w:sz="0" w:space="0" w:color="auto"/>
        <w:left w:val="none" w:sz="0" w:space="0" w:color="auto"/>
        <w:bottom w:val="none" w:sz="0" w:space="0" w:color="auto"/>
        <w:right w:val="none" w:sz="0" w:space="0" w:color="auto"/>
      </w:divBdr>
    </w:div>
    <w:div w:id="419105809">
      <w:bodyDiv w:val="1"/>
      <w:marLeft w:val="0"/>
      <w:marRight w:val="0"/>
      <w:marTop w:val="0"/>
      <w:marBottom w:val="0"/>
      <w:divBdr>
        <w:top w:val="none" w:sz="0" w:space="0" w:color="auto"/>
        <w:left w:val="none" w:sz="0" w:space="0" w:color="auto"/>
        <w:bottom w:val="none" w:sz="0" w:space="0" w:color="auto"/>
        <w:right w:val="none" w:sz="0" w:space="0" w:color="auto"/>
      </w:divBdr>
    </w:div>
    <w:div w:id="489173465">
      <w:bodyDiv w:val="1"/>
      <w:marLeft w:val="0"/>
      <w:marRight w:val="0"/>
      <w:marTop w:val="0"/>
      <w:marBottom w:val="0"/>
      <w:divBdr>
        <w:top w:val="none" w:sz="0" w:space="0" w:color="auto"/>
        <w:left w:val="none" w:sz="0" w:space="0" w:color="auto"/>
        <w:bottom w:val="none" w:sz="0" w:space="0" w:color="auto"/>
        <w:right w:val="none" w:sz="0" w:space="0" w:color="auto"/>
      </w:divBdr>
    </w:div>
    <w:div w:id="695740997">
      <w:bodyDiv w:val="1"/>
      <w:marLeft w:val="0"/>
      <w:marRight w:val="0"/>
      <w:marTop w:val="0"/>
      <w:marBottom w:val="0"/>
      <w:divBdr>
        <w:top w:val="none" w:sz="0" w:space="0" w:color="auto"/>
        <w:left w:val="none" w:sz="0" w:space="0" w:color="auto"/>
        <w:bottom w:val="none" w:sz="0" w:space="0" w:color="auto"/>
        <w:right w:val="none" w:sz="0" w:space="0" w:color="auto"/>
      </w:divBdr>
    </w:div>
    <w:div w:id="1075780931">
      <w:bodyDiv w:val="1"/>
      <w:marLeft w:val="0"/>
      <w:marRight w:val="0"/>
      <w:marTop w:val="0"/>
      <w:marBottom w:val="0"/>
      <w:divBdr>
        <w:top w:val="none" w:sz="0" w:space="0" w:color="auto"/>
        <w:left w:val="none" w:sz="0" w:space="0" w:color="auto"/>
        <w:bottom w:val="none" w:sz="0" w:space="0" w:color="auto"/>
        <w:right w:val="none" w:sz="0" w:space="0" w:color="auto"/>
      </w:divBdr>
    </w:div>
    <w:div w:id="1263799231">
      <w:bodyDiv w:val="1"/>
      <w:marLeft w:val="0"/>
      <w:marRight w:val="0"/>
      <w:marTop w:val="0"/>
      <w:marBottom w:val="0"/>
      <w:divBdr>
        <w:top w:val="none" w:sz="0" w:space="0" w:color="auto"/>
        <w:left w:val="none" w:sz="0" w:space="0" w:color="auto"/>
        <w:bottom w:val="none" w:sz="0" w:space="0" w:color="auto"/>
        <w:right w:val="none" w:sz="0" w:space="0" w:color="auto"/>
      </w:divBdr>
      <w:divsChild>
        <w:div w:id="323973410">
          <w:marLeft w:val="0"/>
          <w:marRight w:val="0"/>
          <w:marTop w:val="0"/>
          <w:marBottom w:val="0"/>
          <w:divBdr>
            <w:top w:val="none" w:sz="0" w:space="0" w:color="auto"/>
            <w:left w:val="none" w:sz="0" w:space="0" w:color="auto"/>
            <w:bottom w:val="none" w:sz="0" w:space="0" w:color="auto"/>
            <w:right w:val="none" w:sz="0" w:space="0" w:color="auto"/>
          </w:divBdr>
          <w:divsChild>
            <w:div w:id="1194416091">
              <w:marLeft w:val="0"/>
              <w:marRight w:val="0"/>
              <w:marTop w:val="0"/>
              <w:marBottom w:val="0"/>
              <w:divBdr>
                <w:top w:val="none" w:sz="0" w:space="0" w:color="auto"/>
                <w:left w:val="none" w:sz="0" w:space="0" w:color="auto"/>
                <w:bottom w:val="none" w:sz="0" w:space="0" w:color="auto"/>
                <w:right w:val="none" w:sz="0" w:space="0" w:color="auto"/>
              </w:divBdr>
              <w:divsChild>
                <w:div w:id="682393317">
                  <w:marLeft w:val="0"/>
                  <w:marRight w:val="0"/>
                  <w:marTop w:val="0"/>
                  <w:marBottom w:val="0"/>
                  <w:divBdr>
                    <w:top w:val="none" w:sz="0" w:space="0" w:color="auto"/>
                    <w:left w:val="none" w:sz="0" w:space="0" w:color="auto"/>
                    <w:bottom w:val="none" w:sz="0" w:space="0" w:color="auto"/>
                    <w:right w:val="none" w:sz="0" w:space="0" w:color="auto"/>
                  </w:divBdr>
                  <w:divsChild>
                    <w:div w:id="155458099">
                      <w:marLeft w:val="0"/>
                      <w:marRight w:val="0"/>
                      <w:marTop w:val="0"/>
                      <w:marBottom w:val="0"/>
                      <w:divBdr>
                        <w:top w:val="none" w:sz="0" w:space="0" w:color="auto"/>
                        <w:left w:val="none" w:sz="0" w:space="0" w:color="auto"/>
                        <w:bottom w:val="none" w:sz="0" w:space="0" w:color="auto"/>
                        <w:right w:val="none" w:sz="0" w:space="0" w:color="auto"/>
                      </w:divBdr>
                      <w:divsChild>
                        <w:div w:id="1549761261">
                          <w:marLeft w:val="0"/>
                          <w:marRight w:val="0"/>
                          <w:marTop w:val="0"/>
                          <w:marBottom w:val="0"/>
                          <w:divBdr>
                            <w:top w:val="none" w:sz="0" w:space="0" w:color="auto"/>
                            <w:left w:val="none" w:sz="0" w:space="0" w:color="auto"/>
                            <w:bottom w:val="none" w:sz="0" w:space="0" w:color="auto"/>
                            <w:right w:val="none" w:sz="0" w:space="0" w:color="auto"/>
                          </w:divBdr>
                          <w:divsChild>
                            <w:div w:id="1447849704">
                              <w:marLeft w:val="0"/>
                              <w:marRight w:val="0"/>
                              <w:marTop w:val="225"/>
                              <w:marBottom w:val="0"/>
                              <w:divBdr>
                                <w:top w:val="none" w:sz="0" w:space="0" w:color="auto"/>
                                <w:left w:val="none" w:sz="0" w:space="0" w:color="auto"/>
                                <w:bottom w:val="none" w:sz="0" w:space="0" w:color="auto"/>
                                <w:right w:val="none" w:sz="0" w:space="0" w:color="auto"/>
                              </w:divBdr>
                              <w:divsChild>
                                <w:div w:id="1830367124">
                                  <w:marLeft w:val="0"/>
                                  <w:marRight w:val="0"/>
                                  <w:marTop w:val="0"/>
                                  <w:marBottom w:val="0"/>
                                  <w:divBdr>
                                    <w:top w:val="none" w:sz="0" w:space="0" w:color="auto"/>
                                    <w:left w:val="none" w:sz="0" w:space="0" w:color="auto"/>
                                    <w:bottom w:val="none" w:sz="0" w:space="0" w:color="auto"/>
                                    <w:right w:val="none" w:sz="0" w:space="0" w:color="auto"/>
                                  </w:divBdr>
                                  <w:divsChild>
                                    <w:div w:id="179979048">
                                      <w:marLeft w:val="0"/>
                                      <w:marRight w:val="0"/>
                                      <w:marTop w:val="0"/>
                                      <w:marBottom w:val="0"/>
                                      <w:divBdr>
                                        <w:top w:val="none" w:sz="0" w:space="0" w:color="auto"/>
                                        <w:left w:val="none" w:sz="0" w:space="0" w:color="auto"/>
                                        <w:bottom w:val="none" w:sz="0" w:space="0" w:color="auto"/>
                                        <w:right w:val="none" w:sz="0" w:space="0" w:color="auto"/>
                                      </w:divBdr>
                                      <w:divsChild>
                                        <w:div w:id="575021626">
                                          <w:marLeft w:val="0"/>
                                          <w:marRight w:val="0"/>
                                          <w:marTop w:val="0"/>
                                          <w:marBottom w:val="0"/>
                                          <w:divBdr>
                                            <w:top w:val="none" w:sz="0" w:space="0" w:color="auto"/>
                                            <w:left w:val="none" w:sz="0" w:space="0" w:color="auto"/>
                                            <w:bottom w:val="none" w:sz="0" w:space="0" w:color="auto"/>
                                            <w:right w:val="none" w:sz="0" w:space="0" w:color="auto"/>
                                          </w:divBdr>
                                          <w:divsChild>
                                            <w:div w:id="676663311">
                                              <w:marLeft w:val="0"/>
                                              <w:marRight w:val="0"/>
                                              <w:marTop w:val="0"/>
                                              <w:marBottom w:val="0"/>
                                              <w:divBdr>
                                                <w:top w:val="none" w:sz="0" w:space="0" w:color="auto"/>
                                                <w:left w:val="none" w:sz="0" w:space="0" w:color="auto"/>
                                                <w:bottom w:val="none" w:sz="0" w:space="0" w:color="auto"/>
                                                <w:right w:val="none" w:sz="0" w:space="0" w:color="auto"/>
                                              </w:divBdr>
                                              <w:divsChild>
                                                <w:div w:id="534393000">
                                                  <w:marLeft w:val="0"/>
                                                  <w:marRight w:val="0"/>
                                                  <w:marTop w:val="0"/>
                                                  <w:marBottom w:val="0"/>
                                                  <w:divBdr>
                                                    <w:top w:val="none" w:sz="0" w:space="0" w:color="auto"/>
                                                    <w:left w:val="none" w:sz="0" w:space="0" w:color="auto"/>
                                                    <w:bottom w:val="none" w:sz="0" w:space="0" w:color="auto"/>
                                                    <w:right w:val="none" w:sz="0" w:space="0" w:color="auto"/>
                                                  </w:divBdr>
                                                  <w:divsChild>
                                                    <w:div w:id="8813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863853">
      <w:bodyDiv w:val="1"/>
      <w:marLeft w:val="0"/>
      <w:marRight w:val="0"/>
      <w:marTop w:val="0"/>
      <w:marBottom w:val="0"/>
      <w:divBdr>
        <w:top w:val="none" w:sz="0" w:space="0" w:color="auto"/>
        <w:left w:val="none" w:sz="0" w:space="0" w:color="auto"/>
        <w:bottom w:val="none" w:sz="0" w:space="0" w:color="auto"/>
        <w:right w:val="none" w:sz="0" w:space="0" w:color="auto"/>
      </w:divBdr>
    </w:div>
    <w:div w:id="16530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nksmith@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edinger@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bls.gov/PDQ/servlet/SurveyOutputServlet?series_id=PCU221110221110" TargetMode="External"/><Relationship Id="rId5" Type="http://schemas.openxmlformats.org/officeDocument/2006/relationships/settings" Target="settings.xml"/><Relationship Id="rId15" Type="http://schemas.openxmlformats.org/officeDocument/2006/relationships/hyperlink" Target="mailto:finksmith@pa.gov"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ledinger@pa.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uc.state.pa.us/electric/Act129/Fuel_Switching.aspx" TargetMode="External"/><Relationship Id="rId3" Type="http://schemas.openxmlformats.org/officeDocument/2006/relationships/hyperlink" Target="http://www.epa.gov/eeactionplan" TargetMode="External"/><Relationship Id="rId7" Type="http://schemas.openxmlformats.org/officeDocument/2006/relationships/hyperlink" Target="http://www.monitoringanalytics.com/reports/PJM_State_of_the_Market/2008/2008-som-pjm-volume2-sec2.pdf" TargetMode="External"/><Relationship Id="rId2" Type="http://schemas.openxmlformats.org/officeDocument/2006/relationships/hyperlink" Target="http://frwebgate.access.gpo.gov/cgi-bin/getdoc.cgi?dbname=111_cong_bills&amp;docid=f:h1enr.pdf" TargetMode="External"/><Relationship Id="rId1" Type="http://schemas.openxmlformats.org/officeDocument/2006/relationships/hyperlink" Target="http://www.calmac.org/events/SPM_9_20_02.pdf" TargetMode="External"/><Relationship Id="rId6" Type="http://schemas.openxmlformats.org/officeDocument/2006/relationships/hyperlink" Target="http://data.bls.gov/PDQ/servlet/SurveyOutputServlet?series_id=PCU221110221110" TargetMode="External"/><Relationship Id="rId11" Type="http://schemas.openxmlformats.org/officeDocument/2006/relationships/hyperlink" Target="http://www.calmac.org/events/SPM_9_20_02.pdf" TargetMode="External"/><Relationship Id="rId5" Type="http://schemas.openxmlformats.org/officeDocument/2006/relationships/hyperlink" Target="http://www.eia.gov/forecasts/aeo/electricity_generation.cfm" TargetMode="External"/><Relationship Id="rId10" Type="http://schemas.openxmlformats.org/officeDocument/2006/relationships/hyperlink" Target="http://www.puc.state.pa.us/electric/Act_129_info.aspx" TargetMode="External"/><Relationship Id="rId4" Type="http://schemas.openxmlformats.org/officeDocument/2006/relationships/hyperlink" Target="http://moneyterms.co.uk/spark-spread/" TargetMode="External"/><Relationship Id="rId9" Type="http://schemas.openxmlformats.org/officeDocument/2006/relationships/hyperlink" Target="http://www.epa.gov/ee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F9CF2-3392-4643-A16E-3E1C9CCF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7858</Words>
  <Characters>44793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52546</CharactersWithSpaces>
  <SharedDoc>false</SharedDoc>
  <HLinks>
    <vt:vector size="42" baseType="variant">
      <vt:variant>
        <vt:i4>2686999</vt:i4>
      </vt:variant>
      <vt:variant>
        <vt:i4>9</vt:i4>
      </vt:variant>
      <vt:variant>
        <vt:i4>0</vt:i4>
      </vt:variant>
      <vt:variant>
        <vt:i4>5</vt:i4>
      </vt:variant>
      <vt:variant>
        <vt:lpwstr>mailto:finksmith@pa.gov</vt:lpwstr>
      </vt:variant>
      <vt:variant>
        <vt:lpwstr/>
      </vt:variant>
      <vt:variant>
        <vt:i4>5308514</vt:i4>
      </vt:variant>
      <vt:variant>
        <vt:i4>6</vt:i4>
      </vt:variant>
      <vt:variant>
        <vt:i4>0</vt:i4>
      </vt:variant>
      <vt:variant>
        <vt:i4>5</vt:i4>
      </vt:variant>
      <vt:variant>
        <vt:lpwstr>mailto:ledinger@pa.gov</vt:lpwstr>
      </vt:variant>
      <vt:variant>
        <vt:lpwstr/>
      </vt:variant>
      <vt:variant>
        <vt:i4>2686999</vt:i4>
      </vt:variant>
      <vt:variant>
        <vt:i4>3</vt:i4>
      </vt:variant>
      <vt:variant>
        <vt:i4>0</vt:i4>
      </vt:variant>
      <vt:variant>
        <vt:i4>5</vt:i4>
      </vt:variant>
      <vt:variant>
        <vt:lpwstr>mailto:finksmith@pa.gov</vt:lpwstr>
      </vt:variant>
      <vt:variant>
        <vt:lpwstr/>
      </vt:variant>
      <vt:variant>
        <vt:i4>5308514</vt:i4>
      </vt:variant>
      <vt:variant>
        <vt:i4>0</vt:i4>
      </vt:variant>
      <vt:variant>
        <vt:i4>0</vt:i4>
      </vt:variant>
      <vt:variant>
        <vt:i4>5</vt:i4>
      </vt:variant>
      <vt:variant>
        <vt:lpwstr>mailto:ledinger@pa.gov</vt:lpwstr>
      </vt:variant>
      <vt:variant>
        <vt:lpwstr/>
      </vt:variant>
      <vt:variant>
        <vt:i4>3342422</vt:i4>
      </vt:variant>
      <vt:variant>
        <vt:i4>6</vt:i4>
      </vt:variant>
      <vt:variant>
        <vt:i4>0</vt:i4>
      </vt:variant>
      <vt:variant>
        <vt:i4>5</vt:i4>
      </vt:variant>
      <vt:variant>
        <vt:lpwstr>http://www.calmac.org/events/SPM_9_20_02.pdf</vt:lpwstr>
      </vt:variant>
      <vt:variant>
        <vt:lpwstr/>
      </vt:variant>
      <vt:variant>
        <vt:i4>1114191</vt:i4>
      </vt:variant>
      <vt:variant>
        <vt:i4>3</vt:i4>
      </vt:variant>
      <vt:variant>
        <vt:i4>0</vt:i4>
      </vt:variant>
      <vt:variant>
        <vt:i4>5</vt:i4>
      </vt:variant>
      <vt:variant>
        <vt:lpwstr>http://www.puc.state.pa.us/electric/Act_129_info.aspx</vt:lpwstr>
      </vt:variant>
      <vt:variant>
        <vt:lpwstr/>
      </vt:variant>
      <vt:variant>
        <vt:i4>3145763</vt:i4>
      </vt:variant>
      <vt:variant>
        <vt:i4>0</vt:i4>
      </vt:variant>
      <vt:variant>
        <vt:i4>0</vt:i4>
      </vt:variant>
      <vt:variant>
        <vt:i4>5</vt:i4>
      </vt:variant>
      <vt:variant>
        <vt:lpwstr>http://www.epa.gov/eeactionplan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ledinger</dc:creator>
  <cp:lastModifiedBy>Miller, Sara</cp:lastModifiedBy>
  <cp:revision>4</cp:revision>
  <cp:lastPrinted>2012-05-24T17:19:00Z</cp:lastPrinted>
  <dcterms:created xsi:type="dcterms:W3CDTF">2012-05-23T18:46:00Z</dcterms:created>
  <dcterms:modified xsi:type="dcterms:W3CDTF">2012-05-24T17:19:00Z</dcterms:modified>
</cp:coreProperties>
</file>