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2719B7" w:rsidRPr="008E6A6D" w:rsidTr="00333082">
        <w:tc>
          <w:tcPr>
            <w:tcW w:w="2448" w:type="dxa"/>
          </w:tcPr>
          <w:p w:rsidR="002719B7" w:rsidRPr="008E6A6D" w:rsidRDefault="002719B7" w:rsidP="00333082">
            <w:pPr>
              <w:pStyle w:val="Heading3"/>
            </w:pPr>
          </w:p>
        </w:tc>
        <w:tc>
          <w:tcPr>
            <w:tcW w:w="5130" w:type="dxa"/>
          </w:tcPr>
          <w:p w:rsidR="002719B7" w:rsidRPr="008E6A6D" w:rsidRDefault="002719B7" w:rsidP="00333082">
            <w:pPr>
              <w:jc w:val="center"/>
              <w:rPr>
                <w:b/>
                <w:sz w:val="26"/>
                <w:szCs w:val="26"/>
              </w:rPr>
            </w:pPr>
            <w:r w:rsidRPr="008E6A6D">
              <w:rPr>
                <w:b/>
                <w:sz w:val="26"/>
                <w:szCs w:val="26"/>
              </w:rPr>
              <w:t>PENNSYLVANIA</w:t>
            </w:r>
          </w:p>
          <w:p w:rsidR="002719B7" w:rsidRPr="008E6A6D" w:rsidRDefault="002719B7" w:rsidP="00333082">
            <w:pPr>
              <w:jc w:val="center"/>
              <w:rPr>
                <w:b/>
                <w:sz w:val="26"/>
                <w:szCs w:val="26"/>
              </w:rPr>
            </w:pPr>
            <w:r w:rsidRPr="008E6A6D">
              <w:rPr>
                <w:b/>
                <w:sz w:val="26"/>
                <w:szCs w:val="26"/>
              </w:rPr>
              <w:t>PUBLIC UTILITY COMMISSION</w:t>
            </w:r>
          </w:p>
          <w:p w:rsidR="002719B7" w:rsidRPr="008E6A6D" w:rsidRDefault="002719B7" w:rsidP="00333082">
            <w:pPr>
              <w:pStyle w:val="StyleCentered"/>
              <w:rPr>
                <w:szCs w:val="26"/>
              </w:rPr>
            </w:pPr>
            <w:r w:rsidRPr="008E6A6D">
              <w:rPr>
                <w:szCs w:val="26"/>
              </w:rPr>
              <w:t>Harrisburg, PA.  17105-3265</w:t>
            </w:r>
          </w:p>
        </w:tc>
        <w:tc>
          <w:tcPr>
            <w:tcW w:w="2700" w:type="dxa"/>
          </w:tcPr>
          <w:p w:rsidR="002719B7" w:rsidRPr="008E6A6D" w:rsidRDefault="002719B7" w:rsidP="00333082">
            <w:pPr>
              <w:rPr>
                <w:sz w:val="26"/>
                <w:szCs w:val="26"/>
              </w:rPr>
            </w:pPr>
          </w:p>
        </w:tc>
      </w:tr>
    </w:tbl>
    <w:p w:rsidR="002719B7" w:rsidRPr="008E6A6D" w:rsidRDefault="002719B7" w:rsidP="002719B7">
      <w:pPr>
        <w:rPr>
          <w:sz w:val="26"/>
          <w:szCs w:val="26"/>
        </w:rPr>
      </w:pPr>
    </w:p>
    <w:tbl>
      <w:tblPr>
        <w:tblW w:w="0" w:type="auto"/>
        <w:tblLayout w:type="fixed"/>
        <w:tblLook w:val="0000" w:firstRow="0" w:lastRow="0" w:firstColumn="0" w:lastColumn="0" w:noHBand="0" w:noVBand="0"/>
      </w:tblPr>
      <w:tblGrid>
        <w:gridCol w:w="5148"/>
        <w:gridCol w:w="5148"/>
      </w:tblGrid>
      <w:tr w:rsidR="002719B7" w:rsidRPr="008E6A6D" w:rsidTr="00333082">
        <w:tc>
          <w:tcPr>
            <w:tcW w:w="5148" w:type="dxa"/>
          </w:tcPr>
          <w:p w:rsidR="002719B7" w:rsidRPr="008E6A6D" w:rsidRDefault="002719B7" w:rsidP="00333082">
            <w:pPr>
              <w:rPr>
                <w:sz w:val="26"/>
                <w:szCs w:val="26"/>
              </w:rPr>
            </w:pPr>
          </w:p>
        </w:tc>
        <w:tc>
          <w:tcPr>
            <w:tcW w:w="5148" w:type="dxa"/>
          </w:tcPr>
          <w:p w:rsidR="002719B7" w:rsidRPr="008E6A6D" w:rsidRDefault="002719B7" w:rsidP="00F768DD">
            <w:pPr>
              <w:ind w:firstLine="612"/>
              <w:rPr>
                <w:sz w:val="26"/>
                <w:szCs w:val="26"/>
              </w:rPr>
            </w:pPr>
            <w:r w:rsidRPr="008E6A6D">
              <w:rPr>
                <w:sz w:val="26"/>
                <w:szCs w:val="26"/>
              </w:rPr>
              <w:t xml:space="preserve">Public Meeting held </w:t>
            </w:r>
            <w:r w:rsidR="00F768DD">
              <w:rPr>
                <w:sz w:val="26"/>
                <w:szCs w:val="26"/>
              </w:rPr>
              <w:t>March 29</w:t>
            </w:r>
            <w:r w:rsidR="00C2583F" w:rsidRPr="008E6A6D">
              <w:rPr>
                <w:sz w:val="26"/>
                <w:szCs w:val="26"/>
              </w:rPr>
              <w:t>, 201</w:t>
            </w:r>
            <w:r w:rsidR="00F768DD">
              <w:rPr>
                <w:sz w:val="26"/>
                <w:szCs w:val="26"/>
              </w:rPr>
              <w:t>2</w:t>
            </w:r>
          </w:p>
        </w:tc>
      </w:tr>
      <w:tr w:rsidR="002719B7" w:rsidRPr="008E6A6D" w:rsidTr="00333082">
        <w:tc>
          <w:tcPr>
            <w:tcW w:w="5148" w:type="dxa"/>
          </w:tcPr>
          <w:p w:rsidR="002719B7" w:rsidRPr="008E6A6D" w:rsidRDefault="002719B7" w:rsidP="00333082">
            <w:pPr>
              <w:rPr>
                <w:sz w:val="26"/>
                <w:szCs w:val="26"/>
              </w:rPr>
            </w:pPr>
            <w:r w:rsidRPr="008E6A6D">
              <w:rPr>
                <w:sz w:val="26"/>
                <w:szCs w:val="26"/>
              </w:rPr>
              <w:t>Commissioners Present:</w:t>
            </w:r>
          </w:p>
        </w:tc>
        <w:tc>
          <w:tcPr>
            <w:tcW w:w="5148" w:type="dxa"/>
          </w:tcPr>
          <w:p w:rsidR="002719B7" w:rsidRPr="008E6A6D" w:rsidRDefault="002719B7" w:rsidP="00333082">
            <w:pPr>
              <w:rPr>
                <w:sz w:val="26"/>
                <w:szCs w:val="26"/>
              </w:rPr>
            </w:pPr>
          </w:p>
        </w:tc>
      </w:tr>
    </w:tbl>
    <w:p w:rsidR="002719B7" w:rsidRPr="008E6A6D" w:rsidRDefault="002719B7" w:rsidP="002719B7">
      <w:pPr>
        <w:rPr>
          <w:sz w:val="26"/>
          <w:szCs w:val="26"/>
        </w:rPr>
      </w:pPr>
    </w:p>
    <w:tbl>
      <w:tblPr>
        <w:tblW w:w="10296" w:type="dxa"/>
        <w:tblLayout w:type="fixed"/>
        <w:tblLook w:val="0000" w:firstRow="0" w:lastRow="0" w:firstColumn="0" w:lastColumn="0" w:noHBand="0" w:noVBand="0"/>
      </w:tblPr>
      <w:tblGrid>
        <w:gridCol w:w="5958"/>
        <w:gridCol w:w="3600"/>
        <w:gridCol w:w="738"/>
      </w:tblGrid>
      <w:tr w:rsidR="002719B7" w:rsidRPr="008E6A6D" w:rsidTr="00333082">
        <w:tc>
          <w:tcPr>
            <w:tcW w:w="9558" w:type="dxa"/>
            <w:gridSpan w:val="2"/>
          </w:tcPr>
          <w:p w:rsidR="002719B7" w:rsidRPr="008E6A6D" w:rsidRDefault="001D7FDE" w:rsidP="001D7FDE">
            <w:pPr>
              <w:ind w:firstLine="450"/>
              <w:rPr>
                <w:sz w:val="26"/>
                <w:szCs w:val="26"/>
              </w:rPr>
            </w:pPr>
            <w:r w:rsidRPr="008E6A6D">
              <w:rPr>
                <w:sz w:val="26"/>
                <w:szCs w:val="26"/>
              </w:rPr>
              <w:t>Robert F. Powelson</w:t>
            </w:r>
            <w:r w:rsidR="002719B7" w:rsidRPr="008E6A6D">
              <w:rPr>
                <w:sz w:val="26"/>
                <w:szCs w:val="26"/>
              </w:rPr>
              <w:t>, Chairman</w:t>
            </w:r>
          </w:p>
        </w:tc>
        <w:tc>
          <w:tcPr>
            <w:tcW w:w="738" w:type="dxa"/>
          </w:tcPr>
          <w:p w:rsidR="002719B7" w:rsidRPr="008E6A6D" w:rsidRDefault="002719B7" w:rsidP="00333082">
            <w:pPr>
              <w:rPr>
                <w:sz w:val="26"/>
                <w:szCs w:val="26"/>
              </w:rPr>
            </w:pPr>
          </w:p>
        </w:tc>
      </w:tr>
      <w:tr w:rsidR="002719B7" w:rsidRPr="008E6A6D" w:rsidTr="00333082">
        <w:tc>
          <w:tcPr>
            <w:tcW w:w="9558" w:type="dxa"/>
            <w:gridSpan w:val="2"/>
          </w:tcPr>
          <w:p w:rsidR="002719B7" w:rsidRPr="008E6A6D" w:rsidRDefault="00775C42" w:rsidP="00333082">
            <w:pPr>
              <w:ind w:firstLine="450"/>
              <w:rPr>
                <w:sz w:val="26"/>
                <w:szCs w:val="26"/>
              </w:rPr>
            </w:pPr>
            <w:r w:rsidRPr="008E6A6D">
              <w:rPr>
                <w:sz w:val="26"/>
                <w:szCs w:val="26"/>
              </w:rPr>
              <w:t>John F. Coleman</w:t>
            </w:r>
            <w:r w:rsidR="002719B7" w:rsidRPr="008E6A6D">
              <w:rPr>
                <w:sz w:val="26"/>
                <w:szCs w:val="26"/>
              </w:rPr>
              <w:t>,</w:t>
            </w:r>
            <w:r w:rsidR="006A119B" w:rsidRPr="008E6A6D">
              <w:rPr>
                <w:sz w:val="26"/>
                <w:szCs w:val="26"/>
              </w:rPr>
              <w:t xml:space="preserve"> Jr.,</w:t>
            </w:r>
            <w:r w:rsidR="002719B7" w:rsidRPr="008E6A6D">
              <w:rPr>
                <w:sz w:val="26"/>
                <w:szCs w:val="26"/>
              </w:rPr>
              <w:t xml:space="preserve"> Vice Chairman</w:t>
            </w:r>
          </w:p>
        </w:tc>
        <w:tc>
          <w:tcPr>
            <w:tcW w:w="738" w:type="dxa"/>
          </w:tcPr>
          <w:p w:rsidR="002719B7" w:rsidRPr="008E6A6D" w:rsidRDefault="002719B7" w:rsidP="00333082">
            <w:pPr>
              <w:rPr>
                <w:sz w:val="26"/>
                <w:szCs w:val="26"/>
              </w:rPr>
            </w:pPr>
          </w:p>
        </w:tc>
      </w:tr>
      <w:tr w:rsidR="002719B7" w:rsidRPr="008E6A6D" w:rsidTr="00333082">
        <w:tc>
          <w:tcPr>
            <w:tcW w:w="9558" w:type="dxa"/>
            <w:gridSpan w:val="2"/>
          </w:tcPr>
          <w:p w:rsidR="002719B7" w:rsidRPr="008E6A6D" w:rsidRDefault="00251D82" w:rsidP="00333082">
            <w:pPr>
              <w:ind w:firstLine="450"/>
              <w:rPr>
                <w:sz w:val="26"/>
                <w:szCs w:val="26"/>
              </w:rPr>
            </w:pPr>
            <w:r w:rsidRPr="008E6A6D">
              <w:rPr>
                <w:sz w:val="26"/>
                <w:szCs w:val="26"/>
              </w:rPr>
              <w:t>Wayne E. Gardner</w:t>
            </w:r>
          </w:p>
        </w:tc>
        <w:tc>
          <w:tcPr>
            <w:tcW w:w="738" w:type="dxa"/>
          </w:tcPr>
          <w:p w:rsidR="002719B7" w:rsidRPr="008E6A6D" w:rsidRDefault="002719B7" w:rsidP="00333082">
            <w:pPr>
              <w:rPr>
                <w:sz w:val="26"/>
                <w:szCs w:val="26"/>
              </w:rPr>
            </w:pPr>
          </w:p>
        </w:tc>
      </w:tr>
      <w:tr w:rsidR="002719B7" w:rsidRPr="008E6A6D" w:rsidTr="00333082">
        <w:tc>
          <w:tcPr>
            <w:tcW w:w="9558" w:type="dxa"/>
            <w:gridSpan w:val="2"/>
          </w:tcPr>
          <w:p w:rsidR="002719B7" w:rsidRPr="008E6A6D" w:rsidRDefault="00251D82" w:rsidP="00333082">
            <w:pPr>
              <w:ind w:firstLine="450"/>
              <w:rPr>
                <w:sz w:val="26"/>
                <w:szCs w:val="26"/>
              </w:rPr>
            </w:pPr>
            <w:r w:rsidRPr="008E6A6D">
              <w:rPr>
                <w:sz w:val="26"/>
                <w:szCs w:val="26"/>
              </w:rPr>
              <w:t>James H. Cawley</w:t>
            </w:r>
          </w:p>
        </w:tc>
        <w:tc>
          <w:tcPr>
            <w:tcW w:w="738" w:type="dxa"/>
          </w:tcPr>
          <w:p w:rsidR="002719B7" w:rsidRPr="008E6A6D" w:rsidRDefault="002719B7" w:rsidP="00333082">
            <w:pPr>
              <w:rPr>
                <w:sz w:val="26"/>
                <w:szCs w:val="26"/>
              </w:rPr>
            </w:pPr>
          </w:p>
        </w:tc>
      </w:tr>
      <w:tr w:rsidR="002719B7" w:rsidRPr="008E6A6D" w:rsidTr="00333082">
        <w:tc>
          <w:tcPr>
            <w:tcW w:w="9558" w:type="dxa"/>
            <w:gridSpan w:val="2"/>
          </w:tcPr>
          <w:p w:rsidR="002719B7" w:rsidRPr="008E6A6D" w:rsidRDefault="00251D82" w:rsidP="00333082">
            <w:pPr>
              <w:ind w:left="450"/>
              <w:rPr>
                <w:sz w:val="26"/>
                <w:szCs w:val="26"/>
              </w:rPr>
            </w:pPr>
            <w:r>
              <w:rPr>
                <w:sz w:val="26"/>
                <w:szCs w:val="26"/>
              </w:rPr>
              <w:t>Pamela A. Witmer</w:t>
            </w:r>
          </w:p>
        </w:tc>
        <w:tc>
          <w:tcPr>
            <w:tcW w:w="738" w:type="dxa"/>
          </w:tcPr>
          <w:p w:rsidR="002719B7" w:rsidRPr="008E6A6D" w:rsidRDefault="002719B7" w:rsidP="00333082">
            <w:pPr>
              <w:rPr>
                <w:sz w:val="26"/>
                <w:szCs w:val="26"/>
              </w:rPr>
            </w:pPr>
          </w:p>
        </w:tc>
      </w:tr>
      <w:tr w:rsidR="002719B7" w:rsidRPr="008E6A6D" w:rsidTr="00333082">
        <w:trPr>
          <w:gridAfter w:val="1"/>
          <w:wAfter w:w="738" w:type="dxa"/>
        </w:trPr>
        <w:tc>
          <w:tcPr>
            <w:tcW w:w="5958" w:type="dxa"/>
          </w:tcPr>
          <w:p w:rsidR="002719B7" w:rsidRPr="008E6A6D" w:rsidRDefault="002719B7" w:rsidP="00333082">
            <w:pPr>
              <w:rPr>
                <w:sz w:val="26"/>
                <w:szCs w:val="26"/>
              </w:rPr>
            </w:pPr>
          </w:p>
        </w:tc>
        <w:tc>
          <w:tcPr>
            <w:tcW w:w="3600" w:type="dxa"/>
          </w:tcPr>
          <w:p w:rsidR="002719B7" w:rsidRPr="008E6A6D" w:rsidRDefault="002719B7" w:rsidP="00333082">
            <w:pPr>
              <w:rPr>
                <w:sz w:val="26"/>
                <w:szCs w:val="26"/>
              </w:rPr>
            </w:pPr>
          </w:p>
        </w:tc>
      </w:tr>
      <w:tr w:rsidR="002719B7" w:rsidRPr="008E6A6D" w:rsidTr="00333082">
        <w:trPr>
          <w:gridAfter w:val="1"/>
          <w:wAfter w:w="738" w:type="dxa"/>
        </w:trPr>
        <w:tc>
          <w:tcPr>
            <w:tcW w:w="5958" w:type="dxa"/>
          </w:tcPr>
          <w:p w:rsidR="002719B7" w:rsidRPr="008E6A6D" w:rsidRDefault="00F47F1E" w:rsidP="00333082">
            <w:pPr>
              <w:rPr>
                <w:sz w:val="26"/>
                <w:szCs w:val="26"/>
              </w:rPr>
            </w:pPr>
            <w:r>
              <w:rPr>
                <w:sz w:val="26"/>
                <w:szCs w:val="26"/>
              </w:rPr>
              <w:t>Net Metering</w:t>
            </w:r>
            <w:r w:rsidR="00004CA2">
              <w:rPr>
                <w:sz w:val="26"/>
                <w:szCs w:val="26"/>
              </w:rPr>
              <w:t xml:space="preserve"> – Use of Third Party Operators</w:t>
            </w:r>
          </w:p>
        </w:tc>
        <w:tc>
          <w:tcPr>
            <w:tcW w:w="3600" w:type="dxa"/>
          </w:tcPr>
          <w:p w:rsidR="002719B7" w:rsidRPr="008E6A6D" w:rsidRDefault="002719B7" w:rsidP="00333082">
            <w:pPr>
              <w:rPr>
                <w:sz w:val="26"/>
                <w:szCs w:val="26"/>
              </w:rPr>
            </w:pPr>
            <w:r w:rsidRPr="008E6A6D">
              <w:rPr>
                <w:sz w:val="26"/>
                <w:szCs w:val="26"/>
              </w:rPr>
              <w:t>Docket No.  M</w:t>
            </w:r>
            <w:r w:rsidRPr="008E6A6D">
              <w:rPr>
                <w:sz w:val="26"/>
                <w:szCs w:val="26"/>
              </w:rPr>
              <w:noBreakHyphen/>
              <w:t>20</w:t>
            </w:r>
            <w:r w:rsidR="00F47F1E">
              <w:rPr>
                <w:sz w:val="26"/>
                <w:szCs w:val="26"/>
              </w:rPr>
              <w:t>11</w:t>
            </w:r>
            <w:r w:rsidRPr="008E6A6D">
              <w:rPr>
                <w:sz w:val="26"/>
                <w:szCs w:val="26"/>
              </w:rPr>
              <w:noBreakHyphen/>
            </w:r>
            <w:r w:rsidR="00775C42" w:rsidRPr="008E6A6D">
              <w:rPr>
                <w:sz w:val="26"/>
                <w:szCs w:val="26"/>
              </w:rPr>
              <w:t>2</w:t>
            </w:r>
            <w:r w:rsidR="00F47F1E">
              <w:rPr>
                <w:sz w:val="26"/>
                <w:szCs w:val="26"/>
              </w:rPr>
              <w:t>249441</w:t>
            </w:r>
          </w:p>
          <w:p w:rsidR="00780603" w:rsidRPr="008E6A6D" w:rsidRDefault="00780603" w:rsidP="00C12C21">
            <w:pPr>
              <w:rPr>
                <w:sz w:val="26"/>
                <w:szCs w:val="26"/>
              </w:rPr>
            </w:pPr>
          </w:p>
        </w:tc>
      </w:tr>
    </w:tbl>
    <w:p w:rsidR="002719B7" w:rsidRPr="008E6A6D" w:rsidRDefault="002719B7" w:rsidP="002719B7">
      <w:pPr>
        <w:jc w:val="center"/>
        <w:rPr>
          <w:b/>
          <w:sz w:val="26"/>
          <w:szCs w:val="26"/>
        </w:rPr>
      </w:pPr>
    </w:p>
    <w:p w:rsidR="00241BFC" w:rsidRPr="008E6A6D" w:rsidRDefault="00241BFC" w:rsidP="002719B7">
      <w:pPr>
        <w:jc w:val="center"/>
        <w:rPr>
          <w:b/>
          <w:sz w:val="26"/>
          <w:szCs w:val="26"/>
        </w:rPr>
      </w:pPr>
    </w:p>
    <w:p w:rsidR="002719B7" w:rsidRPr="008E6A6D" w:rsidRDefault="002719B7" w:rsidP="002719B7">
      <w:pPr>
        <w:jc w:val="center"/>
        <w:rPr>
          <w:b/>
          <w:sz w:val="26"/>
          <w:szCs w:val="26"/>
        </w:rPr>
      </w:pPr>
    </w:p>
    <w:p w:rsidR="002719B7" w:rsidRPr="008E6A6D" w:rsidRDefault="00262B6F" w:rsidP="002719B7">
      <w:pPr>
        <w:jc w:val="center"/>
        <w:rPr>
          <w:b/>
          <w:sz w:val="26"/>
          <w:szCs w:val="26"/>
        </w:rPr>
      </w:pPr>
      <w:r>
        <w:rPr>
          <w:b/>
          <w:sz w:val="26"/>
          <w:szCs w:val="26"/>
        </w:rPr>
        <w:t>FINAL</w:t>
      </w:r>
      <w:r w:rsidR="00A60554" w:rsidRPr="008E6A6D">
        <w:rPr>
          <w:b/>
          <w:sz w:val="26"/>
          <w:szCs w:val="26"/>
        </w:rPr>
        <w:t xml:space="preserve"> </w:t>
      </w:r>
      <w:r w:rsidR="002719B7" w:rsidRPr="008E6A6D">
        <w:rPr>
          <w:b/>
          <w:sz w:val="26"/>
          <w:szCs w:val="26"/>
        </w:rPr>
        <w:t>ORDER</w:t>
      </w:r>
    </w:p>
    <w:p w:rsidR="002719B7" w:rsidRPr="008E6A6D" w:rsidRDefault="002719B7" w:rsidP="002719B7">
      <w:pPr>
        <w:spacing w:line="360" w:lineRule="auto"/>
        <w:rPr>
          <w:sz w:val="26"/>
          <w:szCs w:val="26"/>
        </w:rPr>
      </w:pPr>
    </w:p>
    <w:p w:rsidR="00241BFC" w:rsidRPr="008E6A6D" w:rsidRDefault="00241BFC" w:rsidP="002719B7">
      <w:pPr>
        <w:spacing w:line="360" w:lineRule="auto"/>
        <w:rPr>
          <w:sz w:val="26"/>
          <w:szCs w:val="26"/>
        </w:rPr>
      </w:pPr>
    </w:p>
    <w:p w:rsidR="002719B7" w:rsidRPr="008E6A6D" w:rsidRDefault="00B16FB6" w:rsidP="002719B7">
      <w:pPr>
        <w:pStyle w:val="p3"/>
        <w:widowControl/>
        <w:spacing w:line="360" w:lineRule="auto"/>
        <w:rPr>
          <w:szCs w:val="26"/>
        </w:rPr>
      </w:pPr>
      <w:r w:rsidRPr="008E6A6D">
        <w:rPr>
          <w:b/>
          <w:szCs w:val="26"/>
        </w:rPr>
        <w:t>BY THE COMMISSION:</w:t>
      </w:r>
    </w:p>
    <w:p w:rsidR="002719B7" w:rsidRPr="008E6A6D" w:rsidRDefault="002719B7" w:rsidP="002719B7">
      <w:pPr>
        <w:pStyle w:val="p3"/>
        <w:widowControl/>
        <w:spacing w:line="360" w:lineRule="auto"/>
        <w:rPr>
          <w:szCs w:val="26"/>
        </w:rPr>
      </w:pPr>
    </w:p>
    <w:p w:rsidR="007449FA" w:rsidRPr="008E6A6D" w:rsidRDefault="00DC437C" w:rsidP="00C96489">
      <w:pPr>
        <w:pStyle w:val="p3"/>
        <w:widowControl/>
        <w:tabs>
          <w:tab w:val="clear" w:pos="204"/>
          <w:tab w:val="left" w:pos="720"/>
        </w:tabs>
        <w:spacing w:line="360" w:lineRule="auto"/>
        <w:rPr>
          <w:szCs w:val="26"/>
        </w:rPr>
      </w:pPr>
      <w:r w:rsidRPr="008E6A6D">
        <w:rPr>
          <w:szCs w:val="26"/>
        </w:rPr>
        <w:tab/>
      </w:r>
      <w:r w:rsidR="00833D8B">
        <w:rPr>
          <w:szCs w:val="26"/>
        </w:rPr>
        <w:t>With the passage of the Alternative Energy Portfolio Standards Act of 2004</w:t>
      </w:r>
      <w:r w:rsidR="00BB2ADA">
        <w:rPr>
          <w:rStyle w:val="FootnoteReference"/>
          <w:szCs w:val="26"/>
        </w:rPr>
        <w:footnoteReference w:id="1"/>
      </w:r>
      <w:r w:rsidR="00833D8B">
        <w:rPr>
          <w:szCs w:val="26"/>
        </w:rPr>
        <w:t xml:space="preserve"> (AEPS Act), this Commonwealth embarked on a policy of promoting </w:t>
      </w:r>
      <w:r w:rsidR="00294853">
        <w:rPr>
          <w:szCs w:val="26"/>
        </w:rPr>
        <w:t>alternative</w:t>
      </w:r>
      <w:r w:rsidR="00833D8B">
        <w:rPr>
          <w:szCs w:val="26"/>
        </w:rPr>
        <w:t xml:space="preserve"> generation sources.  </w:t>
      </w:r>
      <w:r w:rsidR="00265847">
        <w:rPr>
          <w:szCs w:val="26"/>
        </w:rPr>
        <w:t xml:space="preserve">The Commission has been steadfastly committed to making </w:t>
      </w:r>
      <w:r w:rsidR="003603F5">
        <w:rPr>
          <w:szCs w:val="26"/>
        </w:rPr>
        <w:t xml:space="preserve">sure </w:t>
      </w:r>
      <w:r w:rsidR="00265847">
        <w:rPr>
          <w:szCs w:val="26"/>
        </w:rPr>
        <w:t xml:space="preserve">the AEPS Act </w:t>
      </w:r>
      <w:r w:rsidR="003603F5">
        <w:rPr>
          <w:szCs w:val="26"/>
        </w:rPr>
        <w:t xml:space="preserve">successfully meets the </w:t>
      </w:r>
      <w:r w:rsidR="00DF2777">
        <w:rPr>
          <w:szCs w:val="26"/>
        </w:rPr>
        <w:t>l</w:t>
      </w:r>
      <w:r w:rsidR="003603F5">
        <w:rPr>
          <w:szCs w:val="26"/>
        </w:rPr>
        <w:t>egislative policy goal of</w:t>
      </w:r>
      <w:r w:rsidR="00265847">
        <w:rPr>
          <w:szCs w:val="26"/>
        </w:rPr>
        <w:t xml:space="preserve"> promoting reasonable alternative energy.</w:t>
      </w:r>
      <w:r w:rsidR="004C633B">
        <w:rPr>
          <w:szCs w:val="26"/>
        </w:rPr>
        <w:t xml:space="preserve">  </w:t>
      </w:r>
      <w:r w:rsidR="00662AEA">
        <w:rPr>
          <w:szCs w:val="26"/>
        </w:rPr>
        <w:t>To further this commitment, the Commission, in a Tentative Order,</w:t>
      </w:r>
      <w:r w:rsidR="00662AEA">
        <w:rPr>
          <w:rStyle w:val="FootnoteReference"/>
          <w:szCs w:val="26"/>
        </w:rPr>
        <w:footnoteReference w:id="2"/>
      </w:r>
      <w:r w:rsidR="00662AEA">
        <w:rPr>
          <w:szCs w:val="26"/>
        </w:rPr>
        <w:t xml:space="preserve"> proposed </w:t>
      </w:r>
      <w:r w:rsidR="004C633B">
        <w:rPr>
          <w:szCs w:val="26"/>
        </w:rPr>
        <w:t xml:space="preserve">that it be the policy of the Commission </w:t>
      </w:r>
      <w:r w:rsidR="00662AEA">
        <w:rPr>
          <w:szCs w:val="26"/>
        </w:rPr>
        <w:t xml:space="preserve">to interpret </w:t>
      </w:r>
      <w:r w:rsidR="004C633B">
        <w:rPr>
          <w:szCs w:val="26"/>
        </w:rPr>
        <w:t xml:space="preserve">the term “operator” </w:t>
      </w:r>
      <w:r w:rsidR="004F7361">
        <w:rPr>
          <w:szCs w:val="26"/>
        </w:rPr>
        <w:t xml:space="preserve">in the definition of “customer-generator” </w:t>
      </w:r>
      <w:r w:rsidR="004C633B">
        <w:rPr>
          <w:szCs w:val="26"/>
        </w:rPr>
        <w:t>as including customer-generators with distributed alternative energy systems that contract with a third party to perform the oper</w:t>
      </w:r>
      <w:r w:rsidR="00FC395D">
        <w:rPr>
          <w:szCs w:val="26"/>
        </w:rPr>
        <w:t>ational functions of the system</w:t>
      </w:r>
      <w:r w:rsidR="00662AEA">
        <w:rPr>
          <w:szCs w:val="26"/>
        </w:rPr>
        <w:t xml:space="preserve">.  With this </w:t>
      </w:r>
      <w:r w:rsidR="00DF2777">
        <w:rPr>
          <w:szCs w:val="26"/>
        </w:rPr>
        <w:t>o</w:t>
      </w:r>
      <w:r w:rsidR="00662AEA">
        <w:rPr>
          <w:szCs w:val="26"/>
        </w:rPr>
        <w:t>rder, we adopt this policy</w:t>
      </w:r>
      <w:r w:rsidR="00FC395D">
        <w:rPr>
          <w:szCs w:val="26"/>
        </w:rPr>
        <w:t xml:space="preserve"> as </w:t>
      </w:r>
      <w:r w:rsidR="00662AEA">
        <w:rPr>
          <w:szCs w:val="26"/>
        </w:rPr>
        <w:t xml:space="preserve">modified by </w:t>
      </w:r>
      <w:r w:rsidR="00FC395D">
        <w:rPr>
          <w:szCs w:val="26"/>
        </w:rPr>
        <w:t xml:space="preserve">this </w:t>
      </w:r>
      <w:r w:rsidR="00DF2777">
        <w:rPr>
          <w:szCs w:val="26"/>
        </w:rPr>
        <w:t>o</w:t>
      </w:r>
      <w:r w:rsidR="00FC395D">
        <w:rPr>
          <w:szCs w:val="26"/>
        </w:rPr>
        <w:t>rder.</w:t>
      </w:r>
    </w:p>
    <w:p w:rsidR="007449FA" w:rsidRDefault="007449FA" w:rsidP="00C96489">
      <w:pPr>
        <w:pStyle w:val="p3"/>
        <w:widowControl/>
        <w:tabs>
          <w:tab w:val="clear" w:pos="204"/>
          <w:tab w:val="left" w:pos="720"/>
        </w:tabs>
        <w:spacing w:line="360" w:lineRule="auto"/>
        <w:rPr>
          <w:szCs w:val="26"/>
        </w:rPr>
      </w:pPr>
    </w:p>
    <w:p w:rsidR="00B16FB6" w:rsidRPr="008E6A6D" w:rsidRDefault="006E3C2C" w:rsidP="006E3C2C">
      <w:pPr>
        <w:pStyle w:val="p3"/>
        <w:widowControl/>
        <w:tabs>
          <w:tab w:val="clear" w:pos="204"/>
          <w:tab w:val="left" w:pos="720"/>
        </w:tabs>
        <w:spacing w:line="360" w:lineRule="auto"/>
        <w:jc w:val="center"/>
        <w:rPr>
          <w:b/>
          <w:szCs w:val="26"/>
        </w:rPr>
      </w:pPr>
      <w:r w:rsidRPr="008E6A6D">
        <w:rPr>
          <w:b/>
          <w:szCs w:val="26"/>
        </w:rPr>
        <w:lastRenderedPageBreak/>
        <w:t>BACKGROUND</w:t>
      </w:r>
    </w:p>
    <w:p w:rsidR="00B16FB6" w:rsidRPr="008E6A6D" w:rsidRDefault="00B16FB6" w:rsidP="002719B7">
      <w:pPr>
        <w:pStyle w:val="p3"/>
        <w:widowControl/>
        <w:tabs>
          <w:tab w:val="clear" w:pos="204"/>
          <w:tab w:val="left" w:pos="720"/>
        </w:tabs>
        <w:spacing w:line="360" w:lineRule="auto"/>
        <w:rPr>
          <w:szCs w:val="26"/>
        </w:rPr>
      </w:pPr>
    </w:p>
    <w:p w:rsidR="002C2382" w:rsidRDefault="00B16FB6" w:rsidP="002C2382">
      <w:pPr>
        <w:pStyle w:val="p3"/>
        <w:widowControl/>
        <w:tabs>
          <w:tab w:val="clear" w:pos="204"/>
          <w:tab w:val="left" w:pos="720"/>
        </w:tabs>
        <w:spacing w:line="360" w:lineRule="auto"/>
        <w:rPr>
          <w:szCs w:val="26"/>
        </w:rPr>
      </w:pPr>
      <w:r w:rsidRPr="008E6A6D">
        <w:rPr>
          <w:szCs w:val="26"/>
        </w:rPr>
        <w:tab/>
      </w:r>
      <w:r w:rsidR="002C2382">
        <w:rPr>
          <w:szCs w:val="26"/>
        </w:rPr>
        <w:t xml:space="preserve">On November 30, 2004, Governor Edward Rendell signed Act 213 into law.  </w:t>
      </w:r>
      <w:r w:rsidR="003332FF">
        <w:rPr>
          <w:szCs w:val="26"/>
        </w:rPr>
        <w:t>Act 213 became effective on February 28, 2005, and established the Alternative Energy Portfolio Standards Act in Pennsylvania.  The AEPS Act includes two key mandates, greater reliance on alternative energy sources, such as solar photovoltaic</w:t>
      </w:r>
      <w:r w:rsidR="009452C8">
        <w:rPr>
          <w:szCs w:val="26"/>
        </w:rPr>
        <w:t>, in serving Pennsylvania’s retail electric customers and the opportunity for customer-generators to interconnect and net meter small alternative energy systems.  The Pennsylvania General Assembly charged the Commission with implementing and enforcing these mandates, with the assistance of the Pennsylvania Department of Environmental Protection.</w:t>
      </w:r>
      <w:r w:rsidR="00210EF4">
        <w:rPr>
          <w:rStyle w:val="FootnoteReference"/>
          <w:szCs w:val="26"/>
        </w:rPr>
        <w:footnoteReference w:id="3"/>
      </w:r>
      <w:r w:rsidR="009452C8">
        <w:rPr>
          <w:szCs w:val="26"/>
        </w:rPr>
        <w:t xml:space="preserve">  </w:t>
      </w:r>
    </w:p>
    <w:p w:rsidR="00B53C80" w:rsidRDefault="00B53C80" w:rsidP="002C2382">
      <w:pPr>
        <w:pStyle w:val="p3"/>
        <w:widowControl/>
        <w:tabs>
          <w:tab w:val="clear" w:pos="204"/>
          <w:tab w:val="left" w:pos="720"/>
        </w:tabs>
        <w:spacing w:line="360" w:lineRule="auto"/>
        <w:rPr>
          <w:szCs w:val="26"/>
        </w:rPr>
      </w:pPr>
    </w:p>
    <w:p w:rsidR="007D574F" w:rsidRDefault="00B53C80" w:rsidP="00BD2113">
      <w:pPr>
        <w:pStyle w:val="p3"/>
        <w:widowControl/>
        <w:tabs>
          <w:tab w:val="clear" w:pos="204"/>
          <w:tab w:val="left" w:pos="720"/>
        </w:tabs>
        <w:spacing w:line="360" w:lineRule="auto"/>
        <w:rPr>
          <w:szCs w:val="26"/>
        </w:rPr>
      </w:pPr>
      <w:r>
        <w:rPr>
          <w:szCs w:val="26"/>
        </w:rPr>
        <w:tab/>
      </w:r>
      <w:r w:rsidR="00087BE7">
        <w:rPr>
          <w:szCs w:val="26"/>
        </w:rPr>
        <w:t>The AEPS Act defines net metering as “[t]he means of measuring the difference between the electricity supplied by an electric utility and the electricity generated by a customer-generator when any portion of the electricity generated by the alternative energy generating system is used to offset part or all of the customer</w:t>
      </w:r>
      <w:r w:rsidR="00087BE7">
        <w:rPr>
          <w:szCs w:val="26"/>
        </w:rPr>
        <w:noBreakHyphen/>
        <w:t>generator’s requirements for electricity.”</w:t>
      </w:r>
      <w:r w:rsidR="00210EF4">
        <w:rPr>
          <w:rStyle w:val="FootnoteReference"/>
          <w:szCs w:val="26"/>
        </w:rPr>
        <w:footnoteReference w:id="4"/>
      </w:r>
      <w:r w:rsidR="00087BE7">
        <w:rPr>
          <w:szCs w:val="26"/>
        </w:rPr>
        <w:t xml:space="preserve">    </w:t>
      </w:r>
      <w:r w:rsidR="001D0998">
        <w:rPr>
          <w:szCs w:val="26"/>
        </w:rPr>
        <w:t>The AEPS Act also permits virtual net metering “on properties owned or leased and operated by a customer-generator and located within two miles of the boundaries of the customer-generator’s property and within a single electric distribution company’s service territory.”</w:t>
      </w:r>
      <w:r w:rsidR="00210EF4">
        <w:rPr>
          <w:rStyle w:val="FootnoteReference"/>
          <w:szCs w:val="26"/>
        </w:rPr>
        <w:footnoteReference w:id="5"/>
      </w:r>
      <w:r w:rsidR="001D0998">
        <w:rPr>
          <w:szCs w:val="26"/>
        </w:rPr>
        <w:t xml:space="preserve">  </w:t>
      </w:r>
    </w:p>
    <w:p w:rsidR="00210EF4" w:rsidRDefault="00210EF4" w:rsidP="00BD2113">
      <w:pPr>
        <w:pStyle w:val="p3"/>
        <w:widowControl/>
        <w:tabs>
          <w:tab w:val="clear" w:pos="204"/>
          <w:tab w:val="left" w:pos="720"/>
        </w:tabs>
        <w:spacing w:line="360" w:lineRule="auto"/>
        <w:rPr>
          <w:szCs w:val="26"/>
        </w:rPr>
      </w:pPr>
    </w:p>
    <w:p w:rsidR="0082694C" w:rsidRDefault="00210EF4" w:rsidP="00BD2113">
      <w:pPr>
        <w:pStyle w:val="p3"/>
        <w:widowControl/>
        <w:tabs>
          <w:tab w:val="clear" w:pos="204"/>
          <w:tab w:val="left" w:pos="720"/>
        </w:tabs>
        <w:spacing w:line="360" w:lineRule="auto"/>
        <w:rPr>
          <w:szCs w:val="26"/>
        </w:rPr>
      </w:pPr>
      <w:r>
        <w:rPr>
          <w:szCs w:val="26"/>
        </w:rPr>
        <w:tab/>
      </w:r>
      <w:r>
        <w:rPr>
          <w:szCs w:val="26"/>
        </w:rPr>
        <w:tab/>
        <w:t xml:space="preserve">The AEPS Act defines a customer-generator as:  </w:t>
      </w:r>
    </w:p>
    <w:p w:rsidR="00987208" w:rsidRDefault="00210EF4" w:rsidP="00987208">
      <w:pPr>
        <w:pStyle w:val="p3"/>
        <w:widowControl/>
        <w:tabs>
          <w:tab w:val="clear" w:pos="204"/>
          <w:tab w:val="left" w:pos="720"/>
        </w:tabs>
        <w:ind w:left="720" w:right="720"/>
        <w:rPr>
          <w:szCs w:val="26"/>
        </w:rPr>
      </w:pPr>
      <w:r>
        <w:rPr>
          <w:szCs w:val="26"/>
        </w:rPr>
        <w:t>a nonutility owner or operator of a net metered distributed generation system with a nameplate capacity of not greater than 50 k</w:t>
      </w:r>
      <w:r w:rsidR="0082694C">
        <w:rPr>
          <w:szCs w:val="26"/>
        </w:rPr>
        <w:t xml:space="preserve">ilowatts if installed at a residential service or not larger than 3,000 kilowatts at other customer service locations, except for customers whose systems are above three megawatts and up to five megawatts who make their systems available to operate in parallel with the electric utility during grid emergencies as defined by the regional transmission organization or where a microgrid is in place for the primary or secondary purpose of maintaining </w:t>
      </w:r>
      <w:r w:rsidR="0082694C">
        <w:rPr>
          <w:szCs w:val="26"/>
        </w:rPr>
        <w:lastRenderedPageBreak/>
        <w:t>critical infrastructure, such as homeland security assignments, emergency services facilities, hospitals, traffic signals, wastewater treatment plants or telecommunications facilities, provided that technical rules for operating generators interconnected with facilities of an electric distribution company, electric cooperative or municipal electric system have</w:t>
      </w:r>
      <w:r w:rsidR="00987208">
        <w:rPr>
          <w:szCs w:val="26"/>
        </w:rPr>
        <w:t xml:space="preserve"> been promulgated by the Institute of Electrical and Electronic Engineers and the Pennsylvania Public Utility Commission.</w:t>
      </w:r>
      <w:r w:rsidR="00987208">
        <w:rPr>
          <w:rStyle w:val="FootnoteReference"/>
          <w:szCs w:val="26"/>
        </w:rPr>
        <w:footnoteReference w:id="6"/>
      </w:r>
    </w:p>
    <w:p w:rsidR="00987208" w:rsidRDefault="00987208" w:rsidP="00987208">
      <w:pPr>
        <w:pStyle w:val="p3"/>
        <w:widowControl/>
        <w:tabs>
          <w:tab w:val="clear" w:pos="204"/>
          <w:tab w:val="left" w:pos="720"/>
        </w:tabs>
        <w:ind w:left="720" w:right="720"/>
        <w:rPr>
          <w:szCs w:val="26"/>
        </w:rPr>
      </w:pPr>
    </w:p>
    <w:p w:rsidR="00CD7CBA" w:rsidRDefault="00CD7CBA" w:rsidP="00987208">
      <w:pPr>
        <w:pStyle w:val="p3"/>
        <w:widowControl/>
        <w:tabs>
          <w:tab w:val="clear" w:pos="204"/>
          <w:tab w:val="left" w:pos="720"/>
        </w:tabs>
        <w:spacing w:line="360" w:lineRule="auto"/>
        <w:rPr>
          <w:szCs w:val="26"/>
        </w:rPr>
      </w:pPr>
    </w:p>
    <w:p w:rsidR="00987208" w:rsidRDefault="0091005A" w:rsidP="00987208">
      <w:pPr>
        <w:pStyle w:val="p3"/>
        <w:widowControl/>
        <w:tabs>
          <w:tab w:val="clear" w:pos="204"/>
          <w:tab w:val="left" w:pos="720"/>
        </w:tabs>
        <w:spacing w:line="360" w:lineRule="auto"/>
        <w:rPr>
          <w:szCs w:val="26"/>
        </w:rPr>
      </w:pPr>
      <w:r>
        <w:rPr>
          <w:szCs w:val="26"/>
        </w:rPr>
        <w:tab/>
      </w:r>
      <w:r w:rsidR="00CB2FB2">
        <w:rPr>
          <w:szCs w:val="26"/>
        </w:rPr>
        <w:t xml:space="preserve">The Commission’s regulations require </w:t>
      </w:r>
      <w:r w:rsidR="00DF770A">
        <w:rPr>
          <w:szCs w:val="26"/>
        </w:rPr>
        <w:t>electric distribution companies (EDCs)</w:t>
      </w:r>
      <w:r w:rsidR="00CB2FB2">
        <w:rPr>
          <w:szCs w:val="26"/>
        </w:rPr>
        <w:t xml:space="preserve"> to “offer net metering to customer-generators that generate electricity on the customer-generator’s side of the meter using Tier I or Tier II alternative energy sources, on a first come, first served basis.”</w:t>
      </w:r>
      <w:r w:rsidR="00CB2FB2">
        <w:rPr>
          <w:rStyle w:val="FootnoteReference"/>
          <w:szCs w:val="26"/>
        </w:rPr>
        <w:footnoteReference w:id="7"/>
      </w:r>
      <w:r w:rsidR="00CB2FB2">
        <w:rPr>
          <w:szCs w:val="26"/>
        </w:rPr>
        <w:t xml:space="preserve">  </w:t>
      </w:r>
      <w:r w:rsidR="00DF770A">
        <w:rPr>
          <w:szCs w:val="26"/>
        </w:rPr>
        <w:t>Regarding electric generation suppliers (EGSs) the Commission’s regulations state that “EGSs may offer net metering to customer</w:t>
      </w:r>
      <w:r w:rsidR="00DF770A">
        <w:rPr>
          <w:szCs w:val="26"/>
        </w:rPr>
        <w:noBreakHyphen/>
        <w:t>generators, on a first come, first served basis, under the terms and conditions as are set forth in agreements between EGSs and customer-generators taking services from EGSs.”</w:t>
      </w:r>
      <w:r w:rsidR="00DF770A">
        <w:rPr>
          <w:rStyle w:val="FootnoteReference"/>
          <w:szCs w:val="26"/>
        </w:rPr>
        <w:footnoteReference w:id="8"/>
      </w:r>
      <w:r w:rsidR="001927D1">
        <w:rPr>
          <w:szCs w:val="26"/>
        </w:rPr>
        <w:t xml:space="preserve">  </w:t>
      </w:r>
    </w:p>
    <w:p w:rsidR="00CD7CBA" w:rsidRDefault="00CD7CBA" w:rsidP="00987208">
      <w:pPr>
        <w:pStyle w:val="p3"/>
        <w:widowControl/>
        <w:tabs>
          <w:tab w:val="clear" w:pos="204"/>
          <w:tab w:val="left" w:pos="720"/>
        </w:tabs>
        <w:spacing w:line="360" w:lineRule="auto"/>
        <w:rPr>
          <w:szCs w:val="26"/>
        </w:rPr>
      </w:pPr>
    </w:p>
    <w:p w:rsidR="00CD7CBA" w:rsidRDefault="00CD7CBA" w:rsidP="00987208">
      <w:pPr>
        <w:pStyle w:val="p3"/>
        <w:widowControl/>
        <w:tabs>
          <w:tab w:val="clear" w:pos="204"/>
          <w:tab w:val="left" w:pos="720"/>
        </w:tabs>
        <w:spacing w:line="360" w:lineRule="auto"/>
        <w:rPr>
          <w:szCs w:val="26"/>
        </w:rPr>
      </w:pPr>
      <w:r>
        <w:rPr>
          <w:szCs w:val="26"/>
        </w:rPr>
        <w:tab/>
        <w:t>The Commission’s regulations define a customer-generator facility as “[t]he equipment used by a customer-generator to generate, manage, monitor and deliver electricity to the EDC.”</w:t>
      </w:r>
      <w:r>
        <w:rPr>
          <w:rStyle w:val="FootnoteReference"/>
          <w:szCs w:val="26"/>
        </w:rPr>
        <w:footnoteReference w:id="9"/>
      </w:r>
      <w:r>
        <w:rPr>
          <w:szCs w:val="26"/>
        </w:rPr>
        <w:t xml:space="preserve">  The Commission’s regulations also define net metering as “[t]he means of measuring the difference between the electricity supplied by an electric utility or EGS and the electricity generated by a customer-generator when any portion of the electricity generated by the alternative energy generation system is used to offset part or all of the customer-generator’s requirements for electricity.”</w:t>
      </w:r>
      <w:r>
        <w:rPr>
          <w:rStyle w:val="FootnoteReference"/>
          <w:szCs w:val="26"/>
        </w:rPr>
        <w:footnoteReference w:id="10"/>
      </w:r>
    </w:p>
    <w:p w:rsidR="00DF2777" w:rsidRPr="008E6A6D" w:rsidRDefault="00DF2777" w:rsidP="00987208">
      <w:pPr>
        <w:pStyle w:val="p3"/>
        <w:widowControl/>
        <w:tabs>
          <w:tab w:val="clear" w:pos="204"/>
          <w:tab w:val="left" w:pos="720"/>
        </w:tabs>
        <w:spacing w:line="360" w:lineRule="auto"/>
        <w:rPr>
          <w:szCs w:val="26"/>
        </w:rPr>
      </w:pPr>
    </w:p>
    <w:p w:rsidR="001E3376" w:rsidRDefault="00586846" w:rsidP="00BD2113">
      <w:pPr>
        <w:pStyle w:val="p3"/>
        <w:widowControl/>
        <w:tabs>
          <w:tab w:val="clear" w:pos="204"/>
          <w:tab w:val="left" w:pos="720"/>
        </w:tabs>
        <w:spacing w:line="360" w:lineRule="auto"/>
        <w:rPr>
          <w:szCs w:val="26"/>
        </w:rPr>
      </w:pPr>
      <w:r>
        <w:rPr>
          <w:szCs w:val="26"/>
        </w:rPr>
        <w:tab/>
      </w:r>
      <w:r w:rsidR="00017C88">
        <w:rPr>
          <w:szCs w:val="26"/>
        </w:rPr>
        <w:t>On June 30, 2011, the Commission adopted a</w:t>
      </w:r>
      <w:r w:rsidR="00964BA9">
        <w:rPr>
          <w:szCs w:val="26"/>
        </w:rPr>
        <w:t xml:space="preserve"> </w:t>
      </w:r>
      <w:r w:rsidR="00DF2777">
        <w:rPr>
          <w:szCs w:val="26"/>
        </w:rPr>
        <w:t>m</w:t>
      </w:r>
      <w:r w:rsidR="00964BA9">
        <w:rPr>
          <w:szCs w:val="26"/>
        </w:rPr>
        <w:t xml:space="preserve">otion by Chairman Robert F. Powelson seeking comment on a proposal to make it the policy of the Commission to </w:t>
      </w:r>
      <w:r w:rsidR="00964BA9">
        <w:rPr>
          <w:szCs w:val="26"/>
        </w:rPr>
        <w:lastRenderedPageBreak/>
        <w:t xml:space="preserve">allow net metering of alternative energy systems where the customer-generator contracts with a third-party to operate the system, provided that the system is designed to generate no more than 110% of the customer-generator’s prior year electric consumption.  On July 28, 2011, the Commission entered a </w:t>
      </w:r>
      <w:r w:rsidR="00964BA9" w:rsidRPr="007169CF">
        <w:rPr>
          <w:i/>
          <w:szCs w:val="26"/>
        </w:rPr>
        <w:t>Tentative Order</w:t>
      </w:r>
      <w:r w:rsidR="00964BA9">
        <w:rPr>
          <w:szCs w:val="26"/>
        </w:rPr>
        <w:t xml:space="preserve"> seeking comment on th</w:t>
      </w:r>
      <w:r w:rsidR="003603F5">
        <w:rPr>
          <w:szCs w:val="26"/>
        </w:rPr>
        <w:t>i</w:t>
      </w:r>
      <w:r w:rsidR="007169CF">
        <w:rPr>
          <w:szCs w:val="26"/>
        </w:rPr>
        <w:t>s</w:t>
      </w:r>
      <w:r w:rsidR="00964BA9">
        <w:rPr>
          <w:szCs w:val="26"/>
        </w:rPr>
        <w:t xml:space="preserve"> proposed net metering policy.  The </w:t>
      </w:r>
      <w:r w:rsidR="00964BA9" w:rsidRPr="007169CF">
        <w:rPr>
          <w:i/>
          <w:szCs w:val="26"/>
        </w:rPr>
        <w:t>Tentative Order</w:t>
      </w:r>
      <w:r w:rsidR="00964BA9">
        <w:rPr>
          <w:szCs w:val="26"/>
        </w:rPr>
        <w:t xml:space="preserve"> was published in the Pennsylvania Bulletin on August, 13, 2011</w:t>
      </w:r>
      <w:r w:rsidR="007B26D6">
        <w:rPr>
          <w:szCs w:val="26"/>
        </w:rPr>
        <w:t>.</w:t>
      </w:r>
      <w:r w:rsidR="007B26D6">
        <w:rPr>
          <w:rStyle w:val="FootnoteReference"/>
          <w:szCs w:val="26"/>
        </w:rPr>
        <w:footnoteReference w:id="11"/>
      </w:r>
      <w:r w:rsidR="006145BB">
        <w:rPr>
          <w:szCs w:val="26"/>
        </w:rPr>
        <w:t xml:space="preserve">  Comments were due by September 12, 2011.  </w:t>
      </w:r>
    </w:p>
    <w:p w:rsidR="001E3376" w:rsidRDefault="001E3376" w:rsidP="00BD2113">
      <w:pPr>
        <w:pStyle w:val="p3"/>
        <w:widowControl/>
        <w:tabs>
          <w:tab w:val="clear" w:pos="204"/>
          <w:tab w:val="left" w:pos="720"/>
        </w:tabs>
        <w:spacing w:line="360" w:lineRule="auto"/>
        <w:rPr>
          <w:szCs w:val="26"/>
        </w:rPr>
      </w:pPr>
    </w:p>
    <w:p w:rsidR="00A4736C" w:rsidRDefault="001E3376" w:rsidP="00BD2113">
      <w:pPr>
        <w:pStyle w:val="p3"/>
        <w:widowControl/>
        <w:tabs>
          <w:tab w:val="clear" w:pos="204"/>
          <w:tab w:val="left" w:pos="720"/>
        </w:tabs>
        <w:spacing w:line="360" w:lineRule="auto"/>
        <w:rPr>
          <w:szCs w:val="26"/>
        </w:rPr>
      </w:pPr>
      <w:r>
        <w:rPr>
          <w:szCs w:val="26"/>
        </w:rPr>
        <w:tab/>
      </w:r>
      <w:r w:rsidR="006145BB">
        <w:rPr>
          <w:szCs w:val="26"/>
        </w:rPr>
        <w:t xml:space="preserve">Comments were filed by Citizen Power; </w:t>
      </w:r>
      <w:r w:rsidR="00C42356" w:rsidRPr="00C42356">
        <w:rPr>
          <w:szCs w:val="26"/>
        </w:rPr>
        <w:t>Duquesne Light Company (Duquesne); the Energy Association of Pennsylvania (EAP); EnergyWorks Group (EnergyWorks);</w:t>
      </w:r>
      <w:r w:rsidR="00C42356">
        <w:rPr>
          <w:szCs w:val="26"/>
        </w:rPr>
        <w:t xml:space="preserve"> </w:t>
      </w:r>
      <w:r w:rsidR="006145BB">
        <w:rPr>
          <w:szCs w:val="26"/>
        </w:rPr>
        <w:t xml:space="preserve">the Metropolitan Edison Company, Pennsylvania Electric Company, Pennsylvania Power Company and West Penn Power Company (collectively, FirstEnergy); </w:t>
      </w:r>
      <w:r w:rsidR="00442EB5">
        <w:rPr>
          <w:szCs w:val="26"/>
        </w:rPr>
        <w:t xml:space="preserve">the </w:t>
      </w:r>
      <w:r w:rsidR="00C42356" w:rsidRPr="00C42356">
        <w:rPr>
          <w:szCs w:val="26"/>
        </w:rPr>
        <w:t>Interstate Renewable Energy Council (IREC);</w:t>
      </w:r>
      <w:r w:rsidR="00442EB5">
        <w:rPr>
          <w:szCs w:val="26"/>
        </w:rPr>
        <w:t xml:space="preserve"> </w:t>
      </w:r>
      <w:r w:rsidR="00C42356" w:rsidRPr="00C42356">
        <w:rPr>
          <w:szCs w:val="26"/>
        </w:rPr>
        <w:t xml:space="preserve">the Office of Consumer Advocate (OCA); PECO Energy Company (PECO); PennFuture; </w:t>
      </w:r>
      <w:r w:rsidR="00442EB5">
        <w:rPr>
          <w:szCs w:val="26"/>
        </w:rPr>
        <w:t>the Pennsylvania Solar Energy Industry Association and the Mid-Atlantic Solar Energy Industries Association (collectively PASEIA/MSEIA);</w:t>
      </w:r>
      <w:r w:rsidR="00442EB5" w:rsidRPr="00C42356">
        <w:rPr>
          <w:szCs w:val="26"/>
        </w:rPr>
        <w:t xml:space="preserve"> </w:t>
      </w:r>
      <w:r w:rsidR="00C42356" w:rsidRPr="00C42356">
        <w:rPr>
          <w:szCs w:val="26"/>
        </w:rPr>
        <w:t xml:space="preserve">the Solar Alliance (SA); </w:t>
      </w:r>
      <w:r w:rsidR="006145BB">
        <w:rPr>
          <w:szCs w:val="26"/>
        </w:rPr>
        <w:t xml:space="preserve">SunRun, Inc. (SunRun); </w:t>
      </w:r>
      <w:r w:rsidR="00C42356" w:rsidRPr="00C42356">
        <w:rPr>
          <w:szCs w:val="26"/>
        </w:rPr>
        <w:t>the Sustainable Energy Fund (SEF); the Vote Solar Initiative (Vote Solar)</w:t>
      </w:r>
      <w:r w:rsidR="00C42356">
        <w:rPr>
          <w:szCs w:val="26"/>
        </w:rPr>
        <w:t xml:space="preserve">; and </w:t>
      </w:r>
      <w:r w:rsidR="006145BB">
        <w:rPr>
          <w:szCs w:val="26"/>
        </w:rPr>
        <w:t xml:space="preserve">Washington Gas Energy Services, Inc. (WGES). </w:t>
      </w:r>
    </w:p>
    <w:p w:rsidR="00EC08B3" w:rsidRPr="008E6A6D" w:rsidRDefault="00EC08B3" w:rsidP="00BD2113">
      <w:pPr>
        <w:pStyle w:val="p3"/>
        <w:widowControl/>
        <w:tabs>
          <w:tab w:val="clear" w:pos="204"/>
          <w:tab w:val="left" w:pos="720"/>
        </w:tabs>
        <w:spacing w:line="360" w:lineRule="auto"/>
        <w:rPr>
          <w:szCs w:val="26"/>
        </w:rPr>
      </w:pPr>
    </w:p>
    <w:p w:rsidR="001E3376" w:rsidRDefault="001E3376">
      <w:pPr>
        <w:rPr>
          <w:b/>
          <w:sz w:val="26"/>
          <w:szCs w:val="26"/>
        </w:rPr>
      </w:pPr>
      <w:r>
        <w:rPr>
          <w:b/>
          <w:szCs w:val="26"/>
        </w:rPr>
        <w:br w:type="page"/>
      </w:r>
    </w:p>
    <w:p w:rsidR="007D574F" w:rsidRPr="008E6A6D" w:rsidRDefault="006E3C2C" w:rsidP="006E3C2C">
      <w:pPr>
        <w:pStyle w:val="p3"/>
        <w:widowControl/>
        <w:tabs>
          <w:tab w:val="clear" w:pos="204"/>
          <w:tab w:val="left" w:pos="720"/>
        </w:tabs>
        <w:spacing w:line="360" w:lineRule="auto"/>
        <w:jc w:val="center"/>
        <w:rPr>
          <w:b/>
          <w:szCs w:val="26"/>
        </w:rPr>
      </w:pPr>
      <w:r w:rsidRPr="008E6A6D">
        <w:rPr>
          <w:b/>
          <w:szCs w:val="26"/>
        </w:rPr>
        <w:lastRenderedPageBreak/>
        <w:t>DISCUSSION</w:t>
      </w:r>
    </w:p>
    <w:p w:rsidR="00294853" w:rsidRDefault="001E3376" w:rsidP="00DF2777">
      <w:pPr>
        <w:pStyle w:val="p3"/>
        <w:widowControl/>
        <w:tabs>
          <w:tab w:val="clear" w:pos="204"/>
          <w:tab w:val="left" w:pos="720"/>
        </w:tabs>
        <w:spacing w:line="360" w:lineRule="auto"/>
        <w:ind w:firstLine="720"/>
        <w:rPr>
          <w:szCs w:val="26"/>
        </w:rPr>
      </w:pPr>
      <w:r>
        <w:rPr>
          <w:szCs w:val="26"/>
        </w:rPr>
        <w:t xml:space="preserve">The Commission would like to thank all parties </w:t>
      </w:r>
      <w:r w:rsidR="005029BC">
        <w:rPr>
          <w:szCs w:val="26"/>
        </w:rPr>
        <w:t>who</w:t>
      </w:r>
      <w:r>
        <w:rPr>
          <w:szCs w:val="26"/>
        </w:rPr>
        <w:t xml:space="preserve"> provided comments in this proceeding.  Below, we will address those comments that are germane to the proposed policy.</w:t>
      </w:r>
    </w:p>
    <w:p w:rsidR="00294853" w:rsidRDefault="00294853" w:rsidP="00BD2113">
      <w:pPr>
        <w:pStyle w:val="p3"/>
        <w:widowControl/>
        <w:tabs>
          <w:tab w:val="clear" w:pos="204"/>
          <w:tab w:val="left" w:pos="720"/>
        </w:tabs>
        <w:spacing w:line="360" w:lineRule="auto"/>
        <w:rPr>
          <w:szCs w:val="26"/>
        </w:rPr>
      </w:pPr>
    </w:p>
    <w:p w:rsidR="00AE677B" w:rsidRPr="00AE677B" w:rsidRDefault="00AE677B" w:rsidP="00BD2113">
      <w:pPr>
        <w:pStyle w:val="p3"/>
        <w:widowControl/>
        <w:tabs>
          <w:tab w:val="clear" w:pos="204"/>
          <w:tab w:val="left" w:pos="720"/>
        </w:tabs>
        <w:spacing w:line="360" w:lineRule="auto"/>
        <w:rPr>
          <w:b/>
          <w:szCs w:val="26"/>
        </w:rPr>
      </w:pPr>
      <w:r>
        <w:rPr>
          <w:b/>
          <w:szCs w:val="26"/>
        </w:rPr>
        <w:t>A.</w:t>
      </w:r>
      <w:r>
        <w:rPr>
          <w:b/>
          <w:szCs w:val="26"/>
        </w:rPr>
        <w:tab/>
        <w:t xml:space="preserve">Proposed </w:t>
      </w:r>
      <w:r w:rsidR="00D84148">
        <w:rPr>
          <w:b/>
          <w:szCs w:val="26"/>
        </w:rPr>
        <w:t xml:space="preserve">Commission </w:t>
      </w:r>
      <w:r>
        <w:rPr>
          <w:b/>
          <w:szCs w:val="26"/>
        </w:rPr>
        <w:t>Policy</w:t>
      </w:r>
    </w:p>
    <w:p w:rsidR="00AE677B" w:rsidRPr="008E6A6D" w:rsidRDefault="00AE677B" w:rsidP="00BD2113">
      <w:pPr>
        <w:pStyle w:val="p3"/>
        <w:widowControl/>
        <w:tabs>
          <w:tab w:val="clear" w:pos="204"/>
          <w:tab w:val="left" w:pos="720"/>
        </w:tabs>
        <w:spacing w:line="360" w:lineRule="auto"/>
        <w:rPr>
          <w:szCs w:val="26"/>
        </w:rPr>
      </w:pPr>
    </w:p>
    <w:p w:rsidR="002323C8" w:rsidRDefault="007D574F" w:rsidP="002323C8">
      <w:pPr>
        <w:pStyle w:val="p3"/>
        <w:widowControl/>
        <w:tabs>
          <w:tab w:val="clear" w:pos="204"/>
          <w:tab w:val="left" w:pos="720"/>
        </w:tabs>
        <w:spacing w:line="360" w:lineRule="auto"/>
        <w:rPr>
          <w:szCs w:val="26"/>
        </w:rPr>
      </w:pPr>
      <w:r w:rsidRPr="008E6A6D">
        <w:rPr>
          <w:szCs w:val="26"/>
        </w:rPr>
        <w:tab/>
      </w:r>
      <w:r w:rsidR="009D4D1B">
        <w:rPr>
          <w:szCs w:val="26"/>
        </w:rPr>
        <w:t xml:space="preserve">In the </w:t>
      </w:r>
      <w:r w:rsidR="009D4D1B" w:rsidRPr="009D4D1B">
        <w:rPr>
          <w:i/>
          <w:szCs w:val="26"/>
        </w:rPr>
        <w:t>Tentative Order</w:t>
      </w:r>
      <w:r w:rsidR="009D4D1B">
        <w:rPr>
          <w:szCs w:val="26"/>
        </w:rPr>
        <w:t>, we stated that we</w:t>
      </w:r>
      <w:r w:rsidR="00323CBE">
        <w:rPr>
          <w:szCs w:val="26"/>
        </w:rPr>
        <w:t xml:space="preserve"> believe</w:t>
      </w:r>
      <w:r w:rsidR="002323C8">
        <w:rPr>
          <w:szCs w:val="26"/>
        </w:rPr>
        <w:t xml:space="preserve"> that it should be the policy of th</w:t>
      </w:r>
      <w:r w:rsidR="00323CBE">
        <w:rPr>
          <w:szCs w:val="26"/>
        </w:rPr>
        <w:t>is</w:t>
      </w:r>
      <w:r w:rsidR="002323C8">
        <w:rPr>
          <w:szCs w:val="26"/>
        </w:rPr>
        <w:t xml:space="preserve"> Commission to support access to alternative energy systems to as broad an array of consumers as possible.  </w:t>
      </w:r>
      <w:r w:rsidR="00323CBE">
        <w:rPr>
          <w:szCs w:val="26"/>
        </w:rPr>
        <w:t xml:space="preserve">We </w:t>
      </w:r>
      <w:r w:rsidR="009D4D1B">
        <w:rPr>
          <w:szCs w:val="26"/>
        </w:rPr>
        <w:t xml:space="preserve">further stated that we were </w:t>
      </w:r>
      <w:r w:rsidR="002323C8">
        <w:rPr>
          <w:szCs w:val="26"/>
        </w:rPr>
        <w:t xml:space="preserve">aware of the fact that consumers often may need to make a significant initial capital outlay in order to install an alternative energy facility at their residence or small business, and that this significant capital </w:t>
      </w:r>
      <w:r w:rsidR="00AC15AF">
        <w:rPr>
          <w:szCs w:val="26"/>
        </w:rPr>
        <w:t>expense is an impediment to many consumers wishing to install such systems.</w:t>
      </w:r>
    </w:p>
    <w:p w:rsidR="00AC15AF" w:rsidRDefault="00AC15AF" w:rsidP="002323C8">
      <w:pPr>
        <w:pStyle w:val="p3"/>
        <w:widowControl/>
        <w:tabs>
          <w:tab w:val="clear" w:pos="204"/>
          <w:tab w:val="left" w:pos="720"/>
        </w:tabs>
        <w:spacing w:line="360" w:lineRule="auto"/>
        <w:rPr>
          <w:szCs w:val="26"/>
        </w:rPr>
      </w:pPr>
    </w:p>
    <w:p w:rsidR="00A815FE" w:rsidRDefault="00AC15AF" w:rsidP="00E21925">
      <w:pPr>
        <w:pStyle w:val="p3"/>
        <w:widowControl/>
        <w:tabs>
          <w:tab w:val="clear" w:pos="204"/>
          <w:tab w:val="left" w:pos="720"/>
        </w:tabs>
        <w:spacing w:line="360" w:lineRule="auto"/>
        <w:rPr>
          <w:szCs w:val="26"/>
        </w:rPr>
      </w:pPr>
      <w:r>
        <w:rPr>
          <w:szCs w:val="26"/>
        </w:rPr>
        <w:tab/>
      </w:r>
      <w:r w:rsidR="009D4D1B">
        <w:rPr>
          <w:szCs w:val="26"/>
        </w:rPr>
        <w:t xml:space="preserve">In the </w:t>
      </w:r>
      <w:r w:rsidR="009D4D1B" w:rsidRPr="009D4D1B">
        <w:rPr>
          <w:i/>
          <w:szCs w:val="26"/>
        </w:rPr>
        <w:t>Tentative Order</w:t>
      </w:r>
      <w:r w:rsidR="009D4D1B">
        <w:rPr>
          <w:szCs w:val="26"/>
        </w:rPr>
        <w:t>, w</w:t>
      </w:r>
      <w:r w:rsidR="00D37574">
        <w:rPr>
          <w:szCs w:val="26"/>
        </w:rPr>
        <w:t xml:space="preserve">e </w:t>
      </w:r>
      <w:r w:rsidR="009D4D1B">
        <w:rPr>
          <w:szCs w:val="26"/>
        </w:rPr>
        <w:t xml:space="preserve">stated that the AEPS Act and </w:t>
      </w:r>
      <w:r w:rsidR="003603F5">
        <w:rPr>
          <w:szCs w:val="26"/>
        </w:rPr>
        <w:t xml:space="preserve">the </w:t>
      </w:r>
      <w:r w:rsidR="009D4D1B">
        <w:rPr>
          <w:szCs w:val="26"/>
        </w:rPr>
        <w:t xml:space="preserve">Commission’s </w:t>
      </w:r>
      <w:r w:rsidR="00DF2777">
        <w:rPr>
          <w:szCs w:val="26"/>
        </w:rPr>
        <w:t>r</w:t>
      </w:r>
      <w:r w:rsidR="009D4D1B">
        <w:rPr>
          <w:szCs w:val="26"/>
        </w:rPr>
        <w:t xml:space="preserve">egulations may be interpreted as prohibiting the net metering of </w:t>
      </w:r>
      <w:r>
        <w:rPr>
          <w:szCs w:val="26"/>
        </w:rPr>
        <w:t xml:space="preserve">an alternative energy system </w:t>
      </w:r>
      <w:r w:rsidR="00AE677B">
        <w:rPr>
          <w:szCs w:val="26"/>
        </w:rPr>
        <w:t>located</w:t>
      </w:r>
      <w:r w:rsidR="003603F5">
        <w:rPr>
          <w:szCs w:val="26"/>
        </w:rPr>
        <w:t>,</w:t>
      </w:r>
      <w:r w:rsidR="00AE677B">
        <w:rPr>
          <w:szCs w:val="26"/>
        </w:rPr>
        <w:t xml:space="preserve"> </w:t>
      </w:r>
      <w:r w:rsidR="0091005A">
        <w:rPr>
          <w:szCs w:val="26"/>
        </w:rPr>
        <w:t xml:space="preserve">on a customer’s </w:t>
      </w:r>
      <w:r w:rsidR="00171A85">
        <w:rPr>
          <w:szCs w:val="26"/>
        </w:rPr>
        <w:t>premises, which</w:t>
      </w:r>
      <w:r w:rsidR="009D4D1B">
        <w:rPr>
          <w:szCs w:val="26"/>
        </w:rPr>
        <w:t xml:space="preserve"> is owned and operated by </w:t>
      </w:r>
      <w:r w:rsidR="00AE677B">
        <w:rPr>
          <w:szCs w:val="26"/>
        </w:rPr>
        <w:t>an alternative energy system developer that</w:t>
      </w:r>
      <w:r w:rsidR="009D4D1B">
        <w:rPr>
          <w:szCs w:val="26"/>
        </w:rPr>
        <w:t xml:space="preserve"> sell</w:t>
      </w:r>
      <w:r w:rsidR="00AE677B">
        <w:rPr>
          <w:szCs w:val="26"/>
        </w:rPr>
        <w:t>s</w:t>
      </w:r>
      <w:r w:rsidR="009D4D1B">
        <w:rPr>
          <w:szCs w:val="26"/>
        </w:rPr>
        <w:t xml:space="preserve"> the electricity generated by that system to the </w:t>
      </w:r>
      <w:r w:rsidR="00171A85">
        <w:rPr>
          <w:szCs w:val="26"/>
        </w:rPr>
        <w:t>customer</w:t>
      </w:r>
      <w:r w:rsidR="009D4D1B">
        <w:rPr>
          <w:szCs w:val="26"/>
        </w:rPr>
        <w:t xml:space="preserve"> through a power purchase agreement</w:t>
      </w:r>
      <w:r>
        <w:rPr>
          <w:szCs w:val="26"/>
        </w:rPr>
        <w:t xml:space="preserve">.  </w:t>
      </w:r>
      <w:r w:rsidR="00AE677B">
        <w:rPr>
          <w:szCs w:val="26"/>
        </w:rPr>
        <w:t xml:space="preserve">In the </w:t>
      </w:r>
      <w:r w:rsidR="00AE677B" w:rsidRPr="00AE677B">
        <w:rPr>
          <w:i/>
          <w:szCs w:val="26"/>
        </w:rPr>
        <w:t>Tentative Order</w:t>
      </w:r>
      <w:r w:rsidR="00AE677B">
        <w:rPr>
          <w:szCs w:val="26"/>
        </w:rPr>
        <w:t xml:space="preserve">, we </w:t>
      </w:r>
      <w:r w:rsidR="00A4736C">
        <w:rPr>
          <w:szCs w:val="26"/>
        </w:rPr>
        <w:t>propose that it be the policy of th</w:t>
      </w:r>
      <w:r w:rsidR="00D37574">
        <w:rPr>
          <w:szCs w:val="26"/>
        </w:rPr>
        <w:t>is</w:t>
      </w:r>
      <w:r w:rsidR="00A4736C">
        <w:rPr>
          <w:szCs w:val="26"/>
        </w:rPr>
        <w:t xml:space="preserve"> Commission to allow alternative energy systems installed using the business model described above to net meter.  Specifically, </w:t>
      </w:r>
      <w:r w:rsidR="00AE677B">
        <w:rPr>
          <w:szCs w:val="26"/>
        </w:rPr>
        <w:t xml:space="preserve">we stated that </w:t>
      </w:r>
      <w:r w:rsidR="00A4736C">
        <w:rPr>
          <w:szCs w:val="26"/>
        </w:rPr>
        <w:t>for the purposes of net metering, it should be the policy of th</w:t>
      </w:r>
      <w:r w:rsidR="00D37574">
        <w:rPr>
          <w:szCs w:val="26"/>
        </w:rPr>
        <w:t>is</w:t>
      </w:r>
      <w:r w:rsidR="00A4736C">
        <w:rPr>
          <w:szCs w:val="26"/>
        </w:rPr>
        <w:t xml:space="preserve"> Commission that the term “operator</w:t>
      </w:r>
      <w:r w:rsidR="003603F5">
        <w:rPr>
          <w:szCs w:val="26"/>
        </w:rPr>
        <w:t>,</w:t>
      </w:r>
      <w:r w:rsidR="00A4736C">
        <w:rPr>
          <w:szCs w:val="26"/>
        </w:rPr>
        <w:t>”</w:t>
      </w:r>
      <w:r w:rsidR="00AE677B">
        <w:rPr>
          <w:szCs w:val="26"/>
        </w:rPr>
        <w:t xml:space="preserve"> as found in the definition of “customer-generator” in the AEPS Act,</w:t>
      </w:r>
      <w:r w:rsidR="00AE677B">
        <w:rPr>
          <w:rStyle w:val="FootnoteReference"/>
          <w:szCs w:val="26"/>
        </w:rPr>
        <w:footnoteReference w:id="12"/>
      </w:r>
      <w:r w:rsidR="000F7A3B">
        <w:rPr>
          <w:szCs w:val="26"/>
        </w:rPr>
        <w:t xml:space="preserve"> shall be interpreted as including customer-generators with distributed alternative energy systems that contract with a third-party to perform the operational functions of </w:t>
      </w:r>
      <w:r w:rsidR="00AE677B">
        <w:rPr>
          <w:szCs w:val="26"/>
        </w:rPr>
        <w:t>the alternative energy</w:t>
      </w:r>
      <w:r w:rsidR="000F7A3B">
        <w:rPr>
          <w:szCs w:val="26"/>
        </w:rPr>
        <w:t xml:space="preserve"> system.  </w:t>
      </w:r>
    </w:p>
    <w:p w:rsidR="009B6CFC" w:rsidRDefault="009B6CFC" w:rsidP="00E21925">
      <w:pPr>
        <w:pStyle w:val="p3"/>
        <w:widowControl/>
        <w:tabs>
          <w:tab w:val="clear" w:pos="204"/>
          <w:tab w:val="left" w:pos="720"/>
        </w:tabs>
        <w:spacing w:line="360" w:lineRule="auto"/>
        <w:rPr>
          <w:szCs w:val="26"/>
        </w:rPr>
      </w:pPr>
    </w:p>
    <w:p w:rsidR="009B6CFC" w:rsidRDefault="009B6CFC" w:rsidP="009B6CFC">
      <w:pPr>
        <w:pStyle w:val="p3"/>
        <w:widowControl/>
        <w:tabs>
          <w:tab w:val="clear" w:pos="204"/>
          <w:tab w:val="left" w:pos="720"/>
        </w:tabs>
        <w:spacing w:line="360" w:lineRule="auto"/>
        <w:rPr>
          <w:szCs w:val="26"/>
        </w:rPr>
      </w:pPr>
      <w:r>
        <w:rPr>
          <w:szCs w:val="26"/>
        </w:rPr>
        <w:lastRenderedPageBreak/>
        <w:tab/>
        <w:t xml:space="preserve">In the </w:t>
      </w:r>
      <w:r w:rsidRPr="009B6CFC">
        <w:rPr>
          <w:i/>
          <w:szCs w:val="26"/>
        </w:rPr>
        <w:t>Tentative Order</w:t>
      </w:r>
      <w:r>
        <w:rPr>
          <w:szCs w:val="26"/>
        </w:rPr>
        <w:t xml:space="preserve">, we further proposed that it be the policy of this Commission to limit this interpretation to alternative energy systems installed on property owned or leased </w:t>
      </w:r>
      <w:r w:rsidR="003D6658">
        <w:rPr>
          <w:szCs w:val="26"/>
        </w:rPr>
        <w:t xml:space="preserve">and operated </w:t>
      </w:r>
      <w:r>
        <w:rPr>
          <w:szCs w:val="26"/>
        </w:rPr>
        <w:t>by the customer</w:t>
      </w:r>
      <w:r>
        <w:rPr>
          <w:szCs w:val="26"/>
        </w:rPr>
        <w:noBreakHyphen/>
        <w:t>generator and designed to generate no more than 110% of the customer</w:t>
      </w:r>
      <w:r>
        <w:rPr>
          <w:szCs w:val="26"/>
        </w:rPr>
        <w:noBreakHyphen/>
        <w:t>generator’s annual electric consumption</w:t>
      </w:r>
      <w:r w:rsidR="003D6658">
        <w:rPr>
          <w:szCs w:val="26"/>
        </w:rPr>
        <w:t>,</w:t>
      </w:r>
      <w:r>
        <w:rPr>
          <w:rStyle w:val="FootnoteReference"/>
          <w:szCs w:val="26"/>
        </w:rPr>
        <w:footnoteReference w:id="13"/>
      </w:r>
      <w:r>
        <w:rPr>
          <w:szCs w:val="26"/>
        </w:rPr>
        <w:t xml:space="preserve"> </w:t>
      </w:r>
      <w:r w:rsidR="003D6658">
        <w:rPr>
          <w:szCs w:val="26"/>
        </w:rPr>
        <w:t>p</w:t>
      </w:r>
      <w:r>
        <w:rPr>
          <w:szCs w:val="26"/>
        </w:rPr>
        <w:t xml:space="preserve">rovided that </w:t>
      </w:r>
      <w:r w:rsidR="003D6658">
        <w:rPr>
          <w:szCs w:val="26"/>
        </w:rPr>
        <w:t>its</w:t>
      </w:r>
      <w:r>
        <w:rPr>
          <w:szCs w:val="26"/>
        </w:rPr>
        <w:t xml:space="preserve"> nameplate capacity does not exceed the size limits defined in the AEPS Act.</w:t>
      </w:r>
      <w:r>
        <w:rPr>
          <w:rStyle w:val="FootnoteReference"/>
          <w:szCs w:val="26"/>
        </w:rPr>
        <w:footnoteReference w:id="14"/>
      </w:r>
      <w:r>
        <w:rPr>
          <w:szCs w:val="26"/>
        </w:rPr>
        <w:t xml:space="preserve">  We proposed the system size limitation of 110% of a customer</w:t>
      </w:r>
      <w:r>
        <w:rPr>
          <w:szCs w:val="26"/>
        </w:rPr>
        <w:noBreakHyphen/>
        <w:t xml:space="preserve">generator’s prior year electricity consumption to prevent the installation of oversized alternative energy systems that are more accurately described as merchant generation posing as customer-generators.  </w:t>
      </w:r>
    </w:p>
    <w:p w:rsidR="00AE677B" w:rsidRDefault="00AE677B" w:rsidP="00E21925">
      <w:pPr>
        <w:pStyle w:val="p3"/>
        <w:widowControl/>
        <w:tabs>
          <w:tab w:val="clear" w:pos="204"/>
          <w:tab w:val="left" w:pos="720"/>
        </w:tabs>
        <w:spacing w:line="360" w:lineRule="auto"/>
        <w:rPr>
          <w:szCs w:val="26"/>
        </w:rPr>
      </w:pPr>
    </w:p>
    <w:p w:rsidR="00AE677B" w:rsidRPr="00AE677B" w:rsidRDefault="00AE677B" w:rsidP="00E21925">
      <w:pPr>
        <w:pStyle w:val="p3"/>
        <w:widowControl/>
        <w:tabs>
          <w:tab w:val="clear" w:pos="204"/>
          <w:tab w:val="left" w:pos="720"/>
        </w:tabs>
        <w:spacing w:line="360" w:lineRule="auto"/>
        <w:rPr>
          <w:b/>
          <w:szCs w:val="26"/>
        </w:rPr>
      </w:pPr>
      <w:r>
        <w:rPr>
          <w:szCs w:val="26"/>
        </w:rPr>
        <w:tab/>
      </w:r>
      <w:r>
        <w:rPr>
          <w:b/>
          <w:szCs w:val="26"/>
        </w:rPr>
        <w:t>1.</w:t>
      </w:r>
      <w:r>
        <w:rPr>
          <w:b/>
          <w:szCs w:val="26"/>
        </w:rPr>
        <w:tab/>
        <w:t>Comments</w:t>
      </w:r>
    </w:p>
    <w:p w:rsidR="00AE677B" w:rsidRDefault="00AE677B" w:rsidP="00E21925">
      <w:pPr>
        <w:pStyle w:val="p3"/>
        <w:widowControl/>
        <w:tabs>
          <w:tab w:val="clear" w:pos="204"/>
          <w:tab w:val="left" w:pos="720"/>
        </w:tabs>
        <w:spacing w:line="360" w:lineRule="auto"/>
        <w:rPr>
          <w:szCs w:val="26"/>
        </w:rPr>
      </w:pPr>
    </w:p>
    <w:p w:rsidR="00D84148" w:rsidRDefault="00D84148" w:rsidP="00E21925">
      <w:pPr>
        <w:pStyle w:val="p3"/>
        <w:widowControl/>
        <w:tabs>
          <w:tab w:val="clear" w:pos="204"/>
          <w:tab w:val="left" w:pos="720"/>
        </w:tabs>
        <w:spacing w:line="360" w:lineRule="auto"/>
        <w:rPr>
          <w:szCs w:val="26"/>
        </w:rPr>
      </w:pPr>
      <w:r>
        <w:rPr>
          <w:szCs w:val="26"/>
        </w:rPr>
        <w:tab/>
        <w:t xml:space="preserve">The majority of commenters support </w:t>
      </w:r>
      <w:r w:rsidR="00ED7B63">
        <w:rPr>
          <w:szCs w:val="26"/>
        </w:rPr>
        <w:t xml:space="preserve">or do not object to </w:t>
      </w:r>
      <w:r>
        <w:rPr>
          <w:szCs w:val="26"/>
        </w:rPr>
        <w:t>the Commission’s proposed policy.</w:t>
      </w:r>
      <w:r>
        <w:rPr>
          <w:rStyle w:val="FootnoteReference"/>
          <w:szCs w:val="26"/>
        </w:rPr>
        <w:footnoteReference w:id="15"/>
      </w:r>
      <w:r w:rsidR="00ED7B63">
        <w:rPr>
          <w:szCs w:val="26"/>
        </w:rPr>
        <w:t xml:space="preserve">  Many of the </w:t>
      </w:r>
      <w:r w:rsidR="00DF2777">
        <w:rPr>
          <w:szCs w:val="26"/>
        </w:rPr>
        <w:t>c</w:t>
      </w:r>
      <w:r w:rsidR="00ED7B63">
        <w:rPr>
          <w:szCs w:val="26"/>
        </w:rPr>
        <w:t>ommenters do, however, make suggestions to further clarify the intent and application of the</w:t>
      </w:r>
      <w:r w:rsidR="009B6CFC">
        <w:rPr>
          <w:szCs w:val="26"/>
        </w:rPr>
        <w:t xml:space="preserve"> proposed policy.  We will address these suggestions below.</w:t>
      </w:r>
    </w:p>
    <w:p w:rsidR="00AE677B" w:rsidRDefault="00AE677B" w:rsidP="00E21925">
      <w:pPr>
        <w:pStyle w:val="p3"/>
        <w:widowControl/>
        <w:tabs>
          <w:tab w:val="clear" w:pos="204"/>
          <w:tab w:val="left" w:pos="720"/>
        </w:tabs>
        <w:spacing w:line="360" w:lineRule="auto"/>
        <w:rPr>
          <w:szCs w:val="26"/>
        </w:rPr>
      </w:pPr>
    </w:p>
    <w:p w:rsidR="009B6CFC" w:rsidRDefault="00A815FE" w:rsidP="009B6CFC">
      <w:pPr>
        <w:pStyle w:val="p3"/>
        <w:widowControl/>
        <w:tabs>
          <w:tab w:val="clear" w:pos="204"/>
          <w:tab w:val="left" w:pos="720"/>
        </w:tabs>
        <w:spacing w:line="360" w:lineRule="auto"/>
        <w:rPr>
          <w:b/>
          <w:szCs w:val="26"/>
        </w:rPr>
      </w:pPr>
      <w:r>
        <w:rPr>
          <w:szCs w:val="26"/>
        </w:rPr>
        <w:tab/>
      </w:r>
      <w:r w:rsidR="009B6CFC">
        <w:rPr>
          <w:b/>
          <w:szCs w:val="26"/>
        </w:rPr>
        <w:t>2.</w:t>
      </w:r>
      <w:r w:rsidR="009B6CFC">
        <w:rPr>
          <w:b/>
          <w:szCs w:val="26"/>
        </w:rPr>
        <w:tab/>
        <w:t>Disposition</w:t>
      </w:r>
    </w:p>
    <w:p w:rsidR="009B6CFC" w:rsidRDefault="009B6CFC" w:rsidP="009B6CFC">
      <w:pPr>
        <w:pStyle w:val="p3"/>
        <w:widowControl/>
        <w:tabs>
          <w:tab w:val="clear" w:pos="204"/>
          <w:tab w:val="left" w:pos="720"/>
        </w:tabs>
        <w:spacing w:line="360" w:lineRule="auto"/>
        <w:rPr>
          <w:szCs w:val="26"/>
        </w:rPr>
      </w:pPr>
    </w:p>
    <w:p w:rsidR="009B6CFC" w:rsidRPr="008E6A6D" w:rsidRDefault="009B6CFC" w:rsidP="009B6CFC">
      <w:pPr>
        <w:pStyle w:val="p3"/>
        <w:widowControl/>
        <w:tabs>
          <w:tab w:val="clear" w:pos="204"/>
          <w:tab w:val="left" w:pos="720"/>
        </w:tabs>
        <w:spacing w:line="360" w:lineRule="auto"/>
        <w:rPr>
          <w:szCs w:val="26"/>
        </w:rPr>
      </w:pPr>
      <w:r>
        <w:rPr>
          <w:szCs w:val="26"/>
        </w:rPr>
        <w:tab/>
        <w:t>As the proposed policy was supported by the vast majorit</w:t>
      </w:r>
      <w:r w:rsidR="00B02A6B">
        <w:rPr>
          <w:szCs w:val="26"/>
        </w:rPr>
        <w:t xml:space="preserve">y of the Commenters, with requests for clarification, </w:t>
      </w:r>
      <w:r w:rsidR="003D6658">
        <w:rPr>
          <w:szCs w:val="26"/>
        </w:rPr>
        <w:t xml:space="preserve">and for the reasons expressed in our </w:t>
      </w:r>
      <w:r w:rsidR="003D6658" w:rsidRPr="003D6658">
        <w:rPr>
          <w:i/>
          <w:szCs w:val="26"/>
        </w:rPr>
        <w:t>Tentative Order</w:t>
      </w:r>
      <w:r w:rsidR="003D6658">
        <w:rPr>
          <w:szCs w:val="26"/>
        </w:rPr>
        <w:t xml:space="preserve">, </w:t>
      </w:r>
      <w:r w:rsidR="00B02A6B">
        <w:rPr>
          <w:szCs w:val="26"/>
        </w:rPr>
        <w:t xml:space="preserve">we will adopt the proposed policy, as modified </w:t>
      </w:r>
      <w:r w:rsidR="003D6658">
        <w:rPr>
          <w:szCs w:val="26"/>
        </w:rPr>
        <w:t>by</w:t>
      </w:r>
      <w:r w:rsidR="00B02A6B">
        <w:rPr>
          <w:szCs w:val="26"/>
        </w:rPr>
        <w:t xml:space="preserve"> this </w:t>
      </w:r>
      <w:r w:rsidR="00DF2777">
        <w:rPr>
          <w:szCs w:val="26"/>
        </w:rPr>
        <w:t>o</w:t>
      </w:r>
      <w:r w:rsidR="00B02A6B">
        <w:rPr>
          <w:szCs w:val="26"/>
        </w:rPr>
        <w:t>rder.  Specifically, we adopt as Commission policy that the term “operator</w:t>
      </w:r>
      <w:r w:rsidR="003414EC">
        <w:rPr>
          <w:szCs w:val="26"/>
        </w:rPr>
        <w:t>,</w:t>
      </w:r>
      <w:r w:rsidR="00B02A6B">
        <w:rPr>
          <w:szCs w:val="26"/>
        </w:rPr>
        <w:t>” as found in the definition of “customer-</w:t>
      </w:r>
      <w:r w:rsidR="00B02A6B">
        <w:rPr>
          <w:szCs w:val="26"/>
        </w:rPr>
        <w:lastRenderedPageBreak/>
        <w:t>generator” in the AEPS Act,</w:t>
      </w:r>
      <w:r w:rsidR="00B02A6B">
        <w:rPr>
          <w:rStyle w:val="FootnoteReference"/>
          <w:szCs w:val="26"/>
        </w:rPr>
        <w:footnoteReference w:id="16"/>
      </w:r>
      <w:r w:rsidR="00B02A6B">
        <w:rPr>
          <w:szCs w:val="26"/>
        </w:rPr>
        <w:t xml:space="preserve"> shall be interpreted as including customer-generators with distributed alternative energy systems that contract with a third-party to perform the operational functions of the alternative energy system.</w:t>
      </w:r>
    </w:p>
    <w:p w:rsidR="00A815FE" w:rsidRDefault="00A815FE" w:rsidP="00E21925">
      <w:pPr>
        <w:pStyle w:val="p3"/>
        <w:widowControl/>
        <w:tabs>
          <w:tab w:val="clear" w:pos="204"/>
          <w:tab w:val="left" w:pos="720"/>
        </w:tabs>
        <w:spacing w:line="360" w:lineRule="auto"/>
        <w:rPr>
          <w:szCs w:val="26"/>
        </w:rPr>
      </w:pPr>
    </w:p>
    <w:p w:rsidR="00BA3CDF" w:rsidRPr="00BA3CDF" w:rsidRDefault="0061371D" w:rsidP="0061371D">
      <w:pPr>
        <w:tabs>
          <w:tab w:val="left" w:pos="0"/>
        </w:tabs>
        <w:overflowPunct w:val="0"/>
        <w:autoSpaceDE w:val="0"/>
        <w:autoSpaceDN w:val="0"/>
        <w:adjustRightInd w:val="0"/>
        <w:spacing w:line="360" w:lineRule="auto"/>
        <w:contextualSpacing/>
        <w:textAlignment w:val="baseline"/>
        <w:rPr>
          <w:b/>
          <w:sz w:val="26"/>
          <w:szCs w:val="26"/>
        </w:rPr>
      </w:pPr>
      <w:r>
        <w:rPr>
          <w:b/>
          <w:sz w:val="26"/>
          <w:szCs w:val="26"/>
        </w:rPr>
        <w:t>B.</w:t>
      </w:r>
      <w:r>
        <w:rPr>
          <w:b/>
          <w:sz w:val="26"/>
          <w:szCs w:val="26"/>
        </w:rPr>
        <w:tab/>
      </w:r>
      <w:r w:rsidR="00BA3CDF" w:rsidRPr="00BA3CDF">
        <w:rPr>
          <w:b/>
          <w:sz w:val="26"/>
          <w:szCs w:val="26"/>
        </w:rPr>
        <w:t>110% Consumption Limit</w:t>
      </w:r>
    </w:p>
    <w:p w:rsidR="00BA3CDF" w:rsidRPr="00BA3CDF" w:rsidRDefault="00BA3CDF" w:rsidP="00BA3CDF">
      <w:pPr>
        <w:tabs>
          <w:tab w:val="left" w:pos="0"/>
        </w:tabs>
        <w:overflowPunct w:val="0"/>
        <w:autoSpaceDE w:val="0"/>
        <w:autoSpaceDN w:val="0"/>
        <w:adjustRightInd w:val="0"/>
        <w:spacing w:line="360" w:lineRule="auto"/>
        <w:ind w:left="360"/>
        <w:contextualSpacing/>
        <w:textAlignment w:val="baseline"/>
        <w:rPr>
          <w:b/>
          <w:sz w:val="26"/>
          <w:szCs w:val="26"/>
        </w:rPr>
      </w:pPr>
    </w:p>
    <w:p w:rsidR="00BA3CDF" w:rsidRPr="00BA3CDF" w:rsidRDefault="00BA3CDF" w:rsidP="00BA3CDF">
      <w:pPr>
        <w:tabs>
          <w:tab w:val="left" w:pos="0"/>
        </w:tabs>
        <w:overflowPunct w:val="0"/>
        <w:autoSpaceDE w:val="0"/>
        <w:autoSpaceDN w:val="0"/>
        <w:adjustRightInd w:val="0"/>
        <w:spacing w:line="360" w:lineRule="auto"/>
        <w:textAlignment w:val="baseline"/>
        <w:rPr>
          <w:sz w:val="26"/>
          <w:szCs w:val="26"/>
        </w:rPr>
      </w:pPr>
      <w:r w:rsidRPr="00BA3CDF">
        <w:rPr>
          <w:sz w:val="26"/>
          <w:szCs w:val="26"/>
        </w:rPr>
        <w:tab/>
        <w:t xml:space="preserve">In </w:t>
      </w:r>
      <w:r w:rsidR="0061371D">
        <w:rPr>
          <w:sz w:val="26"/>
          <w:szCs w:val="26"/>
        </w:rPr>
        <w:t>the</w:t>
      </w:r>
      <w:r w:rsidRPr="00BA3CDF">
        <w:rPr>
          <w:sz w:val="26"/>
          <w:szCs w:val="26"/>
        </w:rPr>
        <w:t xml:space="preserve"> </w:t>
      </w:r>
      <w:r w:rsidRPr="0061371D">
        <w:rPr>
          <w:i/>
          <w:sz w:val="26"/>
          <w:szCs w:val="26"/>
        </w:rPr>
        <w:t>Tentative Order</w:t>
      </w:r>
      <w:r w:rsidRPr="00BA3CDF">
        <w:rPr>
          <w:sz w:val="26"/>
          <w:szCs w:val="26"/>
        </w:rPr>
        <w:t xml:space="preserve">, </w:t>
      </w:r>
      <w:r w:rsidR="0061371D">
        <w:rPr>
          <w:sz w:val="26"/>
          <w:szCs w:val="26"/>
        </w:rPr>
        <w:t>we</w:t>
      </w:r>
      <w:r w:rsidRPr="00BA3CDF">
        <w:rPr>
          <w:sz w:val="26"/>
          <w:szCs w:val="26"/>
        </w:rPr>
        <w:t xml:space="preserve"> proposed that alternative energy systems installed using the business model in which a developer installs the system, maintains ownership and performs operations and maintenance functions, and sells the generation to the customer through a power purchase agreement, be limited in size.  </w:t>
      </w:r>
      <w:r w:rsidR="0061371D">
        <w:rPr>
          <w:sz w:val="26"/>
          <w:szCs w:val="26"/>
        </w:rPr>
        <w:t>Specifically, we</w:t>
      </w:r>
      <w:r w:rsidRPr="00BA3CDF">
        <w:rPr>
          <w:sz w:val="26"/>
          <w:szCs w:val="26"/>
        </w:rPr>
        <w:t xml:space="preserve"> proposed that the system be installed on a property owned or leased</w:t>
      </w:r>
      <w:r w:rsidR="003414EC">
        <w:rPr>
          <w:sz w:val="26"/>
          <w:szCs w:val="26"/>
        </w:rPr>
        <w:t xml:space="preserve"> and operated </w:t>
      </w:r>
      <w:r w:rsidRPr="00BA3CDF">
        <w:rPr>
          <w:sz w:val="26"/>
          <w:szCs w:val="26"/>
        </w:rPr>
        <w:t xml:space="preserve">by the customer-generator and designed to generate no more than 110% of the customer-generator’s </w:t>
      </w:r>
      <w:r w:rsidR="0061371D">
        <w:rPr>
          <w:sz w:val="26"/>
          <w:szCs w:val="26"/>
        </w:rPr>
        <w:t xml:space="preserve">annual </w:t>
      </w:r>
      <w:r w:rsidRPr="00BA3CDF">
        <w:rPr>
          <w:sz w:val="26"/>
          <w:szCs w:val="26"/>
        </w:rPr>
        <w:t xml:space="preserve">electric consumption.  This consumption was measured by the customer-generator’s total electric usage in the 12 full months immediately preceding submission of the interconnection application.  </w:t>
      </w:r>
    </w:p>
    <w:p w:rsidR="00BA3CDF" w:rsidRPr="00BA3CDF" w:rsidRDefault="00BA3CDF" w:rsidP="00BA3CDF">
      <w:pPr>
        <w:tabs>
          <w:tab w:val="left" w:pos="0"/>
        </w:tabs>
        <w:overflowPunct w:val="0"/>
        <w:autoSpaceDE w:val="0"/>
        <w:autoSpaceDN w:val="0"/>
        <w:adjustRightInd w:val="0"/>
        <w:spacing w:line="360" w:lineRule="auto"/>
        <w:textAlignment w:val="baseline"/>
        <w:rPr>
          <w:b/>
          <w:sz w:val="26"/>
          <w:szCs w:val="26"/>
        </w:rPr>
      </w:pPr>
    </w:p>
    <w:p w:rsidR="00BA3CDF" w:rsidRPr="00BA3CDF" w:rsidRDefault="0061371D" w:rsidP="0061371D">
      <w:pPr>
        <w:overflowPunct w:val="0"/>
        <w:autoSpaceDE w:val="0"/>
        <w:autoSpaceDN w:val="0"/>
        <w:adjustRightInd w:val="0"/>
        <w:spacing w:line="360" w:lineRule="auto"/>
        <w:ind w:firstLine="720"/>
        <w:contextualSpacing/>
        <w:textAlignment w:val="baseline"/>
        <w:rPr>
          <w:b/>
          <w:sz w:val="26"/>
          <w:szCs w:val="26"/>
        </w:rPr>
      </w:pPr>
      <w:r>
        <w:rPr>
          <w:b/>
          <w:sz w:val="26"/>
          <w:szCs w:val="26"/>
        </w:rPr>
        <w:t>1.</w:t>
      </w:r>
      <w:r>
        <w:rPr>
          <w:b/>
          <w:sz w:val="26"/>
          <w:szCs w:val="26"/>
        </w:rPr>
        <w:tab/>
      </w:r>
      <w:r w:rsidR="005A2798">
        <w:rPr>
          <w:b/>
          <w:sz w:val="26"/>
          <w:szCs w:val="26"/>
        </w:rPr>
        <w:t>110% Limit</w:t>
      </w:r>
    </w:p>
    <w:p w:rsidR="00BA3CDF" w:rsidRDefault="00BA3CDF" w:rsidP="00BA3CDF">
      <w:pPr>
        <w:overflowPunct w:val="0"/>
        <w:autoSpaceDE w:val="0"/>
        <w:autoSpaceDN w:val="0"/>
        <w:adjustRightInd w:val="0"/>
        <w:spacing w:line="360" w:lineRule="auto"/>
        <w:textAlignment w:val="baseline"/>
        <w:rPr>
          <w:sz w:val="26"/>
          <w:szCs w:val="26"/>
        </w:rPr>
      </w:pPr>
    </w:p>
    <w:p w:rsidR="00B34A97" w:rsidRDefault="00B34A97" w:rsidP="00BA3CDF">
      <w:pPr>
        <w:overflowPunct w:val="0"/>
        <w:autoSpaceDE w:val="0"/>
        <w:autoSpaceDN w:val="0"/>
        <w:adjustRightInd w:val="0"/>
        <w:spacing w:line="360" w:lineRule="auto"/>
        <w:textAlignment w:val="baseline"/>
        <w:rPr>
          <w:sz w:val="26"/>
          <w:szCs w:val="26"/>
        </w:rPr>
      </w:pPr>
      <w:r>
        <w:rPr>
          <w:sz w:val="26"/>
          <w:szCs w:val="26"/>
        </w:rPr>
        <w:tab/>
        <w:t xml:space="preserve">Several parties commented on the reasonableness of the proposed 110% </w:t>
      </w:r>
      <w:r w:rsidR="007D3E4D">
        <w:rPr>
          <w:sz w:val="26"/>
          <w:szCs w:val="26"/>
        </w:rPr>
        <w:t xml:space="preserve">design </w:t>
      </w:r>
      <w:r>
        <w:rPr>
          <w:sz w:val="26"/>
          <w:szCs w:val="26"/>
        </w:rPr>
        <w:t>limit</w:t>
      </w:r>
      <w:r w:rsidR="007D3E4D">
        <w:rPr>
          <w:sz w:val="26"/>
          <w:szCs w:val="26"/>
        </w:rPr>
        <w:t xml:space="preserve"> on third-party owned and operated net metered alternative energy systems</w:t>
      </w:r>
      <w:r>
        <w:rPr>
          <w:sz w:val="26"/>
          <w:szCs w:val="26"/>
        </w:rPr>
        <w:t>.</w:t>
      </w:r>
    </w:p>
    <w:p w:rsidR="00B34A97" w:rsidRDefault="00B34A97" w:rsidP="00BA3CDF">
      <w:pPr>
        <w:overflowPunct w:val="0"/>
        <w:autoSpaceDE w:val="0"/>
        <w:autoSpaceDN w:val="0"/>
        <w:adjustRightInd w:val="0"/>
        <w:spacing w:line="360" w:lineRule="auto"/>
        <w:textAlignment w:val="baseline"/>
        <w:rPr>
          <w:sz w:val="26"/>
          <w:szCs w:val="26"/>
        </w:rPr>
      </w:pPr>
    </w:p>
    <w:p w:rsidR="00B34A97" w:rsidRDefault="00B34A97" w:rsidP="00B34A97">
      <w:pPr>
        <w:overflowPunct w:val="0"/>
        <w:autoSpaceDE w:val="0"/>
        <w:autoSpaceDN w:val="0"/>
        <w:adjustRightInd w:val="0"/>
        <w:spacing w:line="360" w:lineRule="auto"/>
        <w:textAlignment w:val="baseline"/>
        <w:rPr>
          <w:sz w:val="26"/>
          <w:szCs w:val="26"/>
        </w:rPr>
      </w:pPr>
      <w:r>
        <w:rPr>
          <w:b/>
          <w:sz w:val="26"/>
          <w:szCs w:val="26"/>
        </w:rPr>
        <w:tab/>
      </w:r>
      <w:r>
        <w:rPr>
          <w:b/>
          <w:sz w:val="26"/>
          <w:szCs w:val="26"/>
        </w:rPr>
        <w:tab/>
        <w:t>a.</w:t>
      </w:r>
      <w:r>
        <w:rPr>
          <w:b/>
          <w:sz w:val="26"/>
          <w:szCs w:val="26"/>
        </w:rPr>
        <w:tab/>
        <w:t>Comments</w:t>
      </w:r>
    </w:p>
    <w:p w:rsidR="00B34A97" w:rsidRPr="00B34A97" w:rsidRDefault="00B34A97" w:rsidP="00B34A97">
      <w:pPr>
        <w:overflowPunct w:val="0"/>
        <w:autoSpaceDE w:val="0"/>
        <w:autoSpaceDN w:val="0"/>
        <w:adjustRightInd w:val="0"/>
        <w:spacing w:line="360" w:lineRule="auto"/>
        <w:textAlignment w:val="baseline"/>
        <w:rPr>
          <w:sz w:val="26"/>
          <w:szCs w:val="26"/>
        </w:rPr>
      </w:pPr>
    </w:p>
    <w:p w:rsidR="00BA3CDF" w:rsidRDefault="00586846" w:rsidP="00DF2777">
      <w:pPr>
        <w:overflowPunct w:val="0"/>
        <w:autoSpaceDE w:val="0"/>
        <w:autoSpaceDN w:val="0"/>
        <w:adjustRightInd w:val="0"/>
        <w:spacing w:line="360" w:lineRule="auto"/>
        <w:ind w:firstLine="720"/>
        <w:textAlignment w:val="baseline"/>
        <w:rPr>
          <w:sz w:val="26"/>
          <w:szCs w:val="26"/>
        </w:rPr>
      </w:pPr>
      <w:r>
        <w:rPr>
          <w:sz w:val="26"/>
          <w:szCs w:val="26"/>
        </w:rPr>
        <w:tab/>
      </w:r>
      <w:r w:rsidR="00BA3CDF" w:rsidRPr="00BA3CDF">
        <w:rPr>
          <w:sz w:val="26"/>
          <w:szCs w:val="26"/>
        </w:rPr>
        <w:t xml:space="preserve">Seven of the 15 </w:t>
      </w:r>
      <w:r w:rsidR="0061371D">
        <w:rPr>
          <w:sz w:val="26"/>
          <w:szCs w:val="26"/>
        </w:rPr>
        <w:t>commenters</w:t>
      </w:r>
      <w:r w:rsidR="00BA3CDF" w:rsidRPr="00BA3CDF">
        <w:rPr>
          <w:sz w:val="26"/>
          <w:szCs w:val="26"/>
        </w:rPr>
        <w:t xml:space="preserve"> </w:t>
      </w:r>
      <w:r w:rsidR="00B34A97">
        <w:rPr>
          <w:sz w:val="26"/>
          <w:szCs w:val="26"/>
        </w:rPr>
        <w:t>state that</w:t>
      </w:r>
      <w:r w:rsidR="00BA3CDF" w:rsidRPr="00BA3CDF">
        <w:rPr>
          <w:sz w:val="26"/>
          <w:szCs w:val="26"/>
        </w:rPr>
        <w:t xml:space="preserve"> the Commission’s proposed 110% limitation </w:t>
      </w:r>
      <w:r w:rsidR="003414EC">
        <w:rPr>
          <w:sz w:val="26"/>
          <w:szCs w:val="26"/>
        </w:rPr>
        <w:t>i</w:t>
      </w:r>
      <w:r w:rsidR="00BA3CDF" w:rsidRPr="00BA3CDF">
        <w:rPr>
          <w:sz w:val="26"/>
          <w:szCs w:val="26"/>
        </w:rPr>
        <w:t xml:space="preserve">s </w:t>
      </w:r>
      <w:r w:rsidR="0061371D">
        <w:rPr>
          <w:sz w:val="26"/>
          <w:szCs w:val="26"/>
        </w:rPr>
        <w:t>reasonable</w:t>
      </w:r>
      <w:r w:rsidR="00BA3CDF" w:rsidRPr="00BA3CDF">
        <w:rPr>
          <w:sz w:val="26"/>
          <w:szCs w:val="26"/>
        </w:rPr>
        <w:t xml:space="preserve"> in preventing the installation of oversized alternative energy systems.</w:t>
      </w:r>
      <w:r w:rsidR="0061371D">
        <w:rPr>
          <w:rStyle w:val="FootnoteReference"/>
          <w:sz w:val="26"/>
          <w:szCs w:val="26"/>
        </w:rPr>
        <w:footnoteReference w:id="17"/>
      </w:r>
      <w:r w:rsidR="00BA3CDF" w:rsidRPr="00BA3CDF">
        <w:rPr>
          <w:sz w:val="26"/>
          <w:szCs w:val="26"/>
        </w:rPr>
        <w:t xml:space="preserve">  In </w:t>
      </w:r>
      <w:r w:rsidR="00AB36BC">
        <w:rPr>
          <w:sz w:val="26"/>
          <w:szCs w:val="26"/>
        </w:rPr>
        <w:t>particular</w:t>
      </w:r>
      <w:r w:rsidR="00BA3CDF" w:rsidRPr="00BA3CDF">
        <w:rPr>
          <w:sz w:val="26"/>
          <w:szCs w:val="26"/>
        </w:rPr>
        <w:t xml:space="preserve">, PennFuture </w:t>
      </w:r>
      <w:r w:rsidR="00AB36BC">
        <w:rPr>
          <w:sz w:val="26"/>
          <w:szCs w:val="26"/>
        </w:rPr>
        <w:t>comment</w:t>
      </w:r>
      <w:r w:rsidR="003414EC">
        <w:rPr>
          <w:sz w:val="26"/>
          <w:szCs w:val="26"/>
        </w:rPr>
        <w:t>s</w:t>
      </w:r>
      <w:r w:rsidR="00AB36BC">
        <w:rPr>
          <w:sz w:val="26"/>
          <w:szCs w:val="26"/>
        </w:rPr>
        <w:t xml:space="preserve"> that it</w:t>
      </w:r>
      <w:r w:rsidR="00BA3CDF" w:rsidRPr="00BA3CDF">
        <w:rPr>
          <w:sz w:val="26"/>
          <w:szCs w:val="26"/>
        </w:rPr>
        <w:t xml:space="preserve"> </w:t>
      </w:r>
      <w:r w:rsidR="00AB36BC">
        <w:rPr>
          <w:sz w:val="26"/>
          <w:szCs w:val="26"/>
        </w:rPr>
        <w:t>“</w:t>
      </w:r>
      <w:r w:rsidR="00BA3CDF" w:rsidRPr="00BA3CDF">
        <w:rPr>
          <w:sz w:val="26"/>
          <w:szCs w:val="26"/>
        </w:rPr>
        <w:t xml:space="preserve">believes that the Commission’s </w:t>
      </w:r>
      <w:r w:rsidR="00BA3CDF" w:rsidRPr="00BA3CDF">
        <w:rPr>
          <w:sz w:val="26"/>
          <w:szCs w:val="26"/>
        </w:rPr>
        <w:lastRenderedPageBreak/>
        <w:t>proposal to limit the alternative energy system to 110% of the customer-generator’s electric consumption is fair and reasonable given the fact that net metering is designed to offset all or part of a customer-generator’s electricity requirements.”</w:t>
      </w:r>
      <w:r w:rsidR="00AB36BC">
        <w:rPr>
          <w:rStyle w:val="FootnoteReference"/>
          <w:sz w:val="26"/>
          <w:szCs w:val="26"/>
        </w:rPr>
        <w:footnoteReference w:id="18"/>
      </w:r>
      <w:r w:rsidR="00BA3CDF" w:rsidRPr="00BA3CDF">
        <w:rPr>
          <w:sz w:val="26"/>
          <w:szCs w:val="26"/>
        </w:rPr>
        <w:t xml:space="preserve"> </w:t>
      </w:r>
    </w:p>
    <w:p w:rsidR="00AB36BC" w:rsidRPr="00BA3CDF" w:rsidRDefault="00AB36BC" w:rsidP="00BA3CDF">
      <w:pPr>
        <w:overflowPunct w:val="0"/>
        <w:autoSpaceDE w:val="0"/>
        <w:autoSpaceDN w:val="0"/>
        <w:adjustRightInd w:val="0"/>
        <w:spacing w:line="360" w:lineRule="auto"/>
        <w:ind w:firstLine="720"/>
        <w:textAlignment w:val="baseline"/>
        <w:rPr>
          <w:sz w:val="26"/>
          <w:szCs w:val="26"/>
        </w:rPr>
      </w:pPr>
    </w:p>
    <w:p w:rsidR="00BA3CDF" w:rsidRPr="00BA3CDF" w:rsidRDefault="00B26ECB" w:rsidP="00DF2777">
      <w:pPr>
        <w:overflowPunct w:val="0"/>
        <w:autoSpaceDE w:val="0"/>
        <w:autoSpaceDN w:val="0"/>
        <w:adjustRightInd w:val="0"/>
        <w:spacing w:line="360" w:lineRule="auto"/>
        <w:ind w:firstLine="720"/>
        <w:textAlignment w:val="baseline"/>
        <w:rPr>
          <w:sz w:val="26"/>
          <w:szCs w:val="26"/>
        </w:rPr>
      </w:pPr>
      <w:r>
        <w:rPr>
          <w:sz w:val="26"/>
          <w:szCs w:val="26"/>
        </w:rPr>
        <w:t>PASEIA/MSEIA</w:t>
      </w:r>
      <w:r w:rsidR="00BA3CDF" w:rsidRPr="00BA3CDF">
        <w:rPr>
          <w:sz w:val="26"/>
          <w:szCs w:val="26"/>
        </w:rPr>
        <w:t xml:space="preserve"> suggest that the 110% limitation only be applied to commercial systems </w:t>
      </w:r>
      <w:r w:rsidR="00D02046">
        <w:rPr>
          <w:sz w:val="26"/>
          <w:szCs w:val="26"/>
        </w:rPr>
        <w:t xml:space="preserve">with a nameplate capacity </w:t>
      </w:r>
      <w:r w:rsidR="00BA3CDF" w:rsidRPr="00BA3CDF">
        <w:rPr>
          <w:sz w:val="26"/>
          <w:szCs w:val="26"/>
        </w:rPr>
        <w:t xml:space="preserve">over 200 kW.  </w:t>
      </w:r>
      <w:r>
        <w:rPr>
          <w:sz w:val="26"/>
          <w:szCs w:val="26"/>
        </w:rPr>
        <w:t>PASEIA/MSEIA</w:t>
      </w:r>
      <w:r w:rsidR="00BA3CDF" w:rsidRPr="00BA3CDF">
        <w:rPr>
          <w:sz w:val="26"/>
          <w:szCs w:val="26"/>
        </w:rPr>
        <w:t xml:space="preserve"> </w:t>
      </w:r>
      <w:r w:rsidR="00D02046">
        <w:rPr>
          <w:sz w:val="26"/>
          <w:szCs w:val="26"/>
        </w:rPr>
        <w:t>assert that</w:t>
      </w:r>
      <w:r w:rsidR="00BA3CDF" w:rsidRPr="00BA3CDF">
        <w:rPr>
          <w:sz w:val="26"/>
          <w:szCs w:val="26"/>
        </w:rPr>
        <w:t xml:space="preserve"> </w:t>
      </w:r>
      <w:r w:rsidR="00B34A97">
        <w:rPr>
          <w:sz w:val="26"/>
          <w:szCs w:val="26"/>
        </w:rPr>
        <w:t>r</w:t>
      </w:r>
      <w:r w:rsidR="00BA3CDF" w:rsidRPr="00BA3CDF">
        <w:rPr>
          <w:sz w:val="26"/>
          <w:szCs w:val="26"/>
        </w:rPr>
        <w:t xml:space="preserve">esidential systems should be excluded from </w:t>
      </w:r>
      <w:r w:rsidR="00B34A97">
        <w:rPr>
          <w:sz w:val="26"/>
          <w:szCs w:val="26"/>
        </w:rPr>
        <w:t>the 110% limit</w:t>
      </w:r>
      <w:r w:rsidR="00BA3CDF" w:rsidRPr="00BA3CDF">
        <w:rPr>
          <w:sz w:val="26"/>
          <w:szCs w:val="26"/>
        </w:rPr>
        <w:t xml:space="preserve"> </w:t>
      </w:r>
      <w:r w:rsidR="00B34A97">
        <w:rPr>
          <w:sz w:val="26"/>
          <w:szCs w:val="26"/>
        </w:rPr>
        <w:t>as they</w:t>
      </w:r>
      <w:r w:rsidR="00BA3CDF" w:rsidRPr="00BA3CDF">
        <w:rPr>
          <w:sz w:val="26"/>
          <w:szCs w:val="26"/>
        </w:rPr>
        <w:t xml:space="preserve"> are already limited to 50 kW and there are other protections against oversizing </w:t>
      </w:r>
      <w:r w:rsidR="00B34A97">
        <w:rPr>
          <w:sz w:val="26"/>
          <w:szCs w:val="26"/>
        </w:rPr>
        <w:t xml:space="preserve">residential </w:t>
      </w:r>
      <w:r w:rsidR="00BA3CDF" w:rsidRPr="00BA3CDF">
        <w:rPr>
          <w:sz w:val="26"/>
          <w:szCs w:val="26"/>
        </w:rPr>
        <w:t>systems</w:t>
      </w:r>
      <w:r w:rsidR="00D02046">
        <w:rPr>
          <w:sz w:val="26"/>
          <w:szCs w:val="26"/>
        </w:rPr>
        <w:t>.</w:t>
      </w:r>
      <w:r w:rsidR="00D02046">
        <w:rPr>
          <w:rStyle w:val="FootnoteReference"/>
          <w:sz w:val="26"/>
          <w:szCs w:val="26"/>
        </w:rPr>
        <w:footnoteReference w:id="19"/>
      </w:r>
      <w:r w:rsidR="003B69FB">
        <w:rPr>
          <w:sz w:val="26"/>
          <w:szCs w:val="26"/>
        </w:rPr>
        <w:t xml:space="preserve">  </w:t>
      </w:r>
      <w:r w:rsidR="00D02046">
        <w:rPr>
          <w:sz w:val="26"/>
          <w:szCs w:val="26"/>
        </w:rPr>
        <w:t>WGES suggest</w:t>
      </w:r>
      <w:r w:rsidR="003414EC">
        <w:rPr>
          <w:sz w:val="26"/>
          <w:szCs w:val="26"/>
        </w:rPr>
        <w:t>s</w:t>
      </w:r>
      <w:r w:rsidR="00D02046">
        <w:rPr>
          <w:sz w:val="26"/>
          <w:szCs w:val="26"/>
        </w:rPr>
        <w:t xml:space="preserve"> </w:t>
      </w:r>
      <w:r w:rsidR="00BA3CDF" w:rsidRPr="00BA3CDF">
        <w:rPr>
          <w:sz w:val="26"/>
          <w:szCs w:val="26"/>
        </w:rPr>
        <w:t>a</w:t>
      </w:r>
      <w:r w:rsidR="00D02046">
        <w:rPr>
          <w:sz w:val="26"/>
          <w:szCs w:val="26"/>
        </w:rPr>
        <w:t xml:space="preserve"> limit similar to that imposed by Maryland, which adopted a</w:t>
      </w:r>
      <w:r w:rsidR="00BA3CDF" w:rsidRPr="00BA3CDF">
        <w:rPr>
          <w:sz w:val="26"/>
          <w:szCs w:val="26"/>
        </w:rPr>
        <w:t xml:space="preserve"> 200% </w:t>
      </w:r>
      <w:r w:rsidR="00D02046">
        <w:rPr>
          <w:sz w:val="26"/>
          <w:szCs w:val="26"/>
        </w:rPr>
        <w:t>limit</w:t>
      </w:r>
      <w:r w:rsidR="003414EC">
        <w:rPr>
          <w:sz w:val="26"/>
          <w:szCs w:val="26"/>
        </w:rPr>
        <w:t>, asserting that a higher percentage will</w:t>
      </w:r>
      <w:r w:rsidR="003414EC" w:rsidRPr="00BA3CDF">
        <w:rPr>
          <w:sz w:val="26"/>
          <w:szCs w:val="26"/>
        </w:rPr>
        <w:t xml:space="preserve"> allow for growth in electricity usage </w:t>
      </w:r>
      <w:r w:rsidR="003414EC">
        <w:rPr>
          <w:sz w:val="26"/>
          <w:szCs w:val="26"/>
        </w:rPr>
        <w:t xml:space="preserve">by the customer-generator </w:t>
      </w:r>
      <w:r w:rsidR="003414EC" w:rsidRPr="00BA3CDF">
        <w:rPr>
          <w:sz w:val="26"/>
          <w:szCs w:val="26"/>
        </w:rPr>
        <w:t>and encourage effici</w:t>
      </w:r>
      <w:r w:rsidR="003414EC">
        <w:rPr>
          <w:sz w:val="26"/>
          <w:szCs w:val="26"/>
        </w:rPr>
        <w:t>ent installation of alternative energy systems</w:t>
      </w:r>
      <w:r w:rsidR="00BA3CDF" w:rsidRPr="00BA3CDF">
        <w:rPr>
          <w:sz w:val="26"/>
          <w:szCs w:val="26"/>
        </w:rPr>
        <w:t>.</w:t>
      </w:r>
      <w:r w:rsidR="00D02046">
        <w:rPr>
          <w:rStyle w:val="FootnoteReference"/>
          <w:sz w:val="26"/>
          <w:szCs w:val="26"/>
        </w:rPr>
        <w:footnoteReference w:id="20"/>
      </w:r>
      <w:r w:rsidR="00BA3CDF" w:rsidRPr="00BA3CDF">
        <w:rPr>
          <w:sz w:val="26"/>
          <w:szCs w:val="26"/>
        </w:rPr>
        <w:t xml:space="preserve">  </w:t>
      </w:r>
    </w:p>
    <w:p w:rsidR="00BA3CDF" w:rsidRPr="00BA3CDF" w:rsidRDefault="00BA3CDF" w:rsidP="00BA3CDF">
      <w:pPr>
        <w:overflowPunct w:val="0"/>
        <w:autoSpaceDE w:val="0"/>
        <w:autoSpaceDN w:val="0"/>
        <w:adjustRightInd w:val="0"/>
        <w:spacing w:line="360" w:lineRule="auto"/>
        <w:textAlignment w:val="baseline"/>
        <w:rPr>
          <w:sz w:val="26"/>
          <w:szCs w:val="26"/>
        </w:rPr>
      </w:pPr>
    </w:p>
    <w:p w:rsidR="00BA3CDF" w:rsidRPr="00BA3CDF" w:rsidRDefault="00142EB2" w:rsidP="00142EB2">
      <w:pPr>
        <w:overflowPunct w:val="0"/>
        <w:autoSpaceDE w:val="0"/>
        <w:autoSpaceDN w:val="0"/>
        <w:adjustRightInd w:val="0"/>
        <w:spacing w:line="360" w:lineRule="auto"/>
        <w:ind w:left="720" w:firstLine="720"/>
        <w:contextualSpacing/>
        <w:textAlignment w:val="baseline"/>
        <w:rPr>
          <w:b/>
          <w:sz w:val="26"/>
          <w:szCs w:val="26"/>
        </w:rPr>
      </w:pPr>
      <w:r>
        <w:rPr>
          <w:b/>
          <w:sz w:val="26"/>
          <w:szCs w:val="26"/>
        </w:rPr>
        <w:t>b.</w:t>
      </w:r>
      <w:r>
        <w:rPr>
          <w:b/>
          <w:sz w:val="26"/>
          <w:szCs w:val="26"/>
        </w:rPr>
        <w:tab/>
      </w:r>
      <w:r w:rsidR="00BA3CDF" w:rsidRPr="00BA3CDF">
        <w:rPr>
          <w:b/>
          <w:sz w:val="26"/>
          <w:szCs w:val="26"/>
        </w:rPr>
        <w:t>Disposition</w:t>
      </w:r>
    </w:p>
    <w:p w:rsidR="00BA3CDF" w:rsidRPr="00BA3CDF" w:rsidRDefault="00BA3CDF" w:rsidP="00BA3CDF">
      <w:pPr>
        <w:overflowPunct w:val="0"/>
        <w:autoSpaceDE w:val="0"/>
        <w:autoSpaceDN w:val="0"/>
        <w:adjustRightInd w:val="0"/>
        <w:ind w:left="720"/>
        <w:contextualSpacing/>
        <w:textAlignment w:val="baseline"/>
        <w:rPr>
          <w:b/>
          <w:sz w:val="26"/>
          <w:szCs w:val="26"/>
        </w:rPr>
      </w:pPr>
    </w:p>
    <w:p w:rsidR="00BA3CDF" w:rsidRDefault="00586846" w:rsidP="00DF2777">
      <w:pPr>
        <w:overflowPunct w:val="0"/>
        <w:autoSpaceDE w:val="0"/>
        <w:autoSpaceDN w:val="0"/>
        <w:adjustRightInd w:val="0"/>
        <w:spacing w:line="360" w:lineRule="auto"/>
        <w:ind w:firstLine="720"/>
        <w:textAlignment w:val="baseline"/>
        <w:rPr>
          <w:sz w:val="26"/>
          <w:szCs w:val="26"/>
        </w:rPr>
      </w:pPr>
      <w:r>
        <w:rPr>
          <w:sz w:val="26"/>
          <w:szCs w:val="26"/>
        </w:rPr>
        <w:tab/>
      </w:r>
      <w:r w:rsidR="00BA3CDF" w:rsidRPr="00BA3CDF">
        <w:rPr>
          <w:sz w:val="26"/>
          <w:szCs w:val="26"/>
        </w:rPr>
        <w:t xml:space="preserve">In proposing this limitation, the Commission believed </w:t>
      </w:r>
      <w:r w:rsidR="00027FF3">
        <w:rPr>
          <w:sz w:val="26"/>
          <w:szCs w:val="26"/>
        </w:rPr>
        <w:t>it</w:t>
      </w:r>
      <w:r w:rsidR="00BA3CDF" w:rsidRPr="00BA3CDF">
        <w:rPr>
          <w:sz w:val="26"/>
          <w:szCs w:val="26"/>
        </w:rPr>
        <w:t xml:space="preserve"> would be a reasonable way to limit the possibility of merchant generators</w:t>
      </w:r>
      <w:r w:rsidR="00027FF3">
        <w:rPr>
          <w:sz w:val="26"/>
          <w:szCs w:val="26"/>
        </w:rPr>
        <w:t xml:space="preserve"> posing as customer-generators</w:t>
      </w:r>
      <w:r w:rsidR="00BA3CDF" w:rsidRPr="00BA3CDF">
        <w:rPr>
          <w:sz w:val="26"/>
          <w:szCs w:val="26"/>
        </w:rPr>
        <w:t xml:space="preserve">.  </w:t>
      </w:r>
      <w:r w:rsidR="000A0F76">
        <w:rPr>
          <w:sz w:val="26"/>
          <w:szCs w:val="26"/>
        </w:rPr>
        <w:t xml:space="preserve">As we noted in the </w:t>
      </w:r>
      <w:r w:rsidR="000A0F76" w:rsidRPr="00142EB2">
        <w:rPr>
          <w:i/>
          <w:sz w:val="26"/>
          <w:szCs w:val="26"/>
        </w:rPr>
        <w:t>Tentative Order</w:t>
      </w:r>
      <w:r w:rsidR="000A0F76">
        <w:rPr>
          <w:sz w:val="26"/>
          <w:szCs w:val="26"/>
        </w:rPr>
        <w:t>, we believe</w:t>
      </w:r>
      <w:r w:rsidR="00BA3CDF" w:rsidRPr="00BA3CDF">
        <w:rPr>
          <w:sz w:val="26"/>
          <w:szCs w:val="26"/>
        </w:rPr>
        <w:t xml:space="preserve"> the intent of the AEPS Act, as expressed in the Act’s definition of net metering, was to provide</w:t>
      </w:r>
      <w:r w:rsidR="000A0F76">
        <w:rPr>
          <w:sz w:val="26"/>
          <w:szCs w:val="26"/>
        </w:rPr>
        <w:t xml:space="preserve"> electric utility customers with a reasonable means to offset their electric consumption</w:t>
      </w:r>
      <w:r w:rsidR="00BA3CDF" w:rsidRPr="00BA3CDF">
        <w:rPr>
          <w:sz w:val="26"/>
          <w:szCs w:val="26"/>
        </w:rPr>
        <w:t xml:space="preserve">.  </w:t>
      </w:r>
      <w:r w:rsidR="000A0F76">
        <w:rPr>
          <w:sz w:val="26"/>
          <w:szCs w:val="26"/>
        </w:rPr>
        <w:t xml:space="preserve">The majority of comments support the 110% design limit as a reasonable </w:t>
      </w:r>
      <w:r w:rsidR="00BC42B0">
        <w:rPr>
          <w:sz w:val="26"/>
          <w:szCs w:val="26"/>
        </w:rPr>
        <w:t xml:space="preserve">and balanced approach to supporting the intent of the AEPS Act and </w:t>
      </w:r>
      <w:r w:rsidR="00171A85">
        <w:rPr>
          <w:sz w:val="26"/>
          <w:szCs w:val="26"/>
        </w:rPr>
        <w:t>limiting</w:t>
      </w:r>
      <w:r w:rsidR="00BC42B0">
        <w:rPr>
          <w:sz w:val="26"/>
          <w:szCs w:val="26"/>
        </w:rPr>
        <w:t xml:space="preserve"> </w:t>
      </w:r>
      <w:r w:rsidR="003B69FB">
        <w:rPr>
          <w:sz w:val="26"/>
          <w:szCs w:val="26"/>
        </w:rPr>
        <w:t xml:space="preserve">the </w:t>
      </w:r>
      <w:r w:rsidR="00BC42B0">
        <w:rPr>
          <w:sz w:val="26"/>
          <w:szCs w:val="26"/>
        </w:rPr>
        <w:t xml:space="preserve">potential for merchant generators to use net metering as a way to circumvent the wholesale electric market and gain excessive retail rate subsidies at retail customer expense.  As such we adopt, as Commission policy, </w:t>
      </w:r>
      <w:r w:rsidR="00142EB2">
        <w:rPr>
          <w:sz w:val="26"/>
          <w:szCs w:val="26"/>
        </w:rPr>
        <w:t>a</w:t>
      </w:r>
      <w:r w:rsidR="00BC42B0">
        <w:rPr>
          <w:sz w:val="26"/>
          <w:szCs w:val="26"/>
        </w:rPr>
        <w:t xml:space="preserve"> size limitation of 110% for </w:t>
      </w:r>
      <w:r w:rsidR="000048FB">
        <w:rPr>
          <w:sz w:val="26"/>
          <w:szCs w:val="26"/>
        </w:rPr>
        <w:t xml:space="preserve">net metered </w:t>
      </w:r>
      <w:r w:rsidR="00BC42B0">
        <w:rPr>
          <w:sz w:val="26"/>
          <w:szCs w:val="26"/>
        </w:rPr>
        <w:t xml:space="preserve">alternative energy systems </w:t>
      </w:r>
      <w:r w:rsidR="000048FB">
        <w:rPr>
          <w:sz w:val="26"/>
          <w:szCs w:val="26"/>
        </w:rPr>
        <w:t xml:space="preserve">owned and operated by third-parties that are </w:t>
      </w:r>
      <w:r w:rsidR="00BC42B0">
        <w:rPr>
          <w:sz w:val="26"/>
          <w:szCs w:val="26"/>
        </w:rPr>
        <w:t xml:space="preserve">interconnected and placed on property owned or leased </w:t>
      </w:r>
      <w:r w:rsidR="00142EB2">
        <w:rPr>
          <w:sz w:val="26"/>
          <w:szCs w:val="26"/>
        </w:rPr>
        <w:t xml:space="preserve">and operated </w:t>
      </w:r>
      <w:r w:rsidR="00BC42B0">
        <w:rPr>
          <w:sz w:val="26"/>
          <w:szCs w:val="26"/>
        </w:rPr>
        <w:t xml:space="preserve">by </w:t>
      </w:r>
      <w:r w:rsidR="000048FB">
        <w:rPr>
          <w:sz w:val="26"/>
          <w:szCs w:val="26"/>
        </w:rPr>
        <w:t>an</w:t>
      </w:r>
      <w:r w:rsidR="00BC42B0">
        <w:rPr>
          <w:sz w:val="26"/>
          <w:szCs w:val="26"/>
        </w:rPr>
        <w:t xml:space="preserve"> electric utility customer.</w:t>
      </w:r>
    </w:p>
    <w:p w:rsidR="006E34C5" w:rsidRDefault="006E34C5" w:rsidP="00142EB2">
      <w:pPr>
        <w:overflowPunct w:val="0"/>
        <w:autoSpaceDE w:val="0"/>
        <w:autoSpaceDN w:val="0"/>
        <w:adjustRightInd w:val="0"/>
        <w:spacing w:line="360" w:lineRule="auto"/>
        <w:ind w:firstLine="1440"/>
        <w:textAlignment w:val="baseline"/>
        <w:rPr>
          <w:sz w:val="26"/>
          <w:szCs w:val="26"/>
        </w:rPr>
      </w:pPr>
    </w:p>
    <w:p w:rsidR="006E34C5" w:rsidRDefault="006E34C5" w:rsidP="00DF2777">
      <w:pPr>
        <w:overflowPunct w:val="0"/>
        <w:autoSpaceDE w:val="0"/>
        <w:autoSpaceDN w:val="0"/>
        <w:adjustRightInd w:val="0"/>
        <w:spacing w:line="360" w:lineRule="auto"/>
        <w:ind w:firstLine="720"/>
        <w:textAlignment w:val="baseline"/>
        <w:rPr>
          <w:sz w:val="26"/>
          <w:szCs w:val="26"/>
        </w:rPr>
      </w:pPr>
      <w:r w:rsidRPr="00BA3CDF">
        <w:rPr>
          <w:sz w:val="26"/>
          <w:szCs w:val="26"/>
        </w:rPr>
        <w:lastRenderedPageBreak/>
        <w:t>The Commission would like to clarify that the 110% limitation is to be part of the criteria used in designing a system that is installed as part of the third</w:t>
      </w:r>
      <w:r>
        <w:rPr>
          <w:sz w:val="26"/>
          <w:szCs w:val="26"/>
        </w:rPr>
        <w:t>-</w:t>
      </w:r>
      <w:r w:rsidRPr="00BA3CDF">
        <w:rPr>
          <w:sz w:val="26"/>
          <w:szCs w:val="26"/>
        </w:rPr>
        <w:t xml:space="preserve">party business model.  This limitation does not apply to those systems </w:t>
      </w:r>
      <w:r w:rsidR="00355239">
        <w:rPr>
          <w:sz w:val="26"/>
          <w:szCs w:val="26"/>
        </w:rPr>
        <w:t>directly owned or operated</w:t>
      </w:r>
      <w:r w:rsidRPr="00BA3CDF">
        <w:rPr>
          <w:sz w:val="26"/>
          <w:szCs w:val="26"/>
        </w:rPr>
        <w:t xml:space="preserve"> by</w:t>
      </w:r>
      <w:r w:rsidR="00355239">
        <w:rPr>
          <w:sz w:val="26"/>
          <w:szCs w:val="26"/>
        </w:rPr>
        <w:t xml:space="preserve"> </w:t>
      </w:r>
      <w:r w:rsidR="003D6658">
        <w:rPr>
          <w:sz w:val="26"/>
          <w:szCs w:val="26"/>
        </w:rPr>
        <w:t>a</w:t>
      </w:r>
      <w:r w:rsidR="00355239">
        <w:rPr>
          <w:sz w:val="26"/>
          <w:szCs w:val="26"/>
        </w:rPr>
        <w:t xml:space="preserve"> </w:t>
      </w:r>
      <w:r w:rsidRPr="00BA3CDF">
        <w:rPr>
          <w:sz w:val="26"/>
          <w:szCs w:val="26"/>
        </w:rPr>
        <w:t xml:space="preserve">customer-generator who </w:t>
      </w:r>
      <w:r w:rsidR="003D6658">
        <w:rPr>
          <w:sz w:val="26"/>
          <w:szCs w:val="26"/>
        </w:rPr>
        <w:t>is</w:t>
      </w:r>
      <w:r w:rsidRPr="00BA3CDF">
        <w:rPr>
          <w:sz w:val="26"/>
          <w:szCs w:val="26"/>
        </w:rPr>
        <w:t xml:space="preserve"> not using the third</w:t>
      </w:r>
      <w:r w:rsidR="00355239">
        <w:rPr>
          <w:sz w:val="26"/>
          <w:szCs w:val="26"/>
        </w:rPr>
        <w:t>-</w:t>
      </w:r>
      <w:r w:rsidRPr="00BA3CDF">
        <w:rPr>
          <w:sz w:val="26"/>
          <w:szCs w:val="26"/>
        </w:rPr>
        <w:t xml:space="preserve">party </w:t>
      </w:r>
      <w:r w:rsidR="00355239">
        <w:rPr>
          <w:sz w:val="26"/>
          <w:szCs w:val="26"/>
        </w:rPr>
        <w:t xml:space="preserve">owner or operator </w:t>
      </w:r>
      <w:r w:rsidRPr="00BA3CDF">
        <w:rPr>
          <w:sz w:val="26"/>
          <w:szCs w:val="26"/>
        </w:rPr>
        <w:t>model.</w:t>
      </w:r>
    </w:p>
    <w:p w:rsidR="00BE07B5" w:rsidRDefault="00BE07B5" w:rsidP="00142EB2">
      <w:pPr>
        <w:overflowPunct w:val="0"/>
        <w:autoSpaceDE w:val="0"/>
        <w:autoSpaceDN w:val="0"/>
        <w:adjustRightInd w:val="0"/>
        <w:spacing w:line="360" w:lineRule="auto"/>
        <w:ind w:firstLine="1440"/>
        <w:textAlignment w:val="baseline"/>
        <w:rPr>
          <w:sz w:val="26"/>
          <w:szCs w:val="26"/>
        </w:rPr>
      </w:pPr>
    </w:p>
    <w:p w:rsidR="003D6658" w:rsidRDefault="00BE07B5" w:rsidP="00DF2777">
      <w:pPr>
        <w:overflowPunct w:val="0"/>
        <w:autoSpaceDE w:val="0"/>
        <w:autoSpaceDN w:val="0"/>
        <w:adjustRightInd w:val="0"/>
        <w:spacing w:line="360" w:lineRule="auto"/>
        <w:ind w:firstLine="720"/>
        <w:textAlignment w:val="baseline"/>
        <w:rPr>
          <w:sz w:val="26"/>
          <w:szCs w:val="26"/>
        </w:rPr>
      </w:pPr>
      <w:r w:rsidRPr="00BA3CDF">
        <w:rPr>
          <w:sz w:val="26"/>
          <w:szCs w:val="26"/>
        </w:rPr>
        <w:t xml:space="preserve">The Commission </w:t>
      </w:r>
      <w:r>
        <w:rPr>
          <w:sz w:val="26"/>
          <w:szCs w:val="26"/>
        </w:rPr>
        <w:t>declines to adopt PASEIA/MSEIA’s proposal</w:t>
      </w:r>
      <w:r w:rsidRPr="00BA3CDF">
        <w:rPr>
          <w:sz w:val="26"/>
          <w:szCs w:val="26"/>
        </w:rPr>
        <w:t xml:space="preserve"> </w:t>
      </w:r>
      <w:r w:rsidR="000048FB">
        <w:rPr>
          <w:sz w:val="26"/>
          <w:szCs w:val="26"/>
        </w:rPr>
        <w:t>to limit the application of the</w:t>
      </w:r>
      <w:r w:rsidRPr="00BA3CDF">
        <w:rPr>
          <w:sz w:val="26"/>
          <w:szCs w:val="26"/>
        </w:rPr>
        <w:t xml:space="preserve"> 110% limitation to commercial systems greater than 200 kW in size.  Although there </w:t>
      </w:r>
      <w:r>
        <w:rPr>
          <w:sz w:val="26"/>
          <w:szCs w:val="26"/>
        </w:rPr>
        <w:t>may be</w:t>
      </w:r>
      <w:r w:rsidRPr="00BA3CDF">
        <w:rPr>
          <w:sz w:val="26"/>
          <w:szCs w:val="26"/>
        </w:rPr>
        <w:t xml:space="preserve"> other protections in place for residential systems</w:t>
      </w:r>
      <w:r w:rsidR="000048FB">
        <w:rPr>
          <w:sz w:val="26"/>
          <w:szCs w:val="26"/>
        </w:rPr>
        <w:t xml:space="preserve"> at this time</w:t>
      </w:r>
      <w:r w:rsidRPr="00BA3CDF">
        <w:rPr>
          <w:sz w:val="26"/>
          <w:szCs w:val="26"/>
        </w:rPr>
        <w:t xml:space="preserve">, the Commission believes </w:t>
      </w:r>
      <w:r w:rsidR="000048FB">
        <w:rPr>
          <w:sz w:val="26"/>
          <w:szCs w:val="26"/>
        </w:rPr>
        <w:t>that the 110%</w:t>
      </w:r>
      <w:r w:rsidRPr="00BA3CDF">
        <w:rPr>
          <w:sz w:val="26"/>
          <w:szCs w:val="26"/>
        </w:rPr>
        <w:t xml:space="preserve"> limitation should be applied equally across </w:t>
      </w:r>
      <w:r w:rsidR="000048FB">
        <w:rPr>
          <w:sz w:val="26"/>
          <w:szCs w:val="26"/>
        </w:rPr>
        <w:t xml:space="preserve">all </w:t>
      </w:r>
      <w:r w:rsidRPr="00BA3CDF">
        <w:rPr>
          <w:sz w:val="26"/>
          <w:szCs w:val="26"/>
        </w:rPr>
        <w:t>rate classes.  The intent is to limit oversizing by any third</w:t>
      </w:r>
      <w:r>
        <w:rPr>
          <w:sz w:val="26"/>
          <w:szCs w:val="26"/>
        </w:rPr>
        <w:t>-</w:t>
      </w:r>
      <w:r w:rsidRPr="00BA3CDF">
        <w:rPr>
          <w:sz w:val="26"/>
          <w:szCs w:val="26"/>
        </w:rPr>
        <w:t>party owned and operated system.  The Commission believes there is still ample opportunity for customers of all rate classes to take advantage of this business model with the 110% limitation in place.</w:t>
      </w:r>
      <w:r>
        <w:rPr>
          <w:sz w:val="26"/>
          <w:szCs w:val="26"/>
        </w:rPr>
        <w:t xml:space="preserve">  </w:t>
      </w:r>
    </w:p>
    <w:p w:rsidR="003D6658" w:rsidRDefault="003D6658" w:rsidP="006E34C5">
      <w:pPr>
        <w:overflowPunct w:val="0"/>
        <w:autoSpaceDE w:val="0"/>
        <w:autoSpaceDN w:val="0"/>
        <w:adjustRightInd w:val="0"/>
        <w:spacing w:line="360" w:lineRule="auto"/>
        <w:ind w:firstLine="1440"/>
        <w:textAlignment w:val="baseline"/>
        <w:rPr>
          <w:sz w:val="26"/>
          <w:szCs w:val="26"/>
        </w:rPr>
      </w:pPr>
    </w:p>
    <w:p w:rsidR="00BE07B5" w:rsidRPr="00BA3CDF" w:rsidRDefault="00BE07B5" w:rsidP="00DF2777">
      <w:pPr>
        <w:overflowPunct w:val="0"/>
        <w:autoSpaceDE w:val="0"/>
        <w:autoSpaceDN w:val="0"/>
        <w:adjustRightInd w:val="0"/>
        <w:spacing w:line="360" w:lineRule="auto"/>
        <w:ind w:firstLine="720"/>
        <w:textAlignment w:val="baseline"/>
        <w:rPr>
          <w:sz w:val="26"/>
          <w:szCs w:val="26"/>
        </w:rPr>
      </w:pPr>
      <w:r w:rsidRPr="00BA3CDF">
        <w:rPr>
          <w:sz w:val="26"/>
          <w:szCs w:val="26"/>
        </w:rPr>
        <w:t xml:space="preserve">The Commission </w:t>
      </w:r>
      <w:r>
        <w:rPr>
          <w:sz w:val="26"/>
          <w:szCs w:val="26"/>
        </w:rPr>
        <w:t xml:space="preserve">also declines to adopt WGES’ proposal to increase </w:t>
      </w:r>
      <w:r w:rsidRPr="00BA3CDF">
        <w:rPr>
          <w:sz w:val="26"/>
          <w:szCs w:val="26"/>
        </w:rPr>
        <w:t xml:space="preserve">the </w:t>
      </w:r>
      <w:r>
        <w:rPr>
          <w:sz w:val="26"/>
          <w:szCs w:val="26"/>
        </w:rPr>
        <w:t xml:space="preserve">design </w:t>
      </w:r>
      <w:r w:rsidRPr="00BA3CDF">
        <w:rPr>
          <w:sz w:val="26"/>
          <w:szCs w:val="26"/>
        </w:rPr>
        <w:t>limitation to 200%</w:t>
      </w:r>
      <w:r>
        <w:rPr>
          <w:sz w:val="26"/>
          <w:szCs w:val="26"/>
        </w:rPr>
        <w:t xml:space="preserve"> as Maryland has done</w:t>
      </w:r>
      <w:r w:rsidRPr="00BA3CDF">
        <w:rPr>
          <w:sz w:val="26"/>
          <w:szCs w:val="26"/>
        </w:rPr>
        <w:t xml:space="preserve">.  It is the Commission’s belief that </w:t>
      </w:r>
      <w:r>
        <w:rPr>
          <w:sz w:val="26"/>
          <w:szCs w:val="26"/>
        </w:rPr>
        <w:t xml:space="preserve">a </w:t>
      </w:r>
      <w:r w:rsidRPr="00BA3CDF">
        <w:rPr>
          <w:sz w:val="26"/>
          <w:szCs w:val="26"/>
        </w:rPr>
        <w:t xml:space="preserve">200% </w:t>
      </w:r>
      <w:r>
        <w:rPr>
          <w:sz w:val="26"/>
          <w:szCs w:val="26"/>
        </w:rPr>
        <w:t xml:space="preserve">size limitation </w:t>
      </w:r>
      <w:r w:rsidRPr="00BA3CDF">
        <w:rPr>
          <w:sz w:val="26"/>
          <w:szCs w:val="26"/>
        </w:rPr>
        <w:t xml:space="preserve">would </w:t>
      </w:r>
      <w:r>
        <w:rPr>
          <w:sz w:val="26"/>
          <w:szCs w:val="26"/>
        </w:rPr>
        <w:t>not effectively limit the potential for merchant generators to use net metering as a way to circumvent the wholesale electric market and gain excessive retail rate subsidies at retail customer expense.</w:t>
      </w:r>
      <w:r>
        <w:rPr>
          <w:rStyle w:val="FootnoteReference"/>
          <w:sz w:val="26"/>
          <w:szCs w:val="26"/>
        </w:rPr>
        <w:footnoteReference w:id="21"/>
      </w:r>
    </w:p>
    <w:p w:rsidR="00142EB2" w:rsidRDefault="00142EB2" w:rsidP="00142EB2">
      <w:pPr>
        <w:overflowPunct w:val="0"/>
        <w:autoSpaceDE w:val="0"/>
        <w:autoSpaceDN w:val="0"/>
        <w:adjustRightInd w:val="0"/>
        <w:spacing w:line="360" w:lineRule="auto"/>
        <w:ind w:firstLine="1440"/>
        <w:textAlignment w:val="baseline"/>
        <w:rPr>
          <w:sz w:val="26"/>
          <w:szCs w:val="26"/>
        </w:rPr>
      </w:pPr>
    </w:p>
    <w:p w:rsidR="00142EB2" w:rsidRPr="00142EB2" w:rsidRDefault="00142EB2" w:rsidP="00142EB2">
      <w:pPr>
        <w:overflowPunct w:val="0"/>
        <w:autoSpaceDE w:val="0"/>
        <w:autoSpaceDN w:val="0"/>
        <w:adjustRightInd w:val="0"/>
        <w:spacing w:line="360" w:lineRule="auto"/>
        <w:ind w:firstLine="720"/>
        <w:textAlignment w:val="baseline"/>
        <w:rPr>
          <w:b/>
          <w:sz w:val="26"/>
          <w:szCs w:val="26"/>
        </w:rPr>
      </w:pPr>
      <w:r>
        <w:rPr>
          <w:b/>
          <w:sz w:val="26"/>
          <w:szCs w:val="26"/>
        </w:rPr>
        <w:t>2.</w:t>
      </w:r>
      <w:r>
        <w:rPr>
          <w:b/>
          <w:sz w:val="26"/>
          <w:szCs w:val="26"/>
        </w:rPr>
        <w:tab/>
      </w:r>
      <w:r w:rsidR="00BE07B5">
        <w:rPr>
          <w:b/>
          <w:sz w:val="26"/>
          <w:szCs w:val="26"/>
        </w:rPr>
        <w:t>Determination of 110%</w:t>
      </w:r>
    </w:p>
    <w:p w:rsidR="002C55ED" w:rsidRPr="00BA3CDF" w:rsidRDefault="002C55ED" w:rsidP="00BA3CDF">
      <w:pPr>
        <w:overflowPunct w:val="0"/>
        <w:autoSpaceDE w:val="0"/>
        <w:autoSpaceDN w:val="0"/>
        <w:adjustRightInd w:val="0"/>
        <w:spacing w:line="360" w:lineRule="auto"/>
        <w:ind w:firstLine="720"/>
        <w:textAlignment w:val="baseline"/>
        <w:rPr>
          <w:sz w:val="26"/>
          <w:szCs w:val="26"/>
        </w:rPr>
      </w:pPr>
    </w:p>
    <w:p w:rsidR="00BE07B5" w:rsidRDefault="00BE07B5" w:rsidP="00DF2777">
      <w:pPr>
        <w:overflowPunct w:val="0"/>
        <w:autoSpaceDE w:val="0"/>
        <w:autoSpaceDN w:val="0"/>
        <w:adjustRightInd w:val="0"/>
        <w:spacing w:line="360" w:lineRule="auto"/>
        <w:ind w:firstLine="720"/>
        <w:textAlignment w:val="baseline"/>
        <w:rPr>
          <w:sz w:val="26"/>
          <w:szCs w:val="26"/>
        </w:rPr>
      </w:pPr>
      <w:r>
        <w:rPr>
          <w:sz w:val="26"/>
          <w:szCs w:val="26"/>
        </w:rPr>
        <w:t>Several parties sought clarification on how the 110% limit is to be determined and whether it should be a cap on the amount of energy to be netted against electric usage.</w:t>
      </w:r>
    </w:p>
    <w:p w:rsidR="00BE07B5" w:rsidRDefault="00BE07B5" w:rsidP="002C55ED">
      <w:pPr>
        <w:overflowPunct w:val="0"/>
        <w:autoSpaceDE w:val="0"/>
        <w:autoSpaceDN w:val="0"/>
        <w:adjustRightInd w:val="0"/>
        <w:spacing w:line="360" w:lineRule="auto"/>
        <w:ind w:firstLine="1440"/>
        <w:textAlignment w:val="baseline"/>
        <w:rPr>
          <w:sz w:val="26"/>
          <w:szCs w:val="26"/>
        </w:rPr>
      </w:pPr>
    </w:p>
    <w:p w:rsidR="000048FB" w:rsidRDefault="000048FB">
      <w:pPr>
        <w:rPr>
          <w:b/>
          <w:sz w:val="26"/>
          <w:szCs w:val="26"/>
        </w:rPr>
      </w:pPr>
      <w:r>
        <w:rPr>
          <w:b/>
          <w:sz w:val="26"/>
          <w:szCs w:val="26"/>
        </w:rPr>
        <w:br w:type="page"/>
      </w:r>
    </w:p>
    <w:p w:rsidR="00BE07B5" w:rsidRPr="00BE07B5" w:rsidRDefault="00BE07B5" w:rsidP="002C55ED">
      <w:pPr>
        <w:overflowPunct w:val="0"/>
        <w:autoSpaceDE w:val="0"/>
        <w:autoSpaceDN w:val="0"/>
        <w:adjustRightInd w:val="0"/>
        <w:spacing w:line="360" w:lineRule="auto"/>
        <w:ind w:firstLine="1440"/>
        <w:textAlignment w:val="baseline"/>
        <w:rPr>
          <w:b/>
          <w:sz w:val="26"/>
          <w:szCs w:val="26"/>
        </w:rPr>
      </w:pPr>
      <w:r>
        <w:rPr>
          <w:b/>
          <w:sz w:val="26"/>
          <w:szCs w:val="26"/>
        </w:rPr>
        <w:lastRenderedPageBreak/>
        <w:t>a.</w:t>
      </w:r>
      <w:r>
        <w:rPr>
          <w:b/>
          <w:sz w:val="26"/>
          <w:szCs w:val="26"/>
        </w:rPr>
        <w:tab/>
        <w:t>Comments</w:t>
      </w:r>
    </w:p>
    <w:p w:rsidR="00BE07B5" w:rsidRDefault="00BE07B5" w:rsidP="002C55ED">
      <w:pPr>
        <w:overflowPunct w:val="0"/>
        <w:autoSpaceDE w:val="0"/>
        <w:autoSpaceDN w:val="0"/>
        <w:adjustRightInd w:val="0"/>
        <w:spacing w:line="360" w:lineRule="auto"/>
        <w:ind w:firstLine="1440"/>
        <w:textAlignment w:val="baseline"/>
        <w:rPr>
          <w:sz w:val="26"/>
          <w:szCs w:val="26"/>
        </w:rPr>
      </w:pPr>
    </w:p>
    <w:p w:rsidR="00BE07B5" w:rsidRDefault="00586846" w:rsidP="00DF2777">
      <w:pPr>
        <w:overflowPunct w:val="0"/>
        <w:autoSpaceDE w:val="0"/>
        <w:autoSpaceDN w:val="0"/>
        <w:adjustRightInd w:val="0"/>
        <w:spacing w:line="360" w:lineRule="auto"/>
        <w:ind w:firstLine="720"/>
        <w:textAlignment w:val="baseline"/>
        <w:rPr>
          <w:sz w:val="26"/>
          <w:szCs w:val="26"/>
        </w:rPr>
      </w:pPr>
      <w:r>
        <w:rPr>
          <w:sz w:val="26"/>
          <w:szCs w:val="26"/>
        </w:rPr>
        <w:tab/>
      </w:r>
      <w:r w:rsidR="00BE07B5">
        <w:rPr>
          <w:sz w:val="26"/>
          <w:szCs w:val="26"/>
        </w:rPr>
        <w:t>Some</w:t>
      </w:r>
      <w:r w:rsidR="00BE07B5" w:rsidRPr="00BA3CDF">
        <w:rPr>
          <w:sz w:val="26"/>
          <w:szCs w:val="26"/>
        </w:rPr>
        <w:t xml:space="preserve"> </w:t>
      </w:r>
      <w:r w:rsidR="00DF2777">
        <w:rPr>
          <w:sz w:val="26"/>
          <w:szCs w:val="26"/>
        </w:rPr>
        <w:t>c</w:t>
      </w:r>
      <w:r w:rsidR="00BE07B5">
        <w:rPr>
          <w:sz w:val="26"/>
          <w:szCs w:val="26"/>
        </w:rPr>
        <w:t xml:space="preserve">ommenters express acceptance of the </w:t>
      </w:r>
      <w:r w:rsidR="00BE07B5" w:rsidRPr="00BA3CDF">
        <w:rPr>
          <w:sz w:val="26"/>
          <w:szCs w:val="26"/>
        </w:rPr>
        <w:t>limitation</w:t>
      </w:r>
      <w:r w:rsidR="00BE07B5">
        <w:rPr>
          <w:sz w:val="26"/>
          <w:szCs w:val="26"/>
        </w:rPr>
        <w:t xml:space="preserve"> </w:t>
      </w:r>
      <w:r w:rsidR="000048FB">
        <w:rPr>
          <w:sz w:val="26"/>
          <w:szCs w:val="26"/>
        </w:rPr>
        <w:t>with</w:t>
      </w:r>
      <w:r w:rsidR="00BE07B5" w:rsidRPr="00BA3CDF">
        <w:rPr>
          <w:sz w:val="26"/>
          <w:szCs w:val="26"/>
        </w:rPr>
        <w:t xml:space="preserve"> </w:t>
      </w:r>
      <w:r w:rsidR="00BE07B5">
        <w:rPr>
          <w:sz w:val="26"/>
          <w:szCs w:val="26"/>
        </w:rPr>
        <w:t>additional</w:t>
      </w:r>
      <w:r w:rsidR="00BE07B5" w:rsidRPr="00BA3CDF">
        <w:rPr>
          <w:sz w:val="26"/>
          <w:szCs w:val="26"/>
        </w:rPr>
        <w:t xml:space="preserve"> parameters.  </w:t>
      </w:r>
      <w:r w:rsidR="00BE07B5">
        <w:rPr>
          <w:sz w:val="26"/>
          <w:szCs w:val="26"/>
        </w:rPr>
        <w:t xml:space="preserve">Specifically, </w:t>
      </w:r>
      <w:r w:rsidR="006D059D">
        <w:rPr>
          <w:sz w:val="26"/>
          <w:szCs w:val="26"/>
        </w:rPr>
        <w:t xml:space="preserve">Duquesne, </w:t>
      </w:r>
      <w:r w:rsidR="00BE07B5" w:rsidRPr="00BA3CDF">
        <w:rPr>
          <w:sz w:val="26"/>
          <w:szCs w:val="26"/>
        </w:rPr>
        <w:t xml:space="preserve">EAP </w:t>
      </w:r>
      <w:r w:rsidR="008F59EA">
        <w:rPr>
          <w:sz w:val="26"/>
          <w:szCs w:val="26"/>
        </w:rPr>
        <w:t xml:space="preserve">and </w:t>
      </w:r>
      <w:r w:rsidR="006D059D">
        <w:rPr>
          <w:sz w:val="26"/>
          <w:szCs w:val="26"/>
        </w:rPr>
        <w:t>PECO</w:t>
      </w:r>
      <w:r w:rsidR="008F59EA">
        <w:rPr>
          <w:sz w:val="26"/>
          <w:szCs w:val="26"/>
        </w:rPr>
        <w:t xml:space="preserve"> </w:t>
      </w:r>
      <w:r w:rsidR="00BE07B5" w:rsidRPr="00BA3CDF">
        <w:rPr>
          <w:sz w:val="26"/>
          <w:szCs w:val="26"/>
        </w:rPr>
        <w:t xml:space="preserve">suggest that the Commission </w:t>
      </w:r>
      <w:r w:rsidR="00BE07B5">
        <w:rPr>
          <w:sz w:val="26"/>
          <w:szCs w:val="26"/>
        </w:rPr>
        <w:t>make the 110% limitation</w:t>
      </w:r>
      <w:r w:rsidR="00BE07B5" w:rsidRPr="00BA3CDF">
        <w:rPr>
          <w:sz w:val="26"/>
          <w:szCs w:val="26"/>
        </w:rPr>
        <w:t xml:space="preserve"> a cap on the kWh output </w:t>
      </w:r>
      <w:r w:rsidR="00BE07B5">
        <w:rPr>
          <w:sz w:val="26"/>
          <w:szCs w:val="26"/>
        </w:rPr>
        <w:t>eligible for net metering, implying that the customer-generator would not receive compensation for any generation in excess of 110% of its annual electric usage</w:t>
      </w:r>
      <w:r w:rsidR="00BE07B5" w:rsidRPr="00BA3CDF">
        <w:rPr>
          <w:sz w:val="26"/>
          <w:szCs w:val="26"/>
        </w:rPr>
        <w:t>.</w:t>
      </w:r>
      <w:r w:rsidR="00BE07B5">
        <w:rPr>
          <w:rStyle w:val="FootnoteReference"/>
          <w:sz w:val="26"/>
          <w:szCs w:val="26"/>
        </w:rPr>
        <w:footnoteReference w:id="22"/>
      </w:r>
      <w:r w:rsidR="008F59EA">
        <w:rPr>
          <w:sz w:val="26"/>
          <w:szCs w:val="26"/>
        </w:rPr>
        <w:t xml:space="preserve">  EAP also suggest</w:t>
      </w:r>
      <w:r w:rsidR="000048FB">
        <w:rPr>
          <w:sz w:val="26"/>
          <w:szCs w:val="26"/>
        </w:rPr>
        <w:t>s</w:t>
      </w:r>
      <w:r w:rsidR="008F59EA">
        <w:rPr>
          <w:sz w:val="26"/>
          <w:szCs w:val="26"/>
        </w:rPr>
        <w:t xml:space="preserve"> that the Commission clarify that the 110% cap be set during the system design phase such that it limits the size of the system that can be installed based on the customer-generator’s total electric usage during the preceding 12 months.  EAP assert</w:t>
      </w:r>
      <w:r w:rsidR="000048FB">
        <w:rPr>
          <w:sz w:val="26"/>
          <w:szCs w:val="26"/>
        </w:rPr>
        <w:t>s</w:t>
      </w:r>
      <w:r w:rsidR="008F59EA">
        <w:rPr>
          <w:sz w:val="26"/>
          <w:szCs w:val="26"/>
        </w:rPr>
        <w:t xml:space="preserve"> that such a limitation will decrease cost-shifting to customers who do not participate in net metering</w:t>
      </w:r>
      <w:r w:rsidR="00E91CFF">
        <w:rPr>
          <w:sz w:val="26"/>
          <w:szCs w:val="26"/>
        </w:rPr>
        <w:t>, will simplify the role of EDCs in monitoring excess generation and limit the opportunity for abuse by merchant generators seeking retail rate subsidies in contradiction of the intent of the AEPS Act.</w:t>
      </w:r>
      <w:r w:rsidR="00E91CFF">
        <w:rPr>
          <w:rStyle w:val="FootnoteReference"/>
          <w:sz w:val="26"/>
          <w:szCs w:val="26"/>
        </w:rPr>
        <w:footnoteReference w:id="23"/>
      </w:r>
    </w:p>
    <w:p w:rsidR="008F59EA" w:rsidRDefault="008F59EA" w:rsidP="002C55ED">
      <w:pPr>
        <w:overflowPunct w:val="0"/>
        <w:autoSpaceDE w:val="0"/>
        <w:autoSpaceDN w:val="0"/>
        <w:adjustRightInd w:val="0"/>
        <w:spacing w:line="360" w:lineRule="auto"/>
        <w:ind w:firstLine="1440"/>
        <w:textAlignment w:val="baseline"/>
        <w:rPr>
          <w:sz w:val="26"/>
          <w:szCs w:val="26"/>
        </w:rPr>
      </w:pPr>
    </w:p>
    <w:p w:rsidR="006E34C5" w:rsidRDefault="006E34C5" w:rsidP="002C55ED">
      <w:pPr>
        <w:overflowPunct w:val="0"/>
        <w:autoSpaceDE w:val="0"/>
        <w:autoSpaceDN w:val="0"/>
        <w:adjustRightInd w:val="0"/>
        <w:spacing w:line="360" w:lineRule="auto"/>
        <w:ind w:firstLine="1440"/>
        <w:textAlignment w:val="baseline"/>
        <w:rPr>
          <w:sz w:val="26"/>
          <w:szCs w:val="26"/>
        </w:rPr>
      </w:pPr>
      <w:r>
        <w:rPr>
          <w:b/>
          <w:sz w:val="26"/>
          <w:szCs w:val="26"/>
        </w:rPr>
        <w:t>b.</w:t>
      </w:r>
      <w:r>
        <w:rPr>
          <w:b/>
          <w:sz w:val="26"/>
          <w:szCs w:val="26"/>
        </w:rPr>
        <w:tab/>
        <w:t>Disposition</w:t>
      </w:r>
    </w:p>
    <w:p w:rsidR="006E34C5" w:rsidRPr="006E34C5" w:rsidRDefault="006E34C5" w:rsidP="002C55ED">
      <w:pPr>
        <w:overflowPunct w:val="0"/>
        <w:autoSpaceDE w:val="0"/>
        <w:autoSpaceDN w:val="0"/>
        <w:adjustRightInd w:val="0"/>
        <w:spacing w:line="360" w:lineRule="auto"/>
        <w:ind w:firstLine="1440"/>
        <w:textAlignment w:val="baseline"/>
        <w:rPr>
          <w:sz w:val="26"/>
          <w:szCs w:val="26"/>
        </w:rPr>
      </w:pPr>
    </w:p>
    <w:p w:rsidR="002C55ED" w:rsidRPr="00BA3CDF" w:rsidRDefault="00586846" w:rsidP="00DF2777">
      <w:pPr>
        <w:overflowPunct w:val="0"/>
        <w:autoSpaceDE w:val="0"/>
        <w:autoSpaceDN w:val="0"/>
        <w:adjustRightInd w:val="0"/>
        <w:spacing w:line="360" w:lineRule="auto"/>
        <w:ind w:firstLine="720"/>
        <w:textAlignment w:val="baseline"/>
        <w:rPr>
          <w:sz w:val="26"/>
          <w:szCs w:val="26"/>
        </w:rPr>
      </w:pPr>
      <w:r>
        <w:rPr>
          <w:sz w:val="26"/>
          <w:szCs w:val="26"/>
        </w:rPr>
        <w:tab/>
      </w:r>
      <w:r w:rsidR="006E34C5">
        <w:rPr>
          <w:sz w:val="26"/>
          <w:szCs w:val="26"/>
        </w:rPr>
        <w:t>The Commission would like to clarify that t</w:t>
      </w:r>
      <w:r w:rsidR="00BA3CDF" w:rsidRPr="00BA3CDF">
        <w:rPr>
          <w:sz w:val="26"/>
          <w:szCs w:val="26"/>
        </w:rPr>
        <w:t>he 110% sizing limitation is a design parameter set forth to govern system s</w:t>
      </w:r>
      <w:r w:rsidR="002C55ED">
        <w:rPr>
          <w:sz w:val="26"/>
          <w:szCs w:val="26"/>
        </w:rPr>
        <w:t>ize when third</w:t>
      </w:r>
      <w:r w:rsidR="006E34C5">
        <w:rPr>
          <w:sz w:val="26"/>
          <w:szCs w:val="26"/>
        </w:rPr>
        <w:t>-</w:t>
      </w:r>
      <w:r w:rsidR="002C55ED">
        <w:rPr>
          <w:sz w:val="26"/>
          <w:szCs w:val="26"/>
        </w:rPr>
        <w:t>party owners and</w:t>
      </w:r>
      <w:r w:rsidR="00BA3CDF" w:rsidRPr="00BA3CDF">
        <w:rPr>
          <w:sz w:val="26"/>
          <w:szCs w:val="26"/>
        </w:rPr>
        <w:t xml:space="preserve"> </w:t>
      </w:r>
      <w:r w:rsidR="002C55ED">
        <w:rPr>
          <w:sz w:val="26"/>
          <w:szCs w:val="26"/>
        </w:rPr>
        <w:t xml:space="preserve">operators </w:t>
      </w:r>
      <w:r w:rsidR="00BA3CDF" w:rsidRPr="00BA3CDF">
        <w:rPr>
          <w:sz w:val="26"/>
          <w:szCs w:val="26"/>
        </w:rPr>
        <w:t>are calculating the size of a</w:t>
      </w:r>
      <w:r w:rsidR="002C55ED">
        <w:rPr>
          <w:sz w:val="26"/>
          <w:szCs w:val="26"/>
        </w:rPr>
        <w:t>n</w:t>
      </w:r>
      <w:r w:rsidR="00BA3CDF" w:rsidRPr="00BA3CDF">
        <w:rPr>
          <w:sz w:val="26"/>
          <w:szCs w:val="26"/>
        </w:rPr>
        <w:t xml:space="preserve"> alternative energy system</w:t>
      </w:r>
      <w:r w:rsidR="00B26ECB">
        <w:rPr>
          <w:sz w:val="26"/>
          <w:szCs w:val="26"/>
        </w:rPr>
        <w:t xml:space="preserve"> to be interconnected and installed on property owned </w:t>
      </w:r>
      <w:r w:rsidR="006E34C5">
        <w:rPr>
          <w:sz w:val="26"/>
          <w:szCs w:val="26"/>
        </w:rPr>
        <w:t>or</w:t>
      </w:r>
      <w:r w:rsidR="00B26ECB">
        <w:rPr>
          <w:sz w:val="26"/>
          <w:szCs w:val="26"/>
        </w:rPr>
        <w:t xml:space="preserve"> leased </w:t>
      </w:r>
      <w:r w:rsidR="006E34C5">
        <w:rPr>
          <w:sz w:val="26"/>
          <w:szCs w:val="26"/>
        </w:rPr>
        <w:t xml:space="preserve">and operated </w:t>
      </w:r>
      <w:r w:rsidR="00B26ECB">
        <w:rPr>
          <w:sz w:val="26"/>
          <w:szCs w:val="26"/>
        </w:rPr>
        <w:t xml:space="preserve">by </w:t>
      </w:r>
      <w:r w:rsidR="000048FB">
        <w:rPr>
          <w:sz w:val="26"/>
          <w:szCs w:val="26"/>
        </w:rPr>
        <w:t>an</w:t>
      </w:r>
      <w:r w:rsidR="00B26ECB">
        <w:rPr>
          <w:sz w:val="26"/>
          <w:szCs w:val="26"/>
        </w:rPr>
        <w:t xml:space="preserve"> electric utility customer for net metering purposes</w:t>
      </w:r>
      <w:r w:rsidR="00BA3CDF" w:rsidRPr="00BA3CDF">
        <w:rPr>
          <w:sz w:val="26"/>
          <w:szCs w:val="26"/>
        </w:rPr>
        <w:t>.</w:t>
      </w:r>
      <w:r w:rsidR="00B26ECB">
        <w:rPr>
          <w:sz w:val="26"/>
          <w:szCs w:val="26"/>
        </w:rPr>
        <w:t xml:space="preserve">  </w:t>
      </w:r>
      <w:r w:rsidR="002C55ED" w:rsidRPr="00BA3CDF">
        <w:rPr>
          <w:sz w:val="26"/>
          <w:szCs w:val="26"/>
        </w:rPr>
        <w:t xml:space="preserve">As the Commission’s goal is to support Pennsylvania ratepayer access to alternative energy systems, it does not believe it is necessary to implement other limitations </w:t>
      </w:r>
      <w:r w:rsidR="006E34C5">
        <w:rPr>
          <w:sz w:val="26"/>
          <w:szCs w:val="26"/>
        </w:rPr>
        <w:t>at this time</w:t>
      </w:r>
      <w:r w:rsidR="002C55ED" w:rsidRPr="00BA3CDF">
        <w:rPr>
          <w:sz w:val="26"/>
          <w:szCs w:val="26"/>
        </w:rPr>
        <w:t xml:space="preserve">.  </w:t>
      </w:r>
      <w:r w:rsidR="006E34C5">
        <w:rPr>
          <w:sz w:val="26"/>
          <w:szCs w:val="26"/>
        </w:rPr>
        <w:t>Specifically, t</w:t>
      </w:r>
      <w:r w:rsidR="002C55ED" w:rsidRPr="00BA3CDF">
        <w:rPr>
          <w:sz w:val="26"/>
          <w:szCs w:val="26"/>
        </w:rPr>
        <w:t>he Commission believes it is unnecessary to include a kWh output restriction on systems utilizing the third</w:t>
      </w:r>
      <w:r w:rsidR="006E34C5">
        <w:rPr>
          <w:sz w:val="26"/>
          <w:szCs w:val="26"/>
        </w:rPr>
        <w:t>-</w:t>
      </w:r>
      <w:r w:rsidR="002C55ED" w:rsidRPr="00BA3CDF">
        <w:rPr>
          <w:sz w:val="26"/>
          <w:szCs w:val="26"/>
        </w:rPr>
        <w:t xml:space="preserve">party operator business model, as proposed by </w:t>
      </w:r>
      <w:r w:rsidR="006E34C5">
        <w:rPr>
          <w:sz w:val="26"/>
          <w:szCs w:val="26"/>
        </w:rPr>
        <w:t xml:space="preserve">Duquesne, </w:t>
      </w:r>
      <w:r w:rsidR="002C55ED" w:rsidRPr="00BA3CDF">
        <w:rPr>
          <w:sz w:val="26"/>
          <w:szCs w:val="26"/>
        </w:rPr>
        <w:t>EAP</w:t>
      </w:r>
      <w:r w:rsidR="006E34C5">
        <w:rPr>
          <w:sz w:val="26"/>
          <w:szCs w:val="26"/>
        </w:rPr>
        <w:t xml:space="preserve"> and PECO</w:t>
      </w:r>
      <w:r w:rsidR="002C55ED" w:rsidRPr="00BA3CDF">
        <w:rPr>
          <w:sz w:val="26"/>
          <w:szCs w:val="26"/>
        </w:rPr>
        <w:t xml:space="preserve">.  </w:t>
      </w:r>
      <w:r w:rsidR="00355239">
        <w:rPr>
          <w:sz w:val="26"/>
          <w:szCs w:val="26"/>
        </w:rPr>
        <w:t xml:space="preserve">The Commission notes that the 110% design limit will be based on </w:t>
      </w:r>
      <w:r w:rsidR="00640315">
        <w:rPr>
          <w:sz w:val="26"/>
          <w:szCs w:val="26"/>
        </w:rPr>
        <w:t xml:space="preserve">historical or </w:t>
      </w:r>
      <w:r w:rsidR="00355239">
        <w:rPr>
          <w:sz w:val="26"/>
          <w:szCs w:val="26"/>
        </w:rPr>
        <w:t>estimate</w:t>
      </w:r>
      <w:r w:rsidR="003D6658">
        <w:rPr>
          <w:sz w:val="26"/>
          <w:szCs w:val="26"/>
        </w:rPr>
        <w:t>d</w:t>
      </w:r>
      <w:r w:rsidR="00355239">
        <w:rPr>
          <w:sz w:val="26"/>
          <w:szCs w:val="26"/>
        </w:rPr>
        <w:t xml:space="preserve"> annual system output and customer usage</w:t>
      </w:r>
      <w:r w:rsidR="003D6658">
        <w:rPr>
          <w:sz w:val="26"/>
          <w:szCs w:val="26"/>
        </w:rPr>
        <w:t>, both of which</w:t>
      </w:r>
      <w:r w:rsidR="00355239">
        <w:rPr>
          <w:sz w:val="26"/>
          <w:szCs w:val="26"/>
        </w:rPr>
        <w:t xml:space="preserve"> are affected by weather that is beyond the control of the customer-</w:t>
      </w:r>
      <w:r w:rsidR="00355239">
        <w:rPr>
          <w:sz w:val="26"/>
          <w:szCs w:val="26"/>
        </w:rPr>
        <w:lastRenderedPageBreak/>
        <w:t>generator.  As such, the Commission believes that a hard cap, as proposed by Duquesne, EAP and PECO</w:t>
      </w:r>
      <w:r w:rsidR="003D6658">
        <w:rPr>
          <w:sz w:val="26"/>
          <w:szCs w:val="26"/>
        </w:rPr>
        <w:t>,</w:t>
      </w:r>
      <w:r w:rsidR="00355239">
        <w:rPr>
          <w:sz w:val="26"/>
          <w:szCs w:val="26"/>
        </w:rPr>
        <w:t xml:space="preserve"> would unfairly penalize customer-generators </w:t>
      </w:r>
      <w:r w:rsidR="00640315">
        <w:rPr>
          <w:sz w:val="26"/>
          <w:szCs w:val="26"/>
        </w:rPr>
        <w:t>for variations in weather</w:t>
      </w:r>
      <w:r w:rsidR="004E5C9A">
        <w:rPr>
          <w:sz w:val="26"/>
          <w:szCs w:val="26"/>
        </w:rPr>
        <w:t xml:space="preserve"> that are beyond their control.  </w:t>
      </w:r>
    </w:p>
    <w:p w:rsidR="006E3C2C" w:rsidRPr="008E6A6D" w:rsidRDefault="006E3C2C" w:rsidP="00E21925">
      <w:pPr>
        <w:pStyle w:val="p3"/>
        <w:widowControl/>
        <w:tabs>
          <w:tab w:val="clear" w:pos="204"/>
          <w:tab w:val="left" w:pos="720"/>
        </w:tabs>
        <w:spacing w:line="360" w:lineRule="auto"/>
        <w:rPr>
          <w:szCs w:val="26"/>
        </w:rPr>
      </w:pPr>
    </w:p>
    <w:p w:rsidR="00B865E4" w:rsidRPr="00B865E4" w:rsidRDefault="004E5C9A" w:rsidP="004E5C9A">
      <w:pPr>
        <w:overflowPunct w:val="0"/>
        <w:autoSpaceDE w:val="0"/>
        <w:autoSpaceDN w:val="0"/>
        <w:adjustRightInd w:val="0"/>
        <w:spacing w:line="360" w:lineRule="auto"/>
        <w:ind w:left="720"/>
        <w:contextualSpacing/>
        <w:textAlignment w:val="baseline"/>
        <w:rPr>
          <w:b/>
          <w:sz w:val="26"/>
          <w:szCs w:val="26"/>
        </w:rPr>
      </w:pPr>
      <w:r>
        <w:rPr>
          <w:b/>
          <w:sz w:val="26"/>
          <w:szCs w:val="26"/>
        </w:rPr>
        <w:t>3.</w:t>
      </w:r>
      <w:r>
        <w:rPr>
          <w:b/>
          <w:sz w:val="26"/>
          <w:szCs w:val="26"/>
        </w:rPr>
        <w:tab/>
      </w:r>
      <w:r w:rsidR="00B865E4" w:rsidRPr="00B865E4">
        <w:rPr>
          <w:b/>
          <w:sz w:val="26"/>
          <w:szCs w:val="26"/>
        </w:rPr>
        <w:t>Virtual Net Metering</w:t>
      </w:r>
    </w:p>
    <w:p w:rsidR="00B865E4" w:rsidRPr="00B865E4" w:rsidRDefault="00B865E4" w:rsidP="00B865E4">
      <w:pPr>
        <w:overflowPunct w:val="0"/>
        <w:autoSpaceDE w:val="0"/>
        <w:autoSpaceDN w:val="0"/>
        <w:adjustRightInd w:val="0"/>
        <w:spacing w:line="360" w:lineRule="auto"/>
        <w:ind w:firstLine="720"/>
        <w:textAlignment w:val="baseline"/>
        <w:rPr>
          <w:sz w:val="26"/>
          <w:szCs w:val="26"/>
        </w:rPr>
      </w:pPr>
    </w:p>
    <w:p w:rsidR="00B865E4" w:rsidRDefault="00B865E4" w:rsidP="00DF2777">
      <w:pPr>
        <w:overflowPunct w:val="0"/>
        <w:autoSpaceDE w:val="0"/>
        <w:autoSpaceDN w:val="0"/>
        <w:adjustRightInd w:val="0"/>
        <w:spacing w:line="360" w:lineRule="auto"/>
        <w:ind w:firstLine="720"/>
        <w:textAlignment w:val="baseline"/>
        <w:rPr>
          <w:sz w:val="26"/>
          <w:szCs w:val="26"/>
        </w:rPr>
      </w:pPr>
      <w:r w:rsidRPr="00B865E4">
        <w:rPr>
          <w:sz w:val="26"/>
          <w:szCs w:val="26"/>
        </w:rPr>
        <w:t xml:space="preserve">In comments to the </w:t>
      </w:r>
      <w:r w:rsidRPr="00B6375A">
        <w:rPr>
          <w:i/>
          <w:sz w:val="26"/>
          <w:szCs w:val="26"/>
        </w:rPr>
        <w:t>Tentative Order</w:t>
      </w:r>
      <w:r w:rsidRPr="00B865E4">
        <w:rPr>
          <w:sz w:val="26"/>
          <w:szCs w:val="26"/>
        </w:rPr>
        <w:t>, parties questioned the application of the 110% limitation for customers who wish to implement the third</w:t>
      </w:r>
      <w:r w:rsidR="00B6375A">
        <w:rPr>
          <w:sz w:val="26"/>
          <w:szCs w:val="26"/>
        </w:rPr>
        <w:t>-</w:t>
      </w:r>
      <w:r w:rsidRPr="00B865E4">
        <w:rPr>
          <w:sz w:val="26"/>
          <w:szCs w:val="26"/>
        </w:rPr>
        <w:t xml:space="preserve">party business model to install systems that would allow for virtual meter aggregation.  </w:t>
      </w:r>
    </w:p>
    <w:p w:rsidR="00640315" w:rsidRPr="00B865E4" w:rsidRDefault="00640315" w:rsidP="00640315">
      <w:pPr>
        <w:overflowPunct w:val="0"/>
        <w:autoSpaceDE w:val="0"/>
        <w:autoSpaceDN w:val="0"/>
        <w:adjustRightInd w:val="0"/>
        <w:spacing w:line="360" w:lineRule="auto"/>
        <w:ind w:firstLine="1440"/>
        <w:textAlignment w:val="baseline"/>
        <w:rPr>
          <w:sz w:val="26"/>
          <w:szCs w:val="26"/>
        </w:rPr>
      </w:pPr>
    </w:p>
    <w:p w:rsidR="00B865E4" w:rsidRPr="00B865E4" w:rsidRDefault="00B6375A" w:rsidP="00B6375A">
      <w:pPr>
        <w:overflowPunct w:val="0"/>
        <w:autoSpaceDE w:val="0"/>
        <w:autoSpaceDN w:val="0"/>
        <w:adjustRightInd w:val="0"/>
        <w:spacing w:line="360" w:lineRule="auto"/>
        <w:ind w:left="720" w:firstLine="720"/>
        <w:contextualSpacing/>
        <w:textAlignment w:val="baseline"/>
        <w:rPr>
          <w:b/>
          <w:sz w:val="26"/>
          <w:szCs w:val="26"/>
        </w:rPr>
      </w:pPr>
      <w:r>
        <w:rPr>
          <w:b/>
          <w:sz w:val="26"/>
          <w:szCs w:val="26"/>
        </w:rPr>
        <w:t>a.</w:t>
      </w:r>
      <w:r>
        <w:rPr>
          <w:b/>
          <w:sz w:val="26"/>
          <w:szCs w:val="26"/>
        </w:rPr>
        <w:tab/>
      </w:r>
      <w:r w:rsidR="00B865E4" w:rsidRPr="00B865E4">
        <w:rPr>
          <w:b/>
          <w:sz w:val="26"/>
          <w:szCs w:val="26"/>
        </w:rPr>
        <w:t>Comments</w:t>
      </w:r>
    </w:p>
    <w:p w:rsidR="00B865E4" w:rsidRPr="00B865E4" w:rsidRDefault="00B865E4" w:rsidP="00B865E4">
      <w:pPr>
        <w:overflowPunct w:val="0"/>
        <w:autoSpaceDE w:val="0"/>
        <w:autoSpaceDN w:val="0"/>
        <w:adjustRightInd w:val="0"/>
        <w:spacing w:line="360" w:lineRule="auto"/>
        <w:textAlignment w:val="baseline"/>
        <w:rPr>
          <w:b/>
          <w:sz w:val="26"/>
          <w:szCs w:val="26"/>
        </w:rPr>
      </w:pPr>
    </w:p>
    <w:p w:rsidR="00B865E4" w:rsidRDefault="00586846" w:rsidP="00DF2777">
      <w:pPr>
        <w:overflowPunct w:val="0"/>
        <w:autoSpaceDE w:val="0"/>
        <w:autoSpaceDN w:val="0"/>
        <w:adjustRightInd w:val="0"/>
        <w:spacing w:line="360" w:lineRule="auto"/>
        <w:ind w:firstLine="720"/>
        <w:textAlignment w:val="baseline"/>
        <w:rPr>
          <w:sz w:val="26"/>
          <w:szCs w:val="26"/>
        </w:rPr>
      </w:pPr>
      <w:r>
        <w:rPr>
          <w:sz w:val="26"/>
          <w:szCs w:val="26"/>
        </w:rPr>
        <w:tab/>
      </w:r>
      <w:r w:rsidR="00B865E4" w:rsidRPr="00B865E4">
        <w:rPr>
          <w:sz w:val="26"/>
          <w:szCs w:val="26"/>
        </w:rPr>
        <w:t xml:space="preserve">FirstEnergy </w:t>
      </w:r>
      <w:r w:rsidR="00E608BD">
        <w:rPr>
          <w:sz w:val="26"/>
          <w:szCs w:val="26"/>
        </w:rPr>
        <w:t>assert</w:t>
      </w:r>
      <w:r w:rsidR="00640315">
        <w:rPr>
          <w:sz w:val="26"/>
          <w:szCs w:val="26"/>
        </w:rPr>
        <w:t>s</w:t>
      </w:r>
      <w:r w:rsidR="00B865E4" w:rsidRPr="00B865E4">
        <w:rPr>
          <w:sz w:val="26"/>
          <w:szCs w:val="26"/>
        </w:rPr>
        <w:t xml:space="preserve"> that the 110% limitation should apply solely to the consumption </w:t>
      </w:r>
      <w:r w:rsidR="00E608BD">
        <w:rPr>
          <w:sz w:val="26"/>
          <w:szCs w:val="26"/>
        </w:rPr>
        <w:t>at</w:t>
      </w:r>
      <w:r w:rsidR="00B865E4" w:rsidRPr="00B865E4">
        <w:rPr>
          <w:sz w:val="26"/>
          <w:szCs w:val="26"/>
        </w:rPr>
        <w:t xml:space="preserve"> the meter </w:t>
      </w:r>
      <w:r w:rsidR="00E608BD">
        <w:rPr>
          <w:sz w:val="26"/>
          <w:szCs w:val="26"/>
        </w:rPr>
        <w:t>where</w:t>
      </w:r>
      <w:r w:rsidR="00B865E4" w:rsidRPr="00B865E4">
        <w:rPr>
          <w:sz w:val="26"/>
          <w:szCs w:val="26"/>
        </w:rPr>
        <w:t xml:space="preserve"> the system is interconnected </w:t>
      </w:r>
      <w:r w:rsidR="00E608BD">
        <w:rPr>
          <w:sz w:val="26"/>
          <w:szCs w:val="26"/>
        </w:rPr>
        <w:t>as it</w:t>
      </w:r>
      <w:r w:rsidR="00B865E4" w:rsidRPr="00B865E4">
        <w:rPr>
          <w:sz w:val="26"/>
          <w:szCs w:val="26"/>
        </w:rPr>
        <w:t xml:space="preserve"> would prevent </w:t>
      </w:r>
      <w:r w:rsidR="00E608BD">
        <w:rPr>
          <w:sz w:val="26"/>
          <w:szCs w:val="26"/>
        </w:rPr>
        <w:t>third-parties from</w:t>
      </w:r>
      <w:r w:rsidR="00B865E4" w:rsidRPr="00B865E4">
        <w:rPr>
          <w:sz w:val="26"/>
          <w:szCs w:val="26"/>
        </w:rPr>
        <w:t xml:space="preserve"> greatly oversiz</w:t>
      </w:r>
      <w:r w:rsidR="009C638F">
        <w:rPr>
          <w:sz w:val="26"/>
          <w:szCs w:val="26"/>
        </w:rPr>
        <w:t>ing</w:t>
      </w:r>
      <w:r w:rsidR="00B865E4" w:rsidRPr="00B865E4">
        <w:rPr>
          <w:sz w:val="26"/>
          <w:szCs w:val="26"/>
        </w:rPr>
        <w:t xml:space="preserve"> an alternative energy system with the intention of requiring the retail customer to aggregate any nearby metering points to satisfy the 110% </w:t>
      </w:r>
      <w:r w:rsidR="00E608BD">
        <w:rPr>
          <w:sz w:val="26"/>
          <w:szCs w:val="26"/>
        </w:rPr>
        <w:t>limitation</w:t>
      </w:r>
      <w:r w:rsidR="00B865E4" w:rsidRPr="00B865E4">
        <w:rPr>
          <w:sz w:val="26"/>
          <w:szCs w:val="26"/>
        </w:rPr>
        <w:t>.</w:t>
      </w:r>
      <w:r w:rsidR="00E608BD">
        <w:rPr>
          <w:rStyle w:val="FootnoteReference"/>
          <w:sz w:val="26"/>
          <w:szCs w:val="26"/>
        </w:rPr>
        <w:footnoteReference w:id="24"/>
      </w:r>
      <w:r w:rsidR="00B865E4" w:rsidRPr="00B865E4">
        <w:rPr>
          <w:sz w:val="26"/>
          <w:szCs w:val="26"/>
        </w:rPr>
        <w:t xml:space="preserve"> </w:t>
      </w:r>
      <w:r w:rsidR="00E608BD">
        <w:rPr>
          <w:sz w:val="26"/>
          <w:szCs w:val="26"/>
        </w:rPr>
        <w:t xml:space="preserve"> </w:t>
      </w:r>
      <w:r w:rsidR="00B26ECB">
        <w:rPr>
          <w:sz w:val="26"/>
          <w:szCs w:val="26"/>
        </w:rPr>
        <w:t>PASEIA/MSEIA</w:t>
      </w:r>
      <w:r w:rsidR="00B865E4" w:rsidRPr="00B865E4">
        <w:rPr>
          <w:sz w:val="26"/>
          <w:szCs w:val="26"/>
        </w:rPr>
        <w:t xml:space="preserve"> and PennFuture </w:t>
      </w:r>
      <w:r w:rsidR="00265C06">
        <w:rPr>
          <w:sz w:val="26"/>
          <w:szCs w:val="26"/>
        </w:rPr>
        <w:t>assert that</w:t>
      </w:r>
      <w:r w:rsidR="00B865E4" w:rsidRPr="00B865E4">
        <w:rPr>
          <w:sz w:val="26"/>
          <w:szCs w:val="26"/>
        </w:rPr>
        <w:t xml:space="preserve"> the 110% limitation should apply to the cumulative consumption of all meters that </w:t>
      </w:r>
      <w:r w:rsidR="00265C06">
        <w:rPr>
          <w:sz w:val="26"/>
          <w:szCs w:val="26"/>
        </w:rPr>
        <w:t>qualify for virtual aggregation</w:t>
      </w:r>
      <w:r w:rsidR="00B865E4" w:rsidRPr="00B865E4">
        <w:rPr>
          <w:sz w:val="26"/>
          <w:szCs w:val="26"/>
        </w:rPr>
        <w:t xml:space="preserve">. </w:t>
      </w:r>
      <w:r w:rsidR="00265C06">
        <w:rPr>
          <w:rStyle w:val="FootnoteReference"/>
          <w:sz w:val="26"/>
          <w:szCs w:val="26"/>
        </w:rPr>
        <w:footnoteReference w:id="25"/>
      </w:r>
      <w:r w:rsidR="00B865E4" w:rsidRPr="00B865E4">
        <w:rPr>
          <w:sz w:val="26"/>
          <w:szCs w:val="26"/>
        </w:rPr>
        <w:t xml:space="preserve">  </w:t>
      </w:r>
    </w:p>
    <w:p w:rsidR="006B58A6" w:rsidRDefault="006B58A6" w:rsidP="00E608BD">
      <w:pPr>
        <w:overflowPunct w:val="0"/>
        <w:autoSpaceDE w:val="0"/>
        <w:autoSpaceDN w:val="0"/>
        <w:adjustRightInd w:val="0"/>
        <w:spacing w:line="360" w:lineRule="auto"/>
        <w:ind w:firstLine="1440"/>
        <w:textAlignment w:val="baseline"/>
        <w:rPr>
          <w:sz w:val="26"/>
          <w:szCs w:val="26"/>
        </w:rPr>
      </w:pPr>
    </w:p>
    <w:p w:rsidR="006B58A6" w:rsidRPr="00B865E4" w:rsidRDefault="006B58A6" w:rsidP="00DF2777">
      <w:pPr>
        <w:overflowPunct w:val="0"/>
        <w:autoSpaceDE w:val="0"/>
        <w:autoSpaceDN w:val="0"/>
        <w:adjustRightInd w:val="0"/>
        <w:spacing w:line="360" w:lineRule="auto"/>
        <w:ind w:firstLine="720"/>
        <w:textAlignment w:val="baseline"/>
        <w:rPr>
          <w:sz w:val="26"/>
          <w:szCs w:val="26"/>
        </w:rPr>
      </w:pPr>
      <w:r>
        <w:rPr>
          <w:sz w:val="26"/>
          <w:szCs w:val="26"/>
        </w:rPr>
        <w:t>Duquesne requests that the Commission require that each customer must be individually metered and have individual accounts in the homeowner’s name, as opposed to the accounts being placed in the name of the third-party.</w:t>
      </w:r>
      <w:r>
        <w:rPr>
          <w:rStyle w:val="FootnoteReference"/>
          <w:sz w:val="26"/>
          <w:szCs w:val="26"/>
        </w:rPr>
        <w:footnoteReference w:id="26"/>
      </w:r>
      <w:r>
        <w:rPr>
          <w:sz w:val="26"/>
          <w:szCs w:val="26"/>
        </w:rPr>
        <w:t xml:space="preserve">  Duquesne further asserts that the EDC should not have a contractual relationship with any third-party owners or operators, emphasizing that the electric account must continue to be between the customer and the EDC.</w:t>
      </w:r>
      <w:r>
        <w:rPr>
          <w:rStyle w:val="FootnoteReference"/>
          <w:sz w:val="26"/>
          <w:szCs w:val="26"/>
        </w:rPr>
        <w:footnoteReference w:id="27"/>
      </w:r>
      <w:r>
        <w:rPr>
          <w:sz w:val="26"/>
          <w:szCs w:val="26"/>
        </w:rPr>
        <w:t xml:space="preserve">  FirstEnergy comments that </w:t>
      </w:r>
      <w:r w:rsidR="005B3F47">
        <w:rPr>
          <w:sz w:val="26"/>
          <w:szCs w:val="26"/>
        </w:rPr>
        <w:t xml:space="preserve">the third-party should not be eligible to aggregate EDC customer accounts, </w:t>
      </w:r>
      <w:r w:rsidR="00171A85">
        <w:rPr>
          <w:sz w:val="26"/>
          <w:szCs w:val="26"/>
        </w:rPr>
        <w:t>assert</w:t>
      </w:r>
      <w:r w:rsidR="005B3F47">
        <w:rPr>
          <w:sz w:val="26"/>
          <w:szCs w:val="26"/>
        </w:rPr>
        <w:t xml:space="preserve">ing that only retail electric customers </w:t>
      </w:r>
      <w:r w:rsidR="005B3F47">
        <w:rPr>
          <w:sz w:val="26"/>
          <w:szCs w:val="26"/>
        </w:rPr>
        <w:lastRenderedPageBreak/>
        <w:t>be eligible to physically or virtually net meter accounts.</w:t>
      </w:r>
      <w:r w:rsidR="005B3F47">
        <w:rPr>
          <w:rStyle w:val="FootnoteReference"/>
          <w:sz w:val="26"/>
          <w:szCs w:val="26"/>
        </w:rPr>
        <w:footnoteReference w:id="28"/>
      </w:r>
      <w:r w:rsidR="005B3F47">
        <w:rPr>
          <w:sz w:val="26"/>
          <w:szCs w:val="26"/>
        </w:rPr>
        <w:t xml:space="preserve">  PECO </w:t>
      </w:r>
      <w:r w:rsidR="00640315">
        <w:rPr>
          <w:sz w:val="26"/>
          <w:szCs w:val="26"/>
        </w:rPr>
        <w:t>suggests</w:t>
      </w:r>
      <w:r w:rsidR="005B3F47">
        <w:rPr>
          <w:sz w:val="26"/>
          <w:szCs w:val="26"/>
        </w:rPr>
        <w:t xml:space="preserve"> that the third-party option should not be used to promote community energy aggregation, but to allow electricity generated by the third-party owned and operated alternative energy system to be sold only to a single customer.</w:t>
      </w:r>
      <w:r w:rsidR="005B3F47">
        <w:rPr>
          <w:rStyle w:val="FootnoteReference"/>
          <w:sz w:val="26"/>
          <w:szCs w:val="26"/>
        </w:rPr>
        <w:footnoteReference w:id="29"/>
      </w:r>
    </w:p>
    <w:p w:rsidR="000F2BBD" w:rsidRDefault="000F2BBD" w:rsidP="000F2BBD">
      <w:pPr>
        <w:overflowPunct w:val="0"/>
        <w:autoSpaceDE w:val="0"/>
        <w:autoSpaceDN w:val="0"/>
        <w:adjustRightInd w:val="0"/>
        <w:spacing w:line="360" w:lineRule="auto"/>
        <w:contextualSpacing/>
        <w:textAlignment w:val="baseline"/>
        <w:rPr>
          <w:b/>
          <w:sz w:val="26"/>
          <w:szCs w:val="26"/>
        </w:rPr>
      </w:pPr>
    </w:p>
    <w:p w:rsidR="00B865E4" w:rsidRPr="00B865E4" w:rsidRDefault="000F2BBD" w:rsidP="000F2BBD">
      <w:pPr>
        <w:overflowPunct w:val="0"/>
        <w:autoSpaceDE w:val="0"/>
        <w:autoSpaceDN w:val="0"/>
        <w:adjustRightInd w:val="0"/>
        <w:spacing w:line="360" w:lineRule="auto"/>
        <w:ind w:left="720" w:firstLine="720"/>
        <w:contextualSpacing/>
        <w:textAlignment w:val="baseline"/>
        <w:rPr>
          <w:b/>
          <w:sz w:val="26"/>
          <w:szCs w:val="26"/>
        </w:rPr>
      </w:pPr>
      <w:r>
        <w:rPr>
          <w:b/>
          <w:sz w:val="26"/>
          <w:szCs w:val="26"/>
        </w:rPr>
        <w:t>b.</w:t>
      </w:r>
      <w:r>
        <w:rPr>
          <w:b/>
          <w:sz w:val="26"/>
          <w:szCs w:val="26"/>
        </w:rPr>
        <w:tab/>
      </w:r>
      <w:r w:rsidR="00B865E4" w:rsidRPr="00B865E4">
        <w:rPr>
          <w:b/>
          <w:sz w:val="26"/>
          <w:szCs w:val="26"/>
        </w:rPr>
        <w:t>Disposition</w:t>
      </w:r>
    </w:p>
    <w:p w:rsidR="00B865E4" w:rsidRPr="00B865E4" w:rsidRDefault="00B865E4" w:rsidP="00B865E4">
      <w:pPr>
        <w:overflowPunct w:val="0"/>
        <w:autoSpaceDE w:val="0"/>
        <w:autoSpaceDN w:val="0"/>
        <w:adjustRightInd w:val="0"/>
        <w:spacing w:line="360" w:lineRule="auto"/>
        <w:textAlignment w:val="baseline"/>
        <w:rPr>
          <w:sz w:val="26"/>
          <w:szCs w:val="26"/>
        </w:rPr>
      </w:pPr>
    </w:p>
    <w:p w:rsidR="00B865E4" w:rsidRDefault="00586846" w:rsidP="00DF2777">
      <w:pPr>
        <w:overflowPunct w:val="0"/>
        <w:autoSpaceDE w:val="0"/>
        <w:autoSpaceDN w:val="0"/>
        <w:adjustRightInd w:val="0"/>
        <w:spacing w:line="360" w:lineRule="auto"/>
        <w:ind w:firstLine="720"/>
        <w:textAlignment w:val="baseline"/>
        <w:rPr>
          <w:sz w:val="26"/>
          <w:szCs w:val="26"/>
        </w:rPr>
      </w:pPr>
      <w:r>
        <w:rPr>
          <w:sz w:val="26"/>
          <w:szCs w:val="26"/>
        </w:rPr>
        <w:tab/>
      </w:r>
      <w:r w:rsidR="00B865E4" w:rsidRPr="00B865E4">
        <w:rPr>
          <w:sz w:val="26"/>
          <w:szCs w:val="26"/>
        </w:rPr>
        <w:t xml:space="preserve">The Commission agrees with </w:t>
      </w:r>
      <w:r w:rsidR="00B26ECB">
        <w:rPr>
          <w:sz w:val="26"/>
          <w:szCs w:val="26"/>
        </w:rPr>
        <w:t>PASEIA/MSEIA</w:t>
      </w:r>
      <w:r w:rsidR="00B865E4" w:rsidRPr="00B865E4">
        <w:rPr>
          <w:sz w:val="26"/>
          <w:szCs w:val="26"/>
        </w:rPr>
        <w:t xml:space="preserve"> and PennFuture that the 110% limitation should apply to the cumulative consumption of all meters that </w:t>
      </w:r>
      <w:r w:rsidR="000F2BBD">
        <w:rPr>
          <w:sz w:val="26"/>
          <w:szCs w:val="26"/>
        </w:rPr>
        <w:t xml:space="preserve">qualify for virtual </w:t>
      </w:r>
      <w:r w:rsidR="00640315">
        <w:rPr>
          <w:sz w:val="26"/>
          <w:szCs w:val="26"/>
        </w:rPr>
        <w:t xml:space="preserve">meter </w:t>
      </w:r>
      <w:r w:rsidR="000F2BBD">
        <w:rPr>
          <w:sz w:val="26"/>
          <w:szCs w:val="26"/>
        </w:rPr>
        <w:t>aggregation under the AEPS Act and the Commission’s regulations</w:t>
      </w:r>
      <w:r w:rsidR="00B865E4" w:rsidRPr="00B865E4">
        <w:rPr>
          <w:sz w:val="26"/>
          <w:szCs w:val="26"/>
        </w:rPr>
        <w:t xml:space="preserve">.  It is the Commission’s </w:t>
      </w:r>
      <w:r w:rsidR="005B3F47">
        <w:rPr>
          <w:sz w:val="26"/>
          <w:szCs w:val="26"/>
        </w:rPr>
        <w:t xml:space="preserve">belief </w:t>
      </w:r>
      <w:r w:rsidR="00B865E4" w:rsidRPr="00B865E4">
        <w:rPr>
          <w:sz w:val="26"/>
          <w:szCs w:val="26"/>
        </w:rPr>
        <w:t>that</w:t>
      </w:r>
      <w:r w:rsidR="005B3F47">
        <w:rPr>
          <w:sz w:val="26"/>
          <w:szCs w:val="26"/>
        </w:rPr>
        <w:t xml:space="preserve"> restricting third-party own</w:t>
      </w:r>
      <w:r w:rsidR="00254620">
        <w:rPr>
          <w:sz w:val="26"/>
          <w:szCs w:val="26"/>
        </w:rPr>
        <w:t>ed and operated systems as FirstEnergy suggests</w:t>
      </w:r>
      <w:r w:rsidR="00B865E4" w:rsidRPr="00B865E4">
        <w:rPr>
          <w:sz w:val="26"/>
          <w:szCs w:val="26"/>
        </w:rPr>
        <w:t xml:space="preserve"> would </w:t>
      </w:r>
      <w:r w:rsidR="00254620">
        <w:rPr>
          <w:sz w:val="26"/>
          <w:szCs w:val="26"/>
        </w:rPr>
        <w:t>unreasonably discriminate against customer-generators who would otherwise be eligible for virtual meter</w:t>
      </w:r>
      <w:r w:rsidR="00640315">
        <w:rPr>
          <w:sz w:val="26"/>
          <w:szCs w:val="26"/>
        </w:rPr>
        <w:t xml:space="preserve"> aggregation</w:t>
      </w:r>
      <w:r w:rsidR="00254620">
        <w:rPr>
          <w:sz w:val="26"/>
          <w:szCs w:val="26"/>
        </w:rPr>
        <w:t xml:space="preserve"> under the provisions of the AEPS Act</w:t>
      </w:r>
      <w:r w:rsidR="00254620">
        <w:rPr>
          <w:rStyle w:val="FootnoteReference"/>
          <w:sz w:val="26"/>
          <w:szCs w:val="26"/>
        </w:rPr>
        <w:footnoteReference w:id="30"/>
      </w:r>
      <w:r w:rsidR="00254620">
        <w:rPr>
          <w:sz w:val="26"/>
          <w:szCs w:val="26"/>
        </w:rPr>
        <w:t xml:space="preserve"> and the Commission’s regulations</w:t>
      </w:r>
      <w:r w:rsidR="00B865E4" w:rsidRPr="00B865E4">
        <w:rPr>
          <w:sz w:val="26"/>
          <w:szCs w:val="26"/>
        </w:rPr>
        <w:t>.</w:t>
      </w:r>
      <w:r w:rsidR="00254620">
        <w:rPr>
          <w:rStyle w:val="FootnoteReference"/>
          <w:sz w:val="26"/>
          <w:szCs w:val="26"/>
        </w:rPr>
        <w:footnoteReference w:id="31"/>
      </w:r>
      <w:r w:rsidR="00B865E4" w:rsidRPr="00B865E4">
        <w:rPr>
          <w:sz w:val="26"/>
          <w:szCs w:val="26"/>
        </w:rPr>
        <w:t xml:space="preserve">  As such, the Commission </w:t>
      </w:r>
      <w:r w:rsidR="00640315">
        <w:rPr>
          <w:sz w:val="26"/>
          <w:szCs w:val="26"/>
        </w:rPr>
        <w:t xml:space="preserve">adopts the policy </w:t>
      </w:r>
      <w:r w:rsidR="00B865E4" w:rsidRPr="00B865E4">
        <w:rPr>
          <w:sz w:val="26"/>
          <w:szCs w:val="26"/>
        </w:rPr>
        <w:t xml:space="preserve">that the 110% limitation as a design criterion </w:t>
      </w:r>
      <w:r w:rsidR="00640315">
        <w:rPr>
          <w:sz w:val="26"/>
          <w:szCs w:val="26"/>
        </w:rPr>
        <w:t>of</w:t>
      </w:r>
      <w:r w:rsidR="00B865E4" w:rsidRPr="00B865E4">
        <w:rPr>
          <w:sz w:val="26"/>
          <w:szCs w:val="26"/>
        </w:rPr>
        <w:t xml:space="preserve"> third</w:t>
      </w:r>
      <w:r w:rsidR="00254620">
        <w:rPr>
          <w:sz w:val="26"/>
          <w:szCs w:val="26"/>
        </w:rPr>
        <w:t>-</w:t>
      </w:r>
      <w:r w:rsidR="00B865E4" w:rsidRPr="00B865E4">
        <w:rPr>
          <w:sz w:val="26"/>
          <w:szCs w:val="26"/>
        </w:rPr>
        <w:t xml:space="preserve">party </w:t>
      </w:r>
      <w:r w:rsidR="00254620">
        <w:rPr>
          <w:sz w:val="26"/>
          <w:szCs w:val="26"/>
        </w:rPr>
        <w:t>owned and operated alternative energy systems</w:t>
      </w:r>
      <w:r w:rsidR="00B865E4" w:rsidRPr="00B865E4">
        <w:rPr>
          <w:sz w:val="26"/>
          <w:szCs w:val="26"/>
        </w:rPr>
        <w:t xml:space="preserve"> </w:t>
      </w:r>
      <w:r w:rsidR="00254620">
        <w:rPr>
          <w:sz w:val="26"/>
          <w:szCs w:val="26"/>
        </w:rPr>
        <w:t>shall</w:t>
      </w:r>
      <w:r w:rsidR="00B865E4" w:rsidRPr="00B865E4">
        <w:rPr>
          <w:sz w:val="26"/>
          <w:szCs w:val="26"/>
        </w:rPr>
        <w:t xml:space="preserve"> apply to the cumulative consumption of all meters that </w:t>
      </w:r>
      <w:r w:rsidR="00254620">
        <w:rPr>
          <w:sz w:val="26"/>
          <w:szCs w:val="26"/>
        </w:rPr>
        <w:t xml:space="preserve">are eligible for virtual </w:t>
      </w:r>
      <w:r w:rsidR="00487906">
        <w:rPr>
          <w:sz w:val="26"/>
          <w:szCs w:val="26"/>
        </w:rPr>
        <w:t>meter aggregation in accordance with the AEPS Act and the Commission’s regulations</w:t>
      </w:r>
      <w:r w:rsidR="00B865E4" w:rsidRPr="00B865E4">
        <w:rPr>
          <w:sz w:val="26"/>
          <w:szCs w:val="26"/>
        </w:rPr>
        <w:t xml:space="preserve">.  </w:t>
      </w:r>
    </w:p>
    <w:p w:rsidR="00487906" w:rsidRDefault="00487906" w:rsidP="00B865E4">
      <w:pPr>
        <w:overflowPunct w:val="0"/>
        <w:autoSpaceDE w:val="0"/>
        <w:autoSpaceDN w:val="0"/>
        <w:adjustRightInd w:val="0"/>
        <w:spacing w:line="360" w:lineRule="auto"/>
        <w:ind w:firstLine="720"/>
        <w:textAlignment w:val="baseline"/>
        <w:rPr>
          <w:sz w:val="26"/>
          <w:szCs w:val="26"/>
        </w:rPr>
      </w:pPr>
    </w:p>
    <w:p w:rsidR="00487906" w:rsidRPr="00B865E4" w:rsidRDefault="00487906" w:rsidP="00DF2777">
      <w:pPr>
        <w:overflowPunct w:val="0"/>
        <w:autoSpaceDE w:val="0"/>
        <w:autoSpaceDN w:val="0"/>
        <w:adjustRightInd w:val="0"/>
        <w:spacing w:line="360" w:lineRule="auto"/>
        <w:ind w:firstLine="720"/>
        <w:textAlignment w:val="baseline"/>
        <w:rPr>
          <w:sz w:val="26"/>
          <w:szCs w:val="26"/>
        </w:rPr>
      </w:pPr>
      <w:r>
        <w:rPr>
          <w:sz w:val="26"/>
          <w:szCs w:val="26"/>
        </w:rPr>
        <w:t xml:space="preserve">The Commission, however, does agree with Duquesne, FirstEnergy and PECO, that this policy </w:t>
      </w:r>
      <w:r w:rsidR="009C638F">
        <w:rPr>
          <w:sz w:val="26"/>
          <w:szCs w:val="26"/>
        </w:rPr>
        <w:t>should not be interpreted as</w:t>
      </w:r>
      <w:r>
        <w:rPr>
          <w:sz w:val="26"/>
          <w:szCs w:val="26"/>
        </w:rPr>
        <w:t xml:space="preserve"> creat</w:t>
      </w:r>
      <w:r w:rsidR="009C638F">
        <w:rPr>
          <w:sz w:val="26"/>
          <w:szCs w:val="26"/>
        </w:rPr>
        <w:t>ing</w:t>
      </w:r>
      <w:r>
        <w:rPr>
          <w:sz w:val="26"/>
          <w:szCs w:val="26"/>
        </w:rPr>
        <w:t xml:space="preserve"> a contractual relationship between the EDC and </w:t>
      </w:r>
      <w:r w:rsidR="00D86D6B">
        <w:rPr>
          <w:sz w:val="26"/>
          <w:szCs w:val="26"/>
        </w:rPr>
        <w:t>a</w:t>
      </w:r>
      <w:r>
        <w:rPr>
          <w:sz w:val="26"/>
          <w:szCs w:val="26"/>
        </w:rPr>
        <w:t xml:space="preserve"> third-party owner </w:t>
      </w:r>
      <w:r w:rsidR="00D86D6B">
        <w:rPr>
          <w:sz w:val="26"/>
          <w:szCs w:val="26"/>
        </w:rPr>
        <w:t>or</w:t>
      </w:r>
      <w:r>
        <w:rPr>
          <w:sz w:val="26"/>
          <w:szCs w:val="26"/>
        </w:rPr>
        <w:t xml:space="preserve"> operator</w:t>
      </w:r>
      <w:r w:rsidR="009C638F">
        <w:rPr>
          <w:sz w:val="26"/>
          <w:szCs w:val="26"/>
        </w:rPr>
        <w:t xml:space="preserve"> of an alternative energy system placed on property owned or leased and operated by a customer-generator</w:t>
      </w:r>
      <w:r>
        <w:rPr>
          <w:sz w:val="26"/>
          <w:szCs w:val="26"/>
        </w:rPr>
        <w:t xml:space="preserve">.  </w:t>
      </w:r>
      <w:r w:rsidR="00402F98">
        <w:rPr>
          <w:sz w:val="26"/>
          <w:szCs w:val="26"/>
        </w:rPr>
        <w:t xml:space="preserve">Any contractual relations in such a scenario </w:t>
      </w:r>
      <w:r w:rsidR="009C638F">
        <w:rPr>
          <w:sz w:val="26"/>
          <w:szCs w:val="26"/>
        </w:rPr>
        <w:t>remain</w:t>
      </w:r>
      <w:r w:rsidR="00402F98">
        <w:rPr>
          <w:sz w:val="26"/>
          <w:szCs w:val="26"/>
        </w:rPr>
        <w:t xml:space="preserve"> between the EDC and the</w:t>
      </w:r>
      <w:r>
        <w:rPr>
          <w:sz w:val="26"/>
          <w:szCs w:val="26"/>
        </w:rPr>
        <w:t xml:space="preserve"> retail electric customer</w:t>
      </w:r>
      <w:r w:rsidR="00402F98">
        <w:rPr>
          <w:sz w:val="26"/>
          <w:szCs w:val="26"/>
        </w:rPr>
        <w:t xml:space="preserve">, who </w:t>
      </w:r>
      <w:r>
        <w:rPr>
          <w:sz w:val="26"/>
          <w:szCs w:val="26"/>
        </w:rPr>
        <w:t xml:space="preserve">is responsible for complying with all applicable EDC tariff provisions and Commission regulations.  Furthermore, this policy does not in any way expand the virtual meter </w:t>
      </w:r>
      <w:r>
        <w:rPr>
          <w:sz w:val="26"/>
          <w:szCs w:val="26"/>
        </w:rPr>
        <w:lastRenderedPageBreak/>
        <w:t xml:space="preserve">aggregation provisions of the AEPS Act and Commission </w:t>
      </w:r>
      <w:r w:rsidR="00DF2777">
        <w:rPr>
          <w:sz w:val="26"/>
          <w:szCs w:val="26"/>
        </w:rPr>
        <w:t>r</w:t>
      </w:r>
      <w:r>
        <w:rPr>
          <w:sz w:val="26"/>
          <w:szCs w:val="26"/>
        </w:rPr>
        <w:t>egulations to include community aggregation.</w:t>
      </w:r>
      <w:r w:rsidR="00C574CC">
        <w:rPr>
          <w:sz w:val="26"/>
          <w:szCs w:val="26"/>
        </w:rPr>
        <w:t xml:space="preserve">  This policy </w:t>
      </w:r>
      <w:r w:rsidR="00402F98">
        <w:rPr>
          <w:sz w:val="26"/>
          <w:szCs w:val="26"/>
        </w:rPr>
        <w:t>simply</w:t>
      </w:r>
      <w:r w:rsidR="00C574CC">
        <w:rPr>
          <w:sz w:val="26"/>
          <w:szCs w:val="26"/>
        </w:rPr>
        <w:t xml:space="preserve"> permits customer-generators who chose to contract with a third-party to own and operate an alternative energy system located on property owned or leased and operated by that customer-generator to virtual net meter in the same manner as if that customer-generator owned or operated the alternative energy system.</w:t>
      </w:r>
    </w:p>
    <w:p w:rsidR="00C574CC" w:rsidRDefault="00C574CC" w:rsidP="00C574CC">
      <w:pPr>
        <w:overflowPunct w:val="0"/>
        <w:autoSpaceDE w:val="0"/>
        <w:autoSpaceDN w:val="0"/>
        <w:adjustRightInd w:val="0"/>
        <w:spacing w:line="360" w:lineRule="auto"/>
        <w:contextualSpacing/>
        <w:textAlignment w:val="baseline"/>
        <w:rPr>
          <w:sz w:val="26"/>
          <w:szCs w:val="26"/>
        </w:rPr>
      </w:pPr>
    </w:p>
    <w:p w:rsidR="00B865E4" w:rsidRPr="00B865E4" w:rsidRDefault="00C574CC" w:rsidP="00C574CC">
      <w:pPr>
        <w:overflowPunct w:val="0"/>
        <w:autoSpaceDE w:val="0"/>
        <w:autoSpaceDN w:val="0"/>
        <w:adjustRightInd w:val="0"/>
        <w:spacing w:line="360" w:lineRule="auto"/>
        <w:ind w:firstLine="720"/>
        <w:contextualSpacing/>
        <w:textAlignment w:val="baseline"/>
        <w:rPr>
          <w:b/>
          <w:sz w:val="26"/>
          <w:szCs w:val="26"/>
        </w:rPr>
      </w:pPr>
      <w:r>
        <w:rPr>
          <w:sz w:val="26"/>
          <w:szCs w:val="26"/>
        </w:rPr>
        <w:t>4.</w:t>
      </w:r>
      <w:r>
        <w:rPr>
          <w:sz w:val="26"/>
          <w:szCs w:val="26"/>
        </w:rPr>
        <w:tab/>
      </w:r>
      <w:r w:rsidR="00B865E4" w:rsidRPr="00B865E4">
        <w:rPr>
          <w:b/>
          <w:sz w:val="26"/>
          <w:szCs w:val="26"/>
        </w:rPr>
        <w:t xml:space="preserve">New Construction </w:t>
      </w:r>
    </w:p>
    <w:p w:rsidR="00B865E4" w:rsidRPr="00B865E4" w:rsidRDefault="00B865E4" w:rsidP="00B865E4">
      <w:pPr>
        <w:overflowPunct w:val="0"/>
        <w:autoSpaceDE w:val="0"/>
        <w:autoSpaceDN w:val="0"/>
        <w:adjustRightInd w:val="0"/>
        <w:spacing w:line="360" w:lineRule="auto"/>
        <w:textAlignment w:val="baseline"/>
        <w:rPr>
          <w:b/>
          <w:sz w:val="26"/>
          <w:szCs w:val="26"/>
        </w:rPr>
      </w:pPr>
    </w:p>
    <w:p w:rsidR="00B865E4" w:rsidRPr="00B865E4" w:rsidRDefault="0026286E" w:rsidP="00DF2777">
      <w:pPr>
        <w:overflowPunct w:val="0"/>
        <w:autoSpaceDE w:val="0"/>
        <w:autoSpaceDN w:val="0"/>
        <w:adjustRightInd w:val="0"/>
        <w:spacing w:line="360" w:lineRule="auto"/>
        <w:ind w:firstLine="720"/>
        <w:textAlignment w:val="baseline"/>
        <w:rPr>
          <w:sz w:val="26"/>
          <w:szCs w:val="26"/>
        </w:rPr>
      </w:pPr>
      <w:r>
        <w:rPr>
          <w:sz w:val="26"/>
          <w:szCs w:val="26"/>
        </w:rPr>
        <w:t xml:space="preserve">In the </w:t>
      </w:r>
      <w:r w:rsidR="00B865E4" w:rsidRPr="00C574CC">
        <w:rPr>
          <w:i/>
          <w:sz w:val="26"/>
          <w:szCs w:val="26"/>
        </w:rPr>
        <w:t>Tentative Order</w:t>
      </w:r>
      <w:r w:rsidR="00B865E4" w:rsidRPr="00B865E4">
        <w:rPr>
          <w:sz w:val="26"/>
          <w:szCs w:val="26"/>
        </w:rPr>
        <w:t xml:space="preserve"> </w:t>
      </w:r>
      <w:r w:rsidR="00C574CC">
        <w:rPr>
          <w:sz w:val="26"/>
          <w:szCs w:val="26"/>
        </w:rPr>
        <w:t xml:space="preserve">we proposed </w:t>
      </w:r>
      <w:r w:rsidR="00B865E4" w:rsidRPr="00B865E4">
        <w:rPr>
          <w:sz w:val="26"/>
          <w:szCs w:val="26"/>
        </w:rPr>
        <w:t xml:space="preserve">that the 110% limitation be </w:t>
      </w:r>
      <w:r w:rsidR="00C574CC">
        <w:rPr>
          <w:sz w:val="26"/>
          <w:szCs w:val="26"/>
        </w:rPr>
        <w:t>based on</w:t>
      </w:r>
      <w:r w:rsidR="00B865E4" w:rsidRPr="00B865E4">
        <w:rPr>
          <w:sz w:val="26"/>
          <w:szCs w:val="26"/>
        </w:rPr>
        <w:t xml:space="preserve"> the customer-generator’s total electric usage </w:t>
      </w:r>
      <w:r w:rsidR="00402F98">
        <w:rPr>
          <w:sz w:val="26"/>
          <w:szCs w:val="26"/>
        </w:rPr>
        <w:t>during</w:t>
      </w:r>
      <w:r w:rsidR="00B865E4" w:rsidRPr="00B865E4">
        <w:rPr>
          <w:sz w:val="26"/>
          <w:szCs w:val="26"/>
        </w:rPr>
        <w:t xml:space="preserve"> the 12 full months immediately preceding submission of the interconnection application.  </w:t>
      </w:r>
    </w:p>
    <w:p w:rsidR="00B865E4" w:rsidRPr="00B865E4" w:rsidRDefault="00B865E4" w:rsidP="00B865E4">
      <w:pPr>
        <w:overflowPunct w:val="0"/>
        <w:autoSpaceDE w:val="0"/>
        <w:autoSpaceDN w:val="0"/>
        <w:adjustRightInd w:val="0"/>
        <w:spacing w:line="360" w:lineRule="auto"/>
        <w:textAlignment w:val="baseline"/>
        <w:rPr>
          <w:b/>
          <w:sz w:val="26"/>
          <w:szCs w:val="26"/>
        </w:rPr>
      </w:pPr>
    </w:p>
    <w:p w:rsidR="00B865E4" w:rsidRPr="00B865E4" w:rsidRDefault="00C574CC" w:rsidP="00C574CC">
      <w:pPr>
        <w:overflowPunct w:val="0"/>
        <w:autoSpaceDE w:val="0"/>
        <w:autoSpaceDN w:val="0"/>
        <w:adjustRightInd w:val="0"/>
        <w:spacing w:line="360" w:lineRule="auto"/>
        <w:ind w:left="720" w:firstLine="720"/>
        <w:contextualSpacing/>
        <w:textAlignment w:val="baseline"/>
        <w:rPr>
          <w:b/>
          <w:sz w:val="26"/>
          <w:szCs w:val="26"/>
        </w:rPr>
      </w:pPr>
      <w:r>
        <w:rPr>
          <w:b/>
          <w:sz w:val="26"/>
          <w:szCs w:val="26"/>
        </w:rPr>
        <w:t>a.</w:t>
      </w:r>
      <w:r>
        <w:rPr>
          <w:b/>
          <w:sz w:val="26"/>
          <w:szCs w:val="26"/>
        </w:rPr>
        <w:tab/>
      </w:r>
      <w:r w:rsidR="00B865E4" w:rsidRPr="00B865E4">
        <w:rPr>
          <w:b/>
          <w:sz w:val="26"/>
          <w:szCs w:val="26"/>
        </w:rPr>
        <w:t>Comments</w:t>
      </w:r>
    </w:p>
    <w:p w:rsidR="00B865E4" w:rsidRPr="00B865E4" w:rsidRDefault="00B865E4" w:rsidP="00B865E4">
      <w:pPr>
        <w:overflowPunct w:val="0"/>
        <w:autoSpaceDE w:val="0"/>
        <w:autoSpaceDN w:val="0"/>
        <w:adjustRightInd w:val="0"/>
        <w:spacing w:line="360" w:lineRule="auto"/>
        <w:textAlignment w:val="baseline"/>
        <w:rPr>
          <w:sz w:val="26"/>
          <w:szCs w:val="26"/>
        </w:rPr>
      </w:pPr>
    </w:p>
    <w:p w:rsidR="00B865E4" w:rsidRDefault="00DF2777" w:rsidP="00DF2777">
      <w:pPr>
        <w:overflowPunct w:val="0"/>
        <w:autoSpaceDE w:val="0"/>
        <w:autoSpaceDN w:val="0"/>
        <w:adjustRightInd w:val="0"/>
        <w:spacing w:line="360" w:lineRule="auto"/>
        <w:ind w:firstLine="720"/>
        <w:textAlignment w:val="baseline"/>
        <w:rPr>
          <w:sz w:val="26"/>
          <w:szCs w:val="26"/>
        </w:rPr>
      </w:pPr>
      <w:r>
        <w:rPr>
          <w:sz w:val="26"/>
          <w:szCs w:val="26"/>
        </w:rPr>
        <w:tab/>
      </w:r>
      <w:r w:rsidR="00982B62">
        <w:rPr>
          <w:sz w:val="26"/>
          <w:szCs w:val="26"/>
        </w:rPr>
        <w:t xml:space="preserve">Several </w:t>
      </w:r>
      <w:r w:rsidR="009C638F">
        <w:rPr>
          <w:sz w:val="26"/>
          <w:szCs w:val="26"/>
        </w:rPr>
        <w:t>commenter</w:t>
      </w:r>
      <w:r w:rsidR="00B865E4" w:rsidRPr="00B865E4">
        <w:rPr>
          <w:sz w:val="26"/>
          <w:szCs w:val="26"/>
        </w:rPr>
        <w:t xml:space="preserve">s </w:t>
      </w:r>
      <w:r w:rsidR="00982B62">
        <w:rPr>
          <w:sz w:val="26"/>
          <w:szCs w:val="26"/>
        </w:rPr>
        <w:t xml:space="preserve">request that the Commission provide guidance on how </w:t>
      </w:r>
      <w:r w:rsidR="00B865E4" w:rsidRPr="00B865E4">
        <w:rPr>
          <w:sz w:val="26"/>
          <w:szCs w:val="26"/>
        </w:rPr>
        <w:t xml:space="preserve">the 110% limitation </w:t>
      </w:r>
      <w:r w:rsidR="00982B62">
        <w:rPr>
          <w:sz w:val="26"/>
          <w:szCs w:val="26"/>
        </w:rPr>
        <w:t xml:space="preserve">is to be determined </w:t>
      </w:r>
      <w:r w:rsidR="00B865E4" w:rsidRPr="00B865E4">
        <w:rPr>
          <w:sz w:val="26"/>
          <w:szCs w:val="26"/>
        </w:rPr>
        <w:t>for new</w:t>
      </w:r>
      <w:r w:rsidR="00982B62">
        <w:rPr>
          <w:sz w:val="26"/>
          <w:szCs w:val="26"/>
        </w:rPr>
        <w:t>ly constructed buildings or where the retail customer does not have a full 12 months of historical usage</w:t>
      </w:r>
      <w:r w:rsidR="00B865E4" w:rsidRPr="00B865E4">
        <w:rPr>
          <w:sz w:val="26"/>
          <w:szCs w:val="26"/>
        </w:rPr>
        <w:t>.</w:t>
      </w:r>
      <w:r w:rsidR="00982B62">
        <w:rPr>
          <w:rStyle w:val="FootnoteReference"/>
          <w:sz w:val="26"/>
          <w:szCs w:val="26"/>
        </w:rPr>
        <w:footnoteReference w:id="32"/>
      </w:r>
      <w:r w:rsidR="00B865E4" w:rsidRPr="00B865E4">
        <w:rPr>
          <w:sz w:val="26"/>
          <w:szCs w:val="26"/>
        </w:rPr>
        <w:t xml:space="preserve">    </w:t>
      </w:r>
      <w:r w:rsidR="00982B62">
        <w:rPr>
          <w:sz w:val="26"/>
          <w:szCs w:val="26"/>
        </w:rPr>
        <w:t xml:space="preserve">Some </w:t>
      </w:r>
      <w:r w:rsidR="009C638F">
        <w:rPr>
          <w:sz w:val="26"/>
          <w:szCs w:val="26"/>
        </w:rPr>
        <w:t xml:space="preserve">of these </w:t>
      </w:r>
      <w:r w:rsidR="00982B62">
        <w:rPr>
          <w:sz w:val="26"/>
          <w:szCs w:val="26"/>
        </w:rPr>
        <w:t>commenters suggest</w:t>
      </w:r>
      <w:r w:rsidR="00982B62" w:rsidRPr="00B865E4">
        <w:rPr>
          <w:sz w:val="26"/>
          <w:szCs w:val="26"/>
        </w:rPr>
        <w:t xml:space="preserve"> that the developer </w:t>
      </w:r>
      <w:r w:rsidR="009C638F">
        <w:rPr>
          <w:sz w:val="26"/>
          <w:szCs w:val="26"/>
        </w:rPr>
        <w:t>be permitted to</w:t>
      </w:r>
      <w:r w:rsidR="00982B62" w:rsidRPr="00B865E4">
        <w:rPr>
          <w:sz w:val="26"/>
          <w:szCs w:val="26"/>
        </w:rPr>
        <w:t xml:space="preserve"> use the square footage</w:t>
      </w:r>
      <w:r w:rsidR="00295A26">
        <w:rPr>
          <w:sz w:val="26"/>
          <w:szCs w:val="26"/>
        </w:rPr>
        <w:t>, usage patterns and number of occupants</w:t>
      </w:r>
      <w:r w:rsidR="00982B62" w:rsidRPr="00B865E4">
        <w:rPr>
          <w:sz w:val="26"/>
          <w:szCs w:val="26"/>
        </w:rPr>
        <w:t xml:space="preserve"> </w:t>
      </w:r>
      <w:r w:rsidR="00295A26">
        <w:rPr>
          <w:sz w:val="26"/>
          <w:szCs w:val="26"/>
        </w:rPr>
        <w:t>for</w:t>
      </w:r>
      <w:r w:rsidR="00982B62" w:rsidRPr="00B865E4">
        <w:rPr>
          <w:sz w:val="26"/>
          <w:szCs w:val="26"/>
        </w:rPr>
        <w:t xml:space="preserve"> the new building to determine that building’s estimated consumption.</w:t>
      </w:r>
      <w:r w:rsidR="00982B62">
        <w:rPr>
          <w:rStyle w:val="FootnoteReference"/>
          <w:sz w:val="26"/>
          <w:szCs w:val="26"/>
        </w:rPr>
        <w:footnoteReference w:id="33"/>
      </w:r>
      <w:r w:rsidR="00982B62">
        <w:rPr>
          <w:sz w:val="26"/>
          <w:szCs w:val="26"/>
        </w:rPr>
        <w:t xml:space="preserve">  </w:t>
      </w:r>
      <w:r w:rsidR="00982B62" w:rsidRPr="00B865E4">
        <w:rPr>
          <w:sz w:val="26"/>
          <w:szCs w:val="26"/>
        </w:rPr>
        <w:t xml:space="preserve">Other </w:t>
      </w:r>
      <w:r w:rsidR="00982B62">
        <w:rPr>
          <w:sz w:val="26"/>
          <w:szCs w:val="26"/>
        </w:rPr>
        <w:t xml:space="preserve">commenters </w:t>
      </w:r>
      <w:r w:rsidR="00982B62" w:rsidRPr="00B865E4">
        <w:rPr>
          <w:sz w:val="26"/>
          <w:szCs w:val="26"/>
        </w:rPr>
        <w:t xml:space="preserve">recommend </w:t>
      </w:r>
      <w:r w:rsidR="00982B62">
        <w:rPr>
          <w:sz w:val="26"/>
          <w:szCs w:val="26"/>
        </w:rPr>
        <w:t>using the usage patterns of similarly situated neighboring buildings to</w:t>
      </w:r>
      <w:r w:rsidR="00982B62" w:rsidRPr="00B865E4">
        <w:rPr>
          <w:sz w:val="26"/>
          <w:szCs w:val="26"/>
        </w:rPr>
        <w:t xml:space="preserve"> determ</w:t>
      </w:r>
      <w:r w:rsidR="00982B62">
        <w:rPr>
          <w:sz w:val="26"/>
          <w:szCs w:val="26"/>
        </w:rPr>
        <w:t>ine</w:t>
      </w:r>
      <w:r w:rsidR="00982B62" w:rsidRPr="00B865E4">
        <w:rPr>
          <w:sz w:val="26"/>
          <w:szCs w:val="26"/>
        </w:rPr>
        <w:t xml:space="preserve"> an estimate of consumption.</w:t>
      </w:r>
      <w:r w:rsidR="00982B62">
        <w:rPr>
          <w:rStyle w:val="FootnoteReference"/>
          <w:sz w:val="26"/>
          <w:szCs w:val="26"/>
        </w:rPr>
        <w:footnoteReference w:id="34"/>
      </w:r>
      <w:r w:rsidR="00982B62">
        <w:rPr>
          <w:sz w:val="26"/>
          <w:szCs w:val="26"/>
        </w:rPr>
        <w:t xml:space="preserve">  </w:t>
      </w:r>
      <w:r w:rsidR="005F3C25">
        <w:rPr>
          <w:sz w:val="26"/>
          <w:szCs w:val="26"/>
        </w:rPr>
        <w:t xml:space="preserve">FirstEnergy and PECO </w:t>
      </w:r>
      <w:r w:rsidR="00982B62">
        <w:rPr>
          <w:sz w:val="26"/>
          <w:szCs w:val="26"/>
        </w:rPr>
        <w:t>suggest that</w:t>
      </w:r>
      <w:r w:rsidR="00982B62" w:rsidRPr="00B865E4">
        <w:rPr>
          <w:sz w:val="26"/>
          <w:szCs w:val="26"/>
        </w:rPr>
        <w:t xml:space="preserve"> </w:t>
      </w:r>
      <w:r w:rsidR="00982B62">
        <w:rPr>
          <w:sz w:val="26"/>
          <w:szCs w:val="26"/>
        </w:rPr>
        <w:t>t</w:t>
      </w:r>
      <w:r w:rsidR="00982B62" w:rsidRPr="00B865E4">
        <w:rPr>
          <w:sz w:val="26"/>
          <w:szCs w:val="26"/>
        </w:rPr>
        <w:t xml:space="preserve">he estimate be calculated by the customer/installer and provided to the EDC </w:t>
      </w:r>
      <w:r w:rsidR="005F3C25">
        <w:rPr>
          <w:sz w:val="26"/>
          <w:szCs w:val="26"/>
        </w:rPr>
        <w:t>for</w:t>
      </w:r>
      <w:r w:rsidR="00982B62" w:rsidRPr="00B865E4">
        <w:rPr>
          <w:sz w:val="26"/>
          <w:szCs w:val="26"/>
        </w:rPr>
        <w:t xml:space="preserve"> review </w:t>
      </w:r>
      <w:r w:rsidR="005F3C25">
        <w:rPr>
          <w:sz w:val="26"/>
          <w:szCs w:val="26"/>
        </w:rPr>
        <w:t>during the interconnection application process.</w:t>
      </w:r>
      <w:r w:rsidR="005F3C25">
        <w:rPr>
          <w:rStyle w:val="FootnoteReference"/>
          <w:sz w:val="26"/>
          <w:szCs w:val="26"/>
        </w:rPr>
        <w:footnoteReference w:id="35"/>
      </w:r>
      <w:r w:rsidR="005F3C25">
        <w:rPr>
          <w:sz w:val="26"/>
          <w:szCs w:val="26"/>
        </w:rPr>
        <w:t xml:space="preserve">  </w:t>
      </w:r>
      <w:r w:rsidR="00B26ECB">
        <w:rPr>
          <w:sz w:val="26"/>
          <w:szCs w:val="26"/>
        </w:rPr>
        <w:lastRenderedPageBreak/>
        <w:t>PASEIA/MSEIA</w:t>
      </w:r>
      <w:r w:rsidR="00B865E4" w:rsidRPr="00B865E4">
        <w:rPr>
          <w:sz w:val="26"/>
          <w:szCs w:val="26"/>
        </w:rPr>
        <w:t xml:space="preserve"> suggest that the issue be referred to the Solar Working Group Net Metering Committee for discussion and </w:t>
      </w:r>
      <w:r w:rsidR="005F3C25">
        <w:rPr>
          <w:sz w:val="26"/>
          <w:szCs w:val="26"/>
        </w:rPr>
        <w:t xml:space="preserve">development </w:t>
      </w:r>
      <w:r w:rsidR="00B865E4" w:rsidRPr="00B865E4">
        <w:rPr>
          <w:sz w:val="26"/>
          <w:szCs w:val="26"/>
        </w:rPr>
        <w:t>of recommendations.</w:t>
      </w:r>
      <w:r w:rsidR="005F3C25">
        <w:rPr>
          <w:rStyle w:val="FootnoteReference"/>
          <w:sz w:val="26"/>
          <w:szCs w:val="26"/>
        </w:rPr>
        <w:footnoteReference w:id="36"/>
      </w:r>
    </w:p>
    <w:p w:rsidR="009C638F" w:rsidRDefault="009C638F" w:rsidP="005F3C25">
      <w:pPr>
        <w:overflowPunct w:val="0"/>
        <w:autoSpaceDE w:val="0"/>
        <w:autoSpaceDN w:val="0"/>
        <w:adjustRightInd w:val="0"/>
        <w:spacing w:line="360" w:lineRule="auto"/>
        <w:ind w:firstLine="1440"/>
        <w:textAlignment w:val="baseline"/>
        <w:rPr>
          <w:sz w:val="26"/>
          <w:szCs w:val="26"/>
        </w:rPr>
      </w:pPr>
    </w:p>
    <w:p w:rsidR="002D03F5" w:rsidRPr="00B865E4" w:rsidRDefault="002D03F5" w:rsidP="00DF2777">
      <w:pPr>
        <w:overflowPunct w:val="0"/>
        <w:autoSpaceDE w:val="0"/>
        <w:autoSpaceDN w:val="0"/>
        <w:adjustRightInd w:val="0"/>
        <w:spacing w:line="360" w:lineRule="auto"/>
        <w:ind w:firstLine="720"/>
        <w:textAlignment w:val="baseline"/>
        <w:rPr>
          <w:sz w:val="26"/>
          <w:szCs w:val="26"/>
        </w:rPr>
      </w:pPr>
      <w:r>
        <w:rPr>
          <w:sz w:val="26"/>
          <w:szCs w:val="26"/>
        </w:rPr>
        <w:t xml:space="preserve">EAP and PECO also suggest that customer-generators with existing alternative energy systems seeking to expand the size of their systems </w:t>
      </w:r>
      <w:r w:rsidR="00295A26">
        <w:rPr>
          <w:sz w:val="26"/>
          <w:szCs w:val="26"/>
        </w:rPr>
        <w:t>be required to</w:t>
      </w:r>
      <w:r>
        <w:rPr>
          <w:sz w:val="26"/>
          <w:szCs w:val="26"/>
        </w:rPr>
        <w:t xml:space="preserve"> amend their application and provide data showing an increased usage in the immediately preceding 12 month period to show </w:t>
      </w:r>
      <w:r w:rsidR="00402F98">
        <w:rPr>
          <w:sz w:val="26"/>
          <w:szCs w:val="26"/>
        </w:rPr>
        <w:t>compliance</w:t>
      </w:r>
      <w:r>
        <w:rPr>
          <w:sz w:val="26"/>
          <w:szCs w:val="26"/>
        </w:rPr>
        <w:t xml:space="preserve"> with the 110% limit.</w:t>
      </w:r>
      <w:r>
        <w:rPr>
          <w:rStyle w:val="FootnoteReference"/>
          <w:sz w:val="26"/>
          <w:szCs w:val="26"/>
        </w:rPr>
        <w:footnoteReference w:id="37"/>
      </w:r>
    </w:p>
    <w:p w:rsidR="00B865E4" w:rsidRPr="00B865E4" w:rsidRDefault="00B865E4" w:rsidP="00B865E4">
      <w:pPr>
        <w:overflowPunct w:val="0"/>
        <w:autoSpaceDE w:val="0"/>
        <w:autoSpaceDN w:val="0"/>
        <w:adjustRightInd w:val="0"/>
        <w:spacing w:line="360" w:lineRule="auto"/>
        <w:ind w:left="1440"/>
        <w:contextualSpacing/>
        <w:textAlignment w:val="baseline"/>
        <w:rPr>
          <w:b/>
          <w:sz w:val="26"/>
          <w:szCs w:val="26"/>
        </w:rPr>
      </w:pPr>
    </w:p>
    <w:p w:rsidR="00B865E4" w:rsidRPr="00B865E4" w:rsidRDefault="005F3C25" w:rsidP="005F3C25">
      <w:pPr>
        <w:overflowPunct w:val="0"/>
        <w:autoSpaceDE w:val="0"/>
        <w:autoSpaceDN w:val="0"/>
        <w:adjustRightInd w:val="0"/>
        <w:spacing w:line="360" w:lineRule="auto"/>
        <w:ind w:left="720" w:firstLine="720"/>
        <w:contextualSpacing/>
        <w:textAlignment w:val="baseline"/>
        <w:rPr>
          <w:b/>
          <w:sz w:val="26"/>
          <w:szCs w:val="26"/>
        </w:rPr>
      </w:pPr>
      <w:r>
        <w:rPr>
          <w:b/>
          <w:sz w:val="26"/>
          <w:szCs w:val="26"/>
        </w:rPr>
        <w:t>b.</w:t>
      </w:r>
      <w:r>
        <w:rPr>
          <w:b/>
          <w:sz w:val="26"/>
          <w:szCs w:val="26"/>
        </w:rPr>
        <w:tab/>
      </w:r>
      <w:r w:rsidR="00B865E4" w:rsidRPr="00B865E4">
        <w:rPr>
          <w:b/>
          <w:sz w:val="26"/>
          <w:szCs w:val="26"/>
        </w:rPr>
        <w:t>Disposition</w:t>
      </w:r>
    </w:p>
    <w:p w:rsidR="00B865E4" w:rsidRPr="00B865E4" w:rsidRDefault="00B865E4" w:rsidP="00B865E4">
      <w:pPr>
        <w:overflowPunct w:val="0"/>
        <w:autoSpaceDE w:val="0"/>
        <w:autoSpaceDN w:val="0"/>
        <w:adjustRightInd w:val="0"/>
        <w:ind w:left="720"/>
        <w:contextualSpacing/>
        <w:textAlignment w:val="baseline"/>
        <w:rPr>
          <w:b/>
          <w:sz w:val="26"/>
          <w:szCs w:val="26"/>
        </w:rPr>
      </w:pPr>
    </w:p>
    <w:p w:rsidR="00F768DD" w:rsidRDefault="00DF2777" w:rsidP="00DF2777">
      <w:pPr>
        <w:overflowPunct w:val="0"/>
        <w:autoSpaceDE w:val="0"/>
        <w:autoSpaceDN w:val="0"/>
        <w:adjustRightInd w:val="0"/>
        <w:spacing w:line="360" w:lineRule="auto"/>
        <w:ind w:firstLine="720"/>
        <w:contextualSpacing/>
        <w:textAlignment w:val="baseline"/>
        <w:rPr>
          <w:sz w:val="26"/>
          <w:szCs w:val="26"/>
        </w:rPr>
      </w:pPr>
      <w:r>
        <w:rPr>
          <w:sz w:val="26"/>
          <w:szCs w:val="26"/>
        </w:rPr>
        <w:tab/>
      </w:r>
      <w:r w:rsidR="00B865E4" w:rsidRPr="00B865E4">
        <w:rPr>
          <w:sz w:val="26"/>
          <w:szCs w:val="26"/>
        </w:rPr>
        <w:t>While the Commission understands the desire to have specific criteria defined for determining the 110% limitation value for a building that does not have prior consumption</w:t>
      </w:r>
      <w:r w:rsidR="005F3C25">
        <w:rPr>
          <w:sz w:val="26"/>
          <w:szCs w:val="26"/>
        </w:rPr>
        <w:t xml:space="preserve"> data</w:t>
      </w:r>
      <w:r w:rsidR="00B865E4" w:rsidRPr="00B865E4">
        <w:rPr>
          <w:sz w:val="26"/>
          <w:szCs w:val="26"/>
        </w:rPr>
        <w:t xml:space="preserve">, it does not believe such granularity is necessary.  The use of square footage, occupancy and comparisons to similar buildings are all valid recommendations that could be utilized.  The Commission believes that the customer-generator and/or developer has the responsibility </w:t>
      </w:r>
      <w:r w:rsidR="00402F98">
        <w:rPr>
          <w:sz w:val="26"/>
          <w:szCs w:val="26"/>
        </w:rPr>
        <w:t>to provide</w:t>
      </w:r>
      <w:r w:rsidR="00B865E4" w:rsidRPr="00B865E4">
        <w:rPr>
          <w:sz w:val="26"/>
          <w:szCs w:val="26"/>
        </w:rPr>
        <w:t xml:space="preserve"> an estimate of </w:t>
      </w:r>
      <w:r w:rsidR="009C638F">
        <w:rPr>
          <w:sz w:val="26"/>
          <w:szCs w:val="26"/>
        </w:rPr>
        <w:t>annual electric consumption</w:t>
      </w:r>
      <w:r w:rsidR="00B865E4" w:rsidRPr="00B865E4">
        <w:rPr>
          <w:sz w:val="26"/>
          <w:szCs w:val="26"/>
        </w:rPr>
        <w:t xml:space="preserve"> for the new building</w:t>
      </w:r>
      <w:r w:rsidR="009C638F">
        <w:rPr>
          <w:sz w:val="26"/>
          <w:szCs w:val="26"/>
        </w:rPr>
        <w:t>, along with supporting data, to demonstrate that the alternative energy system design does not exceed 110% of that annual consumption</w:t>
      </w:r>
      <w:r w:rsidR="00B865E4" w:rsidRPr="00B865E4">
        <w:rPr>
          <w:sz w:val="26"/>
          <w:szCs w:val="26"/>
        </w:rPr>
        <w:t xml:space="preserve">.  </w:t>
      </w:r>
      <w:r w:rsidR="005F3C25">
        <w:rPr>
          <w:sz w:val="26"/>
          <w:szCs w:val="26"/>
        </w:rPr>
        <w:t xml:space="preserve">The customer-generator and/or the developer will have to provide adequate support for their usage estimate, which may include one or more years of historical usage or estimates based on similarly equipped and utilized buildings.  </w:t>
      </w:r>
      <w:r w:rsidR="00B865E4" w:rsidRPr="00B865E4">
        <w:rPr>
          <w:sz w:val="26"/>
          <w:szCs w:val="26"/>
        </w:rPr>
        <w:t xml:space="preserve">This estimated consumption </w:t>
      </w:r>
      <w:r w:rsidR="005F3C25">
        <w:rPr>
          <w:sz w:val="26"/>
          <w:szCs w:val="26"/>
        </w:rPr>
        <w:t>sha</w:t>
      </w:r>
      <w:r w:rsidR="00B865E4" w:rsidRPr="00B865E4">
        <w:rPr>
          <w:sz w:val="26"/>
          <w:szCs w:val="26"/>
        </w:rPr>
        <w:t xml:space="preserve">ll be provided to the EDC when filing </w:t>
      </w:r>
      <w:r w:rsidR="005F3C25">
        <w:rPr>
          <w:sz w:val="26"/>
          <w:szCs w:val="26"/>
        </w:rPr>
        <w:t xml:space="preserve">the </w:t>
      </w:r>
      <w:r w:rsidR="00B865E4" w:rsidRPr="00B865E4">
        <w:rPr>
          <w:sz w:val="26"/>
          <w:szCs w:val="26"/>
        </w:rPr>
        <w:t xml:space="preserve">interconnection application.  </w:t>
      </w:r>
    </w:p>
    <w:p w:rsidR="00F768DD" w:rsidRDefault="00F768DD" w:rsidP="00295A26">
      <w:pPr>
        <w:overflowPunct w:val="0"/>
        <w:autoSpaceDE w:val="0"/>
        <w:autoSpaceDN w:val="0"/>
        <w:adjustRightInd w:val="0"/>
        <w:spacing w:line="360" w:lineRule="auto"/>
        <w:ind w:firstLine="1440"/>
        <w:contextualSpacing/>
        <w:textAlignment w:val="baseline"/>
        <w:rPr>
          <w:sz w:val="26"/>
          <w:szCs w:val="26"/>
        </w:rPr>
      </w:pPr>
    </w:p>
    <w:p w:rsidR="00B865E4" w:rsidRPr="00B865E4" w:rsidRDefault="00B865E4" w:rsidP="00DF2777">
      <w:pPr>
        <w:overflowPunct w:val="0"/>
        <w:autoSpaceDE w:val="0"/>
        <w:autoSpaceDN w:val="0"/>
        <w:adjustRightInd w:val="0"/>
        <w:spacing w:line="360" w:lineRule="auto"/>
        <w:ind w:firstLine="720"/>
        <w:contextualSpacing/>
        <w:textAlignment w:val="baseline"/>
        <w:rPr>
          <w:sz w:val="26"/>
          <w:szCs w:val="26"/>
        </w:rPr>
      </w:pPr>
      <w:r w:rsidRPr="00B865E4">
        <w:rPr>
          <w:sz w:val="26"/>
          <w:szCs w:val="26"/>
        </w:rPr>
        <w:t xml:space="preserve">The Commission agrees with EAP and PECO that the 110% limitation </w:t>
      </w:r>
      <w:r w:rsidR="00295A26">
        <w:rPr>
          <w:sz w:val="26"/>
          <w:szCs w:val="26"/>
        </w:rPr>
        <w:t>shall</w:t>
      </w:r>
      <w:r w:rsidRPr="00B865E4">
        <w:rPr>
          <w:sz w:val="26"/>
          <w:szCs w:val="26"/>
        </w:rPr>
        <w:t xml:space="preserve"> apply as a design criterion for the sizing of </w:t>
      </w:r>
      <w:r w:rsidR="00295A26">
        <w:rPr>
          <w:sz w:val="26"/>
          <w:szCs w:val="26"/>
        </w:rPr>
        <w:t xml:space="preserve">an </w:t>
      </w:r>
      <w:r w:rsidRPr="00B865E4">
        <w:rPr>
          <w:sz w:val="26"/>
          <w:szCs w:val="26"/>
        </w:rPr>
        <w:t xml:space="preserve">entire </w:t>
      </w:r>
      <w:r w:rsidR="00295A26">
        <w:rPr>
          <w:sz w:val="26"/>
          <w:szCs w:val="26"/>
        </w:rPr>
        <w:t xml:space="preserve">alternative energy </w:t>
      </w:r>
      <w:r w:rsidRPr="00B865E4">
        <w:rPr>
          <w:sz w:val="26"/>
          <w:szCs w:val="26"/>
        </w:rPr>
        <w:t>system</w:t>
      </w:r>
      <w:r w:rsidR="00295A26">
        <w:rPr>
          <w:sz w:val="26"/>
          <w:szCs w:val="26"/>
        </w:rPr>
        <w:t>, to include any proposed expansion of an existing system</w:t>
      </w:r>
      <w:r w:rsidRPr="00B865E4">
        <w:rPr>
          <w:sz w:val="26"/>
          <w:szCs w:val="26"/>
        </w:rPr>
        <w:t xml:space="preserve">.  </w:t>
      </w:r>
      <w:r w:rsidR="00295A26">
        <w:rPr>
          <w:sz w:val="26"/>
          <w:szCs w:val="26"/>
        </w:rPr>
        <w:t xml:space="preserve">As such, </w:t>
      </w:r>
      <w:r w:rsidR="00F768DD">
        <w:rPr>
          <w:sz w:val="26"/>
          <w:szCs w:val="26"/>
        </w:rPr>
        <w:t>it is Commission policy that</w:t>
      </w:r>
      <w:r w:rsidR="00295A26">
        <w:rPr>
          <w:sz w:val="26"/>
          <w:szCs w:val="26"/>
        </w:rPr>
        <w:t xml:space="preserve"> customer-generators with third-party owned and operated systems shall </w:t>
      </w:r>
      <w:r w:rsidR="00294853">
        <w:rPr>
          <w:sz w:val="26"/>
          <w:szCs w:val="26"/>
        </w:rPr>
        <w:t>provide</w:t>
      </w:r>
      <w:r w:rsidR="00F768DD">
        <w:rPr>
          <w:sz w:val="26"/>
          <w:szCs w:val="26"/>
        </w:rPr>
        <w:t xml:space="preserve">, with the </w:t>
      </w:r>
      <w:r w:rsidR="00F768DD">
        <w:rPr>
          <w:sz w:val="26"/>
          <w:szCs w:val="26"/>
        </w:rPr>
        <w:lastRenderedPageBreak/>
        <w:t>interconnection application,</w:t>
      </w:r>
      <w:r w:rsidR="00294853">
        <w:rPr>
          <w:sz w:val="26"/>
          <w:szCs w:val="26"/>
        </w:rPr>
        <w:t xml:space="preserve"> adequate supporting data to demonstrate that the alternative energy system is designed to provide no more than 110% of the customer-generator’s annual electric usage.  This requirement </w:t>
      </w:r>
      <w:r w:rsidR="00F768DD">
        <w:rPr>
          <w:sz w:val="26"/>
          <w:szCs w:val="26"/>
        </w:rPr>
        <w:t xml:space="preserve">also </w:t>
      </w:r>
      <w:r w:rsidR="00294853">
        <w:rPr>
          <w:sz w:val="26"/>
          <w:szCs w:val="26"/>
        </w:rPr>
        <w:t>applies to applications to expand existing alternative energy systems owned and operated by a third-party.</w:t>
      </w:r>
    </w:p>
    <w:p w:rsidR="0026286E" w:rsidRDefault="0026286E" w:rsidP="00171A85">
      <w:pPr>
        <w:spacing w:line="360" w:lineRule="auto"/>
        <w:rPr>
          <w:b/>
          <w:sz w:val="26"/>
          <w:szCs w:val="26"/>
        </w:rPr>
      </w:pPr>
    </w:p>
    <w:p w:rsidR="006E3C2C" w:rsidRPr="008E6A6D" w:rsidRDefault="006E3C2C" w:rsidP="006E3C2C">
      <w:pPr>
        <w:pStyle w:val="p3"/>
        <w:widowControl/>
        <w:tabs>
          <w:tab w:val="clear" w:pos="204"/>
          <w:tab w:val="left" w:pos="720"/>
        </w:tabs>
        <w:spacing w:line="360" w:lineRule="auto"/>
        <w:jc w:val="center"/>
        <w:rPr>
          <w:b/>
          <w:szCs w:val="26"/>
        </w:rPr>
      </w:pPr>
      <w:r w:rsidRPr="008E6A6D">
        <w:rPr>
          <w:b/>
          <w:szCs w:val="26"/>
        </w:rPr>
        <w:t>CONCLUSION</w:t>
      </w:r>
    </w:p>
    <w:p w:rsidR="006E3C2C" w:rsidRPr="008E6A6D" w:rsidRDefault="006E3C2C" w:rsidP="00E21925">
      <w:pPr>
        <w:pStyle w:val="p3"/>
        <w:widowControl/>
        <w:tabs>
          <w:tab w:val="clear" w:pos="204"/>
          <w:tab w:val="left" w:pos="720"/>
        </w:tabs>
        <w:spacing w:line="360" w:lineRule="auto"/>
        <w:rPr>
          <w:szCs w:val="26"/>
        </w:rPr>
      </w:pPr>
    </w:p>
    <w:p w:rsidR="002719B7" w:rsidRPr="008E6A6D" w:rsidRDefault="006E3C2C" w:rsidP="00DF2777">
      <w:pPr>
        <w:pStyle w:val="p3"/>
        <w:widowControl/>
        <w:tabs>
          <w:tab w:val="clear" w:pos="204"/>
          <w:tab w:val="left" w:pos="720"/>
        </w:tabs>
        <w:spacing w:line="360" w:lineRule="auto"/>
        <w:rPr>
          <w:b/>
          <w:szCs w:val="26"/>
        </w:rPr>
      </w:pPr>
      <w:r w:rsidRPr="008E6A6D">
        <w:rPr>
          <w:szCs w:val="26"/>
        </w:rPr>
        <w:tab/>
        <w:t xml:space="preserve">With this </w:t>
      </w:r>
      <w:r w:rsidR="008221DE">
        <w:rPr>
          <w:szCs w:val="26"/>
        </w:rPr>
        <w:t>Final</w:t>
      </w:r>
      <w:r w:rsidRPr="008E6A6D">
        <w:rPr>
          <w:szCs w:val="26"/>
        </w:rPr>
        <w:t xml:space="preserve"> Order, the Commission </w:t>
      </w:r>
      <w:r w:rsidR="008221DE">
        <w:rPr>
          <w:szCs w:val="26"/>
        </w:rPr>
        <w:t>adopts the</w:t>
      </w:r>
      <w:r w:rsidRPr="008E6A6D">
        <w:rPr>
          <w:szCs w:val="26"/>
        </w:rPr>
        <w:t xml:space="preserve"> </w:t>
      </w:r>
      <w:r w:rsidR="007B4922">
        <w:rPr>
          <w:szCs w:val="26"/>
        </w:rPr>
        <w:t>net metering policy</w:t>
      </w:r>
      <w:r w:rsidR="002B4C6F">
        <w:rPr>
          <w:szCs w:val="26"/>
        </w:rPr>
        <w:t xml:space="preserve"> described in this </w:t>
      </w:r>
      <w:r w:rsidR="008221DE">
        <w:rPr>
          <w:szCs w:val="26"/>
        </w:rPr>
        <w:t>Final</w:t>
      </w:r>
      <w:r w:rsidR="002B4C6F">
        <w:rPr>
          <w:szCs w:val="26"/>
        </w:rPr>
        <w:t xml:space="preserve"> Order</w:t>
      </w:r>
      <w:r w:rsidRPr="008E6A6D">
        <w:rPr>
          <w:szCs w:val="26"/>
        </w:rPr>
        <w:t xml:space="preserve">.  </w:t>
      </w:r>
      <w:r w:rsidR="001C677D" w:rsidRPr="008E6A6D">
        <w:rPr>
          <w:szCs w:val="26"/>
        </w:rPr>
        <w:t xml:space="preserve">This </w:t>
      </w:r>
      <w:r w:rsidR="008221DE">
        <w:rPr>
          <w:szCs w:val="26"/>
        </w:rPr>
        <w:t>Final</w:t>
      </w:r>
      <w:r w:rsidR="001C677D" w:rsidRPr="008E6A6D">
        <w:rPr>
          <w:szCs w:val="26"/>
        </w:rPr>
        <w:t xml:space="preserve"> Order</w:t>
      </w:r>
      <w:r w:rsidRPr="008E6A6D">
        <w:rPr>
          <w:szCs w:val="26"/>
        </w:rPr>
        <w:t xml:space="preserve"> </w:t>
      </w:r>
      <w:r w:rsidR="008221DE">
        <w:rPr>
          <w:szCs w:val="26"/>
        </w:rPr>
        <w:t xml:space="preserve">is to be published in the </w:t>
      </w:r>
      <w:r w:rsidR="008221DE" w:rsidRPr="008221DE">
        <w:rPr>
          <w:i/>
          <w:szCs w:val="26"/>
        </w:rPr>
        <w:t xml:space="preserve">Pennsylvania Bulletin </w:t>
      </w:r>
      <w:r w:rsidR="008221DE">
        <w:rPr>
          <w:szCs w:val="26"/>
        </w:rPr>
        <w:t xml:space="preserve">and </w:t>
      </w:r>
      <w:r w:rsidRPr="008E6A6D">
        <w:rPr>
          <w:szCs w:val="26"/>
        </w:rPr>
        <w:t xml:space="preserve">made available to the public on the Commission’s </w:t>
      </w:r>
      <w:r w:rsidR="007B4922">
        <w:rPr>
          <w:szCs w:val="26"/>
        </w:rPr>
        <w:t>alternative energy</w:t>
      </w:r>
      <w:r w:rsidRPr="008E6A6D">
        <w:rPr>
          <w:rStyle w:val="FootnoteReference"/>
          <w:szCs w:val="26"/>
        </w:rPr>
        <w:footnoteReference w:id="38"/>
      </w:r>
      <w:r w:rsidR="00845CFB" w:rsidRPr="008E6A6D">
        <w:rPr>
          <w:szCs w:val="26"/>
        </w:rPr>
        <w:t xml:space="preserve"> web page</w:t>
      </w:r>
      <w:r w:rsidRPr="008E6A6D">
        <w:rPr>
          <w:szCs w:val="26"/>
        </w:rPr>
        <w:t>.</w:t>
      </w:r>
      <w:r w:rsidR="00845CFB" w:rsidRPr="008E6A6D">
        <w:rPr>
          <w:szCs w:val="26"/>
        </w:rPr>
        <w:t xml:space="preserve">  </w:t>
      </w:r>
      <w:r w:rsidR="002719B7" w:rsidRPr="008E6A6D">
        <w:rPr>
          <w:b/>
          <w:szCs w:val="26"/>
        </w:rPr>
        <w:t>THEREFORE,</w:t>
      </w:r>
    </w:p>
    <w:p w:rsidR="002719B7" w:rsidRPr="008E6A6D" w:rsidRDefault="002719B7" w:rsidP="002719B7">
      <w:pPr>
        <w:spacing w:line="360" w:lineRule="auto"/>
        <w:rPr>
          <w:sz w:val="26"/>
          <w:szCs w:val="26"/>
        </w:rPr>
      </w:pPr>
    </w:p>
    <w:p w:rsidR="002719B7" w:rsidRPr="008E6A6D" w:rsidRDefault="002719B7" w:rsidP="002719B7">
      <w:pPr>
        <w:spacing w:line="360" w:lineRule="auto"/>
        <w:rPr>
          <w:b/>
          <w:bCs/>
          <w:sz w:val="26"/>
          <w:szCs w:val="26"/>
        </w:rPr>
      </w:pPr>
      <w:r w:rsidRPr="008E6A6D">
        <w:rPr>
          <w:b/>
          <w:bCs/>
          <w:sz w:val="26"/>
          <w:szCs w:val="26"/>
        </w:rPr>
        <w:tab/>
        <w:t>IT IS ORDERED:</w:t>
      </w:r>
    </w:p>
    <w:p w:rsidR="002719B7" w:rsidRPr="008E6A6D" w:rsidRDefault="002719B7" w:rsidP="002719B7">
      <w:pPr>
        <w:spacing w:line="360" w:lineRule="auto"/>
        <w:rPr>
          <w:b/>
          <w:bCs/>
          <w:sz w:val="26"/>
          <w:szCs w:val="26"/>
        </w:rPr>
      </w:pPr>
    </w:p>
    <w:p w:rsidR="0079327D" w:rsidRPr="008E6A6D" w:rsidRDefault="00877529" w:rsidP="009F0A4F">
      <w:pPr>
        <w:spacing w:line="360" w:lineRule="auto"/>
        <w:rPr>
          <w:bCs/>
          <w:sz w:val="26"/>
          <w:szCs w:val="26"/>
        </w:rPr>
      </w:pPr>
      <w:r w:rsidRPr="008E6A6D">
        <w:rPr>
          <w:bCs/>
          <w:sz w:val="26"/>
          <w:szCs w:val="26"/>
        </w:rPr>
        <w:tab/>
      </w:r>
      <w:r w:rsidR="00171A85">
        <w:rPr>
          <w:bCs/>
          <w:sz w:val="26"/>
          <w:szCs w:val="26"/>
        </w:rPr>
        <w:t>1</w:t>
      </w:r>
      <w:r w:rsidRPr="008E6A6D">
        <w:rPr>
          <w:bCs/>
          <w:sz w:val="26"/>
          <w:szCs w:val="26"/>
        </w:rPr>
        <w:t>.</w:t>
      </w:r>
      <w:r w:rsidRPr="008E6A6D">
        <w:rPr>
          <w:bCs/>
          <w:sz w:val="26"/>
          <w:szCs w:val="26"/>
        </w:rPr>
        <w:tab/>
      </w:r>
      <w:r w:rsidR="002A65FA">
        <w:rPr>
          <w:bCs/>
          <w:sz w:val="26"/>
          <w:szCs w:val="26"/>
        </w:rPr>
        <w:t xml:space="preserve">That it be the policy of the Commission </w:t>
      </w:r>
      <w:r w:rsidR="002A65FA" w:rsidRPr="002A65FA">
        <w:rPr>
          <w:sz w:val="26"/>
          <w:szCs w:val="26"/>
        </w:rPr>
        <w:t xml:space="preserve">that the term “operator,” as found in the definition of “customer-generator” in </w:t>
      </w:r>
      <w:r w:rsidR="002A65FA">
        <w:rPr>
          <w:sz w:val="26"/>
          <w:szCs w:val="26"/>
        </w:rPr>
        <w:t xml:space="preserve">Section 2 </w:t>
      </w:r>
      <w:r w:rsidR="002A65FA" w:rsidRPr="002A65FA">
        <w:rPr>
          <w:sz w:val="26"/>
          <w:szCs w:val="26"/>
        </w:rPr>
        <w:t>the AEPS Act,</w:t>
      </w:r>
      <w:r w:rsidR="002A65FA">
        <w:rPr>
          <w:sz w:val="26"/>
          <w:szCs w:val="26"/>
        </w:rPr>
        <w:t xml:space="preserve"> 73 P.S. § 1648.2,</w:t>
      </w:r>
      <w:r w:rsidR="002A65FA" w:rsidRPr="002A65FA">
        <w:rPr>
          <w:sz w:val="26"/>
          <w:szCs w:val="26"/>
        </w:rPr>
        <w:t xml:space="preserve"> shall be interpreted as including customer-generators with distributed alternative energy systems that contract with a third-party to perform the operational functions of the alternative energy system.</w:t>
      </w:r>
    </w:p>
    <w:p w:rsidR="009F0A4F" w:rsidRPr="008E6A6D" w:rsidRDefault="009F0A4F" w:rsidP="009F0A4F">
      <w:pPr>
        <w:spacing w:line="360" w:lineRule="auto"/>
        <w:rPr>
          <w:bCs/>
          <w:sz w:val="26"/>
          <w:szCs w:val="26"/>
        </w:rPr>
      </w:pPr>
    </w:p>
    <w:p w:rsidR="00C42E30" w:rsidRDefault="009F0A4F" w:rsidP="00C42E30">
      <w:pPr>
        <w:spacing w:line="360" w:lineRule="auto"/>
        <w:rPr>
          <w:sz w:val="26"/>
          <w:szCs w:val="26"/>
        </w:rPr>
      </w:pPr>
      <w:r w:rsidRPr="008E6A6D">
        <w:rPr>
          <w:bCs/>
          <w:sz w:val="26"/>
          <w:szCs w:val="26"/>
        </w:rPr>
        <w:tab/>
      </w:r>
      <w:r w:rsidR="00171A85">
        <w:rPr>
          <w:bCs/>
          <w:sz w:val="26"/>
          <w:szCs w:val="26"/>
        </w:rPr>
        <w:t>2</w:t>
      </w:r>
      <w:r w:rsidR="002719B7" w:rsidRPr="008E6A6D">
        <w:rPr>
          <w:sz w:val="26"/>
          <w:szCs w:val="26"/>
        </w:rPr>
        <w:t>.</w:t>
      </w:r>
      <w:r w:rsidR="002719B7" w:rsidRPr="008E6A6D">
        <w:rPr>
          <w:sz w:val="26"/>
          <w:szCs w:val="26"/>
        </w:rPr>
        <w:tab/>
      </w:r>
      <w:r w:rsidR="002A65FA">
        <w:rPr>
          <w:sz w:val="26"/>
          <w:szCs w:val="26"/>
        </w:rPr>
        <w:t>That it be the policy of the Commission that net metered alternative energy systems owned and operated by third-parties that are interconnected and placed on property owned or leased and operated by an electric utility customer be designed to generate no more than 110% of that utility customer’s annual electricit</w:t>
      </w:r>
      <w:r w:rsidR="00171A85">
        <w:rPr>
          <w:sz w:val="26"/>
          <w:szCs w:val="26"/>
        </w:rPr>
        <w:t>y consumption, at the interconnection meter location and all qualifying virtual meter locations.</w:t>
      </w:r>
    </w:p>
    <w:p w:rsidR="00171A85" w:rsidRDefault="00171A85" w:rsidP="00C42E30">
      <w:pPr>
        <w:spacing w:line="360" w:lineRule="auto"/>
        <w:rPr>
          <w:sz w:val="26"/>
          <w:szCs w:val="26"/>
        </w:rPr>
      </w:pPr>
    </w:p>
    <w:p w:rsidR="00171A85" w:rsidRDefault="00171A85" w:rsidP="00C42E30">
      <w:pPr>
        <w:spacing w:line="360" w:lineRule="auto"/>
        <w:rPr>
          <w:sz w:val="26"/>
          <w:szCs w:val="26"/>
        </w:rPr>
      </w:pPr>
      <w:r>
        <w:rPr>
          <w:sz w:val="26"/>
          <w:szCs w:val="26"/>
        </w:rPr>
        <w:tab/>
        <w:t>3.</w:t>
      </w:r>
      <w:r>
        <w:rPr>
          <w:sz w:val="26"/>
          <w:szCs w:val="26"/>
        </w:rPr>
        <w:tab/>
        <w:t xml:space="preserve">That it be the policy of the Commission that customer-generators with third-party owned and operated systems shall provide with the interconnection </w:t>
      </w:r>
      <w:r>
        <w:rPr>
          <w:sz w:val="26"/>
          <w:szCs w:val="26"/>
        </w:rPr>
        <w:lastRenderedPageBreak/>
        <w:t>application adequate supporting data to demonstrate that the alternative energy system is designed to provide no more than 110% of the customer-generator’s annual electric usage at all qualifying meter locations.</w:t>
      </w:r>
    </w:p>
    <w:p w:rsidR="00171A85" w:rsidRDefault="00171A85" w:rsidP="00C42E30">
      <w:pPr>
        <w:spacing w:line="360" w:lineRule="auto"/>
        <w:rPr>
          <w:sz w:val="26"/>
          <w:szCs w:val="26"/>
        </w:rPr>
      </w:pPr>
    </w:p>
    <w:p w:rsidR="00171A85" w:rsidRDefault="00171A85" w:rsidP="00C42E30">
      <w:pPr>
        <w:spacing w:line="360" w:lineRule="auto"/>
        <w:rPr>
          <w:sz w:val="26"/>
          <w:szCs w:val="26"/>
        </w:rPr>
      </w:pPr>
      <w:r>
        <w:rPr>
          <w:sz w:val="26"/>
          <w:szCs w:val="26"/>
        </w:rPr>
        <w:tab/>
        <w:t>4.</w:t>
      </w:r>
      <w:r>
        <w:rPr>
          <w:sz w:val="26"/>
          <w:szCs w:val="26"/>
        </w:rPr>
        <w:tab/>
        <w:t>That this Final Order be published on the Commission’s Alternative Energy web page.</w:t>
      </w:r>
    </w:p>
    <w:p w:rsidR="00171A85" w:rsidRDefault="00171A85" w:rsidP="00C42E30">
      <w:pPr>
        <w:spacing w:line="360" w:lineRule="auto"/>
        <w:rPr>
          <w:sz w:val="26"/>
          <w:szCs w:val="26"/>
        </w:rPr>
      </w:pPr>
    </w:p>
    <w:p w:rsidR="00171A85" w:rsidRDefault="00171A85" w:rsidP="00C42E30">
      <w:pPr>
        <w:spacing w:line="360" w:lineRule="auto"/>
        <w:rPr>
          <w:sz w:val="26"/>
          <w:szCs w:val="26"/>
        </w:rPr>
      </w:pPr>
      <w:r>
        <w:rPr>
          <w:sz w:val="26"/>
          <w:szCs w:val="26"/>
        </w:rPr>
        <w:tab/>
      </w:r>
      <w:r>
        <w:rPr>
          <w:bCs/>
          <w:sz w:val="26"/>
          <w:szCs w:val="26"/>
        </w:rPr>
        <w:t>5</w:t>
      </w:r>
      <w:r w:rsidRPr="008E6A6D">
        <w:rPr>
          <w:bCs/>
          <w:sz w:val="26"/>
          <w:szCs w:val="26"/>
        </w:rPr>
        <w:t>.</w:t>
      </w:r>
      <w:r w:rsidRPr="008E6A6D">
        <w:rPr>
          <w:bCs/>
          <w:sz w:val="26"/>
          <w:szCs w:val="26"/>
        </w:rPr>
        <w:tab/>
      </w:r>
      <w:r w:rsidRPr="008E6A6D">
        <w:rPr>
          <w:sz w:val="26"/>
          <w:szCs w:val="26"/>
        </w:rPr>
        <w:t xml:space="preserve">That this </w:t>
      </w:r>
      <w:r>
        <w:rPr>
          <w:sz w:val="26"/>
          <w:szCs w:val="26"/>
        </w:rPr>
        <w:t>Final</w:t>
      </w:r>
      <w:r w:rsidRPr="008E6A6D">
        <w:rPr>
          <w:sz w:val="26"/>
          <w:szCs w:val="26"/>
        </w:rPr>
        <w:t xml:space="preserve"> Order shall be</w:t>
      </w:r>
      <w:r>
        <w:rPr>
          <w:sz w:val="26"/>
          <w:szCs w:val="26"/>
        </w:rPr>
        <w:t xml:space="preserve"> published in the </w:t>
      </w:r>
      <w:r w:rsidRPr="00090E58">
        <w:rPr>
          <w:i/>
          <w:sz w:val="26"/>
          <w:szCs w:val="26"/>
        </w:rPr>
        <w:t>Pennsylvania Bulletin</w:t>
      </w:r>
      <w:r>
        <w:rPr>
          <w:sz w:val="26"/>
          <w:szCs w:val="26"/>
        </w:rPr>
        <w:t xml:space="preserve"> and </w:t>
      </w:r>
      <w:r w:rsidRPr="008E6A6D">
        <w:rPr>
          <w:sz w:val="26"/>
          <w:szCs w:val="26"/>
        </w:rPr>
        <w:t xml:space="preserve">served upon the Office of Consumer Advocate, the Office of Small Business Advocate, the </w:t>
      </w:r>
      <w:r>
        <w:rPr>
          <w:sz w:val="26"/>
          <w:szCs w:val="26"/>
        </w:rPr>
        <w:t>Bureau of Investigation and Enforcement</w:t>
      </w:r>
      <w:r w:rsidRPr="008E6A6D">
        <w:rPr>
          <w:sz w:val="26"/>
          <w:szCs w:val="26"/>
        </w:rPr>
        <w:t xml:space="preserve">, all jurisdictional electric distribution companies, and all parties who </w:t>
      </w:r>
      <w:r w:rsidR="009814BF">
        <w:rPr>
          <w:sz w:val="26"/>
          <w:szCs w:val="26"/>
        </w:rPr>
        <w:t>fil</w:t>
      </w:r>
      <w:bookmarkStart w:id="0" w:name="_GoBack"/>
      <w:bookmarkEnd w:id="0"/>
      <w:r>
        <w:rPr>
          <w:sz w:val="26"/>
          <w:szCs w:val="26"/>
        </w:rPr>
        <w:t>ed comments at this Docket</w:t>
      </w:r>
      <w:r w:rsidRPr="008E6A6D">
        <w:rPr>
          <w:sz w:val="26"/>
          <w:szCs w:val="26"/>
        </w:rPr>
        <w:t>.</w:t>
      </w:r>
    </w:p>
    <w:p w:rsidR="00171A85" w:rsidRDefault="00171A85" w:rsidP="00171A85">
      <w:pPr>
        <w:rPr>
          <w:sz w:val="26"/>
          <w:szCs w:val="26"/>
        </w:rPr>
      </w:pPr>
    </w:p>
    <w:p w:rsidR="000455D0" w:rsidRPr="008E6A6D" w:rsidRDefault="000455D0" w:rsidP="00171A85">
      <w:pPr>
        <w:spacing w:line="360" w:lineRule="auto"/>
        <w:rPr>
          <w:sz w:val="26"/>
          <w:szCs w:val="26"/>
        </w:rPr>
      </w:pPr>
      <w:r w:rsidRPr="008E6A6D">
        <w:rPr>
          <w:sz w:val="26"/>
          <w:szCs w:val="26"/>
        </w:rPr>
        <w:tab/>
      </w:r>
      <w:r w:rsidR="00171A85">
        <w:rPr>
          <w:sz w:val="26"/>
          <w:szCs w:val="26"/>
        </w:rPr>
        <w:t>6</w:t>
      </w:r>
      <w:r w:rsidRPr="008E6A6D">
        <w:rPr>
          <w:sz w:val="26"/>
          <w:szCs w:val="26"/>
        </w:rPr>
        <w:t>.</w:t>
      </w:r>
      <w:r w:rsidRPr="008E6A6D">
        <w:rPr>
          <w:sz w:val="26"/>
          <w:szCs w:val="26"/>
        </w:rPr>
        <w:tab/>
        <w:t xml:space="preserve">That the contact person for technical issues </w:t>
      </w:r>
      <w:r w:rsidR="00171A85">
        <w:rPr>
          <w:sz w:val="26"/>
          <w:szCs w:val="26"/>
        </w:rPr>
        <w:t xml:space="preserve">regarding this policy </w:t>
      </w:r>
      <w:r w:rsidRPr="008E6A6D">
        <w:rPr>
          <w:sz w:val="26"/>
          <w:szCs w:val="26"/>
        </w:rPr>
        <w:t xml:space="preserve">is </w:t>
      </w:r>
      <w:r w:rsidR="000756F4">
        <w:rPr>
          <w:sz w:val="26"/>
          <w:szCs w:val="26"/>
        </w:rPr>
        <w:t>Scott Gebhar</w:t>
      </w:r>
      <w:r w:rsidR="000E2243">
        <w:rPr>
          <w:sz w:val="26"/>
          <w:szCs w:val="26"/>
        </w:rPr>
        <w:t>d</w:t>
      </w:r>
      <w:r w:rsidR="000756F4">
        <w:rPr>
          <w:sz w:val="26"/>
          <w:szCs w:val="26"/>
        </w:rPr>
        <w:t>t</w:t>
      </w:r>
      <w:r w:rsidRPr="008E6A6D">
        <w:rPr>
          <w:sz w:val="26"/>
          <w:szCs w:val="26"/>
        </w:rPr>
        <w:t xml:space="preserve">, </w:t>
      </w:r>
      <w:r w:rsidR="003937B8" w:rsidRPr="008E6A6D">
        <w:rPr>
          <w:sz w:val="26"/>
          <w:szCs w:val="26"/>
        </w:rPr>
        <w:t>Analyst</w:t>
      </w:r>
      <w:r w:rsidRPr="008E6A6D">
        <w:rPr>
          <w:sz w:val="26"/>
          <w:szCs w:val="26"/>
        </w:rPr>
        <w:t xml:space="preserve">, </w:t>
      </w:r>
      <w:r w:rsidR="005029BC">
        <w:rPr>
          <w:sz w:val="26"/>
          <w:szCs w:val="26"/>
        </w:rPr>
        <w:t>Bureau of Technical Utility Services – Policy and Planning,</w:t>
      </w:r>
      <w:r w:rsidR="00105563">
        <w:rPr>
          <w:sz w:val="26"/>
          <w:szCs w:val="26"/>
        </w:rPr>
        <w:t xml:space="preserve"> </w:t>
      </w:r>
      <w:r w:rsidRPr="008E6A6D">
        <w:rPr>
          <w:sz w:val="26"/>
          <w:szCs w:val="26"/>
        </w:rPr>
        <w:t xml:space="preserve">(717) </w:t>
      </w:r>
      <w:r w:rsidR="000E2243">
        <w:rPr>
          <w:sz w:val="26"/>
          <w:szCs w:val="26"/>
        </w:rPr>
        <w:t>4</w:t>
      </w:r>
      <w:r w:rsidR="007E4D0C" w:rsidRPr="008E6A6D">
        <w:rPr>
          <w:sz w:val="26"/>
          <w:szCs w:val="26"/>
        </w:rPr>
        <w:t>2</w:t>
      </w:r>
      <w:r w:rsidR="000E2243">
        <w:rPr>
          <w:sz w:val="26"/>
          <w:szCs w:val="26"/>
        </w:rPr>
        <w:t>5</w:t>
      </w:r>
      <w:r w:rsidRPr="008E6A6D">
        <w:rPr>
          <w:sz w:val="26"/>
          <w:szCs w:val="26"/>
        </w:rPr>
        <w:t>-2</w:t>
      </w:r>
      <w:r w:rsidR="000E2243">
        <w:rPr>
          <w:sz w:val="26"/>
          <w:szCs w:val="26"/>
        </w:rPr>
        <w:t>860</w:t>
      </w:r>
      <w:r w:rsidRPr="008E6A6D">
        <w:rPr>
          <w:sz w:val="26"/>
          <w:szCs w:val="26"/>
        </w:rPr>
        <w:t xml:space="preserve"> or </w:t>
      </w:r>
      <w:hyperlink r:id="rId9" w:history="1">
        <w:r w:rsidR="000E2243" w:rsidRPr="00325CF1">
          <w:rPr>
            <w:rStyle w:val="Hyperlink"/>
            <w:color w:val="auto"/>
            <w:sz w:val="26"/>
            <w:szCs w:val="26"/>
          </w:rPr>
          <w:t>sgebhardt@state.pa.us</w:t>
        </w:r>
      </w:hyperlink>
      <w:r w:rsidRPr="008E6A6D">
        <w:rPr>
          <w:sz w:val="26"/>
          <w:szCs w:val="26"/>
        </w:rPr>
        <w:t xml:space="preserve">.  The contact person for legal issues </w:t>
      </w:r>
      <w:r w:rsidR="00171A85">
        <w:rPr>
          <w:sz w:val="26"/>
          <w:szCs w:val="26"/>
        </w:rPr>
        <w:t xml:space="preserve">regarding this policy </w:t>
      </w:r>
      <w:r w:rsidRPr="008E6A6D">
        <w:rPr>
          <w:sz w:val="26"/>
          <w:szCs w:val="26"/>
        </w:rPr>
        <w:t xml:space="preserve">is </w:t>
      </w:r>
      <w:r w:rsidR="007E4D0C" w:rsidRPr="008E6A6D">
        <w:rPr>
          <w:sz w:val="26"/>
          <w:szCs w:val="26"/>
        </w:rPr>
        <w:t>Kriss Brown</w:t>
      </w:r>
      <w:r w:rsidRPr="008E6A6D">
        <w:rPr>
          <w:sz w:val="26"/>
          <w:szCs w:val="26"/>
        </w:rPr>
        <w:t xml:space="preserve">, Assistant Counsel, Law Bureau, (717) </w:t>
      </w:r>
      <w:r w:rsidR="007E4D0C" w:rsidRPr="008E6A6D">
        <w:rPr>
          <w:sz w:val="26"/>
          <w:szCs w:val="26"/>
        </w:rPr>
        <w:t>787</w:t>
      </w:r>
      <w:r w:rsidRPr="008E6A6D">
        <w:rPr>
          <w:sz w:val="26"/>
          <w:szCs w:val="26"/>
        </w:rPr>
        <w:t>-</w:t>
      </w:r>
      <w:r w:rsidR="007E4D0C" w:rsidRPr="008E6A6D">
        <w:rPr>
          <w:sz w:val="26"/>
          <w:szCs w:val="26"/>
        </w:rPr>
        <w:t>4518</w:t>
      </w:r>
      <w:r w:rsidRPr="008E6A6D">
        <w:rPr>
          <w:sz w:val="26"/>
          <w:szCs w:val="26"/>
        </w:rPr>
        <w:t xml:space="preserve"> or </w:t>
      </w:r>
      <w:hyperlink r:id="rId10" w:history="1">
        <w:r w:rsidR="003937B8" w:rsidRPr="008E6A6D">
          <w:rPr>
            <w:rStyle w:val="Hyperlink"/>
            <w:color w:val="auto"/>
            <w:sz w:val="26"/>
            <w:szCs w:val="26"/>
          </w:rPr>
          <w:t>kribrown@state.pa.us</w:t>
        </w:r>
      </w:hyperlink>
      <w:r w:rsidRPr="008E6A6D">
        <w:rPr>
          <w:sz w:val="26"/>
          <w:szCs w:val="26"/>
        </w:rPr>
        <w:t>.</w:t>
      </w:r>
    </w:p>
    <w:p w:rsidR="002719B7" w:rsidRPr="008E6A6D" w:rsidRDefault="002719B7" w:rsidP="002719B7">
      <w:pPr>
        <w:tabs>
          <w:tab w:val="left" w:pos="4320"/>
        </w:tabs>
        <w:rPr>
          <w:sz w:val="26"/>
          <w:szCs w:val="26"/>
        </w:rPr>
      </w:pPr>
    </w:p>
    <w:p w:rsidR="002719B7" w:rsidRPr="008E6A6D" w:rsidRDefault="002719B7" w:rsidP="002719B7">
      <w:pPr>
        <w:tabs>
          <w:tab w:val="left" w:pos="742"/>
        </w:tabs>
        <w:rPr>
          <w:sz w:val="26"/>
          <w:szCs w:val="26"/>
        </w:rPr>
      </w:pPr>
    </w:p>
    <w:p w:rsidR="002719B7" w:rsidRPr="008E6A6D" w:rsidRDefault="009814BF" w:rsidP="002719B7">
      <w:pPr>
        <w:pStyle w:val="p17"/>
        <w:widowControl/>
        <w:ind w:left="5057"/>
        <w:rPr>
          <w:b/>
          <w:bCs/>
          <w:szCs w:val="26"/>
        </w:rPr>
      </w:pPr>
      <w:r>
        <w:rPr>
          <w:noProof/>
        </w:rPr>
        <w:drawing>
          <wp:anchor distT="0" distB="0" distL="114300" distR="114300" simplePos="0" relativeHeight="251659264" behindDoc="1" locked="0" layoutInCell="1" allowOverlap="1" wp14:anchorId="49D3F89F" wp14:editId="63F5C899">
            <wp:simplePos x="0" y="0"/>
            <wp:positionH relativeFrom="column">
              <wp:posOffset>2857500</wp:posOffset>
            </wp:positionH>
            <wp:positionV relativeFrom="paragraph">
              <wp:posOffset>65405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719B7" w:rsidRPr="008E6A6D">
        <w:rPr>
          <w:b/>
          <w:bCs/>
          <w:szCs w:val="26"/>
        </w:rPr>
        <w:t>BY THE COMMISSION</w:t>
      </w:r>
    </w:p>
    <w:p w:rsidR="002719B7" w:rsidRPr="008E6A6D" w:rsidRDefault="002719B7" w:rsidP="002719B7">
      <w:pPr>
        <w:tabs>
          <w:tab w:val="left" w:pos="5057"/>
        </w:tabs>
        <w:rPr>
          <w:bCs/>
          <w:sz w:val="26"/>
          <w:szCs w:val="26"/>
        </w:rPr>
      </w:pPr>
    </w:p>
    <w:p w:rsidR="002719B7" w:rsidRPr="008E6A6D" w:rsidRDefault="002719B7" w:rsidP="002719B7">
      <w:pPr>
        <w:tabs>
          <w:tab w:val="left" w:pos="5057"/>
        </w:tabs>
        <w:rPr>
          <w:bCs/>
          <w:sz w:val="26"/>
          <w:szCs w:val="26"/>
        </w:rPr>
      </w:pPr>
    </w:p>
    <w:p w:rsidR="002719B7" w:rsidRPr="008E6A6D" w:rsidRDefault="002719B7" w:rsidP="002719B7">
      <w:pPr>
        <w:tabs>
          <w:tab w:val="left" w:pos="5057"/>
        </w:tabs>
        <w:rPr>
          <w:bCs/>
          <w:sz w:val="26"/>
          <w:szCs w:val="26"/>
        </w:rPr>
      </w:pPr>
    </w:p>
    <w:p w:rsidR="002719B7" w:rsidRPr="008E6A6D" w:rsidRDefault="008F675E" w:rsidP="002719B7">
      <w:pPr>
        <w:pStyle w:val="p18"/>
        <w:widowControl/>
        <w:ind w:left="5062"/>
        <w:rPr>
          <w:szCs w:val="26"/>
        </w:rPr>
      </w:pPr>
      <w:r w:rsidRPr="008E6A6D">
        <w:rPr>
          <w:szCs w:val="26"/>
        </w:rPr>
        <w:t>Rosemary Chiavetta</w:t>
      </w:r>
    </w:p>
    <w:p w:rsidR="002719B7" w:rsidRPr="008E6A6D" w:rsidRDefault="002719B7" w:rsidP="002719B7">
      <w:pPr>
        <w:pStyle w:val="p18"/>
        <w:widowControl/>
        <w:ind w:left="5062"/>
        <w:rPr>
          <w:szCs w:val="26"/>
        </w:rPr>
      </w:pPr>
      <w:r w:rsidRPr="008E6A6D">
        <w:rPr>
          <w:szCs w:val="26"/>
        </w:rPr>
        <w:t>Secretary</w:t>
      </w:r>
    </w:p>
    <w:p w:rsidR="002719B7" w:rsidRPr="008E6A6D" w:rsidRDefault="002719B7" w:rsidP="002719B7">
      <w:pPr>
        <w:tabs>
          <w:tab w:val="left" w:pos="5062"/>
        </w:tabs>
        <w:rPr>
          <w:sz w:val="26"/>
          <w:szCs w:val="26"/>
        </w:rPr>
      </w:pPr>
    </w:p>
    <w:p w:rsidR="00B26763" w:rsidRPr="008E6A6D" w:rsidRDefault="00B26763" w:rsidP="002719B7">
      <w:pPr>
        <w:tabs>
          <w:tab w:val="left" w:pos="5062"/>
        </w:tabs>
        <w:rPr>
          <w:sz w:val="26"/>
          <w:szCs w:val="26"/>
        </w:rPr>
      </w:pPr>
    </w:p>
    <w:p w:rsidR="00B26763" w:rsidRPr="008E6A6D" w:rsidRDefault="00B26763" w:rsidP="002719B7">
      <w:pPr>
        <w:tabs>
          <w:tab w:val="left" w:pos="5062"/>
        </w:tabs>
        <w:rPr>
          <w:sz w:val="26"/>
          <w:szCs w:val="26"/>
        </w:rPr>
      </w:pPr>
    </w:p>
    <w:p w:rsidR="002719B7" w:rsidRPr="008E6A6D" w:rsidRDefault="002719B7" w:rsidP="002719B7">
      <w:pPr>
        <w:pStyle w:val="p14"/>
        <w:widowControl/>
        <w:rPr>
          <w:szCs w:val="26"/>
        </w:rPr>
      </w:pPr>
      <w:r w:rsidRPr="008E6A6D">
        <w:rPr>
          <w:szCs w:val="26"/>
        </w:rPr>
        <w:t>(SEAL)</w:t>
      </w:r>
    </w:p>
    <w:p w:rsidR="002719B7" w:rsidRPr="008E6A6D" w:rsidRDefault="002719B7" w:rsidP="002719B7">
      <w:pPr>
        <w:tabs>
          <w:tab w:val="left" w:pos="204"/>
        </w:tabs>
        <w:rPr>
          <w:sz w:val="26"/>
          <w:szCs w:val="26"/>
        </w:rPr>
      </w:pPr>
    </w:p>
    <w:p w:rsidR="002719B7" w:rsidRPr="008E6A6D" w:rsidRDefault="002719B7" w:rsidP="002719B7">
      <w:pPr>
        <w:pStyle w:val="p14"/>
        <w:widowControl/>
        <w:rPr>
          <w:rFonts w:ascii="Times New (W1)" w:hAnsi="Times New (W1)"/>
          <w:szCs w:val="26"/>
        </w:rPr>
      </w:pPr>
      <w:r w:rsidRPr="008E6A6D">
        <w:rPr>
          <w:szCs w:val="26"/>
        </w:rPr>
        <w:t xml:space="preserve">ORDER ADOPTED:  </w:t>
      </w:r>
      <w:r w:rsidR="00F768DD">
        <w:rPr>
          <w:szCs w:val="26"/>
        </w:rPr>
        <w:t>March</w:t>
      </w:r>
      <w:r w:rsidR="00B773CF">
        <w:rPr>
          <w:szCs w:val="26"/>
        </w:rPr>
        <w:t xml:space="preserve"> </w:t>
      </w:r>
      <w:r w:rsidR="00F768DD">
        <w:rPr>
          <w:szCs w:val="26"/>
        </w:rPr>
        <w:t>29</w:t>
      </w:r>
      <w:r w:rsidR="008F675E" w:rsidRPr="008E6A6D">
        <w:rPr>
          <w:szCs w:val="26"/>
        </w:rPr>
        <w:t>, 201</w:t>
      </w:r>
      <w:r w:rsidR="00F768DD">
        <w:rPr>
          <w:szCs w:val="26"/>
        </w:rPr>
        <w:t>2</w:t>
      </w:r>
    </w:p>
    <w:p w:rsidR="002719B7" w:rsidRPr="008E6A6D" w:rsidRDefault="002719B7" w:rsidP="002719B7">
      <w:pPr>
        <w:pStyle w:val="p14"/>
        <w:widowControl/>
        <w:rPr>
          <w:szCs w:val="26"/>
        </w:rPr>
      </w:pPr>
    </w:p>
    <w:p w:rsidR="00864D61" w:rsidRDefault="002719B7" w:rsidP="00090E58">
      <w:pPr>
        <w:pStyle w:val="p14"/>
        <w:widowControl/>
      </w:pPr>
      <w:r w:rsidRPr="008E6A6D">
        <w:rPr>
          <w:szCs w:val="26"/>
        </w:rPr>
        <w:t xml:space="preserve">ORDER ENTERED:  </w:t>
      </w:r>
      <w:r w:rsidR="009814BF">
        <w:rPr>
          <w:szCs w:val="26"/>
        </w:rPr>
        <w:t xml:space="preserve"> March 29, 2012</w:t>
      </w:r>
    </w:p>
    <w:sectPr w:rsidR="00864D61" w:rsidSect="00333082">
      <w:headerReference w:type="default" r:id="rId12"/>
      <w:footerReference w:type="even" r:id="rId13"/>
      <w:footerReference w:type="default" r:id="rId14"/>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E8" w:rsidRDefault="00637FE8">
      <w:r>
        <w:separator/>
      </w:r>
    </w:p>
  </w:endnote>
  <w:endnote w:type="continuationSeparator" w:id="0">
    <w:p w:rsidR="00637FE8" w:rsidRDefault="0063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3E" w:rsidRDefault="00184200">
    <w:pPr>
      <w:pStyle w:val="Footer"/>
      <w:framePr w:wrap="around" w:vAnchor="text" w:hAnchor="margin" w:xAlign="center" w:y="1"/>
      <w:rPr>
        <w:rStyle w:val="PageNumber"/>
      </w:rPr>
    </w:pPr>
    <w:r>
      <w:rPr>
        <w:rStyle w:val="PageNumber"/>
      </w:rPr>
      <w:fldChar w:fldCharType="begin"/>
    </w:r>
    <w:r w:rsidR="0029563E">
      <w:rPr>
        <w:rStyle w:val="PageNumber"/>
      </w:rPr>
      <w:instrText xml:space="preserve">PAGE  </w:instrText>
    </w:r>
    <w:r>
      <w:rPr>
        <w:rStyle w:val="PageNumber"/>
      </w:rPr>
      <w:fldChar w:fldCharType="end"/>
    </w:r>
  </w:p>
  <w:p w:rsidR="0029563E" w:rsidRDefault="002956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3E" w:rsidRDefault="00184200">
    <w:pPr>
      <w:pStyle w:val="Footer"/>
      <w:framePr w:wrap="around" w:vAnchor="text" w:hAnchor="margin" w:xAlign="center" w:y="1"/>
      <w:rPr>
        <w:rStyle w:val="PageNumber"/>
      </w:rPr>
    </w:pPr>
    <w:r>
      <w:rPr>
        <w:rStyle w:val="PageNumber"/>
      </w:rPr>
      <w:fldChar w:fldCharType="begin"/>
    </w:r>
    <w:r w:rsidR="0029563E">
      <w:rPr>
        <w:rStyle w:val="PageNumber"/>
      </w:rPr>
      <w:instrText xml:space="preserve">PAGE  </w:instrText>
    </w:r>
    <w:r>
      <w:rPr>
        <w:rStyle w:val="PageNumber"/>
      </w:rPr>
      <w:fldChar w:fldCharType="separate"/>
    </w:r>
    <w:r w:rsidR="009814BF">
      <w:rPr>
        <w:rStyle w:val="PageNumber"/>
        <w:noProof/>
      </w:rPr>
      <w:t>16</w:t>
    </w:r>
    <w:r>
      <w:rPr>
        <w:rStyle w:val="PageNumber"/>
      </w:rPr>
      <w:fldChar w:fldCharType="end"/>
    </w:r>
  </w:p>
  <w:p w:rsidR="0029563E" w:rsidRDefault="0029563E" w:rsidP="00333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E8" w:rsidRDefault="00637FE8">
      <w:r>
        <w:separator/>
      </w:r>
    </w:p>
  </w:footnote>
  <w:footnote w:type="continuationSeparator" w:id="0">
    <w:p w:rsidR="00637FE8" w:rsidRDefault="00637FE8">
      <w:r>
        <w:continuationSeparator/>
      </w:r>
    </w:p>
  </w:footnote>
  <w:footnote w:id="1">
    <w:p w:rsidR="00BB2ADA" w:rsidRPr="00662AEA" w:rsidRDefault="00BB2ADA">
      <w:pPr>
        <w:pStyle w:val="FootnoteText"/>
        <w:rPr>
          <w:sz w:val="22"/>
          <w:szCs w:val="22"/>
        </w:rPr>
      </w:pPr>
      <w:r w:rsidRPr="00662AEA">
        <w:rPr>
          <w:rStyle w:val="FootnoteReference"/>
          <w:sz w:val="22"/>
          <w:szCs w:val="22"/>
        </w:rPr>
        <w:footnoteRef/>
      </w:r>
      <w:r w:rsidRPr="00662AEA">
        <w:rPr>
          <w:sz w:val="22"/>
          <w:szCs w:val="22"/>
        </w:rPr>
        <w:t xml:space="preserve"> 73 P.S. §§ 1648.1 – 1648.8 and 66 Pa.C.S. § 2814.</w:t>
      </w:r>
    </w:p>
  </w:footnote>
  <w:footnote w:id="2">
    <w:p w:rsidR="00662AEA" w:rsidRPr="00662AEA" w:rsidRDefault="00662AEA">
      <w:pPr>
        <w:pStyle w:val="FootnoteText"/>
        <w:rPr>
          <w:sz w:val="22"/>
          <w:szCs w:val="22"/>
        </w:rPr>
      </w:pPr>
      <w:r w:rsidRPr="00662AEA">
        <w:rPr>
          <w:rStyle w:val="FootnoteReference"/>
          <w:sz w:val="22"/>
          <w:szCs w:val="22"/>
        </w:rPr>
        <w:footnoteRef/>
      </w:r>
      <w:r w:rsidRPr="00662AEA">
        <w:rPr>
          <w:sz w:val="22"/>
          <w:szCs w:val="22"/>
        </w:rPr>
        <w:t xml:space="preserve"> See Tentative Order entered on July 28, 2011, under the above referenced caption and docket number</w:t>
      </w:r>
      <w:r w:rsidR="007169CF">
        <w:rPr>
          <w:sz w:val="22"/>
          <w:szCs w:val="22"/>
        </w:rPr>
        <w:t xml:space="preserve"> (</w:t>
      </w:r>
      <w:r w:rsidR="007169CF" w:rsidRPr="007169CF">
        <w:rPr>
          <w:i/>
          <w:sz w:val="22"/>
          <w:szCs w:val="22"/>
        </w:rPr>
        <w:t>Tentative Order</w:t>
      </w:r>
      <w:r w:rsidR="007169CF">
        <w:rPr>
          <w:sz w:val="22"/>
          <w:szCs w:val="22"/>
        </w:rPr>
        <w:t>)</w:t>
      </w:r>
      <w:r w:rsidRPr="00662AEA">
        <w:rPr>
          <w:sz w:val="22"/>
          <w:szCs w:val="22"/>
        </w:rPr>
        <w:t>.</w:t>
      </w:r>
    </w:p>
  </w:footnote>
  <w:footnote w:id="3">
    <w:p w:rsidR="00210EF4" w:rsidRPr="00210EF4" w:rsidRDefault="00210EF4">
      <w:pPr>
        <w:pStyle w:val="FootnoteText"/>
        <w:rPr>
          <w:sz w:val="22"/>
          <w:szCs w:val="22"/>
        </w:rPr>
      </w:pPr>
      <w:r w:rsidRPr="00210EF4">
        <w:rPr>
          <w:rStyle w:val="FootnoteReference"/>
          <w:sz w:val="22"/>
          <w:szCs w:val="22"/>
        </w:rPr>
        <w:footnoteRef/>
      </w:r>
      <w:r w:rsidRPr="00210EF4">
        <w:rPr>
          <w:sz w:val="22"/>
          <w:szCs w:val="22"/>
        </w:rPr>
        <w:t xml:space="preserve"> 73 P.S. § 1648.7(a) and (b).</w:t>
      </w:r>
    </w:p>
  </w:footnote>
  <w:footnote w:id="4">
    <w:p w:rsidR="00210EF4" w:rsidRPr="00210EF4" w:rsidRDefault="00210EF4">
      <w:pPr>
        <w:pStyle w:val="FootnoteText"/>
        <w:rPr>
          <w:sz w:val="22"/>
          <w:szCs w:val="22"/>
        </w:rPr>
      </w:pPr>
      <w:r w:rsidRPr="00210EF4">
        <w:rPr>
          <w:rStyle w:val="FootnoteReference"/>
          <w:sz w:val="22"/>
          <w:szCs w:val="22"/>
        </w:rPr>
        <w:footnoteRef/>
      </w:r>
      <w:r w:rsidRPr="00210EF4">
        <w:rPr>
          <w:sz w:val="22"/>
          <w:szCs w:val="22"/>
        </w:rPr>
        <w:t xml:space="preserve"> 73 P.S. § 1648.2.</w:t>
      </w:r>
    </w:p>
  </w:footnote>
  <w:footnote w:id="5">
    <w:p w:rsidR="00210EF4" w:rsidRPr="00210EF4" w:rsidRDefault="00210EF4">
      <w:pPr>
        <w:pStyle w:val="FootnoteText"/>
        <w:rPr>
          <w:sz w:val="22"/>
          <w:szCs w:val="22"/>
        </w:rPr>
      </w:pPr>
      <w:r w:rsidRPr="00210EF4">
        <w:rPr>
          <w:rStyle w:val="FootnoteReference"/>
          <w:sz w:val="22"/>
          <w:szCs w:val="22"/>
        </w:rPr>
        <w:footnoteRef/>
      </w:r>
      <w:r w:rsidRPr="00210EF4">
        <w:rPr>
          <w:sz w:val="22"/>
          <w:szCs w:val="22"/>
        </w:rPr>
        <w:t xml:space="preserve"> 73 P.S. § 1648.2</w:t>
      </w:r>
      <w:r w:rsidR="00516F13">
        <w:rPr>
          <w:sz w:val="22"/>
          <w:szCs w:val="22"/>
        </w:rPr>
        <w:t xml:space="preserve"> (definition of net metering)</w:t>
      </w:r>
      <w:r w:rsidRPr="00210EF4">
        <w:rPr>
          <w:sz w:val="22"/>
          <w:szCs w:val="22"/>
        </w:rPr>
        <w:t>.</w:t>
      </w:r>
    </w:p>
  </w:footnote>
  <w:footnote w:id="6">
    <w:p w:rsidR="00987208" w:rsidRPr="00987208" w:rsidRDefault="00987208">
      <w:pPr>
        <w:pStyle w:val="FootnoteText"/>
        <w:rPr>
          <w:sz w:val="22"/>
          <w:szCs w:val="22"/>
        </w:rPr>
      </w:pPr>
      <w:r w:rsidRPr="00987208">
        <w:rPr>
          <w:rStyle w:val="FootnoteReference"/>
          <w:sz w:val="22"/>
          <w:szCs w:val="22"/>
        </w:rPr>
        <w:footnoteRef/>
      </w:r>
      <w:r w:rsidRPr="00987208">
        <w:rPr>
          <w:sz w:val="22"/>
          <w:szCs w:val="22"/>
        </w:rPr>
        <w:t xml:space="preserve"> 73 P.S. § 1648.2.</w:t>
      </w:r>
    </w:p>
  </w:footnote>
  <w:footnote w:id="7">
    <w:p w:rsidR="00CB2FB2" w:rsidRPr="00CB2FB2" w:rsidRDefault="00CB2FB2">
      <w:pPr>
        <w:pStyle w:val="FootnoteText"/>
        <w:rPr>
          <w:sz w:val="22"/>
          <w:szCs w:val="22"/>
        </w:rPr>
      </w:pPr>
      <w:r w:rsidRPr="00CB2FB2">
        <w:rPr>
          <w:rStyle w:val="FootnoteReference"/>
          <w:sz w:val="22"/>
          <w:szCs w:val="22"/>
        </w:rPr>
        <w:footnoteRef/>
      </w:r>
      <w:r w:rsidRPr="00CB2FB2">
        <w:rPr>
          <w:sz w:val="22"/>
          <w:szCs w:val="22"/>
        </w:rPr>
        <w:t xml:space="preserve"> 52 Pa. Code § 75.13(a).</w:t>
      </w:r>
    </w:p>
  </w:footnote>
  <w:footnote w:id="8">
    <w:p w:rsidR="00DF770A" w:rsidRPr="00DF770A" w:rsidRDefault="00DF770A">
      <w:pPr>
        <w:pStyle w:val="FootnoteText"/>
        <w:rPr>
          <w:sz w:val="22"/>
          <w:szCs w:val="22"/>
        </w:rPr>
      </w:pPr>
      <w:r w:rsidRPr="00DF770A">
        <w:rPr>
          <w:rStyle w:val="FootnoteReference"/>
          <w:sz w:val="22"/>
          <w:szCs w:val="22"/>
        </w:rPr>
        <w:footnoteRef/>
      </w:r>
      <w:r w:rsidRPr="00DF770A">
        <w:rPr>
          <w:sz w:val="22"/>
          <w:szCs w:val="22"/>
        </w:rPr>
        <w:t xml:space="preserve"> </w:t>
      </w:r>
      <w:r w:rsidRPr="00DF770A">
        <w:rPr>
          <w:i/>
          <w:sz w:val="22"/>
          <w:szCs w:val="22"/>
        </w:rPr>
        <w:t>Id</w:t>
      </w:r>
      <w:r w:rsidRPr="00DF770A">
        <w:rPr>
          <w:sz w:val="22"/>
          <w:szCs w:val="22"/>
        </w:rPr>
        <w:t>.</w:t>
      </w:r>
    </w:p>
  </w:footnote>
  <w:footnote w:id="9">
    <w:p w:rsidR="00CD7CBA" w:rsidRPr="00CD7CBA" w:rsidRDefault="00CD7CBA">
      <w:pPr>
        <w:pStyle w:val="FootnoteText"/>
        <w:rPr>
          <w:sz w:val="22"/>
          <w:szCs w:val="22"/>
        </w:rPr>
      </w:pPr>
      <w:r w:rsidRPr="00CD7CBA">
        <w:rPr>
          <w:rStyle w:val="FootnoteReference"/>
          <w:sz w:val="22"/>
          <w:szCs w:val="22"/>
        </w:rPr>
        <w:footnoteRef/>
      </w:r>
      <w:r w:rsidRPr="00CD7CBA">
        <w:rPr>
          <w:sz w:val="22"/>
          <w:szCs w:val="22"/>
        </w:rPr>
        <w:t xml:space="preserve"> 52 Pa. Code § 75.12.</w:t>
      </w:r>
    </w:p>
  </w:footnote>
  <w:footnote w:id="10">
    <w:p w:rsidR="00CD7CBA" w:rsidRPr="00CD7CBA" w:rsidRDefault="00CD7CBA">
      <w:pPr>
        <w:pStyle w:val="FootnoteText"/>
        <w:rPr>
          <w:sz w:val="22"/>
          <w:szCs w:val="22"/>
        </w:rPr>
      </w:pPr>
      <w:r w:rsidRPr="00CD7CBA">
        <w:rPr>
          <w:rStyle w:val="FootnoteReference"/>
          <w:sz w:val="22"/>
          <w:szCs w:val="22"/>
        </w:rPr>
        <w:footnoteRef/>
      </w:r>
      <w:r w:rsidRPr="00CD7CBA">
        <w:rPr>
          <w:sz w:val="22"/>
          <w:szCs w:val="22"/>
        </w:rPr>
        <w:t xml:space="preserve"> </w:t>
      </w:r>
      <w:r w:rsidRPr="00CD7CBA">
        <w:rPr>
          <w:i/>
          <w:sz w:val="22"/>
          <w:szCs w:val="22"/>
        </w:rPr>
        <w:t>Id</w:t>
      </w:r>
      <w:r w:rsidRPr="00CD7CBA">
        <w:rPr>
          <w:sz w:val="22"/>
          <w:szCs w:val="22"/>
        </w:rPr>
        <w:t>.</w:t>
      </w:r>
    </w:p>
  </w:footnote>
  <w:footnote w:id="11">
    <w:p w:rsidR="007B26D6" w:rsidRPr="007B26D6" w:rsidRDefault="007B26D6">
      <w:pPr>
        <w:pStyle w:val="FootnoteText"/>
        <w:rPr>
          <w:sz w:val="22"/>
          <w:szCs w:val="22"/>
        </w:rPr>
      </w:pPr>
      <w:r w:rsidRPr="007B26D6">
        <w:rPr>
          <w:rStyle w:val="FootnoteReference"/>
          <w:sz w:val="22"/>
          <w:szCs w:val="22"/>
        </w:rPr>
        <w:footnoteRef/>
      </w:r>
      <w:r w:rsidRPr="007B26D6">
        <w:rPr>
          <w:sz w:val="22"/>
          <w:szCs w:val="22"/>
        </w:rPr>
        <w:t xml:space="preserve"> </w:t>
      </w:r>
      <w:r w:rsidRPr="007B26D6">
        <w:rPr>
          <w:i/>
          <w:sz w:val="22"/>
          <w:szCs w:val="22"/>
        </w:rPr>
        <w:t>See</w:t>
      </w:r>
      <w:r w:rsidRPr="007B26D6">
        <w:rPr>
          <w:sz w:val="22"/>
          <w:szCs w:val="22"/>
        </w:rPr>
        <w:t xml:space="preserve"> 41 Pa. Bull. 4515.</w:t>
      </w:r>
    </w:p>
  </w:footnote>
  <w:footnote w:id="12">
    <w:p w:rsidR="00AE677B" w:rsidRPr="00312A2F" w:rsidRDefault="00AE677B">
      <w:pPr>
        <w:pStyle w:val="FootnoteText"/>
        <w:rPr>
          <w:sz w:val="22"/>
          <w:szCs w:val="22"/>
        </w:rPr>
      </w:pPr>
      <w:r w:rsidRPr="00312A2F">
        <w:rPr>
          <w:rStyle w:val="FootnoteReference"/>
          <w:sz w:val="22"/>
          <w:szCs w:val="22"/>
        </w:rPr>
        <w:footnoteRef/>
      </w:r>
      <w:r w:rsidRPr="00312A2F">
        <w:rPr>
          <w:sz w:val="22"/>
          <w:szCs w:val="22"/>
        </w:rPr>
        <w:t xml:space="preserve"> </w:t>
      </w:r>
      <w:r w:rsidRPr="00312A2F">
        <w:rPr>
          <w:i/>
          <w:sz w:val="22"/>
          <w:szCs w:val="22"/>
        </w:rPr>
        <w:t>See</w:t>
      </w:r>
      <w:r w:rsidRPr="00312A2F">
        <w:rPr>
          <w:sz w:val="22"/>
          <w:szCs w:val="22"/>
        </w:rPr>
        <w:t xml:space="preserve"> 73 P.S. § 1648.2.</w:t>
      </w:r>
    </w:p>
  </w:footnote>
  <w:footnote w:id="13">
    <w:p w:rsidR="009B6CFC" w:rsidRPr="00B53B57" w:rsidRDefault="009B6CFC" w:rsidP="009B6CFC">
      <w:pPr>
        <w:pStyle w:val="FootnoteText"/>
        <w:rPr>
          <w:sz w:val="22"/>
          <w:szCs w:val="22"/>
        </w:rPr>
      </w:pPr>
      <w:r w:rsidRPr="00B53B57">
        <w:rPr>
          <w:rStyle w:val="FootnoteReference"/>
          <w:sz w:val="22"/>
          <w:szCs w:val="22"/>
        </w:rPr>
        <w:footnoteRef/>
      </w:r>
      <w:r w:rsidRPr="00B53B57">
        <w:rPr>
          <w:sz w:val="22"/>
          <w:szCs w:val="22"/>
        </w:rPr>
        <w:t xml:space="preserve"> As measured by the customer-generator’s total electric usage in the 12 full months immediately preceding submission of the interconnection application.  In the event of a system expansion, the customer-generator would need to demonstrate that the expansion is designed not to exceed 110% of their electricity consumption in the 12 full months immediately preceding submission of the expansion application, in order to fall within the policy proposed in this Order.</w:t>
      </w:r>
    </w:p>
  </w:footnote>
  <w:footnote w:id="14">
    <w:p w:rsidR="009B6CFC" w:rsidRPr="00A815FE" w:rsidRDefault="009B6CFC" w:rsidP="009B6CFC">
      <w:pPr>
        <w:pStyle w:val="FootnoteText"/>
        <w:rPr>
          <w:sz w:val="22"/>
          <w:szCs w:val="22"/>
        </w:rPr>
      </w:pPr>
      <w:r w:rsidRPr="00A815FE">
        <w:rPr>
          <w:rStyle w:val="FootnoteReference"/>
          <w:sz w:val="22"/>
          <w:szCs w:val="22"/>
        </w:rPr>
        <w:footnoteRef/>
      </w:r>
      <w:r w:rsidRPr="00A815FE">
        <w:rPr>
          <w:sz w:val="22"/>
          <w:szCs w:val="22"/>
        </w:rPr>
        <w:t xml:space="preserve"> As set forth in the definition of “customer-generator” at 73 P.S. § 1648.2.</w:t>
      </w:r>
    </w:p>
  </w:footnote>
  <w:footnote w:id="15">
    <w:p w:rsidR="00D84148" w:rsidRPr="00312A2F" w:rsidRDefault="00D84148">
      <w:pPr>
        <w:pStyle w:val="FootnoteText"/>
        <w:rPr>
          <w:sz w:val="22"/>
          <w:szCs w:val="22"/>
        </w:rPr>
      </w:pPr>
      <w:r w:rsidRPr="00312A2F">
        <w:rPr>
          <w:rStyle w:val="FootnoteReference"/>
          <w:sz w:val="22"/>
          <w:szCs w:val="22"/>
        </w:rPr>
        <w:footnoteRef/>
      </w:r>
      <w:r w:rsidRPr="00312A2F">
        <w:rPr>
          <w:sz w:val="22"/>
          <w:szCs w:val="22"/>
        </w:rPr>
        <w:t xml:space="preserve"> See Citizen Power Comments at 2, </w:t>
      </w:r>
      <w:r w:rsidR="00ED7B63" w:rsidRPr="00312A2F">
        <w:rPr>
          <w:sz w:val="22"/>
          <w:szCs w:val="22"/>
        </w:rPr>
        <w:t xml:space="preserve">Duquesne Comments at 2, </w:t>
      </w:r>
      <w:r w:rsidR="009A711E" w:rsidRPr="00312A2F">
        <w:rPr>
          <w:sz w:val="22"/>
          <w:szCs w:val="22"/>
        </w:rPr>
        <w:t xml:space="preserve">EAP Comments at 3, FirstEnergy Comments at 2, </w:t>
      </w:r>
      <w:r w:rsidR="00290FA4" w:rsidRPr="00312A2F">
        <w:rPr>
          <w:sz w:val="22"/>
          <w:szCs w:val="22"/>
        </w:rPr>
        <w:t xml:space="preserve">IREC Comments at 2 and 3, OCA Comments, </w:t>
      </w:r>
      <w:r w:rsidR="00ED7B63" w:rsidRPr="00312A2F">
        <w:rPr>
          <w:sz w:val="22"/>
          <w:szCs w:val="22"/>
        </w:rPr>
        <w:t xml:space="preserve">PECO Comments at 2, PennFuture Comments at 2 and 3, </w:t>
      </w:r>
      <w:r w:rsidR="00442EB5" w:rsidRPr="00312A2F">
        <w:rPr>
          <w:sz w:val="22"/>
          <w:szCs w:val="22"/>
        </w:rPr>
        <w:t xml:space="preserve">PASEIA/MSEIA Comments at 2, </w:t>
      </w:r>
      <w:r w:rsidR="00ED7B63" w:rsidRPr="00312A2F">
        <w:rPr>
          <w:sz w:val="22"/>
          <w:szCs w:val="22"/>
        </w:rPr>
        <w:t>SA Comments, SunRun Comments at 1, Vote Solar Comments at 2, and WGES Comments at 1 and 3.</w:t>
      </w:r>
    </w:p>
  </w:footnote>
  <w:footnote w:id="16">
    <w:p w:rsidR="00B02A6B" w:rsidRPr="00312A2F" w:rsidRDefault="00B02A6B" w:rsidP="00B02A6B">
      <w:pPr>
        <w:pStyle w:val="FootnoteText"/>
        <w:rPr>
          <w:sz w:val="22"/>
          <w:szCs w:val="22"/>
        </w:rPr>
      </w:pPr>
      <w:r w:rsidRPr="00312A2F">
        <w:rPr>
          <w:rStyle w:val="FootnoteReference"/>
          <w:sz w:val="22"/>
          <w:szCs w:val="22"/>
        </w:rPr>
        <w:footnoteRef/>
      </w:r>
      <w:r w:rsidRPr="00312A2F">
        <w:rPr>
          <w:sz w:val="22"/>
          <w:szCs w:val="22"/>
        </w:rPr>
        <w:t xml:space="preserve"> </w:t>
      </w:r>
      <w:r w:rsidRPr="00312A2F">
        <w:rPr>
          <w:i/>
          <w:sz w:val="22"/>
          <w:szCs w:val="22"/>
        </w:rPr>
        <w:t>See</w:t>
      </w:r>
      <w:r w:rsidRPr="00312A2F">
        <w:rPr>
          <w:sz w:val="22"/>
          <w:szCs w:val="22"/>
        </w:rPr>
        <w:t xml:space="preserve"> 73 P.S. § 1648.2.</w:t>
      </w:r>
    </w:p>
  </w:footnote>
  <w:footnote w:id="17">
    <w:p w:rsidR="0061371D" w:rsidRDefault="0061371D">
      <w:pPr>
        <w:pStyle w:val="FootnoteText"/>
      </w:pPr>
      <w:r w:rsidRPr="00AB36BC">
        <w:rPr>
          <w:rStyle w:val="FootnoteReference"/>
          <w:sz w:val="22"/>
          <w:szCs w:val="22"/>
        </w:rPr>
        <w:footnoteRef/>
      </w:r>
      <w:r w:rsidRPr="00AB36BC">
        <w:rPr>
          <w:sz w:val="22"/>
          <w:szCs w:val="22"/>
        </w:rPr>
        <w:t xml:space="preserve"> </w:t>
      </w:r>
      <w:r w:rsidRPr="0061371D">
        <w:rPr>
          <w:sz w:val="22"/>
          <w:szCs w:val="22"/>
        </w:rPr>
        <w:t>Duquesne Comments at 3, IREC Comments at 8, PECO Comments at 2, PennFuture Comments at 3, SA Comments at 1, SunRun Comments at 1, Vote Solar Comments at 3.</w:t>
      </w:r>
    </w:p>
  </w:footnote>
  <w:footnote w:id="18">
    <w:p w:rsidR="00AB36BC" w:rsidRPr="00AB36BC" w:rsidRDefault="00AB36BC">
      <w:pPr>
        <w:pStyle w:val="FootnoteText"/>
        <w:rPr>
          <w:sz w:val="22"/>
          <w:szCs w:val="22"/>
        </w:rPr>
      </w:pPr>
      <w:r w:rsidRPr="00AB36BC">
        <w:rPr>
          <w:rStyle w:val="FootnoteReference"/>
          <w:sz w:val="22"/>
          <w:szCs w:val="22"/>
        </w:rPr>
        <w:footnoteRef/>
      </w:r>
      <w:r w:rsidRPr="00AB36BC">
        <w:rPr>
          <w:sz w:val="22"/>
          <w:szCs w:val="22"/>
        </w:rPr>
        <w:t xml:space="preserve"> PennFuture Comments at 3.</w:t>
      </w:r>
    </w:p>
  </w:footnote>
  <w:footnote w:id="19">
    <w:p w:rsidR="00D02046" w:rsidRPr="00D02046" w:rsidRDefault="00D02046">
      <w:pPr>
        <w:pStyle w:val="FootnoteText"/>
        <w:rPr>
          <w:sz w:val="22"/>
          <w:szCs w:val="22"/>
        </w:rPr>
      </w:pPr>
      <w:r w:rsidRPr="00D02046">
        <w:rPr>
          <w:rStyle w:val="FootnoteReference"/>
          <w:sz w:val="22"/>
          <w:szCs w:val="22"/>
        </w:rPr>
        <w:footnoteRef/>
      </w:r>
      <w:r w:rsidRPr="00D02046">
        <w:rPr>
          <w:sz w:val="22"/>
          <w:szCs w:val="22"/>
        </w:rPr>
        <w:t xml:space="preserve"> </w:t>
      </w:r>
      <w:r w:rsidR="00B26ECB">
        <w:rPr>
          <w:sz w:val="22"/>
          <w:szCs w:val="22"/>
        </w:rPr>
        <w:t>PASEIA/MSEIA</w:t>
      </w:r>
      <w:r w:rsidRPr="00D02046">
        <w:rPr>
          <w:sz w:val="22"/>
          <w:szCs w:val="22"/>
        </w:rPr>
        <w:t xml:space="preserve"> Comments at 2.</w:t>
      </w:r>
    </w:p>
  </w:footnote>
  <w:footnote w:id="20">
    <w:p w:rsidR="00D02046" w:rsidRPr="00D02046" w:rsidRDefault="00D02046">
      <w:pPr>
        <w:pStyle w:val="FootnoteText"/>
        <w:rPr>
          <w:sz w:val="22"/>
          <w:szCs w:val="22"/>
        </w:rPr>
      </w:pPr>
      <w:r w:rsidRPr="00D02046">
        <w:rPr>
          <w:rStyle w:val="FootnoteReference"/>
          <w:sz w:val="22"/>
          <w:szCs w:val="22"/>
        </w:rPr>
        <w:footnoteRef/>
      </w:r>
      <w:r w:rsidRPr="00D02046">
        <w:rPr>
          <w:sz w:val="22"/>
          <w:szCs w:val="22"/>
        </w:rPr>
        <w:t xml:space="preserve"> WGES Comments at 3 and 4 (citing COMAR 20.50.10.01 D).</w:t>
      </w:r>
    </w:p>
  </w:footnote>
  <w:footnote w:id="21">
    <w:p w:rsidR="00BE07B5" w:rsidRPr="006B3DCD" w:rsidRDefault="00BE07B5" w:rsidP="00BE07B5">
      <w:pPr>
        <w:pStyle w:val="FootnoteText"/>
        <w:rPr>
          <w:sz w:val="22"/>
          <w:szCs w:val="22"/>
        </w:rPr>
      </w:pPr>
      <w:r w:rsidRPr="006B3DCD">
        <w:rPr>
          <w:rStyle w:val="FootnoteReference"/>
          <w:sz w:val="22"/>
          <w:szCs w:val="22"/>
        </w:rPr>
        <w:footnoteRef/>
      </w:r>
      <w:r w:rsidRPr="006B3DCD">
        <w:rPr>
          <w:sz w:val="22"/>
          <w:szCs w:val="22"/>
        </w:rPr>
        <w:t xml:space="preserve"> We note that both Delaware and New Jersey impose a similar 110% design limit.  </w:t>
      </w:r>
      <w:r w:rsidRPr="006B3DCD">
        <w:rPr>
          <w:i/>
          <w:sz w:val="22"/>
          <w:szCs w:val="22"/>
        </w:rPr>
        <w:t>See</w:t>
      </w:r>
      <w:r w:rsidRPr="006B3DCD">
        <w:rPr>
          <w:sz w:val="22"/>
          <w:szCs w:val="22"/>
        </w:rPr>
        <w:t xml:space="preserve"> 26 Del.C. </w:t>
      </w:r>
      <w:r w:rsidR="00105563">
        <w:rPr>
          <w:sz w:val="22"/>
          <w:szCs w:val="22"/>
        </w:rPr>
        <w:t xml:space="preserve">          </w:t>
      </w:r>
      <w:r w:rsidRPr="006B3DCD">
        <w:rPr>
          <w:sz w:val="22"/>
          <w:szCs w:val="22"/>
        </w:rPr>
        <w:t>§ 1014(d)(5) and N.J.S.A. 4:1C-32.4a(4).</w:t>
      </w:r>
    </w:p>
  </w:footnote>
  <w:footnote w:id="22">
    <w:p w:rsidR="00BE07B5" w:rsidRPr="0090644B" w:rsidRDefault="00BE07B5" w:rsidP="00BE07B5">
      <w:pPr>
        <w:pStyle w:val="FootnoteText"/>
        <w:rPr>
          <w:sz w:val="22"/>
          <w:szCs w:val="22"/>
        </w:rPr>
      </w:pPr>
      <w:r w:rsidRPr="0090644B">
        <w:rPr>
          <w:rStyle w:val="FootnoteReference"/>
          <w:sz w:val="22"/>
          <w:szCs w:val="22"/>
        </w:rPr>
        <w:footnoteRef/>
      </w:r>
      <w:r w:rsidRPr="0090644B">
        <w:rPr>
          <w:sz w:val="22"/>
          <w:szCs w:val="22"/>
        </w:rPr>
        <w:t xml:space="preserve"> </w:t>
      </w:r>
      <w:r w:rsidR="006D059D">
        <w:rPr>
          <w:sz w:val="22"/>
          <w:szCs w:val="22"/>
        </w:rPr>
        <w:t xml:space="preserve">Duquesne Comments at 3, </w:t>
      </w:r>
      <w:r w:rsidRPr="0090644B">
        <w:rPr>
          <w:sz w:val="22"/>
          <w:szCs w:val="22"/>
        </w:rPr>
        <w:t>EAP Comments at 5</w:t>
      </w:r>
      <w:r w:rsidR="008F59EA">
        <w:rPr>
          <w:sz w:val="22"/>
          <w:szCs w:val="22"/>
        </w:rPr>
        <w:t xml:space="preserve"> and </w:t>
      </w:r>
      <w:r w:rsidR="006D059D">
        <w:rPr>
          <w:sz w:val="22"/>
          <w:szCs w:val="22"/>
        </w:rPr>
        <w:t>PECO</w:t>
      </w:r>
      <w:r w:rsidR="008F59EA">
        <w:rPr>
          <w:sz w:val="22"/>
          <w:szCs w:val="22"/>
        </w:rPr>
        <w:t xml:space="preserve"> Comments at </w:t>
      </w:r>
      <w:r w:rsidR="006D059D">
        <w:rPr>
          <w:sz w:val="22"/>
          <w:szCs w:val="22"/>
        </w:rPr>
        <w:t>4</w:t>
      </w:r>
      <w:r w:rsidRPr="0090644B">
        <w:rPr>
          <w:sz w:val="22"/>
          <w:szCs w:val="22"/>
        </w:rPr>
        <w:t>.</w:t>
      </w:r>
    </w:p>
  </w:footnote>
  <w:footnote w:id="23">
    <w:p w:rsidR="00E91CFF" w:rsidRPr="00E91CFF" w:rsidRDefault="00E91CFF">
      <w:pPr>
        <w:pStyle w:val="FootnoteText"/>
        <w:rPr>
          <w:sz w:val="22"/>
          <w:szCs w:val="22"/>
        </w:rPr>
      </w:pPr>
      <w:r w:rsidRPr="00E91CFF">
        <w:rPr>
          <w:rStyle w:val="FootnoteReference"/>
          <w:sz w:val="22"/>
          <w:szCs w:val="22"/>
        </w:rPr>
        <w:footnoteRef/>
      </w:r>
      <w:r w:rsidRPr="00E91CFF">
        <w:rPr>
          <w:sz w:val="22"/>
          <w:szCs w:val="22"/>
        </w:rPr>
        <w:t xml:space="preserve"> EAP Comments at 5.</w:t>
      </w:r>
    </w:p>
  </w:footnote>
  <w:footnote w:id="24">
    <w:p w:rsidR="00E608BD" w:rsidRPr="00E608BD" w:rsidRDefault="00E608BD">
      <w:pPr>
        <w:pStyle w:val="FootnoteText"/>
        <w:rPr>
          <w:sz w:val="22"/>
          <w:szCs w:val="22"/>
        </w:rPr>
      </w:pPr>
      <w:r w:rsidRPr="00E608BD">
        <w:rPr>
          <w:rStyle w:val="FootnoteReference"/>
          <w:sz w:val="22"/>
          <w:szCs w:val="22"/>
        </w:rPr>
        <w:footnoteRef/>
      </w:r>
      <w:r w:rsidRPr="00E608BD">
        <w:rPr>
          <w:sz w:val="22"/>
          <w:szCs w:val="22"/>
        </w:rPr>
        <w:t xml:space="preserve"> FirstEnergy Comments at 4.</w:t>
      </w:r>
    </w:p>
  </w:footnote>
  <w:footnote w:id="25">
    <w:p w:rsidR="00265C06" w:rsidRPr="00265C06" w:rsidRDefault="00265C06">
      <w:pPr>
        <w:pStyle w:val="FootnoteText"/>
        <w:rPr>
          <w:sz w:val="22"/>
          <w:szCs w:val="22"/>
        </w:rPr>
      </w:pPr>
      <w:r w:rsidRPr="00265C06">
        <w:rPr>
          <w:rStyle w:val="FootnoteReference"/>
          <w:sz w:val="22"/>
          <w:szCs w:val="22"/>
        </w:rPr>
        <w:footnoteRef/>
      </w:r>
      <w:r w:rsidRPr="00265C06">
        <w:rPr>
          <w:sz w:val="22"/>
          <w:szCs w:val="22"/>
        </w:rPr>
        <w:t xml:space="preserve"> PASEIA/MSEIA Comments at 3 and 5, PennFuture Comments at 3.</w:t>
      </w:r>
    </w:p>
  </w:footnote>
  <w:footnote w:id="26">
    <w:p w:rsidR="006B58A6" w:rsidRPr="006B58A6" w:rsidRDefault="006B58A6">
      <w:pPr>
        <w:pStyle w:val="FootnoteText"/>
        <w:rPr>
          <w:sz w:val="22"/>
          <w:szCs w:val="22"/>
        </w:rPr>
      </w:pPr>
      <w:r w:rsidRPr="006B58A6">
        <w:rPr>
          <w:rStyle w:val="FootnoteReference"/>
          <w:sz w:val="22"/>
          <w:szCs w:val="22"/>
        </w:rPr>
        <w:footnoteRef/>
      </w:r>
      <w:r w:rsidRPr="006B58A6">
        <w:rPr>
          <w:sz w:val="22"/>
          <w:szCs w:val="22"/>
        </w:rPr>
        <w:t xml:space="preserve"> Duquesne Comments at 4.</w:t>
      </w:r>
    </w:p>
  </w:footnote>
  <w:footnote w:id="27">
    <w:p w:rsidR="006B58A6" w:rsidRPr="006B58A6" w:rsidRDefault="006B58A6">
      <w:pPr>
        <w:pStyle w:val="FootnoteText"/>
        <w:rPr>
          <w:sz w:val="22"/>
          <w:szCs w:val="22"/>
        </w:rPr>
      </w:pPr>
      <w:r w:rsidRPr="006B58A6">
        <w:rPr>
          <w:rStyle w:val="FootnoteReference"/>
          <w:sz w:val="22"/>
          <w:szCs w:val="22"/>
        </w:rPr>
        <w:footnoteRef/>
      </w:r>
      <w:r w:rsidRPr="006B58A6">
        <w:rPr>
          <w:sz w:val="22"/>
          <w:szCs w:val="22"/>
        </w:rPr>
        <w:t xml:space="preserve"> </w:t>
      </w:r>
      <w:r w:rsidRPr="006B58A6">
        <w:rPr>
          <w:i/>
          <w:sz w:val="22"/>
          <w:szCs w:val="22"/>
        </w:rPr>
        <w:t>Id</w:t>
      </w:r>
      <w:r w:rsidRPr="006B58A6">
        <w:rPr>
          <w:sz w:val="22"/>
          <w:szCs w:val="22"/>
        </w:rPr>
        <w:t>.</w:t>
      </w:r>
    </w:p>
  </w:footnote>
  <w:footnote w:id="28">
    <w:p w:rsidR="005B3F47" w:rsidRPr="005B3F47" w:rsidRDefault="005B3F47">
      <w:pPr>
        <w:pStyle w:val="FootnoteText"/>
        <w:rPr>
          <w:sz w:val="22"/>
          <w:szCs w:val="22"/>
        </w:rPr>
      </w:pPr>
      <w:r w:rsidRPr="005B3F47">
        <w:rPr>
          <w:rStyle w:val="FootnoteReference"/>
          <w:sz w:val="22"/>
          <w:szCs w:val="22"/>
        </w:rPr>
        <w:footnoteRef/>
      </w:r>
      <w:r w:rsidRPr="005B3F47">
        <w:rPr>
          <w:sz w:val="22"/>
          <w:szCs w:val="22"/>
        </w:rPr>
        <w:t xml:space="preserve"> FirstEnergy Comments at 3.</w:t>
      </w:r>
    </w:p>
  </w:footnote>
  <w:footnote w:id="29">
    <w:p w:rsidR="005B3F47" w:rsidRPr="005B3F47" w:rsidRDefault="005B3F47">
      <w:pPr>
        <w:pStyle w:val="FootnoteText"/>
        <w:rPr>
          <w:sz w:val="22"/>
          <w:szCs w:val="22"/>
        </w:rPr>
      </w:pPr>
      <w:r w:rsidRPr="005B3F47">
        <w:rPr>
          <w:rStyle w:val="FootnoteReference"/>
          <w:sz w:val="22"/>
          <w:szCs w:val="22"/>
        </w:rPr>
        <w:footnoteRef/>
      </w:r>
      <w:r w:rsidRPr="005B3F47">
        <w:rPr>
          <w:sz w:val="22"/>
          <w:szCs w:val="22"/>
        </w:rPr>
        <w:t xml:space="preserve"> PECO Comments at 4.</w:t>
      </w:r>
    </w:p>
  </w:footnote>
  <w:footnote w:id="30">
    <w:p w:rsidR="00254620" w:rsidRPr="00254620" w:rsidRDefault="00254620">
      <w:pPr>
        <w:pStyle w:val="FootnoteText"/>
        <w:rPr>
          <w:sz w:val="22"/>
          <w:szCs w:val="22"/>
        </w:rPr>
      </w:pPr>
      <w:r w:rsidRPr="00254620">
        <w:rPr>
          <w:rStyle w:val="FootnoteReference"/>
          <w:sz w:val="22"/>
          <w:szCs w:val="22"/>
        </w:rPr>
        <w:footnoteRef/>
      </w:r>
      <w:r w:rsidRPr="00254620">
        <w:rPr>
          <w:sz w:val="22"/>
          <w:szCs w:val="22"/>
        </w:rPr>
        <w:t xml:space="preserve"> See 73 P.S. § 1648.2 (definition of net metering).</w:t>
      </w:r>
    </w:p>
  </w:footnote>
  <w:footnote w:id="31">
    <w:p w:rsidR="00254620" w:rsidRPr="00254620" w:rsidRDefault="00254620">
      <w:pPr>
        <w:pStyle w:val="FootnoteText"/>
        <w:rPr>
          <w:sz w:val="22"/>
          <w:szCs w:val="22"/>
        </w:rPr>
      </w:pPr>
      <w:r w:rsidRPr="00254620">
        <w:rPr>
          <w:rStyle w:val="FootnoteReference"/>
          <w:sz w:val="22"/>
          <w:szCs w:val="22"/>
        </w:rPr>
        <w:footnoteRef/>
      </w:r>
      <w:r w:rsidRPr="00254620">
        <w:rPr>
          <w:sz w:val="22"/>
          <w:szCs w:val="22"/>
        </w:rPr>
        <w:t xml:space="preserve"> See 52 Pa. Code § 75.12 (definition of virtual meter aggregation).</w:t>
      </w:r>
    </w:p>
  </w:footnote>
  <w:footnote w:id="32">
    <w:p w:rsidR="00982B62" w:rsidRPr="00982B62" w:rsidRDefault="00982B62">
      <w:pPr>
        <w:pStyle w:val="FootnoteText"/>
        <w:rPr>
          <w:sz w:val="22"/>
          <w:szCs w:val="22"/>
        </w:rPr>
      </w:pPr>
      <w:r w:rsidRPr="00982B62">
        <w:rPr>
          <w:rStyle w:val="FootnoteReference"/>
          <w:sz w:val="22"/>
          <w:szCs w:val="22"/>
        </w:rPr>
        <w:footnoteRef/>
      </w:r>
      <w:r w:rsidRPr="00982B62">
        <w:rPr>
          <w:sz w:val="22"/>
          <w:szCs w:val="22"/>
        </w:rPr>
        <w:t xml:space="preserve"> Citizen Power Comments at 2 and 3, IREC Comments at 9, PASEIA/MSEIA Comments at 3, PECO Comments at 5 and 6, SA Comments at 1, SunRun Comments at 2, and Vote Solar Comments at 4.</w:t>
      </w:r>
    </w:p>
  </w:footnote>
  <w:footnote w:id="33">
    <w:p w:rsidR="00982B62" w:rsidRPr="00982B62" w:rsidRDefault="00982B62">
      <w:pPr>
        <w:pStyle w:val="FootnoteText"/>
        <w:rPr>
          <w:sz w:val="22"/>
          <w:szCs w:val="22"/>
        </w:rPr>
      </w:pPr>
      <w:r w:rsidRPr="00982B62">
        <w:rPr>
          <w:rStyle w:val="FootnoteReference"/>
          <w:sz w:val="22"/>
          <w:szCs w:val="22"/>
        </w:rPr>
        <w:footnoteRef/>
      </w:r>
      <w:r w:rsidRPr="00982B62">
        <w:rPr>
          <w:sz w:val="22"/>
          <w:szCs w:val="22"/>
        </w:rPr>
        <w:t xml:space="preserve"> Citizen Power Comments at 3, SA Comments at 1, and SunRun Comments at 2.</w:t>
      </w:r>
    </w:p>
  </w:footnote>
  <w:footnote w:id="34">
    <w:p w:rsidR="00982B62" w:rsidRPr="00982B62" w:rsidRDefault="00982B62">
      <w:pPr>
        <w:pStyle w:val="FootnoteText"/>
        <w:rPr>
          <w:sz w:val="22"/>
          <w:szCs w:val="22"/>
        </w:rPr>
      </w:pPr>
      <w:r w:rsidRPr="00982B62">
        <w:rPr>
          <w:rStyle w:val="FootnoteReference"/>
          <w:sz w:val="22"/>
          <w:szCs w:val="22"/>
        </w:rPr>
        <w:footnoteRef/>
      </w:r>
      <w:r w:rsidRPr="00982B62">
        <w:rPr>
          <w:sz w:val="22"/>
          <w:szCs w:val="22"/>
        </w:rPr>
        <w:t xml:space="preserve"> SA Comments at 1 and SunRun Comments at 2.</w:t>
      </w:r>
    </w:p>
  </w:footnote>
  <w:footnote w:id="35">
    <w:p w:rsidR="005F3C25" w:rsidRPr="005F3C25" w:rsidRDefault="005F3C25">
      <w:pPr>
        <w:pStyle w:val="FootnoteText"/>
        <w:rPr>
          <w:sz w:val="22"/>
          <w:szCs w:val="22"/>
        </w:rPr>
      </w:pPr>
      <w:r w:rsidRPr="005F3C25">
        <w:rPr>
          <w:rStyle w:val="FootnoteReference"/>
          <w:sz w:val="22"/>
          <w:szCs w:val="22"/>
        </w:rPr>
        <w:footnoteRef/>
      </w:r>
      <w:r w:rsidRPr="005F3C25">
        <w:rPr>
          <w:sz w:val="22"/>
          <w:szCs w:val="22"/>
        </w:rPr>
        <w:t xml:space="preserve"> FirstEnergy Comments at 4 and PECO Comments at 6.</w:t>
      </w:r>
    </w:p>
  </w:footnote>
  <w:footnote w:id="36">
    <w:p w:rsidR="005F3C25" w:rsidRPr="005F3C25" w:rsidRDefault="005F3C25">
      <w:pPr>
        <w:pStyle w:val="FootnoteText"/>
        <w:rPr>
          <w:sz w:val="22"/>
          <w:szCs w:val="22"/>
        </w:rPr>
      </w:pPr>
      <w:r w:rsidRPr="005F3C25">
        <w:rPr>
          <w:rStyle w:val="FootnoteReference"/>
          <w:sz w:val="22"/>
          <w:szCs w:val="22"/>
        </w:rPr>
        <w:footnoteRef/>
      </w:r>
      <w:r w:rsidRPr="005F3C25">
        <w:rPr>
          <w:sz w:val="22"/>
          <w:szCs w:val="22"/>
        </w:rPr>
        <w:t xml:space="preserve"> PASEIA/MSEIA Comments at 3.</w:t>
      </w:r>
    </w:p>
  </w:footnote>
  <w:footnote w:id="37">
    <w:p w:rsidR="002D03F5" w:rsidRPr="002D03F5" w:rsidRDefault="002D03F5">
      <w:pPr>
        <w:pStyle w:val="FootnoteText"/>
        <w:rPr>
          <w:sz w:val="22"/>
          <w:szCs w:val="22"/>
        </w:rPr>
      </w:pPr>
      <w:r w:rsidRPr="002D03F5">
        <w:rPr>
          <w:rStyle w:val="FootnoteReference"/>
          <w:sz w:val="22"/>
          <w:szCs w:val="22"/>
        </w:rPr>
        <w:footnoteRef/>
      </w:r>
      <w:r w:rsidRPr="002D03F5">
        <w:rPr>
          <w:sz w:val="22"/>
          <w:szCs w:val="22"/>
        </w:rPr>
        <w:t xml:space="preserve"> EAP Comments at 6 and PECO Comments at 5.</w:t>
      </w:r>
    </w:p>
  </w:footnote>
  <w:footnote w:id="38">
    <w:p w:rsidR="00B976E9" w:rsidRDefault="0029563E" w:rsidP="006E3C2C">
      <w:pPr>
        <w:pStyle w:val="FootnoteText"/>
      </w:pPr>
      <w:r w:rsidRPr="004275F7">
        <w:rPr>
          <w:rStyle w:val="FootnoteReference"/>
          <w:sz w:val="22"/>
          <w:szCs w:val="22"/>
        </w:rPr>
        <w:footnoteRef/>
      </w:r>
      <w:r w:rsidRPr="004275F7">
        <w:rPr>
          <w:sz w:val="22"/>
          <w:szCs w:val="22"/>
        </w:rPr>
        <w:t xml:space="preserve"> </w:t>
      </w:r>
      <w:hyperlink r:id="rId1" w:history="1">
        <w:r w:rsidR="00B976E9" w:rsidRPr="00921999">
          <w:rPr>
            <w:rStyle w:val="Hyperlink"/>
            <w:sz w:val="22"/>
            <w:szCs w:val="22"/>
          </w:rPr>
          <w:t>http://www.puc.state.pa.us/electric/electric_alt_energy.aspx</w:t>
        </w:r>
      </w:hyperlink>
      <w:r w:rsidR="00B976E9">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3E" w:rsidRPr="00BE11E5" w:rsidRDefault="0029563E" w:rsidP="00333082">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5F8"/>
    <w:multiLevelType w:val="hybridMultilevel"/>
    <w:tmpl w:val="7FE6FF1A"/>
    <w:lvl w:ilvl="0" w:tplc="C02C13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093654"/>
    <w:multiLevelType w:val="hybridMultilevel"/>
    <w:tmpl w:val="B44C580E"/>
    <w:lvl w:ilvl="0" w:tplc="F1CE03A6">
      <w:start w:val="1"/>
      <w:numFmt w:val="decimal"/>
      <w:lvlText w:val="%1."/>
      <w:lvlJc w:val="left"/>
      <w:pPr>
        <w:ind w:left="720" w:hanging="360"/>
      </w:pPr>
      <w:rPr>
        <w:rFonts w:hint="default"/>
      </w:rPr>
    </w:lvl>
    <w:lvl w:ilvl="1" w:tplc="17E27DF4">
      <w:start w:val="1"/>
      <w:numFmt w:val="lowerLetter"/>
      <w:lvlText w:val="%2."/>
      <w:lvlJc w:val="left"/>
      <w:pPr>
        <w:ind w:left="1440" w:hanging="360"/>
      </w:pPr>
      <w:rPr>
        <w:b/>
      </w:rPr>
    </w:lvl>
    <w:lvl w:ilvl="2" w:tplc="95BA7DAC">
      <w:start w:val="1"/>
      <w:numFmt w:val="decimal"/>
      <w:lvlText w:val="(%3)"/>
      <w:lvlJc w:val="left"/>
      <w:pPr>
        <w:ind w:left="2340" w:hanging="36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85AE6"/>
    <w:multiLevelType w:val="hybridMultilevel"/>
    <w:tmpl w:val="E912D3EE"/>
    <w:lvl w:ilvl="0" w:tplc="5B72BFD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BD725D"/>
    <w:multiLevelType w:val="hybridMultilevel"/>
    <w:tmpl w:val="43FEF8CE"/>
    <w:lvl w:ilvl="0" w:tplc="4DB0C4BE">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
    <w:nsid w:val="0EB86486"/>
    <w:multiLevelType w:val="hybridMultilevel"/>
    <w:tmpl w:val="4C664720"/>
    <w:lvl w:ilvl="0" w:tplc="6458E4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5052A"/>
    <w:multiLevelType w:val="hybridMultilevel"/>
    <w:tmpl w:val="EB64E4C0"/>
    <w:lvl w:ilvl="0" w:tplc="2C1ED4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574775"/>
    <w:multiLevelType w:val="multilevel"/>
    <w:tmpl w:val="DFC2B9BE"/>
    <w:lvl w:ilvl="0">
      <w:start w:val="2"/>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777E56"/>
    <w:multiLevelType w:val="multilevel"/>
    <w:tmpl w:val="F660763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0A87252"/>
    <w:multiLevelType w:val="hybridMultilevel"/>
    <w:tmpl w:val="2342E8B2"/>
    <w:lvl w:ilvl="0" w:tplc="3EA48D8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452F95"/>
    <w:multiLevelType w:val="hybridMultilevel"/>
    <w:tmpl w:val="4B904370"/>
    <w:lvl w:ilvl="0" w:tplc="BC327C4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7A7EAC"/>
    <w:multiLevelType w:val="hybridMultilevel"/>
    <w:tmpl w:val="DD9644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6A3C99"/>
    <w:multiLevelType w:val="hybridMultilevel"/>
    <w:tmpl w:val="67407AFA"/>
    <w:lvl w:ilvl="0" w:tplc="97A8AE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8266346"/>
    <w:multiLevelType w:val="hybridMultilevel"/>
    <w:tmpl w:val="71A650AA"/>
    <w:lvl w:ilvl="0" w:tplc="041615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E86198"/>
    <w:multiLevelType w:val="hybridMultilevel"/>
    <w:tmpl w:val="979A6870"/>
    <w:lvl w:ilvl="0" w:tplc="CEA66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E806B5"/>
    <w:multiLevelType w:val="hybridMultilevel"/>
    <w:tmpl w:val="EC6447DC"/>
    <w:lvl w:ilvl="0" w:tplc="2F402D98">
      <w:start w:val="1"/>
      <w:numFmt w:val="decimal"/>
      <w:lvlText w:val="%1."/>
      <w:lvlJc w:val="left"/>
      <w:pPr>
        <w:tabs>
          <w:tab w:val="num" w:pos="1440"/>
        </w:tabs>
        <w:ind w:left="144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19F5758"/>
    <w:multiLevelType w:val="hybridMultilevel"/>
    <w:tmpl w:val="13C0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B41311"/>
    <w:multiLevelType w:val="multilevel"/>
    <w:tmpl w:val="E88AB1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0F4826"/>
    <w:multiLevelType w:val="hybridMultilevel"/>
    <w:tmpl w:val="EC4482E6"/>
    <w:lvl w:ilvl="0" w:tplc="2AA68C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8342A61"/>
    <w:multiLevelType w:val="hybridMultilevel"/>
    <w:tmpl w:val="87D8E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F870A2"/>
    <w:multiLevelType w:val="hybridMultilevel"/>
    <w:tmpl w:val="AA783F16"/>
    <w:lvl w:ilvl="0" w:tplc="04090019">
      <w:start w:val="1"/>
      <w:numFmt w:val="lowerLetter"/>
      <w:lvlText w:val="%1."/>
      <w:lvlJc w:val="left"/>
      <w:pPr>
        <w:tabs>
          <w:tab w:val="num" w:pos="1440"/>
        </w:tabs>
        <w:ind w:left="1440" w:hanging="360"/>
      </w:pPr>
    </w:lvl>
    <w:lvl w:ilvl="1" w:tplc="DF10222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8072AC"/>
    <w:multiLevelType w:val="hybridMultilevel"/>
    <w:tmpl w:val="E4146908"/>
    <w:lvl w:ilvl="0" w:tplc="4D60B23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8B56A23"/>
    <w:multiLevelType w:val="hybridMultilevel"/>
    <w:tmpl w:val="3DDC7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725CC"/>
    <w:multiLevelType w:val="hybridMultilevel"/>
    <w:tmpl w:val="3FE47F4A"/>
    <w:lvl w:ilvl="0" w:tplc="4D60B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1303E5"/>
    <w:multiLevelType w:val="hybridMultilevel"/>
    <w:tmpl w:val="44A616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062D54"/>
    <w:multiLevelType w:val="hybridMultilevel"/>
    <w:tmpl w:val="7116E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1F286A"/>
    <w:multiLevelType w:val="hybridMultilevel"/>
    <w:tmpl w:val="333C0A90"/>
    <w:lvl w:ilvl="0" w:tplc="4D60B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D14EE8"/>
    <w:multiLevelType w:val="hybridMultilevel"/>
    <w:tmpl w:val="E88AB1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6"/>
  </w:num>
  <w:num w:numId="4">
    <w:abstractNumId w:val="19"/>
  </w:num>
  <w:num w:numId="5">
    <w:abstractNumId w:val="16"/>
  </w:num>
  <w:num w:numId="6">
    <w:abstractNumId w:val="8"/>
  </w:num>
  <w:num w:numId="7">
    <w:abstractNumId w:val="7"/>
  </w:num>
  <w:num w:numId="8">
    <w:abstractNumId w:val="6"/>
  </w:num>
  <w:num w:numId="9">
    <w:abstractNumId w:val="21"/>
  </w:num>
  <w:num w:numId="10">
    <w:abstractNumId w:val="17"/>
  </w:num>
  <w:num w:numId="11">
    <w:abstractNumId w:val="2"/>
  </w:num>
  <w:num w:numId="12">
    <w:abstractNumId w:val="18"/>
  </w:num>
  <w:num w:numId="13">
    <w:abstractNumId w:val="0"/>
  </w:num>
  <w:num w:numId="14">
    <w:abstractNumId w:val="11"/>
  </w:num>
  <w:num w:numId="15">
    <w:abstractNumId w:val="13"/>
  </w:num>
  <w:num w:numId="16">
    <w:abstractNumId w:val="3"/>
  </w:num>
  <w:num w:numId="17">
    <w:abstractNumId w:val="22"/>
  </w:num>
  <w:num w:numId="18">
    <w:abstractNumId w:val="20"/>
  </w:num>
  <w:num w:numId="19">
    <w:abstractNumId w:val="25"/>
  </w:num>
  <w:num w:numId="20">
    <w:abstractNumId w:val="24"/>
  </w:num>
  <w:num w:numId="21">
    <w:abstractNumId w:val="4"/>
  </w:num>
  <w:num w:numId="22">
    <w:abstractNumId w:val="15"/>
  </w:num>
  <w:num w:numId="23">
    <w:abstractNumId w:val="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B7"/>
    <w:rsid w:val="00001389"/>
    <w:rsid w:val="000029DE"/>
    <w:rsid w:val="000029EB"/>
    <w:rsid w:val="00002FEC"/>
    <w:rsid w:val="000037D3"/>
    <w:rsid w:val="0000388F"/>
    <w:rsid w:val="00003D51"/>
    <w:rsid w:val="00003EEC"/>
    <w:rsid w:val="000048FB"/>
    <w:rsid w:val="00004CA2"/>
    <w:rsid w:val="00004D01"/>
    <w:rsid w:val="00004FE6"/>
    <w:rsid w:val="00005153"/>
    <w:rsid w:val="00005D62"/>
    <w:rsid w:val="00005F24"/>
    <w:rsid w:val="00006857"/>
    <w:rsid w:val="00006881"/>
    <w:rsid w:val="00006F46"/>
    <w:rsid w:val="00007549"/>
    <w:rsid w:val="00007CCE"/>
    <w:rsid w:val="00010272"/>
    <w:rsid w:val="00010DAE"/>
    <w:rsid w:val="0001165D"/>
    <w:rsid w:val="00011EC6"/>
    <w:rsid w:val="00011F7A"/>
    <w:rsid w:val="000126CE"/>
    <w:rsid w:val="00012AA6"/>
    <w:rsid w:val="00012B02"/>
    <w:rsid w:val="00013528"/>
    <w:rsid w:val="00013AC7"/>
    <w:rsid w:val="00013F1B"/>
    <w:rsid w:val="0001438E"/>
    <w:rsid w:val="0001463F"/>
    <w:rsid w:val="00014E0D"/>
    <w:rsid w:val="000152EB"/>
    <w:rsid w:val="00015FAE"/>
    <w:rsid w:val="00016023"/>
    <w:rsid w:val="00017C88"/>
    <w:rsid w:val="00020E66"/>
    <w:rsid w:val="000217A8"/>
    <w:rsid w:val="00021B58"/>
    <w:rsid w:val="00022350"/>
    <w:rsid w:val="00022436"/>
    <w:rsid w:val="00023228"/>
    <w:rsid w:val="00023CAF"/>
    <w:rsid w:val="000243A3"/>
    <w:rsid w:val="000254A6"/>
    <w:rsid w:val="000259F5"/>
    <w:rsid w:val="00025C3F"/>
    <w:rsid w:val="0002683F"/>
    <w:rsid w:val="00027250"/>
    <w:rsid w:val="00027B25"/>
    <w:rsid w:val="00027FF3"/>
    <w:rsid w:val="00030541"/>
    <w:rsid w:val="0003088A"/>
    <w:rsid w:val="00030E0F"/>
    <w:rsid w:val="0003111F"/>
    <w:rsid w:val="000313CE"/>
    <w:rsid w:val="0003183F"/>
    <w:rsid w:val="00032493"/>
    <w:rsid w:val="000329E6"/>
    <w:rsid w:val="00032EB7"/>
    <w:rsid w:val="00033981"/>
    <w:rsid w:val="00034237"/>
    <w:rsid w:val="00034F05"/>
    <w:rsid w:val="000354E3"/>
    <w:rsid w:val="000355D0"/>
    <w:rsid w:val="00036060"/>
    <w:rsid w:val="000367A9"/>
    <w:rsid w:val="00040B4F"/>
    <w:rsid w:val="000410D7"/>
    <w:rsid w:val="000417E7"/>
    <w:rsid w:val="00041D18"/>
    <w:rsid w:val="00042420"/>
    <w:rsid w:val="0004284A"/>
    <w:rsid w:val="00042955"/>
    <w:rsid w:val="000437C4"/>
    <w:rsid w:val="00044332"/>
    <w:rsid w:val="000443FC"/>
    <w:rsid w:val="00044B11"/>
    <w:rsid w:val="000455D0"/>
    <w:rsid w:val="00045D10"/>
    <w:rsid w:val="00050998"/>
    <w:rsid w:val="0005109F"/>
    <w:rsid w:val="000510F6"/>
    <w:rsid w:val="00051D0C"/>
    <w:rsid w:val="00051FFA"/>
    <w:rsid w:val="0005209D"/>
    <w:rsid w:val="00052340"/>
    <w:rsid w:val="000536DF"/>
    <w:rsid w:val="000546C3"/>
    <w:rsid w:val="00054C02"/>
    <w:rsid w:val="00054D1F"/>
    <w:rsid w:val="00054E48"/>
    <w:rsid w:val="000557CB"/>
    <w:rsid w:val="00055E94"/>
    <w:rsid w:val="000561AC"/>
    <w:rsid w:val="00056579"/>
    <w:rsid w:val="0005777B"/>
    <w:rsid w:val="00057C40"/>
    <w:rsid w:val="00060B3E"/>
    <w:rsid w:val="00061927"/>
    <w:rsid w:val="00061CE5"/>
    <w:rsid w:val="00062A9D"/>
    <w:rsid w:val="000631B1"/>
    <w:rsid w:val="00063604"/>
    <w:rsid w:val="000659AF"/>
    <w:rsid w:val="000665D3"/>
    <w:rsid w:val="000672B2"/>
    <w:rsid w:val="0007097B"/>
    <w:rsid w:val="00070D36"/>
    <w:rsid w:val="000714FE"/>
    <w:rsid w:val="00071ACB"/>
    <w:rsid w:val="00071CBE"/>
    <w:rsid w:val="0007252C"/>
    <w:rsid w:val="000728E1"/>
    <w:rsid w:val="000735E6"/>
    <w:rsid w:val="0007368D"/>
    <w:rsid w:val="00074272"/>
    <w:rsid w:val="0007441E"/>
    <w:rsid w:val="000749D4"/>
    <w:rsid w:val="00074ED4"/>
    <w:rsid w:val="00075454"/>
    <w:rsid w:val="00075478"/>
    <w:rsid w:val="000756F4"/>
    <w:rsid w:val="00075D12"/>
    <w:rsid w:val="00075FF7"/>
    <w:rsid w:val="0007782B"/>
    <w:rsid w:val="000779AD"/>
    <w:rsid w:val="00081D52"/>
    <w:rsid w:val="00083EB7"/>
    <w:rsid w:val="000842F7"/>
    <w:rsid w:val="00084808"/>
    <w:rsid w:val="000862BC"/>
    <w:rsid w:val="00086469"/>
    <w:rsid w:val="000866DD"/>
    <w:rsid w:val="00086A32"/>
    <w:rsid w:val="00086B52"/>
    <w:rsid w:val="00086E17"/>
    <w:rsid w:val="00087BE7"/>
    <w:rsid w:val="000905E6"/>
    <w:rsid w:val="000908E1"/>
    <w:rsid w:val="00090E58"/>
    <w:rsid w:val="0009149F"/>
    <w:rsid w:val="00091C91"/>
    <w:rsid w:val="00091F80"/>
    <w:rsid w:val="000935D9"/>
    <w:rsid w:val="00093C06"/>
    <w:rsid w:val="00093D72"/>
    <w:rsid w:val="00094069"/>
    <w:rsid w:val="00095206"/>
    <w:rsid w:val="00095431"/>
    <w:rsid w:val="00095A37"/>
    <w:rsid w:val="00095EE0"/>
    <w:rsid w:val="00097AA6"/>
    <w:rsid w:val="00097DB4"/>
    <w:rsid w:val="000A0958"/>
    <w:rsid w:val="000A0F76"/>
    <w:rsid w:val="000A12A3"/>
    <w:rsid w:val="000A135C"/>
    <w:rsid w:val="000A1993"/>
    <w:rsid w:val="000A1C0F"/>
    <w:rsid w:val="000A24BE"/>
    <w:rsid w:val="000A2AA2"/>
    <w:rsid w:val="000A2D71"/>
    <w:rsid w:val="000A2F50"/>
    <w:rsid w:val="000A3289"/>
    <w:rsid w:val="000A3B8F"/>
    <w:rsid w:val="000A4228"/>
    <w:rsid w:val="000A476C"/>
    <w:rsid w:val="000A4BFE"/>
    <w:rsid w:val="000A67D0"/>
    <w:rsid w:val="000A6F6F"/>
    <w:rsid w:val="000B072B"/>
    <w:rsid w:val="000B0751"/>
    <w:rsid w:val="000B0811"/>
    <w:rsid w:val="000B08C3"/>
    <w:rsid w:val="000B4065"/>
    <w:rsid w:val="000B436B"/>
    <w:rsid w:val="000B4DD3"/>
    <w:rsid w:val="000B5025"/>
    <w:rsid w:val="000B5AD0"/>
    <w:rsid w:val="000B5BC2"/>
    <w:rsid w:val="000B5C25"/>
    <w:rsid w:val="000B5E47"/>
    <w:rsid w:val="000B67AB"/>
    <w:rsid w:val="000B7F31"/>
    <w:rsid w:val="000C0131"/>
    <w:rsid w:val="000C0544"/>
    <w:rsid w:val="000C0664"/>
    <w:rsid w:val="000C093C"/>
    <w:rsid w:val="000C0BE0"/>
    <w:rsid w:val="000C0E22"/>
    <w:rsid w:val="000C0EC5"/>
    <w:rsid w:val="000C182A"/>
    <w:rsid w:val="000C1D8D"/>
    <w:rsid w:val="000C23A0"/>
    <w:rsid w:val="000C24E5"/>
    <w:rsid w:val="000C24E9"/>
    <w:rsid w:val="000C304C"/>
    <w:rsid w:val="000C3246"/>
    <w:rsid w:val="000C3E31"/>
    <w:rsid w:val="000C4547"/>
    <w:rsid w:val="000C5870"/>
    <w:rsid w:val="000C5C3B"/>
    <w:rsid w:val="000C6263"/>
    <w:rsid w:val="000C6BF5"/>
    <w:rsid w:val="000C6DB2"/>
    <w:rsid w:val="000C7127"/>
    <w:rsid w:val="000C7675"/>
    <w:rsid w:val="000C7F90"/>
    <w:rsid w:val="000D131A"/>
    <w:rsid w:val="000D13C0"/>
    <w:rsid w:val="000D1EE1"/>
    <w:rsid w:val="000D22C4"/>
    <w:rsid w:val="000D2B6B"/>
    <w:rsid w:val="000D2BC9"/>
    <w:rsid w:val="000D4109"/>
    <w:rsid w:val="000D4193"/>
    <w:rsid w:val="000D482A"/>
    <w:rsid w:val="000D5221"/>
    <w:rsid w:val="000D5719"/>
    <w:rsid w:val="000D5FE9"/>
    <w:rsid w:val="000D608B"/>
    <w:rsid w:val="000D630F"/>
    <w:rsid w:val="000D63A3"/>
    <w:rsid w:val="000E0C1A"/>
    <w:rsid w:val="000E0DAB"/>
    <w:rsid w:val="000E19B2"/>
    <w:rsid w:val="000E1F78"/>
    <w:rsid w:val="000E217B"/>
    <w:rsid w:val="000E2243"/>
    <w:rsid w:val="000E45E0"/>
    <w:rsid w:val="000E56FA"/>
    <w:rsid w:val="000E5BE6"/>
    <w:rsid w:val="000E6230"/>
    <w:rsid w:val="000E63BC"/>
    <w:rsid w:val="000E6425"/>
    <w:rsid w:val="000E7B14"/>
    <w:rsid w:val="000F041E"/>
    <w:rsid w:val="000F0591"/>
    <w:rsid w:val="000F0E8A"/>
    <w:rsid w:val="000F1181"/>
    <w:rsid w:val="000F1C16"/>
    <w:rsid w:val="000F2BBD"/>
    <w:rsid w:val="000F3504"/>
    <w:rsid w:val="000F390A"/>
    <w:rsid w:val="000F4044"/>
    <w:rsid w:val="000F4532"/>
    <w:rsid w:val="000F477B"/>
    <w:rsid w:val="000F4FA7"/>
    <w:rsid w:val="000F5246"/>
    <w:rsid w:val="000F5CD8"/>
    <w:rsid w:val="000F5D54"/>
    <w:rsid w:val="000F6211"/>
    <w:rsid w:val="000F655E"/>
    <w:rsid w:val="000F7A3B"/>
    <w:rsid w:val="000F7DF8"/>
    <w:rsid w:val="00100B4D"/>
    <w:rsid w:val="00100BB9"/>
    <w:rsid w:val="00101111"/>
    <w:rsid w:val="0010160D"/>
    <w:rsid w:val="001023C2"/>
    <w:rsid w:val="00102887"/>
    <w:rsid w:val="00103BD8"/>
    <w:rsid w:val="0010441D"/>
    <w:rsid w:val="001048AF"/>
    <w:rsid w:val="00105563"/>
    <w:rsid w:val="001058E8"/>
    <w:rsid w:val="00106B7C"/>
    <w:rsid w:val="00106D68"/>
    <w:rsid w:val="00107537"/>
    <w:rsid w:val="00110761"/>
    <w:rsid w:val="001107FF"/>
    <w:rsid w:val="00110955"/>
    <w:rsid w:val="0011143B"/>
    <w:rsid w:val="001116C9"/>
    <w:rsid w:val="001129DA"/>
    <w:rsid w:val="00112F1C"/>
    <w:rsid w:val="00114789"/>
    <w:rsid w:val="00114874"/>
    <w:rsid w:val="0011567F"/>
    <w:rsid w:val="001159F4"/>
    <w:rsid w:val="00116182"/>
    <w:rsid w:val="00116417"/>
    <w:rsid w:val="0011671C"/>
    <w:rsid w:val="00116CAC"/>
    <w:rsid w:val="001174B2"/>
    <w:rsid w:val="0012003B"/>
    <w:rsid w:val="00120336"/>
    <w:rsid w:val="001211EB"/>
    <w:rsid w:val="00121BEC"/>
    <w:rsid w:val="001227E0"/>
    <w:rsid w:val="00122BD7"/>
    <w:rsid w:val="001230A6"/>
    <w:rsid w:val="00123281"/>
    <w:rsid w:val="00123CF3"/>
    <w:rsid w:val="00123D55"/>
    <w:rsid w:val="00124323"/>
    <w:rsid w:val="0012476B"/>
    <w:rsid w:val="00124B2B"/>
    <w:rsid w:val="00124D1F"/>
    <w:rsid w:val="001250F2"/>
    <w:rsid w:val="0012536A"/>
    <w:rsid w:val="00125D17"/>
    <w:rsid w:val="001265D7"/>
    <w:rsid w:val="00126D64"/>
    <w:rsid w:val="00127058"/>
    <w:rsid w:val="0012717A"/>
    <w:rsid w:val="00127479"/>
    <w:rsid w:val="001278E7"/>
    <w:rsid w:val="00127D85"/>
    <w:rsid w:val="00130015"/>
    <w:rsid w:val="0013142F"/>
    <w:rsid w:val="00131E56"/>
    <w:rsid w:val="00131F4B"/>
    <w:rsid w:val="00132D8A"/>
    <w:rsid w:val="00133ED2"/>
    <w:rsid w:val="00133F9B"/>
    <w:rsid w:val="00134265"/>
    <w:rsid w:val="00134E3D"/>
    <w:rsid w:val="00135879"/>
    <w:rsid w:val="00136A1B"/>
    <w:rsid w:val="00136D5F"/>
    <w:rsid w:val="0013703F"/>
    <w:rsid w:val="001370C1"/>
    <w:rsid w:val="0013737B"/>
    <w:rsid w:val="00137784"/>
    <w:rsid w:val="00137D14"/>
    <w:rsid w:val="001409EE"/>
    <w:rsid w:val="0014104A"/>
    <w:rsid w:val="00141376"/>
    <w:rsid w:val="00141392"/>
    <w:rsid w:val="0014214E"/>
    <w:rsid w:val="001421DC"/>
    <w:rsid w:val="00142910"/>
    <w:rsid w:val="00142A8A"/>
    <w:rsid w:val="00142E1C"/>
    <w:rsid w:val="00142EB2"/>
    <w:rsid w:val="00142EBB"/>
    <w:rsid w:val="001430FF"/>
    <w:rsid w:val="0014325C"/>
    <w:rsid w:val="001432E9"/>
    <w:rsid w:val="00143A62"/>
    <w:rsid w:val="001444AE"/>
    <w:rsid w:val="00144CCE"/>
    <w:rsid w:val="00145E51"/>
    <w:rsid w:val="0014624C"/>
    <w:rsid w:val="0014628F"/>
    <w:rsid w:val="001465D6"/>
    <w:rsid w:val="00146AC8"/>
    <w:rsid w:val="001471B6"/>
    <w:rsid w:val="00147339"/>
    <w:rsid w:val="0015034F"/>
    <w:rsid w:val="00150371"/>
    <w:rsid w:val="00152204"/>
    <w:rsid w:val="001532AA"/>
    <w:rsid w:val="00153397"/>
    <w:rsid w:val="0015356B"/>
    <w:rsid w:val="001537E9"/>
    <w:rsid w:val="001571B6"/>
    <w:rsid w:val="001579EB"/>
    <w:rsid w:val="001600BE"/>
    <w:rsid w:val="00160E9C"/>
    <w:rsid w:val="00161CA8"/>
    <w:rsid w:val="00162757"/>
    <w:rsid w:val="001628F0"/>
    <w:rsid w:val="00163167"/>
    <w:rsid w:val="0016370E"/>
    <w:rsid w:val="00163A7D"/>
    <w:rsid w:val="00163D84"/>
    <w:rsid w:val="00164DFA"/>
    <w:rsid w:val="00166302"/>
    <w:rsid w:val="00166883"/>
    <w:rsid w:val="00166A3E"/>
    <w:rsid w:val="001679FF"/>
    <w:rsid w:val="00167A27"/>
    <w:rsid w:val="00170BEC"/>
    <w:rsid w:val="00170E06"/>
    <w:rsid w:val="00171A85"/>
    <w:rsid w:val="00173FBC"/>
    <w:rsid w:val="0017477A"/>
    <w:rsid w:val="00175F08"/>
    <w:rsid w:val="00176923"/>
    <w:rsid w:val="00176CCE"/>
    <w:rsid w:val="001775B7"/>
    <w:rsid w:val="0017774E"/>
    <w:rsid w:val="001778CF"/>
    <w:rsid w:val="00177A52"/>
    <w:rsid w:val="00181CA5"/>
    <w:rsid w:val="00181DBB"/>
    <w:rsid w:val="0018210F"/>
    <w:rsid w:val="00183646"/>
    <w:rsid w:val="00183927"/>
    <w:rsid w:val="00183C7F"/>
    <w:rsid w:val="00184200"/>
    <w:rsid w:val="001842DB"/>
    <w:rsid w:val="001843EC"/>
    <w:rsid w:val="00185241"/>
    <w:rsid w:val="001854AE"/>
    <w:rsid w:val="00185BBC"/>
    <w:rsid w:val="00185CBC"/>
    <w:rsid w:val="00185D1C"/>
    <w:rsid w:val="00186F63"/>
    <w:rsid w:val="001873C7"/>
    <w:rsid w:val="001900FE"/>
    <w:rsid w:val="00190E86"/>
    <w:rsid w:val="00191BAE"/>
    <w:rsid w:val="001927D1"/>
    <w:rsid w:val="001930F5"/>
    <w:rsid w:val="00193BC4"/>
    <w:rsid w:val="00194DED"/>
    <w:rsid w:val="00195C5A"/>
    <w:rsid w:val="00195EBA"/>
    <w:rsid w:val="00196814"/>
    <w:rsid w:val="0019690D"/>
    <w:rsid w:val="00196C58"/>
    <w:rsid w:val="001970E6"/>
    <w:rsid w:val="00197314"/>
    <w:rsid w:val="00197406"/>
    <w:rsid w:val="00197F6A"/>
    <w:rsid w:val="001A0671"/>
    <w:rsid w:val="001A0AFF"/>
    <w:rsid w:val="001A179E"/>
    <w:rsid w:val="001A1808"/>
    <w:rsid w:val="001A2EE3"/>
    <w:rsid w:val="001A3839"/>
    <w:rsid w:val="001A3AD4"/>
    <w:rsid w:val="001A3F27"/>
    <w:rsid w:val="001A45FE"/>
    <w:rsid w:val="001A627A"/>
    <w:rsid w:val="001A6C31"/>
    <w:rsid w:val="001A7132"/>
    <w:rsid w:val="001A725A"/>
    <w:rsid w:val="001A7D1B"/>
    <w:rsid w:val="001B0415"/>
    <w:rsid w:val="001B0526"/>
    <w:rsid w:val="001B05B7"/>
    <w:rsid w:val="001B186F"/>
    <w:rsid w:val="001B33CC"/>
    <w:rsid w:val="001B33EF"/>
    <w:rsid w:val="001B47F0"/>
    <w:rsid w:val="001B4C53"/>
    <w:rsid w:val="001B7448"/>
    <w:rsid w:val="001B7FFE"/>
    <w:rsid w:val="001C0113"/>
    <w:rsid w:val="001C02D1"/>
    <w:rsid w:val="001C0766"/>
    <w:rsid w:val="001C1029"/>
    <w:rsid w:val="001C13F1"/>
    <w:rsid w:val="001C1971"/>
    <w:rsid w:val="001C1B3A"/>
    <w:rsid w:val="001C22E3"/>
    <w:rsid w:val="001C2D66"/>
    <w:rsid w:val="001C3DB3"/>
    <w:rsid w:val="001C4593"/>
    <w:rsid w:val="001C45C6"/>
    <w:rsid w:val="001C467F"/>
    <w:rsid w:val="001C4D00"/>
    <w:rsid w:val="001C55DA"/>
    <w:rsid w:val="001C66E0"/>
    <w:rsid w:val="001C677D"/>
    <w:rsid w:val="001C79F0"/>
    <w:rsid w:val="001C7F41"/>
    <w:rsid w:val="001D0578"/>
    <w:rsid w:val="001D0998"/>
    <w:rsid w:val="001D0FE9"/>
    <w:rsid w:val="001D10A1"/>
    <w:rsid w:val="001D2072"/>
    <w:rsid w:val="001D25AF"/>
    <w:rsid w:val="001D3829"/>
    <w:rsid w:val="001D3F0E"/>
    <w:rsid w:val="001D438D"/>
    <w:rsid w:val="001D4DE2"/>
    <w:rsid w:val="001D4DEB"/>
    <w:rsid w:val="001D618C"/>
    <w:rsid w:val="001D6466"/>
    <w:rsid w:val="001D670B"/>
    <w:rsid w:val="001D673A"/>
    <w:rsid w:val="001D74B4"/>
    <w:rsid w:val="001D7546"/>
    <w:rsid w:val="001D77CC"/>
    <w:rsid w:val="001D7984"/>
    <w:rsid w:val="001D7FDE"/>
    <w:rsid w:val="001E035A"/>
    <w:rsid w:val="001E0FF0"/>
    <w:rsid w:val="001E106F"/>
    <w:rsid w:val="001E12E4"/>
    <w:rsid w:val="001E139D"/>
    <w:rsid w:val="001E1709"/>
    <w:rsid w:val="001E1A4C"/>
    <w:rsid w:val="001E22CC"/>
    <w:rsid w:val="001E27D9"/>
    <w:rsid w:val="001E2D84"/>
    <w:rsid w:val="001E3376"/>
    <w:rsid w:val="001E47F4"/>
    <w:rsid w:val="001E4BCB"/>
    <w:rsid w:val="001E4BE3"/>
    <w:rsid w:val="001E4F1B"/>
    <w:rsid w:val="001E6BE6"/>
    <w:rsid w:val="001E702A"/>
    <w:rsid w:val="001E7150"/>
    <w:rsid w:val="001E7205"/>
    <w:rsid w:val="001E754B"/>
    <w:rsid w:val="001F0268"/>
    <w:rsid w:val="001F0637"/>
    <w:rsid w:val="001F0930"/>
    <w:rsid w:val="001F095E"/>
    <w:rsid w:val="001F115D"/>
    <w:rsid w:val="001F12C0"/>
    <w:rsid w:val="001F20F1"/>
    <w:rsid w:val="001F257D"/>
    <w:rsid w:val="001F2D60"/>
    <w:rsid w:val="001F2E5F"/>
    <w:rsid w:val="001F2FC9"/>
    <w:rsid w:val="001F3370"/>
    <w:rsid w:val="001F4690"/>
    <w:rsid w:val="001F4F2B"/>
    <w:rsid w:val="001F600C"/>
    <w:rsid w:val="001F60A6"/>
    <w:rsid w:val="001F61E1"/>
    <w:rsid w:val="001F61F8"/>
    <w:rsid w:val="001F6A26"/>
    <w:rsid w:val="001F73AE"/>
    <w:rsid w:val="001F7490"/>
    <w:rsid w:val="00200119"/>
    <w:rsid w:val="0020149D"/>
    <w:rsid w:val="00201603"/>
    <w:rsid w:val="00201D9D"/>
    <w:rsid w:val="0020289C"/>
    <w:rsid w:val="00202995"/>
    <w:rsid w:val="00203703"/>
    <w:rsid w:val="00203956"/>
    <w:rsid w:val="00204DA2"/>
    <w:rsid w:val="00205029"/>
    <w:rsid w:val="00205087"/>
    <w:rsid w:val="002056BE"/>
    <w:rsid w:val="00205990"/>
    <w:rsid w:val="00205D2A"/>
    <w:rsid w:val="00205F30"/>
    <w:rsid w:val="0020602C"/>
    <w:rsid w:val="0020702B"/>
    <w:rsid w:val="0021053B"/>
    <w:rsid w:val="00210EF4"/>
    <w:rsid w:val="00211005"/>
    <w:rsid w:val="00211488"/>
    <w:rsid w:val="00213E23"/>
    <w:rsid w:val="00214510"/>
    <w:rsid w:val="00214531"/>
    <w:rsid w:val="0021476A"/>
    <w:rsid w:val="002148AF"/>
    <w:rsid w:val="00216A6D"/>
    <w:rsid w:val="00216C24"/>
    <w:rsid w:val="0021749A"/>
    <w:rsid w:val="002175E1"/>
    <w:rsid w:val="00217740"/>
    <w:rsid w:val="00217E40"/>
    <w:rsid w:val="00220AE8"/>
    <w:rsid w:val="00221FAF"/>
    <w:rsid w:val="002223E9"/>
    <w:rsid w:val="00222453"/>
    <w:rsid w:val="00222AE8"/>
    <w:rsid w:val="00222CEE"/>
    <w:rsid w:val="00223D5C"/>
    <w:rsid w:val="00224E83"/>
    <w:rsid w:val="00227B6A"/>
    <w:rsid w:val="00227E2F"/>
    <w:rsid w:val="00230041"/>
    <w:rsid w:val="00230A37"/>
    <w:rsid w:val="00230C0B"/>
    <w:rsid w:val="00230CB5"/>
    <w:rsid w:val="002310AC"/>
    <w:rsid w:val="002323C8"/>
    <w:rsid w:val="002329A8"/>
    <w:rsid w:val="00232F69"/>
    <w:rsid w:val="00233B37"/>
    <w:rsid w:val="00233BD2"/>
    <w:rsid w:val="0023442C"/>
    <w:rsid w:val="0023453F"/>
    <w:rsid w:val="00234DF1"/>
    <w:rsid w:val="00235B81"/>
    <w:rsid w:val="00236188"/>
    <w:rsid w:val="002372C2"/>
    <w:rsid w:val="002372F2"/>
    <w:rsid w:val="002407C5"/>
    <w:rsid w:val="002409AD"/>
    <w:rsid w:val="00240A1F"/>
    <w:rsid w:val="002410D8"/>
    <w:rsid w:val="002415D0"/>
    <w:rsid w:val="00241973"/>
    <w:rsid w:val="00241BFC"/>
    <w:rsid w:val="00241CAC"/>
    <w:rsid w:val="00241F2F"/>
    <w:rsid w:val="002421A5"/>
    <w:rsid w:val="0024281A"/>
    <w:rsid w:val="002428B3"/>
    <w:rsid w:val="00242BE6"/>
    <w:rsid w:val="00242D89"/>
    <w:rsid w:val="0024304B"/>
    <w:rsid w:val="002430E2"/>
    <w:rsid w:val="00244506"/>
    <w:rsid w:val="00244AD7"/>
    <w:rsid w:val="00244C69"/>
    <w:rsid w:val="002456E9"/>
    <w:rsid w:val="00247BE0"/>
    <w:rsid w:val="00247E4B"/>
    <w:rsid w:val="00247EC3"/>
    <w:rsid w:val="0025095F"/>
    <w:rsid w:val="002516F3"/>
    <w:rsid w:val="00251D82"/>
    <w:rsid w:val="002520E2"/>
    <w:rsid w:val="002526F8"/>
    <w:rsid w:val="0025276B"/>
    <w:rsid w:val="002527B5"/>
    <w:rsid w:val="002534D4"/>
    <w:rsid w:val="00254620"/>
    <w:rsid w:val="00254B86"/>
    <w:rsid w:val="00255AAF"/>
    <w:rsid w:val="00255B4D"/>
    <w:rsid w:val="002565EB"/>
    <w:rsid w:val="00256732"/>
    <w:rsid w:val="002568A4"/>
    <w:rsid w:val="0025716F"/>
    <w:rsid w:val="00257480"/>
    <w:rsid w:val="002575FB"/>
    <w:rsid w:val="00257746"/>
    <w:rsid w:val="00257799"/>
    <w:rsid w:val="0025786C"/>
    <w:rsid w:val="002600E6"/>
    <w:rsid w:val="00260163"/>
    <w:rsid w:val="0026091A"/>
    <w:rsid w:val="0026092C"/>
    <w:rsid w:val="00260A63"/>
    <w:rsid w:val="00260C07"/>
    <w:rsid w:val="002612BA"/>
    <w:rsid w:val="00261B5E"/>
    <w:rsid w:val="00261BB5"/>
    <w:rsid w:val="00261C43"/>
    <w:rsid w:val="00262190"/>
    <w:rsid w:val="00262761"/>
    <w:rsid w:val="002627B5"/>
    <w:rsid w:val="0026286E"/>
    <w:rsid w:val="00262B6F"/>
    <w:rsid w:val="00262EA8"/>
    <w:rsid w:val="00263041"/>
    <w:rsid w:val="00263E50"/>
    <w:rsid w:val="0026436F"/>
    <w:rsid w:val="00264501"/>
    <w:rsid w:val="00264913"/>
    <w:rsid w:val="002651E4"/>
    <w:rsid w:val="00265847"/>
    <w:rsid w:val="00265B9A"/>
    <w:rsid w:val="00265C06"/>
    <w:rsid w:val="00265CE6"/>
    <w:rsid w:val="0026623C"/>
    <w:rsid w:val="002663FB"/>
    <w:rsid w:val="002674F5"/>
    <w:rsid w:val="00267F38"/>
    <w:rsid w:val="00267FE1"/>
    <w:rsid w:val="00270399"/>
    <w:rsid w:val="002704FA"/>
    <w:rsid w:val="002705CF"/>
    <w:rsid w:val="002719B7"/>
    <w:rsid w:val="00271A3F"/>
    <w:rsid w:val="00271A63"/>
    <w:rsid w:val="00271CD1"/>
    <w:rsid w:val="00271E58"/>
    <w:rsid w:val="00271E93"/>
    <w:rsid w:val="002728FD"/>
    <w:rsid w:val="00273081"/>
    <w:rsid w:val="00273326"/>
    <w:rsid w:val="002743F3"/>
    <w:rsid w:val="002747C8"/>
    <w:rsid w:val="0027490F"/>
    <w:rsid w:val="00274CF0"/>
    <w:rsid w:val="00274E6E"/>
    <w:rsid w:val="002751CD"/>
    <w:rsid w:val="0027565B"/>
    <w:rsid w:val="00275B57"/>
    <w:rsid w:val="00275E0F"/>
    <w:rsid w:val="0027631F"/>
    <w:rsid w:val="002764BC"/>
    <w:rsid w:val="00276C74"/>
    <w:rsid w:val="00276FE1"/>
    <w:rsid w:val="002777A4"/>
    <w:rsid w:val="00277D6F"/>
    <w:rsid w:val="00277DF6"/>
    <w:rsid w:val="00280027"/>
    <w:rsid w:val="002804F3"/>
    <w:rsid w:val="002807D9"/>
    <w:rsid w:val="00281E56"/>
    <w:rsid w:val="002821BA"/>
    <w:rsid w:val="00283D83"/>
    <w:rsid w:val="00284091"/>
    <w:rsid w:val="00284341"/>
    <w:rsid w:val="00284E80"/>
    <w:rsid w:val="00284F09"/>
    <w:rsid w:val="00285438"/>
    <w:rsid w:val="00285754"/>
    <w:rsid w:val="002860B9"/>
    <w:rsid w:val="00286D87"/>
    <w:rsid w:val="00287481"/>
    <w:rsid w:val="00287810"/>
    <w:rsid w:val="00290330"/>
    <w:rsid w:val="00290FA4"/>
    <w:rsid w:val="0029140F"/>
    <w:rsid w:val="002915E8"/>
    <w:rsid w:val="00291821"/>
    <w:rsid w:val="002918ED"/>
    <w:rsid w:val="00291A20"/>
    <w:rsid w:val="00291E75"/>
    <w:rsid w:val="002922E5"/>
    <w:rsid w:val="0029277D"/>
    <w:rsid w:val="00293701"/>
    <w:rsid w:val="0029447E"/>
    <w:rsid w:val="00294853"/>
    <w:rsid w:val="0029563E"/>
    <w:rsid w:val="00295660"/>
    <w:rsid w:val="00295A26"/>
    <w:rsid w:val="00295F9C"/>
    <w:rsid w:val="002961C9"/>
    <w:rsid w:val="00296FA3"/>
    <w:rsid w:val="00297209"/>
    <w:rsid w:val="002A0457"/>
    <w:rsid w:val="002A1A13"/>
    <w:rsid w:val="002A1DA6"/>
    <w:rsid w:val="002A1DEB"/>
    <w:rsid w:val="002A21D4"/>
    <w:rsid w:val="002A2CE8"/>
    <w:rsid w:val="002A3028"/>
    <w:rsid w:val="002A5056"/>
    <w:rsid w:val="002A538F"/>
    <w:rsid w:val="002A5E6E"/>
    <w:rsid w:val="002A64B3"/>
    <w:rsid w:val="002A6527"/>
    <w:rsid w:val="002A65FA"/>
    <w:rsid w:val="002A7C0D"/>
    <w:rsid w:val="002B0382"/>
    <w:rsid w:val="002B080F"/>
    <w:rsid w:val="002B12E5"/>
    <w:rsid w:val="002B12EE"/>
    <w:rsid w:val="002B143A"/>
    <w:rsid w:val="002B1A60"/>
    <w:rsid w:val="002B1B05"/>
    <w:rsid w:val="002B2880"/>
    <w:rsid w:val="002B2E02"/>
    <w:rsid w:val="002B2F89"/>
    <w:rsid w:val="002B361E"/>
    <w:rsid w:val="002B3BBE"/>
    <w:rsid w:val="002B3DFF"/>
    <w:rsid w:val="002B4206"/>
    <w:rsid w:val="002B4B15"/>
    <w:rsid w:val="002B4C6F"/>
    <w:rsid w:val="002B4D19"/>
    <w:rsid w:val="002B51B4"/>
    <w:rsid w:val="002B51FA"/>
    <w:rsid w:val="002B5267"/>
    <w:rsid w:val="002B58D3"/>
    <w:rsid w:val="002B5C66"/>
    <w:rsid w:val="002B60B9"/>
    <w:rsid w:val="002B6F05"/>
    <w:rsid w:val="002B7049"/>
    <w:rsid w:val="002B7187"/>
    <w:rsid w:val="002B7AB2"/>
    <w:rsid w:val="002B7B0A"/>
    <w:rsid w:val="002B7F7B"/>
    <w:rsid w:val="002C2382"/>
    <w:rsid w:val="002C2457"/>
    <w:rsid w:val="002C2A19"/>
    <w:rsid w:val="002C2E76"/>
    <w:rsid w:val="002C345C"/>
    <w:rsid w:val="002C3D60"/>
    <w:rsid w:val="002C3F62"/>
    <w:rsid w:val="002C4A7B"/>
    <w:rsid w:val="002C5289"/>
    <w:rsid w:val="002C55ED"/>
    <w:rsid w:val="002C6128"/>
    <w:rsid w:val="002C64E4"/>
    <w:rsid w:val="002C6B98"/>
    <w:rsid w:val="002C6CDB"/>
    <w:rsid w:val="002C720C"/>
    <w:rsid w:val="002C756D"/>
    <w:rsid w:val="002C7C84"/>
    <w:rsid w:val="002D03F5"/>
    <w:rsid w:val="002D0A62"/>
    <w:rsid w:val="002D1A6B"/>
    <w:rsid w:val="002D2AE7"/>
    <w:rsid w:val="002D2EB3"/>
    <w:rsid w:val="002D4443"/>
    <w:rsid w:val="002D4478"/>
    <w:rsid w:val="002D495A"/>
    <w:rsid w:val="002D65B4"/>
    <w:rsid w:val="002D73E8"/>
    <w:rsid w:val="002D7733"/>
    <w:rsid w:val="002D7859"/>
    <w:rsid w:val="002E016A"/>
    <w:rsid w:val="002E0171"/>
    <w:rsid w:val="002E122E"/>
    <w:rsid w:val="002E16A3"/>
    <w:rsid w:val="002E18C0"/>
    <w:rsid w:val="002E2BAB"/>
    <w:rsid w:val="002E3C12"/>
    <w:rsid w:val="002E4023"/>
    <w:rsid w:val="002E40A2"/>
    <w:rsid w:val="002E4938"/>
    <w:rsid w:val="002E50A8"/>
    <w:rsid w:val="002E58AE"/>
    <w:rsid w:val="002E6398"/>
    <w:rsid w:val="002E7010"/>
    <w:rsid w:val="002E7BE4"/>
    <w:rsid w:val="002F00E1"/>
    <w:rsid w:val="002F26DD"/>
    <w:rsid w:val="002F3BF3"/>
    <w:rsid w:val="002F4F5B"/>
    <w:rsid w:val="002F5A22"/>
    <w:rsid w:val="002F5C76"/>
    <w:rsid w:val="002F6B04"/>
    <w:rsid w:val="002F73DE"/>
    <w:rsid w:val="002F7564"/>
    <w:rsid w:val="002F75D5"/>
    <w:rsid w:val="003001C7"/>
    <w:rsid w:val="00300336"/>
    <w:rsid w:val="003011A4"/>
    <w:rsid w:val="00302CF0"/>
    <w:rsid w:val="0030307A"/>
    <w:rsid w:val="003039D8"/>
    <w:rsid w:val="00303B0E"/>
    <w:rsid w:val="00304E1F"/>
    <w:rsid w:val="00305300"/>
    <w:rsid w:val="00305F06"/>
    <w:rsid w:val="00306C49"/>
    <w:rsid w:val="00307016"/>
    <w:rsid w:val="00307529"/>
    <w:rsid w:val="00307936"/>
    <w:rsid w:val="00307AA4"/>
    <w:rsid w:val="00307D0D"/>
    <w:rsid w:val="00307F12"/>
    <w:rsid w:val="00310A2D"/>
    <w:rsid w:val="00310B2F"/>
    <w:rsid w:val="00311234"/>
    <w:rsid w:val="00311680"/>
    <w:rsid w:val="003118C4"/>
    <w:rsid w:val="00311C16"/>
    <w:rsid w:val="00312241"/>
    <w:rsid w:val="0031244A"/>
    <w:rsid w:val="00312482"/>
    <w:rsid w:val="00312701"/>
    <w:rsid w:val="00312722"/>
    <w:rsid w:val="00312A2F"/>
    <w:rsid w:val="00312E79"/>
    <w:rsid w:val="003133C6"/>
    <w:rsid w:val="00313582"/>
    <w:rsid w:val="00313CB2"/>
    <w:rsid w:val="00313E07"/>
    <w:rsid w:val="00314836"/>
    <w:rsid w:val="003173FF"/>
    <w:rsid w:val="00317D4E"/>
    <w:rsid w:val="00321113"/>
    <w:rsid w:val="00322933"/>
    <w:rsid w:val="00322CC3"/>
    <w:rsid w:val="00322D6D"/>
    <w:rsid w:val="00322E1F"/>
    <w:rsid w:val="0032307F"/>
    <w:rsid w:val="003230E0"/>
    <w:rsid w:val="00323C57"/>
    <w:rsid w:val="00323CBE"/>
    <w:rsid w:val="00324087"/>
    <w:rsid w:val="00325CF1"/>
    <w:rsid w:val="0032765C"/>
    <w:rsid w:val="0033028B"/>
    <w:rsid w:val="00330737"/>
    <w:rsid w:val="00331B27"/>
    <w:rsid w:val="00332458"/>
    <w:rsid w:val="00332730"/>
    <w:rsid w:val="00333082"/>
    <w:rsid w:val="003332FF"/>
    <w:rsid w:val="003333FA"/>
    <w:rsid w:val="003341F6"/>
    <w:rsid w:val="003350E9"/>
    <w:rsid w:val="00336CAD"/>
    <w:rsid w:val="00336D8D"/>
    <w:rsid w:val="003376D5"/>
    <w:rsid w:val="00337972"/>
    <w:rsid w:val="00337BED"/>
    <w:rsid w:val="00340696"/>
    <w:rsid w:val="00340A7A"/>
    <w:rsid w:val="003413F4"/>
    <w:rsid w:val="003414EC"/>
    <w:rsid w:val="003418D6"/>
    <w:rsid w:val="00341959"/>
    <w:rsid w:val="00341F00"/>
    <w:rsid w:val="00342703"/>
    <w:rsid w:val="0034393F"/>
    <w:rsid w:val="0034493A"/>
    <w:rsid w:val="003454A9"/>
    <w:rsid w:val="00345AAD"/>
    <w:rsid w:val="00345C02"/>
    <w:rsid w:val="00345C03"/>
    <w:rsid w:val="00345EC2"/>
    <w:rsid w:val="00345F83"/>
    <w:rsid w:val="00345FEC"/>
    <w:rsid w:val="0034616C"/>
    <w:rsid w:val="00346293"/>
    <w:rsid w:val="00346687"/>
    <w:rsid w:val="00350108"/>
    <w:rsid w:val="0035092D"/>
    <w:rsid w:val="00351D74"/>
    <w:rsid w:val="00351E41"/>
    <w:rsid w:val="00351F45"/>
    <w:rsid w:val="003526FF"/>
    <w:rsid w:val="0035332F"/>
    <w:rsid w:val="00353C76"/>
    <w:rsid w:val="0035408A"/>
    <w:rsid w:val="00354CB5"/>
    <w:rsid w:val="00355239"/>
    <w:rsid w:val="00355F60"/>
    <w:rsid w:val="00356199"/>
    <w:rsid w:val="00356D79"/>
    <w:rsid w:val="00356F3D"/>
    <w:rsid w:val="00356FE7"/>
    <w:rsid w:val="003603F5"/>
    <w:rsid w:val="00360819"/>
    <w:rsid w:val="00360962"/>
    <w:rsid w:val="0036125D"/>
    <w:rsid w:val="0036141A"/>
    <w:rsid w:val="00361B4B"/>
    <w:rsid w:val="00362286"/>
    <w:rsid w:val="0036229E"/>
    <w:rsid w:val="0036267F"/>
    <w:rsid w:val="00362680"/>
    <w:rsid w:val="00362E3A"/>
    <w:rsid w:val="003630C9"/>
    <w:rsid w:val="00363BA5"/>
    <w:rsid w:val="00363D09"/>
    <w:rsid w:val="00364312"/>
    <w:rsid w:val="0036451A"/>
    <w:rsid w:val="003652B8"/>
    <w:rsid w:val="00365B52"/>
    <w:rsid w:val="00366241"/>
    <w:rsid w:val="003679DF"/>
    <w:rsid w:val="00371E09"/>
    <w:rsid w:val="00371FAB"/>
    <w:rsid w:val="0037369A"/>
    <w:rsid w:val="00374129"/>
    <w:rsid w:val="003746ED"/>
    <w:rsid w:val="00375077"/>
    <w:rsid w:val="0037594A"/>
    <w:rsid w:val="00376DE5"/>
    <w:rsid w:val="00377110"/>
    <w:rsid w:val="003773BF"/>
    <w:rsid w:val="003774C4"/>
    <w:rsid w:val="00377A31"/>
    <w:rsid w:val="0038111D"/>
    <w:rsid w:val="00381B03"/>
    <w:rsid w:val="00381EFD"/>
    <w:rsid w:val="00381FF8"/>
    <w:rsid w:val="003826EF"/>
    <w:rsid w:val="003827A4"/>
    <w:rsid w:val="00383D82"/>
    <w:rsid w:val="00385154"/>
    <w:rsid w:val="0038520F"/>
    <w:rsid w:val="003857C6"/>
    <w:rsid w:val="003859C5"/>
    <w:rsid w:val="00385F1A"/>
    <w:rsid w:val="00385F8C"/>
    <w:rsid w:val="00385F94"/>
    <w:rsid w:val="00386306"/>
    <w:rsid w:val="0038703E"/>
    <w:rsid w:val="003870B0"/>
    <w:rsid w:val="00387228"/>
    <w:rsid w:val="00387C12"/>
    <w:rsid w:val="00387F5D"/>
    <w:rsid w:val="00390CFC"/>
    <w:rsid w:val="0039106B"/>
    <w:rsid w:val="00391785"/>
    <w:rsid w:val="0039181A"/>
    <w:rsid w:val="00391C6C"/>
    <w:rsid w:val="00391CAF"/>
    <w:rsid w:val="00391EDF"/>
    <w:rsid w:val="00392733"/>
    <w:rsid w:val="00392786"/>
    <w:rsid w:val="00392D38"/>
    <w:rsid w:val="003930A2"/>
    <w:rsid w:val="0039320C"/>
    <w:rsid w:val="0039361F"/>
    <w:rsid w:val="003937B8"/>
    <w:rsid w:val="0039518E"/>
    <w:rsid w:val="00395965"/>
    <w:rsid w:val="00395A05"/>
    <w:rsid w:val="00397C79"/>
    <w:rsid w:val="00397EB6"/>
    <w:rsid w:val="003A0698"/>
    <w:rsid w:val="003A06E0"/>
    <w:rsid w:val="003A1172"/>
    <w:rsid w:val="003A1253"/>
    <w:rsid w:val="003A14D1"/>
    <w:rsid w:val="003A174D"/>
    <w:rsid w:val="003A2130"/>
    <w:rsid w:val="003A3116"/>
    <w:rsid w:val="003A329C"/>
    <w:rsid w:val="003A3E90"/>
    <w:rsid w:val="003A3F07"/>
    <w:rsid w:val="003A4AB9"/>
    <w:rsid w:val="003A4DFD"/>
    <w:rsid w:val="003A528A"/>
    <w:rsid w:val="003A5510"/>
    <w:rsid w:val="003A5C71"/>
    <w:rsid w:val="003A5CAE"/>
    <w:rsid w:val="003A6327"/>
    <w:rsid w:val="003A65A9"/>
    <w:rsid w:val="003A6DD6"/>
    <w:rsid w:val="003A70BE"/>
    <w:rsid w:val="003A7331"/>
    <w:rsid w:val="003A736C"/>
    <w:rsid w:val="003B09B6"/>
    <w:rsid w:val="003B0EC4"/>
    <w:rsid w:val="003B119E"/>
    <w:rsid w:val="003B17A7"/>
    <w:rsid w:val="003B18B3"/>
    <w:rsid w:val="003B1C26"/>
    <w:rsid w:val="003B264F"/>
    <w:rsid w:val="003B2EFF"/>
    <w:rsid w:val="003B2F44"/>
    <w:rsid w:val="003B4215"/>
    <w:rsid w:val="003B4386"/>
    <w:rsid w:val="003B4BE7"/>
    <w:rsid w:val="003B5AA6"/>
    <w:rsid w:val="003B5D51"/>
    <w:rsid w:val="003B6025"/>
    <w:rsid w:val="003B63A8"/>
    <w:rsid w:val="003B6550"/>
    <w:rsid w:val="003B69FB"/>
    <w:rsid w:val="003B6BD8"/>
    <w:rsid w:val="003B6BE8"/>
    <w:rsid w:val="003B7276"/>
    <w:rsid w:val="003C0F52"/>
    <w:rsid w:val="003C0F53"/>
    <w:rsid w:val="003C1540"/>
    <w:rsid w:val="003C23D9"/>
    <w:rsid w:val="003C2A54"/>
    <w:rsid w:val="003C3682"/>
    <w:rsid w:val="003C3C15"/>
    <w:rsid w:val="003C3D11"/>
    <w:rsid w:val="003C419B"/>
    <w:rsid w:val="003C4F09"/>
    <w:rsid w:val="003C58B3"/>
    <w:rsid w:val="003C5911"/>
    <w:rsid w:val="003C5E37"/>
    <w:rsid w:val="003C5F20"/>
    <w:rsid w:val="003C6151"/>
    <w:rsid w:val="003C62AD"/>
    <w:rsid w:val="003C6672"/>
    <w:rsid w:val="003C6C12"/>
    <w:rsid w:val="003C6D33"/>
    <w:rsid w:val="003C7434"/>
    <w:rsid w:val="003D02BF"/>
    <w:rsid w:val="003D0371"/>
    <w:rsid w:val="003D1451"/>
    <w:rsid w:val="003D23DB"/>
    <w:rsid w:val="003D314F"/>
    <w:rsid w:val="003D3594"/>
    <w:rsid w:val="003D3610"/>
    <w:rsid w:val="003D3DEB"/>
    <w:rsid w:val="003D4354"/>
    <w:rsid w:val="003D4F98"/>
    <w:rsid w:val="003D4FA6"/>
    <w:rsid w:val="003D5499"/>
    <w:rsid w:val="003D59A5"/>
    <w:rsid w:val="003D620F"/>
    <w:rsid w:val="003D6224"/>
    <w:rsid w:val="003D6658"/>
    <w:rsid w:val="003D6A3C"/>
    <w:rsid w:val="003D6CDB"/>
    <w:rsid w:val="003D77F3"/>
    <w:rsid w:val="003D781E"/>
    <w:rsid w:val="003D79C4"/>
    <w:rsid w:val="003D7CF2"/>
    <w:rsid w:val="003E02E9"/>
    <w:rsid w:val="003E060B"/>
    <w:rsid w:val="003E07A9"/>
    <w:rsid w:val="003E128A"/>
    <w:rsid w:val="003E1C1B"/>
    <w:rsid w:val="003E355A"/>
    <w:rsid w:val="003E39A5"/>
    <w:rsid w:val="003E3F21"/>
    <w:rsid w:val="003E4033"/>
    <w:rsid w:val="003E40B0"/>
    <w:rsid w:val="003E49C4"/>
    <w:rsid w:val="003E4F0C"/>
    <w:rsid w:val="003E516D"/>
    <w:rsid w:val="003E51C5"/>
    <w:rsid w:val="003E71F6"/>
    <w:rsid w:val="003F022B"/>
    <w:rsid w:val="003F090F"/>
    <w:rsid w:val="003F0927"/>
    <w:rsid w:val="003F0E5C"/>
    <w:rsid w:val="003F1338"/>
    <w:rsid w:val="003F1DBF"/>
    <w:rsid w:val="003F1EE3"/>
    <w:rsid w:val="003F2200"/>
    <w:rsid w:val="003F244B"/>
    <w:rsid w:val="003F329B"/>
    <w:rsid w:val="003F3715"/>
    <w:rsid w:val="003F5065"/>
    <w:rsid w:val="003F55DB"/>
    <w:rsid w:val="003F5604"/>
    <w:rsid w:val="003F5773"/>
    <w:rsid w:val="003F77ED"/>
    <w:rsid w:val="00400515"/>
    <w:rsid w:val="0040080B"/>
    <w:rsid w:val="00400873"/>
    <w:rsid w:val="00400B4B"/>
    <w:rsid w:val="00400E77"/>
    <w:rsid w:val="0040116B"/>
    <w:rsid w:val="00401C92"/>
    <w:rsid w:val="00401F69"/>
    <w:rsid w:val="00402AC2"/>
    <w:rsid w:val="00402F98"/>
    <w:rsid w:val="0040333C"/>
    <w:rsid w:val="00403D46"/>
    <w:rsid w:val="00404478"/>
    <w:rsid w:val="00404856"/>
    <w:rsid w:val="004049D4"/>
    <w:rsid w:val="00406120"/>
    <w:rsid w:val="00407A59"/>
    <w:rsid w:val="00407B00"/>
    <w:rsid w:val="00410CD3"/>
    <w:rsid w:val="00411163"/>
    <w:rsid w:val="00411878"/>
    <w:rsid w:val="004119C9"/>
    <w:rsid w:val="00411D65"/>
    <w:rsid w:val="004121D7"/>
    <w:rsid w:val="004127B3"/>
    <w:rsid w:val="00412CE9"/>
    <w:rsid w:val="0041317A"/>
    <w:rsid w:val="00413605"/>
    <w:rsid w:val="00413E7E"/>
    <w:rsid w:val="00414478"/>
    <w:rsid w:val="0041456D"/>
    <w:rsid w:val="00414952"/>
    <w:rsid w:val="004154E1"/>
    <w:rsid w:val="0041562A"/>
    <w:rsid w:val="004159F0"/>
    <w:rsid w:val="00415B1F"/>
    <w:rsid w:val="00415DBC"/>
    <w:rsid w:val="00415E09"/>
    <w:rsid w:val="00415E5B"/>
    <w:rsid w:val="004171FC"/>
    <w:rsid w:val="004173C9"/>
    <w:rsid w:val="0041789C"/>
    <w:rsid w:val="004204E6"/>
    <w:rsid w:val="00420A54"/>
    <w:rsid w:val="004213CB"/>
    <w:rsid w:val="0042215B"/>
    <w:rsid w:val="00422629"/>
    <w:rsid w:val="00423306"/>
    <w:rsid w:val="00423A9B"/>
    <w:rsid w:val="00423F21"/>
    <w:rsid w:val="00424D71"/>
    <w:rsid w:val="00424F64"/>
    <w:rsid w:val="0042514A"/>
    <w:rsid w:val="004257C2"/>
    <w:rsid w:val="0042598B"/>
    <w:rsid w:val="004259C3"/>
    <w:rsid w:val="00425FB4"/>
    <w:rsid w:val="0042680E"/>
    <w:rsid w:val="004278EB"/>
    <w:rsid w:val="004279C3"/>
    <w:rsid w:val="00430045"/>
    <w:rsid w:val="00430A80"/>
    <w:rsid w:val="00431EBB"/>
    <w:rsid w:val="0043257B"/>
    <w:rsid w:val="0043293E"/>
    <w:rsid w:val="00432C90"/>
    <w:rsid w:val="00433CF7"/>
    <w:rsid w:val="0043430A"/>
    <w:rsid w:val="00434757"/>
    <w:rsid w:val="004348B4"/>
    <w:rsid w:val="004350FC"/>
    <w:rsid w:val="004353DE"/>
    <w:rsid w:val="004361AA"/>
    <w:rsid w:val="00437D43"/>
    <w:rsid w:val="0044068D"/>
    <w:rsid w:val="00440FE9"/>
    <w:rsid w:val="00441E96"/>
    <w:rsid w:val="00441FE8"/>
    <w:rsid w:val="00442EB5"/>
    <w:rsid w:val="00443850"/>
    <w:rsid w:val="00446A65"/>
    <w:rsid w:val="004470D5"/>
    <w:rsid w:val="00447A59"/>
    <w:rsid w:val="00447CD5"/>
    <w:rsid w:val="0045000F"/>
    <w:rsid w:val="0045081A"/>
    <w:rsid w:val="00450CE2"/>
    <w:rsid w:val="00451076"/>
    <w:rsid w:val="0045164B"/>
    <w:rsid w:val="00451746"/>
    <w:rsid w:val="00451930"/>
    <w:rsid w:val="00451E05"/>
    <w:rsid w:val="00452074"/>
    <w:rsid w:val="004529B4"/>
    <w:rsid w:val="00452A7C"/>
    <w:rsid w:val="00452F31"/>
    <w:rsid w:val="00453131"/>
    <w:rsid w:val="00453743"/>
    <w:rsid w:val="0045398E"/>
    <w:rsid w:val="00453A30"/>
    <w:rsid w:val="004541D7"/>
    <w:rsid w:val="004545D5"/>
    <w:rsid w:val="0045533F"/>
    <w:rsid w:val="004554F2"/>
    <w:rsid w:val="004562B8"/>
    <w:rsid w:val="004567D3"/>
    <w:rsid w:val="00456CA9"/>
    <w:rsid w:val="0045716B"/>
    <w:rsid w:val="00457904"/>
    <w:rsid w:val="00457FB0"/>
    <w:rsid w:val="00460CE8"/>
    <w:rsid w:val="004613E4"/>
    <w:rsid w:val="0046187A"/>
    <w:rsid w:val="00461B4F"/>
    <w:rsid w:val="00461C98"/>
    <w:rsid w:val="00462191"/>
    <w:rsid w:val="004621E5"/>
    <w:rsid w:val="00462530"/>
    <w:rsid w:val="00463350"/>
    <w:rsid w:val="00463B70"/>
    <w:rsid w:val="00463DC8"/>
    <w:rsid w:val="00464A9A"/>
    <w:rsid w:val="00464F82"/>
    <w:rsid w:val="004658DA"/>
    <w:rsid w:val="004662B8"/>
    <w:rsid w:val="0046683A"/>
    <w:rsid w:val="00466EEF"/>
    <w:rsid w:val="00467AF1"/>
    <w:rsid w:val="00467D0C"/>
    <w:rsid w:val="0047040D"/>
    <w:rsid w:val="00470589"/>
    <w:rsid w:val="00471F8C"/>
    <w:rsid w:val="00472574"/>
    <w:rsid w:val="00472BB0"/>
    <w:rsid w:val="0047384C"/>
    <w:rsid w:val="00473A53"/>
    <w:rsid w:val="004742CC"/>
    <w:rsid w:val="00474577"/>
    <w:rsid w:val="00474DA7"/>
    <w:rsid w:val="00475D81"/>
    <w:rsid w:val="004766DD"/>
    <w:rsid w:val="00476CDC"/>
    <w:rsid w:val="004773E8"/>
    <w:rsid w:val="00477C3A"/>
    <w:rsid w:val="00480D7A"/>
    <w:rsid w:val="004820D0"/>
    <w:rsid w:val="004828BD"/>
    <w:rsid w:val="004828C0"/>
    <w:rsid w:val="004829ED"/>
    <w:rsid w:val="00482ADF"/>
    <w:rsid w:val="00482F22"/>
    <w:rsid w:val="004842AF"/>
    <w:rsid w:val="004848DF"/>
    <w:rsid w:val="00485460"/>
    <w:rsid w:val="0048554D"/>
    <w:rsid w:val="0048558B"/>
    <w:rsid w:val="004855B2"/>
    <w:rsid w:val="004856FD"/>
    <w:rsid w:val="00485FE7"/>
    <w:rsid w:val="00486374"/>
    <w:rsid w:val="00486AFC"/>
    <w:rsid w:val="00486E11"/>
    <w:rsid w:val="00487149"/>
    <w:rsid w:val="0048717E"/>
    <w:rsid w:val="00487880"/>
    <w:rsid w:val="00487906"/>
    <w:rsid w:val="00487ACE"/>
    <w:rsid w:val="004904DD"/>
    <w:rsid w:val="004907D1"/>
    <w:rsid w:val="004913EA"/>
    <w:rsid w:val="004919FF"/>
    <w:rsid w:val="00491DCB"/>
    <w:rsid w:val="00491E51"/>
    <w:rsid w:val="0049229C"/>
    <w:rsid w:val="00492578"/>
    <w:rsid w:val="00492B2F"/>
    <w:rsid w:val="004935CA"/>
    <w:rsid w:val="00493619"/>
    <w:rsid w:val="00493A71"/>
    <w:rsid w:val="00493AB9"/>
    <w:rsid w:val="00493EEA"/>
    <w:rsid w:val="00494841"/>
    <w:rsid w:val="004948D6"/>
    <w:rsid w:val="004972A9"/>
    <w:rsid w:val="004A032C"/>
    <w:rsid w:val="004A09B0"/>
    <w:rsid w:val="004A0FC5"/>
    <w:rsid w:val="004A157B"/>
    <w:rsid w:val="004A17C0"/>
    <w:rsid w:val="004A1826"/>
    <w:rsid w:val="004A1C66"/>
    <w:rsid w:val="004A2006"/>
    <w:rsid w:val="004A24D8"/>
    <w:rsid w:val="004A256B"/>
    <w:rsid w:val="004A27FA"/>
    <w:rsid w:val="004A2C59"/>
    <w:rsid w:val="004A3969"/>
    <w:rsid w:val="004A5BB9"/>
    <w:rsid w:val="004A5D16"/>
    <w:rsid w:val="004A675C"/>
    <w:rsid w:val="004A70A3"/>
    <w:rsid w:val="004A7463"/>
    <w:rsid w:val="004A757B"/>
    <w:rsid w:val="004A799E"/>
    <w:rsid w:val="004B06CF"/>
    <w:rsid w:val="004B184C"/>
    <w:rsid w:val="004B2B9A"/>
    <w:rsid w:val="004B358A"/>
    <w:rsid w:val="004B3F92"/>
    <w:rsid w:val="004B58A6"/>
    <w:rsid w:val="004B5999"/>
    <w:rsid w:val="004B77A5"/>
    <w:rsid w:val="004C0989"/>
    <w:rsid w:val="004C1D66"/>
    <w:rsid w:val="004C2298"/>
    <w:rsid w:val="004C3330"/>
    <w:rsid w:val="004C3769"/>
    <w:rsid w:val="004C3A78"/>
    <w:rsid w:val="004C3DF9"/>
    <w:rsid w:val="004C44B4"/>
    <w:rsid w:val="004C4501"/>
    <w:rsid w:val="004C4C4F"/>
    <w:rsid w:val="004C4FA2"/>
    <w:rsid w:val="004C5197"/>
    <w:rsid w:val="004C5601"/>
    <w:rsid w:val="004C5604"/>
    <w:rsid w:val="004C5AEF"/>
    <w:rsid w:val="004C633B"/>
    <w:rsid w:val="004C6404"/>
    <w:rsid w:val="004C70C3"/>
    <w:rsid w:val="004C7670"/>
    <w:rsid w:val="004C7CB5"/>
    <w:rsid w:val="004D0887"/>
    <w:rsid w:val="004D0F9F"/>
    <w:rsid w:val="004D1118"/>
    <w:rsid w:val="004D4A07"/>
    <w:rsid w:val="004D57D0"/>
    <w:rsid w:val="004D5DF8"/>
    <w:rsid w:val="004D619B"/>
    <w:rsid w:val="004D61A1"/>
    <w:rsid w:val="004D63AC"/>
    <w:rsid w:val="004D6CEA"/>
    <w:rsid w:val="004D7FF9"/>
    <w:rsid w:val="004E0858"/>
    <w:rsid w:val="004E0B7B"/>
    <w:rsid w:val="004E166A"/>
    <w:rsid w:val="004E1EDE"/>
    <w:rsid w:val="004E22B0"/>
    <w:rsid w:val="004E2340"/>
    <w:rsid w:val="004E2C49"/>
    <w:rsid w:val="004E3486"/>
    <w:rsid w:val="004E35CF"/>
    <w:rsid w:val="004E391A"/>
    <w:rsid w:val="004E3D79"/>
    <w:rsid w:val="004E40BC"/>
    <w:rsid w:val="004E4C5C"/>
    <w:rsid w:val="004E501F"/>
    <w:rsid w:val="004E5370"/>
    <w:rsid w:val="004E5C9A"/>
    <w:rsid w:val="004E602A"/>
    <w:rsid w:val="004E609E"/>
    <w:rsid w:val="004E6615"/>
    <w:rsid w:val="004E6B66"/>
    <w:rsid w:val="004E6D10"/>
    <w:rsid w:val="004E7087"/>
    <w:rsid w:val="004E720A"/>
    <w:rsid w:val="004E73F8"/>
    <w:rsid w:val="004E7F41"/>
    <w:rsid w:val="004F05DC"/>
    <w:rsid w:val="004F0605"/>
    <w:rsid w:val="004F061D"/>
    <w:rsid w:val="004F10F6"/>
    <w:rsid w:val="004F1222"/>
    <w:rsid w:val="004F1609"/>
    <w:rsid w:val="004F1674"/>
    <w:rsid w:val="004F230F"/>
    <w:rsid w:val="004F2780"/>
    <w:rsid w:val="004F2EA6"/>
    <w:rsid w:val="004F3158"/>
    <w:rsid w:val="004F3ACD"/>
    <w:rsid w:val="004F4888"/>
    <w:rsid w:val="004F48C6"/>
    <w:rsid w:val="004F63EF"/>
    <w:rsid w:val="004F660D"/>
    <w:rsid w:val="004F666E"/>
    <w:rsid w:val="004F6756"/>
    <w:rsid w:val="004F6AD3"/>
    <w:rsid w:val="004F6EF8"/>
    <w:rsid w:val="004F7361"/>
    <w:rsid w:val="004F73E7"/>
    <w:rsid w:val="004F758A"/>
    <w:rsid w:val="004F763D"/>
    <w:rsid w:val="004F764B"/>
    <w:rsid w:val="004F7DBE"/>
    <w:rsid w:val="004F7EF7"/>
    <w:rsid w:val="0050007E"/>
    <w:rsid w:val="00500B8D"/>
    <w:rsid w:val="00500BD9"/>
    <w:rsid w:val="00501B2D"/>
    <w:rsid w:val="005029BC"/>
    <w:rsid w:val="00502EFB"/>
    <w:rsid w:val="00503206"/>
    <w:rsid w:val="005032C7"/>
    <w:rsid w:val="00504894"/>
    <w:rsid w:val="005054D9"/>
    <w:rsid w:val="00505D7D"/>
    <w:rsid w:val="005062F0"/>
    <w:rsid w:val="00506D9E"/>
    <w:rsid w:val="0050772B"/>
    <w:rsid w:val="0051014F"/>
    <w:rsid w:val="00510305"/>
    <w:rsid w:val="00510629"/>
    <w:rsid w:val="005108E5"/>
    <w:rsid w:val="005116D1"/>
    <w:rsid w:val="00511744"/>
    <w:rsid w:val="005122C8"/>
    <w:rsid w:val="005124D2"/>
    <w:rsid w:val="00512740"/>
    <w:rsid w:val="00514046"/>
    <w:rsid w:val="00515203"/>
    <w:rsid w:val="00516F13"/>
    <w:rsid w:val="00516F36"/>
    <w:rsid w:val="00516FBF"/>
    <w:rsid w:val="0051734C"/>
    <w:rsid w:val="00517580"/>
    <w:rsid w:val="00517BBC"/>
    <w:rsid w:val="00517CF4"/>
    <w:rsid w:val="0052028E"/>
    <w:rsid w:val="00520ACA"/>
    <w:rsid w:val="0052290D"/>
    <w:rsid w:val="00522BA5"/>
    <w:rsid w:val="00522EE8"/>
    <w:rsid w:val="005235B2"/>
    <w:rsid w:val="005237A0"/>
    <w:rsid w:val="00523A15"/>
    <w:rsid w:val="00523F41"/>
    <w:rsid w:val="0052484E"/>
    <w:rsid w:val="00524BA4"/>
    <w:rsid w:val="00525456"/>
    <w:rsid w:val="00525929"/>
    <w:rsid w:val="00525EF1"/>
    <w:rsid w:val="0052640F"/>
    <w:rsid w:val="005265CF"/>
    <w:rsid w:val="005266D8"/>
    <w:rsid w:val="00526C5E"/>
    <w:rsid w:val="00527233"/>
    <w:rsid w:val="0052739E"/>
    <w:rsid w:val="005276F9"/>
    <w:rsid w:val="005278C0"/>
    <w:rsid w:val="00527AA7"/>
    <w:rsid w:val="00527F1A"/>
    <w:rsid w:val="00530C15"/>
    <w:rsid w:val="0053249B"/>
    <w:rsid w:val="00532781"/>
    <w:rsid w:val="00532BA0"/>
    <w:rsid w:val="00532F8D"/>
    <w:rsid w:val="005334EB"/>
    <w:rsid w:val="00534BED"/>
    <w:rsid w:val="00536572"/>
    <w:rsid w:val="005367A9"/>
    <w:rsid w:val="005368D9"/>
    <w:rsid w:val="00537215"/>
    <w:rsid w:val="00537C27"/>
    <w:rsid w:val="005404C7"/>
    <w:rsid w:val="00541E81"/>
    <w:rsid w:val="005420C3"/>
    <w:rsid w:val="0054228F"/>
    <w:rsid w:val="00542754"/>
    <w:rsid w:val="00543B2F"/>
    <w:rsid w:val="00543CF2"/>
    <w:rsid w:val="00543F96"/>
    <w:rsid w:val="0054402F"/>
    <w:rsid w:val="00544C2B"/>
    <w:rsid w:val="00544CA6"/>
    <w:rsid w:val="00544FEB"/>
    <w:rsid w:val="00545932"/>
    <w:rsid w:val="00545A9E"/>
    <w:rsid w:val="00545BD1"/>
    <w:rsid w:val="00545D0D"/>
    <w:rsid w:val="00547239"/>
    <w:rsid w:val="00547780"/>
    <w:rsid w:val="00547EAD"/>
    <w:rsid w:val="0055018A"/>
    <w:rsid w:val="00550209"/>
    <w:rsid w:val="00550341"/>
    <w:rsid w:val="005507AA"/>
    <w:rsid w:val="00550EA6"/>
    <w:rsid w:val="0055227A"/>
    <w:rsid w:val="00553102"/>
    <w:rsid w:val="00553A7B"/>
    <w:rsid w:val="00554C4F"/>
    <w:rsid w:val="005561BB"/>
    <w:rsid w:val="0055649C"/>
    <w:rsid w:val="00556D24"/>
    <w:rsid w:val="00556DA2"/>
    <w:rsid w:val="005570B4"/>
    <w:rsid w:val="00560AD5"/>
    <w:rsid w:val="00560DC0"/>
    <w:rsid w:val="00560F0A"/>
    <w:rsid w:val="005619D3"/>
    <w:rsid w:val="00561E76"/>
    <w:rsid w:val="005623A1"/>
    <w:rsid w:val="005628B1"/>
    <w:rsid w:val="00563E49"/>
    <w:rsid w:val="00564392"/>
    <w:rsid w:val="0056455A"/>
    <w:rsid w:val="005651DC"/>
    <w:rsid w:val="005652E8"/>
    <w:rsid w:val="00565666"/>
    <w:rsid w:val="00565999"/>
    <w:rsid w:val="00566A3E"/>
    <w:rsid w:val="00566BBA"/>
    <w:rsid w:val="00566F5B"/>
    <w:rsid w:val="00566FAB"/>
    <w:rsid w:val="005676E9"/>
    <w:rsid w:val="00567AE5"/>
    <w:rsid w:val="00567FCA"/>
    <w:rsid w:val="00570A03"/>
    <w:rsid w:val="00571E64"/>
    <w:rsid w:val="0057263C"/>
    <w:rsid w:val="00572657"/>
    <w:rsid w:val="005727F9"/>
    <w:rsid w:val="00572B5E"/>
    <w:rsid w:val="00573C2A"/>
    <w:rsid w:val="00573FE9"/>
    <w:rsid w:val="005741A4"/>
    <w:rsid w:val="00574AC5"/>
    <w:rsid w:val="00574CDC"/>
    <w:rsid w:val="005754BB"/>
    <w:rsid w:val="005762AF"/>
    <w:rsid w:val="005767D2"/>
    <w:rsid w:val="00576ABA"/>
    <w:rsid w:val="0058148C"/>
    <w:rsid w:val="00581FC1"/>
    <w:rsid w:val="0058268E"/>
    <w:rsid w:val="00582AEE"/>
    <w:rsid w:val="00582C65"/>
    <w:rsid w:val="00582E6A"/>
    <w:rsid w:val="005838A7"/>
    <w:rsid w:val="00584B28"/>
    <w:rsid w:val="00584B7D"/>
    <w:rsid w:val="00584CC5"/>
    <w:rsid w:val="00584D8E"/>
    <w:rsid w:val="00585797"/>
    <w:rsid w:val="00585BFC"/>
    <w:rsid w:val="00585D16"/>
    <w:rsid w:val="005864C3"/>
    <w:rsid w:val="00586846"/>
    <w:rsid w:val="00586D4E"/>
    <w:rsid w:val="005874EC"/>
    <w:rsid w:val="00587FB7"/>
    <w:rsid w:val="005902C6"/>
    <w:rsid w:val="00590CB8"/>
    <w:rsid w:val="00590DE6"/>
    <w:rsid w:val="0059177B"/>
    <w:rsid w:val="00591C29"/>
    <w:rsid w:val="00591FC4"/>
    <w:rsid w:val="0059357F"/>
    <w:rsid w:val="00593769"/>
    <w:rsid w:val="005943C8"/>
    <w:rsid w:val="0059497B"/>
    <w:rsid w:val="00594DB2"/>
    <w:rsid w:val="005955E6"/>
    <w:rsid w:val="00595999"/>
    <w:rsid w:val="0059599D"/>
    <w:rsid w:val="00595A01"/>
    <w:rsid w:val="0059690B"/>
    <w:rsid w:val="00596FB8"/>
    <w:rsid w:val="005975C6"/>
    <w:rsid w:val="00597647"/>
    <w:rsid w:val="005A095E"/>
    <w:rsid w:val="005A19A1"/>
    <w:rsid w:val="005A1EF3"/>
    <w:rsid w:val="005A2798"/>
    <w:rsid w:val="005A2A1B"/>
    <w:rsid w:val="005A2C39"/>
    <w:rsid w:val="005A3C13"/>
    <w:rsid w:val="005A3D9A"/>
    <w:rsid w:val="005A48AE"/>
    <w:rsid w:val="005A496C"/>
    <w:rsid w:val="005A50E0"/>
    <w:rsid w:val="005A66C7"/>
    <w:rsid w:val="005A7024"/>
    <w:rsid w:val="005A786E"/>
    <w:rsid w:val="005A7E90"/>
    <w:rsid w:val="005B1B60"/>
    <w:rsid w:val="005B1EB7"/>
    <w:rsid w:val="005B22EE"/>
    <w:rsid w:val="005B24A7"/>
    <w:rsid w:val="005B24DE"/>
    <w:rsid w:val="005B2FCC"/>
    <w:rsid w:val="005B30CA"/>
    <w:rsid w:val="005B36DB"/>
    <w:rsid w:val="005B3915"/>
    <w:rsid w:val="005B3F47"/>
    <w:rsid w:val="005B412D"/>
    <w:rsid w:val="005B4D52"/>
    <w:rsid w:val="005B540A"/>
    <w:rsid w:val="005B58C6"/>
    <w:rsid w:val="005B5962"/>
    <w:rsid w:val="005B6026"/>
    <w:rsid w:val="005B6AC1"/>
    <w:rsid w:val="005B6CD3"/>
    <w:rsid w:val="005B6D83"/>
    <w:rsid w:val="005B724B"/>
    <w:rsid w:val="005B7591"/>
    <w:rsid w:val="005B7736"/>
    <w:rsid w:val="005B782C"/>
    <w:rsid w:val="005B7E42"/>
    <w:rsid w:val="005C0A20"/>
    <w:rsid w:val="005C0BAB"/>
    <w:rsid w:val="005C0F17"/>
    <w:rsid w:val="005C10DC"/>
    <w:rsid w:val="005C1296"/>
    <w:rsid w:val="005C153F"/>
    <w:rsid w:val="005C1D46"/>
    <w:rsid w:val="005C2C67"/>
    <w:rsid w:val="005C359F"/>
    <w:rsid w:val="005C3D3E"/>
    <w:rsid w:val="005C3E2A"/>
    <w:rsid w:val="005C46A7"/>
    <w:rsid w:val="005C477F"/>
    <w:rsid w:val="005C4AB8"/>
    <w:rsid w:val="005C511A"/>
    <w:rsid w:val="005C541D"/>
    <w:rsid w:val="005C5E48"/>
    <w:rsid w:val="005C7EFF"/>
    <w:rsid w:val="005D03E4"/>
    <w:rsid w:val="005D1522"/>
    <w:rsid w:val="005D28BE"/>
    <w:rsid w:val="005D39B7"/>
    <w:rsid w:val="005D3ED7"/>
    <w:rsid w:val="005D4A58"/>
    <w:rsid w:val="005D4F76"/>
    <w:rsid w:val="005D5274"/>
    <w:rsid w:val="005D52BA"/>
    <w:rsid w:val="005D53D0"/>
    <w:rsid w:val="005D5788"/>
    <w:rsid w:val="005D7C37"/>
    <w:rsid w:val="005E0CF6"/>
    <w:rsid w:val="005E16D2"/>
    <w:rsid w:val="005E24D1"/>
    <w:rsid w:val="005E32B1"/>
    <w:rsid w:val="005E3CAF"/>
    <w:rsid w:val="005E470C"/>
    <w:rsid w:val="005E4C73"/>
    <w:rsid w:val="005E6634"/>
    <w:rsid w:val="005E755E"/>
    <w:rsid w:val="005E759F"/>
    <w:rsid w:val="005E7944"/>
    <w:rsid w:val="005E7F14"/>
    <w:rsid w:val="005F0755"/>
    <w:rsid w:val="005F08D9"/>
    <w:rsid w:val="005F1F52"/>
    <w:rsid w:val="005F235F"/>
    <w:rsid w:val="005F3C25"/>
    <w:rsid w:val="005F3E3F"/>
    <w:rsid w:val="005F470D"/>
    <w:rsid w:val="005F568D"/>
    <w:rsid w:val="005F6490"/>
    <w:rsid w:val="005F66F1"/>
    <w:rsid w:val="00600303"/>
    <w:rsid w:val="00600326"/>
    <w:rsid w:val="00600926"/>
    <w:rsid w:val="00600C14"/>
    <w:rsid w:val="006012C9"/>
    <w:rsid w:val="006012D7"/>
    <w:rsid w:val="00601D72"/>
    <w:rsid w:val="006021F9"/>
    <w:rsid w:val="0060286A"/>
    <w:rsid w:val="00604232"/>
    <w:rsid w:val="00604FE9"/>
    <w:rsid w:val="00605B9F"/>
    <w:rsid w:val="00605E25"/>
    <w:rsid w:val="00606337"/>
    <w:rsid w:val="00606861"/>
    <w:rsid w:val="0060689B"/>
    <w:rsid w:val="00607089"/>
    <w:rsid w:val="0060711B"/>
    <w:rsid w:val="00607274"/>
    <w:rsid w:val="00607C2D"/>
    <w:rsid w:val="006101F1"/>
    <w:rsid w:val="0061041F"/>
    <w:rsid w:val="006105FF"/>
    <w:rsid w:val="00610B7B"/>
    <w:rsid w:val="00611412"/>
    <w:rsid w:val="00611469"/>
    <w:rsid w:val="006119F8"/>
    <w:rsid w:val="00611CA0"/>
    <w:rsid w:val="00611E4B"/>
    <w:rsid w:val="0061265D"/>
    <w:rsid w:val="00613662"/>
    <w:rsid w:val="0061371D"/>
    <w:rsid w:val="00613DDD"/>
    <w:rsid w:val="006143EB"/>
    <w:rsid w:val="006145BB"/>
    <w:rsid w:val="006151FD"/>
    <w:rsid w:val="006153A3"/>
    <w:rsid w:val="00615AFB"/>
    <w:rsid w:val="00615CA2"/>
    <w:rsid w:val="00615D6E"/>
    <w:rsid w:val="00616F65"/>
    <w:rsid w:val="00617342"/>
    <w:rsid w:val="0061734D"/>
    <w:rsid w:val="00617839"/>
    <w:rsid w:val="006179F1"/>
    <w:rsid w:val="00617AFE"/>
    <w:rsid w:val="00617C09"/>
    <w:rsid w:val="00617EE7"/>
    <w:rsid w:val="00617FE0"/>
    <w:rsid w:val="0062066A"/>
    <w:rsid w:val="00620F69"/>
    <w:rsid w:val="0062242F"/>
    <w:rsid w:val="00622681"/>
    <w:rsid w:val="00622803"/>
    <w:rsid w:val="00622B26"/>
    <w:rsid w:val="00623458"/>
    <w:rsid w:val="00623AA0"/>
    <w:rsid w:val="00623BD6"/>
    <w:rsid w:val="00624813"/>
    <w:rsid w:val="00624ADB"/>
    <w:rsid w:val="006268CD"/>
    <w:rsid w:val="006275F7"/>
    <w:rsid w:val="0062787A"/>
    <w:rsid w:val="006278B8"/>
    <w:rsid w:val="006306CF"/>
    <w:rsid w:val="00630790"/>
    <w:rsid w:val="00630C54"/>
    <w:rsid w:val="006311D5"/>
    <w:rsid w:val="006312EA"/>
    <w:rsid w:val="006314BD"/>
    <w:rsid w:val="00631A96"/>
    <w:rsid w:val="006321CE"/>
    <w:rsid w:val="00632326"/>
    <w:rsid w:val="0063235D"/>
    <w:rsid w:val="00632C35"/>
    <w:rsid w:val="00633411"/>
    <w:rsid w:val="00634646"/>
    <w:rsid w:val="00635143"/>
    <w:rsid w:val="00635726"/>
    <w:rsid w:val="00635A77"/>
    <w:rsid w:val="00635C37"/>
    <w:rsid w:val="00636595"/>
    <w:rsid w:val="006368FD"/>
    <w:rsid w:val="00637FE8"/>
    <w:rsid w:val="00637FF7"/>
    <w:rsid w:val="00640315"/>
    <w:rsid w:val="00640884"/>
    <w:rsid w:val="00640D27"/>
    <w:rsid w:val="00641879"/>
    <w:rsid w:val="0064192E"/>
    <w:rsid w:val="00641BE3"/>
    <w:rsid w:val="00642334"/>
    <w:rsid w:val="00642368"/>
    <w:rsid w:val="006435E2"/>
    <w:rsid w:val="00643AB7"/>
    <w:rsid w:val="00643D54"/>
    <w:rsid w:val="006448B4"/>
    <w:rsid w:val="0064594D"/>
    <w:rsid w:val="006469C5"/>
    <w:rsid w:val="00647002"/>
    <w:rsid w:val="00647310"/>
    <w:rsid w:val="006477CA"/>
    <w:rsid w:val="00647814"/>
    <w:rsid w:val="0065019F"/>
    <w:rsid w:val="006505AA"/>
    <w:rsid w:val="006514EC"/>
    <w:rsid w:val="00651E4D"/>
    <w:rsid w:val="0065334A"/>
    <w:rsid w:val="0065359B"/>
    <w:rsid w:val="00653BB4"/>
    <w:rsid w:val="00653D02"/>
    <w:rsid w:val="00654E51"/>
    <w:rsid w:val="0065594A"/>
    <w:rsid w:val="00655D69"/>
    <w:rsid w:val="00655D9C"/>
    <w:rsid w:val="00655F60"/>
    <w:rsid w:val="00656146"/>
    <w:rsid w:val="0065640B"/>
    <w:rsid w:val="00656B8A"/>
    <w:rsid w:val="00657045"/>
    <w:rsid w:val="00657834"/>
    <w:rsid w:val="00660B07"/>
    <w:rsid w:val="00660F0A"/>
    <w:rsid w:val="00661274"/>
    <w:rsid w:val="006615D0"/>
    <w:rsid w:val="00661710"/>
    <w:rsid w:val="006621CF"/>
    <w:rsid w:val="00662AEA"/>
    <w:rsid w:val="00662BDB"/>
    <w:rsid w:val="00662E32"/>
    <w:rsid w:val="006634F7"/>
    <w:rsid w:val="006637AF"/>
    <w:rsid w:val="0066391D"/>
    <w:rsid w:val="00663B9A"/>
    <w:rsid w:val="0066466F"/>
    <w:rsid w:val="00664671"/>
    <w:rsid w:val="0066497C"/>
    <w:rsid w:val="00665004"/>
    <w:rsid w:val="00665668"/>
    <w:rsid w:val="00666A13"/>
    <w:rsid w:val="006673C4"/>
    <w:rsid w:val="00667E9A"/>
    <w:rsid w:val="00670926"/>
    <w:rsid w:val="006715E0"/>
    <w:rsid w:val="00671804"/>
    <w:rsid w:val="00671FC6"/>
    <w:rsid w:val="0067205E"/>
    <w:rsid w:val="006722AD"/>
    <w:rsid w:val="00672F60"/>
    <w:rsid w:val="0067465F"/>
    <w:rsid w:val="00674E14"/>
    <w:rsid w:val="0067522E"/>
    <w:rsid w:val="00675941"/>
    <w:rsid w:val="00676E4F"/>
    <w:rsid w:val="006778BA"/>
    <w:rsid w:val="0068007A"/>
    <w:rsid w:val="00680542"/>
    <w:rsid w:val="00680D85"/>
    <w:rsid w:val="00680E04"/>
    <w:rsid w:val="00681467"/>
    <w:rsid w:val="00682145"/>
    <w:rsid w:val="00683646"/>
    <w:rsid w:val="00684788"/>
    <w:rsid w:val="00684DBF"/>
    <w:rsid w:val="00684FE3"/>
    <w:rsid w:val="00685B29"/>
    <w:rsid w:val="0068632D"/>
    <w:rsid w:val="006864B9"/>
    <w:rsid w:val="00687462"/>
    <w:rsid w:val="00687B0F"/>
    <w:rsid w:val="00687B35"/>
    <w:rsid w:val="00687D41"/>
    <w:rsid w:val="00692A5C"/>
    <w:rsid w:val="006933F6"/>
    <w:rsid w:val="00693472"/>
    <w:rsid w:val="00693508"/>
    <w:rsid w:val="006935E2"/>
    <w:rsid w:val="00693F86"/>
    <w:rsid w:val="0069569D"/>
    <w:rsid w:val="00695966"/>
    <w:rsid w:val="00696F26"/>
    <w:rsid w:val="00697CA8"/>
    <w:rsid w:val="00697D1C"/>
    <w:rsid w:val="00697DED"/>
    <w:rsid w:val="00697F7C"/>
    <w:rsid w:val="006A0CC9"/>
    <w:rsid w:val="006A1188"/>
    <w:rsid w:val="006A119B"/>
    <w:rsid w:val="006A11C8"/>
    <w:rsid w:val="006A210E"/>
    <w:rsid w:val="006A2198"/>
    <w:rsid w:val="006A25DB"/>
    <w:rsid w:val="006A2C28"/>
    <w:rsid w:val="006A3012"/>
    <w:rsid w:val="006A310A"/>
    <w:rsid w:val="006A3386"/>
    <w:rsid w:val="006A349A"/>
    <w:rsid w:val="006A38B7"/>
    <w:rsid w:val="006A3F25"/>
    <w:rsid w:val="006A4626"/>
    <w:rsid w:val="006A4645"/>
    <w:rsid w:val="006A4850"/>
    <w:rsid w:val="006A53DA"/>
    <w:rsid w:val="006A56C8"/>
    <w:rsid w:val="006A5EAD"/>
    <w:rsid w:val="006A65E3"/>
    <w:rsid w:val="006A67A8"/>
    <w:rsid w:val="006B0359"/>
    <w:rsid w:val="006B0744"/>
    <w:rsid w:val="006B08E7"/>
    <w:rsid w:val="006B0EC3"/>
    <w:rsid w:val="006B0ED6"/>
    <w:rsid w:val="006B1A51"/>
    <w:rsid w:val="006B1E11"/>
    <w:rsid w:val="006B1EC4"/>
    <w:rsid w:val="006B2791"/>
    <w:rsid w:val="006B3774"/>
    <w:rsid w:val="006B3C30"/>
    <w:rsid w:val="006B3DCD"/>
    <w:rsid w:val="006B4361"/>
    <w:rsid w:val="006B58A6"/>
    <w:rsid w:val="006B5E01"/>
    <w:rsid w:val="006B6652"/>
    <w:rsid w:val="006B6B11"/>
    <w:rsid w:val="006B7073"/>
    <w:rsid w:val="006B71EC"/>
    <w:rsid w:val="006B7532"/>
    <w:rsid w:val="006B7814"/>
    <w:rsid w:val="006B7DBE"/>
    <w:rsid w:val="006C07DB"/>
    <w:rsid w:val="006C11D7"/>
    <w:rsid w:val="006C1248"/>
    <w:rsid w:val="006C1530"/>
    <w:rsid w:val="006C1902"/>
    <w:rsid w:val="006C23E0"/>
    <w:rsid w:val="006C2735"/>
    <w:rsid w:val="006C31F4"/>
    <w:rsid w:val="006C3B7E"/>
    <w:rsid w:val="006C43DA"/>
    <w:rsid w:val="006C4A69"/>
    <w:rsid w:val="006C4BBE"/>
    <w:rsid w:val="006C5147"/>
    <w:rsid w:val="006C5913"/>
    <w:rsid w:val="006C5B97"/>
    <w:rsid w:val="006C5DE7"/>
    <w:rsid w:val="006C65E6"/>
    <w:rsid w:val="006C6917"/>
    <w:rsid w:val="006C729D"/>
    <w:rsid w:val="006C77C9"/>
    <w:rsid w:val="006D050C"/>
    <w:rsid w:val="006D059D"/>
    <w:rsid w:val="006D068A"/>
    <w:rsid w:val="006D09AF"/>
    <w:rsid w:val="006D2115"/>
    <w:rsid w:val="006D21A4"/>
    <w:rsid w:val="006D23B4"/>
    <w:rsid w:val="006D379B"/>
    <w:rsid w:val="006D3E44"/>
    <w:rsid w:val="006D4527"/>
    <w:rsid w:val="006D465D"/>
    <w:rsid w:val="006D49AA"/>
    <w:rsid w:val="006D4EF7"/>
    <w:rsid w:val="006D71A2"/>
    <w:rsid w:val="006E009F"/>
    <w:rsid w:val="006E0138"/>
    <w:rsid w:val="006E081D"/>
    <w:rsid w:val="006E0939"/>
    <w:rsid w:val="006E20AE"/>
    <w:rsid w:val="006E289C"/>
    <w:rsid w:val="006E2BB4"/>
    <w:rsid w:val="006E34C5"/>
    <w:rsid w:val="006E3C2C"/>
    <w:rsid w:val="006E44C6"/>
    <w:rsid w:val="006E4AD8"/>
    <w:rsid w:val="006E4E8A"/>
    <w:rsid w:val="006E50B5"/>
    <w:rsid w:val="006E64B0"/>
    <w:rsid w:val="006F0185"/>
    <w:rsid w:val="006F0556"/>
    <w:rsid w:val="006F0580"/>
    <w:rsid w:val="006F05E9"/>
    <w:rsid w:val="006F0E90"/>
    <w:rsid w:val="006F0FC1"/>
    <w:rsid w:val="006F130C"/>
    <w:rsid w:val="006F13E5"/>
    <w:rsid w:val="006F143A"/>
    <w:rsid w:val="006F18FD"/>
    <w:rsid w:val="006F2449"/>
    <w:rsid w:val="006F2555"/>
    <w:rsid w:val="006F2C02"/>
    <w:rsid w:val="006F3AA5"/>
    <w:rsid w:val="006F3C0E"/>
    <w:rsid w:val="006F426C"/>
    <w:rsid w:val="006F442D"/>
    <w:rsid w:val="006F4671"/>
    <w:rsid w:val="006F56D9"/>
    <w:rsid w:val="006F5F4D"/>
    <w:rsid w:val="006F60CB"/>
    <w:rsid w:val="006F6A12"/>
    <w:rsid w:val="006F6A68"/>
    <w:rsid w:val="006F74C1"/>
    <w:rsid w:val="006F77A5"/>
    <w:rsid w:val="006F7CB2"/>
    <w:rsid w:val="007007C8"/>
    <w:rsid w:val="00701FB3"/>
    <w:rsid w:val="00702445"/>
    <w:rsid w:val="00702581"/>
    <w:rsid w:val="007026FA"/>
    <w:rsid w:val="00702B6A"/>
    <w:rsid w:val="0070301C"/>
    <w:rsid w:val="00703311"/>
    <w:rsid w:val="00703750"/>
    <w:rsid w:val="00703B64"/>
    <w:rsid w:val="0070484D"/>
    <w:rsid w:val="0070557D"/>
    <w:rsid w:val="00705709"/>
    <w:rsid w:val="00705E61"/>
    <w:rsid w:val="00706A0F"/>
    <w:rsid w:val="00707214"/>
    <w:rsid w:val="00707BAA"/>
    <w:rsid w:val="00707CE7"/>
    <w:rsid w:val="00707E89"/>
    <w:rsid w:val="00711124"/>
    <w:rsid w:val="007111EA"/>
    <w:rsid w:val="007113E2"/>
    <w:rsid w:val="00711BD4"/>
    <w:rsid w:val="00711C91"/>
    <w:rsid w:val="00712029"/>
    <w:rsid w:val="0071256A"/>
    <w:rsid w:val="00713BAA"/>
    <w:rsid w:val="0071421D"/>
    <w:rsid w:val="0071423D"/>
    <w:rsid w:val="0071557B"/>
    <w:rsid w:val="007169CF"/>
    <w:rsid w:val="007169D4"/>
    <w:rsid w:val="00716B9B"/>
    <w:rsid w:val="00716BF8"/>
    <w:rsid w:val="007172E7"/>
    <w:rsid w:val="0071782F"/>
    <w:rsid w:val="0071791D"/>
    <w:rsid w:val="00717A74"/>
    <w:rsid w:val="007202EE"/>
    <w:rsid w:val="00720DF7"/>
    <w:rsid w:val="00721724"/>
    <w:rsid w:val="00721C78"/>
    <w:rsid w:val="007226AC"/>
    <w:rsid w:val="0072291B"/>
    <w:rsid w:val="00722FE8"/>
    <w:rsid w:val="0072303F"/>
    <w:rsid w:val="00723D6A"/>
    <w:rsid w:val="00723EFA"/>
    <w:rsid w:val="00724620"/>
    <w:rsid w:val="00730E5B"/>
    <w:rsid w:val="00731A16"/>
    <w:rsid w:val="00732ABC"/>
    <w:rsid w:val="007335B9"/>
    <w:rsid w:val="007342BB"/>
    <w:rsid w:val="00734CAF"/>
    <w:rsid w:val="00735BDE"/>
    <w:rsid w:val="00735C40"/>
    <w:rsid w:val="007362D6"/>
    <w:rsid w:val="007366DE"/>
    <w:rsid w:val="00736A67"/>
    <w:rsid w:val="0073786C"/>
    <w:rsid w:val="00737A4E"/>
    <w:rsid w:val="00737AAA"/>
    <w:rsid w:val="00737D37"/>
    <w:rsid w:val="00737D6A"/>
    <w:rsid w:val="00740947"/>
    <w:rsid w:val="007409C5"/>
    <w:rsid w:val="00740F9B"/>
    <w:rsid w:val="0074115F"/>
    <w:rsid w:val="00741371"/>
    <w:rsid w:val="0074137C"/>
    <w:rsid w:val="007415F7"/>
    <w:rsid w:val="00741F1E"/>
    <w:rsid w:val="00742175"/>
    <w:rsid w:val="007429A8"/>
    <w:rsid w:val="00742FB5"/>
    <w:rsid w:val="0074306F"/>
    <w:rsid w:val="00743C41"/>
    <w:rsid w:val="00743EE8"/>
    <w:rsid w:val="007444BA"/>
    <w:rsid w:val="00744854"/>
    <w:rsid w:val="0074494E"/>
    <w:rsid w:val="007449FA"/>
    <w:rsid w:val="007453B9"/>
    <w:rsid w:val="00745E01"/>
    <w:rsid w:val="00746110"/>
    <w:rsid w:val="00746159"/>
    <w:rsid w:val="007463D4"/>
    <w:rsid w:val="00746B02"/>
    <w:rsid w:val="00746B17"/>
    <w:rsid w:val="00747882"/>
    <w:rsid w:val="007504F5"/>
    <w:rsid w:val="007506DD"/>
    <w:rsid w:val="0075093B"/>
    <w:rsid w:val="00750B51"/>
    <w:rsid w:val="0075134F"/>
    <w:rsid w:val="0075216B"/>
    <w:rsid w:val="00752801"/>
    <w:rsid w:val="0075306D"/>
    <w:rsid w:val="00753A4C"/>
    <w:rsid w:val="00753AEA"/>
    <w:rsid w:val="007542E5"/>
    <w:rsid w:val="00754A42"/>
    <w:rsid w:val="00754A78"/>
    <w:rsid w:val="0075538C"/>
    <w:rsid w:val="00755945"/>
    <w:rsid w:val="00755E4E"/>
    <w:rsid w:val="00757F1B"/>
    <w:rsid w:val="00760676"/>
    <w:rsid w:val="00760E60"/>
    <w:rsid w:val="0076156B"/>
    <w:rsid w:val="00761C9F"/>
    <w:rsid w:val="007628F8"/>
    <w:rsid w:val="00762AA8"/>
    <w:rsid w:val="007632E8"/>
    <w:rsid w:val="00763E0A"/>
    <w:rsid w:val="007640C4"/>
    <w:rsid w:val="007640CA"/>
    <w:rsid w:val="00764279"/>
    <w:rsid w:val="0076441E"/>
    <w:rsid w:val="00764C68"/>
    <w:rsid w:val="00764E4A"/>
    <w:rsid w:val="007652B0"/>
    <w:rsid w:val="00765749"/>
    <w:rsid w:val="00766BB6"/>
    <w:rsid w:val="00767F34"/>
    <w:rsid w:val="007701BB"/>
    <w:rsid w:val="00770348"/>
    <w:rsid w:val="007707B9"/>
    <w:rsid w:val="00770EBF"/>
    <w:rsid w:val="00771774"/>
    <w:rsid w:val="00771B56"/>
    <w:rsid w:val="007720E6"/>
    <w:rsid w:val="007727C1"/>
    <w:rsid w:val="00772A00"/>
    <w:rsid w:val="00772FA0"/>
    <w:rsid w:val="0077389E"/>
    <w:rsid w:val="00774E74"/>
    <w:rsid w:val="00774FF6"/>
    <w:rsid w:val="007758ED"/>
    <w:rsid w:val="00775954"/>
    <w:rsid w:val="00775C42"/>
    <w:rsid w:val="007764B5"/>
    <w:rsid w:val="00776DD4"/>
    <w:rsid w:val="00776FC9"/>
    <w:rsid w:val="007777F4"/>
    <w:rsid w:val="00780150"/>
    <w:rsid w:val="00780603"/>
    <w:rsid w:val="0078157F"/>
    <w:rsid w:val="007819B2"/>
    <w:rsid w:val="007819CC"/>
    <w:rsid w:val="00781B66"/>
    <w:rsid w:val="007823E8"/>
    <w:rsid w:val="00782889"/>
    <w:rsid w:val="00782CF1"/>
    <w:rsid w:val="00783250"/>
    <w:rsid w:val="00783A8F"/>
    <w:rsid w:val="00783D04"/>
    <w:rsid w:val="0078422C"/>
    <w:rsid w:val="007852DF"/>
    <w:rsid w:val="00786B22"/>
    <w:rsid w:val="00786F41"/>
    <w:rsid w:val="00787DC2"/>
    <w:rsid w:val="0079047D"/>
    <w:rsid w:val="007908F7"/>
    <w:rsid w:val="007909BA"/>
    <w:rsid w:val="00791485"/>
    <w:rsid w:val="00791ED5"/>
    <w:rsid w:val="00792536"/>
    <w:rsid w:val="00792837"/>
    <w:rsid w:val="00792B70"/>
    <w:rsid w:val="00792C07"/>
    <w:rsid w:val="0079327D"/>
    <w:rsid w:val="007933B7"/>
    <w:rsid w:val="00793951"/>
    <w:rsid w:val="00794ACA"/>
    <w:rsid w:val="00794EEA"/>
    <w:rsid w:val="00796243"/>
    <w:rsid w:val="007968D4"/>
    <w:rsid w:val="00796B8A"/>
    <w:rsid w:val="00796D81"/>
    <w:rsid w:val="007971CF"/>
    <w:rsid w:val="00797340"/>
    <w:rsid w:val="007A0B73"/>
    <w:rsid w:val="007A108D"/>
    <w:rsid w:val="007A1FE7"/>
    <w:rsid w:val="007A20A0"/>
    <w:rsid w:val="007A256E"/>
    <w:rsid w:val="007A376C"/>
    <w:rsid w:val="007A3AE9"/>
    <w:rsid w:val="007A3B35"/>
    <w:rsid w:val="007A40ED"/>
    <w:rsid w:val="007A423A"/>
    <w:rsid w:val="007A475D"/>
    <w:rsid w:val="007A51E5"/>
    <w:rsid w:val="007A5453"/>
    <w:rsid w:val="007A591D"/>
    <w:rsid w:val="007A61D6"/>
    <w:rsid w:val="007A66B2"/>
    <w:rsid w:val="007B0A13"/>
    <w:rsid w:val="007B0B7F"/>
    <w:rsid w:val="007B1C83"/>
    <w:rsid w:val="007B26D6"/>
    <w:rsid w:val="007B3097"/>
    <w:rsid w:val="007B3B31"/>
    <w:rsid w:val="007B4922"/>
    <w:rsid w:val="007B574E"/>
    <w:rsid w:val="007B616D"/>
    <w:rsid w:val="007B6909"/>
    <w:rsid w:val="007B69C4"/>
    <w:rsid w:val="007B6AD2"/>
    <w:rsid w:val="007B70AD"/>
    <w:rsid w:val="007C0536"/>
    <w:rsid w:val="007C075F"/>
    <w:rsid w:val="007C1631"/>
    <w:rsid w:val="007C1753"/>
    <w:rsid w:val="007C178C"/>
    <w:rsid w:val="007C17D8"/>
    <w:rsid w:val="007C23EC"/>
    <w:rsid w:val="007C2D44"/>
    <w:rsid w:val="007C3375"/>
    <w:rsid w:val="007C353D"/>
    <w:rsid w:val="007C3E38"/>
    <w:rsid w:val="007C4414"/>
    <w:rsid w:val="007C48C7"/>
    <w:rsid w:val="007C4C3F"/>
    <w:rsid w:val="007C4D2E"/>
    <w:rsid w:val="007C5C54"/>
    <w:rsid w:val="007C60C0"/>
    <w:rsid w:val="007C627E"/>
    <w:rsid w:val="007C65AE"/>
    <w:rsid w:val="007C6D96"/>
    <w:rsid w:val="007C7034"/>
    <w:rsid w:val="007C7211"/>
    <w:rsid w:val="007C7562"/>
    <w:rsid w:val="007C7EB2"/>
    <w:rsid w:val="007D0097"/>
    <w:rsid w:val="007D031D"/>
    <w:rsid w:val="007D0636"/>
    <w:rsid w:val="007D2B2B"/>
    <w:rsid w:val="007D3E4D"/>
    <w:rsid w:val="007D3FC9"/>
    <w:rsid w:val="007D4341"/>
    <w:rsid w:val="007D49F0"/>
    <w:rsid w:val="007D54DC"/>
    <w:rsid w:val="007D574F"/>
    <w:rsid w:val="007D5760"/>
    <w:rsid w:val="007D5866"/>
    <w:rsid w:val="007D7CAB"/>
    <w:rsid w:val="007E004B"/>
    <w:rsid w:val="007E0C43"/>
    <w:rsid w:val="007E1C30"/>
    <w:rsid w:val="007E1EBD"/>
    <w:rsid w:val="007E1F1A"/>
    <w:rsid w:val="007E2057"/>
    <w:rsid w:val="007E2698"/>
    <w:rsid w:val="007E2F90"/>
    <w:rsid w:val="007E311C"/>
    <w:rsid w:val="007E3942"/>
    <w:rsid w:val="007E406A"/>
    <w:rsid w:val="007E460C"/>
    <w:rsid w:val="007E49AC"/>
    <w:rsid w:val="007E4D0C"/>
    <w:rsid w:val="007E5664"/>
    <w:rsid w:val="007E69C4"/>
    <w:rsid w:val="007F059B"/>
    <w:rsid w:val="007F1042"/>
    <w:rsid w:val="007F1821"/>
    <w:rsid w:val="007F1950"/>
    <w:rsid w:val="007F21DA"/>
    <w:rsid w:val="007F288E"/>
    <w:rsid w:val="007F289D"/>
    <w:rsid w:val="007F2D86"/>
    <w:rsid w:val="007F2F11"/>
    <w:rsid w:val="007F32E9"/>
    <w:rsid w:val="007F3404"/>
    <w:rsid w:val="007F351A"/>
    <w:rsid w:val="007F35E1"/>
    <w:rsid w:val="007F38A2"/>
    <w:rsid w:val="007F4B6A"/>
    <w:rsid w:val="007F4F78"/>
    <w:rsid w:val="007F5FC5"/>
    <w:rsid w:val="007F6AE8"/>
    <w:rsid w:val="007F7415"/>
    <w:rsid w:val="007F779C"/>
    <w:rsid w:val="00800921"/>
    <w:rsid w:val="00800A17"/>
    <w:rsid w:val="00800A52"/>
    <w:rsid w:val="00800C3F"/>
    <w:rsid w:val="0080149F"/>
    <w:rsid w:val="00801A0E"/>
    <w:rsid w:val="00801AA4"/>
    <w:rsid w:val="00801D77"/>
    <w:rsid w:val="008026A6"/>
    <w:rsid w:val="0080321C"/>
    <w:rsid w:val="008032DF"/>
    <w:rsid w:val="008034C4"/>
    <w:rsid w:val="00804572"/>
    <w:rsid w:val="0080548E"/>
    <w:rsid w:val="00805CE1"/>
    <w:rsid w:val="00806E37"/>
    <w:rsid w:val="00807107"/>
    <w:rsid w:val="00807881"/>
    <w:rsid w:val="008079D3"/>
    <w:rsid w:val="00810D00"/>
    <w:rsid w:val="00811B24"/>
    <w:rsid w:val="00812819"/>
    <w:rsid w:val="008130AD"/>
    <w:rsid w:val="00813274"/>
    <w:rsid w:val="00813C1F"/>
    <w:rsid w:val="00814561"/>
    <w:rsid w:val="00814728"/>
    <w:rsid w:val="00814ADA"/>
    <w:rsid w:val="00814FA4"/>
    <w:rsid w:val="00815035"/>
    <w:rsid w:val="0081560A"/>
    <w:rsid w:val="00815A7E"/>
    <w:rsid w:val="00816C68"/>
    <w:rsid w:val="00817CE2"/>
    <w:rsid w:val="00820283"/>
    <w:rsid w:val="008205B0"/>
    <w:rsid w:val="008209AD"/>
    <w:rsid w:val="00820A71"/>
    <w:rsid w:val="00820F70"/>
    <w:rsid w:val="00821210"/>
    <w:rsid w:val="00822197"/>
    <w:rsid w:val="008221DE"/>
    <w:rsid w:val="0082341C"/>
    <w:rsid w:val="008234E2"/>
    <w:rsid w:val="00823871"/>
    <w:rsid w:val="00823C6E"/>
    <w:rsid w:val="00823EB4"/>
    <w:rsid w:val="00824570"/>
    <w:rsid w:val="00824C16"/>
    <w:rsid w:val="0082500A"/>
    <w:rsid w:val="0082589C"/>
    <w:rsid w:val="0082656B"/>
    <w:rsid w:val="0082694C"/>
    <w:rsid w:val="00826C8D"/>
    <w:rsid w:val="0082702D"/>
    <w:rsid w:val="00827DD2"/>
    <w:rsid w:val="00830057"/>
    <w:rsid w:val="008305EA"/>
    <w:rsid w:val="008318B6"/>
    <w:rsid w:val="00832618"/>
    <w:rsid w:val="00832BD2"/>
    <w:rsid w:val="00833903"/>
    <w:rsid w:val="00833D8B"/>
    <w:rsid w:val="00833EC5"/>
    <w:rsid w:val="00833F01"/>
    <w:rsid w:val="0083414C"/>
    <w:rsid w:val="008342A1"/>
    <w:rsid w:val="00834442"/>
    <w:rsid w:val="00835285"/>
    <w:rsid w:val="008365B2"/>
    <w:rsid w:val="00836671"/>
    <w:rsid w:val="0083770A"/>
    <w:rsid w:val="0083774B"/>
    <w:rsid w:val="00840F67"/>
    <w:rsid w:val="0084175D"/>
    <w:rsid w:val="00841D0E"/>
    <w:rsid w:val="008421FE"/>
    <w:rsid w:val="00842646"/>
    <w:rsid w:val="00842D85"/>
    <w:rsid w:val="00842E70"/>
    <w:rsid w:val="00842F98"/>
    <w:rsid w:val="00843A39"/>
    <w:rsid w:val="00843C5E"/>
    <w:rsid w:val="00845311"/>
    <w:rsid w:val="00845CFB"/>
    <w:rsid w:val="00845EB4"/>
    <w:rsid w:val="0084602C"/>
    <w:rsid w:val="008464DB"/>
    <w:rsid w:val="00846B39"/>
    <w:rsid w:val="008478B3"/>
    <w:rsid w:val="00847F18"/>
    <w:rsid w:val="00850120"/>
    <w:rsid w:val="008505D9"/>
    <w:rsid w:val="0085076A"/>
    <w:rsid w:val="00851067"/>
    <w:rsid w:val="00851074"/>
    <w:rsid w:val="008523A8"/>
    <w:rsid w:val="0085296B"/>
    <w:rsid w:val="00852C89"/>
    <w:rsid w:val="00852E18"/>
    <w:rsid w:val="008533CD"/>
    <w:rsid w:val="00853663"/>
    <w:rsid w:val="008551B3"/>
    <w:rsid w:val="00855AF8"/>
    <w:rsid w:val="00856056"/>
    <w:rsid w:val="008562C9"/>
    <w:rsid w:val="00856EB8"/>
    <w:rsid w:val="00860600"/>
    <w:rsid w:val="00860782"/>
    <w:rsid w:val="008609AE"/>
    <w:rsid w:val="00861A15"/>
    <w:rsid w:val="00861F84"/>
    <w:rsid w:val="00862015"/>
    <w:rsid w:val="00862EF0"/>
    <w:rsid w:val="00862EF5"/>
    <w:rsid w:val="0086335F"/>
    <w:rsid w:val="00863428"/>
    <w:rsid w:val="00863517"/>
    <w:rsid w:val="00864BB7"/>
    <w:rsid w:val="00864D61"/>
    <w:rsid w:val="00866B5D"/>
    <w:rsid w:val="00867D9C"/>
    <w:rsid w:val="0087042C"/>
    <w:rsid w:val="0087058F"/>
    <w:rsid w:val="00870764"/>
    <w:rsid w:val="00871F0F"/>
    <w:rsid w:val="00872F62"/>
    <w:rsid w:val="00873088"/>
    <w:rsid w:val="0087523C"/>
    <w:rsid w:val="00875DB5"/>
    <w:rsid w:val="00876942"/>
    <w:rsid w:val="0087697A"/>
    <w:rsid w:val="00877529"/>
    <w:rsid w:val="00877EA4"/>
    <w:rsid w:val="00880C75"/>
    <w:rsid w:val="0088100E"/>
    <w:rsid w:val="00881723"/>
    <w:rsid w:val="008825AB"/>
    <w:rsid w:val="00882BCA"/>
    <w:rsid w:val="00883B36"/>
    <w:rsid w:val="008851F9"/>
    <w:rsid w:val="008857F7"/>
    <w:rsid w:val="00886334"/>
    <w:rsid w:val="00887A25"/>
    <w:rsid w:val="00887AF8"/>
    <w:rsid w:val="00887B64"/>
    <w:rsid w:val="00890781"/>
    <w:rsid w:val="0089120B"/>
    <w:rsid w:val="008914FD"/>
    <w:rsid w:val="0089165E"/>
    <w:rsid w:val="00891E2D"/>
    <w:rsid w:val="00893CF6"/>
    <w:rsid w:val="00894057"/>
    <w:rsid w:val="008941E5"/>
    <w:rsid w:val="00894427"/>
    <w:rsid w:val="00894665"/>
    <w:rsid w:val="00896032"/>
    <w:rsid w:val="00896C25"/>
    <w:rsid w:val="00897044"/>
    <w:rsid w:val="00897147"/>
    <w:rsid w:val="008977D0"/>
    <w:rsid w:val="008978B8"/>
    <w:rsid w:val="008978CA"/>
    <w:rsid w:val="00897ADC"/>
    <w:rsid w:val="008A0009"/>
    <w:rsid w:val="008A1214"/>
    <w:rsid w:val="008A1441"/>
    <w:rsid w:val="008A1720"/>
    <w:rsid w:val="008A1D9F"/>
    <w:rsid w:val="008A2096"/>
    <w:rsid w:val="008A2439"/>
    <w:rsid w:val="008A27F3"/>
    <w:rsid w:val="008A27FB"/>
    <w:rsid w:val="008A2880"/>
    <w:rsid w:val="008A2D50"/>
    <w:rsid w:val="008A4B07"/>
    <w:rsid w:val="008A5A2B"/>
    <w:rsid w:val="008A692D"/>
    <w:rsid w:val="008A70A7"/>
    <w:rsid w:val="008A7852"/>
    <w:rsid w:val="008A7856"/>
    <w:rsid w:val="008B079D"/>
    <w:rsid w:val="008B07DB"/>
    <w:rsid w:val="008B09EC"/>
    <w:rsid w:val="008B0A99"/>
    <w:rsid w:val="008B13C4"/>
    <w:rsid w:val="008B1A36"/>
    <w:rsid w:val="008B1D01"/>
    <w:rsid w:val="008B21BD"/>
    <w:rsid w:val="008B2785"/>
    <w:rsid w:val="008B2C15"/>
    <w:rsid w:val="008B2D0C"/>
    <w:rsid w:val="008B2E54"/>
    <w:rsid w:val="008B2F88"/>
    <w:rsid w:val="008B30F1"/>
    <w:rsid w:val="008B437A"/>
    <w:rsid w:val="008B474D"/>
    <w:rsid w:val="008B4765"/>
    <w:rsid w:val="008B4B2F"/>
    <w:rsid w:val="008B4F35"/>
    <w:rsid w:val="008B59DE"/>
    <w:rsid w:val="008B7339"/>
    <w:rsid w:val="008B7402"/>
    <w:rsid w:val="008B74CC"/>
    <w:rsid w:val="008B7DEA"/>
    <w:rsid w:val="008C0850"/>
    <w:rsid w:val="008C0E01"/>
    <w:rsid w:val="008C3B38"/>
    <w:rsid w:val="008C43B4"/>
    <w:rsid w:val="008C4484"/>
    <w:rsid w:val="008C44D9"/>
    <w:rsid w:val="008C478E"/>
    <w:rsid w:val="008C4DA3"/>
    <w:rsid w:val="008C5562"/>
    <w:rsid w:val="008C5BCE"/>
    <w:rsid w:val="008C67AA"/>
    <w:rsid w:val="008D01C2"/>
    <w:rsid w:val="008D026B"/>
    <w:rsid w:val="008D0725"/>
    <w:rsid w:val="008D084E"/>
    <w:rsid w:val="008D1063"/>
    <w:rsid w:val="008D10EF"/>
    <w:rsid w:val="008D139E"/>
    <w:rsid w:val="008D2C45"/>
    <w:rsid w:val="008D2F56"/>
    <w:rsid w:val="008D4767"/>
    <w:rsid w:val="008D7AF7"/>
    <w:rsid w:val="008E0EDA"/>
    <w:rsid w:val="008E1462"/>
    <w:rsid w:val="008E1806"/>
    <w:rsid w:val="008E2FF9"/>
    <w:rsid w:val="008E30B1"/>
    <w:rsid w:val="008E323E"/>
    <w:rsid w:val="008E3F3E"/>
    <w:rsid w:val="008E520E"/>
    <w:rsid w:val="008E57D6"/>
    <w:rsid w:val="008E5A7A"/>
    <w:rsid w:val="008E6A6D"/>
    <w:rsid w:val="008E72CC"/>
    <w:rsid w:val="008E7E3F"/>
    <w:rsid w:val="008E7FBC"/>
    <w:rsid w:val="008F0741"/>
    <w:rsid w:val="008F09DE"/>
    <w:rsid w:val="008F0EF1"/>
    <w:rsid w:val="008F10C3"/>
    <w:rsid w:val="008F2ACC"/>
    <w:rsid w:val="008F36C9"/>
    <w:rsid w:val="008F38D8"/>
    <w:rsid w:val="008F3B5E"/>
    <w:rsid w:val="008F3DC8"/>
    <w:rsid w:val="008F4599"/>
    <w:rsid w:val="008F45D4"/>
    <w:rsid w:val="008F4634"/>
    <w:rsid w:val="008F51C9"/>
    <w:rsid w:val="008F54BA"/>
    <w:rsid w:val="008F5915"/>
    <w:rsid w:val="008F59EA"/>
    <w:rsid w:val="008F5CE3"/>
    <w:rsid w:val="008F5D98"/>
    <w:rsid w:val="008F5F4F"/>
    <w:rsid w:val="008F5FB4"/>
    <w:rsid w:val="008F651C"/>
    <w:rsid w:val="008F675E"/>
    <w:rsid w:val="008F695B"/>
    <w:rsid w:val="008F6A37"/>
    <w:rsid w:val="008F6EC6"/>
    <w:rsid w:val="00900479"/>
    <w:rsid w:val="0090205A"/>
    <w:rsid w:val="00902193"/>
    <w:rsid w:val="00902B5D"/>
    <w:rsid w:val="00903379"/>
    <w:rsid w:val="00904018"/>
    <w:rsid w:val="009043B1"/>
    <w:rsid w:val="009051D3"/>
    <w:rsid w:val="00905ED9"/>
    <w:rsid w:val="0090644B"/>
    <w:rsid w:val="00906492"/>
    <w:rsid w:val="009070E9"/>
    <w:rsid w:val="00907A01"/>
    <w:rsid w:val="0091005A"/>
    <w:rsid w:val="0091007D"/>
    <w:rsid w:val="009106A6"/>
    <w:rsid w:val="00910AAF"/>
    <w:rsid w:val="0091135F"/>
    <w:rsid w:val="00911FBC"/>
    <w:rsid w:val="009127C1"/>
    <w:rsid w:val="009132B0"/>
    <w:rsid w:val="00913AB3"/>
    <w:rsid w:val="009147C2"/>
    <w:rsid w:val="00914B7C"/>
    <w:rsid w:val="00916505"/>
    <w:rsid w:val="00916A8D"/>
    <w:rsid w:val="00917045"/>
    <w:rsid w:val="00917192"/>
    <w:rsid w:val="0091754D"/>
    <w:rsid w:val="009179A8"/>
    <w:rsid w:val="00920045"/>
    <w:rsid w:val="00920225"/>
    <w:rsid w:val="009209ED"/>
    <w:rsid w:val="00921472"/>
    <w:rsid w:val="00921AFF"/>
    <w:rsid w:val="00922379"/>
    <w:rsid w:val="00922EBE"/>
    <w:rsid w:val="009232A8"/>
    <w:rsid w:val="009238DD"/>
    <w:rsid w:val="009243B6"/>
    <w:rsid w:val="00924D2C"/>
    <w:rsid w:val="00925B8F"/>
    <w:rsid w:val="009266B7"/>
    <w:rsid w:val="00926C03"/>
    <w:rsid w:val="00926DCC"/>
    <w:rsid w:val="00926DEB"/>
    <w:rsid w:val="00927B0B"/>
    <w:rsid w:val="00927B36"/>
    <w:rsid w:val="00927BB8"/>
    <w:rsid w:val="009300EA"/>
    <w:rsid w:val="00930C1B"/>
    <w:rsid w:val="00930FAC"/>
    <w:rsid w:val="0093119D"/>
    <w:rsid w:val="00931521"/>
    <w:rsid w:val="009316E7"/>
    <w:rsid w:val="00932A31"/>
    <w:rsid w:val="00932B25"/>
    <w:rsid w:val="00932B86"/>
    <w:rsid w:val="009334D8"/>
    <w:rsid w:val="009349B7"/>
    <w:rsid w:val="00934D8E"/>
    <w:rsid w:val="00935473"/>
    <w:rsid w:val="0093577E"/>
    <w:rsid w:val="009366BF"/>
    <w:rsid w:val="00936D1F"/>
    <w:rsid w:val="00940541"/>
    <w:rsid w:val="00940D65"/>
    <w:rsid w:val="0094110B"/>
    <w:rsid w:val="00942188"/>
    <w:rsid w:val="00942C4B"/>
    <w:rsid w:val="00943E5E"/>
    <w:rsid w:val="00944CE5"/>
    <w:rsid w:val="0094528E"/>
    <w:rsid w:val="009452C8"/>
    <w:rsid w:val="00946247"/>
    <w:rsid w:val="00946561"/>
    <w:rsid w:val="00946BB8"/>
    <w:rsid w:val="00946C4E"/>
    <w:rsid w:val="0094779D"/>
    <w:rsid w:val="0095065B"/>
    <w:rsid w:val="009512BD"/>
    <w:rsid w:val="00951EC8"/>
    <w:rsid w:val="00952031"/>
    <w:rsid w:val="00952979"/>
    <w:rsid w:val="00952AAF"/>
    <w:rsid w:val="009534B1"/>
    <w:rsid w:val="009541E8"/>
    <w:rsid w:val="009547A1"/>
    <w:rsid w:val="009549C1"/>
    <w:rsid w:val="009562F3"/>
    <w:rsid w:val="009567C6"/>
    <w:rsid w:val="009574D9"/>
    <w:rsid w:val="00957BDB"/>
    <w:rsid w:val="00957CF1"/>
    <w:rsid w:val="00957E1A"/>
    <w:rsid w:val="0096002F"/>
    <w:rsid w:val="0096144E"/>
    <w:rsid w:val="00961DE9"/>
    <w:rsid w:val="0096200B"/>
    <w:rsid w:val="00962589"/>
    <w:rsid w:val="00962BD9"/>
    <w:rsid w:val="00962EE7"/>
    <w:rsid w:val="00962F5F"/>
    <w:rsid w:val="00963D49"/>
    <w:rsid w:val="00964BA9"/>
    <w:rsid w:val="009652DA"/>
    <w:rsid w:val="00965C54"/>
    <w:rsid w:val="00965EB8"/>
    <w:rsid w:val="009663C0"/>
    <w:rsid w:val="0096669B"/>
    <w:rsid w:val="00967736"/>
    <w:rsid w:val="00967D92"/>
    <w:rsid w:val="009700CC"/>
    <w:rsid w:val="0097025E"/>
    <w:rsid w:val="0097084D"/>
    <w:rsid w:val="009708EC"/>
    <w:rsid w:val="00970B01"/>
    <w:rsid w:val="00972071"/>
    <w:rsid w:val="00972B1F"/>
    <w:rsid w:val="00972ECF"/>
    <w:rsid w:val="00973D78"/>
    <w:rsid w:val="009758E8"/>
    <w:rsid w:val="009761DE"/>
    <w:rsid w:val="009773CD"/>
    <w:rsid w:val="0097756B"/>
    <w:rsid w:val="00977EB6"/>
    <w:rsid w:val="009800E1"/>
    <w:rsid w:val="00980115"/>
    <w:rsid w:val="00980462"/>
    <w:rsid w:val="0098056C"/>
    <w:rsid w:val="00980D2D"/>
    <w:rsid w:val="00980F25"/>
    <w:rsid w:val="0098119D"/>
    <w:rsid w:val="009814BF"/>
    <w:rsid w:val="00981696"/>
    <w:rsid w:val="009816B7"/>
    <w:rsid w:val="00982B62"/>
    <w:rsid w:val="00983079"/>
    <w:rsid w:val="0098312B"/>
    <w:rsid w:val="00983A62"/>
    <w:rsid w:val="00983B42"/>
    <w:rsid w:val="0098438B"/>
    <w:rsid w:val="009848BC"/>
    <w:rsid w:val="00984CCB"/>
    <w:rsid w:val="00985251"/>
    <w:rsid w:val="009852FE"/>
    <w:rsid w:val="0098557F"/>
    <w:rsid w:val="009859D0"/>
    <w:rsid w:val="00985C7B"/>
    <w:rsid w:val="00985D69"/>
    <w:rsid w:val="009860F1"/>
    <w:rsid w:val="0098652B"/>
    <w:rsid w:val="00986BAE"/>
    <w:rsid w:val="00987208"/>
    <w:rsid w:val="0098737A"/>
    <w:rsid w:val="009874EA"/>
    <w:rsid w:val="009904FB"/>
    <w:rsid w:val="00990CEA"/>
    <w:rsid w:val="00992066"/>
    <w:rsid w:val="00992077"/>
    <w:rsid w:val="00993981"/>
    <w:rsid w:val="0099491B"/>
    <w:rsid w:val="0099509F"/>
    <w:rsid w:val="00996A19"/>
    <w:rsid w:val="00996E1B"/>
    <w:rsid w:val="00997255"/>
    <w:rsid w:val="00997BF6"/>
    <w:rsid w:val="009A0588"/>
    <w:rsid w:val="009A0BB2"/>
    <w:rsid w:val="009A0C69"/>
    <w:rsid w:val="009A1FCE"/>
    <w:rsid w:val="009A26EA"/>
    <w:rsid w:val="009A325B"/>
    <w:rsid w:val="009A347C"/>
    <w:rsid w:val="009A42E5"/>
    <w:rsid w:val="009A4DB0"/>
    <w:rsid w:val="009A62B6"/>
    <w:rsid w:val="009A6FCD"/>
    <w:rsid w:val="009A711E"/>
    <w:rsid w:val="009A7C4C"/>
    <w:rsid w:val="009B0576"/>
    <w:rsid w:val="009B11C7"/>
    <w:rsid w:val="009B14AF"/>
    <w:rsid w:val="009B2163"/>
    <w:rsid w:val="009B21C6"/>
    <w:rsid w:val="009B23CE"/>
    <w:rsid w:val="009B259F"/>
    <w:rsid w:val="009B2A92"/>
    <w:rsid w:val="009B319B"/>
    <w:rsid w:val="009B388D"/>
    <w:rsid w:val="009B4057"/>
    <w:rsid w:val="009B415B"/>
    <w:rsid w:val="009B418A"/>
    <w:rsid w:val="009B499E"/>
    <w:rsid w:val="009B6557"/>
    <w:rsid w:val="009B69B3"/>
    <w:rsid w:val="009B6CFC"/>
    <w:rsid w:val="009B75E5"/>
    <w:rsid w:val="009C06B2"/>
    <w:rsid w:val="009C0E9E"/>
    <w:rsid w:val="009C33B8"/>
    <w:rsid w:val="009C37F0"/>
    <w:rsid w:val="009C4291"/>
    <w:rsid w:val="009C4816"/>
    <w:rsid w:val="009C524D"/>
    <w:rsid w:val="009C5338"/>
    <w:rsid w:val="009C5AD8"/>
    <w:rsid w:val="009C638F"/>
    <w:rsid w:val="009C654F"/>
    <w:rsid w:val="009C6743"/>
    <w:rsid w:val="009C68FF"/>
    <w:rsid w:val="009C6D91"/>
    <w:rsid w:val="009C7576"/>
    <w:rsid w:val="009C7E90"/>
    <w:rsid w:val="009D0079"/>
    <w:rsid w:val="009D044D"/>
    <w:rsid w:val="009D105C"/>
    <w:rsid w:val="009D1397"/>
    <w:rsid w:val="009D14D8"/>
    <w:rsid w:val="009D1B58"/>
    <w:rsid w:val="009D2A71"/>
    <w:rsid w:val="009D2A96"/>
    <w:rsid w:val="009D2CD6"/>
    <w:rsid w:val="009D2E3D"/>
    <w:rsid w:val="009D3B10"/>
    <w:rsid w:val="009D3CDF"/>
    <w:rsid w:val="009D3D62"/>
    <w:rsid w:val="009D3FE1"/>
    <w:rsid w:val="009D40AA"/>
    <w:rsid w:val="009D4275"/>
    <w:rsid w:val="009D47B6"/>
    <w:rsid w:val="009D4916"/>
    <w:rsid w:val="009D4D1B"/>
    <w:rsid w:val="009D4FA0"/>
    <w:rsid w:val="009D5B3D"/>
    <w:rsid w:val="009D72E0"/>
    <w:rsid w:val="009D7971"/>
    <w:rsid w:val="009E0C18"/>
    <w:rsid w:val="009E1460"/>
    <w:rsid w:val="009E2436"/>
    <w:rsid w:val="009E2843"/>
    <w:rsid w:val="009E3DCE"/>
    <w:rsid w:val="009E480B"/>
    <w:rsid w:val="009E607B"/>
    <w:rsid w:val="009E6209"/>
    <w:rsid w:val="009E6559"/>
    <w:rsid w:val="009E69D7"/>
    <w:rsid w:val="009E6DFA"/>
    <w:rsid w:val="009E7A3A"/>
    <w:rsid w:val="009F016E"/>
    <w:rsid w:val="009F0A4F"/>
    <w:rsid w:val="009F0BFF"/>
    <w:rsid w:val="009F0C82"/>
    <w:rsid w:val="009F0DE7"/>
    <w:rsid w:val="009F1B76"/>
    <w:rsid w:val="009F215C"/>
    <w:rsid w:val="009F233F"/>
    <w:rsid w:val="009F26DC"/>
    <w:rsid w:val="009F2ADB"/>
    <w:rsid w:val="009F2E73"/>
    <w:rsid w:val="009F2FD1"/>
    <w:rsid w:val="009F32DF"/>
    <w:rsid w:val="009F34A0"/>
    <w:rsid w:val="009F4D34"/>
    <w:rsid w:val="009F6112"/>
    <w:rsid w:val="009F6CBB"/>
    <w:rsid w:val="009F6EFE"/>
    <w:rsid w:val="009F739D"/>
    <w:rsid w:val="009F795C"/>
    <w:rsid w:val="009F7AB8"/>
    <w:rsid w:val="00A00D48"/>
    <w:rsid w:val="00A00EA0"/>
    <w:rsid w:val="00A01517"/>
    <w:rsid w:val="00A01CB8"/>
    <w:rsid w:val="00A02C49"/>
    <w:rsid w:val="00A02E8B"/>
    <w:rsid w:val="00A03DB4"/>
    <w:rsid w:val="00A042BC"/>
    <w:rsid w:val="00A044D6"/>
    <w:rsid w:val="00A0462F"/>
    <w:rsid w:val="00A04C2B"/>
    <w:rsid w:val="00A0523E"/>
    <w:rsid w:val="00A05B04"/>
    <w:rsid w:val="00A063D2"/>
    <w:rsid w:val="00A068CA"/>
    <w:rsid w:val="00A06C63"/>
    <w:rsid w:val="00A06ED3"/>
    <w:rsid w:val="00A103C8"/>
    <w:rsid w:val="00A1051E"/>
    <w:rsid w:val="00A10594"/>
    <w:rsid w:val="00A1156F"/>
    <w:rsid w:val="00A115A9"/>
    <w:rsid w:val="00A11775"/>
    <w:rsid w:val="00A12132"/>
    <w:rsid w:val="00A12419"/>
    <w:rsid w:val="00A13199"/>
    <w:rsid w:val="00A1363E"/>
    <w:rsid w:val="00A146FF"/>
    <w:rsid w:val="00A1521E"/>
    <w:rsid w:val="00A158DF"/>
    <w:rsid w:val="00A16618"/>
    <w:rsid w:val="00A16A9C"/>
    <w:rsid w:val="00A17200"/>
    <w:rsid w:val="00A17C95"/>
    <w:rsid w:val="00A217CA"/>
    <w:rsid w:val="00A22D93"/>
    <w:rsid w:val="00A22FA9"/>
    <w:rsid w:val="00A2311B"/>
    <w:rsid w:val="00A23853"/>
    <w:rsid w:val="00A23DCD"/>
    <w:rsid w:val="00A24130"/>
    <w:rsid w:val="00A2492A"/>
    <w:rsid w:val="00A2576F"/>
    <w:rsid w:val="00A26605"/>
    <w:rsid w:val="00A2795B"/>
    <w:rsid w:val="00A3009F"/>
    <w:rsid w:val="00A30567"/>
    <w:rsid w:val="00A309F3"/>
    <w:rsid w:val="00A31382"/>
    <w:rsid w:val="00A31985"/>
    <w:rsid w:val="00A320C9"/>
    <w:rsid w:val="00A322D4"/>
    <w:rsid w:val="00A32C28"/>
    <w:rsid w:val="00A333BC"/>
    <w:rsid w:val="00A33A33"/>
    <w:rsid w:val="00A33D4F"/>
    <w:rsid w:val="00A3439B"/>
    <w:rsid w:val="00A346F9"/>
    <w:rsid w:val="00A34A54"/>
    <w:rsid w:val="00A3565D"/>
    <w:rsid w:val="00A35B63"/>
    <w:rsid w:val="00A366BB"/>
    <w:rsid w:val="00A37009"/>
    <w:rsid w:val="00A40459"/>
    <w:rsid w:val="00A4082D"/>
    <w:rsid w:val="00A40A1B"/>
    <w:rsid w:val="00A40B9A"/>
    <w:rsid w:val="00A411EF"/>
    <w:rsid w:val="00A41615"/>
    <w:rsid w:val="00A41ACB"/>
    <w:rsid w:val="00A424F6"/>
    <w:rsid w:val="00A42C54"/>
    <w:rsid w:val="00A43293"/>
    <w:rsid w:val="00A4363E"/>
    <w:rsid w:val="00A43837"/>
    <w:rsid w:val="00A4395E"/>
    <w:rsid w:val="00A44350"/>
    <w:rsid w:val="00A45224"/>
    <w:rsid w:val="00A45231"/>
    <w:rsid w:val="00A454AE"/>
    <w:rsid w:val="00A45AB5"/>
    <w:rsid w:val="00A463B8"/>
    <w:rsid w:val="00A470C7"/>
    <w:rsid w:val="00A4736C"/>
    <w:rsid w:val="00A4778B"/>
    <w:rsid w:val="00A47AB4"/>
    <w:rsid w:val="00A47BB1"/>
    <w:rsid w:val="00A5081F"/>
    <w:rsid w:val="00A5147A"/>
    <w:rsid w:val="00A52320"/>
    <w:rsid w:val="00A528C3"/>
    <w:rsid w:val="00A539C9"/>
    <w:rsid w:val="00A53BBE"/>
    <w:rsid w:val="00A5449E"/>
    <w:rsid w:val="00A54846"/>
    <w:rsid w:val="00A54C15"/>
    <w:rsid w:val="00A5509D"/>
    <w:rsid w:val="00A5521F"/>
    <w:rsid w:val="00A5559C"/>
    <w:rsid w:val="00A55D46"/>
    <w:rsid w:val="00A56BB5"/>
    <w:rsid w:val="00A570D4"/>
    <w:rsid w:val="00A57466"/>
    <w:rsid w:val="00A57DF1"/>
    <w:rsid w:val="00A60554"/>
    <w:rsid w:val="00A609EC"/>
    <w:rsid w:val="00A6132A"/>
    <w:rsid w:val="00A61920"/>
    <w:rsid w:val="00A61FBF"/>
    <w:rsid w:val="00A62993"/>
    <w:rsid w:val="00A62F3D"/>
    <w:rsid w:val="00A64047"/>
    <w:rsid w:val="00A6450B"/>
    <w:rsid w:val="00A64DCA"/>
    <w:rsid w:val="00A654C0"/>
    <w:rsid w:val="00A65A21"/>
    <w:rsid w:val="00A65F31"/>
    <w:rsid w:val="00A66321"/>
    <w:rsid w:val="00A66A19"/>
    <w:rsid w:val="00A66ADB"/>
    <w:rsid w:val="00A66DCD"/>
    <w:rsid w:val="00A67072"/>
    <w:rsid w:val="00A6725B"/>
    <w:rsid w:val="00A67EED"/>
    <w:rsid w:val="00A7035E"/>
    <w:rsid w:val="00A70B9B"/>
    <w:rsid w:val="00A711B5"/>
    <w:rsid w:val="00A72581"/>
    <w:rsid w:val="00A74B56"/>
    <w:rsid w:val="00A75399"/>
    <w:rsid w:val="00A76A40"/>
    <w:rsid w:val="00A770EF"/>
    <w:rsid w:val="00A77460"/>
    <w:rsid w:val="00A77824"/>
    <w:rsid w:val="00A77F92"/>
    <w:rsid w:val="00A809D6"/>
    <w:rsid w:val="00A80A34"/>
    <w:rsid w:val="00A80BA8"/>
    <w:rsid w:val="00A80CFF"/>
    <w:rsid w:val="00A8138A"/>
    <w:rsid w:val="00A81481"/>
    <w:rsid w:val="00A814EB"/>
    <w:rsid w:val="00A815FE"/>
    <w:rsid w:val="00A8195B"/>
    <w:rsid w:val="00A819C2"/>
    <w:rsid w:val="00A82ED5"/>
    <w:rsid w:val="00A82F31"/>
    <w:rsid w:val="00A83178"/>
    <w:rsid w:val="00A8380B"/>
    <w:rsid w:val="00A83C16"/>
    <w:rsid w:val="00A845A5"/>
    <w:rsid w:val="00A846FD"/>
    <w:rsid w:val="00A84703"/>
    <w:rsid w:val="00A84F27"/>
    <w:rsid w:val="00A8562F"/>
    <w:rsid w:val="00A861A2"/>
    <w:rsid w:val="00A86FB1"/>
    <w:rsid w:val="00A8732A"/>
    <w:rsid w:val="00A8734A"/>
    <w:rsid w:val="00A874D4"/>
    <w:rsid w:val="00A87987"/>
    <w:rsid w:val="00A90098"/>
    <w:rsid w:val="00A902C4"/>
    <w:rsid w:val="00A90A4F"/>
    <w:rsid w:val="00A90F08"/>
    <w:rsid w:val="00A91607"/>
    <w:rsid w:val="00A9181A"/>
    <w:rsid w:val="00A92302"/>
    <w:rsid w:val="00A92B44"/>
    <w:rsid w:val="00A92FA1"/>
    <w:rsid w:val="00A931F2"/>
    <w:rsid w:val="00A94F59"/>
    <w:rsid w:val="00A957C0"/>
    <w:rsid w:val="00A95A58"/>
    <w:rsid w:val="00A95B97"/>
    <w:rsid w:val="00A95D2A"/>
    <w:rsid w:val="00A96C30"/>
    <w:rsid w:val="00A97210"/>
    <w:rsid w:val="00A9754C"/>
    <w:rsid w:val="00A977B4"/>
    <w:rsid w:val="00A97AE2"/>
    <w:rsid w:val="00AA0228"/>
    <w:rsid w:val="00AA02CF"/>
    <w:rsid w:val="00AA049B"/>
    <w:rsid w:val="00AA0527"/>
    <w:rsid w:val="00AA16B5"/>
    <w:rsid w:val="00AA17E3"/>
    <w:rsid w:val="00AA1D95"/>
    <w:rsid w:val="00AA1FD7"/>
    <w:rsid w:val="00AA1FDB"/>
    <w:rsid w:val="00AA200E"/>
    <w:rsid w:val="00AA204B"/>
    <w:rsid w:val="00AA21A6"/>
    <w:rsid w:val="00AA30DF"/>
    <w:rsid w:val="00AA43CB"/>
    <w:rsid w:val="00AA491C"/>
    <w:rsid w:val="00AA4A58"/>
    <w:rsid w:val="00AA515A"/>
    <w:rsid w:val="00AA5B5F"/>
    <w:rsid w:val="00AA5C4E"/>
    <w:rsid w:val="00AA6001"/>
    <w:rsid w:val="00AA606F"/>
    <w:rsid w:val="00AA65E1"/>
    <w:rsid w:val="00AA6994"/>
    <w:rsid w:val="00AA797C"/>
    <w:rsid w:val="00AB026F"/>
    <w:rsid w:val="00AB15C8"/>
    <w:rsid w:val="00AB17DC"/>
    <w:rsid w:val="00AB21E8"/>
    <w:rsid w:val="00AB240C"/>
    <w:rsid w:val="00AB2C6F"/>
    <w:rsid w:val="00AB337B"/>
    <w:rsid w:val="00AB3466"/>
    <w:rsid w:val="00AB36BC"/>
    <w:rsid w:val="00AB3F6C"/>
    <w:rsid w:val="00AB427F"/>
    <w:rsid w:val="00AB4310"/>
    <w:rsid w:val="00AB45CB"/>
    <w:rsid w:val="00AB4738"/>
    <w:rsid w:val="00AB49E0"/>
    <w:rsid w:val="00AB4C8E"/>
    <w:rsid w:val="00AB500F"/>
    <w:rsid w:val="00AB5101"/>
    <w:rsid w:val="00AB526F"/>
    <w:rsid w:val="00AB5376"/>
    <w:rsid w:val="00AB55EF"/>
    <w:rsid w:val="00AB5661"/>
    <w:rsid w:val="00AB569F"/>
    <w:rsid w:val="00AB56D8"/>
    <w:rsid w:val="00AB66E0"/>
    <w:rsid w:val="00AB6D02"/>
    <w:rsid w:val="00AB73C0"/>
    <w:rsid w:val="00AB752E"/>
    <w:rsid w:val="00AC038E"/>
    <w:rsid w:val="00AC1144"/>
    <w:rsid w:val="00AC11B6"/>
    <w:rsid w:val="00AC15AF"/>
    <w:rsid w:val="00AC1826"/>
    <w:rsid w:val="00AC19B2"/>
    <w:rsid w:val="00AC312D"/>
    <w:rsid w:val="00AC3892"/>
    <w:rsid w:val="00AC401C"/>
    <w:rsid w:val="00AC646B"/>
    <w:rsid w:val="00AC69B6"/>
    <w:rsid w:val="00AC70BC"/>
    <w:rsid w:val="00AC778A"/>
    <w:rsid w:val="00AC7BB1"/>
    <w:rsid w:val="00AD04EB"/>
    <w:rsid w:val="00AD0637"/>
    <w:rsid w:val="00AD0BBD"/>
    <w:rsid w:val="00AD0C75"/>
    <w:rsid w:val="00AD128E"/>
    <w:rsid w:val="00AD13E2"/>
    <w:rsid w:val="00AD1581"/>
    <w:rsid w:val="00AD1B3D"/>
    <w:rsid w:val="00AD1D06"/>
    <w:rsid w:val="00AD1F8C"/>
    <w:rsid w:val="00AD28C8"/>
    <w:rsid w:val="00AD2F6C"/>
    <w:rsid w:val="00AD34C9"/>
    <w:rsid w:val="00AD3958"/>
    <w:rsid w:val="00AD398A"/>
    <w:rsid w:val="00AD440C"/>
    <w:rsid w:val="00AD460F"/>
    <w:rsid w:val="00AD59BF"/>
    <w:rsid w:val="00AD5F7D"/>
    <w:rsid w:val="00AD600F"/>
    <w:rsid w:val="00AD715B"/>
    <w:rsid w:val="00AD7B28"/>
    <w:rsid w:val="00AD7E4D"/>
    <w:rsid w:val="00AE01D9"/>
    <w:rsid w:val="00AE0277"/>
    <w:rsid w:val="00AE040F"/>
    <w:rsid w:val="00AE0F40"/>
    <w:rsid w:val="00AE0FF2"/>
    <w:rsid w:val="00AE17EF"/>
    <w:rsid w:val="00AE2623"/>
    <w:rsid w:val="00AE28D0"/>
    <w:rsid w:val="00AE2A1B"/>
    <w:rsid w:val="00AE2E8E"/>
    <w:rsid w:val="00AE316A"/>
    <w:rsid w:val="00AE3451"/>
    <w:rsid w:val="00AE3AA0"/>
    <w:rsid w:val="00AE4137"/>
    <w:rsid w:val="00AE4712"/>
    <w:rsid w:val="00AE47C0"/>
    <w:rsid w:val="00AE4C39"/>
    <w:rsid w:val="00AE554D"/>
    <w:rsid w:val="00AE5C30"/>
    <w:rsid w:val="00AE5C52"/>
    <w:rsid w:val="00AE5E63"/>
    <w:rsid w:val="00AE677B"/>
    <w:rsid w:val="00AE699B"/>
    <w:rsid w:val="00AE787E"/>
    <w:rsid w:val="00AE7ADE"/>
    <w:rsid w:val="00AF179E"/>
    <w:rsid w:val="00AF1AE1"/>
    <w:rsid w:val="00AF1EDF"/>
    <w:rsid w:val="00AF2C4C"/>
    <w:rsid w:val="00AF2ECF"/>
    <w:rsid w:val="00AF2F55"/>
    <w:rsid w:val="00AF31AE"/>
    <w:rsid w:val="00AF402E"/>
    <w:rsid w:val="00AF5378"/>
    <w:rsid w:val="00AF5ABD"/>
    <w:rsid w:val="00AF660A"/>
    <w:rsid w:val="00AF6990"/>
    <w:rsid w:val="00AF72BB"/>
    <w:rsid w:val="00AF782C"/>
    <w:rsid w:val="00B000C1"/>
    <w:rsid w:val="00B002BA"/>
    <w:rsid w:val="00B00999"/>
    <w:rsid w:val="00B00DFD"/>
    <w:rsid w:val="00B01C12"/>
    <w:rsid w:val="00B01F1B"/>
    <w:rsid w:val="00B029F8"/>
    <w:rsid w:val="00B02A6B"/>
    <w:rsid w:val="00B035DF"/>
    <w:rsid w:val="00B04B05"/>
    <w:rsid w:val="00B04F93"/>
    <w:rsid w:val="00B05634"/>
    <w:rsid w:val="00B057C3"/>
    <w:rsid w:val="00B05E02"/>
    <w:rsid w:val="00B064D8"/>
    <w:rsid w:val="00B078F2"/>
    <w:rsid w:val="00B07985"/>
    <w:rsid w:val="00B07AF8"/>
    <w:rsid w:val="00B10ABF"/>
    <w:rsid w:val="00B113A2"/>
    <w:rsid w:val="00B11659"/>
    <w:rsid w:val="00B11D69"/>
    <w:rsid w:val="00B11F0A"/>
    <w:rsid w:val="00B12277"/>
    <w:rsid w:val="00B12C4D"/>
    <w:rsid w:val="00B12E77"/>
    <w:rsid w:val="00B13C73"/>
    <w:rsid w:val="00B14196"/>
    <w:rsid w:val="00B1487F"/>
    <w:rsid w:val="00B14B4F"/>
    <w:rsid w:val="00B1595D"/>
    <w:rsid w:val="00B15990"/>
    <w:rsid w:val="00B16B65"/>
    <w:rsid w:val="00B16FB6"/>
    <w:rsid w:val="00B17DFE"/>
    <w:rsid w:val="00B20347"/>
    <w:rsid w:val="00B20404"/>
    <w:rsid w:val="00B21410"/>
    <w:rsid w:val="00B21853"/>
    <w:rsid w:val="00B22F0D"/>
    <w:rsid w:val="00B2348A"/>
    <w:rsid w:val="00B238D0"/>
    <w:rsid w:val="00B23A9C"/>
    <w:rsid w:val="00B2436E"/>
    <w:rsid w:val="00B245A5"/>
    <w:rsid w:val="00B24921"/>
    <w:rsid w:val="00B24B97"/>
    <w:rsid w:val="00B24F25"/>
    <w:rsid w:val="00B252B6"/>
    <w:rsid w:val="00B25310"/>
    <w:rsid w:val="00B2580D"/>
    <w:rsid w:val="00B25F77"/>
    <w:rsid w:val="00B26173"/>
    <w:rsid w:val="00B26763"/>
    <w:rsid w:val="00B26A43"/>
    <w:rsid w:val="00B26ECB"/>
    <w:rsid w:val="00B26FA1"/>
    <w:rsid w:val="00B27029"/>
    <w:rsid w:val="00B276F5"/>
    <w:rsid w:val="00B301AC"/>
    <w:rsid w:val="00B3083A"/>
    <w:rsid w:val="00B30BE1"/>
    <w:rsid w:val="00B30C94"/>
    <w:rsid w:val="00B3131B"/>
    <w:rsid w:val="00B313B2"/>
    <w:rsid w:val="00B313BE"/>
    <w:rsid w:val="00B3239C"/>
    <w:rsid w:val="00B3249F"/>
    <w:rsid w:val="00B32F9B"/>
    <w:rsid w:val="00B33ADB"/>
    <w:rsid w:val="00B33BF9"/>
    <w:rsid w:val="00B34A97"/>
    <w:rsid w:val="00B34FD7"/>
    <w:rsid w:val="00B354A5"/>
    <w:rsid w:val="00B354EA"/>
    <w:rsid w:val="00B35BC7"/>
    <w:rsid w:val="00B3661A"/>
    <w:rsid w:val="00B36F02"/>
    <w:rsid w:val="00B3727C"/>
    <w:rsid w:val="00B37734"/>
    <w:rsid w:val="00B37903"/>
    <w:rsid w:val="00B37971"/>
    <w:rsid w:val="00B37A7D"/>
    <w:rsid w:val="00B40F79"/>
    <w:rsid w:val="00B411A1"/>
    <w:rsid w:val="00B417F2"/>
    <w:rsid w:val="00B41BC2"/>
    <w:rsid w:val="00B41BF0"/>
    <w:rsid w:val="00B42F1B"/>
    <w:rsid w:val="00B433A0"/>
    <w:rsid w:val="00B44718"/>
    <w:rsid w:val="00B447E9"/>
    <w:rsid w:val="00B44B41"/>
    <w:rsid w:val="00B458D2"/>
    <w:rsid w:val="00B45A2D"/>
    <w:rsid w:val="00B45B7F"/>
    <w:rsid w:val="00B45C2B"/>
    <w:rsid w:val="00B462FA"/>
    <w:rsid w:val="00B4691B"/>
    <w:rsid w:val="00B46966"/>
    <w:rsid w:val="00B469FB"/>
    <w:rsid w:val="00B46A09"/>
    <w:rsid w:val="00B46B3F"/>
    <w:rsid w:val="00B46D66"/>
    <w:rsid w:val="00B47996"/>
    <w:rsid w:val="00B47B0C"/>
    <w:rsid w:val="00B47CC5"/>
    <w:rsid w:val="00B50B31"/>
    <w:rsid w:val="00B50FA0"/>
    <w:rsid w:val="00B51934"/>
    <w:rsid w:val="00B51E85"/>
    <w:rsid w:val="00B52707"/>
    <w:rsid w:val="00B527BA"/>
    <w:rsid w:val="00B5338F"/>
    <w:rsid w:val="00B53535"/>
    <w:rsid w:val="00B537A9"/>
    <w:rsid w:val="00B53B57"/>
    <w:rsid w:val="00B53C80"/>
    <w:rsid w:val="00B547A2"/>
    <w:rsid w:val="00B54E44"/>
    <w:rsid w:val="00B54E58"/>
    <w:rsid w:val="00B54FAE"/>
    <w:rsid w:val="00B5601B"/>
    <w:rsid w:val="00B56647"/>
    <w:rsid w:val="00B56A37"/>
    <w:rsid w:val="00B574D6"/>
    <w:rsid w:val="00B60887"/>
    <w:rsid w:val="00B61B20"/>
    <w:rsid w:val="00B61BD4"/>
    <w:rsid w:val="00B61CD3"/>
    <w:rsid w:val="00B61D56"/>
    <w:rsid w:val="00B63697"/>
    <w:rsid w:val="00B6375A"/>
    <w:rsid w:val="00B637BC"/>
    <w:rsid w:val="00B6397D"/>
    <w:rsid w:val="00B64053"/>
    <w:rsid w:val="00B640D0"/>
    <w:rsid w:val="00B65176"/>
    <w:rsid w:val="00B65524"/>
    <w:rsid w:val="00B6574C"/>
    <w:rsid w:val="00B65A8D"/>
    <w:rsid w:val="00B65EE9"/>
    <w:rsid w:val="00B66086"/>
    <w:rsid w:val="00B666C4"/>
    <w:rsid w:val="00B67AA4"/>
    <w:rsid w:val="00B70100"/>
    <w:rsid w:val="00B70156"/>
    <w:rsid w:val="00B7040B"/>
    <w:rsid w:val="00B70449"/>
    <w:rsid w:val="00B70E65"/>
    <w:rsid w:val="00B716BD"/>
    <w:rsid w:val="00B71A17"/>
    <w:rsid w:val="00B72926"/>
    <w:rsid w:val="00B73508"/>
    <w:rsid w:val="00B75A61"/>
    <w:rsid w:val="00B7659C"/>
    <w:rsid w:val="00B773CF"/>
    <w:rsid w:val="00B80235"/>
    <w:rsid w:val="00B805F9"/>
    <w:rsid w:val="00B807CF"/>
    <w:rsid w:val="00B814C8"/>
    <w:rsid w:val="00B815EC"/>
    <w:rsid w:val="00B815EE"/>
    <w:rsid w:val="00B81B26"/>
    <w:rsid w:val="00B81D85"/>
    <w:rsid w:val="00B83044"/>
    <w:rsid w:val="00B8311A"/>
    <w:rsid w:val="00B83709"/>
    <w:rsid w:val="00B842E5"/>
    <w:rsid w:val="00B84BC0"/>
    <w:rsid w:val="00B84F61"/>
    <w:rsid w:val="00B85DFA"/>
    <w:rsid w:val="00B8604C"/>
    <w:rsid w:val="00B864C4"/>
    <w:rsid w:val="00B865E4"/>
    <w:rsid w:val="00B86EDA"/>
    <w:rsid w:val="00B87276"/>
    <w:rsid w:val="00B872CD"/>
    <w:rsid w:val="00B877B0"/>
    <w:rsid w:val="00B87F19"/>
    <w:rsid w:val="00B903C2"/>
    <w:rsid w:val="00B90AEF"/>
    <w:rsid w:val="00B91B7A"/>
    <w:rsid w:val="00B92876"/>
    <w:rsid w:val="00B92A34"/>
    <w:rsid w:val="00B9477B"/>
    <w:rsid w:val="00B95070"/>
    <w:rsid w:val="00B956BF"/>
    <w:rsid w:val="00B966D7"/>
    <w:rsid w:val="00B969DE"/>
    <w:rsid w:val="00B971DD"/>
    <w:rsid w:val="00B976E9"/>
    <w:rsid w:val="00B97A12"/>
    <w:rsid w:val="00B97C02"/>
    <w:rsid w:val="00B97E62"/>
    <w:rsid w:val="00B97F31"/>
    <w:rsid w:val="00BA024B"/>
    <w:rsid w:val="00BA02D4"/>
    <w:rsid w:val="00BA0723"/>
    <w:rsid w:val="00BA11D9"/>
    <w:rsid w:val="00BA18C5"/>
    <w:rsid w:val="00BA1DCD"/>
    <w:rsid w:val="00BA2942"/>
    <w:rsid w:val="00BA3CDF"/>
    <w:rsid w:val="00BA5331"/>
    <w:rsid w:val="00BA5AC6"/>
    <w:rsid w:val="00BA6A15"/>
    <w:rsid w:val="00BA6ABF"/>
    <w:rsid w:val="00BA70C9"/>
    <w:rsid w:val="00BA722F"/>
    <w:rsid w:val="00BA7432"/>
    <w:rsid w:val="00BA7A7E"/>
    <w:rsid w:val="00BA7EE7"/>
    <w:rsid w:val="00BB09F0"/>
    <w:rsid w:val="00BB19E2"/>
    <w:rsid w:val="00BB1CA7"/>
    <w:rsid w:val="00BB2104"/>
    <w:rsid w:val="00BB2ADA"/>
    <w:rsid w:val="00BB412C"/>
    <w:rsid w:val="00BB4199"/>
    <w:rsid w:val="00BB4785"/>
    <w:rsid w:val="00BB4EBD"/>
    <w:rsid w:val="00BB59CA"/>
    <w:rsid w:val="00BB5ED3"/>
    <w:rsid w:val="00BB6103"/>
    <w:rsid w:val="00BB73D5"/>
    <w:rsid w:val="00BB77ED"/>
    <w:rsid w:val="00BC0CA3"/>
    <w:rsid w:val="00BC0F2F"/>
    <w:rsid w:val="00BC1B96"/>
    <w:rsid w:val="00BC25C6"/>
    <w:rsid w:val="00BC279D"/>
    <w:rsid w:val="00BC2BE2"/>
    <w:rsid w:val="00BC3E96"/>
    <w:rsid w:val="00BC416D"/>
    <w:rsid w:val="00BC42B0"/>
    <w:rsid w:val="00BC469A"/>
    <w:rsid w:val="00BC4770"/>
    <w:rsid w:val="00BC5CEE"/>
    <w:rsid w:val="00BC6DB9"/>
    <w:rsid w:val="00BC711A"/>
    <w:rsid w:val="00BC792A"/>
    <w:rsid w:val="00BC79D4"/>
    <w:rsid w:val="00BC7E6E"/>
    <w:rsid w:val="00BD074B"/>
    <w:rsid w:val="00BD0772"/>
    <w:rsid w:val="00BD0A2A"/>
    <w:rsid w:val="00BD114C"/>
    <w:rsid w:val="00BD1511"/>
    <w:rsid w:val="00BD17DF"/>
    <w:rsid w:val="00BD18AB"/>
    <w:rsid w:val="00BD1A49"/>
    <w:rsid w:val="00BD2113"/>
    <w:rsid w:val="00BD2127"/>
    <w:rsid w:val="00BD2876"/>
    <w:rsid w:val="00BD297A"/>
    <w:rsid w:val="00BD33F4"/>
    <w:rsid w:val="00BD351E"/>
    <w:rsid w:val="00BD434C"/>
    <w:rsid w:val="00BD45D7"/>
    <w:rsid w:val="00BD487A"/>
    <w:rsid w:val="00BD510F"/>
    <w:rsid w:val="00BD5B41"/>
    <w:rsid w:val="00BD5D09"/>
    <w:rsid w:val="00BD6A4D"/>
    <w:rsid w:val="00BD7489"/>
    <w:rsid w:val="00BE07B5"/>
    <w:rsid w:val="00BE08E1"/>
    <w:rsid w:val="00BE0B36"/>
    <w:rsid w:val="00BE11E5"/>
    <w:rsid w:val="00BE1F7E"/>
    <w:rsid w:val="00BE22E6"/>
    <w:rsid w:val="00BE22EF"/>
    <w:rsid w:val="00BE25AF"/>
    <w:rsid w:val="00BE2999"/>
    <w:rsid w:val="00BE3D67"/>
    <w:rsid w:val="00BE6B45"/>
    <w:rsid w:val="00BE6D3A"/>
    <w:rsid w:val="00BE703E"/>
    <w:rsid w:val="00BE70F0"/>
    <w:rsid w:val="00BE7880"/>
    <w:rsid w:val="00BF0ACF"/>
    <w:rsid w:val="00BF1259"/>
    <w:rsid w:val="00BF1675"/>
    <w:rsid w:val="00BF197D"/>
    <w:rsid w:val="00BF4C02"/>
    <w:rsid w:val="00BF4F13"/>
    <w:rsid w:val="00BF4FE9"/>
    <w:rsid w:val="00BF6420"/>
    <w:rsid w:val="00BF6592"/>
    <w:rsid w:val="00BF740C"/>
    <w:rsid w:val="00C001A5"/>
    <w:rsid w:val="00C00727"/>
    <w:rsid w:val="00C007BD"/>
    <w:rsid w:val="00C01617"/>
    <w:rsid w:val="00C025C3"/>
    <w:rsid w:val="00C02AA8"/>
    <w:rsid w:val="00C02C66"/>
    <w:rsid w:val="00C02D64"/>
    <w:rsid w:val="00C02F77"/>
    <w:rsid w:val="00C032F7"/>
    <w:rsid w:val="00C05128"/>
    <w:rsid w:val="00C07816"/>
    <w:rsid w:val="00C10040"/>
    <w:rsid w:val="00C10624"/>
    <w:rsid w:val="00C10BD2"/>
    <w:rsid w:val="00C11BDE"/>
    <w:rsid w:val="00C12C21"/>
    <w:rsid w:val="00C12E8E"/>
    <w:rsid w:val="00C13390"/>
    <w:rsid w:val="00C13619"/>
    <w:rsid w:val="00C139A5"/>
    <w:rsid w:val="00C141B3"/>
    <w:rsid w:val="00C14B31"/>
    <w:rsid w:val="00C15B5C"/>
    <w:rsid w:val="00C16529"/>
    <w:rsid w:val="00C16787"/>
    <w:rsid w:val="00C16D06"/>
    <w:rsid w:val="00C1721B"/>
    <w:rsid w:val="00C17522"/>
    <w:rsid w:val="00C2045C"/>
    <w:rsid w:val="00C204B4"/>
    <w:rsid w:val="00C20CBD"/>
    <w:rsid w:val="00C20E32"/>
    <w:rsid w:val="00C21B75"/>
    <w:rsid w:val="00C22747"/>
    <w:rsid w:val="00C2350A"/>
    <w:rsid w:val="00C2354D"/>
    <w:rsid w:val="00C23B3A"/>
    <w:rsid w:val="00C23D93"/>
    <w:rsid w:val="00C23E2E"/>
    <w:rsid w:val="00C23F7E"/>
    <w:rsid w:val="00C2425F"/>
    <w:rsid w:val="00C242C6"/>
    <w:rsid w:val="00C253D7"/>
    <w:rsid w:val="00C25520"/>
    <w:rsid w:val="00C2575D"/>
    <w:rsid w:val="00C2583F"/>
    <w:rsid w:val="00C25E30"/>
    <w:rsid w:val="00C25FE4"/>
    <w:rsid w:val="00C2735D"/>
    <w:rsid w:val="00C27574"/>
    <w:rsid w:val="00C27980"/>
    <w:rsid w:val="00C27F7E"/>
    <w:rsid w:val="00C31C3C"/>
    <w:rsid w:val="00C3232D"/>
    <w:rsid w:val="00C324E6"/>
    <w:rsid w:val="00C32780"/>
    <w:rsid w:val="00C330CC"/>
    <w:rsid w:val="00C351D6"/>
    <w:rsid w:val="00C358D0"/>
    <w:rsid w:val="00C35DA0"/>
    <w:rsid w:val="00C36055"/>
    <w:rsid w:val="00C36079"/>
    <w:rsid w:val="00C3697D"/>
    <w:rsid w:val="00C36D9E"/>
    <w:rsid w:val="00C3721F"/>
    <w:rsid w:val="00C40740"/>
    <w:rsid w:val="00C40B9E"/>
    <w:rsid w:val="00C42356"/>
    <w:rsid w:val="00C42E30"/>
    <w:rsid w:val="00C42EA7"/>
    <w:rsid w:val="00C4321C"/>
    <w:rsid w:val="00C433F0"/>
    <w:rsid w:val="00C43449"/>
    <w:rsid w:val="00C43E6D"/>
    <w:rsid w:val="00C44193"/>
    <w:rsid w:val="00C4463D"/>
    <w:rsid w:val="00C44B10"/>
    <w:rsid w:val="00C44BEB"/>
    <w:rsid w:val="00C44D0F"/>
    <w:rsid w:val="00C45230"/>
    <w:rsid w:val="00C4541E"/>
    <w:rsid w:val="00C45FF6"/>
    <w:rsid w:val="00C461B9"/>
    <w:rsid w:val="00C462D0"/>
    <w:rsid w:val="00C467A1"/>
    <w:rsid w:val="00C46D27"/>
    <w:rsid w:val="00C46ED7"/>
    <w:rsid w:val="00C47421"/>
    <w:rsid w:val="00C5065E"/>
    <w:rsid w:val="00C506A4"/>
    <w:rsid w:val="00C50B3C"/>
    <w:rsid w:val="00C51015"/>
    <w:rsid w:val="00C51229"/>
    <w:rsid w:val="00C51D0A"/>
    <w:rsid w:val="00C52A2E"/>
    <w:rsid w:val="00C52FA8"/>
    <w:rsid w:val="00C5398B"/>
    <w:rsid w:val="00C5457C"/>
    <w:rsid w:val="00C54E31"/>
    <w:rsid w:val="00C5533D"/>
    <w:rsid w:val="00C55CAA"/>
    <w:rsid w:val="00C5692E"/>
    <w:rsid w:val="00C57253"/>
    <w:rsid w:val="00C574CC"/>
    <w:rsid w:val="00C57555"/>
    <w:rsid w:val="00C5785E"/>
    <w:rsid w:val="00C60DB8"/>
    <w:rsid w:val="00C60DE7"/>
    <w:rsid w:val="00C61F60"/>
    <w:rsid w:val="00C61F66"/>
    <w:rsid w:val="00C62436"/>
    <w:rsid w:val="00C62708"/>
    <w:rsid w:val="00C636A0"/>
    <w:rsid w:val="00C636ED"/>
    <w:rsid w:val="00C63A90"/>
    <w:rsid w:val="00C641C2"/>
    <w:rsid w:val="00C659CC"/>
    <w:rsid w:val="00C6695B"/>
    <w:rsid w:val="00C66FAA"/>
    <w:rsid w:val="00C676E6"/>
    <w:rsid w:val="00C7012A"/>
    <w:rsid w:val="00C70409"/>
    <w:rsid w:val="00C70BC5"/>
    <w:rsid w:val="00C71541"/>
    <w:rsid w:val="00C71A3A"/>
    <w:rsid w:val="00C71ABD"/>
    <w:rsid w:val="00C71CA9"/>
    <w:rsid w:val="00C7277D"/>
    <w:rsid w:val="00C73011"/>
    <w:rsid w:val="00C73327"/>
    <w:rsid w:val="00C73335"/>
    <w:rsid w:val="00C73EBD"/>
    <w:rsid w:val="00C74077"/>
    <w:rsid w:val="00C7442D"/>
    <w:rsid w:val="00C74BE4"/>
    <w:rsid w:val="00C751E2"/>
    <w:rsid w:val="00C75ACB"/>
    <w:rsid w:val="00C76E86"/>
    <w:rsid w:val="00C7757E"/>
    <w:rsid w:val="00C77811"/>
    <w:rsid w:val="00C77C81"/>
    <w:rsid w:val="00C800AA"/>
    <w:rsid w:val="00C801F1"/>
    <w:rsid w:val="00C80BE7"/>
    <w:rsid w:val="00C820A3"/>
    <w:rsid w:val="00C826D2"/>
    <w:rsid w:val="00C82BEB"/>
    <w:rsid w:val="00C82C19"/>
    <w:rsid w:val="00C836DF"/>
    <w:rsid w:val="00C83B32"/>
    <w:rsid w:val="00C8481A"/>
    <w:rsid w:val="00C84BE8"/>
    <w:rsid w:val="00C851CA"/>
    <w:rsid w:val="00C85504"/>
    <w:rsid w:val="00C859F0"/>
    <w:rsid w:val="00C861CA"/>
    <w:rsid w:val="00C87DFE"/>
    <w:rsid w:val="00C87EAB"/>
    <w:rsid w:val="00C900EB"/>
    <w:rsid w:val="00C9081B"/>
    <w:rsid w:val="00C91038"/>
    <w:rsid w:val="00C91B73"/>
    <w:rsid w:val="00C925AB"/>
    <w:rsid w:val="00C927DD"/>
    <w:rsid w:val="00C927E1"/>
    <w:rsid w:val="00C92D54"/>
    <w:rsid w:val="00C94142"/>
    <w:rsid w:val="00C942D8"/>
    <w:rsid w:val="00C94A0B"/>
    <w:rsid w:val="00C95180"/>
    <w:rsid w:val="00C95417"/>
    <w:rsid w:val="00C9552C"/>
    <w:rsid w:val="00C9575C"/>
    <w:rsid w:val="00C95946"/>
    <w:rsid w:val="00C963EE"/>
    <w:rsid w:val="00C96489"/>
    <w:rsid w:val="00CA0A23"/>
    <w:rsid w:val="00CA0AB1"/>
    <w:rsid w:val="00CA1760"/>
    <w:rsid w:val="00CA178E"/>
    <w:rsid w:val="00CA19A4"/>
    <w:rsid w:val="00CA1E0C"/>
    <w:rsid w:val="00CA2218"/>
    <w:rsid w:val="00CA2450"/>
    <w:rsid w:val="00CA2B5F"/>
    <w:rsid w:val="00CA2BE4"/>
    <w:rsid w:val="00CA30FA"/>
    <w:rsid w:val="00CA3465"/>
    <w:rsid w:val="00CA4789"/>
    <w:rsid w:val="00CA57EC"/>
    <w:rsid w:val="00CA6481"/>
    <w:rsid w:val="00CA6FB4"/>
    <w:rsid w:val="00CA77B7"/>
    <w:rsid w:val="00CB062A"/>
    <w:rsid w:val="00CB07D4"/>
    <w:rsid w:val="00CB09C4"/>
    <w:rsid w:val="00CB0FE7"/>
    <w:rsid w:val="00CB25D8"/>
    <w:rsid w:val="00CB2FB2"/>
    <w:rsid w:val="00CB3151"/>
    <w:rsid w:val="00CB33E9"/>
    <w:rsid w:val="00CB3C87"/>
    <w:rsid w:val="00CB4E33"/>
    <w:rsid w:val="00CB4FEC"/>
    <w:rsid w:val="00CB5508"/>
    <w:rsid w:val="00CB553A"/>
    <w:rsid w:val="00CB5B2C"/>
    <w:rsid w:val="00CB5C6D"/>
    <w:rsid w:val="00CB5FF3"/>
    <w:rsid w:val="00CB71A1"/>
    <w:rsid w:val="00CB7811"/>
    <w:rsid w:val="00CB7EA0"/>
    <w:rsid w:val="00CC0087"/>
    <w:rsid w:val="00CC091E"/>
    <w:rsid w:val="00CC13E0"/>
    <w:rsid w:val="00CC14C7"/>
    <w:rsid w:val="00CC1C34"/>
    <w:rsid w:val="00CC21F9"/>
    <w:rsid w:val="00CC2C33"/>
    <w:rsid w:val="00CC2F29"/>
    <w:rsid w:val="00CC339D"/>
    <w:rsid w:val="00CC3FB4"/>
    <w:rsid w:val="00CC441D"/>
    <w:rsid w:val="00CC4D78"/>
    <w:rsid w:val="00CC4FE0"/>
    <w:rsid w:val="00CC5072"/>
    <w:rsid w:val="00CC590D"/>
    <w:rsid w:val="00CC5BB2"/>
    <w:rsid w:val="00CC6812"/>
    <w:rsid w:val="00CC6B1D"/>
    <w:rsid w:val="00CC6CE4"/>
    <w:rsid w:val="00CC7717"/>
    <w:rsid w:val="00CC77C6"/>
    <w:rsid w:val="00CD0F59"/>
    <w:rsid w:val="00CD103C"/>
    <w:rsid w:val="00CD15E8"/>
    <w:rsid w:val="00CD1FDC"/>
    <w:rsid w:val="00CD2448"/>
    <w:rsid w:val="00CD2A24"/>
    <w:rsid w:val="00CD3E8E"/>
    <w:rsid w:val="00CD61BD"/>
    <w:rsid w:val="00CD6462"/>
    <w:rsid w:val="00CD6CC9"/>
    <w:rsid w:val="00CD77FB"/>
    <w:rsid w:val="00CD7C9D"/>
    <w:rsid w:val="00CD7CBA"/>
    <w:rsid w:val="00CD7D1F"/>
    <w:rsid w:val="00CD7EA9"/>
    <w:rsid w:val="00CD7F43"/>
    <w:rsid w:val="00CE1EAA"/>
    <w:rsid w:val="00CE242C"/>
    <w:rsid w:val="00CE41E2"/>
    <w:rsid w:val="00CE4479"/>
    <w:rsid w:val="00CE4B93"/>
    <w:rsid w:val="00CE52C0"/>
    <w:rsid w:val="00CE5530"/>
    <w:rsid w:val="00CE6B4F"/>
    <w:rsid w:val="00CE6FC1"/>
    <w:rsid w:val="00CE7C0A"/>
    <w:rsid w:val="00CF0AD6"/>
    <w:rsid w:val="00CF0B0A"/>
    <w:rsid w:val="00CF197E"/>
    <w:rsid w:val="00CF2823"/>
    <w:rsid w:val="00CF2C5B"/>
    <w:rsid w:val="00CF2EA1"/>
    <w:rsid w:val="00CF32C8"/>
    <w:rsid w:val="00CF335E"/>
    <w:rsid w:val="00CF5BD8"/>
    <w:rsid w:val="00CF640B"/>
    <w:rsid w:val="00CF64D6"/>
    <w:rsid w:val="00CF7F33"/>
    <w:rsid w:val="00D004C3"/>
    <w:rsid w:val="00D011F1"/>
    <w:rsid w:val="00D01887"/>
    <w:rsid w:val="00D01D37"/>
    <w:rsid w:val="00D01FBF"/>
    <w:rsid w:val="00D02046"/>
    <w:rsid w:val="00D023CD"/>
    <w:rsid w:val="00D024B3"/>
    <w:rsid w:val="00D02810"/>
    <w:rsid w:val="00D02F56"/>
    <w:rsid w:val="00D02F6A"/>
    <w:rsid w:val="00D03036"/>
    <w:rsid w:val="00D032A5"/>
    <w:rsid w:val="00D03453"/>
    <w:rsid w:val="00D0389F"/>
    <w:rsid w:val="00D04B4E"/>
    <w:rsid w:val="00D05AE1"/>
    <w:rsid w:val="00D05F5F"/>
    <w:rsid w:val="00D065C7"/>
    <w:rsid w:val="00D06A6A"/>
    <w:rsid w:val="00D06FBA"/>
    <w:rsid w:val="00D07098"/>
    <w:rsid w:val="00D10767"/>
    <w:rsid w:val="00D10C28"/>
    <w:rsid w:val="00D12731"/>
    <w:rsid w:val="00D1291F"/>
    <w:rsid w:val="00D1397C"/>
    <w:rsid w:val="00D13B35"/>
    <w:rsid w:val="00D14213"/>
    <w:rsid w:val="00D143B9"/>
    <w:rsid w:val="00D148A7"/>
    <w:rsid w:val="00D148DC"/>
    <w:rsid w:val="00D14BA6"/>
    <w:rsid w:val="00D14D9B"/>
    <w:rsid w:val="00D15850"/>
    <w:rsid w:val="00D1745D"/>
    <w:rsid w:val="00D17B9E"/>
    <w:rsid w:val="00D20A6D"/>
    <w:rsid w:val="00D20AA2"/>
    <w:rsid w:val="00D20AFD"/>
    <w:rsid w:val="00D20B6F"/>
    <w:rsid w:val="00D21497"/>
    <w:rsid w:val="00D22CFC"/>
    <w:rsid w:val="00D23DF2"/>
    <w:rsid w:val="00D23F37"/>
    <w:rsid w:val="00D2422E"/>
    <w:rsid w:val="00D247FC"/>
    <w:rsid w:val="00D249A8"/>
    <w:rsid w:val="00D2519F"/>
    <w:rsid w:val="00D267A9"/>
    <w:rsid w:val="00D30178"/>
    <w:rsid w:val="00D303E5"/>
    <w:rsid w:val="00D310B6"/>
    <w:rsid w:val="00D31652"/>
    <w:rsid w:val="00D3175D"/>
    <w:rsid w:val="00D31822"/>
    <w:rsid w:val="00D318E8"/>
    <w:rsid w:val="00D31B12"/>
    <w:rsid w:val="00D320B1"/>
    <w:rsid w:val="00D32218"/>
    <w:rsid w:val="00D32325"/>
    <w:rsid w:val="00D329F4"/>
    <w:rsid w:val="00D32C61"/>
    <w:rsid w:val="00D335E7"/>
    <w:rsid w:val="00D353DB"/>
    <w:rsid w:val="00D358CE"/>
    <w:rsid w:val="00D359E6"/>
    <w:rsid w:val="00D3616F"/>
    <w:rsid w:val="00D363BC"/>
    <w:rsid w:val="00D3654F"/>
    <w:rsid w:val="00D37574"/>
    <w:rsid w:val="00D37776"/>
    <w:rsid w:val="00D37F33"/>
    <w:rsid w:val="00D37F96"/>
    <w:rsid w:val="00D403D2"/>
    <w:rsid w:val="00D4074E"/>
    <w:rsid w:val="00D419E4"/>
    <w:rsid w:val="00D42CE7"/>
    <w:rsid w:val="00D43431"/>
    <w:rsid w:val="00D434C8"/>
    <w:rsid w:val="00D43755"/>
    <w:rsid w:val="00D45829"/>
    <w:rsid w:val="00D45EEF"/>
    <w:rsid w:val="00D461C1"/>
    <w:rsid w:val="00D46BA5"/>
    <w:rsid w:val="00D46D7E"/>
    <w:rsid w:val="00D46FAC"/>
    <w:rsid w:val="00D47932"/>
    <w:rsid w:val="00D50969"/>
    <w:rsid w:val="00D51238"/>
    <w:rsid w:val="00D5197E"/>
    <w:rsid w:val="00D52395"/>
    <w:rsid w:val="00D524B9"/>
    <w:rsid w:val="00D524D9"/>
    <w:rsid w:val="00D52B32"/>
    <w:rsid w:val="00D52F07"/>
    <w:rsid w:val="00D5316A"/>
    <w:rsid w:val="00D5415A"/>
    <w:rsid w:val="00D5465B"/>
    <w:rsid w:val="00D5505D"/>
    <w:rsid w:val="00D55121"/>
    <w:rsid w:val="00D55816"/>
    <w:rsid w:val="00D5717D"/>
    <w:rsid w:val="00D573AC"/>
    <w:rsid w:val="00D57467"/>
    <w:rsid w:val="00D57E1E"/>
    <w:rsid w:val="00D60247"/>
    <w:rsid w:val="00D60A96"/>
    <w:rsid w:val="00D612D3"/>
    <w:rsid w:val="00D6138E"/>
    <w:rsid w:val="00D61814"/>
    <w:rsid w:val="00D61FE7"/>
    <w:rsid w:val="00D62598"/>
    <w:rsid w:val="00D62DA1"/>
    <w:rsid w:val="00D63596"/>
    <w:rsid w:val="00D6439E"/>
    <w:rsid w:val="00D64BB4"/>
    <w:rsid w:val="00D65309"/>
    <w:rsid w:val="00D65469"/>
    <w:rsid w:val="00D654FB"/>
    <w:rsid w:val="00D655D8"/>
    <w:rsid w:val="00D6596E"/>
    <w:rsid w:val="00D65B35"/>
    <w:rsid w:val="00D67022"/>
    <w:rsid w:val="00D677C6"/>
    <w:rsid w:val="00D67A52"/>
    <w:rsid w:val="00D67C81"/>
    <w:rsid w:val="00D67EC8"/>
    <w:rsid w:val="00D70323"/>
    <w:rsid w:val="00D70CC8"/>
    <w:rsid w:val="00D71309"/>
    <w:rsid w:val="00D71C49"/>
    <w:rsid w:val="00D722E2"/>
    <w:rsid w:val="00D727D2"/>
    <w:rsid w:val="00D74180"/>
    <w:rsid w:val="00D753CF"/>
    <w:rsid w:val="00D7552E"/>
    <w:rsid w:val="00D75F6E"/>
    <w:rsid w:val="00D767B3"/>
    <w:rsid w:val="00D76893"/>
    <w:rsid w:val="00D768B2"/>
    <w:rsid w:val="00D77F1B"/>
    <w:rsid w:val="00D77FB8"/>
    <w:rsid w:val="00D800D8"/>
    <w:rsid w:val="00D80753"/>
    <w:rsid w:val="00D80B71"/>
    <w:rsid w:val="00D82314"/>
    <w:rsid w:val="00D823A8"/>
    <w:rsid w:val="00D82D8D"/>
    <w:rsid w:val="00D83919"/>
    <w:rsid w:val="00D83C3B"/>
    <w:rsid w:val="00D84148"/>
    <w:rsid w:val="00D8423E"/>
    <w:rsid w:val="00D84283"/>
    <w:rsid w:val="00D843F5"/>
    <w:rsid w:val="00D84927"/>
    <w:rsid w:val="00D849BE"/>
    <w:rsid w:val="00D85019"/>
    <w:rsid w:val="00D85486"/>
    <w:rsid w:val="00D8629A"/>
    <w:rsid w:val="00D86739"/>
    <w:rsid w:val="00D868D9"/>
    <w:rsid w:val="00D86D6B"/>
    <w:rsid w:val="00D86EB5"/>
    <w:rsid w:val="00D87CF7"/>
    <w:rsid w:val="00D87E07"/>
    <w:rsid w:val="00D902D9"/>
    <w:rsid w:val="00D90B36"/>
    <w:rsid w:val="00D90BD9"/>
    <w:rsid w:val="00D911CA"/>
    <w:rsid w:val="00D915C5"/>
    <w:rsid w:val="00D91A58"/>
    <w:rsid w:val="00D922C4"/>
    <w:rsid w:val="00D92DF8"/>
    <w:rsid w:val="00D92ED5"/>
    <w:rsid w:val="00D93CFF"/>
    <w:rsid w:val="00D947CB"/>
    <w:rsid w:val="00D94DCB"/>
    <w:rsid w:val="00D94E9C"/>
    <w:rsid w:val="00D94F74"/>
    <w:rsid w:val="00D9519B"/>
    <w:rsid w:val="00D952C2"/>
    <w:rsid w:val="00D95321"/>
    <w:rsid w:val="00D95B64"/>
    <w:rsid w:val="00D96459"/>
    <w:rsid w:val="00D96A24"/>
    <w:rsid w:val="00D96DBB"/>
    <w:rsid w:val="00D96E82"/>
    <w:rsid w:val="00D97377"/>
    <w:rsid w:val="00DA028C"/>
    <w:rsid w:val="00DA1488"/>
    <w:rsid w:val="00DA21A6"/>
    <w:rsid w:val="00DA2B44"/>
    <w:rsid w:val="00DA2D96"/>
    <w:rsid w:val="00DA3347"/>
    <w:rsid w:val="00DA456C"/>
    <w:rsid w:val="00DA5500"/>
    <w:rsid w:val="00DA5E67"/>
    <w:rsid w:val="00DA5F56"/>
    <w:rsid w:val="00DA7B91"/>
    <w:rsid w:val="00DB1977"/>
    <w:rsid w:val="00DB1BCE"/>
    <w:rsid w:val="00DB1BEA"/>
    <w:rsid w:val="00DB2446"/>
    <w:rsid w:val="00DB2494"/>
    <w:rsid w:val="00DB28E2"/>
    <w:rsid w:val="00DB29B4"/>
    <w:rsid w:val="00DB30A5"/>
    <w:rsid w:val="00DB3F54"/>
    <w:rsid w:val="00DB3FDD"/>
    <w:rsid w:val="00DB484F"/>
    <w:rsid w:val="00DB635E"/>
    <w:rsid w:val="00DB6657"/>
    <w:rsid w:val="00DB6A38"/>
    <w:rsid w:val="00DB7ED7"/>
    <w:rsid w:val="00DC04F0"/>
    <w:rsid w:val="00DC0F73"/>
    <w:rsid w:val="00DC1214"/>
    <w:rsid w:val="00DC1443"/>
    <w:rsid w:val="00DC1677"/>
    <w:rsid w:val="00DC1866"/>
    <w:rsid w:val="00DC1B89"/>
    <w:rsid w:val="00DC1C58"/>
    <w:rsid w:val="00DC1CC4"/>
    <w:rsid w:val="00DC3375"/>
    <w:rsid w:val="00DC3B3A"/>
    <w:rsid w:val="00DC437C"/>
    <w:rsid w:val="00DC5093"/>
    <w:rsid w:val="00DC5469"/>
    <w:rsid w:val="00DC5B43"/>
    <w:rsid w:val="00DC5F41"/>
    <w:rsid w:val="00DC750B"/>
    <w:rsid w:val="00DC7B63"/>
    <w:rsid w:val="00DC7C71"/>
    <w:rsid w:val="00DC7DA7"/>
    <w:rsid w:val="00DD0769"/>
    <w:rsid w:val="00DD0ADA"/>
    <w:rsid w:val="00DD0EAB"/>
    <w:rsid w:val="00DD100C"/>
    <w:rsid w:val="00DD16C4"/>
    <w:rsid w:val="00DD17C6"/>
    <w:rsid w:val="00DD1A4B"/>
    <w:rsid w:val="00DD1F22"/>
    <w:rsid w:val="00DD26A4"/>
    <w:rsid w:val="00DD3AC0"/>
    <w:rsid w:val="00DD3E4A"/>
    <w:rsid w:val="00DD4322"/>
    <w:rsid w:val="00DD49AD"/>
    <w:rsid w:val="00DD5235"/>
    <w:rsid w:val="00DD6821"/>
    <w:rsid w:val="00DD69EE"/>
    <w:rsid w:val="00DD6C6B"/>
    <w:rsid w:val="00DD6EF8"/>
    <w:rsid w:val="00DD74B5"/>
    <w:rsid w:val="00DD7577"/>
    <w:rsid w:val="00DD7BCA"/>
    <w:rsid w:val="00DE11E0"/>
    <w:rsid w:val="00DE128D"/>
    <w:rsid w:val="00DE2566"/>
    <w:rsid w:val="00DE33D4"/>
    <w:rsid w:val="00DE4146"/>
    <w:rsid w:val="00DE4EE8"/>
    <w:rsid w:val="00DE531C"/>
    <w:rsid w:val="00DE5F52"/>
    <w:rsid w:val="00DE64DE"/>
    <w:rsid w:val="00DE78B8"/>
    <w:rsid w:val="00DF06A4"/>
    <w:rsid w:val="00DF0BBE"/>
    <w:rsid w:val="00DF1235"/>
    <w:rsid w:val="00DF19EC"/>
    <w:rsid w:val="00DF1BDA"/>
    <w:rsid w:val="00DF1D35"/>
    <w:rsid w:val="00DF206F"/>
    <w:rsid w:val="00DF2234"/>
    <w:rsid w:val="00DF2777"/>
    <w:rsid w:val="00DF2938"/>
    <w:rsid w:val="00DF297A"/>
    <w:rsid w:val="00DF3315"/>
    <w:rsid w:val="00DF3577"/>
    <w:rsid w:val="00DF360D"/>
    <w:rsid w:val="00DF3714"/>
    <w:rsid w:val="00DF4630"/>
    <w:rsid w:val="00DF497E"/>
    <w:rsid w:val="00DF5017"/>
    <w:rsid w:val="00DF57BF"/>
    <w:rsid w:val="00DF59A7"/>
    <w:rsid w:val="00DF5DF3"/>
    <w:rsid w:val="00DF5E09"/>
    <w:rsid w:val="00DF770A"/>
    <w:rsid w:val="00DF7B68"/>
    <w:rsid w:val="00E00B3F"/>
    <w:rsid w:val="00E01676"/>
    <w:rsid w:val="00E02A51"/>
    <w:rsid w:val="00E03586"/>
    <w:rsid w:val="00E035BF"/>
    <w:rsid w:val="00E036DA"/>
    <w:rsid w:val="00E037F1"/>
    <w:rsid w:val="00E05677"/>
    <w:rsid w:val="00E0607B"/>
    <w:rsid w:val="00E11715"/>
    <w:rsid w:val="00E1179A"/>
    <w:rsid w:val="00E11D12"/>
    <w:rsid w:val="00E126CD"/>
    <w:rsid w:val="00E12ADD"/>
    <w:rsid w:val="00E12D5C"/>
    <w:rsid w:val="00E13C72"/>
    <w:rsid w:val="00E13DA2"/>
    <w:rsid w:val="00E14669"/>
    <w:rsid w:val="00E15519"/>
    <w:rsid w:val="00E16472"/>
    <w:rsid w:val="00E17357"/>
    <w:rsid w:val="00E1764A"/>
    <w:rsid w:val="00E179AD"/>
    <w:rsid w:val="00E20012"/>
    <w:rsid w:val="00E20987"/>
    <w:rsid w:val="00E20B22"/>
    <w:rsid w:val="00E20EA5"/>
    <w:rsid w:val="00E211E4"/>
    <w:rsid w:val="00E212B1"/>
    <w:rsid w:val="00E21925"/>
    <w:rsid w:val="00E23004"/>
    <w:rsid w:val="00E233E9"/>
    <w:rsid w:val="00E236FA"/>
    <w:rsid w:val="00E23F0B"/>
    <w:rsid w:val="00E23F2D"/>
    <w:rsid w:val="00E24087"/>
    <w:rsid w:val="00E240AE"/>
    <w:rsid w:val="00E246F9"/>
    <w:rsid w:val="00E25537"/>
    <w:rsid w:val="00E25EDC"/>
    <w:rsid w:val="00E25F87"/>
    <w:rsid w:val="00E267EB"/>
    <w:rsid w:val="00E268CE"/>
    <w:rsid w:val="00E26904"/>
    <w:rsid w:val="00E26DEC"/>
    <w:rsid w:val="00E270D3"/>
    <w:rsid w:val="00E2739D"/>
    <w:rsid w:val="00E2757B"/>
    <w:rsid w:val="00E27F5A"/>
    <w:rsid w:val="00E309F2"/>
    <w:rsid w:val="00E312B7"/>
    <w:rsid w:val="00E312D8"/>
    <w:rsid w:val="00E31568"/>
    <w:rsid w:val="00E31AA3"/>
    <w:rsid w:val="00E323A5"/>
    <w:rsid w:val="00E32B09"/>
    <w:rsid w:val="00E32E18"/>
    <w:rsid w:val="00E33502"/>
    <w:rsid w:val="00E3413F"/>
    <w:rsid w:val="00E34989"/>
    <w:rsid w:val="00E350AC"/>
    <w:rsid w:val="00E35C99"/>
    <w:rsid w:val="00E368D0"/>
    <w:rsid w:val="00E405BE"/>
    <w:rsid w:val="00E41004"/>
    <w:rsid w:val="00E415BA"/>
    <w:rsid w:val="00E41949"/>
    <w:rsid w:val="00E41C54"/>
    <w:rsid w:val="00E41E6C"/>
    <w:rsid w:val="00E41F7A"/>
    <w:rsid w:val="00E42E19"/>
    <w:rsid w:val="00E43B13"/>
    <w:rsid w:val="00E4470A"/>
    <w:rsid w:val="00E4499A"/>
    <w:rsid w:val="00E449B3"/>
    <w:rsid w:val="00E44A1F"/>
    <w:rsid w:val="00E44A2E"/>
    <w:rsid w:val="00E45B96"/>
    <w:rsid w:val="00E4687E"/>
    <w:rsid w:val="00E46A53"/>
    <w:rsid w:val="00E46CE9"/>
    <w:rsid w:val="00E47296"/>
    <w:rsid w:val="00E4753B"/>
    <w:rsid w:val="00E500DD"/>
    <w:rsid w:val="00E5090E"/>
    <w:rsid w:val="00E50C3F"/>
    <w:rsid w:val="00E50D58"/>
    <w:rsid w:val="00E51389"/>
    <w:rsid w:val="00E514FC"/>
    <w:rsid w:val="00E51A92"/>
    <w:rsid w:val="00E51C2D"/>
    <w:rsid w:val="00E53933"/>
    <w:rsid w:val="00E5579B"/>
    <w:rsid w:val="00E557B5"/>
    <w:rsid w:val="00E561BB"/>
    <w:rsid w:val="00E56A2F"/>
    <w:rsid w:val="00E571C4"/>
    <w:rsid w:val="00E579B5"/>
    <w:rsid w:val="00E600EF"/>
    <w:rsid w:val="00E60884"/>
    <w:rsid w:val="00E608BD"/>
    <w:rsid w:val="00E6115A"/>
    <w:rsid w:val="00E613C9"/>
    <w:rsid w:val="00E618CA"/>
    <w:rsid w:val="00E620A5"/>
    <w:rsid w:val="00E62560"/>
    <w:rsid w:val="00E632BF"/>
    <w:rsid w:val="00E63332"/>
    <w:rsid w:val="00E63711"/>
    <w:rsid w:val="00E64A50"/>
    <w:rsid w:val="00E65A43"/>
    <w:rsid w:val="00E65FD0"/>
    <w:rsid w:val="00E6629E"/>
    <w:rsid w:val="00E66627"/>
    <w:rsid w:val="00E674C6"/>
    <w:rsid w:val="00E7000E"/>
    <w:rsid w:val="00E702AE"/>
    <w:rsid w:val="00E70BBE"/>
    <w:rsid w:val="00E711CB"/>
    <w:rsid w:val="00E7141D"/>
    <w:rsid w:val="00E71466"/>
    <w:rsid w:val="00E71604"/>
    <w:rsid w:val="00E71CEE"/>
    <w:rsid w:val="00E729E3"/>
    <w:rsid w:val="00E72F40"/>
    <w:rsid w:val="00E73DDF"/>
    <w:rsid w:val="00E74557"/>
    <w:rsid w:val="00E74A7A"/>
    <w:rsid w:val="00E74F45"/>
    <w:rsid w:val="00E75468"/>
    <w:rsid w:val="00E755CA"/>
    <w:rsid w:val="00E7564E"/>
    <w:rsid w:val="00E76067"/>
    <w:rsid w:val="00E77029"/>
    <w:rsid w:val="00E77277"/>
    <w:rsid w:val="00E77846"/>
    <w:rsid w:val="00E77BFF"/>
    <w:rsid w:val="00E77CBE"/>
    <w:rsid w:val="00E80232"/>
    <w:rsid w:val="00E80304"/>
    <w:rsid w:val="00E804F7"/>
    <w:rsid w:val="00E80E8C"/>
    <w:rsid w:val="00E81310"/>
    <w:rsid w:val="00E81365"/>
    <w:rsid w:val="00E82AFA"/>
    <w:rsid w:val="00E82DE5"/>
    <w:rsid w:val="00E83973"/>
    <w:rsid w:val="00E856B1"/>
    <w:rsid w:val="00E86FB5"/>
    <w:rsid w:val="00E871BE"/>
    <w:rsid w:val="00E87BA1"/>
    <w:rsid w:val="00E87F62"/>
    <w:rsid w:val="00E90391"/>
    <w:rsid w:val="00E90BB7"/>
    <w:rsid w:val="00E91AD2"/>
    <w:rsid w:val="00E91CFF"/>
    <w:rsid w:val="00E9246D"/>
    <w:rsid w:val="00E924FA"/>
    <w:rsid w:val="00E92580"/>
    <w:rsid w:val="00E927DF"/>
    <w:rsid w:val="00E92DE1"/>
    <w:rsid w:val="00E93C1A"/>
    <w:rsid w:val="00E93F15"/>
    <w:rsid w:val="00E948A2"/>
    <w:rsid w:val="00E9578B"/>
    <w:rsid w:val="00E9598D"/>
    <w:rsid w:val="00E95EE4"/>
    <w:rsid w:val="00E96E1D"/>
    <w:rsid w:val="00E96ECC"/>
    <w:rsid w:val="00E976D8"/>
    <w:rsid w:val="00E97B0B"/>
    <w:rsid w:val="00EA2661"/>
    <w:rsid w:val="00EA327D"/>
    <w:rsid w:val="00EA347E"/>
    <w:rsid w:val="00EA3EEE"/>
    <w:rsid w:val="00EA4178"/>
    <w:rsid w:val="00EA4472"/>
    <w:rsid w:val="00EA4585"/>
    <w:rsid w:val="00EA4B25"/>
    <w:rsid w:val="00EA4E37"/>
    <w:rsid w:val="00EA5637"/>
    <w:rsid w:val="00EA5A96"/>
    <w:rsid w:val="00EA5FC5"/>
    <w:rsid w:val="00EA7B32"/>
    <w:rsid w:val="00EA7B9C"/>
    <w:rsid w:val="00EB00E6"/>
    <w:rsid w:val="00EB01D7"/>
    <w:rsid w:val="00EB20F9"/>
    <w:rsid w:val="00EB21E9"/>
    <w:rsid w:val="00EB2911"/>
    <w:rsid w:val="00EB3586"/>
    <w:rsid w:val="00EB3995"/>
    <w:rsid w:val="00EB3C16"/>
    <w:rsid w:val="00EB4319"/>
    <w:rsid w:val="00EB4D70"/>
    <w:rsid w:val="00EB5136"/>
    <w:rsid w:val="00EB55AE"/>
    <w:rsid w:val="00EB5991"/>
    <w:rsid w:val="00EB675C"/>
    <w:rsid w:val="00EB7DA9"/>
    <w:rsid w:val="00EC0229"/>
    <w:rsid w:val="00EC0406"/>
    <w:rsid w:val="00EC06BE"/>
    <w:rsid w:val="00EC06D7"/>
    <w:rsid w:val="00EC08B3"/>
    <w:rsid w:val="00EC151E"/>
    <w:rsid w:val="00EC173D"/>
    <w:rsid w:val="00EC21FF"/>
    <w:rsid w:val="00EC23DD"/>
    <w:rsid w:val="00EC2BC4"/>
    <w:rsid w:val="00EC5360"/>
    <w:rsid w:val="00EC57DE"/>
    <w:rsid w:val="00EC5E63"/>
    <w:rsid w:val="00EC5EB0"/>
    <w:rsid w:val="00EC650C"/>
    <w:rsid w:val="00EC7102"/>
    <w:rsid w:val="00EC79C5"/>
    <w:rsid w:val="00ED0245"/>
    <w:rsid w:val="00ED0EDC"/>
    <w:rsid w:val="00ED0F52"/>
    <w:rsid w:val="00ED0FA0"/>
    <w:rsid w:val="00ED1349"/>
    <w:rsid w:val="00ED1B44"/>
    <w:rsid w:val="00ED3102"/>
    <w:rsid w:val="00ED3128"/>
    <w:rsid w:val="00ED3D08"/>
    <w:rsid w:val="00ED3D91"/>
    <w:rsid w:val="00ED3FCE"/>
    <w:rsid w:val="00ED4087"/>
    <w:rsid w:val="00ED4588"/>
    <w:rsid w:val="00ED4860"/>
    <w:rsid w:val="00ED4F3B"/>
    <w:rsid w:val="00ED5300"/>
    <w:rsid w:val="00ED5673"/>
    <w:rsid w:val="00ED6656"/>
    <w:rsid w:val="00ED7640"/>
    <w:rsid w:val="00ED7B63"/>
    <w:rsid w:val="00EE0572"/>
    <w:rsid w:val="00EE0A2D"/>
    <w:rsid w:val="00EE121D"/>
    <w:rsid w:val="00EE16F8"/>
    <w:rsid w:val="00EE206E"/>
    <w:rsid w:val="00EE2BE7"/>
    <w:rsid w:val="00EE2F4C"/>
    <w:rsid w:val="00EE33DD"/>
    <w:rsid w:val="00EE39D1"/>
    <w:rsid w:val="00EE41C6"/>
    <w:rsid w:val="00EE4231"/>
    <w:rsid w:val="00EE4D06"/>
    <w:rsid w:val="00EE516B"/>
    <w:rsid w:val="00EE614A"/>
    <w:rsid w:val="00EE6400"/>
    <w:rsid w:val="00EE6D77"/>
    <w:rsid w:val="00EE6D80"/>
    <w:rsid w:val="00EE709F"/>
    <w:rsid w:val="00EE72A3"/>
    <w:rsid w:val="00EF089B"/>
    <w:rsid w:val="00EF1064"/>
    <w:rsid w:val="00EF14F9"/>
    <w:rsid w:val="00EF1570"/>
    <w:rsid w:val="00EF1A2E"/>
    <w:rsid w:val="00EF1B12"/>
    <w:rsid w:val="00EF250C"/>
    <w:rsid w:val="00EF2EBC"/>
    <w:rsid w:val="00EF3176"/>
    <w:rsid w:val="00EF36CF"/>
    <w:rsid w:val="00EF3BC8"/>
    <w:rsid w:val="00EF3CEF"/>
    <w:rsid w:val="00EF53A4"/>
    <w:rsid w:val="00EF5578"/>
    <w:rsid w:val="00EF5962"/>
    <w:rsid w:val="00EF73AF"/>
    <w:rsid w:val="00F00BE5"/>
    <w:rsid w:val="00F02088"/>
    <w:rsid w:val="00F02110"/>
    <w:rsid w:val="00F02D5C"/>
    <w:rsid w:val="00F0372E"/>
    <w:rsid w:val="00F04537"/>
    <w:rsid w:val="00F049E0"/>
    <w:rsid w:val="00F056B6"/>
    <w:rsid w:val="00F05FA7"/>
    <w:rsid w:val="00F06559"/>
    <w:rsid w:val="00F065FF"/>
    <w:rsid w:val="00F07400"/>
    <w:rsid w:val="00F0755D"/>
    <w:rsid w:val="00F07624"/>
    <w:rsid w:val="00F07A6C"/>
    <w:rsid w:val="00F07B46"/>
    <w:rsid w:val="00F07C0C"/>
    <w:rsid w:val="00F116FB"/>
    <w:rsid w:val="00F1170E"/>
    <w:rsid w:val="00F1179F"/>
    <w:rsid w:val="00F11C8B"/>
    <w:rsid w:val="00F11F89"/>
    <w:rsid w:val="00F122E7"/>
    <w:rsid w:val="00F12400"/>
    <w:rsid w:val="00F128F8"/>
    <w:rsid w:val="00F12C0C"/>
    <w:rsid w:val="00F132EE"/>
    <w:rsid w:val="00F136A1"/>
    <w:rsid w:val="00F13CD5"/>
    <w:rsid w:val="00F13E85"/>
    <w:rsid w:val="00F1407B"/>
    <w:rsid w:val="00F14C23"/>
    <w:rsid w:val="00F14DAA"/>
    <w:rsid w:val="00F1574A"/>
    <w:rsid w:val="00F157B4"/>
    <w:rsid w:val="00F15CC0"/>
    <w:rsid w:val="00F15F53"/>
    <w:rsid w:val="00F16043"/>
    <w:rsid w:val="00F1620A"/>
    <w:rsid w:val="00F167D2"/>
    <w:rsid w:val="00F1690F"/>
    <w:rsid w:val="00F16E96"/>
    <w:rsid w:val="00F172C4"/>
    <w:rsid w:val="00F179F2"/>
    <w:rsid w:val="00F20249"/>
    <w:rsid w:val="00F20725"/>
    <w:rsid w:val="00F207F1"/>
    <w:rsid w:val="00F20917"/>
    <w:rsid w:val="00F2114C"/>
    <w:rsid w:val="00F218A2"/>
    <w:rsid w:val="00F21E03"/>
    <w:rsid w:val="00F22154"/>
    <w:rsid w:val="00F2238B"/>
    <w:rsid w:val="00F22914"/>
    <w:rsid w:val="00F23A50"/>
    <w:rsid w:val="00F23CA0"/>
    <w:rsid w:val="00F2427B"/>
    <w:rsid w:val="00F248AB"/>
    <w:rsid w:val="00F24E65"/>
    <w:rsid w:val="00F25779"/>
    <w:rsid w:val="00F25920"/>
    <w:rsid w:val="00F25A21"/>
    <w:rsid w:val="00F25A33"/>
    <w:rsid w:val="00F2614D"/>
    <w:rsid w:val="00F26C25"/>
    <w:rsid w:val="00F26C77"/>
    <w:rsid w:val="00F27DA6"/>
    <w:rsid w:val="00F27EB7"/>
    <w:rsid w:val="00F27EEF"/>
    <w:rsid w:val="00F30091"/>
    <w:rsid w:val="00F30A90"/>
    <w:rsid w:val="00F30C99"/>
    <w:rsid w:val="00F30E3B"/>
    <w:rsid w:val="00F31698"/>
    <w:rsid w:val="00F322B0"/>
    <w:rsid w:val="00F32816"/>
    <w:rsid w:val="00F33BFB"/>
    <w:rsid w:val="00F33C13"/>
    <w:rsid w:val="00F34081"/>
    <w:rsid w:val="00F342C1"/>
    <w:rsid w:val="00F3483A"/>
    <w:rsid w:val="00F34C46"/>
    <w:rsid w:val="00F358FB"/>
    <w:rsid w:val="00F373E5"/>
    <w:rsid w:val="00F40439"/>
    <w:rsid w:val="00F40839"/>
    <w:rsid w:val="00F40D2F"/>
    <w:rsid w:val="00F421FF"/>
    <w:rsid w:val="00F42575"/>
    <w:rsid w:val="00F461BB"/>
    <w:rsid w:val="00F466BA"/>
    <w:rsid w:val="00F47069"/>
    <w:rsid w:val="00F47F1E"/>
    <w:rsid w:val="00F50596"/>
    <w:rsid w:val="00F52159"/>
    <w:rsid w:val="00F5270C"/>
    <w:rsid w:val="00F53CF8"/>
    <w:rsid w:val="00F53D6E"/>
    <w:rsid w:val="00F53E0D"/>
    <w:rsid w:val="00F546A0"/>
    <w:rsid w:val="00F546BB"/>
    <w:rsid w:val="00F54EDC"/>
    <w:rsid w:val="00F553C7"/>
    <w:rsid w:val="00F5631B"/>
    <w:rsid w:val="00F56FCD"/>
    <w:rsid w:val="00F5744F"/>
    <w:rsid w:val="00F5797C"/>
    <w:rsid w:val="00F6012E"/>
    <w:rsid w:val="00F6036F"/>
    <w:rsid w:val="00F60463"/>
    <w:rsid w:val="00F61C06"/>
    <w:rsid w:val="00F61DD4"/>
    <w:rsid w:val="00F62975"/>
    <w:rsid w:val="00F631C5"/>
    <w:rsid w:val="00F63359"/>
    <w:rsid w:val="00F63E1D"/>
    <w:rsid w:val="00F63F28"/>
    <w:rsid w:val="00F641F0"/>
    <w:rsid w:val="00F64C4B"/>
    <w:rsid w:val="00F654CF"/>
    <w:rsid w:val="00F66617"/>
    <w:rsid w:val="00F66778"/>
    <w:rsid w:val="00F6773F"/>
    <w:rsid w:val="00F67965"/>
    <w:rsid w:val="00F70618"/>
    <w:rsid w:val="00F717DB"/>
    <w:rsid w:val="00F71C1D"/>
    <w:rsid w:val="00F71CF1"/>
    <w:rsid w:val="00F71FB6"/>
    <w:rsid w:val="00F7210C"/>
    <w:rsid w:val="00F72732"/>
    <w:rsid w:val="00F72EB3"/>
    <w:rsid w:val="00F72F3A"/>
    <w:rsid w:val="00F73222"/>
    <w:rsid w:val="00F73661"/>
    <w:rsid w:val="00F73D7E"/>
    <w:rsid w:val="00F7455F"/>
    <w:rsid w:val="00F74BA4"/>
    <w:rsid w:val="00F74EF9"/>
    <w:rsid w:val="00F75083"/>
    <w:rsid w:val="00F755D2"/>
    <w:rsid w:val="00F768DD"/>
    <w:rsid w:val="00F76E11"/>
    <w:rsid w:val="00F775C3"/>
    <w:rsid w:val="00F77938"/>
    <w:rsid w:val="00F806DE"/>
    <w:rsid w:val="00F807E7"/>
    <w:rsid w:val="00F8098B"/>
    <w:rsid w:val="00F80A45"/>
    <w:rsid w:val="00F81057"/>
    <w:rsid w:val="00F814E8"/>
    <w:rsid w:val="00F81807"/>
    <w:rsid w:val="00F81925"/>
    <w:rsid w:val="00F81B96"/>
    <w:rsid w:val="00F81E07"/>
    <w:rsid w:val="00F82507"/>
    <w:rsid w:val="00F831BB"/>
    <w:rsid w:val="00F833BD"/>
    <w:rsid w:val="00F8368F"/>
    <w:rsid w:val="00F83CC6"/>
    <w:rsid w:val="00F84026"/>
    <w:rsid w:val="00F84507"/>
    <w:rsid w:val="00F846E3"/>
    <w:rsid w:val="00F855C2"/>
    <w:rsid w:val="00F8565B"/>
    <w:rsid w:val="00F8571C"/>
    <w:rsid w:val="00F867A3"/>
    <w:rsid w:val="00F86CC8"/>
    <w:rsid w:val="00F86FB8"/>
    <w:rsid w:val="00F87131"/>
    <w:rsid w:val="00F878E4"/>
    <w:rsid w:val="00F87DAF"/>
    <w:rsid w:val="00F90368"/>
    <w:rsid w:val="00F9055A"/>
    <w:rsid w:val="00F9166C"/>
    <w:rsid w:val="00F92E5B"/>
    <w:rsid w:val="00F9309C"/>
    <w:rsid w:val="00F935DF"/>
    <w:rsid w:val="00F9403F"/>
    <w:rsid w:val="00F94219"/>
    <w:rsid w:val="00F94530"/>
    <w:rsid w:val="00F9456F"/>
    <w:rsid w:val="00F94915"/>
    <w:rsid w:val="00F94BE9"/>
    <w:rsid w:val="00F94BFA"/>
    <w:rsid w:val="00F95C21"/>
    <w:rsid w:val="00F95E89"/>
    <w:rsid w:val="00F96AF0"/>
    <w:rsid w:val="00F96E25"/>
    <w:rsid w:val="00F9756A"/>
    <w:rsid w:val="00FA04C7"/>
    <w:rsid w:val="00FA0D6F"/>
    <w:rsid w:val="00FA15C7"/>
    <w:rsid w:val="00FA16F9"/>
    <w:rsid w:val="00FA18E6"/>
    <w:rsid w:val="00FA20CD"/>
    <w:rsid w:val="00FA23F8"/>
    <w:rsid w:val="00FA2952"/>
    <w:rsid w:val="00FA2CD8"/>
    <w:rsid w:val="00FA2DC4"/>
    <w:rsid w:val="00FA3674"/>
    <w:rsid w:val="00FA3DAF"/>
    <w:rsid w:val="00FA45EB"/>
    <w:rsid w:val="00FA6B6F"/>
    <w:rsid w:val="00FA6F8F"/>
    <w:rsid w:val="00FA7266"/>
    <w:rsid w:val="00FA7824"/>
    <w:rsid w:val="00FA7D21"/>
    <w:rsid w:val="00FB0937"/>
    <w:rsid w:val="00FB1430"/>
    <w:rsid w:val="00FB1827"/>
    <w:rsid w:val="00FB21AE"/>
    <w:rsid w:val="00FB236B"/>
    <w:rsid w:val="00FB2458"/>
    <w:rsid w:val="00FB288A"/>
    <w:rsid w:val="00FB28F2"/>
    <w:rsid w:val="00FB2AB3"/>
    <w:rsid w:val="00FB3417"/>
    <w:rsid w:val="00FB3464"/>
    <w:rsid w:val="00FB35DF"/>
    <w:rsid w:val="00FB44FD"/>
    <w:rsid w:val="00FB469A"/>
    <w:rsid w:val="00FB605C"/>
    <w:rsid w:val="00FB63BF"/>
    <w:rsid w:val="00FB7633"/>
    <w:rsid w:val="00FB7717"/>
    <w:rsid w:val="00FB7994"/>
    <w:rsid w:val="00FB7DAE"/>
    <w:rsid w:val="00FB7F32"/>
    <w:rsid w:val="00FC0967"/>
    <w:rsid w:val="00FC1809"/>
    <w:rsid w:val="00FC1ED1"/>
    <w:rsid w:val="00FC2BD8"/>
    <w:rsid w:val="00FC395D"/>
    <w:rsid w:val="00FC4872"/>
    <w:rsid w:val="00FC48C1"/>
    <w:rsid w:val="00FC5244"/>
    <w:rsid w:val="00FC5995"/>
    <w:rsid w:val="00FC6070"/>
    <w:rsid w:val="00FC6259"/>
    <w:rsid w:val="00FC7448"/>
    <w:rsid w:val="00FD023D"/>
    <w:rsid w:val="00FD050B"/>
    <w:rsid w:val="00FD0B21"/>
    <w:rsid w:val="00FD13F5"/>
    <w:rsid w:val="00FD1689"/>
    <w:rsid w:val="00FD20CC"/>
    <w:rsid w:val="00FD29BE"/>
    <w:rsid w:val="00FD4025"/>
    <w:rsid w:val="00FD4033"/>
    <w:rsid w:val="00FD5C04"/>
    <w:rsid w:val="00FD6A80"/>
    <w:rsid w:val="00FD6FEC"/>
    <w:rsid w:val="00FD7DF7"/>
    <w:rsid w:val="00FE182D"/>
    <w:rsid w:val="00FE1CE0"/>
    <w:rsid w:val="00FE1D19"/>
    <w:rsid w:val="00FE2A7F"/>
    <w:rsid w:val="00FE3F64"/>
    <w:rsid w:val="00FE3FB7"/>
    <w:rsid w:val="00FE41E7"/>
    <w:rsid w:val="00FE45C9"/>
    <w:rsid w:val="00FE477E"/>
    <w:rsid w:val="00FE52BC"/>
    <w:rsid w:val="00FE52EB"/>
    <w:rsid w:val="00FE6086"/>
    <w:rsid w:val="00FE6A25"/>
    <w:rsid w:val="00FE790A"/>
    <w:rsid w:val="00FF014F"/>
    <w:rsid w:val="00FF0BFA"/>
    <w:rsid w:val="00FF2512"/>
    <w:rsid w:val="00FF261B"/>
    <w:rsid w:val="00FF2A54"/>
    <w:rsid w:val="00FF2CB2"/>
    <w:rsid w:val="00FF2D32"/>
    <w:rsid w:val="00FF4982"/>
    <w:rsid w:val="00FF4CEE"/>
    <w:rsid w:val="00FF4DF6"/>
    <w:rsid w:val="00FF518F"/>
    <w:rsid w:val="00FF529F"/>
    <w:rsid w:val="00FF5C0A"/>
    <w:rsid w:val="00FF5EDA"/>
    <w:rsid w:val="00FF6E4C"/>
    <w:rsid w:val="00FF74B4"/>
    <w:rsid w:val="00FF7CD5"/>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9B7"/>
    <w:rPr>
      <w:sz w:val="24"/>
      <w:szCs w:val="24"/>
    </w:rPr>
  </w:style>
  <w:style w:type="paragraph" w:styleId="Heading3">
    <w:name w:val="heading 3"/>
    <w:basedOn w:val="Normal"/>
    <w:next w:val="Normal"/>
    <w:qFormat/>
    <w:rsid w:val="002719B7"/>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719B7"/>
    <w:rPr>
      <w:sz w:val="20"/>
      <w:szCs w:val="20"/>
    </w:rPr>
  </w:style>
  <w:style w:type="character" w:styleId="FootnoteReference">
    <w:name w:val="footnote reference"/>
    <w:basedOn w:val="DefaultParagraphFont"/>
    <w:rsid w:val="002719B7"/>
    <w:rPr>
      <w:vertAlign w:val="superscript"/>
    </w:rPr>
  </w:style>
  <w:style w:type="paragraph" w:styleId="Header">
    <w:name w:val="header"/>
    <w:basedOn w:val="Normal"/>
    <w:rsid w:val="002719B7"/>
    <w:pPr>
      <w:tabs>
        <w:tab w:val="center" w:pos="4320"/>
        <w:tab w:val="right" w:pos="8640"/>
      </w:tabs>
    </w:pPr>
  </w:style>
  <w:style w:type="paragraph" w:styleId="Footer">
    <w:name w:val="footer"/>
    <w:basedOn w:val="Normal"/>
    <w:rsid w:val="002719B7"/>
    <w:pPr>
      <w:tabs>
        <w:tab w:val="center" w:pos="4320"/>
        <w:tab w:val="right" w:pos="8640"/>
      </w:tabs>
    </w:pPr>
  </w:style>
  <w:style w:type="character" w:styleId="PageNumber">
    <w:name w:val="page number"/>
    <w:basedOn w:val="DefaultParagraphFont"/>
    <w:rsid w:val="002719B7"/>
  </w:style>
  <w:style w:type="paragraph" w:customStyle="1" w:styleId="p3">
    <w:name w:val="p3"/>
    <w:basedOn w:val="Normal"/>
    <w:rsid w:val="002719B7"/>
    <w:pPr>
      <w:widowControl w:val="0"/>
      <w:tabs>
        <w:tab w:val="left" w:pos="204"/>
      </w:tabs>
      <w:autoSpaceDE w:val="0"/>
      <w:autoSpaceDN w:val="0"/>
      <w:adjustRightInd w:val="0"/>
    </w:pPr>
    <w:rPr>
      <w:sz w:val="26"/>
    </w:rPr>
  </w:style>
  <w:style w:type="paragraph" w:customStyle="1" w:styleId="p14">
    <w:name w:val="p14"/>
    <w:basedOn w:val="Normal"/>
    <w:rsid w:val="002719B7"/>
    <w:pPr>
      <w:widowControl w:val="0"/>
      <w:tabs>
        <w:tab w:val="left" w:pos="204"/>
      </w:tabs>
      <w:autoSpaceDE w:val="0"/>
      <w:autoSpaceDN w:val="0"/>
      <w:adjustRightInd w:val="0"/>
    </w:pPr>
    <w:rPr>
      <w:sz w:val="26"/>
    </w:rPr>
  </w:style>
  <w:style w:type="paragraph" w:customStyle="1" w:styleId="p17">
    <w:name w:val="p17"/>
    <w:basedOn w:val="Normal"/>
    <w:rsid w:val="002719B7"/>
    <w:pPr>
      <w:widowControl w:val="0"/>
      <w:tabs>
        <w:tab w:val="left" w:pos="5057"/>
      </w:tabs>
      <w:autoSpaceDE w:val="0"/>
      <w:autoSpaceDN w:val="0"/>
      <w:adjustRightInd w:val="0"/>
      <w:ind w:left="3617"/>
    </w:pPr>
    <w:rPr>
      <w:sz w:val="26"/>
    </w:rPr>
  </w:style>
  <w:style w:type="paragraph" w:customStyle="1" w:styleId="p18">
    <w:name w:val="p18"/>
    <w:basedOn w:val="Normal"/>
    <w:rsid w:val="002719B7"/>
    <w:pPr>
      <w:widowControl w:val="0"/>
      <w:tabs>
        <w:tab w:val="left" w:pos="5062"/>
      </w:tabs>
      <w:autoSpaceDE w:val="0"/>
      <w:autoSpaceDN w:val="0"/>
      <w:adjustRightInd w:val="0"/>
      <w:ind w:left="3622"/>
    </w:pPr>
    <w:rPr>
      <w:sz w:val="26"/>
    </w:rPr>
  </w:style>
  <w:style w:type="paragraph" w:customStyle="1" w:styleId="StyleCentered">
    <w:name w:val="Style Centered"/>
    <w:basedOn w:val="Normal"/>
    <w:rsid w:val="002719B7"/>
    <w:pPr>
      <w:overflowPunct w:val="0"/>
      <w:autoSpaceDE w:val="0"/>
      <w:autoSpaceDN w:val="0"/>
      <w:adjustRightInd w:val="0"/>
      <w:jc w:val="center"/>
      <w:textAlignment w:val="baseline"/>
    </w:pPr>
    <w:rPr>
      <w:sz w:val="26"/>
    </w:rPr>
  </w:style>
  <w:style w:type="paragraph" w:styleId="BalloonText">
    <w:name w:val="Balloon Text"/>
    <w:basedOn w:val="Normal"/>
    <w:link w:val="BalloonTextChar"/>
    <w:rsid w:val="004C3A78"/>
    <w:rPr>
      <w:rFonts w:ascii="Tahoma" w:hAnsi="Tahoma" w:cs="Tahoma"/>
      <w:sz w:val="16"/>
      <w:szCs w:val="16"/>
    </w:rPr>
  </w:style>
  <w:style w:type="character" w:customStyle="1" w:styleId="BalloonTextChar">
    <w:name w:val="Balloon Text Char"/>
    <w:basedOn w:val="DefaultParagraphFont"/>
    <w:link w:val="BalloonText"/>
    <w:rsid w:val="004C3A78"/>
    <w:rPr>
      <w:rFonts w:ascii="Tahoma" w:hAnsi="Tahoma" w:cs="Tahoma"/>
      <w:sz w:val="16"/>
      <w:szCs w:val="16"/>
    </w:rPr>
  </w:style>
  <w:style w:type="character" w:styleId="CommentReference">
    <w:name w:val="annotation reference"/>
    <w:basedOn w:val="DefaultParagraphFont"/>
    <w:uiPriority w:val="99"/>
    <w:rsid w:val="008C4DA3"/>
    <w:rPr>
      <w:sz w:val="16"/>
      <w:szCs w:val="16"/>
    </w:rPr>
  </w:style>
  <w:style w:type="paragraph" w:styleId="CommentText">
    <w:name w:val="annotation text"/>
    <w:basedOn w:val="Normal"/>
    <w:link w:val="CommentTextChar"/>
    <w:rsid w:val="008C4DA3"/>
    <w:rPr>
      <w:sz w:val="20"/>
      <w:szCs w:val="20"/>
    </w:rPr>
  </w:style>
  <w:style w:type="character" w:customStyle="1" w:styleId="CommentTextChar">
    <w:name w:val="Comment Text Char"/>
    <w:basedOn w:val="DefaultParagraphFont"/>
    <w:link w:val="CommentText"/>
    <w:rsid w:val="008C4DA3"/>
  </w:style>
  <w:style w:type="paragraph" w:styleId="CommentSubject">
    <w:name w:val="annotation subject"/>
    <w:basedOn w:val="CommentText"/>
    <w:next w:val="CommentText"/>
    <w:link w:val="CommentSubjectChar"/>
    <w:rsid w:val="008C4DA3"/>
    <w:rPr>
      <w:b/>
      <w:bCs/>
    </w:rPr>
  </w:style>
  <w:style w:type="character" w:customStyle="1" w:styleId="CommentSubjectChar">
    <w:name w:val="Comment Subject Char"/>
    <w:basedOn w:val="CommentTextChar"/>
    <w:link w:val="CommentSubject"/>
    <w:rsid w:val="008C4DA3"/>
    <w:rPr>
      <w:b/>
      <w:bCs/>
    </w:rPr>
  </w:style>
  <w:style w:type="paragraph" w:styleId="ListParagraph">
    <w:name w:val="List Paragraph"/>
    <w:basedOn w:val="Normal"/>
    <w:uiPriority w:val="34"/>
    <w:qFormat/>
    <w:rsid w:val="009243B6"/>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6E3C2C"/>
  </w:style>
  <w:style w:type="character" w:styleId="Hyperlink">
    <w:name w:val="Hyperlink"/>
    <w:basedOn w:val="DefaultParagraphFont"/>
    <w:rsid w:val="00C42E30"/>
    <w:rPr>
      <w:color w:val="0000FF"/>
      <w:u w:val="single"/>
    </w:rPr>
  </w:style>
  <w:style w:type="character" w:styleId="FollowedHyperlink">
    <w:name w:val="FollowedHyperlink"/>
    <w:basedOn w:val="DefaultParagraphFont"/>
    <w:rsid w:val="008F51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9B7"/>
    <w:rPr>
      <w:sz w:val="24"/>
      <w:szCs w:val="24"/>
    </w:rPr>
  </w:style>
  <w:style w:type="paragraph" w:styleId="Heading3">
    <w:name w:val="heading 3"/>
    <w:basedOn w:val="Normal"/>
    <w:next w:val="Normal"/>
    <w:qFormat/>
    <w:rsid w:val="002719B7"/>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719B7"/>
    <w:rPr>
      <w:sz w:val="20"/>
      <w:szCs w:val="20"/>
    </w:rPr>
  </w:style>
  <w:style w:type="character" w:styleId="FootnoteReference">
    <w:name w:val="footnote reference"/>
    <w:basedOn w:val="DefaultParagraphFont"/>
    <w:rsid w:val="002719B7"/>
    <w:rPr>
      <w:vertAlign w:val="superscript"/>
    </w:rPr>
  </w:style>
  <w:style w:type="paragraph" w:styleId="Header">
    <w:name w:val="header"/>
    <w:basedOn w:val="Normal"/>
    <w:rsid w:val="002719B7"/>
    <w:pPr>
      <w:tabs>
        <w:tab w:val="center" w:pos="4320"/>
        <w:tab w:val="right" w:pos="8640"/>
      </w:tabs>
    </w:pPr>
  </w:style>
  <w:style w:type="paragraph" w:styleId="Footer">
    <w:name w:val="footer"/>
    <w:basedOn w:val="Normal"/>
    <w:rsid w:val="002719B7"/>
    <w:pPr>
      <w:tabs>
        <w:tab w:val="center" w:pos="4320"/>
        <w:tab w:val="right" w:pos="8640"/>
      </w:tabs>
    </w:pPr>
  </w:style>
  <w:style w:type="character" w:styleId="PageNumber">
    <w:name w:val="page number"/>
    <w:basedOn w:val="DefaultParagraphFont"/>
    <w:rsid w:val="002719B7"/>
  </w:style>
  <w:style w:type="paragraph" w:customStyle="1" w:styleId="p3">
    <w:name w:val="p3"/>
    <w:basedOn w:val="Normal"/>
    <w:rsid w:val="002719B7"/>
    <w:pPr>
      <w:widowControl w:val="0"/>
      <w:tabs>
        <w:tab w:val="left" w:pos="204"/>
      </w:tabs>
      <w:autoSpaceDE w:val="0"/>
      <w:autoSpaceDN w:val="0"/>
      <w:adjustRightInd w:val="0"/>
    </w:pPr>
    <w:rPr>
      <w:sz w:val="26"/>
    </w:rPr>
  </w:style>
  <w:style w:type="paragraph" w:customStyle="1" w:styleId="p14">
    <w:name w:val="p14"/>
    <w:basedOn w:val="Normal"/>
    <w:rsid w:val="002719B7"/>
    <w:pPr>
      <w:widowControl w:val="0"/>
      <w:tabs>
        <w:tab w:val="left" w:pos="204"/>
      </w:tabs>
      <w:autoSpaceDE w:val="0"/>
      <w:autoSpaceDN w:val="0"/>
      <w:adjustRightInd w:val="0"/>
    </w:pPr>
    <w:rPr>
      <w:sz w:val="26"/>
    </w:rPr>
  </w:style>
  <w:style w:type="paragraph" w:customStyle="1" w:styleId="p17">
    <w:name w:val="p17"/>
    <w:basedOn w:val="Normal"/>
    <w:rsid w:val="002719B7"/>
    <w:pPr>
      <w:widowControl w:val="0"/>
      <w:tabs>
        <w:tab w:val="left" w:pos="5057"/>
      </w:tabs>
      <w:autoSpaceDE w:val="0"/>
      <w:autoSpaceDN w:val="0"/>
      <w:adjustRightInd w:val="0"/>
      <w:ind w:left="3617"/>
    </w:pPr>
    <w:rPr>
      <w:sz w:val="26"/>
    </w:rPr>
  </w:style>
  <w:style w:type="paragraph" w:customStyle="1" w:styleId="p18">
    <w:name w:val="p18"/>
    <w:basedOn w:val="Normal"/>
    <w:rsid w:val="002719B7"/>
    <w:pPr>
      <w:widowControl w:val="0"/>
      <w:tabs>
        <w:tab w:val="left" w:pos="5062"/>
      </w:tabs>
      <w:autoSpaceDE w:val="0"/>
      <w:autoSpaceDN w:val="0"/>
      <w:adjustRightInd w:val="0"/>
      <w:ind w:left="3622"/>
    </w:pPr>
    <w:rPr>
      <w:sz w:val="26"/>
    </w:rPr>
  </w:style>
  <w:style w:type="paragraph" w:customStyle="1" w:styleId="StyleCentered">
    <w:name w:val="Style Centered"/>
    <w:basedOn w:val="Normal"/>
    <w:rsid w:val="002719B7"/>
    <w:pPr>
      <w:overflowPunct w:val="0"/>
      <w:autoSpaceDE w:val="0"/>
      <w:autoSpaceDN w:val="0"/>
      <w:adjustRightInd w:val="0"/>
      <w:jc w:val="center"/>
      <w:textAlignment w:val="baseline"/>
    </w:pPr>
    <w:rPr>
      <w:sz w:val="26"/>
    </w:rPr>
  </w:style>
  <w:style w:type="paragraph" w:styleId="BalloonText">
    <w:name w:val="Balloon Text"/>
    <w:basedOn w:val="Normal"/>
    <w:link w:val="BalloonTextChar"/>
    <w:rsid w:val="004C3A78"/>
    <w:rPr>
      <w:rFonts w:ascii="Tahoma" w:hAnsi="Tahoma" w:cs="Tahoma"/>
      <w:sz w:val="16"/>
      <w:szCs w:val="16"/>
    </w:rPr>
  </w:style>
  <w:style w:type="character" w:customStyle="1" w:styleId="BalloonTextChar">
    <w:name w:val="Balloon Text Char"/>
    <w:basedOn w:val="DefaultParagraphFont"/>
    <w:link w:val="BalloonText"/>
    <w:rsid w:val="004C3A78"/>
    <w:rPr>
      <w:rFonts w:ascii="Tahoma" w:hAnsi="Tahoma" w:cs="Tahoma"/>
      <w:sz w:val="16"/>
      <w:szCs w:val="16"/>
    </w:rPr>
  </w:style>
  <w:style w:type="character" w:styleId="CommentReference">
    <w:name w:val="annotation reference"/>
    <w:basedOn w:val="DefaultParagraphFont"/>
    <w:uiPriority w:val="99"/>
    <w:rsid w:val="008C4DA3"/>
    <w:rPr>
      <w:sz w:val="16"/>
      <w:szCs w:val="16"/>
    </w:rPr>
  </w:style>
  <w:style w:type="paragraph" w:styleId="CommentText">
    <w:name w:val="annotation text"/>
    <w:basedOn w:val="Normal"/>
    <w:link w:val="CommentTextChar"/>
    <w:rsid w:val="008C4DA3"/>
    <w:rPr>
      <w:sz w:val="20"/>
      <w:szCs w:val="20"/>
    </w:rPr>
  </w:style>
  <w:style w:type="character" w:customStyle="1" w:styleId="CommentTextChar">
    <w:name w:val="Comment Text Char"/>
    <w:basedOn w:val="DefaultParagraphFont"/>
    <w:link w:val="CommentText"/>
    <w:rsid w:val="008C4DA3"/>
  </w:style>
  <w:style w:type="paragraph" w:styleId="CommentSubject">
    <w:name w:val="annotation subject"/>
    <w:basedOn w:val="CommentText"/>
    <w:next w:val="CommentText"/>
    <w:link w:val="CommentSubjectChar"/>
    <w:rsid w:val="008C4DA3"/>
    <w:rPr>
      <w:b/>
      <w:bCs/>
    </w:rPr>
  </w:style>
  <w:style w:type="character" w:customStyle="1" w:styleId="CommentSubjectChar">
    <w:name w:val="Comment Subject Char"/>
    <w:basedOn w:val="CommentTextChar"/>
    <w:link w:val="CommentSubject"/>
    <w:rsid w:val="008C4DA3"/>
    <w:rPr>
      <w:b/>
      <w:bCs/>
    </w:rPr>
  </w:style>
  <w:style w:type="paragraph" w:styleId="ListParagraph">
    <w:name w:val="List Paragraph"/>
    <w:basedOn w:val="Normal"/>
    <w:uiPriority w:val="34"/>
    <w:qFormat/>
    <w:rsid w:val="009243B6"/>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6E3C2C"/>
  </w:style>
  <w:style w:type="character" w:styleId="Hyperlink">
    <w:name w:val="Hyperlink"/>
    <w:basedOn w:val="DefaultParagraphFont"/>
    <w:rsid w:val="00C42E30"/>
    <w:rPr>
      <w:color w:val="0000FF"/>
      <w:u w:val="single"/>
    </w:rPr>
  </w:style>
  <w:style w:type="character" w:styleId="FollowedHyperlink">
    <w:name w:val="FollowedHyperlink"/>
    <w:basedOn w:val="DefaultParagraphFont"/>
    <w:rsid w:val="008F51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ribrown@state.pa.us" TargetMode="External"/><Relationship Id="rId4" Type="http://schemas.microsoft.com/office/2007/relationships/stylesWithEffects" Target="stylesWithEffects.xml"/><Relationship Id="rId9" Type="http://schemas.openxmlformats.org/officeDocument/2006/relationships/hyperlink" Target="mailto:sgebhardt@state.pa.u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electric/electric_alt_energ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9A074-4BD8-4F38-AE37-54426A15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kribrown</dc:creator>
  <cp:lastModifiedBy>Miller, Sara</cp:lastModifiedBy>
  <cp:revision>7</cp:revision>
  <cp:lastPrinted>2012-03-29T16:07:00Z</cp:lastPrinted>
  <dcterms:created xsi:type="dcterms:W3CDTF">2012-03-16T12:58:00Z</dcterms:created>
  <dcterms:modified xsi:type="dcterms:W3CDTF">2012-03-29T16:07:00Z</dcterms:modified>
</cp:coreProperties>
</file>