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A01DB2">
        <w:trPr>
          <w:trHeight w:val="990"/>
        </w:trPr>
        <w:tc>
          <w:tcPr>
            <w:tcW w:w="1363" w:type="dxa"/>
          </w:tcPr>
          <w:p w:rsidR="00C74A51" w:rsidRPr="00A01DB2" w:rsidRDefault="00E23926">
            <w:pPr>
              <w:rPr>
                <w:sz w:val="24"/>
              </w:rPr>
            </w:pPr>
            <w:r w:rsidRPr="00A01DB2">
              <w:rPr>
                <w:noProof/>
                <w:spacing w:val="-2"/>
              </w:rPr>
              <w:drawing>
                <wp:inline distT="0" distB="0" distL="0" distR="0" wp14:anchorId="34267BCA" wp14:editId="4367B9F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Pr="009A308C" w:rsidRDefault="00C74A51">
            <w:pPr>
              <w:suppressAutoHyphens/>
              <w:spacing w:line="204" w:lineRule="auto"/>
              <w:jc w:val="center"/>
              <w:rPr>
                <w:color w:val="000080"/>
                <w:spacing w:val="-3"/>
                <w:sz w:val="26"/>
              </w:rPr>
            </w:pPr>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746BEC">
                  <w:rPr>
                    <w:rFonts w:ascii="Arial" w:hAnsi="Arial" w:cs="Arial"/>
                    <w:color w:val="000080"/>
                    <w:spacing w:val="-3"/>
                    <w:sz w:val="26"/>
                  </w:rPr>
                  <w:t>COMMONWEALTH</w:t>
                </w:r>
              </w:smartTag>
              <w:r w:rsidRPr="00746BEC">
                <w:rPr>
                  <w:rFonts w:ascii="Arial" w:hAnsi="Arial" w:cs="Arial"/>
                  <w:color w:val="000080"/>
                  <w:spacing w:val="-3"/>
                  <w:sz w:val="26"/>
                </w:rPr>
                <w:t xml:space="preserve"> OF </w:t>
              </w:r>
              <w:smartTag w:uri="urn:schemas-microsoft-com:office:smarttags" w:element="PlaceName">
                <w:r w:rsidRPr="00746BEC">
                  <w:rPr>
                    <w:rFonts w:ascii="Arial" w:hAnsi="Arial" w:cs="Arial"/>
                    <w:color w:val="000080"/>
                    <w:spacing w:val="-3"/>
                    <w:sz w:val="26"/>
                  </w:rPr>
                  <w:t>PENNSYLVANIA</w:t>
                </w:r>
              </w:smartTag>
            </w:smartTag>
          </w:p>
          <w:p w:rsidR="00C74A51" w:rsidRPr="00746BEC" w:rsidRDefault="00C74A51">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746BEC">
                  <w:rPr>
                    <w:rFonts w:ascii="Arial" w:hAnsi="Arial" w:cs="Arial"/>
                    <w:color w:val="000080"/>
                    <w:spacing w:val="-3"/>
                    <w:sz w:val="26"/>
                  </w:rPr>
                  <w:t>PENNSYLVANIA</w:t>
                </w:r>
              </w:smartTag>
            </w:smartTag>
            <w:r w:rsidRPr="00746BEC">
              <w:rPr>
                <w:rFonts w:ascii="Arial" w:hAnsi="Arial" w:cs="Arial"/>
                <w:color w:val="000080"/>
                <w:spacing w:val="-3"/>
                <w:sz w:val="26"/>
              </w:rPr>
              <w:t xml:space="preserve"> PUBLIC UTILITY COMMISSION</w:t>
            </w:r>
          </w:p>
          <w:p w:rsidR="00C74A51" w:rsidRPr="009A308C" w:rsidRDefault="00C74A51" w:rsidP="00320F11">
            <w:pPr>
              <w:jc w:val="center"/>
              <w:rPr>
                <w:sz w:val="12"/>
              </w:rPr>
            </w:pPr>
            <w:r w:rsidRPr="00746BEC">
              <w:rPr>
                <w:rFonts w:ascii="Arial" w:hAnsi="Arial" w:cs="Arial"/>
                <w:color w:val="000080"/>
                <w:spacing w:val="-3"/>
                <w:sz w:val="26"/>
              </w:rPr>
              <w:t>P.O. BOX 3265, HARRISBURG, PA 17105-326</w:t>
            </w:r>
            <w:r w:rsidR="00320F11" w:rsidRPr="00746BEC">
              <w:rPr>
                <w:rFonts w:ascii="Arial" w:hAnsi="Arial" w:cs="Arial"/>
                <w:color w:val="000080"/>
                <w:spacing w:val="-3"/>
                <w:sz w:val="26"/>
              </w:rPr>
              <w:t>5</w:t>
            </w:r>
          </w:p>
        </w:tc>
        <w:tc>
          <w:tcPr>
            <w:tcW w:w="1440" w:type="dxa"/>
          </w:tcPr>
          <w:p w:rsidR="00C74A51" w:rsidRPr="009A308C" w:rsidRDefault="00C74A51">
            <w:pPr>
              <w:rPr>
                <w:sz w:val="12"/>
              </w:rPr>
            </w:pPr>
          </w:p>
          <w:p w:rsidR="00C74A51" w:rsidRPr="009A308C" w:rsidRDefault="00C74A51">
            <w:pPr>
              <w:rPr>
                <w:sz w:val="12"/>
              </w:rPr>
            </w:pPr>
          </w:p>
          <w:p w:rsidR="00C74A51" w:rsidRPr="00746BEC" w:rsidRDefault="00C74A51">
            <w:pPr>
              <w:jc w:val="right"/>
              <w:rPr>
                <w:rFonts w:ascii="Arial" w:hAnsi="Arial" w:cs="Arial"/>
                <w:b/>
                <w:spacing w:val="-1"/>
                <w:sz w:val="12"/>
              </w:rPr>
            </w:pPr>
            <w:r w:rsidRPr="00746BEC">
              <w:rPr>
                <w:rFonts w:ascii="Arial" w:hAnsi="Arial" w:cs="Arial"/>
                <w:b/>
                <w:spacing w:val="-1"/>
                <w:sz w:val="12"/>
              </w:rPr>
              <w:t>IN REPLY PLEASE REFER TO OUR FILE</w:t>
            </w:r>
          </w:p>
          <w:p w:rsidR="003569E8" w:rsidRPr="009A308C" w:rsidRDefault="00E23926" w:rsidP="00FC7B5D">
            <w:pPr>
              <w:jc w:val="right"/>
              <w:rPr>
                <w:sz w:val="16"/>
                <w:szCs w:val="16"/>
              </w:rPr>
            </w:pPr>
            <w:r w:rsidRPr="00A01DB2">
              <w:rPr>
                <w:sz w:val="16"/>
                <w:szCs w:val="16"/>
              </w:rPr>
              <w:t>M</w:t>
            </w:r>
            <w:r w:rsidRPr="00A01DB2">
              <w:rPr>
                <w:sz w:val="16"/>
                <w:szCs w:val="16"/>
              </w:rPr>
              <w:noBreakHyphen/>
              <w:t>20</w:t>
            </w:r>
            <w:r w:rsidR="00FC7B5D" w:rsidRPr="00A01DB2">
              <w:rPr>
                <w:sz w:val="16"/>
                <w:szCs w:val="16"/>
              </w:rPr>
              <w:t>12-</w:t>
            </w:r>
            <w:r w:rsidR="0015126D" w:rsidRPr="00A01DB2">
              <w:rPr>
                <w:sz w:val="16"/>
                <w:szCs w:val="16"/>
              </w:rPr>
              <w:t>2289411</w:t>
            </w:r>
          </w:p>
        </w:tc>
      </w:tr>
    </w:tbl>
    <w:p w:rsidR="00FA0E37" w:rsidRPr="00A01DB2" w:rsidRDefault="00643DCA" w:rsidP="00FA0E37">
      <w:pPr>
        <w:jc w:val="center"/>
        <w:rPr>
          <w:b/>
          <w:sz w:val="26"/>
          <w:szCs w:val="26"/>
        </w:rPr>
      </w:pPr>
      <w:r>
        <w:rPr>
          <w:b/>
          <w:sz w:val="26"/>
          <w:szCs w:val="26"/>
        </w:rPr>
        <w:t>March 1, 2012</w:t>
      </w:r>
    </w:p>
    <w:p w:rsidR="001E1BF3" w:rsidRPr="00A01DB2" w:rsidRDefault="001E1BF3" w:rsidP="00FA0E37">
      <w:pPr>
        <w:jc w:val="center"/>
        <w:rPr>
          <w:b/>
          <w:sz w:val="26"/>
          <w:szCs w:val="26"/>
        </w:rPr>
      </w:pPr>
    </w:p>
    <w:p w:rsidR="00710DBE" w:rsidRPr="00A01DB2" w:rsidRDefault="00710DBE" w:rsidP="00710DBE">
      <w:pPr>
        <w:rPr>
          <w:sz w:val="24"/>
          <w:szCs w:val="24"/>
        </w:rPr>
      </w:pPr>
      <w:r w:rsidRPr="00A01DB2">
        <w:rPr>
          <w:sz w:val="24"/>
          <w:szCs w:val="24"/>
        </w:rPr>
        <w:t>TO ALL INTERESTED PARTIES:</w:t>
      </w:r>
    </w:p>
    <w:p w:rsidR="00710DBE" w:rsidRPr="00A01DB2" w:rsidRDefault="00710DBE" w:rsidP="00710DBE">
      <w:pPr>
        <w:rPr>
          <w:sz w:val="24"/>
          <w:szCs w:val="24"/>
        </w:rPr>
      </w:pPr>
    </w:p>
    <w:p w:rsidR="00710DBE" w:rsidRPr="00A01DB2" w:rsidRDefault="00307364" w:rsidP="00710DBE">
      <w:pPr>
        <w:ind w:left="1440" w:hanging="720"/>
        <w:rPr>
          <w:sz w:val="24"/>
          <w:szCs w:val="24"/>
        </w:rPr>
      </w:pPr>
      <w:r w:rsidRPr="00A01DB2">
        <w:rPr>
          <w:sz w:val="24"/>
          <w:szCs w:val="24"/>
        </w:rPr>
        <w:t>Re:</w:t>
      </w:r>
      <w:r w:rsidRPr="00A01DB2">
        <w:rPr>
          <w:sz w:val="24"/>
          <w:szCs w:val="24"/>
        </w:rPr>
        <w:tab/>
        <w:t>Act 129 Energy Efficiency and Conservation Program Phase Two</w:t>
      </w:r>
    </w:p>
    <w:p w:rsidR="00710DBE" w:rsidRPr="00A01DB2" w:rsidRDefault="00710DBE" w:rsidP="00710DBE">
      <w:pPr>
        <w:ind w:left="1440" w:hanging="720"/>
        <w:rPr>
          <w:sz w:val="24"/>
          <w:szCs w:val="24"/>
        </w:rPr>
      </w:pPr>
      <w:r w:rsidRPr="00A01DB2">
        <w:rPr>
          <w:sz w:val="24"/>
          <w:szCs w:val="24"/>
        </w:rPr>
        <w:tab/>
        <w:t>Docket No.</w:t>
      </w:r>
      <w:r w:rsidR="006B307C" w:rsidRPr="00A01DB2">
        <w:rPr>
          <w:sz w:val="24"/>
          <w:szCs w:val="24"/>
        </w:rPr>
        <w:t xml:space="preserve"> M-2012-</w:t>
      </w:r>
      <w:r w:rsidR="00A72D60" w:rsidRPr="00A01DB2">
        <w:rPr>
          <w:sz w:val="24"/>
          <w:szCs w:val="24"/>
        </w:rPr>
        <w:t>2289411</w:t>
      </w:r>
    </w:p>
    <w:p w:rsidR="00710DBE" w:rsidRPr="00A01DB2" w:rsidRDefault="00710DBE" w:rsidP="009A308C">
      <w:pPr>
        <w:jc w:val="both"/>
        <w:rPr>
          <w:sz w:val="24"/>
          <w:szCs w:val="24"/>
        </w:rPr>
      </w:pPr>
    </w:p>
    <w:p w:rsidR="00710DBE" w:rsidRPr="00A01DB2" w:rsidRDefault="00710DBE" w:rsidP="009A308C">
      <w:pPr>
        <w:jc w:val="both"/>
        <w:rPr>
          <w:sz w:val="24"/>
          <w:szCs w:val="24"/>
        </w:rPr>
      </w:pPr>
      <w:r w:rsidRPr="00A01DB2">
        <w:rPr>
          <w:sz w:val="24"/>
          <w:szCs w:val="24"/>
        </w:rPr>
        <w:tab/>
      </w:r>
      <w:r w:rsidR="00A01DB2" w:rsidRPr="009A308C">
        <w:rPr>
          <w:rStyle w:val="st1"/>
          <w:sz w:val="24"/>
          <w:szCs w:val="24"/>
        </w:rPr>
        <w:t xml:space="preserve">On October 15, 2008, House Bill 2200 </w:t>
      </w:r>
      <w:r w:rsidR="004B7A97">
        <w:rPr>
          <w:rStyle w:val="st1"/>
          <w:sz w:val="24"/>
          <w:szCs w:val="24"/>
        </w:rPr>
        <w:t xml:space="preserve">was signed </w:t>
      </w:r>
      <w:r w:rsidR="00A01DB2" w:rsidRPr="009A308C">
        <w:rPr>
          <w:rStyle w:val="st1"/>
          <w:sz w:val="24"/>
          <w:szCs w:val="24"/>
        </w:rPr>
        <w:t xml:space="preserve">into law as </w:t>
      </w:r>
      <w:r w:rsidR="00A01DB2" w:rsidRPr="009A308C">
        <w:rPr>
          <w:rStyle w:val="st1"/>
          <w:bCs/>
          <w:color w:val="000000"/>
          <w:sz w:val="24"/>
          <w:szCs w:val="24"/>
        </w:rPr>
        <w:t>Act 129</w:t>
      </w:r>
      <w:r w:rsidR="00A01DB2" w:rsidRPr="009A308C">
        <w:rPr>
          <w:rStyle w:val="st1"/>
          <w:sz w:val="24"/>
          <w:szCs w:val="24"/>
        </w:rPr>
        <w:t xml:space="preserve"> with an effective date of November 14, 2008.  </w:t>
      </w:r>
      <w:r w:rsidR="00A01DB2">
        <w:rPr>
          <w:rStyle w:val="st1"/>
          <w:sz w:val="24"/>
          <w:szCs w:val="24"/>
        </w:rPr>
        <w:t xml:space="preserve">Among other things, </w:t>
      </w:r>
      <w:r w:rsidRPr="00A01DB2">
        <w:rPr>
          <w:sz w:val="24"/>
          <w:szCs w:val="24"/>
        </w:rPr>
        <w:t>Act 129</w:t>
      </w:r>
      <w:r w:rsidR="00A01DB2">
        <w:rPr>
          <w:sz w:val="24"/>
          <w:szCs w:val="24"/>
        </w:rPr>
        <w:t xml:space="preserve"> required</w:t>
      </w:r>
      <w:r w:rsidR="00A01DB2" w:rsidRPr="00A01DB2">
        <w:rPr>
          <w:sz w:val="24"/>
          <w:szCs w:val="24"/>
        </w:rPr>
        <w:t xml:space="preserve"> Energy Efficiency &amp; Conservation (EE&amp;C) programs for the Commonwealth’s largest electric distribution companies (EDCs) and required </w:t>
      </w:r>
      <w:r w:rsidR="00A01DB2">
        <w:rPr>
          <w:sz w:val="24"/>
          <w:szCs w:val="24"/>
        </w:rPr>
        <w:t>that the Pennsylvania Public Utility Commission (PUC or Commission) evaluate the costs and benefits of the EE&amp;C programs by November 31, 2013.  Act 129 further directs that the Commission must</w:t>
      </w:r>
      <w:r w:rsidRPr="00A01DB2">
        <w:rPr>
          <w:sz w:val="24"/>
          <w:szCs w:val="24"/>
        </w:rPr>
        <w:t xml:space="preserve"> set new incremental consumption and peak demand reductions</w:t>
      </w:r>
      <w:r w:rsidR="006B307C" w:rsidRPr="00A01DB2">
        <w:rPr>
          <w:sz w:val="24"/>
          <w:szCs w:val="24"/>
        </w:rPr>
        <w:t>,</w:t>
      </w:r>
      <w:r w:rsidRPr="00A01DB2">
        <w:rPr>
          <w:sz w:val="24"/>
          <w:szCs w:val="24"/>
        </w:rPr>
        <w:t xml:space="preserve"> if the benefits of the Program and plans exceed the costs.</w:t>
      </w:r>
      <w:r w:rsidRPr="00A01DB2">
        <w:rPr>
          <w:rStyle w:val="FootnoteReference"/>
          <w:sz w:val="24"/>
          <w:szCs w:val="24"/>
        </w:rPr>
        <w:footnoteReference w:id="1"/>
      </w:r>
      <w:r w:rsidRPr="00A01DB2">
        <w:rPr>
          <w:sz w:val="24"/>
          <w:szCs w:val="24"/>
        </w:rPr>
        <w:t xml:space="preserve">  </w:t>
      </w:r>
      <w:r w:rsidR="00A01DB2">
        <w:rPr>
          <w:sz w:val="24"/>
          <w:szCs w:val="24"/>
        </w:rPr>
        <w:t>In accordance with these directives,</w:t>
      </w:r>
      <w:r w:rsidRPr="00A01DB2">
        <w:rPr>
          <w:sz w:val="24"/>
          <w:szCs w:val="24"/>
        </w:rPr>
        <w:t xml:space="preserve"> the Commission </w:t>
      </w:r>
      <w:r w:rsidR="00A01DB2">
        <w:rPr>
          <w:sz w:val="24"/>
          <w:szCs w:val="24"/>
        </w:rPr>
        <w:t>has begun</w:t>
      </w:r>
      <w:r w:rsidRPr="00A01DB2">
        <w:rPr>
          <w:sz w:val="24"/>
          <w:szCs w:val="24"/>
        </w:rPr>
        <w:t xml:space="preserve"> the process of evaluating the cost</w:t>
      </w:r>
      <w:r w:rsidR="00A42B51" w:rsidRPr="00A01DB2">
        <w:rPr>
          <w:sz w:val="24"/>
          <w:szCs w:val="24"/>
        </w:rPr>
        <w:t>-</w:t>
      </w:r>
      <w:r w:rsidRPr="00A01DB2">
        <w:rPr>
          <w:sz w:val="24"/>
          <w:szCs w:val="24"/>
        </w:rPr>
        <w:t>effectiveness of the EE&amp;C Program</w:t>
      </w:r>
      <w:r w:rsidR="00A01DB2">
        <w:rPr>
          <w:sz w:val="24"/>
          <w:szCs w:val="24"/>
        </w:rPr>
        <w:t>s</w:t>
      </w:r>
      <w:r w:rsidRPr="00A01DB2">
        <w:rPr>
          <w:sz w:val="24"/>
          <w:szCs w:val="24"/>
        </w:rPr>
        <w:t xml:space="preserve"> and determining whether additional incremental consumption and peak demand reduction targets </w:t>
      </w:r>
      <w:r w:rsidR="00A01DB2">
        <w:rPr>
          <w:sz w:val="24"/>
          <w:szCs w:val="24"/>
        </w:rPr>
        <w:t xml:space="preserve">will </w:t>
      </w:r>
      <w:r w:rsidRPr="00A01DB2">
        <w:rPr>
          <w:sz w:val="24"/>
          <w:szCs w:val="24"/>
        </w:rPr>
        <w:t xml:space="preserve"> be adopted and, if so, what those incremental reduction targets shall be.</w:t>
      </w:r>
    </w:p>
    <w:p w:rsidR="00710DBE" w:rsidRPr="00F1131E" w:rsidRDefault="00710DBE" w:rsidP="009A308C">
      <w:pPr>
        <w:jc w:val="both"/>
        <w:rPr>
          <w:sz w:val="24"/>
          <w:szCs w:val="24"/>
        </w:rPr>
      </w:pPr>
    </w:p>
    <w:p w:rsidR="00710DBE" w:rsidRPr="00EB3C30" w:rsidRDefault="00710DBE" w:rsidP="009A308C">
      <w:pPr>
        <w:jc w:val="both"/>
        <w:rPr>
          <w:sz w:val="24"/>
          <w:szCs w:val="24"/>
        </w:rPr>
      </w:pPr>
      <w:r w:rsidRPr="000D7109">
        <w:rPr>
          <w:sz w:val="24"/>
          <w:szCs w:val="24"/>
        </w:rPr>
        <w:tab/>
      </w:r>
      <w:r w:rsidR="00A01DB2">
        <w:rPr>
          <w:sz w:val="24"/>
          <w:szCs w:val="24"/>
        </w:rPr>
        <w:t>T</w:t>
      </w:r>
      <w:r w:rsidR="00BB79A9" w:rsidRPr="00A01DB2">
        <w:rPr>
          <w:sz w:val="24"/>
          <w:szCs w:val="24"/>
        </w:rPr>
        <w:t xml:space="preserve">he Commission </w:t>
      </w:r>
      <w:r w:rsidR="00A42B51" w:rsidRPr="00EE1D60">
        <w:rPr>
          <w:sz w:val="24"/>
          <w:szCs w:val="24"/>
        </w:rPr>
        <w:t>believes</w:t>
      </w:r>
      <w:r w:rsidR="00BB79A9" w:rsidRPr="00EE1D60">
        <w:rPr>
          <w:sz w:val="24"/>
          <w:szCs w:val="24"/>
        </w:rPr>
        <w:t xml:space="preserve"> that advance</w:t>
      </w:r>
      <w:r w:rsidR="00A42B51" w:rsidRPr="00EE1D60">
        <w:rPr>
          <w:sz w:val="24"/>
          <w:szCs w:val="24"/>
        </w:rPr>
        <w:t>d</w:t>
      </w:r>
      <w:r w:rsidR="00BB79A9" w:rsidRPr="00EE1D60">
        <w:rPr>
          <w:sz w:val="24"/>
          <w:szCs w:val="24"/>
        </w:rPr>
        <w:t xml:space="preserve"> planning will enable a smooth and coordinated transition from </w:t>
      </w:r>
      <w:r w:rsidR="00A42B51" w:rsidRPr="00EB3C30">
        <w:rPr>
          <w:sz w:val="24"/>
          <w:szCs w:val="24"/>
        </w:rPr>
        <w:t>the Programs</w:t>
      </w:r>
      <w:r w:rsidR="00EE1D60">
        <w:rPr>
          <w:sz w:val="24"/>
          <w:szCs w:val="24"/>
        </w:rPr>
        <w:t>’</w:t>
      </w:r>
      <w:r w:rsidR="00A42B51" w:rsidRPr="00EE1D60">
        <w:rPr>
          <w:sz w:val="24"/>
          <w:szCs w:val="24"/>
        </w:rPr>
        <w:t xml:space="preserve"> initial phase </w:t>
      </w:r>
      <w:r w:rsidR="00BB79A9" w:rsidRPr="00EE1D60">
        <w:rPr>
          <w:sz w:val="24"/>
          <w:szCs w:val="24"/>
        </w:rPr>
        <w:t xml:space="preserve">to </w:t>
      </w:r>
      <w:r w:rsidR="00EB3C30">
        <w:rPr>
          <w:sz w:val="24"/>
          <w:szCs w:val="24"/>
        </w:rPr>
        <w:t>a possible second phase and will also minimize any harmful or disruptive breaks between programs, should the Commission set additional consumption and peak load reductions.</w:t>
      </w:r>
      <w:r w:rsidR="00BB79A9" w:rsidRPr="00EB3C30">
        <w:rPr>
          <w:sz w:val="24"/>
          <w:szCs w:val="24"/>
        </w:rPr>
        <w:t xml:space="preserve">  At the same time, the Commission </w:t>
      </w:r>
      <w:r w:rsidR="00EB3C30">
        <w:rPr>
          <w:sz w:val="24"/>
          <w:szCs w:val="24"/>
        </w:rPr>
        <w:t>is interested in</w:t>
      </w:r>
      <w:r w:rsidR="00BB79A9" w:rsidRPr="00EB3C30">
        <w:rPr>
          <w:sz w:val="24"/>
          <w:szCs w:val="24"/>
        </w:rPr>
        <w:t xml:space="preserve"> leverag</w:t>
      </w:r>
      <w:r w:rsidR="00EB3C30">
        <w:rPr>
          <w:sz w:val="24"/>
          <w:szCs w:val="24"/>
        </w:rPr>
        <w:t>ing</w:t>
      </w:r>
      <w:r w:rsidR="00BB79A9" w:rsidRPr="00EB3C30">
        <w:rPr>
          <w:sz w:val="24"/>
          <w:szCs w:val="24"/>
        </w:rPr>
        <w:t xml:space="preserve"> the knowledge and experience gained </w:t>
      </w:r>
      <w:r w:rsidR="00A42B51" w:rsidRPr="00EB3C30">
        <w:rPr>
          <w:sz w:val="24"/>
          <w:szCs w:val="24"/>
        </w:rPr>
        <w:t>to</w:t>
      </w:r>
      <w:r w:rsidR="006B307C" w:rsidRPr="00EB3C30">
        <w:rPr>
          <w:sz w:val="24"/>
          <w:szCs w:val="24"/>
        </w:rPr>
        <w:t>-</w:t>
      </w:r>
      <w:r w:rsidR="00A42B51" w:rsidRPr="00EB3C30">
        <w:rPr>
          <w:sz w:val="24"/>
          <w:szCs w:val="24"/>
        </w:rPr>
        <w:t>date</w:t>
      </w:r>
      <w:r w:rsidR="00BB79A9" w:rsidRPr="00EB3C30">
        <w:rPr>
          <w:sz w:val="24"/>
          <w:szCs w:val="24"/>
        </w:rPr>
        <w:t xml:space="preserve"> to improve </w:t>
      </w:r>
      <w:r w:rsidR="00EB3C30">
        <w:rPr>
          <w:sz w:val="24"/>
          <w:szCs w:val="24"/>
        </w:rPr>
        <w:t>any future</w:t>
      </w:r>
      <w:r w:rsidR="00BB79A9" w:rsidRPr="00EB3C30">
        <w:rPr>
          <w:sz w:val="24"/>
          <w:szCs w:val="24"/>
        </w:rPr>
        <w:t xml:space="preserve"> </w:t>
      </w:r>
      <w:r w:rsidR="00A42B51" w:rsidRPr="00EB3C30">
        <w:rPr>
          <w:sz w:val="24"/>
          <w:szCs w:val="24"/>
        </w:rPr>
        <w:t>EE&amp;C</w:t>
      </w:r>
      <w:r w:rsidR="00BB79A9" w:rsidRPr="00EB3C30">
        <w:rPr>
          <w:sz w:val="24"/>
          <w:szCs w:val="24"/>
        </w:rPr>
        <w:t xml:space="preserve"> Program</w:t>
      </w:r>
      <w:r w:rsidR="00EB3C30">
        <w:rPr>
          <w:sz w:val="24"/>
          <w:szCs w:val="24"/>
        </w:rPr>
        <w:t>s</w:t>
      </w:r>
      <w:r w:rsidR="006B307C" w:rsidRPr="00EB3C30">
        <w:rPr>
          <w:sz w:val="24"/>
          <w:szCs w:val="24"/>
        </w:rPr>
        <w:t>, in order to</w:t>
      </w:r>
      <w:r w:rsidR="00BB79A9" w:rsidRPr="00EB3C30">
        <w:rPr>
          <w:sz w:val="24"/>
          <w:szCs w:val="24"/>
        </w:rPr>
        <w:t xml:space="preserve"> </w:t>
      </w:r>
      <w:r w:rsidR="00A72D60" w:rsidRPr="00EB3C30">
        <w:rPr>
          <w:sz w:val="24"/>
          <w:szCs w:val="24"/>
        </w:rPr>
        <w:t xml:space="preserve"> maximize ratepayer benefits</w:t>
      </w:r>
      <w:r w:rsidR="00BB79A9" w:rsidRPr="00EB3C30">
        <w:rPr>
          <w:sz w:val="24"/>
          <w:szCs w:val="24"/>
        </w:rPr>
        <w:t>.</w:t>
      </w:r>
    </w:p>
    <w:p w:rsidR="00710DBE" w:rsidRPr="00F1131E" w:rsidRDefault="00710DBE" w:rsidP="009A308C">
      <w:pPr>
        <w:jc w:val="both"/>
        <w:rPr>
          <w:sz w:val="24"/>
          <w:szCs w:val="24"/>
        </w:rPr>
      </w:pPr>
    </w:p>
    <w:p w:rsidR="00710DBE" w:rsidRPr="009F6C04" w:rsidRDefault="00710DBE" w:rsidP="009A308C">
      <w:pPr>
        <w:jc w:val="both"/>
        <w:rPr>
          <w:sz w:val="24"/>
          <w:szCs w:val="24"/>
        </w:rPr>
      </w:pPr>
      <w:r w:rsidRPr="000D7109">
        <w:rPr>
          <w:sz w:val="24"/>
          <w:szCs w:val="24"/>
        </w:rPr>
        <w:tab/>
        <w:t>With this Secretarial Letter</w:t>
      </w:r>
      <w:r w:rsidR="006B307C" w:rsidRPr="00F309A9">
        <w:rPr>
          <w:sz w:val="24"/>
          <w:szCs w:val="24"/>
        </w:rPr>
        <w:t>,</w:t>
      </w:r>
      <w:r w:rsidRPr="003B35CF">
        <w:rPr>
          <w:sz w:val="24"/>
          <w:szCs w:val="24"/>
        </w:rPr>
        <w:t xml:space="preserve"> we seek comments on </w:t>
      </w:r>
      <w:r w:rsidR="00EB3C30">
        <w:rPr>
          <w:sz w:val="24"/>
          <w:szCs w:val="24"/>
        </w:rPr>
        <w:t>a number of</w:t>
      </w:r>
      <w:r w:rsidRPr="00EB3C30">
        <w:rPr>
          <w:sz w:val="24"/>
          <w:szCs w:val="24"/>
        </w:rPr>
        <w:t xml:space="preserve"> important topics that will be instrumental in designing and implementing </w:t>
      </w:r>
      <w:r w:rsidR="00EB3C30">
        <w:rPr>
          <w:sz w:val="24"/>
          <w:szCs w:val="24"/>
        </w:rPr>
        <w:t>any future</w:t>
      </w:r>
      <w:r w:rsidRPr="00EB3C30">
        <w:rPr>
          <w:sz w:val="24"/>
          <w:szCs w:val="24"/>
        </w:rPr>
        <w:t xml:space="preserve"> phase of EE&amp;C Program</w:t>
      </w:r>
      <w:r w:rsidR="00EB3C30">
        <w:rPr>
          <w:sz w:val="24"/>
          <w:szCs w:val="24"/>
        </w:rPr>
        <w:t>s</w:t>
      </w:r>
      <w:r w:rsidR="003B35CF">
        <w:rPr>
          <w:sz w:val="24"/>
          <w:szCs w:val="24"/>
        </w:rPr>
        <w:t>.</w:t>
      </w:r>
      <w:r w:rsidRPr="00EB3C30">
        <w:rPr>
          <w:sz w:val="24"/>
          <w:szCs w:val="24"/>
        </w:rPr>
        <w:t xml:space="preserve">  </w:t>
      </w:r>
      <w:r w:rsidR="00EB3C30">
        <w:rPr>
          <w:sz w:val="24"/>
          <w:szCs w:val="24"/>
        </w:rPr>
        <w:t>In addition, t</w:t>
      </w:r>
      <w:r w:rsidRPr="00EB3C30">
        <w:rPr>
          <w:sz w:val="24"/>
          <w:szCs w:val="24"/>
        </w:rPr>
        <w:t xml:space="preserve">he Commission will be holding a stakeholder meeting </w:t>
      </w:r>
      <w:r w:rsidR="00A42B51" w:rsidRPr="00EB3C30">
        <w:rPr>
          <w:sz w:val="24"/>
          <w:szCs w:val="24"/>
        </w:rPr>
        <w:t>on March 16, 2012</w:t>
      </w:r>
      <w:r w:rsidR="006B307C" w:rsidRPr="00EB3C30">
        <w:rPr>
          <w:sz w:val="24"/>
          <w:szCs w:val="24"/>
        </w:rPr>
        <w:t>,</w:t>
      </w:r>
      <w:r w:rsidR="00A42B51" w:rsidRPr="00EB3C30">
        <w:rPr>
          <w:sz w:val="24"/>
          <w:szCs w:val="24"/>
        </w:rPr>
        <w:t xml:space="preserve"> from 9 A.M. until Noon in H</w:t>
      </w:r>
      <w:r w:rsidR="002B618E" w:rsidRPr="00EB3C30">
        <w:rPr>
          <w:sz w:val="24"/>
          <w:szCs w:val="24"/>
        </w:rPr>
        <w:t>e</w:t>
      </w:r>
      <w:r w:rsidR="00A42B51" w:rsidRPr="00EB3C30">
        <w:rPr>
          <w:sz w:val="24"/>
          <w:szCs w:val="24"/>
        </w:rPr>
        <w:t xml:space="preserve">aring Room 1, second floor of the </w:t>
      </w:r>
      <w:r w:rsidR="0095434D" w:rsidRPr="00EB3C30">
        <w:rPr>
          <w:sz w:val="24"/>
          <w:szCs w:val="24"/>
        </w:rPr>
        <w:t xml:space="preserve">Commonwealth Keystone Building, </w:t>
      </w:r>
      <w:r w:rsidR="006B307C" w:rsidRPr="00EB3C30">
        <w:rPr>
          <w:sz w:val="24"/>
          <w:szCs w:val="24"/>
        </w:rPr>
        <w:t>i</w:t>
      </w:r>
      <w:r w:rsidR="0095434D" w:rsidRPr="00EB3C30">
        <w:rPr>
          <w:sz w:val="24"/>
          <w:szCs w:val="24"/>
        </w:rPr>
        <w:t>n Harrisburg</w:t>
      </w:r>
      <w:r w:rsidR="00C12EFD" w:rsidRPr="00EB3C30">
        <w:rPr>
          <w:sz w:val="24"/>
          <w:szCs w:val="24"/>
        </w:rPr>
        <w:t>,</w:t>
      </w:r>
      <w:r w:rsidR="0095434D" w:rsidRPr="00EB3C30">
        <w:rPr>
          <w:sz w:val="24"/>
          <w:szCs w:val="24"/>
        </w:rPr>
        <w:t xml:space="preserve"> Pennsylvania.  This meeting will provide interested parties an opportunity </w:t>
      </w:r>
      <w:r w:rsidRPr="00EB3C30">
        <w:rPr>
          <w:sz w:val="24"/>
          <w:szCs w:val="24"/>
        </w:rPr>
        <w:t>to identify additional issues and concerns</w:t>
      </w:r>
      <w:r w:rsidR="009F6C04">
        <w:rPr>
          <w:sz w:val="24"/>
          <w:szCs w:val="24"/>
        </w:rPr>
        <w:t xml:space="preserve"> regarding the design of any future EE&amp;C programs</w:t>
      </w:r>
      <w:r w:rsidRPr="00EB3C30">
        <w:rPr>
          <w:sz w:val="24"/>
          <w:szCs w:val="24"/>
        </w:rPr>
        <w:t xml:space="preserve"> and to address any questions regarding the </w:t>
      </w:r>
      <w:r w:rsidR="00A42B51" w:rsidRPr="009F6C04">
        <w:rPr>
          <w:sz w:val="24"/>
          <w:szCs w:val="24"/>
        </w:rPr>
        <w:t>topics and issues</w:t>
      </w:r>
      <w:r w:rsidRPr="009F6C04">
        <w:rPr>
          <w:sz w:val="24"/>
          <w:szCs w:val="24"/>
        </w:rPr>
        <w:t xml:space="preserve"> presented in this Secretarial Letter.  </w:t>
      </w:r>
      <w:r w:rsidR="009F6C04">
        <w:rPr>
          <w:sz w:val="24"/>
          <w:szCs w:val="24"/>
        </w:rPr>
        <w:t>Further</w:t>
      </w:r>
      <w:r w:rsidRPr="009F6C04">
        <w:rPr>
          <w:sz w:val="24"/>
          <w:szCs w:val="24"/>
        </w:rPr>
        <w:t>, the Commission anticipates releasing a market potential study</w:t>
      </w:r>
      <w:r w:rsidR="006B307C" w:rsidRPr="009F6C04">
        <w:rPr>
          <w:sz w:val="24"/>
          <w:szCs w:val="24"/>
        </w:rPr>
        <w:t>,</w:t>
      </w:r>
      <w:r w:rsidRPr="009F6C04">
        <w:rPr>
          <w:sz w:val="24"/>
          <w:szCs w:val="24"/>
        </w:rPr>
        <w:t xml:space="preserve"> conducted by the Statewide Evaluator</w:t>
      </w:r>
      <w:r w:rsidR="006B307C" w:rsidRPr="009F6C04">
        <w:rPr>
          <w:sz w:val="24"/>
          <w:szCs w:val="24"/>
        </w:rPr>
        <w:t>,</w:t>
      </w:r>
      <w:r w:rsidRPr="009F6C04">
        <w:rPr>
          <w:sz w:val="24"/>
          <w:szCs w:val="24"/>
        </w:rPr>
        <w:t xml:space="preserve"> in the near future to inform the Commission and all interested parties of the energy savings potential </w:t>
      </w:r>
      <w:r w:rsidR="0095434D" w:rsidRPr="009F6C04">
        <w:rPr>
          <w:sz w:val="24"/>
          <w:szCs w:val="24"/>
        </w:rPr>
        <w:t>remaining in the large EDCs’ service territories</w:t>
      </w:r>
      <w:r w:rsidRPr="009F6C04">
        <w:rPr>
          <w:sz w:val="24"/>
          <w:szCs w:val="24"/>
        </w:rPr>
        <w:t xml:space="preserve">.  </w:t>
      </w:r>
      <w:r w:rsidR="009F6C04">
        <w:rPr>
          <w:sz w:val="24"/>
          <w:szCs w:val="24"/>
        </w:rPr>
        <w:t>Finally, in May,  t</w:t>
      </w:r>
      <w:r w:rsidRPr="009F6C04">
        <w:rPr>
          <w:sz w:val="24"/>
          <w:szCs w:val="24"/>
        </w:rPr>
        <w:t xml:space="preserve">he Commission </w:t>
      </w:r>
      <w:r w:rsidR="009F6C04">
        <w:rPr>
          <w:sz w:val="24"/>
          <w:szCs w:val="24"/>
        </w:rPr>
        <w:t>expects</w:t>
      </w:r>
      <w:r w:rsidRPr="009F6C04">
        <w:rPr>
          <w:sz w:val="24"/>
          <w:szCs w:val="24"/>
        </w:rPr>
        <w:t xml:space="preserve"> </w:t>
      </w:r>
      <w:r w:rsidR="009F6C04">
        <w:rPr>
          <w:sz w:val="24"/>
          <w:szCs w:val="24"/>
        </w:rPr>
        <w:t xml:space="preserve">to </w:t>
      </w:r>
      <w:r w:rsidRPr="009F6C04">
        <w:rPr>
          <w:sz w:val="24"/>
          <w:szCs w:val="24"/>
        </w:rPr>
        <w:t>releas</w:t>
      </w:r>
      <w:r w:rsidR="009F6C04">
        <w:rPr>
          <w:sz w:val="24"/>
          <w:szCs w:val="24"/>
        </w:rPr>
        <w:t>e</w:t>
      </w:r>
      <w:r w:rsidRPr="009F6C04">
        <w:rPr>
          <w:sz w:val="24"/>
          <w:szCs w:val="24"/>
        </w:rPr>
        <w:t xml:space="preserve"> a </w:t>
      </w:r>
      <w:r w:rsidR="009F6C04">
        <w:rPr>
          <w:sz w:val="24"/>
          <w:szCs w:val="24"/>
        </w:rPr>
        <w:t>T</w:t>
      </w:r>
      <w:r w:rsidR="0095434D" w:rsidRPr="009F6C04">
        <w:rPr>
          <w:sz w:val="24"/>
          <w:szCs w:val="24"/>
        </w:rPr>
        <w:t xml:space="preserve">entative </w:t>
      </w:r>
      <w:r w:rsidR="009F6C04">
        <w:rPr>
          <w:sz w:val="24"/>
          <w:szCs w:val="24"/>
        </w:rPr>
        <w:t>I</w:t>
      </w:r>
      <w:r w:rsidRPr="009F6C04">
        <w:rPr>
          <w:sz w:val="24"/>
          <w:szCs w:val="24"/>
        </w:rPr>
        <w:t xml:space="preserve">mplementation </w:t>
      </w:r>
      <w:r w:rsidR="009F6C04">
        <w:rPr>
          <w:sz w:val="24"/>
          <w:szCs w:val="24"/>
        </w:rPr>
        <w:t>O</w:t>
      </w:r>
      <w:r w:rsidRPr="009F6C04">
        <w:rPr>
          <w:sz w:val="24"/>
          <w:szCs w:val="24"/>
        </w:rPr>
        <w:t xml:space="preserve">rder that will propose, among other things, any </w:t>
      </w:r>
      <w:r w:rsidR="009F6C04">
        <w:rPr>
          <w:sz w:val="24"/>
          <w:szCs w:val="24"/>
        </w:rPr>
        <w:t>future</w:t>
      </w:r>
      <w:r w:rsidRPr="009F6C04">
        <w:rPr>
          <w:sz w:val="24"/>
          <w:szCs w:val="24"/>
        </w:rPr>
        <w:t xml:space="preserve"> incremental consumption and peak demand reduction targets and guidelines for </w:t>
      </w:r>
      <w:r w:rsidR="009F6C04">
        <w:rPr>
          <w:sz w:val="24"/>
          <w:szCs w:val="24"/>
        </w:rPr>
        <w:t>future</w:t>
      </w:r>
      <w:r w:rsidR="003B35CF">
        <w:rPr>
          <w:sz w:val="24"/>
          <w:szCs w:val="24"/>
        </w:rPr>
        <w:t xml:space="preserve"> </w:t>
      </w:r>
      <w:r w:rsidRPr="009F6C04">
        <w:rPr>
          <w:sz w:val="24"/>
          <w:szCs w:val="24"/>
        </w:rPr>
        <w:t>EE&amp;C plans</w:t>
      </w:r>
      <w:r w:rsidR="009F6C04">
        <w:rPr>
          <w:sz w:val="24"/>
          <w:szCs w:val="24"/>
        </w:rPr>
        <w:t>, if required</w:t>
      </w:r>
      <w:r w:rsidRPr="009F6C04">
        <w:rPr>
          <w:sz w:val="24"/>
          <w:szCs w:val="24"/>
        </w:rPr>
        <w:t>.</w:t>
      </w:r>
    </w:p>
    <w:p w:rsidR="00710DBE" w:rsidRPr="00F1131E" w:rsidRDefault="00710DBE" w:rsidP="009A308C">
      <w:pPr>
        <w:jc w:val="both"/>
        <w:rPr>
          <w:sz w:val="24"/>
          <w:szCs w:val="24"/>
        </w:rPr>
      </w:pPr>
    </w:p>
    <w:p w:rsidR="00710DBE" w:rsidRPr="00A01DB2" w:rsidRDefault="00710DBE" w:rsidP="009A308C">
      <w:pPr>
        <w:jc w:val="both"/>
        <w:rPr>
          <w:sz w:val="24"/>
          <w:szCs w:val="24"/>
        </w:rPr>
      </w:pPr>
      <w:r w:rsidRPr="000D7109">
        <w:rPr>
          <w:sz w:val="24"/>
          <w:szCs w:val="24"/>
        </w:rPr>
        <w:lastRenderedPageBreak/>
        <w:tab/>
        <w:t>Below are specific issues and topics for which we see</w:t>
      </w:r>
      <w:r w:rsidRPr="00F309A9">
        <w:rPr>
          <w:sz w:val="24"/>
          <w:szCs w:val="24"/>
        </w:rPr>
        <w:t>k comments.</w:t>
      </w:r>
      <w:r w:rsidR="00CE1EAB" w:rsidRPr="003B35CF">
        <w:rPr>
          <w:sz w:val="24"/>
          <w:szCs w:val="24"/>
        </w:rPr>
        <w:t xml:space="preserve">  We welcome comments on other issues and topics not discussed below.</w:t>
      </w:r>
    </w:p>
    <w:p w:rsidR="00710DBE" w:rsidRDefault="00710DBE" w:rsidP="00710DBE">
      <w:pPr>
        <w:rPr>
          <w:sz w:val="24"/>
          <w:szCs w:val="24"/>
        </w:rPr>
      </w:pPr>
    </w:p>
    <w:p w:rsidR="003B35CF" w:rsidRPr="00A01DB2" w:rsidRDefault="003B35CF" w:rsidP="00710DBE">
      <w:pPr>
        <w:rPr>
          <w:sz w:val="24"/>
          <w:szCs w:val="24"/>
        </w:rPr>
      </w:pPr>
    </w:p>
    <w:p w:rsidR="00BB79A9" w:rsidRPr="00A01DB2" w:rsidRDefault="00BB79A9" w:rsidP="00710DBE">
      <w:pPr>
        <w:pStyle w:val="ListParagraph"/>
        <w:numPr>
          <w:ilvl w:val="0"/>
          <w:numId w:val="13"/>
        </w:numPr>
        <w:rPr>
          <w:b/>
          <w:sz w:val="24"/>
          <w:szCs w:val="24"/>
          <w:u w:val="single"/>
        </w:rPr>
      </w:pPr>
      <w:r w:rsidRPr="00A01DB2">
        <w:rPr>
          <w:b/>
          <w:sz w:val="24"/>
          <w:szCs w:val="24"/>
          <w:u w:val="single"/>
        </w:rPr>
        <w:t>Planning Timeline</w:t>
      </w:r>
    </w:p>
    <w:p w:rsidR="00BB79A9" w:rsidRPr="00A01DB2" w:rsidRDefault="00BB79A9" w:rsidP="00BB79A9">
      <w:pPr>
        <w:rPr>
          <w:b/>
          <w:sz w:val="24"/>
          <w:szCs w:val="24"/>
          <w:u w:val="single"/>
        </w:rPr>
      </w:pPr>
    </w:p>
    <w:p w:rsidR="00BB79A9" w:rsidRPr="00A01DB2" w:rsidRDefault="00BB79A9" w:rsidP="00EB2540">
      <w:pPr>
        <w:spacing w:after="120"/>
        <w:ind w:left="720"/>
        <w:rPr>
          <w:sz w:val="24"/>
          <w:szCs w:val="24"/>
        </w:rPr>
      </w:pPr>
      <w:r w:rsidRPr="00A01DB2">
        <w:rPr>
          <w:sz w:val="24"/>
          <w:szCs w:val="24"/>
        </w:rPr>
        <w:t xml:space="preserve">The Commission is </w:t>
      </w:r>
      <w:r w:rsidR="0095434D" w:rsidRPr="00A01DB2">
        <w:rPr>
          <w:sz w:val="24"/>
          <w:szCs w:val="24"/>
        </w:rPr>
        <w:t xml:space="preserve">proposing the following </w:t>
      </w:r>
      <w:r w:rsidRPr="00A01DB2">
        <w:rPr>
          <w:sz w:val="24"/>
          <w:szCs w:val="24"/>
        </w:rPr>
        <w:t>timeline for consideration and comment:</w:t>
      </w:r>
    </w:p>
    <w:tbl>
      <w:tblPr>
        <w:tblStyle w:val="TableGrid"/>
        <w:tblW w:w="0" w:type="auto"/>
        <w:jc w:val="center"/>
        <w:tblLook w:val="04A0" w:firstRow="1" w:lastRow="0" w:firstColumn="1" w:lastColumn="0" w:noHBand="0" w:noVBand="1"/>
      </w:tblPr>
      <w:tblGrid>
        <w:gridCol w:w="2129"/>
        <w:gridCol w:w="4788"/>
      </w:tblGrid>
      <w:tr w:rsidR="00BB79A9" w:rsidRPr="00A01DB2" w:rsidTr="00A01DB2">
        <w:trPr>
          <w:jc w:val="center"/>
        </w:trPr>
        <w:tc>
          <w:tcPr>
            <w:tcW w:w="2129" w:type="dxa"/>
            <w:tcBorders>
              <w:bottom w:val="nil"/>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March 1, 2012</w:t>
            </w:r>
          </w:p>
        </w:tc>
        <w:tc>
          <w:tcPr>
            <w:tcW w:w="4788" w:type="dxa"/>
            <w:tcBorders>
              <w:bottom w:val="nil"/>
            </w:tcBorders>
          </w:tcPr>
          <w:p w:rsidR="00BB79A9" w:rsidRPr="004B7A97" w:rsidRDefault="00BB79A9" w:rsidP="00BB79A9">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Release of Secretarial Letter seeking comments on </w:t>
            </w:r>
            <w:r w:rsidR="009F6C04" w:rsidRPr="004B7A97">
              <w:rPr>
                <w:rFonts w:ascii="Times New Roman" w:hAnsi="Times New Roman" w:cs="Times New Roman"/>
                <w:sz w:val="24"/>
                <w:szCs w:val="24"/>
              </w:rPr>
              <w:t>future EE&amp;C</w:t>
            </w:r>
            <w:r w:rsidRPr="004B7A97">
              <w:rPr>
                <w:rFonts w:ascii="Times New Roman" w:hAnsi="Times New Roman" w:cs="Times New Roman"/>
                <w:sz w:val="24"/>
                <w:szCs w:val="24"/>
              </w:rPr>
              <w:t xml:space="preserve"> planning issues</w:t>
            </w:r>
          </w:p>
        </w:tc>
      </w:tr>
      <w:tr w:rsidR="00BB79A9" w:rsidRPr="00A01DB2" w:rsidTr="00A01DB2">
        <w:trPr>
          <w:jc w:val="center"/>
        </w:trPr>
        <w:tc>
          <w:tcPr>
            <w:tcW w:w="2129" w:type="dxa"/>
            <w:tcBorders>
              <w:top w:val="nil"/>
              <w:bottom w:val="nil"/>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March 16, 2012</w:t>
            </w:r>
          </w:p>
        </w:tc>
        <w:tc>
          <w:tcPr>
            <w:tcW w:w="4788" w:type="dxa"/>
            <w:tcBorders>
              <w:top w:val="nil"/>
              <w:bottom w:val="nil"/>
            </w:tcBorders>
          </w:tcPr>
          <w:p w:rsidR="00BB79A9" w:rsidRPr="004B7A97" w:rsidRDefault="00BB79A9" w:rsidP="001A4102">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Commission stakeholder meeting</w:t>
            </w:r>
          </w:p>
        </w:tc>
      </w:tr>
      <w:tr w:rsidR="00BB79A9" w:rsidRPr="00A01DB2" w:rsidTr="00A01DB2">
        <w:trPr>
          <w:jc w:val="center"/>
        </w:trPr>
        <w:tc>
          <w:tcPr>
            <w:tcW w:w="2129" w:type="dxa"/>
            <w:tcBorders>
              <w:top w:val="nil"/>
              <w:bottom w:val="single" w:sz="4" w:space="0" w:color="auto"/>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April 17, 2012</w:t>
            </w:r>
          </w:p>
        </w:tc>
        <w:tc>
          <w:tcPr>
            <w:tcW w:w="4788" w:type="dxa"/>
            <w:tcBorders>
              <w:top w:val="nil"/>
              <w:bottom w:val="single" w:sz="4" w:space="0" w:color="auto"/>
            </w:tcBorders>
          </w:tcPr>
          <w:p w:rsidR="00BB79A9" w:rsidRPr="004B7A97" w:rsidRDefault="00BB79A9" w:rsidP="00BB79A9">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Secretarial Letter </w:t>
            </w:r>
            <w:r w:rsidR="0095434D" w:rsidRPr="004B7A97">
              <w:rPr>
                <w:rFonts w:ascii="Times New Roman" w:hAnsi="Times New Roman" w:cs="Times New Roman"/>
                <w:sz w:val="24"/>
                <w:szCs w:val="24"/>
              </w:rPr>
              <w:t xml:space="preserve">Comment </w:t>
            </w:r>
            <w:r w:rsidRPr="004B7A97">
              <w:rPr>
                <w:rFonts w:ascii="Times New Roman" w:hAnsi="Times New Roman" w:cs="Times New Roman"/>
                <w:sz w:val="24"/>
                <w:szCs w:val="24"/>
              </w:rPr>
              <w:t>due</w:t>
            </w:r>
            <w:r w:rsidR="0095434D" w:rsidRPr="004B7A97">
              <w:rPr>
                <w:rFonts w:ascii="Times New Roman" w:hAnsi="Times New Roman" w:cs="Times New Roman"/>
                <w:sz w:val="24"/>
                <w:szCs w:val="24"/>
              </w:rPr>
              <w:t xml:space="preserve"> date</w:t>
            </w:r>
          </w:p>
        </w:tc>
      </w:tr>
      <w:tr w:rsidR="00BB79A9" w:rsidRPr="00A01DB2" w:rsidTr="00A01DB2">
        <w:trPr>
          <w:jc w:val="center"/>
        </w:trPr>
        <w:tc>
          <w:tcPr>
            <w:tcW w:w="2129" w:type="dxa"/>
            <w:tcBorders>
              <w:top w:val="single" w:sz="4" w:space="0" w:color="auto"/>
              <w:bottom w:val="nil"/>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May 10, 2012</w:t>
            </w:r>
          </w:p>
        </w:tc>
        <w:tc>
          <w:tcPr>
            <w:tcW w:w="4788" w:type="dxa"/>
            <w:tcBorders>
              <w:top w:val="single" w:sz="4" w:space="0" w:color="auto"/>
              <w:bottom w:val="nil"/>
            </w:tcBorders>
          </w:tcPr>
          <w:p w:rsidR="00BB79A9" w:rsidRPr="004B7A97" w:rsidRDefault="00BB79A9" w:rsidP="00BB79A9">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Tentative Implementation Order </w:t>
            </w:r>
            <w:r w:rsidR="00307364" w:rsidRPr="004B7A97">
              <w:rPr>
                <w:rFonts w:ascii="Times New Roman" w:hAnsi="Times New Roman" w:cs="Times New Roman"/>
                <w:sz w:val="24"/>
                <w:szCs w:val="24"/>
              </w:rPr>
              <w:t>on Public Meeting agenda</w:t>
            </w:r>
          </w:p>
          <w:p w:rsidR="00BB79A9" w:rsidRPr="004B7A97" w:rsidRDefault="0095434D" w:rsidP="00BB79A9">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Release of</w:t>
            </w:r>
            <w:r w:rsidR="00BB79A9" w:rsidRPr="004B7A97">
              <w:rPr>
                <w:rFonts w:ascii="Times New Roman" w:hAnsi="Times New Roman" w:cs="Times New Roman"/>
                <w:sz w:val="24"/>
                <w:szCs w:val="24"/>
              </w:rPr>
              <w:t xml:space="preserve"> Statewide Evaluator’s Pennsylvania Electricity Baseline Study Results</w:t>
            </w:r>
          </w:p>
          <w:p w:rsidR="00BB79A9" w:rsidRPr="004B7A97" w:rsidRDefault="0095434D" w:rsidP="00BB79A9">
            <w:pPr>
              <w:pStyle w:val="ListParagraph"/>
              <w:numPr>
                <w:ilvl w:val="0"/>
                <w:numId w:val="14"/>
              </w:numPr>
              <w:ind w:left="252" w:hanging="180"/>
              <w:rPr>
                <w:rFonts w:ascii="Times New Roman" w:hAnsi="Times New Roman" w:cs="Times New Roman"/>
                <w:sz w:val="24"/>
                <w:szCs w:val="24"/>
              </w:rPr>
            </w:pPr>
            <w:r w:rsidRPr="004B7A97">
              <w:rPr>
                <w:rFonts w:ascii="Times New Roman" w:hAnsi="Times New Roman" w:cs="Times New Roman"/>
                <w:sz w:val="24"/>
                <w:szCs w:val="24"/>
              </w:rPr>
              <w:t>Release of</w:t>
            </w:r>
            <w:r w:rsidR="00BB79A9" w:rsidRPr="004B7A97">
              <w:rPr>
                <w:rFonts w:ascii="Times New Roman" w:hAnsi="Times New Roman" w:cs="Times New Roman"/>
                <w:sz w:val="24"/>
                <w:szCs w:val="24"/>
              </w:rPr>
              <w:t xml:space="preserve"> Statewide Evaluator’s Pennsylvania Electricity Market Potential Study Results</w:t>
            </w:r>
          </w:p>
        </w:tc>
      </w:tr>
      <w:tr w:rsidR="00BB79A9" w:rsidRPr="00A01DB2" w:rsidTr="00A01DB2">
        <w:trPr>
          <w:jc w:val="center"/>
        </w:trPr>
        <w:tc>
          <w:tcPr>
            <w:tcW w:w="2129" w:type="dxa"/>
            <w:tcBorders>
              <w:top w:val="nil"/>
              <w:bottom w:val="nil"/>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June 25, 2012</w:t>
            </w:r>
          </w:p>
        </w:tc>
        <w:tc>
          <w:tcPr>
            <w:tcW w:w="4788" w:type="dxa"/>
            <w:tcBorders>
              <w:top w:val="nil"/>
              <w:bottom w:val="nil"/>
            </w:tcBorders>
          </w:tcPr>
          <w:p w:rsidR="00BB79A9" w:rsidRPr="004B7A97" w:rsidRDefault="00BB79A9" w:rsidP="00BB79A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Tentative Implementation Order </w:t>
            </w:r>
            <w:r w:rsidR="0095434D" w:rsidRPr="004B7A97">
              <w:rPr>
                <w:rFonts w:ascii="Times New Roman" w:hAnsi="Times New Roman" w:cs="Times New Roman"/>
                <w:sz w:val="24"/>
                <w:szCs w:val="24"/>
              </w:rPr>
              <w:t xml:space="preserve">Comment </w:t>
            </w:r>
            <w:r w:rsidRPr="004B7A97">
              <w:rPr>
                <w:rFonts w:ascii="Times New Roman" w:hAnsi="Times New Roman" w:cs="Times New Roman"/>
                <w:sz w:val="24"/>
                <w:szCs w:val="24"/>
              </w:rPr>
              <w:t>due</w:t>
            </w:r>
            <w:r w:rsidR="0095434D" w:rsidRPr="004B7A97">
              <w:rPr>
                <w:rFonts w:ascii="Times New Roman" w:hAnsi="Times New Roman" w:cs="Times New Roman"/>
                <w:sz w:val="24"/>
                <w:szCs w:val="24"/>
              </w:rPr>
              <w:t xml:space="preserve"> date</w:t>
            </w:r>
          </w:p>
        </w:tc>
      </w:tr>
      <w:tr w:rsidR="00BB79A9" w:rsidRPr="00A01DB2" w:rsidTr="00A01DB2">
        <w:trPr>
          <w:jc w:val="center"/>
        </w:trPr>
        <w:tc>
          <w:tcPr>
            <w:tcW w:w="2129" w:type="dxa"/>
            <w:tcBorders>
              <w:top w:val="nil"/>
            </w:tcBorders>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July 6, 2012</w:t>
            </w:r>
          </w:p>
        </w:tc>
        <w:tc>
          <w:tcPr>
            <w:tcW w:w="4788" w:type="dxa"/>
            <w:tcBorders>
              <w:top w:val="nil"/>
            </w:tcBorders>
          </w:tcPr>
          <w:p w:rsidR="00BB79A9" w:rsidRPr="004B7A97" w:rsidRDefault="00BB79A9" w:rsidP="00BB79A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Tentative Implementation Order </w:t>
            </w:r>
            <w:r w:rsidR="00697209" w:rsidRPr="004B7A97">
              <w:rPr>
                <w:rFonts w:ascii="Times New Roman" w:hAnsi="Times New Roman" w:cs="Times New Roman"/>
                <w:sz w:val="24"/>
                <w:szCs w:val="24"/>
              </w:rPr>
              <w:t xml:space="preserve">Reply Comment </w:t>
            </w:r>
            <w:r w:rsidRPr="004B7A97">
              <w:rPr>
                <w:rFonts w:ascii="Times New Roman" w:hAnsi="Times New Roman" w:cs="Times New Roman"/>
                <w:sz w:val="24"/>
                <w:szCs w:val="24"/>
              </w:rPr>
              <w:t>due</w:t>
            </w:r>
            <w:r w:rsidR="00697209" w:rsidRPr="004B7A97">
              <w:rPr>
                <w:rFonts w:ascii="Times New Roman" w:hAnsi="Times New Roman" w:cs="Times New Roman"/>
                <w:sz w:val="24"/>
                <w:szCs w:val="24"/>
              </w:rPr>
              <w:t xml:space="preserve"> date</w:t>
            </w:r>
          </w:p>
        </w:tc>
      </w:tr>
      <w:tr w:rsidR="00BB79A9" w:rsidRPr="00A01DB2" w:rsidTr="00A01DB2">
        <w:trPr>
          <w:jc w:val="center"/>
        </w:trPr>
        <w:tc>
          <w:tcPr>
            <w:tcW w:w="2129" w:type="dxa"/>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August 2, 2012</w:t>
            </w:r>
          </w:p>
        </w:tc>
        <w:tc>
          <w:tcPr>
            <w:tcW w:w="4788" w:type="dxa"/>
          </w:tcPr>
          <w:p w:rsidR="00BB79A9" w:rsidRPr="004B7A97" w:rsidRDefault="00BB79A9" w:rsidP="0069720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Final Implementation Order </w:t>
            </w:r>
            <w:r w:rsidR="00697209" w:rsidRPr="004B7A97">
              <w:rPr>
                <w:rFonts w:ascii="Times New Roman" w:hAnsi="Times New Roman" w:cs="Times New Roman"/>
                <w:sz w:val="24"/>
                <w:szCs w:val="24"/>
              </w:rPr>
              <w:t>on</w:t>
            </w:r>
            <w:r w:rsidRPr="004B7A97">
              <w:rPr>
                <w:rFonts w:ascii="Times New Roman" w:hAnsi="Times New Roman" w:cs="Times New Roman"/>
                <w:sz w:val="24"/>
                <w:szCs w:val="24"/>
              </w:rPr>
              <w:t xml:space="preserve"> Public Meeting</w:t>
            </w:r>
            <w:r w:rsidR="00697209" w:rsidRPr="004B7A97">
              <w:rPr>
                <w:rFonts w:ascii="Times New Roman" w:hAnsi="Times New Roman" w:cs="Times New Roman"/>
                <w:sz w:val="24"/>
                <w:szCs w:val="24"/>
              </w:rPr>
              <w:t xml:space="preserve"> agenda</w:t>
            </w:r>
          </w:p>
        </w:tc>
      </w:tr>
      <w:tr w:rsidR="00BB79A9" w:rsidRPr="00A01DB2" w:rsidTr="00A01DB2">
        <w:trPr>
          <w:jc w:val="center"/>
        </w:trPr>
        <w:tc>
          <w:tcPr>
            <w:tcW w:w="2129" w:type="dxa"/>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November 1, 2012</w:t>
            </w:r>
          </w:p>
        </w:tc>
        <w:tc>
          <w:tcPr>
            <w:tcW w:w="4788" w:type="dxa"/>
          </w:tcPr>
          <w:p w:rsidR="00BB79A9" w:rsidRPr="004B7A97" w:rsidRDefault="009F6C04" w:rsidP="00BB79A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If necessary, </w:t>
            </w:r>
            <w:r w:rsidR="00BB79A9" w:rsidRPr="004B7A97">
              <w:rPr>
                <w:rFonts w:ascii="Times New Roman" w:hAnsi="Times New Roman" w:cs="Times New Roman"/>
                <w:sz w:val="24"/>
                <w:szCs w:val="24"/>
              </w:rPr>
              <w:t>EDCs file EE&amp;C Plans</w:t>
            </w:r>
          </w:p>
        </w:tc>
      </w:tr>
      <w:tr w:rsidR="00BB79A9" w:rsidRPr="00A01DB2" w:rsidTr="00A01DB2">
        <w:trPr>
          <w:jc w:val="center"/>
        </w:trPr>
        <w:tc>
          <w:tcPr>
            <w:tcW w:w="2129" w:type="dxa"/>
          </w:tcPr>
          <w:p w:rsidR="00BB79A9" w:rsidRPr="004B7A97" w:rsidRDefault="00021147" w:rsidP="00A01DB2">
            <w:pPr>
              <w:rPr>
                <w:rFonts w:ascii="Times New Roman" w:hAnsi="Times New Roman" w:cs="Times New Roman"/>
                <w:sz w:val="24"/>
                <w:szCs w:val="24"/>
              </w:rPr>
            </w:pPr>
            <w:r w:rsidRPr="004B7A97">
              <w:rPr>
                <w:rFonts w:ascii="Times New Roman" w:hAnsi="Times New Roman" w:cs="Times New Roman"/>
                <w:sz w:val="24"/>
                <w:szCs w:val="24"/>
              </w:rPr>
              <w:t>February 28</w:t>
            </w:r>
            <w:r w:rsidR="00BB79A9" w:rsidRPr="004B7A97">
              <w:rPr>
                <w:rFonts w:ascii="Times New Roman" w:hAnsi="Times New Roman" w:cs="Times New Roman"/>
                <w:sz w:val="24"/>
                <w:szCs w:val="24"/>
              </w:rPr>
              <w:t>, 2013</w:t>
            </w:r>
          </w:p>
        </w:tc>
        <w:tc>
          <w:tcPr>
            <w:tcW w:w="4788" w:type="dxa"/>
          </w:tcPr>
          <w:p w:rsidR="00BB79A9" w:rsidRPr="004B7A97" w:rsidRDefault="009F6C04" w:rsidP="0069720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 xml:space="preserve">If necessary, </w:t>
            </w:r>
            <w:r w:rsidR="00BB79A9" w:rsidRPr="004B7A97">
              <w:rPr>
                <w:rFonts w:ascii="Times New Roman" w:hAnsi="Times New Roman" w:cs="Times New Roman"/>
                <w:sz w:val="24"/>
                <w:szCs w:val="24"/>
              </w:rPr>
              <w:t xml:space="preserve">Commission </w:t>
            </w:r>
            <w:r w:rsidR="00697209" w:rsidRPr="004B7A97">
              <w:rPr>
                <w:rFonts w:ascii="Times New Roman" w:hAnsi="Times New Roman" w:cs="Times New Roman"/>
                <w:sz w:val="24"/>
                <w:szCs w:val="24"/>
              </w:rPr>
              <w:t xml:space="preserve">rules on </w:t>
            </w:r>
            <w:r w:rsidR="00BB79A9" w:rsidRPr="004B7A97">
              <w:rPr>
                <w:rFonts w:ascii="Times New Roman" w:hAnsi="Times New Roman" w:cs="Times New Roman"/>
                <w:sz w:val="24"/>
                <w:szCs w:val="24"/>
              </w:rPr>
              <w:t xml:space="preserve"> EE&amp;C Plans</w:t>
            </w:r>
          </w:p>
        </w:tc>
      </w:tr>
      <w:tr w:rsidR="00BB79A9" w:rsidRPr="00A01DB2" w:rsidTr="00A01DB2">
        <w:trPr>
          <w:jc w:val="center"/>
        </w:trPr>
        <w:tc>
          <w:tcPr>
            <w:tcW w:w="2129" w:type="dxa"/>
          </w:tcPr>
          <w:p w:rsidR="00BB79A9" w:rsidRPr="004B7A97" w:rsidRDefault="00BB79A9" w:rsidP="00A01DB2">
            <w:pPr>
              <w:rPr>
                <w:rFonts w:ascii="Times New Roman" w:hAnsi="Times New Roman" w:cs="Times New Roman"/>
                <w:sz w:val="24"/>
                <w:szCs w:val="24"/>
              </w:rPr>
            </w:pPr>
            <w:r w:rsidRPr="004B7A97">
              <w:rPr>
                <w:rFonts w:ascii="Times New Roman" w:hAnsi="Times New Roman" w:cs="Times New Roman"/>
                <w:sz w:val="24"/>
                <w:szCs w:val="24"/>
              </w:rPr>
              <w:t>June 1, 2013</w:t>
            </w:r>
          </w:p>
        </w:tc>
        <w:tc>
          <w:tcPr>
            <w:tcW w:w="4788" w:type="dxa"/>
          </w:tcPr>
          <w:p w:rsidR="00BB79A9" w:rsidRPr="004B7A97" w:rsidRDefault="00BB79A9" w:rsidP="00697209">
            <w:pPr>
              <w:pStyle w:val="ListParagraph"/>
              <w:numPr>
                <w:ilvl w:val="0"/>
                <w:numId w:val="15"/>
              </w:numPr>
              <w:ind w:left="252" w:hanging="180"/>
              <w:rPr>
                <w:rFonts w:ascii="Times New Roman" w:hAnsi="Times New Roman" w:cs="Times New Roman"/>
                <w:sz w:val="24"/>
                <w:szCs w:val="24"/>
              </w:rPr>
            </w:pPr>
            <w:r w:rsidRPr="004B7A97">
              <w:rPr>
                <w:rFonts w:ascii="Times New Roman" w:hAnsi="Times New Roman" w:cs="Times New Roman"/>
                <w:sz w:val="24"/>
                <w:szCs w:val="24"/>
              </w:rPr>
              <w:t>EE&amp;C Program</w:t>
            </w:r>
            <w:r w:rsidR="009F6C04" w:rsidRPr="004B7A97">
              <w:rPr>
                <w:rFonts w:ascii="Times New Roman" w:hAnsi="Times New Roman" w:cs="Times New Roman"/>
                <w:sz w:val="24"/>
                <w:szCs w:val="24"/>
              </w:rPr>
              <w:t>s begin</w:t>
            </w:r>
            <w:r w:rsidR="00697209" w:rsidRPr="004B7A97">
              <w:rPr>
                <w:rFonts w:ascii="Times New Roman" w:hAnsi="Times New Roman" w:cs="Times New Roman"/>
                <w:sz w:val="24"/>
                <w:szCs w:val="24"/>
              </w:rPr>
              <w:t xml:space="preserve"> </w:t>
            </w:r>
          </w:p>
        </w:tc>
      </w:tr>
    </w:tbl>
    <w:p w:rsidR="00BB79A9" w:rsidRPr="00A01DB2" w:rsidRDefault="00BB79A9" w:rsidP="00BB79A9">
      <w:pPr>
        <w:rPr>
          <w:b/>
          <w:sz w:val="24"/>
          <w:szCs w:val="24"/>
          <w:u w:val="single"/>
        </w:rPr>
      </w:pPr>
    </w:p>
    <w:p w:rsidR="00BB79A9" w:rsidRPr="00A01DB2" w:rsidRDefault="00BB79A9" w:rsidP="00BB79A9">
      <w:pPr>
        <w:rPr>
          <w:b/>
          <w:sz w:val="24"/>
          <w:szCs w:val="24"/>
          <w:u w:val="single"/>
        </w:rPr>
      </w:pPr>
    </w:p>
    <w:p w:rsidR="00710DBE" w:rsidRPr="009F6C04" w:rsidRDefault="00710DBE" w:rsidP="00710DBE">
      <w:pPr>
        <w:pStyle w:val="ListParagraph"/>
        <w:numPr>
          <w:ilvl w:val="0"/>
          <w:numId w:val="13"/>
        </w:numPr>
        <w:rPr>
          <w:b/>
          <w:sz w:val="24"/>
          <w:szCs w:val="24"/>
          <w:u w:val="single"/>
        </w:rPr>
      </w:pPr>
      <w:r w:rsidRPr="00A01DB2">
        <w:rPr>
          <w:b/>
          <w:sz w:val="24"/>
          <w:szCs w:val="24"/>
          <w:u w:val="single"/>
        </w:rPr>
        <w:t xml:space="preserve">Length of </w:t>
      </w:r>
      <w:r w:rsidR="009F6C04">
        <w:rPr>
          <w:b/>
          <w:sz w:val="24"/>
          <w:szCs w:val="24"/>
          <w:u w:val="single"/>
        </w:rPr>
        <w:t>second EE&amp;C Program</w:t>
      </w:r>
    </w:p>
    <w:p w:rsidR="00710DBE" w:rsidRPr="00F1131E" w:rsidRDefault="00710DBE" w:rsidP="00710DBE">
      <w:pPr>
        <w:pStyle w:val="ListParagraph"/>
        <w:rPr>
          <w:b/>
          <w:sz w:val="24"/>
          <w:szCs w:val="24"/>
          <w:u w:val="single"/>
        </w:rPr>
      </w:pPr>
    </w:p>
    <w:p w:rsidR="00710DBE" w:rsidRPr="00F1131E" w:rsidRDefault="00F1131E" w:rsidP="009A308C">
      <w:pPr>
        <w:ind w:left="720"/>
        <w:jc w:val="both"/>
        <w:rPr>
          <w:sz w:val="24"/>
          <w:szCs w:val="24"/>
        </w:rPr>
      </w:pPr>
      <w:r>
        <w:rPr>
          <w:sz w:val="24"/>
          <w:szCs w:val="24"/>
        </w:rPr>
        <w:t>For planning purposes, t</w:t>
      </w:r>
      <w:r w:rsidR="00710DBE" w:rsidRPr="00F1131E">
        <w:rPr>
          <w:sz w:val="24"/>
          <w:szCs w:val="24"/>
        </w:rPr>
        <w:t xml:space="preserve">he Commission must determine the number of years that </w:t>
      </w:r>
      <w:r>
        <w:rPr>
          <w:sz w:val="24"/>
          <w:szCs w:val="24"/>
        </w:rPr>
        <w:t>a</w:t>
      </w:r>
      <w:r w:rsidR="00710DBE" w:rsidRPr="00F1131E">
        <w:rPr>
          <w:sz w:val="24"/>
          <w:szCs w:val="24"/>
        </w:rPr>
        <w:t xml:space="preserve"> </w:t>
      </w:r>
      <w:r>
        <w:rPr>
          <w:sz w:val="24"/>
          <w:szCs w:val="24"/>
        </w:rPr>
        <w:t xml:space="preserve">second </w:t>
      </w:r>
      <w:r w:rsidR="00710DBE" w:rsidRPr="00F1131E">
        <w:rPr>
          <w:sz w:val="24"/>
          <w:szCs w:val="24"/>
        </w:rPr>
        <w:t>EE&amp;C Program</w:t>
      </w:r>
      <w:r w:rsidR="00CE1EAB" w:rsidRPr="00F1131E">
        <w:rPr>
          <w:sz w:val="24"/>
          <w:szCs w:val="24"/>
        </w:rPr>
        <w:t xml:space="preserve"> </w:t>
      </w:r>
      <w:r w:rsidR="00710DBE" w:rsidRPr="00F1131E">
        <w:rPr>
          <w:sz w:val="24"/>
          <w:szCs w:val="24"/>
        </w:rPr>
        <w:t>should</w:t>
      </w:r>
      <w:r w:rsidR="00F3099A" w:rsidRPr="00F1131E">
        <w:rPr>
          <w:sz w:val="24"/>
          <w:szCs w:val="24"/>
        </w:rPr>
        <w:t xml:space="preserve"> run</w:t>
      </w:r>
      <w:r w:rsidR="00710DBE" w:rsidRPr="00F1131E">
        <w:rPr>
          <w:sz w:val="24"/>
          <w:szCs w:val="24"/>
        </w:rPr>
        <w:t xml:space="preserve">.  Several factors to consider when evaluating the length of an EE&amp;C </w:t>
      </w:r>
      <w:r w:rsidR="00C12EFD" w:rsidRPr="00F1131E">
        <w:rPr>
          <w:sz w:val="24"/>
          <w:szCs w:val="24"/>
        </w:rPr>
        <w:t>P</w:t>
      </w:r>
      <w:r w:rsidR="00710DBE" w:rsidRPr="00F1131E">
        <w:rPr>
          <w:sz w:val="24"/>
          <w:szCs w:val="24"/>
        </w:rPr>
        <w:t xml:space="preserve">rogram term </w:t>
      </w:r>
      <w:r w:rsidR="00697209" w:rsidRPr="00F1131E">
        <w:rPr>
          <w:sz w:val="24"/>
          <w:szCs w:val="24"/>
        </w:rPr>
        <w:t>are</w:t>
      </w:r>
      <w:r w:rsidR="00710DBE" w:rsidRPr="00F1131E">
        <w:rPr>
          <w:sz w:val="24"/>
          <w:szCs w:val="24"/>
        </w:rPr>
        <w:t xml:space="preserve"> the accuracy of forecast data, the evolving energy efficiency marketplace, consumers’ tendencies to adapt efficiency measures, changes in </w:t>
      </w:r>
      <w:r>
        <w:rPr>
          <w:sz w:val="24"/>
          <w:szCs w:val="24"/>
        </w:rPr>
        <w:t>F</w:t>
      </w:r>
      <w:r w:rsidR="00710DBE" w:rsidRPr="00F1131E">
        <w:rPr>
          <w:sz w:val="24"/>
          <w:szCs w:val="24"/>
        </w:rPr>
        <w:t xml:space="preserve">ederal legislation and regulations that set minimum efficiency standards, </w:t>
      </w:r>
      <w:r w:rsidR="00697209" w:rsidRPr="00F1131E">
        <w:rPr>
          <w:sz w:val="24"/>
          <w:szCs w:val="24"/>
        </w:rPr>
        <w:t>and the</w:t>
      </w:r>
      <w:r w:rsidR="00710DBE" w:rsidRPr="00F1131E">
        <w:rPr>
          <w:sz w:val="24"/>
          <w:szCs w:val="24"/>
        </w:rPr>
        <w:t xml:space="preserve"> administrative costs </w:t>
      </w:r>
      <w:r w:rsidR="00697209" w:rsidRPr="00F1131E">
        <w:rPr>
          <w:sz w:val="24"/>
          <w:szCs w:val="24"/>
        </w:rPr>
        <w:t>incurred by all parties in</w:t>
      </w:r>
      <w:r w:rsidR="00710DBE" w:rsidRPr="00F1131E">
        <w:rPr>
          <w:sz w:val="24"/>
          <w:szCs w:val="24"/>
        </w:rPr>
        <w:t xml:space="preserve"> designing, filing, litigating and implementing programs.</w:t>
      </w:r>
    </w:p>
    <w:p w:rsidR="00710DBE" w:rsidRPr="000D7109" w:rsidRDefault="00710DBE" w:rsidP="009A308C">
      <w:pPr>
        <w:ind w:left="720"/>
        <w:jc w:val="both"/>
        <w:rPr>
          <w:sz w:val="24"/>
          <w:szCs w:val="24"/>
        </w:rPr>
      </w:pPr>
    </w:p>
    <w:p w:rsidR="00710DBE" w:rsidRPr="000D7109" w:rsidRDefault="00710DBE" w:rsidP="009A308C">
      <w:pPr>
        <w:ind w:left="720"/>
        <w:jc w:val="both"/>
        <w:rPr>
          <w:sz w:val="24"/>
          <w:szCs w:val="24"/>
        </w:rPr>
      </w:pPr>
      <w:r w:rsidRPr="00A01DB2">
        <w:rPr>
          <w:sz w:val="24"/>
          <w:szCs w:val="24"/>
        </w:rPr>
        <w:t>In general, a shorter term length enables the use</w:t>
      </w:r>
      <w:r w:rsidR="006B307C" w:rsidRPr="00A01DB2">
        <w:rPr>
          <w:sz w:val="24"/>
          <w:szCs w:val="24"/>
        </w:rPr>
        <w:t xml:space="preserve"> of</w:t>
      </w:r>
      <w:r w:rsidRPr="00A01DB2">
        <w:rPr>
          <w:sz w:val="24"/>
          <w:szCs w:val="24"/>
        </w:rPr>
        <w:t xml:space="preserve"> more accurate </w:t>
      </w:r>
      <w:r w:rsidR="00697209" w:rsidRPr="00A01DB2">
        <w:rPr>
          <w:sz w:val="24"/>
          <w:szCs w:val="24"/>
        </w:rPr>
        <w:t xml:space="preserve">economic and </w:t>
      </w:r>
      <w:r w:rsidRPr="00A01DB2">
        <w:rPr>
          <w:sz w:val="24"/>
          <w:szCs w:val="24"/>
        </w:rPr>
        <w:t xml:space="preserve">energy forecasts that affect </w:t>
      </w:r>
      <w:r w:rsidR="00F1131E">
        <w:rPr>
          <w:sz w:val="24"/>
          <w:szCs w:val="24"/>
        </w:rPr>
        <w:t xml:space="preserve">a </w:t>
      </w:r>
      <w:r w:rsidRPr="00F1131E">
        <w:rPr>
          <w:sz w:val="24"/>
          <w:szCs w:val="24"/>
        </w:rPr>
        <w:t xml:space="preserve">consumer’s ability to adopt </w:t>
      </w:r>
      <w:r w:rsidR="00F1131E">
        <w:rPr>
          <w:sz w:val="24"/>
          <w:szCs w:val="24"/>
        </w:rPr>
        <w:t>energy efficiency (</w:t>
      </w:r>
      <w:r w:rsidRPr="00F1131E">
        <w:rPr>
          <w:sz w:val="24"/>
          <w:szCs w:val="24"/>
        </w:rPr>
        <w:t>EE</w:t>
      </w:r>
      <w:r w:rsidR="00F1131E">
        <w:rPr>
          <w:sz w:val="24"/>
          <w:szCs w:val="24"/>
        </w:rPr>
        <w:t>)</w:t>
      </w:r>
      <w:r w:rsidRPr="00F1131E">
        <w:rPr>
          <w:sz w:val="24"/>
          <w:szCs w:val="24"/>
        </w:rPr>
        <w:t xml:space="preserve"> measures.</w:t>
      </w:r>
      <w:r w:rsidR="00F1131E">
        <w:rPr>
          <w:rStyle w:val="FootnoteReference"/>
          <w:sz w:val="24"/>
          <w:szCs w:val="24"/>
        </w:rPr>
        <w:footnoteReference w:id="2"/>
      </w:r>
      <w:r w:rsidRPr="00F1131E">
        <w:rPr>
          <w:sz w:val="24"/>
          <w:szCs w:val="24"/>
        </w:rPr>
        <w:t xml:space="preserve">  </w:t>
      </w:r>
      <w:r w:rsidRPr="00A01DB2">
        <w:rPr>
          <w:sz w:val="24"/>
          <w:szCs w:val="24"/>
        </w:rPr>
        <w:t xml:space="preserve">The </w:t>
      </w:r>
      <w:r w:rsidRPr="00A01DB2">
        <w:rPr>
          <w:sz w:val="24"/>
          <w:szCs w:val="24"/>
        </w:rPr>
        <w:lastRenderedPageBreak/>
        <w:t xml:space="preserve">Commission, however, must balance the need for accuracy in forecasts with the increased administrative costs </w:t>
      </w:r>
      <w:r w:rsidR="00162D58" w:rsidRPr="00A01DB2">
        <w:rPr>
          <w:sz w:val="24"/>
          <w:szCs w:val="24"/>
        </w:rPr>
        <w:t xml:space="preserve">associated with </w:t>
      </w:r>
      <w:r w:rsidRPr="00A01DB2">
        <w:rPr>
          <w:sz w:val="24"/>
          <w:szCs w:val="24"/>
        </w:rPr>
        <w:t xml:space="preserve">implementing </w:t>
      </w:r>
      <w:r w:rsidR="00F1131E">
        <w:rPr>
          <w:sz w:val="24"/>
          <w:szCs w:val="24"/>
        </w:rPr>
        <w:t>EE&amp;C plans</w:t>
      </w:r>
      <w:r w:rsidRPr="00F1131E">
        <w:rPr>
          <w:sz w:val="24"/>
          <w:szCs w:val="24"/>
        </w:rPr>
        <w:t xml:space="preserve"> of shorter lengths.  The more frequently we engage in the EE&amp;C Program design, planning, adoption and implementation process, the greater the </w:t>
      </w:r>
      <w:r w:rsidRPr="000D7109">
        <w:rPr>
          <w:sz w:val="24"/>
          <w:szCs w:val="24"/>
        </w:rPr>
        <w:t>associated administrative costs that are ultimately borne by the ratepayers.</w:t>
      </w:r>
    </w:p>
    <w:p w:rsidR="00710DBE" w:rsidRPr="00A01DB2" w:rsidRDefault="00710DBE" w:rsidP="00710DBE">
      <w:pPr>
        <w:ind w:left="720"/>
        <w:rPr>
          <w:sz w:val="24"/>
          <w:szCs w:val="24"/>
        </w:rPr>
      </w:pPr>
    </w:p>
    <w:p w:rsidR="00710DBE" w:rsidRPr="00A01DB2" w:rsidRDefault="00710DBE" w:rsidP="009A308C">
      <w:pPr>
        <w:ind w:left="720"/>
        <w:jc w:val="both"/>
        <w:rPr>
          <w:sz w:val="24"/>
          <w:szCs w:val="24"/>
        </w:rPr>
      </w:pPr>
      <w:r w:rsidRPr="00A01DB2">
        <w:rPr>
          <w:sz w:val="24"/>
          <w:szCs w:val="24"/>
        </w:rPr>
        <w:t xml:space="preserve">Given the above contingencies, the Commission seeks input from interested parties on the optimal length of </w:t>
      </w:r>
      <w:r w:rsidR="00F1131E">
        <w:rPr>
          <w:sz w:val="24"/>
          <w:szCs w:val="24"/>
        </w:rPr>
        <w:t>a possible future</w:t>
      </w:r>
      <w:r w:rsidR="00162D58" w:rsidRPr="00F1131E">
        <w:rPr>
          <w:sz w:val="24"/>
          <w:szCs w:val="24"/>
        </w:rPr>
        <w:t xml:space="preserve"> </w:t>
      </w:r>
      <w:r w:rsidRPr="00F1131E">
        <w:rPr>
          <w:sz w:val="24"/>
          <w:szCs w:val="24"/>
        </w:rPr>
        <w:t>EE&amp;C Program.  Options include a three-, four- or five-year length.</w:t>
      </w:r>
      <w:r w:rsidRPr="00A01DB2">
        <w:rPr>
          <w:rStyle w:val="FootnoteReference"/>
          <w:sz w:val="24"/>
          <w:szCs w:val="24"/>
        </w:rPr>
        <w:footnoteReference w:id="3"/>
      </w:r>
    </w:p>
    <w:p w:rsidR="00710DBE" w:rsidRPr="00F1131E" w:rsidRDefault="00710DBE" w:rsidP="009A308C">
      <w:pPr>
        <w:jc w:val="both"/>
        <w:rPr>
          <w:sz w:val="24"/>
          <w:szCs w:val="24"/>
        </w:rPr>
      </w:pPr>
    </w:p>
    <w:p w:rsidR="00710DBE" w:rsidRPr="000D7109" w:rsidRDefault="00710DBE" w:rsidP="009A308C">
      <w:pPr>
        <w:pStyle w:val="ListParagraph"/>
        <w:numPr>
          <w:ilvl w:val="0"/>
          <w:numId w:val="13"/>
        </w:numPr>
        <w:jc w:val="both"/>
        <w:rPr>
          <w:b/>
          <w:sz w:val="24"/>
          <w:szCs w:val="24"/>
          <w:u w:val="single"/>
        </w:rPr>
      </w:pPr>
      <w:r w:rsidRPr="000D7109">
        <w:rPr>
          <w:b/>
          <w:sz w:val="24"/>
          <w:szCs w:val="24"/>
          <w:u w:val="single"/>
        </w:rPr>
        <w:t>Inclusion of a Demand Response Curtailment Program</w:t>
      </w:r>
    </w:p>
    <w:p w:rsidR="00710DBE" w:rsidRPr="00A01DB2" w:rsidRDefault="00710DBE" w:rsidP="009A308C">
      <w:pPr>
        <w:pStyle w:val="ListParagraph"/>
        <w:jc w:val="both"/>
        <w:rPr>
          <w:sz w:val="24"/>
          <w:szCs w:val="24"/>
        </w:rPr>
      </w:pPr>
    </w:p>
    <w:p w:rsidR="00710DBE" w:rsidRPr="00F47A16" w:rsidRDefault="00710DBE" w:rsidP="009A308C">
      <w:pPr>
        <w:pStyle w:val="ListParagraph"/>
        <w:jc w:val="both"/>
        <w:rPr>
          <w:sz w:val="24"/>
          <w:szCs w:val="24"/>
        </w:rPr>
      </w:pPr>
      <w:r w:rsidRPr="00A01DB2">
        <w:rPr>
          <w:sz w:val="24"/>
          <w:szCs w:val="24"/>
        </w:rPr>
        <w:t xml:space="preserve">The initial phase of EE&amp;C </w:t>
      </w:r>
      <w:r w:rsidR="00F47A16">
        <w:rPr>
          <w:sz w:val="24"/>
          <w:szCs w:val="24"/>
        </w:rPr>
        <w:t>p</w:t>
      </w:r>
      <w:r w:rsidRPr="00F47A16">
        <w:rPr>
          <w:sz w:val="24"/>
          <w:szCs w:val="24"/>
        </w:rPr>
        <w:t>rogram</w:t>
      </w:r>
      <w:r w:rsidR="00F47A16">
        <w:rPr>
          <w:sz w:val="24"/>
          <w:szCs w:val="24"/>
        </w:rPr>
        <w:t>s</w:t>
      </w:r>
      <w:r w:rsidRPr="00F47A16">
        <w:rPr>
          <w:sz w:val="24"/>
          <w:szCs w:val="24"/>
        </w:rPr>
        <w:t xml:space="preserve"> included a multi-year EE program with what </w:t>
      </w:r>
      <w:r w:rsidR="00F47A16">
        <w:rPr>
          <w:sz w:val="24"/>
          <w:szCs w:val="24"/>
        </w:rPr>
        <w:t xml:space="preserve">is </w:t>
      </w:r>
      <w:r w:rsidRPr="00F47A16">
        <w:rPr>
          <w:sz w:val="24"/>
          <w:szCs w:val="24"/>
        </w:rPr>
        <w:t>essentially a one-year demand response program</w:t>
      </w:r>
      <w:r w:rsidR="00F47A16">
        <w:rPr>
          <w:sz w:val="24"/>
          <w:szCs w:val="24"/>
        </w:rPr>
        <w:t xml:space="preserve"> that will be</w:t>
      </w:r>
      <w:r w:rsidRPr="00F47A16">
        <w:rPr>
          <w:sz w:val="24"/>
          <w:szCs w:val="24"/>
        </w:rPr>
        <w:t xml:space="preserve"> implemented during the summer of 2012.  For </w:t>
      </w:r>
      <w:r w:rsidR="00F47A16">
        <w:rPr>
          <w:sz w:val="24"/>
          <w:szCs w:val="24"/>
        </w:rPr>
        <w:t xml:space="preserve">any </w:t>
      </w:r>
      <w:r w:rsidRPr="00F47A16">
        <w:rPr>
          <w:sz w:val="24"/>
          <w:szCs w:val="24"/>
        </w:rPr>
        <w:t xml:space="preserve">subsequent </w:t>
      </w:r>
      <w:r w:rsidR="00F47A16">
        <w:rPr>
          <w:sz w:val="24"/>
          <w:szCs w:val="24"/>
        </w:rPr>
        <w:t>plans</w:t>
      </w:r>
      <w:r w:rsidRPr="00F47A16">
        <w:rPr>
          <w:sz w:val="24"/>
          <w:szCs w:val="24"/>
        </w:rPr>
        <w:t xml:space="preserve">, Act 129 requires the Commission to compare the total costs of </w:t>
      </w:r>
      <w:r w:rsidR="00F47A16">
        <w:rPr>
          <w:sz w:val="24"/>
          <w:szCs w:val="24"/>
        </w:rPr>
        <w:t>each</w:t>
      </w:r>
      <w:r w:rsidRPr="00F47A16">
        <w:rPr>
          <w:sz w:val="24"/>
          <w:szCs w:val="24"/>
        </w:rPr>
        <w:t xml:space="preserve"> EE&amp;C </w:t>
      </w:r>
      <w:r w:rsidR="00F47A16">
        <w:rPr>
          <w:sz w:val="24"/>
          <w:szCs w:val="24"/>
        </w:rPr>
        <w:t>plan</w:t>
      </w:r>
      <w:r w:rsidRPr="00F47A16">
        <w:rPr>
          <w:sz w:val="24"/>
          <w:szCs w:val="24"/>
        </w:rPr>
        <w:t xml:space="preserve"> to the total savings in energy and capacity costs to retail customers</w:t>
      </w:r>
      <w:r w:rsidR="00F47A16">
        <w:rPr>
          <w:sz w:val="24"/>
          <w:szCs w:val="24"/>
        </w:rPr>
        <w:t xml:space="preserve"> in the Commonwealth or other costs determined by the Commission</w:t>
      </w:r>
      <w:r w:rsidRPr="00F47A16">
        <w:rPr>
          <w:sz w:val="24"/>
          <w:szCs w:val="24"/>
        </w:rPr>
        <w:t>.  If the Commission determines that the benefits</w:t>
      </w:r>
      <w:r w:rsidR="00F47A16">
        <w:rPr>
          <w:sz w:val="24"/>
          <w:szCs w:val="24"/>
        </w:rPr>
        <w:t xml:space="preserve"> of the plans</w:t>
      </w:r>
      <w:r w:rsidRPr="00F47A16">
        <w:rPr>
          <w:sz w:val="24"/>
          <w:szCs w:val="24"/>
        </w:rPr>
        <w:t xml:space="preserve"> exceed the costs, the Commission </w:t>
      </w:r>
      <w:r w:rsidR="00E67B87" w:rsidRPr="00F47A16">
        <w:rPr>
          <w:sz w:val="24"/>
          <w:szCs w:val="24"/>
        </w:rPr>
        <w:t xml:space="preserve">must </w:t>
      </w:r>
      <w:r w:rsidRPr="00F47A16">
        <w:rPr>
          <w:sz w:val="24"/>
          <w:szCs w:val="24"/>
        </w:rPr>
        <w:t>set additional, incremental requirements for reductions in peak demand.  Importantly, Act 129 g</w:t>
      </w:r>
      <w:r w:rsidR="00F47A16">
        <w:rPr>
          <w:sz w:val="24"/>
          <w:szCs w:val="24"/>
        </w:rPr>
        <w:t>ives</w:t>
      </w:r>
      <w:r w:rsidRPr="00F47A16">
        <w:rPr>
          <w:sz w:val="24"/>
          <w:szCs w:val="24"/>
        </w:rPr>
        <w:t xml:space="preserve"> the Commission latitude to set</w:t>
      </w:r>
      <w:r w:rsidR="00F47A16">
        <w:rPr>
          <w:sz w:val="24"/>
          <w:szCs w:val="24"/>
        </w:rPr>
        <w:t xml:space="preserve"> future</w:t>
      </w:r>
      <w:r w:rsidRPr="00F47A16">
        <w:rPr>
          <w:sz w:val="24"/>
          <w:szCs w:val="24"/>
        </w:rPr>
        <w:t xml:space="preserve"> reductions in peak demand for </w:t>
      </w:r>
      <w:r w:rsidR="00F47A16">
        <w:rPr>
          <w:sz w:val="24"/>
          <w:szCs w:val="24"/>
        </w:rPr>
        <w:t xml:space="preserve">either </w:t>
      </w:r>
      <w:r w:rsidRPr="00F47A16">
        <w:rPr>
          <w:sz w:val="24"/>
          <w:szCs w:val="24"/>
        </w:rPr>
        <w:t xml:space="preserve">the 100 hours of greatest demand or an alternative reduction </w:t>
      </w:r>
      <w:r w:rsidR="00F47A16">
        <w:rPr>
          <w:sz w:val="24"/>
          <w:szCs w:val="24"/>
        </w:rPr>
        <w:t xml:space="preserve">that is </w:t>
      </w:r>
      <w:r w:rsidRPr="00F47A16">
        <w:rPr>
          <w:sz w:val="24"/>
          <w:szCs w:val="24"/>
        </w:rPr>
        <w:t>approved by the Commission.</w:t>
      </w:r>
      <w:r w:rsidRPr="00F47A16">
        <w:rPr>
          <w:rStyle w:val="FootnoteReference"/>
          <w:sz w:val="24"/>
          <w:szCs w:val="24"/>
        </w:rPr>
        <w:footnoteReference w:id="4"/>
      </w:r>
    </w:p>
    <w:p w:rsidR="00710DBE" w:rsidRPr="00F47A16" w:rsidRDefault="00710DBE" w:rsidP="009A308C">
      <w:pPr>
        <w:pStyle w:val="ListParagraph"/>
        <w:jc w:val="both"/>
        <w:rPr>
          <w:sz w:val="24"/>
          <w:szCs w:val="24"/>
        </w:rPr>
      </w:pPr>
    </w:p>
    <w:p w:rsidR="00710DBE" w:rsidRPr="00D351A3" w:rsidRDefault="00F47A16" w:rsidP="009A308C">
      <w:pPr>
        <w:pStyle w:val="ListParagraph"/>
        <w:jc w:val="both"/>
        <w:rPr>
          <w:sz w:val="24"/>
          <w:szCs w:val="24"/>
        </w:rPr>
      </w:pPr>
      <w:r>
        <w:rPr>
          <w:sz w:val="24"/>
          <w:szCs w:val="24"/>
        </w:rPr>
        <w:t>Since</w:t>
      </w:r>
      <w:r w:rsidR="00710DBE" w:rsidRPr="00F47A16">
        <w:rPr>
          <w:sz w:val="24"/>
          <w:szCs w:val="24"/>
        </w:rPr>
        <w:t xml:space="preserve"> Act 129 requires the Commission to conduct a cost-benefit analysis before establishing any </w:t>
      </w:r>
      <w:r>
        <w:rPr>
          <w:sz w:val="24"/>
          <w:szCs w:val="24"/>
        </w:rPr>
        <w:t>additional</w:t>
      </w:r>
      <w:r w:rsidR="00710DBE" w:rsidRPr="00F47A16">
        <w:rPr>
          <w:sz w:val="24"/>
          <w:szCs w:val="24"/>
        </w:rPr>
        <w:t xml:space="preserve"> peak demand reduction targets, the Commission has contracted with the Statewide Evaluator to conduct a study of the current peak demand program and </w:t>
      </w:r>
      <w:r>
        <w:rPr>
          <w:sz w:val="24"/>
          <w:szCs w:val="24"/>
        </w:rPr>
        <w:t xml:space="preserve">to </w:t>
      </w:r>
      <w:r w:rsidR="00710DBE" w:rsidRPr="00F47A16">
        <w:rPr>
          <w:sz w:val="24"/>
          <w:szCs w:val="24"/>
        </w:rPr>
        <w:t xml:space="preserve">provide recommendations on whether the current </w:t>
      </w:r>
      <w:r w:rsidR="00F4578D">
        <w:rPr>
          <w:sz w:val="24"/>
          <w:szCs w:val="24"/>
        </w:rPr>
        <w:t xml:space="preserve">or </w:t>
      </w:r>
      <w:r w:rsidR="002775AC">
        <w:rPr>
          <w:sz w:val="24"/>
          <w:szCs w:val="24"/>
        </w:rPr>
        <w:t xml:space="preserve">another </w:t>
      </w:r>
      <w:r w:rsidR="00F4578D">
        <w:rPr>
          <w:sz w:val="24"/>
          <w:szCs w:val="24"/>
        </w:rPr>
        <w:t>future</w:t>
      </w:r>
      <w:r w:rsidR="002775AC">
        <w:rPr>
          <w:sz w:val="24"/>
          <w:szCs w:val="24"/>
        </w:rPr>
        <w:t xml:space="preserve"> </w:t>
      </w:r>
      <w:r w:rsidR="00710DBE" w:rsidRPr="00F47A16">
        <w:rPr>
          <w:sz w:val="24"/>
          <w:szCs w:val="24"/>
        </w:rPr>
        <w:t xml:space="preserve">peak demand reduction program can be </w:t>
      </w:r>
      <w:r w:rsidR="002775AC">
        <w:rPr>
          <w:sz w:val="24"/>
          <w:szCs w:val="24"/>
        </w:rPr>
        <w:t>im</w:t>
      </w:r>
      <w:r w:rsidR="00710DBE" w:rsidRPr="00F47A16">
        <w:rPr>
          <w:sz w:val="24"/>
          <w:szCs w:val="24"/>
        </w:rPr>
        <w:t xml:space="preserve">plemented cost-effectively.  </w:t>
      </w:r>
      <w:r w:rsidR="00D351A3">
        <w:rPr>
          <w:sz w:val="24"/>
          <w:szCs w:val="24"/>
        </w:rPr>
        <w:t>Because t</w:t>
      </w:r>
      <w:r w:rsidR="00710DBE" w:rsidRPr="00F47A16">
        <w:rPr>
          <w:sz w:val="24"/>
          <w:szCs w:val="24"/>
        </w:rPr>
        <w:t>he Commission</w:t>
      </w:r>
      <w:r w:rsidR="00D351A3">
        <w:rPr>
          <w:sz w:val="24"/>
          <w:szCs w:val="24"/>
        </w:rPr>
        <w:t xml:space="preserve"> does not</w:t>
      </w:r>
      <w:r w:rsidR="00710DBE" w:rsidRPr="00F47A16">
        <w:rPr>
          <w:sz w:val="24"/>
          <w:szCs w:val="24"/>
        </w:rPr>
        <w:t xml:space="preserve"> anticipate receiving </w:t>
      </w:r>
      <w:r w:rsidR="00E67B87" w:rsidRPr="00F47A16">
        <w:rPr>
          <w:sz w:val="24"/>
          <w:szCs w:val="24"/>
        </w:rPr>
        <w:t>this</w:t>
      </w:r>
      <w:r w:rsidR="00710DBE" w:rsidRPr="00F47A16">
        <w:rPr>
          <w:sz w:val="24"/>
          <w:szCs w:val="24"/>
        </w:rPr>
        <w:t xml:space="preserve">  study </w:t>
      </w:r>
      <w:r w:rsidR="00D351A3">
        <w:rPr>
          <w:sz w:val="24"/>
          <w:szCs w:val="24"/>
        </w:rPr>
        <w:t>until</w:t>
      </w:r>
      <w:r w:rsidR="00710DBE" w:rsidRPr="00F47A16">
        <w:rPr>
          <w:sz w:val="24"/>
          <w:szCs w:val="24"/>
        </w:rPr>
        <w:t xml:space="preserve"> </w:t>
      </w:r>
      <w:r w:rsidR="00710DBE" w:rsidRPr="009A308C">
        <w:rPr>
          <w:sz w:val="24"/>
          <w:szCs w:val="24"/>
        </w:rPr>
        <w:t>after</w:t>
      </w:r>
      <w:r w:rsidR="00710DBE" w:rsidRPr="00F47A16">
        <w:rPr>
          <w:sz w:val="24"/>
          <w:szCs w:val="24"/>
        </w:rPr>
        <w:t xml:space="preserve"> th</w:t>
      </w:r>
      <w:r w:rsidR="00D351A3">
        <w:rPr>
          <w:sz w:val="24"/>
          <w:szCs w:val="24"/>
        </w:rPr>
        <w:t>e summer of 2012,</w:t>
      </w:r>
      <w:r w:rsidR="00710DBE" w:rsidRPr="00D351A3">
        <w:rPr>
          <w:sz w:val="24"/>
          <w:szCs w:val="24"/>
        </w:rPr>
        <w:t xml:space="preserve"> the Commission</w:t>
      </w:r>
      <w:r w:rsidR="00D351A3">
        <w:rPr>
          <w:sz w:val="24"/>
          <w:szCs w:val="24"/>
        </w:rPr>
        <w:t xml:space="preserve"> is</w:t>
      </w:r>
      <w:r w:rsidR="00710DBE" w:rsidRPr="00D351A3">
        <w:rPr>
          <w:sz w:val="24"/>
          <w:szCs w:val="24"/>
        </w:rPr>
        <w:t xml:space="preserve"> consider</w:t>
      </w:r>
      <w:r w:rsidR="00D351A3">
        <w:rPr>
          <w:sz w:val="24"/>
          <w:szCs w:val="24"/>
        </w:rPr>
        <w:t>ing</w:t>
      </w:r>
      <w:r w:rsidR="00710DBE" w:rsidRPr="00D351A3">
        <w:rPr>
          <w:sz w:val="24"/>
          <w:szCs w:val="24"/>
        </w:rPr>
        <w:t xml:space="preserve"> contingency plans for the inclusion or exclusion of a demand response program component in </w:t>
      </w:r>
      <w:r w:rsidR="00D351A3">
        <w:rPr>
          <w:sz w:val="24"/>
          <w:szCs w:val="24"/>
        </w:rPr>
        <w:t>any next EE&amp;C program</w:t>
      </w:r>
      <w:r w:rsidR="00710DBE" w:rsidRPr="00D351A3">
        <w:rPr>
          <w:sz w:val="24"/>
          <w:szCs w:val="24"/>
        </w:rPr>
        <w:t xml:space="preserve"> depending on the outcome of the Statewide Evaluator study and the Commission’s subsequent evaluation of </w:t>
      </w:r>
      <w:r w:rsidR="00D351A3">
        <w:rPr>
          <w:sz w:val="24"/>
          <w:szCs w:val="24"/>
        </w:rPr>
        <w:t>its</w:t>
      </w:r>
      <w:r w:rsidR="00710DBE" w:rsidRPr="00D351A3">
        <w:rPr>
          <w:sz w:val="24"/>
          <w:szCs w:val="24"/>
        </w:rPr>
        <w:t xml:space="preserve"> recommendations.</w:t>
      </w:r>
    </w:p>
    <w:p w:rsidR="00710DBE" w:rsidRPr="000D7109" w:rsidRDefault="00710DBE" w:rsidP="009A308C">
      <w:pPr>
        <w:pStyle w:val="ListParagraph"/>
        <w:jc w:val="both"/>
        <w:rPr>
          <w:sz w:val="24"/>
          <w:szCs w:val="24"/>
        </w:rPr>
      </w:pPr>
    </w:p>
    <w:p w:rsidR="00710DBE" w:rsidRPr="00D351A3" w:rsidRDefault="00710DBE" w:rsidP="009A308C">
      <w:pPr>
        <w:pStyle w:val="ListParagraph"/>
        <w:jc w:val="both"/>
        <w:rPr>
          <w:sz w:val="24"/>
          <w:szCs w:val="24"/>
        </w:rPr>
      </w:pPr>
      <w:r w:rsidRPr="00A01DB2">
        <w:rPr>
          <w:sz w:val="24"/>
          <w:szCs w:val="24"/>
        </w:rPr>
        <w:t xml:space="preserve">The contingencies that we </w:t>
      </w:r>
      <w:r w:rsidR="00D351A3">
        <w:rPr>
          <w:sz w:val="24"/>
          <w:szCs w:val="24"/>
        </w:rPr>
        <w:t>seek input on pertain to</w:t>
      </w:r>
      <w:r w:rsidR="003106B5" w:rsidRPr="00D351A3">
        <w:rPr>
          <w:sz w:val="24"/>
          <w:szCs w:val="24"/>
        </w:rPr>
        <w:t xml:space="preserve"> </w:t>
      </w:r>
      <w:r w:rsidR="00D351A3">
        <w:rPr>
          <w:sz w:val="24"/>
          <w:szCs w:val="24"/>
        </w:rPr>
        <w:t>the structure of</w:t>
      </w:r>
      <w:r w:rsidR="00E20419">
        <w:rPr>
          <w:sz w:val="24"/>
          <w:szCs w:val="24"/>
        </w:rPr>
        <w:t xml:space="preserve"> future</w:t>
      </w:r>
      <w:r w:rsidRPr="00D351A3">
        <w:rPr>
          <w:sz w:val="24"/>
          <w:szCs w:val="24"/>
        </w:rPr>
        <w:t xml:space="preserve"> EE&amp;C</w:t>
      </w:r>
      <w:r w:rsidR="00D351A3">
        <w:rPr>
          <w:sz w:val="24"/>
          <w:szCs w:val="24"/>
        </w:rPr>
        <w:t xml:space="preserve"> program</w:t>
      </w:r>
      <w:r w:rsidRPr="00D351A3">
        <w:rPr>
          <w:sz w:val="24"/>
          <w:szCs w:val="24"/>
        </w:rPr>
        <w:t xml:space="preserve"> budgets and the </w:t>
      </w:r>
      <w:r w:rsidR="00D351A3">
        <w:rPr>
          <w:sz w:val="24"/>
          <w:szCs w:val="24"/>
        </w:rPr>
        <w:t xml:space="preserve">possible </w:t>
      </w:r>
      <w:r w:rsidRPr="00D351A3">
        <w:rPr>
          <w:sz w:val="24"/>
          <w:szCs w:val="24"/>
        </w:rPr>
        <w:t xml:space="preserve">length of </w:t>
      </w:r>
      <w:r w:rsidR="00D351A3">
        <w:rPr>
          <w:sz w:val="24"/>
          <w:szCs w:val="24"/>
        </w:rPr>
        <w:t>a second EE&amp;C program, if required.</w:t>
      </w:r>
      <w:r w:rsidRPr="00D351A3">
        <w:rPr>
          <w:sz w:val="24"/>
          <w:szCs w:val="24"/>
        </w:rPr>
        <w:t xml:space="preserve">  If it is determined that a demand response program </w:t>
      </w:r>
      <w:r w:rsidR="00D351A3">
        <w:rPr>
          <w:sz w:val="24"/>
          <w:szCs w:val="24"/>
        </w:rPr>
        <w:t>will</w:t>
      </w:r>
      <w:r w:rsidRPr="00D351A3">
        <w:rPr>
          <w:sz w:val="24"/>
          <w:szCs w:val="24"/>
        </w:rPr>
        <w:t xml:space="preserve"> be included in </w:t>
      </w:r>
      <w:r w:rsidR="00D351A3">
        <w:rPr>
          <w:sz w:val="24"/>
          <w:szCs w:val="24"/>
        </w:rPr>
        <w:t>the next round of EE&amp;C plans</w:t>
      </w:r>
      <w:r w:rsidRPr="00D351A3">
        <w:rPr>
          <w:sz w:val="24"/>
          <w:szCs w:val="24"/>
        </w:rPr>
        <w:t xml:space="preserve">, an appropriate portion of each plan budget </w:t>
      </w:r>
      <w:r w:rsidR="00A33AAF">
        <w:rPr>
          <w:sz w:val="24"/>
          <w:szCs w:val="24"/>
        </w:rPr>
        <w:t>will need to</w:t>
      </w:r>
      <w:r w:rsidRPr="00D351A3">
        <w:rPr>
          <w:sz w:val="24"/>
          <w:szCs w:val="24"/>
        </w:rPr>
        <w:t xml:space="preserve"> be dedicated to implementing such a program.  Further, if it is determined that a demand response program </w:t>
      </w:r>
      <w:r w:rsidR="00D351A3">
        <w:rPr>
          <w:sz w:val="24"/>
          <w:szCs w:val="24"/>
        </w:rPr>
        <w:t>will</w:t>
      </w:r>
      <w:r w:rsidRPr="00D351A3">
        <w:rPr>
          <w:sz w:val="24"/>
          <w:szCs w:val="24"/>
        </w:rPr>
        <w:t xml:space="preserve"> be included</w:t>
      </w:r>
      <w:r w:rsidR="00D351A3">
        <w:rPr>
          <w:sz w:val="24"/>
          <w:szCs w:val="24"/>
        </w:rPr>
        <w:t xml:space="preserve"> in the next round EE&amp;C plans</w:t>
      </w:r>
      <w:r w:rsidRPr="00D351A3">
        <w:rPr>
          <w:sz w:val="24"/>
          <w:szCs w:val="24"/>
        </w:rPr>
        <w:t xml:space="preserve">, </w:t>
      </w:r>
      <w:r w:rsidR="006B307C" w:rsidRPr="00D351A3">
        <w:rPr>
          <w:sz w:val="24"/>
          <w:szCs w:val="24"/>
        </w:rPr>
        <w:t>any</w:t>
      </w:r>
      <w:r w:rsidR="003B35CF">
        <w:rPr>
          <w:sz w:val="24"/>
          <w:szCs w:val="24"/>
        </w:rPr>
        <w:t xml:space="preserve"> </w:t>
      </w:r>
      <w:r w:rsidR="006B307C" w:rsidRPr="00D351A3">
        <w:rPr>
          <w:sz w:val="24"/>
          <w:szCs w:val="24"/>
        </w:rPr>
        <w:t xml:space="preserve">required peak demand reductions </w:t>
      </w:r>
      <w:r w:rsidRPr="00D351A3">
        <w:rPr>
          <w:sz w:val="24"/>
          <w:szCs w:val="24"/>
        </w:rPr>
        <w:t>must be met by May 31, 2017.</w:t>
      </w:r>
    </w:p>
    <w:p w:rsidR="00710DBE" w:rsidRPr="000D7109" w:rsidRDefault="00710DBE" w:rsidP="009A308C">
      <w:pPr>
        <w:pStyle w:val="ListParagraph"/>
        <w:jc w:val="both"/>
        <w:rPr>
          <w:sz w:val="24"/>
          <w:szCs w:val="24"/>
        </w:rPr>
      </w:pPr>
    </w:p>
    <w:p w:rsidR="006B307C" w:rsidRPr="00E20419" w:rsidRDefault="00D351A3" w:rsidP="009A308C">
      <w:pPr>
        <w:pStyle w:val="ListParagraph"/>
        <w:jc w:val="both"/>
        <w:rPr>
          <w:sz w:val="24"/>
          <w:szCs w:val="24"/>
        </w:rPr>
      </w:pPr>
      <w:r>
        <w:rPr>
          <w:sz w:val="24"/>
          <w:szCs w:val="24"/>
        </w:rPr>
        <w:t>For discussion purposes, w</w:t>
      </w:r>
      <w:r w:rsidR="00710DBE" w:rsidRPr="00D351A3">
        <w:rPr>
          <w:sz w:val="24"/>
          <w:szCs w:val="24"/>
        </w:rPr>
        <w:t xml:space="preserve">e have </w:t>
      </w:r>
      <w:r>
        <w:rPr>
          <w:sz w:val="24"/>
          <w:szCs w:val="24"/>
        </w:rPr>
        <w:t xml:space="preserve">tentatively </w:t>
      </w:r>
      <w:r w:rsidR="00710DBE" w:rsidRPr="00D351A3">
        <w:rPr>
          <w:sz w:val="24"/>
          <w:szCs w:val="24"/>
        </w:rPr>
        <w:t xml:space="preserve">identified a </w:t>
      </w:r>
      <w:r>
        <w:rPr>
          <w:sz w:val="24"/>
          <w:szCs w:val="24"/>
        </w:rPr>
        <w:t>number of</w:t>
      </w:r>
      <w:r w:rsidR="00710DBE" w:rsidRPr="00D351A3">
        <w:rPr>
          <w:sz w:val="24"/>
          <w:szCs w:val="24"/>
        </w:rPr>
        <w:t xml:space="preserve"> options for dealing with these contingencies. One option is to establish a three-year </w:t>
      </w:r>
      <w:r>
        <w:rPr>
          <w:sz w:val="24"/>
          <w:szCs w:val="24"/>
        </w:rPr>
        <w:t>EE&amp;C</w:t>
      </w:r>
      <w:r w:rsidR="00021147" w:rsidRPr="00D351A3">
        <w:rPr>
          <w:sz w:val="24"/>
          <w:szCs w:val="24"/>
        </w:rPr>
        <w:t xml:space="preserve"> </w:t>
      </w:r>
      <w:r w:rsidR="00710DBE" w:rsidRPr="00D351A3">
        <w:rPr>
          <w:sz w:val="24"/>
          <w:szCs w:val="24"/>
        </w:rPr>
        <w:t xml:space="preserve">Program with only consumption reduction budgets and targets through May 31, 2016, and await the receipt of the Statewide Evaluator’s demand response study </w:t>
      </w:r>
      <w:r w:rsidR="00E20419">
        <w:rPr>
          <w:sz w:val="24"/>
          <w:szCs w:val="24"/>
        </w:rPr>
        <w:t>before deciding</w:t>
      </w:r>
      <w:r w:rsidR="00710DBE" w:rsidRPr="00D351A3">
        <w:rPr>
          <w:sz w:val="24"/>
          <w:szCs w:val="24"/>
        </w:rPr>
        <w:t xml:space="preserve"> whether to include a demand response curtailment program in a potential</w:t>
      </w:r>
      <w:r w:rsidR="003B35CF">
        <w:rPr>
          <w:sz w:val="24"/>
          <w:szCs w:val="24"/>
        </w:rPr>
        <w:t xml:space="preserve"> </w:t>
      </w:r>
      <w:r w:rsidR="00E20419">
        <w:rPr>
          <w:sz w:val="24"/>
          <w:szCs w:val="24"/>
        </w:rPr>
        <w:t>third</w:t>
      </w:r>
      <w:r w:rsidR="00021147" w:rsidRPr="00D351A3">
        <w:rPr>
          <w:sz w:val="24"/>
          <w:szCs w:val="24"/>
        </w:rPr>
        <w:t xml:space="preserve"> </w:t>
      </w:r>
      <w:r w:rsidR="00710DBE" w:rsidRPr="00D351A3">
        <w:rPr>
          <w:sz w:val="24"/>
          <w:szCs w:val="24"/>
        </w:rPr>
        <w:t>EE&amp;C Program</w:t>
      </w:r>
      <w:r w:rsidR="001A4102" w:rsidRPr="00D351A3">
        <w:rPr>
          <w:sz w:val="24"/>
          <w:szCs w:val="24"/>
        </w:rPr>
        <w:t>.</w:t>
      </w:r>
      <w:r w:rsidR="00710DBE" w:rsidRPr="00D351A3">
        <w:rPr>
          <w:sz w:val="24"/>
          <w:szCs w:val="24"/>
        </w:rPr>
        <w:t xml:space="preserve"> </w:t>
      </w:r>
      <w:r w:rsidR="001A4102" w:rsidRPr="00E20419">
        <w:rPr>
          <w:sz w:val="24"/>
          <w:szCs w:val="24"/>
        </w:rPr>
        <w:t xml:space="preserve">  </w:t>
      </w:r>
      <w:r w:rsidR="006B307C" w:rsidRPr="00E20419">
        <w:rPr>
          <w:sz w:val="24"/>
          <w:szCs w:val="24"/>
        </w:rPr>
        <w:t>Under this scenario, EDCs would need to meet prescribed peak deman</w:t>
      </w:r>
      <w:r w:rsidR="00831D49" w:rsidRPr="00E20419">
        <w:rPr>
          <w:sz w:val="24"/>
          <w:szCs w:val="24"/>
        </w:rPr>
        <w:t>d</w:t>
      </w:r>
      <w:r w:rsidR="006B307C" w:rsidRPr="00E20419">
        <w:rPr>
          <w:sz w:val="24"/>
          <w:szCs w:val="24"/>
        </w:rPr>
        <w:t xml:space="preserve"> reductions within the first year of </w:t>
      </w:r>
      <w:r w:rsidR="00E20419">
        <w:rPr>
          <w:sz w:val="24"/>
          <w:szCs w:val="24"/>
        </w:rPr>
        <w:t>a third EE&amp;C program, if required.</w:t>
      </w:r>
      <w:r w:rsidR="006B307C" w:rsidRPr="00E20419">
        <w:rPr>
          <w:sz w:val="24"/>
          <w:szCs w:val="24"/>
        </w:rPr>
        <w:t xml:space="preserve">  </w:t>
      </w:r>
    </w:p>
    <w:p w:rsidR="006B307C" w:rsidRPr="000D7109" w:rsidRDefault="006B307C" w:rsidP="00710DBE">
      <w:pPr>
        <w:pStyle w:val="ListParagraph"/>
        <w:rPr>
          <w:sz w:val="24"/>
          <w:szCs w:val="24"/>
        </w:rPr>
      </w:pPr>
    </w:p>
    <w:p w:rsidR="001A4102" w:rsidRPr="00E20419" w:rsidRDefault="00710DBE" w:rsidP="009A308C">
      <w:pPr>
        <w:pStyle w:val="ListParagraph"/>
        <w:jc w:val="both"/>
        <w:rPr>
          <w:sz w:val="24"/>
          <w:szCs w:val="24"/>
        </w:rPr>
      </w:pPr>
      <w:r w:rsidRPr="00A01DB2">
        <w:rPr>
          <w:sz w:val="24"/>
          <w:szCs w:val="24"/>
        </w:rPr>
        <w:t xml:space="preserve">Another option </w:t>
      </w:r>
      <w:r w:rsidR="00021147" w:rsidRPr="00A01DB2">
        <w:rPr>
          <w:sz w:val="24"/>
          <w:szCs w:val="24"/>
        </w:rPr>
        <w:t>is to</w:t>
      </w:r>
      <w:r w:rsidRPr="00A01DB2">
        <w:rPr>
          <w:sz w:val="24"/>
          <w:szCs w:val="24"/>
        </w:rPr>
        <w:t xml:space="preserve"> set multi-year demand response reduction targets for the duration of </w:t>
      </w:r>
      <w:r w:rsidR="003B35CF">
        <w:rPr>
          <w:sz w:val="24"/>
          <w:szCs w:val="24"/>
        </w:rPr>
        <w:t>the second EE&amp;C program</w:t>
      </w:r>
      <w:r w:rsidRPr="00E20419">
        <w:rPr>
          <w:sz w:val="24"/>
          <w:szCs w:val="24"/>
        </w:rPr>
        <w:t xml:space="preserve">, just as Phase </w:t>
      </w:r>
      <w:r w:rsidR="00021147" w:rsidRPr="00E20419">
        <w:rPr>
          <w:sz w:val="24"/>
          <w:szCs w:val="24"/>
        </w:rPr>
        <w:t xml:space="preserve">One </w:t>
      </w:r>
      <w:r w:rsidRPr="00E20419">
        <w:rPr>
          <w:sz w:val="24"/>
          <w:szCs w:val="24"/>
        </w:rPr>
        <w:t xml:space="preserve">had a short-term consumption and a long-term consumption target.  </w:t>
      </w:r>
    </w:p>
    <w:p w:rsidR="001A4102" w:rsidRPr="000D7109" w:rsidRDefault="001A4102" w:rsidP="009A308C">
      <w:pPr>
        <w:pStyle w:val="ListParagraph"/>
        <w:jc w:val="both"/>
        <w:rPr>
          <w:sz w:val="24"/>
          <w:szCs w:val="24"/>
        </w:rPr>
      </w:pPr>
    </w:p>
    <w:p w:rsidR="00710DBE" w:rsidRPr="00E20419" w:rsidRDefault="00710DBE" w:rsidP="009A308C">
      <w:pPr>
        <w:pStyle w:val="ListParagraph"/>
        <w:jc w:val="both"/>
        <w:rPr>
          <w:sz w:val="24"/>
          <w:szCs w:val="24"/>
        </w:rPr>
      </w:pPr>
      <w:r w:rsidRPr="00A01DB2">
        <w:rPr>
          <w:sz w:val="24"/>
          <w:szCs w:val="24"/>
        </w:rPr>
        <w:t xml:space="preserve">In the event the Commission determines that there is not a cost-effective demand response curtailment program design, there would </w:t>
      </w:r>
      <w:r w:rsidR="00E20419">
        <w:rPr>
          <w:sz w:val="24"/>
          <w:szCs w:val="24"/>
        </w:rPr>
        <w:t xml:space="preserve">likely </w:t>
      </w:r>
      <w:r w:rsidRPr="00E20419">
        <w:rPr>
          <w:sz w:val="24"/>
          <w:szCs w:val="24"/>
        </w:rPr>
        <w:t>be no peak demand reduction program in either</w:t>
      </w:r>
      <w:r w:rsidR="00E20419">
        <w:rPr>
          <w:sz w:val="24"/>
          <w:szCs w:val="24"/>
        </w:rPr>
        <w:t xml:space="preserve"> of</w:t>
      </w:r>
      <w:r w:rsidR="00021147" w:rsidRPr="00E20419">
        <w:rPr>
          <w:sz w:val="24"/>
          <w:szCs w:val="24"/>
        </w:rPr>
        <w:t xml:space="preserve"> these </w:t>
      </w:r>
      <w:r w:rsidR="001A4102" w:rsidRPr="00E20419">
        <w:rPr>
          <w:sz w:val="24"/>
          <w:szCs w:val="24"/>
        </w:rPr>
        <w:t xml:space="preserve">two </w:t>
      </w:r>
      <w:r w:rsidR="00021147" w:rsidRPr="00E20419">
        <w:rPr>
          <w:sz w:val="24"/>
          <w:szCs w:val="24"/>
        </w:rPr>
        <w:t>scenarios</w:t>
      </w:r>
      <w:r w:rsidRPr="00E20419">
        <w:rPr>
          <w:sz w:val="24"/>
          <w:szCs w:val="24"/>
        </w:rPr>
        <w:t>.</w:t>
      </w:r>
    </w:p>
    <w:p w:rsidR="00710DBE" w:rsidRPr="000D7109" w:rsidRDefault="00710DBE" w:rsidP="009A308C">
      <w:pPr>
        <w:pStyle w:val="ListParagraph"/>
        <w:jc w:val="both"/>
        <w:rPr>
          <w:sz w:val="24"/>
          <w:szCs w:val="24"/>
        </w:rPr>
      </w:pPr>
    </w:p>
    <w:p w:rsidR="001A4102" w:rsidRPr="00E20419" w:rsidRDefault="00710DBE" w:rsidP="009A308C">
      <w:pPr>
        <w:pStyle w:val="ListParagraph"/>
        <w:jc w:val="both"/>
        <w:rPr>
          <w:sz w:val="24"/>
          <w:szCs w:val="24"/>
        </w:rPr>
      </w:pPr>
      <w:r w:rsidRPr="00A01DB2">
        <w:rPr>
          <w:sz w:val="24"/>
          <w:szCs w:val="24"/>
        </w:rPr>
        <w:t>A</w:t>
      </w:r>
      <w:r w:rsidR="001A4102" w:rsidRPr="00A01DB2">
        <w:rPr>
          <w:sz w:val="24"/>
          <w:szCs w:val="24"/>
        </w:rPr>
        <w:t xml:space="preserve"> third</w:t>
      </w:r>
      <w:r w:rsidRPr="00A01DB2">
        <w:rPr>
          <w:sz w:val="24"/>
          <w:szCs w:val="24"/>
        </w:rPr>
        <w:t xml:space="preserve"> option </w:t>
      </w:r>
      <w:r w:rsidR="00E20419">
        <w:rPr>
          <w:sz w:val="24"/>
          <w:szCs w:val="24"/>
        </w:rPr>
        <w:t>to</w:t>
      </w:r>
      <w:r w:rsidRPr="00E20419">
        <w:rPr>
          <w:sz w:val="24"/>
          <w:szCs w:val="24"/>
        </w:rPr>
        <w:t xml:space="preserve"> deal with the demand response program contingency is to require EDCs to set aside a portion of their </w:t>
      </w:r>
      <w:r w:rsidR="00E20419">
        <w:rPr>
          <w:sz w:val="24"/>
          <w:szCs w:val="24"/>
        </w:rPr>
        <w:t>next round of</w:t>
      </w:r>
      <w:r w:rsidR="00977B3F" w:rsidRPr="00E20419">
        <w:rPr>
          <w:sz w:val="24"/>
          <w:szCs w:val="24"/>
        </w:rPr>
        <w:t xml:space="preserve"> </w:t>
      </w:r>
      <w:r w:rsidRPr="00E20419">
        <w:rPr>
          <w:sz w:val="24"/>
          <w:szCs w:val="24"/>
        </w:rPr>
        <w:t xml:space="preserve">EE&amp;C Plan budgets to fund demand response programs in the event the Commission determines that there can be a cost-effective demand response program for </w:t>
      </w:r>
      <w:r w:rsidR="00E20419">
        <w:rPr>
          <w:sz w:val="24"/>
          <w:szCs w:val="24"/>
        </w:rPr>
        <w:t>the next round of plans</w:t>
      </w:r>
      <w:r w:rsidRPr="00E20419">
        <w:rPr>
          <w:sz w:val="24"/>
          <w:szCs w:val="24"/>
        </w:rPr>
        <w:t xml:space="preserve">.  This option would allow for </w:t>
      </w:r>
      <w:r w:rsidR="00E20419">
        <w:rPr>
          <w:sz w:val="24"/>
          <w:szCs w:val="24"/>
        </w:rPr>
        <w:t>the next EE&amp;C Program</w:t>
      </w:r>
      <w:r w:rsidR="00977B3F" w:rsidRPr="00E20419">
        <w:rPr>
          <w:sz w:val="24"/>
          <w:szCs w:val="24"/>
        </w:rPr>
        <w:t xml:space="preserve"> </w:t>
      </w:r>
      <w:r w:rsidRPr="00E20419">
        <w:rPr>
          <w:sz w:val="24"/>
          <w:szCs w:val="24"/>
        </w:rPr>
        <w:t>to run for 4 or 5 years, with any Commission</w:t>
      </w:r>
      <w:r w:rsidR="006B307C" w:rsidRPr="00E20419">
        <w:rPr>
          <w:sz w:val="24"/>
          <w:szCs w:val="24"/>
        </w:rPr>
        <w:t>-</w:t>
      </w:r>
      <w:r w:rsidRPr="00E20419">
        <w:rPr>
          <w:sz w:val="24"/>
          <w:szCs w:val="24"/>
        </w:rPr>
        <w:t>required peak demand reduction</w:t>
      </w:r>
      <w:r w:rsidR="006B307C" w:rsidRPr="00E20419">
        <w:rPr>
          <w:sz w:val="24"/>
          <w:szCs w:val="24"/>
        </w:rPr>
        <w:t>s</w:t>
      </w:r>
      <w:r w:rsidRPr="00E20419">
        <w:rPr>
          <w:sz w:val="24"/>
          <w:szCs w:val="24"/>
        </w:rPr>
        <w:t xml:space="preserve"> </w:t>
      </w:r>
      <w:r w:rsidR="00977B3F" w:rsidRPr="00E20419">
        <w:rPr>
          <w:sz w:val="24"/>
          <w:szCs w:val="24"/>
        </w:rPr>
        <w:t>being</w:t>
      </w:r>
      <w:r w:rsidRPr="00E20419">
        <w:rPr>
          <w:sz w:val="24"/>
          <w:szCs w:val="24"/>
        </w:rPr>
        <w:t xml:space="preserve"> met by May 31, 2017.  </w:t>
      </w:r>
    </w:p>
    <w:p w:rsidR="001A4102" w:rsidRPr="000D7109" w:rsidRDefault="001A4102" w:rsidP="009A308C">
      <w:pPr>
        <w:pStyle w:val="ListParagraph"/>
        <w:jc w:val="both"/>
        <w:rPr>
          <w:sz w:val="24"/>
          <w:szCs w:val="24"/>
        </w:rPr>
      </w:pPr>
    </w:p>
    <w:p w:rsidR="00710DBE" w:rsidRDefault="00710DBE" w:rsidP="009A308C">
      <w:pPr>
        <w:pStyle w:val="ListParagraph"/>
        <w:jc w:val="both"/>
        <w:rPr>
          <w:sz w:val="24"/>
          <w:szCs w:val="24"/>
        </w:rPr>
      </w:pPr>
      <w:r w:rsidRPr="00A01DB2">
        <w:rPr>
          <w:sz w:val="24"/>
          <w:szCs w:val="24"/>
        </w:rPr>
        <w:t xml:space="preserve">In the event that the Commission cannot identify a cost-effective demand response program for </w:t>
      </w:r>
      <w:r w:rsidR="00E20419">
        <w:rPr>
          <w:sz w:val="24"/>
          <w:szCs w:val="24"/>
        </w:rPr>
        <w:t>any subsequent EE&amp;C Plan</w:t>
      </w:r>
      <w:r w:rsidRPr="00E20419">
        <w:rPr>
          <w:sz w:val="24"/>
          <w:szCs w:val="24"/>
        </w:rPr>
        <w:t xml:space="preserve">, the Commission could consider allowing EDCs to </w:t>
      </w:r>
      <w:r w:rsidR="00E20419">
        <w:rPr>
          <w:sz w:val="24"/>
          <w:szCs w:val="24"/>
        </w:rPr>
        <w:t>utilize</w:t>
      </w:r>
      <w:r w:rsidRPr="00E20419">
        <w:rPr>
          <w:sz w:val="24"/>
          <w:szCs w:val="24"/>
        </w:rPr>
        <w:t xml:space="preserve"> all </w:t>
      </w:r>
      <w:r w:rsidR="00E20419">
        <w:rPr>
          <w:sz w:val="24"/>
          <w:szCs w:val="24"/>
        </w:rPr>
        <w:t>of its</w:t>
      </w:r>
      <w:r w:rsidR="003B35CF">
        <w:rPr>
          <w:sz w:val="24"/>
          <w:szCs w:val="24"/>
        </w:rPr>
        <w:t xml:space="preserve"> </w:t>
      </w:r>
      <w:r w:rsidRPr="00E20419">
        <w:rPr>
          <w:sz w:val="24"/>
          <w:szCs w:val="24"/>
        </w:rPr>
        <w:t xml:space="preserve">EE&amp;C Plan funding </w:t>
      </w:r>
      <w:r w:rsidR="00E20419">
        <w:rPr>
          <w:sz w:val="24"/>
          <w:szCs w:val="24"/>
        </w:rPr>
        <w:t>for</w:t>
      </w:r>
      <w:r w:rsidRPr="00E20419">
        <w:rPr>
          <w:sz w:val="24"/>
          <w:szCs w:val="24"/>
        </w:rPr>
        <w:t xml:space="preserve"> consumption reduction programs.</w:t>
      </w:r>
    </w:p>
    <w:p w:rsidR="00E20419" w:rsidRPr="009A308C" w:rsidRDefault="00E20419" w:rsidP="009A308C">
      <w:pPr>
        <w:rPr>
          <w:sz w:val="24"/>
          <w:szCs w:val="24"/>
        </w:rPr>
      </w:pPr>
    </w:p>
    <w:p w:rsidR="00710DBE" w:rsidRPr="00E20419" w:rsidRDefault="00A33AAF" w:rsidP="009A308C">
      <w:pPr>
        <w:pStyle w:val="ListParagraph"/>
        <w:jc w:val="both"/>
        <w:rPr>
          <w:sz w:val="24"/>
          <w:szCs w:val="24"/>
        </w:rPr>
      </w:pPr>
      <w:r>
        <w:rPr>
          <w:sz w:val="24"/>
          <w:szCs w:val="24"/>
        </w:rPr>
        <w:t xml:space="preserve">In addition to commenting on these options, the Commission seeks input on parties’ positions regarding the inclusion of a demand response program in future EE&amp;C plans.  Specifically, assuming that the Statewide Evaluator’s report indicates that the current demand response programs (based on a reduction in peak demand for the 100 hours of greatest demand) are not cost effective, should a demand response program be included in the next round of plans, if required?  If so, how should these demand response programs be structured to be cost-effective? </w:t>
      </w:r>
    </w:p>
    <w:p w:rsidR="00945DEF" w:rsidRPr="00A33AAF" w:rsidRDefault="00945DEF" w:rsidP="00945DEF">
      <w:pPr>
        <w:rPr>
          <w:b/>
          <w:sz w:val="24"/>
          <w:szCs w:val="24"/>
          <w:u w:val="single"/>
        </w:rPr>
      </w:pPr>
    </w:p>
    <w:p w:rsidR="00945DEF" w:rsidRPr="00A01DB2" w:rsidRDefault="00977B3F" w:rsidP="00945DEF">
      <w:pPr>
        <w:pStyle w:val="ListParagraph"/>
        <w:numPr>
          <w:ilvl w:val="0"/>
          <w:numId w:val="13"/>
        </w:numPr>
        <w:rPr>
          <w:b/>
          <w:sz w:val="24"/>
          <w:szCs w:val="24"/>
          <w:u w:val="single"/>
        </w:rPr>
      </w:pPr>
      <w:r w:rsidRPr="000D7109">
        <w:rPr>
          <w:b/>
          <w:sz w:val="24"/>
          <w:szCs w:val="24"/>
          <w:u w:val="single"/>
        </w:rPr>
        <w:t xml:space="preserve">Aligning </w:t>
      </w:r>
      <w:r w:rsidR="00945DEF" w:rsidRPr="00F309A9">
        <w:rPr>
          <w:b/>
          <w:sz w:val="24"/>
          <w:szCs w:val="24"/>
          <w:u w:val="single"/>
        </w:rPr>
        <w:t>EDC Target</w:t>
      </w:r>
      <w:r w:rsidR="0053714C" w:rsidRPr="00A01DB2">
        <w:rPr>
          <w:b/>
          <w:sz w:val="24"/>
          <w:szCs w:val="24"/>
          <w:u w:val="single"/>
        </w:rPr>
        <w:t>s</w:t>
      </w:r>
      <w:r w:rsidR="00945DEF" w:rsidRPr="00A01DB2">
        <w:rPr>
          <w:b/>
          <w:sz w:val="24"/>
          <w:szCs w:val="24"/>
          <w:u w:val="single"/>
        </w:rPr>
        <w:t xml:space="preserve"> and Funding Using Dollars per </w:t>
      </w:r>
      <w:proofErr w:type="spellStart"/>
      <w:r w:rsidR="00945DEF" w:rsidRPr="00A01DB2">
        <w:rPr>
          <w:b/>
          <w:sz w:val="24"/>
          <w:szCs w:val="24"/>
          <w:u w:val="single"/>
        </w:rPr>
        <w:t>MW</w:t>
      </w:r>
      <w:r w:rsidR="005424F7" w:rsidRPr="00A01DB2">
        <w:rPr>
          <w:b/>
          <w:sz w:val="24"/>
          <w:szCs w:val="24"/>
          <w:u w:val="single"/>
        </w:rPr>
        <w:t>h</w:t>
      </w:r>
      <w:proofErr w:type="spellEnd"/>
      <w:r w:rsidR="00945DEF" w:rsidRPr="00A01DB2">
        <w:rPr>
          <w:b/>
          <w:sz w:val="24"/>
          <w:szCs w:val="24"/>
          <w:u w:val="single"/>
        </w:rPr>
        <w:t xml:space="preserve"> of Expected Reductions</w:t>
      </w:r>
    </w:p>
    <w:p w:rsidR="00945DEF" w:rsidRPr="00A01DB2" w:rsidRDefault="00945DEF" w:rsidP="00945DEF">
      <w:pPr>
        <w:pStyle w:val="ListParagraph"/>
        <w:rPr>
          <w:sz w:val="24"/>
          <w:szCs w:val="24"/>
        </w:rPr>
      </w:pPr>
    </w:p>
    <w:p w:rsidR="00945DEF" w:rsidRPr="00775A19" w:rsidRDefault="00945DEF" w:rsidP="009A308C">
      <w:pPr>
        <w:pStyle w:val="ListParagraph"/>
        <w:jc w:val="both"/>
        <w:rPr>
          <w:sz w:val="24"/>
          <w:szCs w:val="24"/>
        </w:rPr>
      </w:pPr>
      <w:r w:rsidRPr="00A01DB2">
        <w:rPr>
          <w:sz w:val="24"/>
          <w:szCs w:val="24"/>
        </w:rPr>
        <w:t xml:space="preserve">Act 129 </w:t>
      </w:r>
      <w:r w:rsidR="00F63D91" w:rsidRPr="00A01DB2">
        <w:rPr>
          <w:sz w:val="24"/>
          <w:szCs w:val="24"/>
        </w:rPr>
        <w:t>restrict</w:t>
      </w:r>
      <w:r w:rsidR="00A33AAF">
        <w:rPr>
          <w:sz w:val="24"/>
          <w:szCs w:val="24"/>
        </w:rPr>
        <w:t>s</w:t>
      </w:r>
      <w:r w:rsidRPr="00A33AAF">
        <w:rPr>
          <w:sz w:val="24"/>
          <w:szCs w:val="24"/>
        </w:rPr>
        <w:t xml:space="preserve"> the total cost of any </w:t>
      </w:r>
      <w:r w:rsidR="00F63D91" w:rsidRPr="00A33AAF">
        <w:rPr>
          <w:sz w:val="24"/>
          <w:szCs w:val="24"/>
        </w:rPr>
        <w:t>EDC plan to no more than</w:t>
      </w:r>
      <w:r w:rsidRPr="00A33AAF">
        <w:rPr>
          <w:sz w:val="24"/>
          <w:szCs w:val="24"/>
        </w:rPr>
        <w:t xml:space="preserve"> 2</w:t>
      </w:r>
      <w:r w:rsidR="005424F7" w:rsidRPr="00A33AAF">
        <w:rPr>
          <w:sz w:val="24"/>
          <w:szCs w:val="24"/>
        </w:rPr>
        <w:t>%</w:t>
      </w:r>
      <w:r w:rsidRPr="00A33AAF">
        <w:rPr>
          <w:sz w:val="24"/>
          <w:szCs w:val="24"/>
        </w:rPr>
        <w:t xml:space="preserve"> of </w:t>
      </w:r>
      <w:r w:rsidR="006B307C" w:rsidRPr="00A33AAF">
        <w:rPr>
          <w:sz w:val="24"/>
          <w:szCs w:val="24"/>
        </w:rPr>
        <w:t xml:space="preserve">that </w:t>
      </w:r>
      <w:r w:rsidRPr="00A33AAF">
        <w:rPr>
          <w:sz w:val="24"/>
          <w:szCs w:val="24"/>
        </w:rPr>
        <w:t xml:space="preserve">EDC’s </w:t>
      </w:r>
      <w:r w:rsidR="00977B3F" w:rsidRPr="00A33AAF">
        <w:rPr>
          <w:sz w:val="24"/>
          <w:szCs w:val="24"/>
        </w:rPr>
        <w:t xml:space="preserve">2006 </w:t>
      </w:r>
      <w:r w:rsidRPr="00A33AAF">
        <w:rPr>
          <w:sz w:val="24"/>
          <w:szCs w:val="24"/>
        </w:rPr>
        <w:t>total annual revenue.</w:t>
      </w:r>
      <w:r w:rsidR="00831D49" w:rsidRPr="00A33AAF">
        <w:rPr>
          <w:rStyle w:val="FootnoteReference"/>
          <w:sz w:val="24"/>
          <w:szCs w:val="24"/>
        </w:rPr>
        <w:footnoteReference w:id="5"/>
      </w:r>
      <w:r w:rsidRPr="00A33AAF">
        <w:rPr>
          <w:sz w:val="24"/>
          <w:szCs w:val="24"/>
        </w:rPr>
        <w:t xml:space="preserve">  In addition, </w:t>
      </w:r>
      <w:r w:rsidR="00A33AAF">
        <w:rPr>
          <w:sz w:val="24"/>
          <w:szCs w:val="24"/>
        </w:rPr>
        <w:t xml:space="preserve">for the initial round of EE&amp;C Plans, </w:t>
      </w:r>
      <w:r w:rsidRPr="00A33AAF">
        <w:rPr>
          <w:sz w:val="24"/>
          <w:szCs w:val="24"/>
        </w:rPr>
        <w:t xml:space="preserve">Act 129 </w:t>
      </w:r>
      <w:r w:rsidR="00F63D91" w:rsidRPr="00A33AAF">
        <w:rPr>
          <w:sz w:val="24"/>
          <w:szCs w:val="24"/>
        </w:rPr>
        <w:t xml:space="preserve">set </w:t>
      </w:r>
      <w:r w:rsidRPr="00A33AAF">
        <w:rPr>
          <w:sz w:val="24"/>
          <w:szCs w:val="24"/>
        </w:rPr>
        <w:t xml:space="preserve">uniform percentage reduction targets to be achieved under </w:t>
      </w:r>
      <w:r w:rsidR="00977B3F" w:rsidRPr="00A33AAF">
        <w:rPr>
          <w:sz w:val="24"/>
          <w:szCs w:val="24"/>
        </w:rPr>
        <w:t xml:space="preserve">that </w:t>
      </w:r>
      <w:r w:rsidRPr="00A33AAF">
        <w:rPr>
          <w:sz w:val="24"/>
          <w:szCs w:val="24"/>
        </w:rPr>
        <w:t xml:space="preserve">2% revenue cap.  Because of </w:t>
      </w:r>
      <w:r w:rsidR="00F63D91" w:rsidRPr="00A33AAF">
        <w:rPr>
          <w:sz w:val="24"/>
          <w:szCs w:val="24"/>
        </w:rPr>
        <w:t>differences between</w:t>
      </w:r>
      <w:r w:rsidRPr="00A33AAF">
        <w:rPr>
          <w:sz w:val="24"/>
          <w:szCs w:val="24"/>
        </w:rPr>
        <w:t xml:space="preserve"> the EDCs</w:t>
      </w:r>
      <w:r w:rsidR="00977B3F" w:rsidRPr="00A33AAF">
        <w:rPr>
          <w:sz w:val="24"/>
          <w:szCs w:val="24"/>
        </w:rPr>
        <w:t>’ 2006 revenues</w:t>
      </w:r>
      <w:r w:rsidR="00F63D91" w:rsidRPr="00A33AAF">
        <w:rPr>
          <w:sz w:val="24"/>
          <w:szCs w:val="24"/>
        </w:rPr>
        <w:t>,</w:t>
      </w:r>
      <w:r w:rsidRPr="00A33AAF">
        <w:rPr>
          <w:sz w:val="24"/>
          <w:szCs w:val="24"/>
        </w:rPr>
        <w:t xml:space="preserve"> the amount of </w:t>
      </w:r>
      <w:r w:rsidR="00163A25" w:rsidRPr="00A33AAF">
        <w:rPr>
          <w:sz w:val="24"/>
          <w:szCs w:val="24"/>
        </w:rPr>
        <w:t>funding available</w:t>
      </w:r>
      <w:r w:rsidRPr="00A33AAF">
        <w:rPr>
          <w:sz w:val="24"/>
          <w:szCs w:val="24"/>
        </w:rPr>
        <w:t xml:space="preserve"> </w:t>
      </w:r>
      <w:r w:rsidR="00F63D91" w:rsidRPr="00A33AAF">
        <w:rPr>
          <w:sz w:val="24"/>
          <w:szCs w:val="24"/>
        </w:rPr>
        <w:t xml:space="preserve">for each EDC </w:t>
      </w:r>
      <w:r w:rsidR="00775A19">
        <w:rPr>
          <w:sz w:val="24"/>
          <w:szCs w:val="24"/>
        </w:rPr>
        <w:t xml:space="preserve">EE&amp;C plan </w:t>
      </w:r>
      <w:r w:rsidR="00F63D91" w:rsidRPr="00A33AAF">
        <w:rPr>
          <w:sz w:val="24"/>
          <w:szCs w:val="24"/>
        </w:rPr>
        <w:t>varies</w:t>
      </w:r>
      <w:r w:rsidRPr="00A33AAF">
        <w:rPr>
          <w:sz w:val="24"/>
          <w:szCs w:val="24"/>
        </w:rPr>
        <w:t>,</w:t>
      </w:r>
      <w:r w:rsidR="00F63D91" w:rsidRPr="00A33AAF">
        <w:rPr>
          <w:sz w:val="24"/>
          <w:szCs w:val="24"/>
        </w:rPr>
        <w:t xml:space="preserve"> with some EDCs </w:t>
      </w:r>
      <w:r w:rsidR="0053714C" w:rsidRPr="00A33AAF">
        <w:rPr>
          <w:sz w:val="24"/>
          <w:szCs w:val="24"/>
        </w:rPr>
        <w:t xml:space="preserve">having significantly more dollars </w:t>
      </w:r>
      <w:r w:rsidR="001A4102" w:rsidRPr="00A33AAF">
        <w:rPr>
          <w:sz w:val="24"/>
          <w:szCs w:val="24"/>
        </w:rPr>
        <w:t>per</w:t>
      </w:r>
      <w:r w:rsidR="00775A19">
        <w:rPr>
          <w:sz w:val="24"/>
          <w:szCs w:val="24"/>
        </w:rPr>
        <w:t xml:space="preserve"> megawatt hour</w:t>
      </w:r>
      <w:r w:rsidR="001A4102" w:rsidRPr="00A33AAF">
        <w:rPr>
          <w:sz w:val="24"/>
          <w:szCs w:val="24"/>
        </w:rPr>
        <w:t xml:space="preserve"> </w:t>
      </w:r>
      <w:r w:rsidR="003B35CF">
        <w:rPr>
          <w:sz w:val="24"/>
          <w:szCs w:val="24"/>
        </w:rPr>
        <w:t>(</w:t>
      </w:r>
      <w:proofErr w:type="spellStart"/>
      <w:r w:rsidR="001A4102" w:rsidRPr="00A33AAF">
        <w:rPr>
          <w:sz w:val="24"/>
          <w:szCs w:val="24"/>
        </w:rPr>
        <w:t>MWh</w:t>
      </w:r>
      <w:proofErr w:type="spellEnd"/>
      <w:r w:rsidR="003B35CF">
        <w:rPr>
          <w:sz w:val="24"/>
          <w:szCs w:val="24"/>
        </w:rPr>
        <w:t>)</w:t>
      </w:r>
      <w:r w:rsidR="001A4102" w:rsidRPr="00A33AAF">
        <w:rPr>
          <w:sz w:val="24"/>
          <w:szCs w:val="24"/>
        </w:rPr>
        <w:t xml:space="preserve"> of expected reductions </w:t>
      </w:r>
      <w:r w:rsidR="0053714C" w:rsidRPr="00A33AAF">
        <w:rPr>
          <w:sz w:val="24"/>
          <w:szCs w:val="24"/>
        </w:rPr>
        <w:t xml:space="preserve">available </w:t>
      </w:r>
      <w:r w:rsidR="00977B3F" w:rsidRPr="00A33AAF">
        <w:rPr>
          <w:sz w:val="24"/>
          <w:szCs w:val="24"/>
        </w:rPr>
        <w:t>than the other</w:t>
      </w:r>
      <w:r w:rsidR="00775A19">
        <w:rPr>
          <w:sz w:val="24"/>
          <w:szCs w:val="24"/>
        </w:rPr>
        <w:t>s</w:t>
      </w:r>
      <w:r w:rsidR="0053714C" w:rsidRPr="00A33AAF">
        <w:rPr>
          <w:sz w:val="24"/>
          <w:szCs w:val="24"/>
        </w:rPr>
        <w:t xml:space="preserve">.  </w:t>
      </w:r>
      <w:r w:rsidR="00977B3F" w:rsidRPr="00A33AAF">
        <w:rPr>
          <w:sz w:val="24"/>
          <w:szCs w:val="24"/>
        </w:rPr>
        <w:t xml:space="preserve">Should the </w:t>
      </w:r>
      <w:r w:rsidR="00977B3F" w:rsidRPr="00A33AAF">
        <w:rPr>
          <w:sz w:val="24"/>
          <w:szCs w:val="24"/>
        </w:rPr>
        <w:lastRenderedPageBreak/>
        <w:t>Co</w:t>
      </w:r>
      <w:r w:rsidR="00977B3F" w:rsidRPr="00775A19">
        <w:rPr>
          <w:sz w:val="24"/>
          <w:szCs w:val="24"/>
        </w:rPr>
        <w:t xml:space="preserve">mmission address this imbalance in </w:t>
      </w:r>
      <w:r w:rsidR="00775A19">
        <w:rPr>
          <w:sz w:val="24"/>
          <w:szCs w:val="24"/>
        </w:rPr>
        <w:t>the next round of EE&amp;C plans, if required</w:t>
      </w:r>
      <w:r w:rsidR="00977B3F" w:rsidRPr="00775A19">
        <w:rPr>
          <w:sz w:val="24"/>
          <w:szCs w:val="24"/>
        </w:rPr>
        <w:t xml:space="preserve">?  If so, </w:t>
      </w:r>
      <w:r w:rsidR="006B307C" w:rsidRPr="00775A19">
        <w:rPr>
          <w:sz w:val="24"/>
          <w:szCs w:val="24"/>
        </w:rPr>
        <w:t>s</w:t>
      </w:r>
      <w:r w:rsidR="00977B3F" w:rsidRPr="00775A19">
        <w:rPr>
          <w:sz w:val="24"/>
          <w:szCs w:val="24"/>
        </w:rPr>
        <w:t xml:space="preserve">hould </w:t>
      </w:r>
      <w:r w:rsidR="00775A19">
        <w:rPr>
          <w:sz w:val="24"/>
          <w:szCs w:val="24"/>
        </w:rPr>
        <w:t>this issue</w:t>
      </w:r>
      <w:r w:rsidR="00977B3F" w:rsidRPr="00775A19">
        <w:rPr>
          <w:sz w:val="24"/>
          <w:szCs w:val="24"/>
        </w:rPr>
        <w:t xml:space="preserve"> be addressed by </w:t>
      </w:r>
      <w:r w:rsidR="00F63D91" w:rsidRPr="00775A19">
        <w:rPr>
          <w:sz w:val="24"/>
          <w:szCs w:val="24"/>
        </w:rPr>
        <w:t>reduc</w:t>
      </w:r>
      <w:r w:rsidR="00977B3F" w:rsidRPr="00775A19">
        <w:rPr>
          <w:sz w:val="24"/>
          <w:szCs w:val="24"/>
        </w:rPr>
        <w:t>ing</w:t>
      </w:r>
      <w:r w:rsidR="0053714C" w:rsidRPr="00775A19">
        <w:rPr>
          <w:sz w:val="24"/>
          <w:szCs w:val="24"/>
        </w:rPr>
        <w:t xml:space="preserve"> </w:t>
      </w:r>
      <w:r w:rsidR="00F63D91" w:rsidRPr="00775A19">
        <w:rPr>
          <w:sz w:val="24"/>
          <w:szCs w:val="24"/>
        </w:rPr>
        <w:t xml:space="preserve">plan </w:t>
      </w:r>
      <w:r w:rsidR="00163A25" w:rsidRPr="00775A19">
        <w:rPr>
          <w:sz w:val="24"/>
          <w:szCs w:val="24"/>
        </w:rPr>
        <w:t>funding</w:t>
      </w:r>
      <w:r w:rsidR="0053714C" w:rsidRPr="00775A19">
        <w:rPr>
          <w:sz w:val="24"/>
          <w:szCs w:val="24"/>
        </w:rPr>
        <w:t xml:space="preserve"> </w:t>
      </w:r>
      <w:r w:rsidR="00F63D91" w:rsidRPr="00775A19">
        <w:rPr>
          <w:sz w:val="24"/>
          <w:szCs w:val="24"/>
        </w:rPr>
        <w:t>for those EDCs with larger budgets</w:t>
      </w:r>
      <w:r w:rsidR="0053714C" w:rsidRPr="00775A19">
        <w:rPr>
          <w:sz w:val="24"/>
          <w:szCs w:val="24"/>
        </w:rPr>
        <w:t xml:space="preserve"> or</w:t>
      </w:r>
      <w:r w:rsidR="00775A19">
        <w:rPr>
          <w:sz w:val="24"/>
          <w:szCs w:val="24"/>
        </w:rPr>
        <w:t xml:space="preserve"> by</w:t>
      </w:r>
      <w:r w:rsidR="0053714C" w:rsidRPr="00775A19">
        <w:rPr>
          <w:sz w:val="24"/>
          <w:szCs w:val="24"/>
        </w:rPr>
        <w:t xml:space="preserve"> </w:t>
      </w:r>
      <w:r w:rsidR="00F63D91" w:rsidRPr="00775A19">
        <w:rPr>
          <w:sz w:val="24"/>
          <w:szCs w:val="24"/>
        </w:rPr>
        <w:t>set</w:t>
      </w:r>
      <w:r w:rsidR="00977B3F" w:rsidRPr="00775A19">
        <w:rPr>
          <w:sz w:val="24"/>
          <w:szCs w:val="24"/>
        </w:rPr>
        <w:t>ting</w:t>
      </w:r>
      <w:r w:rsidR="00F63D91" w:rsidRPr="00775A19">
        <w:rPr>
          <w:sz w:val="24"/>
          <w:szCs w:val="24"/>
        </w:rPr>
        <w:t xml:space="preserve"> </w:t>
      </w:r>
      <w:r w:rsidR="0053714C" w:rsidRPr="00775A19">
        <w:rPr>
          <w:sz w:val="24"/>
          <w:szCs w:val="24"/>
        </w:rPr>
        <w:t>reduction target</w:t>
      </w:r>
      <w:r w:rsidR="00FE5D97" w:rsidRPr="00775A19">
        <w:rPr>
          <w:sz w:val="24"/>
          <w:szCs w:val="24"/>
        </w:rPr>
        <w:t>s</w:t>
      </w:r>
      <w:r w:rsidR="0053714C" w:rsidRPr="00775A19">
        <w:rPr>
          <w:sz w:val="24"/>
          <w:szCs w:val="24"/>
        </w:rPr>
        <w:t xml:space="preserve"> among the EDCs </w:t>
      </w:r>
      <w:r w:rsidR="00977B3F" w:rsidRPr="00775A19">
        <w:rPr>
          <w:sz w:val="24"/>
          <w:szCs w:val="24"/>
        </w:rPr>
        <w:t>based on an equal dollars</w:t>
      </w:r>
      <w:r w:rsidR="0053714C" w:rsidRPr="00775A19">
        <w:rPr>
          <w:sz w:val="24"/>
          <w:szCs w:val="24"/>
        </w:rPr>
        <w:t xml:space="preserve"> per</w:t>
      </w:r>
      <w:r w:rsidR="006B307C" w:rsidRPr="00775A19">
        <w:rPr>
          <w:sz w:val="24"/>
          <w:szCs w:val="24"/>
        </w:rPr>
        <w:t xml:space="preserve"> </w:t>
      </w:r>
      <w:proofErr w:type="spellStart"/>
      <w:r w:rsidR="0053714C" w:rsidRPr="00775A19">
        <w:rPr>
          <w:sz w:val="24"/>
          <w:szCs w:val="24"/>
        </w:rPr>
        <w:t>MWh</w:t>
      </w:r>
      <w:proofErr w:type="spellEnd"/>
      <w:r w:rsidR="0053714C" w:rsidRPr="00775A19">
        <w:rPr>
          <w:sz w:val="24"/>
          <w:szCs w:val="24"/>
        </w:rPr>
        <w:t xml:space="preserve"> of expected reductions</w:t>
      </w:r>
      <w:r w:rsidR="00A72D60" w:rsidRPr="00775A19">
        <w:rPr>
          <w:sz w:val="24"/>
          <w:szCs w:val="24"/>
        </w:rPr>
        <w:t>?</w:t>
      </w:r>
    </w:p>
    <w:p w:rsidR="0053714C" w:rsidRPr="000D7109" w:rsidRDefault="0053714C" w:rsidP="009A308C">
      <w:pPr>
        <w:pStyle w:val="ListParagraph"/>
        <w:jc w:val="both"/>
        <w:rPr>
          <w:sz w:val="24"/>
          <w:szCs w:val="24"/>
        </w:rPr>
      </w:pPr>
    </w:p>
    <w:p w:rsidR="0053714C" w:rsidRPr="00775A19" w:rsidRDefault="0053714C" w:rsidP="009A308C">
      <w:pPr>
        <w:pStyle w:val="ListParagraph"/>
        <w:jc w:val="both"/>
        <w:rPr>
          <w:b/>
          <w:sz w:val="24"/>
          <w:szCs w:val="24"/>
          <w:u w:val="single"/>
        </w:rPr>
      </w:pPr>
      <w:r w:rsidRPr="00A01DB2">
        <w:rPr>
          <w:sz w:val="24"/>
          <w:szCs w:val="24"/>
        </w:rPr>
        <w:t>The Commission</w:t>
      </w:r>
      <w:r w:rsidR="00775A19">
        <w:rPr>
          <w:sz w:val="24"/>
          <w:szCs w:val="24"/>
        </w:rPr>
        <w:t xml:space="preserve"> has preliminarily</w:t>
      </w:r>
      <w:r w:rsidRPr="00775A19">
        <w:rPr>
          <w:sz w:val="24"/>
          <w:szCs w:val="24"/>
        </w:rPr>
        <w:t xml:space="preserve"> identified two ways </w:t>
      </w:r>
      <w:r w:rsidR="00775A19">
        <w:rPr>
          <w:sz w:val="24"/>
          <w:szCs w:val="24"/>
        </w:rPr>
        <w:t>that</w:t>
      </w:r>
      <w:r w:rsidRPr="00775A19">
        <w:rPr>
          <w:sz w:val="24"/>
          <w:szCs w:val="24"/>
        </w:rPr>
        <w:t xml:space="preserve"> EDC reduction targets could be more closely aligned with available funding.  </w:t>
      </w:r>
      <w:r w:rsidR="00CC0368" w:rsidRPr="00775A19">
        <w:rPr>
          <w:sz w:val="24"/>
          <w:szCs w:val="24"/>
        </w:rPr>
        <w:t>One</w:t>
      </w:r>
      <w:r w:rsidRPr="00775A19">
        <w:rPr>
          <w:sz w:val="24"/>
          <w:szCs w:val="24"/>
        </w:rPr>
        <w:t xml:space="preserve"> option </w:t>
      </w:r>
      <w:r w:rsidR="00775A19">
        <w:rPr>
          <w:sz w:val="24"/>
          <w:szCs w:val="24"/>
        </w:rPr>
        <w:t>would be</w:t>
      </w:r>
      <w:r w:rsidRPr="00775A19">
        <w:rPr>
          <w:sz w:val="24"/>
          <w:szCs w:val="24"/>
        </w:rPr>
        <w:t xml:space="preserve"> to vary each EDC’s reduction targets to be consistent with the amount of funding available under each EDC’s 2% revenue cap.  For example, an EDC with </w:t>
      </w:r>
      <w:r w:rsidR="00775A19">
        <w:rPr>
          <w:sz w:val="24"/>
          <w:szCs w:val="24"/>
        </w:rPr>
        <w:t>more</w:t>
      </w:r>
      <w:r w:rsidRPr="00775A19">
        <w:rPr>
          <w:sz w:val="24"/>
          <w:szCs w:val="24"/>
        </w:rPr>
        <w:t xml:space="preserve"> funding would have a higher </w:t>
      </w:r>
      <w:r w:rsidR="00CC0368" w:rsidRPr="00775A19">
        <w:rPr>
          <w:sz w:val="24"/>
          <w:szCs w:val="24"/>
        </w:rPr>
        <w:t>consumption</w:t>
      </w:r>
      <w:r w:rsidRPr="00775A19">
        <w:rPr>
          <w:sz w:val="24"/>
          <w:szCs w:val="24"/>
        </w:rPr>
        <w:t xml:space="preserve"> reduction target </w:t>
      </w:r>
      <w:r w:rsidR="00CC0368" w:rsidRPr="00775A19">
        <w:rPr>
          <w:sz w:val="24"/>
          <w:szCs w:val="24"/>
        </w:rPr>
        <w:t xml:space="preserve">than </w:t>
      </w:r>
      <w:r w:rsidRPr="00775A19">
        <w:rPr>
          <w:sz w:val="24"/>
          <w:szCs w:val="24"/>
        </w:rPr>
        <w:t>an EDC with less</w:t>
      </w:r>
      <w:r w:rsidR="00CC0368" w:rsidRPr="00775A19">
        <w:rPr>
          <w:sz w:val="24"/>
          <w:szCs w:val="24"/>
        </w:rPr>
        <w:t xml:space="preserve"> available</w:t>
      </w:r>
      <w:r w:rsidRPr="00775A19">
        <w:rPr>
          <w:sz w:val="24"/>
          <w:szCs w:val="24"/>
        </w:rPr>
        <w:t xml:space="preserve"> funding.  </w:t>
      </w:r>
      <w:r w:rsidR="00775A19">
        <w:rPr>
          <w:sz w:val="24"/>
          <w:szCs w:val="24"/>
        </w:rPr>
        <w:t>Under this scenario, both t</w:t>
      </w:r>
      <w:r w:rsidRPr="00775A19">
        <w:rPr>
          <w:sz w:val="24"/>
          <w:szCs w:val="24"/>
        </w:rPr>
        <w:t xml:space="preserve">argets and funding </w:t>
      </w:r>
      <w:r w:rsidR="00CC0368" w:rsidRPr="00775A19">
        <w:rPr>
          <w:sz w:val="24"/>
          <w:szCs w:val="24"/>
        </w:rPr>
        <w:t xml:space="preserve">would </w:t>
      </w:r>
      <w:r w:rsidRPr="00775A19">
        <w:rPr>
          <w:sz w:val="24"/>
          <w:szCs w:val="24"/>
        </w:rPr>
        <w:t xml:space="preserve">be aligned by equalizing dollars per </w:t>
      </w:r>
      <w:proofErr w:type="spellStart"/>
      <w:r w:rsidRPr="00775A19">
        <w:rPr>
          <w:sz w:val="24"/>
          <w:szCs w:val="24"/>
        </w:rPr>
        <w:t>MWh</w:t>
      </w:r>
      <w:proofErr w:type="spellEnd"/>
      <w:r w:rsidRPr="00775A19">
        <w:rPr>
          <w:sz w:val="24"/>
          <w:szCs w:val="24"/>
        </w:rPr>
        <w:t xml:space="preserve"> of reduction.   </w:t>
      </w:r>
    </w:p>
    <w:p w:rsidR="00325403" w:rsidRPr="000D7109" w:rsidRDefault="00325403" w:rsidP="00935E57">
      <w:pPr>
        <w:ind w:left="720"/>
        <w:rPr>
          <w:sz w:val="24"/>
          <w:szCs w:val="24"/>
        </w:rPr>
      </w:pPr>
    </w:p>
    <w:p w:rsidR="0053714C" w:rsidRPr="00775A19" w:rsidRDefault="0053714C" w:rsidP="00935E57">
      <w:pPr>
        <w:ind w:left="720"/>
        <w:rPr>
          <w:sz w:val="24"/>
          <w:szCs w:val="24"/>
        </w:rPr>
      </w:pPr>
      <w:r w:rsidRPr="00A01DB2">
        <w:rPr>
          <w:sz w:val="24"/>
          <w:szCs w:val="24"/>
        </w:rPr>
        <w:t xml:space="preserve">Another </w:t>
      </w:r>
      <w:r w:rsidR="00CC0368" w:rsidRPr="00A01DB2">
        <w:rPr>
          <w:sz w:val="24"/>
          <w:szCs w:val="24"/>
        </w:rPr>
        <w:t>option</w:t>
      </w:r>
      <w:r w:rsidRPr="00A01DB2">
        <w:rPr>
          <w:sz w:val="24"/>
          <w:szCs w:val="24"/>
        </w:rPr>
        <w:t xml:space="preserve"> </w:t>
      </w:r>
      <w:r w:rsidR="00775A19">
        <w:rPr>
          <w:sz w:val="24"/>
          <w:szCs w:val="24"/>
        </w:rPr>
        <w:t>would be</w:t>
      </w:r>
      <w:r w:rsidRPr="00775A19">
        <w:rPr>
          <w:sz w:val="24"/>
          <w:szCs w:val="24"/>
        </w:rPr>
        <w:t xml:space="preserve"> to set uniform percentage reduction targets across EDCs and vary EDC </w:t>
      </w:r>
      <w:r w:rsidR="00163A25" w:rsidRPr="00775A19">
        <w:rPr>
          <w:sz w:val="24"/>
          <w:szCs w:val="24"/>
        </w:rPr>
        <w:t>fun</w:t>
      </w:r>
      <w:r w:rsidRPr="00775A19">
        <w:rPr>
          <w:sz w:val="24"/>
          <w:szCs w:val="24"/>
        </w:rPr>
        <w:t xml:space="preserve">ding under the 2% revenue cap.  This scenario could be implemented by setting the </w:t>
      </w:r>
      <w:r w:rsidR="00CC0368" w:rsidRPr="000D7109">
        <w:rPr>
          <w:sz w:val="24"/>
          <w:szCs w:val="24"/>
        </w:rPr>
        <w:t xml:space="preserve">minimum </w:t>
      </w:r>
      <w:r w:rsidRPr="00F309A9">
        <w:rPr>
          <w:sz w:val="24"/>
          <w:szCs w:val="24"/>
        </w:rPr>
        <w:t xml:space="preserve">target level for all EDCs based on the EDC with the least amount of funding available per </w:t>
      </w:r>
      <w:proofErr w:type="spellStart"/>
      <w:r w:rsidRPr="00F309A9">
        <w:rPr>
          <w:sz w:val="24"/>
          <w:szCs w:val="24"/>
        </w:rPr>
        <w:t>MWh</w:t>
      </w:r>
      <w:proofErr w:type="spellEnd"/>
      <w:r w:rsidRPr="00F309A9">
        <w:rPr>
          <w:sz w:val="24"/>
          <w:szCs w:val="24"/>
        </w:rPr>
        <w:t xml:space="preserve"> of reduction.  For exam</w:t>
      </w:r>
      <w:r w:rsidRPr="00A01DB2">
        <w:rPr>
          <w:sz w:val="24"/>
          <w:szCs w:val="24"/>
        </w:rPr>
        <w:t xml:space="preserve">ple, </w:t>
      </w:r>
      <w:r w:rsidR="00FB5B4F" w:rsidRPr="00A01DB2">
        <w:rPr>
          <w:sz w:val="24"/>
          <w:szCs w:val="24"/>
        </w:rPr>
        <w:t xml:space="preserve">assume that </w:t>
      </w:r>
      <w:r w:rsidRPr="00A01DB2">
        <w:rPr>
          <w:sz w:val="24"/>
          <w:szCs w:val="24"/>
        </w:rPr>
        <w:t xml:space="preserve">the </w:t>
      </w:r>
      <w:r w:rsidR="00775A19">
        <w:rPr>
          <w:sz w:val="24"/>
          <w:szCs w:val="24"/>
        </w:rPr>
        <w:t xml:space="preserve">next EE&amp;C plan </w:t>
      </w:r>
      <w:r w:rsidRPr="00775A19">
        <w:rPr>
          <w:sz w:val="24"/>
          <w:szCs w:val="24"/>
        </w:rPr>
        <w:t xml:space="preserve">target for the EDC with the </w:t>
      </w:r>
      <w:r w:rsidR="00FB5B4F" w:rsidRPr="00775A19">
        <w:rPr>
          <w:sz w:val="24"/>
          <w:szCs w:val="24"/>
        </w:rPr>
        <w:t>lowest</w:t>
      </w:r>
      <w:r w:rsidRPr="00775A19">
        <w:rPr>
          <w:sz w:val="24"/>
          <w:szCs w:val="24"/>
        </w:rPr>
        <w:t xml:space="preserve"> available </w:t>
      </w:r>
      <w:r w:rsidR="00FB5B4F" w:rsidRPr="00775A19">
        <w:rPr>
          <w:sz w:val="24"/>
          <w:szCs w:val="24"/>
        </w:rPr>
        <w:t xml:space="preserve">funding is </w:t>
      </w:r>
      <w:r w:rsidRPr="00775A19">
        <w:rPr>
          <w:sz w:val="24"/>
          <w:szCs w:val="24"/>
        </w:rPr>
        <w:t xml:space="preserve">a 2% EE reduction.  </w:t>
      </w:r>
      <w:r w:rsidR="00775A19">
        <w:rPr>
          <w:sz w:val="24"/>
          <w:szCs w:val="24"/>
        </w:rPr>
        <w:t>Under this scenario, t</w:t>
      </w:r>
      <w:r w:rsidRPr="00775A19">
        <w:rPr>
          <w:sz w:val="24"/>
          <w:szCs w:val="24"/>
        </w:rPr>
        <w:t>he remaining EDCs</w:t>
      </w:r>
      <w:r w:rsidR="00B61CDD" w:rsidRPr="00775A19">
        <w:rPr>
          <w:sz w:val="24"/>
          <w:szCs w:val="24"/>
        </w:rPr>
        <w:t>’</w:t>
      </w:r>
      <w:r w:rsidRPr="00775A19">
        <w:rPr>
          <w:sz w:val="24"/>
          <w:szCs w:val="24"/>
        </w:rPr>
        <w:t xml:space="preserve"> </w:t>
      </w:r>
      <w:r w:rsidR="00CC0368" w:rsidRPr="00775A19">
        <w:rPr>
          <w:sz w:val="24"/>
          <w:szCs w:val="24"/>
        </w:rPr>
        <w:t>budgets would be reduced so that all the EDCs would have th</w:t>
      </w:r>
      <w:r w:rsidR="00775A19">
        <w:rPr>
          <w:sz w:val="24"/>
          <w:szCs w:val="24"/>
        </w:rPr>
        <w:t>at</w:t>
      </w:r>
      <w:r w:rsidR="00CC0368" w:rsidRPr="00775A19">
        <w:rPr>
          <w:sz w:val="24"/>
          <w:szCs w:val="24"/>
        </w:rPr>
        <w:t xml:space="preserve"> same</w:t>
      </w:r>
      <w:r w:rsidR="00FB5B4F" w:rsidRPr="00775A19">
        <w:rPr>
          <w:sz w:val="24"/>
          <w:szCs w:val="24"/>
        </w:rPr>
        <w:t xml:space="preserve"> 2%</w:t>
      </w:r>
      <w:r w:rsidR="00CC0368" w:rsidRPr="00775A19">
        <w:rPr>
          <w:sz w:val="24"/>
          <w:szCs w:val="24"/>
        </w:rPr>
        <w:t xml:space="preserve"> reduction target and the same </w:t>
      </w:r>
      <w:r w:rsidRPr="00775A19">
        <w:rPr>
          <w:sz w:val="24"/>
          <w:szCs w:val="24"/>
        </w:rPr>
        <w:t xml:space="preserve">dollars per </w:t>
      </w:r>
      <w:proofErr w:type="spellStart"/>
      <w:r w:rsidRPr="00775A19">
        <w:rPr>
          <w:sz w:val="24"/>
          <w:szCs w:val="24"/>
        </w:rPr>
        <w:t>MWh</w:t>
      </w:r>
      <w:proofErr w:type="spellEnd"/>
      <w:r w:rsidRPr="00775A19">
        <w:rPr>
          <w:sz w:val="24"/>
          <w:szCs w:val="24"/>
        </w:rPr>
        <w:t xml:space="preserve"> funding.  This scenario w</w:t>
      </w:r>
      <w:r w:rsidR="00775A19">
        <w:rPr>
          <w:sz w:val="24"/>
          <w:szCs w:val="24"/>
        </w:rPr>
        <w:t>ould</w:t>
      </w:r>
      <w:r w:rsidRPr="00775A19">
        <w:rPr>
          <w:sz w:val="24"/>
          <w:szCs w:val="24"/>
        </w:rPr>
        <w:t xml:space="preserve"> result in uniform reduction target</w:t>
      </w:r>
      <w:r w:rsidR="00021147" w:rsidRPr="000D7109">
        <w:rPr>
          <w:sz w:val="24"/>
          <w:szCs w:val="24"/>
        </w:rPr>
        <w:t xml:space="preserve"> percentages</w:t>
      </w:r>
      <w:r w:rsidRPr="00F309A9">
        <w:rPr>
          <w:sz w:val="24"/>
          <w:szCs w:val="24"/>
        </w:rPr>
        <w:t xml:space="preserve"> </w:t>
      </w:r>
      <w:r w:rsidR="00CC0368" w:rsidRPr="00A01DB2">
        <w:rPr>
          <w:sz w:val="24"/>
          <w:szCs w:val="24"/>
        </w:rPr>
        <w:t xml:space="preserve">and </w:t>
      </w:r>
      <w:r w:rsidR="00021147" w:rsidRPr="00A01DB2">
        <w:rPr>
          <w:sz w:val="24"/>
          <w:szCs w:val="24"/>
        </w:rPr>
        <w:t>varied percent</w:t>
      </w:r>
      <w:r w:rsidR="006B307C" w:rsidRPr="00A01DB2">
        <w:rPr>
          <w:sz w:val="24"/>
          <w:szCs w:val="24"/>
        </w:rPr>
        <w:t>-</w:t>
      </w:r>
      <w:r w:rsidR="00021147" w:rsidRPr="00A01DB2">
        <w:rPr>
          <w:sz w:val="24"/>
          <w:szCs w:val="24"/>
        </w:rPr>
        <w:t>of</w:t>
      </w:r>
      <w:r w:rsidR="006B307C" w:rsidRPr="00A01DB2">
        <w:rPr>
          <w:sz w:val="24"/>
          <w:szCs w:val="24"/>
        </w:rPr>
        <w:t>-</w:t>
      </w:r>
      <w:r w:rsidR="00FB5B4F" w:rsidRPr="00A01DB2">
        <w:rPr>
          <w:sz w:val="24"/>
          <w:szCs w:val="24"/>
        </w:rPr>
        <w:t>annual</w:t>
      </w:r>
      <w:r w:rsidR="006B307C" w:rsidRPr="00A01DB2">
        <w:rPr>
          <w:sz w:val="24"/>
          <w:szCs w:val="24"/>
        </w:rPr>
        <w:t>-</w:t>
      </w:r>
      <w:r w:rsidR="00021147" w:rsidRPr="00A01DB2">
        <w:rPr>
          <w:sz w:val="24"/>
          <w:szCs w:val="24"/>
        </w:rPr>
        <w:t xml:space="preserve">revenue </w:t>
      </w:r>
      <w:r w:rsidR="00CC0368" w:rsidRPr="00A01DB2">
        <w:rPr>
          <w:sz w:val="24"/>
          <w:szCs w:val="24"/>
        </w:rPr>
        <w:t xml:space="preserve">budgets for all </w:t>
      </w:r>
      <w:r w:rsidRPr="00A01DB2">
        <w:rPr>
          <w:sz w:val="24"/>
          <w:szCs w:val="24"/>
        </w:rPr>
        <w:t>the EDCs</w:t>
      </w:r>
      <w:r w:rsidR="00FB5B4F" w:rsidRPr="00A01DB2">
        <w:rPr>
          <w:sz w:val="24"/>
          <w:szCs w:val="24"/>
        </w:rPr>
        <w:t>,</w:t>
      </w:r>
      <w:r w:rsidRPr="00A01DB2">
        <w:rPr>
          <w:sz w:val="24"/>
          <w:szCs w:val="24"/>
        </w:rPr>
        <w:t xml:space="preserve"> but with less </w:t>
      </w:r>
      <w:r w:rsidR="00FB5B4F" w:rsidRPr="00A01DB2">
        <w:rPr>
          <w:sz w:val="24"/>
          <w:szCs w:val="24"/>
        </w:rPr>
        <w:t xml:space="preserve">total </w:t>
      </w:r>
      <w:r w:rsidR="00CC0368" w:rsidRPr="00A01DB2">
        <w:rPr>
          <w:sz w:val="24"/>
          <w:szCs w:val="24"/>
        </w:rPr>
        <w:t xml:space="preserve">EE&amp;C Program </w:t>
      </w:r>
      <w:r w:rsidRPr="00A01DB2">
        <w:rPr>
          <w:sz w:val="24"/>
          <w:szCs w:val="24"/>
        </w:rPr>
        <w:t xml:space="preserve">funding </w:t>
      </w:r>
      <w:r w:rsidR="00CC0368" w:rsidRPr="00A01DB2">
        <w:rPr>
          <w:sz w:val="24"/>
          <w:szCs w:val="24"/>
        </w:rPr>
        <w:t xml:space="preserve">in </w:t>
      </w:r>
      <w:r w:rsidR="00775A19">
        <w:rPr>
          <w:sz w:val="24"/>
          <w:szCs w:val="24"/>
        </w:rPr>
        <w:t>the next round of plans, if required</w:t>
      </w:r>
      <w:r w:rsidRPr="00775A19">
        <w:rPr>
          <w:sz w:val="24"/>
          <w:szCs w:val="24"/>
        </w:rPr>
        <w:t>.</w:t>
      </w:r>
    </w:p>
    <w:p w:rsidR="003106B5" w:rsidRPr="00A01DB2" w:rsidRDefault="003106B5" w:rsidP="0078658C">
      <w:pPr>
        <w:rPr>
          <w:sz w:val="24"/>
          <w:szCs w:val="24"/>
        </w:rPr>
      </w:pPr>
    </w:p>
    <w:p w:rsidR="0078658C" w:rsidRPr="00A01DB2" w:rsidRDefault="00FB5B4F" w:rsidP="0078658C">
      <w:pPr>
        <w:pStyle w:val="ListParagraph"/>
        <w:numPr>
          <w:ilvl w:val="0"/>
          <w:numId w:val="13"/>
        </w:numPr>
        <w:rPr>
          <w:b/>
          <w:sz w:val="24"/>
          <w:szCs w:val="24"/>
        </w:rPr>
      </w:pPr>
      <w:r w:rsidRPr="00A01DB2">
        <w:rPr>
          <w:b/>
          <w:sz w:val="24"/>
          <w:szCs w:val="24"/>
          <w:u w:val="single"/>
        </w:rPr>
        <w:t>Inclusion of</w:t>
      </w:r>
      <w:r w:rsidR="0078658C" w:rsidRPr="00A01DB2">
        <w:rPr>
          <w:b/>
          <w:sz w:val="24"/>
          <w:szCs w:val="24"/>
          <w:u w:val="single"/>
        </w:rPr>
        <w:t xml:space="preserve"> a Reduction Target Carve-Out for the Government, Educational and Non-Profit Sector</w:t>
      </w:r>
    </w:p>
    <w:p w:rsidR="0078658C" w:rsidRPr="00A01DB2" w:rsidRDefault="0078658C" w:rsidP="0078658C">
      <w:pPr>
        <w:rPr>
          <w:sz w:val="24"/>
          <w:szCs w:val="24"/>
        </w:rPr>
      </w:pPr>
    </w:p>
    <w:p w:rsidR="0078658C" w:rsidRPr="00775A19" w:rsidRDefault="0078658C" w:rsidP="009A308C">
      <w:pPr>
        <w:ind w:left="720"/>
        <w:jc w:val="both"/>
        <w:rPr>
          <w:sz w:val="24"/>
          <w:szCs w:val="24"/>
        </w:rPr>
      </w:pPr>
      <w:r w:rsidRPr="00A01DB2">
        <w:rPr>
          <w:sz w:val="24"/>
          <w:szCs w:val="24"/>
        </w:rPr>
        <w:t xml:space="preserve">In Phase </w:t>
      </w:r>
      <w:r w:rsidR="00FB5B4F" w:rsidRPr="00A01DB2">
        <w:rPr>
          <w:sz w:val="24"/>
          <w:szCs w:val="24"/>
        </w:rPr>
        <w:t>One</w:t>
      </w:r>
      <w:r w:rsidRPr="00A01DB2">
        <w:rPr>
          <w:sz w:val="24"/>
          <w:szCs w:val="24"/>
        </w:rPr>
        <w:t xml:space="preserve">, Act 129 </w:t>
      </w:r>
      <w:r w:rsidR="00CA0D15" w:rsidRPr="00A01DB2">
        <w:rPr>
          <w:sz w:val="24"/>
          <w:szCs w:val="24"/>
        </w:rPr>
        <w:t>required each</w:t>
      </w:r>
      <w:r w:rsidR="00775A19">
        <w:rPr>
          <w:sz w:val="24"/>
          <w:szCs w:val="24"/>
        </w:rPr>
        <w:t xml:space="preserve"> </w:t>
      </w:r>
      <w:r w:rsidR="00CA0D15" w:rsidRPr="00775A19">
        <w:rPr>
          <w:sz w:val="24"/>
          <w:szCs w:val="24"/>
        </w:rPr>
        <w:t xml:space="preserve">EE&amp;C Plan to </w:t>
      </w:r>
      <w:r w:rsidR="00775A19">
        <w:rPr>
          <w:sz w:val="24"/>
          <w:szCs w:val="24"/>
        </w:rPr>
        <w:t>obtain</w:t>
      </w:r>
      <w:r w:rsidRPr="00775A19">
        <w:rPr>
          <w:sz w:val="24"/>
          <w:szCs w:val="24"/>
        </w:rPr>
        <w:t xml:space="preserve"> a</w:t>
      </w:r>
      <w:r w:rsidR="00FB5B4F" w:rsidRPr="00775A19">
        <w:rPr>
          <w:sz w:val="24"/>
          <w:szCs w:val="24"/>
        </w:rPr>
        <w:t>t least</w:t>
      </w:r>
      <w:r w:rsidRPr="00775A19">
        <w:rPr>
          <w:sz w:val="24"/>
          <w:szCs w:val="24"/>
        </w:rPr>
        <w:t xml:space="preserve"> 10% of the required reductions</w:t>
      </w:r>
      <w:r w:rsidR="00775A19">
        <w:rPr>
          <w:sz w:val="24"/>
          <w:szCs w:val="24"/>
        </w:rPr>
        <w:t xml:space="preserve"> in consumption</w:t>
      </w:r>
      <w:r w:rsidRPr="00775A19">
        <w:rPr>
          <w:sz w:val="24"/>
          <w:szCs w:val="24"/>
        </w:rPr>
        <w:t xml:space="preserve"> from units of </w:t>
      </w:r>
      <w:r w:rsidR="00775A19">
        <w:rPr>
          <w:sz w:val="24"/>
          <w:szCs w:val="24"/>
        </w:rPr>
        <w:t>F</w:t>
      </w:r>
      <w:r w:rsidRPr="00775A19">
        <w:rPr>
          <w:sz w:val="24"/>
          <w:szCs w:val="24"/>
        </w:rPr>
        <w:t xml:space="preserve">ederal, </w:t>
      </w:r>
      <w:r w:rsidR="00775A19">
        <w:rPr>
          <w:sz w:val="24"/>
          <w:szCs w:val="24"/>
        </w:rPr>
        <w:t>S</w:t>
      </w:r>
      <w:r w:rsidRPr="00775A19">
        <w:rPr>
          <w:sz w:val="24"/>
          <w:szCs w:val="24"/>
        </w:rPr>
        <w:t>tate and local government, including municipalities, school districts, institutions of higher education and non-profit entities.</w:t>
      </w:r>
      <w:r w:rsidR="00CA0D15" w:rsidRPr="00A01DB2">
        <w:rPr>
          <w:rStyle w:val="FootnoteReference"/>
          <w:sz w:val="24"/>
          <w:szCs w:val="24"/>
        </w:rPr>
        <w:footnoteReference w:id="6"/>
      </w:r>
      <w:r w:rsidRPr="00A01DB2">
        <w:rPr>
          <w:sz w:val="24"/>
          <w:szCs w:val="24"/>
        </w:rPr>
        <w:t xml:space="preserve">  </w:t>
      </w:r>
      <w:r w:rsidR="00681A8B">
        <w:rPr>
          <w:sz w:val="24"/>
          <w:szCs w:val="24"/>
        </w:rPr>
        <w:t>B</w:t>
      </w:r>
      <w:r w:rsidRPr="00F1131E">
        <w:rPr>
          <w:sz w:val="24"/>
          <w:szCs w:val="24"/>
        </w:rPr>
        <w:t>ased on the EDCs</w:t>
      </w:r>
      <w:r w:rsidR="00FB5B4F" w:rsidRPr="00F47A16">
        <w:rPr>
          <w:sz w:val="24"/>
          <w:szCs w:val="24"/>
        </w:rPr>
        <w:t>’ performance reports</w:t>
      </w:r>
      <w:r w:rsidR="00681A8B">
        <w:rPr>
          <w:sz w:val="24"/>
          <w:szCs w:val="24"/>
        </w:rPr>
        <w:t xml:space="preserve"> for Phase One, </w:t>
      </w:r>
      <w:r w:rsidRPr="00F47A16">
        <w:rPr>
          <w:sz w:val="24"/>
          <w:szCs w:val="24"/>
        </w:rPr>
        <w:t>EDCs have generally met this requirement</w:t>
      </w:r>
      <w:r w:rsidR="00163A25" w:rsidRPr="00F47A16">
        <w:rPr>
          <w:sz w:val="24"/>
          <w:szCs w:val="24"/>
        </w:rPr>
        <w:t xml:space="preserve"> thus far</w:t>
      </w:r>
      <w:r w:rsidRPr="00D351A3">
        <w:rPr>
          <w:sz w:val="24"/>
          <w:szCs w:val="24"/>
        </w:rPr>
        <w:t xml:space="preserve">.  </w:t>
      </w:r>
      <w:r w:rsidR="00944B47" w:rsidRPr="00D351A3" w:rsidDel="00944B47">
        <w:rPr>
          <w:sz w:val="24"/>
          <w:szCs w:val="24"/>
        </w:rPr>
        <w:t xml:space="preserve"> </w:t>
      </w:r>
      <w:r w:rsidRPr="00D351A3">
        <w:rPr>
          <w:sz w:val="24"/>
          <w:szCs w:val="24"/>
        </w:rPr>
        <w:t xml:space="preserve">The Commission anticipates </w:t>
      </w:r>
      <w:r w:rsidR="003106B5" w:rsidRPr="00D351A3">
        <w:rPr>
          <w:sz w:val="24"/>
          <w:szCs w:val="24"/>
        </w:rPr>
        <w:t>that the Statewide Evaluator’s Market P</w:t>
      </w:r>
      <w:r w:rsidRPr="00E20419">
        <w:rPr>
          <w:sz w:val="24"/>
          <w:szCs w:val="24"/>
        </w:rPr>
        <w:t xml:space="preserve">otential </w:t>
      </w:r>
      <w:r w:rsidR="003106B5" w:rsidRPr="00E20419">
        <w:rPr>
          <w:sz w:val="24"/>
          <w:szCs w:val="24"/>
        </w:rPr>
        <w:t>S</w:t>
      </w:r>
      <w:r w:rsidRPr="00E20419">
        <w:rPr>
          <w:sz w:val="24"/>
          <w:szCs w:val="24"/>
        </w:rPr>
        <w:t xml:space="preserve">tudy will shed light on the amount of energy use </w:t>
      </w:r>
      <w:r w:rsidR="00FB5B4F" w:rsidRPr="00775A19">
        <w:rPr>
          <w:sz w:val="24"/>
          <w:szCs w:val="24"/>
        </w:rPr>
        <w:t xml:space="preserve">attributable to </w:t>
      </w:r>
      <w:r w:rsidRPr="00775A19">
        <w:rPr>
          <w:sz w:val="24"/>
          <w:szCs w:val="24"/>
        </w:rPr>
        <w:t xml:space="preserve">this sector and the potential for </w:t>
      </w:r>
      <w:r w:rsidR="00FB5B4F" w:rsidRPr="00775A19">
        <w:rPr>
          <w:sz w:val="24"/>
          <w:szCs w:val="24"/>
        </w:rPr>
        <w:t xml:space="preserve">future </w:t>
      </w:r>
      <w:r w:rsidRPr="00775A19">
        <w:rPr>
          <w:sz w:val="24"/>
          <w:szCs w:val="24"/>
        </w:rPr>
        <w:t xml:space="preserve">reductions </w:t>
      </w:r>
      <w:r w:rsidR="00FB5B4F" w:rsidRPr="00775A19">
        <w:rPr>
          <w:sz w:val="24"/>
          <w:szCs w:val="24"/>
        </w:rPr>
        <w:t>from this sector</w:t>
      </w:r>
      <w:r w:rsidRPr="00775A19">
        <w:rPr>
          <w:sz w:val="24"/>
          <w:szCs w:val="24"/>
        </w:rPr>
        <w:t xml:space="preserve">.  </w:t>
      </w:r>
    </w:p>
    <w:p w:rsidR="0078658C" w:rsidRPr="00681A8B" w:rsidRDefault="0078658C" w:rsidP="009A308C">
      <w:pPr>
        <w:ind w:left="720"/>
        <w:jc w:val="both"/>
        <w:rPr>
          <w:sz w:val="24"/>
          <w:szCs w:val="24"/>
        </w:rPr>
      </w:pPr>
    </w:p>
    <w:p w:rsidR="0053714C" w:rsidRPr="00681A8B" w:rsidRDefault="0053714C" w:rsidP="00935E57">
      <w:pPr>
        <w:ind w:left="720"/>
        <w:rPr>
          <w:sz w:val="24"/>
          <w:szCs w:val="24"/>
        </w:rPr>
      </w:pPr>
    </w:p>
    <w:p w:rsidR="0078658C" w:rsidRPr="00681A8B" w:rsidRDefault="00A46963" w:rsidP="009A308C">
      <w:pPr>
        <w:ind w:left="720"/>
        <w:jc w:val="both"/>
        <w:rPr>
          <w:sz w:val="24"/>
          <w:szCs w:val="24"/>
        </w:rPr>
      </w:pPr>
      <w:r w:rsidRPr="000D7109">
        <w:rPr>
          <w:sz w:val="24"/>
          <w:szCs w:val="24"/>
        </w:rPr>
        <w:t>The Commission has</w:t>
      </w:r>
      <w:r w:rsidR="00681A8B">
        <w:rPr>
          <w:sz w:val="24"/>
          <w:szCs w:val="24"/>
        </w:rPr>
        <w:t xml:space="preserve"> tentatively</w:t>
      </w:r>
      <w:r w:rsidRPr="00681A8B">
        <w:rPr>
          <w:sz w:val="24"/>
          <w:szCs w:val="24"/>
        </w:rPr>
        <w:t xml:space="preserve"> identified three </w:t>
      </w:r>
      <w:r w:rsidR="00681A8B">
        <w:rPr>
          <w:sz w:val="24"/>
          <w:szCs w:val="24"/>
        </w:rPr>
        <w:t>alternatives</w:t>
      </w:r>
      <w:r w:rsidRPr="00681A8B">
        <w:rPr>
          <w:sz w:val="24"/>
          <w:szCs w:val="24"/>
        </w:rPr>
        <w:t xml:space="preserve"> for structuring a carve-out for </w:t>
      </w:r>
      <w:r w:rsidR="00E70A5C" w:rsidRPr="00681A8B">
        <w:rPr>
          <w:sz w:val="24"/>
          <w:szCs w:val="24"/>
        </w:rPr>
        <w:t xml:space="preserve">the government, educational and non-profit </w:t>
      </w:r>
      <w:r w:rsidRPr="00681A8B">
        <w:rPr>
          <w:sz w:val="24"/>
          <w:szCs w:val="24"/>
        </w:rPr>
        <w:t>sector</w:t>
      </w:r>
      <w:r w:rsidR="00681A8B">
        <w:rPr>
          <w:sz w:val="24"/>
          <w:szCs w:val="24"/>
        </w:rPr>
        <w:t>, if continued in future EE&amp;C plans</w:t>
      </w:r>
      <w:r w:rsidRPr="00681A8B">
        <w:rPr>
          <w:sz w:val="24"/>
          <w:szCs w:val="24"/>
        </w:rPr>
        <w:t>.  First, the carve-out could be structured as a percent</w:t>
      </w:r>
      <w:r w:rsidR="006B307C" w:rsidRPr="00681A8B">
        <w:rPr>
          <w:sz w:val="24"/>
          <w:szCs w:val="24"/>
        </w:rPr>
        <w:t>age</w:t>
      </w:r>
      <w:r w:rsidRPr="00681A8B">
        <w:rPr>
          <w:sz w:val="24"/>
          <w:szCs w:val="24"/>
        </w:rPr>
        <w:t xml:space="preserve"> of the overall program savings, as it was for Phase </w:t>
      </w:r>
      <w:r w:rsidR="00E70A5C" w:rsidRPr="00681A8B">
        <w:rPr>
          <w:sz w:val="24"/>
          <w:szCs w:val="24"/>
        </w:rPr>
        <w:t>One</w:t>
      </w:r>
      <w:r w:rsidRPr="00681A8B">
        <w:rPr>
          <w:sz w:val="24"/>
          <w:szCs w:val="24"/>
        </w:rPr>
        <w:t xml:space="preserve">.  The actual percentage of savings could be 10% as in Phase </w:t>
      </w:r>
      <w:r w:rsidR="00E70A5C" w:rsidRPr="00681A8B">
        <w:rPr>
          <w:sz w:val="24"/>
          <w:szCs w:val="24"/>
        </w:rPr>
        <w:t xml:space="preserve">One </w:t>
      </w:r>
      <w:r w:rsidRPr="00681A8B">
        <w:rPr>
          <w:sz w:val="24"/>
          <w:szCs w:val="24"/>
        </w:rPr>
        <w:t xml:space="preserve">or perhaps less than </w:t>
      </w:r>
      <w:r w:rsidR="006E00A9" w:rsidRPr="00681A8B">
        <w:rPr>
          <w:sz w:val="24"/>
          <w:szCs w:val="24"/>
        </w:rPr>
        <w:t xml:space="preserve">or greater than </w:t>
      </w:r>
      <w:r w:rsidRPr="00681A8B">
        <w:rPr>
          <w:sz w:val="24"/>
          <w:szCs w:val="24"/>
        </w:rPr>
        <w:t xml:space="preserve">10% </w:t>
      </w:r>
      <w:r w:rsidR="006E00A9" w:rsidRPr="00681A8B">
        <w:rPr>
          <w:sz w:val="24"/>
          <w:szCs w:val="24"/>
        </w:rPr>
        <w:t xml:space="preserve">depending on </w:t>
      </w:r>
      <w:r w:rsidRPr="00681A8B">
        <w:rPr>
          <w:sz w:val="24"/>
          <w:szCs w:val="24"/>
        </w:rPr>
        <w:t xml:space="preserve">the Market Potential Study </w:t>
      </w:r>
      <w:r w:rsidR="006E00A9" w:rsidRPr="00681A8B">
        <w:rPr>
          <w:sz w:val="24"/>
          <w:szCs w:val="24"/>
        </w:rPr>
        <w:t>results, other relevant information and</w:t>
      </w:r>
      <w:r w:rsidR="00681A8B">
        <w:rPr>
          <w:sz w:val="24"/>
          <w:szCs w:val="24"/>
        </w:rPr>
        <w:t>/or</w:t>
      </w:r>
      <w:r w:rsidR="006E00A9" w:rsidRPr="00681A8B">
        <w:rPr>
          <w:sz w:val="24"/>
          <w:szCs w:val="24"/>
        </w:rPr>
        <w:t xml:space="preserve"> stakeholder input</w:t>
      </w:r>
      <w:r w:rsidRPr="00681A8B">
        <w:rPr>
          <w:sz w:val="24"/>
          <w:szCs w:val="24"/>
        </w:rPr>
        <w:t>.</w:t>
      </w:r>
    </w:p>
    <w:p w:rsidR="00A46963" w:rsidRPr="00681A8B" w:rsidRDefault="00A46963" w:rsidP="009A308C">
      <w:pPr>
        <w:ind w:left="720"/>
        <w:jc w:val="both"/>
        <w:rPr>
          <w:sz w:val="24"/>
          <w:szCs w:val="24"/>
        </w:rPr>
      </w:pPr>
    </w:p>
    <w:p w:rsidR="00A46963" w:rsidRPr="00A01DB2" w:rsidRDefault="00A46963" w:rsidP="009A308C">
      <w:pPr>
        <w:ind w:left="720"/>
        <w:jc w:val="both"/>
        <w:rPr>
          <w:sz w:val="24"/>
          <w:szCs w:val="24"/>
        </w:rPr>
      </w:pPr>
      <w:r w:rsidRPr="000D7109">
        <w:rPr>
          <w:sz w:val="24"/>
          <w:szCs w:val="24"/>
        </w:rPr>
        <w:t xml:space="preserve">A second option would </w:t>
      </w:r>
      <w:r w:rsidR="00E70A5C" w:rsidRPr="00F309A9">
        <w:rPr>
          <w:sz w:val="24"/>
          <w:szCs w:val="24"/>
        </w:rPr>
        <w:t>involve setting</w:t>
      </w:r>
      <w:r w:rsidR="006E00A9" w:rsidRPr="003B35CF">
        <w:rPr>
          <w:sz w:val="24"/>
          <w:szCs w:val="24"/>
        </w:rPr>
        <w:t xml:space="preserve"> an EE&amp;C Plan</w:t>
      </w:r>
      <w:r w:rsidRPr="00A01DB2">
        <w:rPr>
          <w:sz w:val="24"/>
          <w:szCs w:val="24"/>
        </w:rPr>
        <w:t xml:space="preserve"> budget</w:t>
      </w:r>
      <w:r w:rsidR="006E00A9" w:rsidRPr="00A01DB2">
        <w:rPr>
          <w:sz w:val="24"/>
          <w:szCs w:val="24"/>
        </w:rPr>
        <w:t xml:space="preserve"> carve-out </w:t>
      </w:r>
      <w:r w:rsidR="00E70A5C" w:rsidRPr="00A01DB2">
        <w:rPr>
          <w:sz w:val="24"/>
          <w:szCs w:val="24"/>
        </w:rPr>
        <w:t xml:space="preserve">that would require a minimum amount to be spent on </w:t>
      </w:r>
      <w:r w:rsidR="006E00A9" w:rsidRPr="00A01DB2">
        <w:rPr>
          <w:sz w:val="24"/>
          <w:szCs w:val="24"/>
        </w:rPr>
        <w:t>measures purchased or installed by this sector</w:t>
      </w:r>
      <w:r w:rsidRPr="00A01DB2">
        <w:rPr>
          <w:sz w:val="24"/>
          <w:szCs w:val="24"/>
        </w:rPr>
        <w:t xml:space="preserve">.  </w:t>
      </w:r>
      <w:r w:rsidRPr="00A01DB2">
        <w:rPr>
          <w:sz w:val="24"/>
          <w:szCs w:val="24"/>
        </w:rPr>
        <w:lastRenderedPageBreak/>
        <w:t xml:space="preserve">Again, the Statewide Evaluator’s Market Potential Study </w:t>
      </w:r>
      <w:r w:rsidR="006E00A9" w:rsidRPr="00A01DB2">
        <w:rPr>
          <w:sz w:val="24"/>
          <w:szCs w:val="24"/>
        </w:rPr>
        <w:t xml:space="preserve">along with other data and stakeholder input </w:t>
      </w:r>
      <w:r w:rsidR="00E70A5C" w:rsidRPr="00A01DB2">
        <w:rPr>
          <w:sz w:val="24"/>
          <w:szCs w:val="24"/>
        </w:rPr>
        <w:t xml:space="preserve">would </w:t>
      </w:r>
      <w:r w:rsidR="006E00A9" w:rsidRPr="00A01DB2">
        <w:rPr>
          <w:sz w:val="24"/>
          <w:szCs w:val="24"/>
        </w:rPr>
        <w:t>identify</w:t>
      </w:r>
      <w:r w:rsidRPr="00A01DB2">
        <w:rPr>
          <w:sz w:val="24"/>
          <w:szCs w:val="24"/>
        </w:rPr>
        <w:t xml:space="preserve"> this sector’s relative energy use and potential for reductions that could be used to </w:t>
      </w:r>
      <w:r w:rsidR="00E70A5C" w:rsidRPr="00A01DB2">
        <w:rPr>
          <w:sz w:val="24"/>
          <w:szCs w:val="24"/>
        </w:rPr>
        <w:t>set the</w:t>
      </w:r>
      <w:r w:rsidRPr="00A01DB2">
        <w:rPr>
          <w:sz w:val="24"/>
          <w:szCs w:val="24"/>
        </w:rPr>
        <w:t xml:space="preserve"> specific budget carve-out</w:t>
      </w:r>
      <w:r w:rsidR="006E00A9" w:rsidRPr="00A01DB2">
        <w:rPr>
          <w:sz w:val="24"/>
          <w:szCs w:val="24"/>
        </w:rPr>
        <w:t>s for this sector</w:t>
      </w:r>
      <w:r w:rsidRPr="00A01DB2">
        <w:rPr>
          <w:sz w:val="24"/>
          <w:szCs w:val="24"/>
        </w:rPr>
        <w:t>.</w:t>
      </w:r>
    </w:p>
    <w:p w:rsidR="00A46963" w:rsidRPr="00A01DB2" w:rsidRDefault="00A46963" w:rsidP="00935E57">
      <w:pPr>
        <w:ind w:left="720"/>
        <w:rPr>
          <w:sz w:val="24"/>
          <w:szCs w:val="24"/>
        </w:rPr>
      </w:pPr>
    </w:p>
    <w:p w:rsidR="002A2B4A" w:rsidRDefault="00A46963" w:rsidP="009A308C">
      <w:pPr>
        <w:ind w:left="720"/>
        <w:jc w:val="both"/>
        <w:rPr>
          <w:sz w:val="24"/>
          <w:szCs w:val="24"/>
        </w:rPr>
      </w:pPr>
      <w:r w:rsidRPr="00A01DB2">
        <w:rPr>
          <w:sz w:val="24"/>
          <w:szCs w:val="24"/>
        </w:rPr>
        <w:t xml:space="preserve">A third option </w:t>
      </w:r>
      <w:r w:rsidR="006E00A9" w:rsidRPr="00A01DB2">
        <w:rPr>
          <w:sz w:val="24"/>
          <w:szCs w:val="24"/>
        </w:rPr>
        <w:t>would set the</w:t>
      </w:r>
      <w:r w:rsidRPr="00A01DB2">
        <w:rPr>
          <w:sz w:val="24"/>
          <w:szCs w:val="24"/>
        </w:rPr>
        <w:t xml:space="preserve"> </w:t>
      </w:r>
      <w:r w:rsidR="00E70A5C" w:rsidRPr="00A01DB2">
        <w:rPr>
          <w:sz w:val="24"/>
          <w:szCs w:val="24"/>
        </w:rPr>
        <w:t xml:space="preserve">sector carve-out, whether it be </w:t>
      </w:r>
      <w:r w:rsidRPr="00A01DB2">
        <w:rPr>
          <w:sz w:val="24"/>
          <w:szCs w:val="24"/>
        </w:rPr>
        <w:t>budget</w:t>
      </w:r>
      <w:r w:rsidR="006B307C" w:rsidRPr="00A01DB2">
        <w:rPr>
          <w:sz w:val="24"/>
          <w:szCs w:val="24"/>
        </w:rPr>
        <w:t>ary</w:t>
      </w:r>
      <w:r w:rsidRPr="00A01DB2">
        <w:rPr>
          <w:sz w:val="24"/>
          <w:szCs w:val="24"/>
        </w:rPr>
        <w:t xml:space="preserve"> or </w:t>
      </w:r>
      <w:r w:rsidR="006B307C" w:rsidRPr="00A01DB2">
        <w:rPr>
          <w:sz w:val="24"/>
          <w:szCs w:val="24"/>
        </w:rPr>
        <w:t xml:space="preserve">an </w:t>
      </w:r>
      <w:r w:rsidR="006538B5" w:rsidRPr="00A01DB2">
        <w:rPr>
          <w:sz w:val="24"/>
          <w:szCs w:val="24"/>
        </w:rPr>
        <w:t xml:space="preserve">energy </w:t>
      </w:r>
      <w:r w:rsidRPr="00A01DB2">
        <w:rPr>
          <w:sz w:val="24"/>
          <w:szCs w:val="24"/>
        </w:rPr>
        <w:t>savings</w:t>
      </w:r>
      <w:r w:rsidR="00E70A5C" w:rsidRPr="00A01DB2">
        <w:rPr>
          <w:sz w:val="24"/>
          <w:szCs w:val="24"/>
        </w:rPr>
        <w:t>,</w:t>
      </w:r>
      <w:r w:rsidR="006E00A9" w:rsidRPr="00A01DB2">
        <w:rPr>
          <w:sz w:val="24"/>
          <w:szCs w:val="24"/>
        </w:rPr>
        <w:t xml:space="preserve"> </w:t>
      </w:r>
      <w:r w:rsidR="006538B5" w:rsidRPr="00A01DB2">
        <w:rPr>
          <w:sz w:val="24"/>
          <w:szCs w:val="24"/>
        </w:rPr>
        <w:t xml:space="preserve">based on the </w:t>
      </w:r>
      <w:r w:rsidR="00E70A5C" w:rsidRPr="00A01DB2">
        <w:rPr>
          <w:sz w:val="24"/>
          <w:szCs w:val="24"/>
        </w:rPr>
        <w:t xml:space="preserve">sector’s </w:t>
      </w:r>
      <w:r w:rsidR="006538B5" w:rsidRPr="00A01DB2">
        <w:rPr>
          <w:sz w:val="24"/>
          <w:szCs w:val="24"/>
        </w:rPr>
        <w:t>potential in each EDC’s service territory.</w:t>
      </w:r>
      <w:r w:rsidRPr="00A01DB2">
        <w:rPr>
          <w:sz w:val="24"/>
          <w:szCs w:val="24"/>
        </w:rPr>
        <w:t xml:space="preserve">  This </w:t>
      </w:r>
      <w:r w:rsidR="006538B5" w:rsidRPr="00A01DB2">
        <w:rPr>
          <w:sz w:val="24"/>
          <w:szCs w:val="24"/>
        </w:rPr>
        <w:t xml:space="preserve">option </w:t>
      </w:r>
      <w:r w:rsidRPr="00A01DB2">
        <w:rPr>
          <w:sz w:val="24"/>
          <w:szCs w:val="24"/>
        </w:rPr>
        <w:t xml:space="preserve">may result in </w:t>
      </w:r>
      <w:r w:rsidR="006538B5" w:rsidRPr="00A01DB2">
        <w:rPr>
          <w:sz w:val="24"/>
          <w:szCs w:val="24"/>
        </w:rPr>
        <w:t xml:space="preserve">different </w:t>
      </w:r>
      <w:r w:rsidR="00E70A5C" w:rsidRPr="00A01DB2">
        <w:rPr>
          <w:sz w:val="24"/>
          <w:szCs w:val="24"/>
        </w:rPr>
        <w:t xml:space="preserve">sector </w:t>
      </w:r>
      <w:r w:rsidR="006538B5" w:rsidRPr="00A01DB2">
        <w:rPr>
          <w:sz w:val="24"/>
          <w:szCs w:val="24"/>
        </w:rPr>
        <w:t xml:space="preserve">budget or energy savings </w:t>
      </w:r>
      <w:r w:rsidRPr="00A01DB2">
        <w:rPr>
          <w:sz w:val="24"/>
          <w:szCs w:val="24"/>
        </w:rPr>
        <w:t>carve-out</w:t>
      </w:r>
      <w:r w:rsidR="00E70A5C" w:rsidRPr="00A01DB2">
        <w:rPr>
          <w:sz w:val="24"/>
          <w:szCs w:val="24"/>
        </w:rPr>
        <w:t>s</w:t>
      </w:r>
      <w:r w:rsidRPr="00A01DB2">
        <w:rPr>
          <w:sz w:val="24"/>
          <w:szCs w:val="24"/>
        </w:rPr>
        <w:t xml:space="preserve"> </w:t>
      </w:r>
      <w:r w:rsidR="006538B5" w:rsidRPr="00A01DB2">
        <w:rPr>
          <w:sz w:val="24"/>
          <w:szCs w:val="24"/>
        </w:rPr>
        <w:t>for each EDC</w:t>
      </w:r>
      <w:r w:rsidRPr="00A01DB2">
        <w:rPr>
          <w:sz w:val="24"/>
          <w:szCs w:val="24"/>
        </w:rPr>
        <w:t>.</w:t>
      </w:r>
    </w:p>
    <w:p w:rsidR="004B7A97" w:rsidRDefault="004B7A97" w:rsidP="009A308C">
      <w:pPr>
        <w:ind w:left="720"/>
        <w:jc w:val="both"/>
        <w:rPr>
          <w:sz w:val="24"/>
          <w:szCs w:val="24"/>
        </w:rPr>
      </w:pPr>
    </w:p>
    <w:p w:rsidR="004B7A97" w:rsidRDefault="004B7A97" w:rsidP="009A308C">
      <w:pPr>
        <w:ind w:left="720"/>
        <w:jc w:val="both"/>
        <w:rPr>
          <w:sz w:val="24"/>
          <w:szCs w:val="24"/>
        </w:rPr>
      </w:pPr>
      <w:r>
        <w:rPr>
          <w:sz w:val="24"/>
          <w:szCs w:val="24"/>
        </w:rPr>
        <w:t>The Commission also requests that interested parties comment on developing EDC on-bill financing programs to assist this sector, or requiring EDCs to partner with lending institutions to provide low-cost financing for these projects.</w:t>
      </w:r>
    </w:p>
    <w:p w:rsidR="00D079C0" w:rsidRDefault="00D079C0" w:rsidP="009A308C">
      <w:pPr>
        <w:ind w:left="720"/>
        <w:jc w:val="both"/>
        <w:rPr>
          <w:sz w:val="24"/>
          <w:szCs w:val="24"/>
        </w:rPr>
      </w:pPr>
    </w:p>
    <w:p w:rsidR="00D079C0" w:rsidRPr="00681A8B" w:rsidRDefault="00D079C0" w:rsidP="00D079C0">
      <w:pPr>
        <w:ind w:left="720"/>
        <w:jc w:val="both"/>
        <w:rPr>
          <w:sz w:val="24"/>
          <w:szCs w:val="24"/>
        </w:rPr>
      </w:pPr>
      <w:r>
        <w:rPr>
          <w:sz w:val="24"/>
          <w:szCs w:val="24"/>
        </w:rPr>
        <w:t xml:space="preserve">At this time, </w:t>
      </w:r>
      <w:r w:rsidRPr="00681A8B">
        <w:rPr>
          <w:sz w:val="24"/>
          <w:szCs w:val="24"/>
        </w:rPr>
        <w:t>the Commission</w:t>
      </w:r>
      <w:r>
        <w:rPr>
          <w:sz w:val="24"/>
          <w:szCs w:val="24"/>
        </w:rPr>
        <w:t xml:space="preserve"> seeks input on</w:t>
      </w:r>
      <w:r w:rsidRPr="00681A8B">
        <w:rPr>
          <w:sz w:val="24"/>
          <w:szCs w:val="24"/>
        </w:rPr>
        <w:t xml:space="preserve"> whether </w:t>
      </w:r>
      <w:r>
        <w:rPr>
          <w:sz w:val="24"/>
          <w:szCs w:val="24"/>
        </w:rPr>
        <w:t xml:space="preserve">a 10% (or some other percentage) </w:t>
      </w:r>
      <w:r w:rsidRPr="00681A8B">
        <w:rPr>
          <w:sz w:val="24"/>
          <w:szCs w:val="24"/>
        </w:rPr>
        <w:t>carve-out for this sector</w:t>
      </w:r>
      <w:r>
        <w:rPr>
          <w:sz w:val="24"/>
          <w:szCs w:val="24"/>
        </w:rPr>
        <w:t xml:space="preserve"> should continue in any future EE&amp;C plan, if required</w:t>
      </w:r>
      <w:r w:rsidRPr="00681A8B">
        <w:rPr>
          <w:sz w:val="24"/>
          <w:szCs w:val="24"/>
        </w:rPr>
        <w:t>.  Absent a specific carve-out, this sector would likely be included within EE&amp;C plan offerings to commercial and industrial customers.</w:t>
      </w:r>
    </w:p>
    <w:p w:rsidR="00D079C0" w:rsidRPr="00681A8B" w:rsidRDefault="00D079C0" w:rsidP="00D079C0">
      <w:pPr>
        <w:rPr>
          <w:sz w:val="24"/>
          <w:szCs w:val="24"/>
        </w:rPr>
      </w:pPr>
    </w:p>
    <w:p w:rsidR="00575806" w:rsidRPr="00A01DB2" w:rsidRDefault="00E70A5C" w:rsidP="009A308C">
      <w:pPr>
        <w:pStyle w:val="ListParagraph"/>
        <w:numPr>
          <w:ilvl w:val="0"/>
          <w:numId w:val="13"/>
        </w:numPr>
        <w:jc w:val="both"/>
        <w:rPr>
          <w:sz w:val="24"/>
          <w:szCs w:val="24"/>
        </w:rPr>
      </w:pPr>
      <w:r w:rsidRPr="00A01DB2">
        <w:rPr>
          <w:b/>
          <w:sz w:val="24"/>
          <w:szCs w:val="24"/>
          <w:u w:val="single"/>
        </w:rPr>
        <w:t>Inclusion of a</w:t>
      </w:r>
      <w:r w:rsidR="00575806" w:rsidRPr="00A01DB2">
        <w:rPr>
          <w:b/>
          <w:sz w:val="24"/>
          <w:szCs w:val="24"/>
          <w:u w:val="single"/>
        </w:rPr>
        <w:t xml:space="preserve"> Low-Income Sector</w:t>
      </w:r>
      <w:r w:rsidRPr="00A01DB2">
        <w:rPr>
          <w:b/>
          <w:sz w:val="24"/>
          <w:szCs w:val="24"/>
          <w:u w:val="single"/>
        </w:rPr>
        <w:t xml:space="preserve"> </w:t>
      </w:r>
      <w:r w:rsidR="006B307C" w:rsidRPr="00A01DB2">
        <w:rPr>
          <w:b/>
          <w:sz w:val="24"/>
          <w:szCs w:val="24"/>
          <w:u w:val="single"/>
        </w:rPr>
        <w:t>C</w:t>
      </w:r>
      <w:r w:rsidRPr="00A01DB2">
        <w:rPr>
          <w:b/>
          <w:sz w:val="24"/>
          <w:szCs w:val="24"/>
          <w:u w:val="single"/>
        </w:rPr>
        <w:t>arve-</w:t>
      </w:r>
      <w:r w:rsidR="006B307C" w:rsidRPr="00A01DB2">
        <w:rPr>
          <w:b/>
          <w:sz w:val="24"/>
          <w:szCs w:val="24"/>
          <w:u w:val="single"/>
        </w:rPr>
        <w:t>O</w:t>
      </w:r>
      <w:r w:rsidRPr="00A01DB2">
        <w:rPr>
          <w:b/>
          <w:sz w:val="24"/>
          <w:szCs w:val="24"/>
          <w:u w:val="single"/>
        </w:rPr>
        <w:t>ut</w:t>
      </w:r>
    </w:p>
    <w:p w:rsidR="00575806" w:rsidRPr="00A01DB2" w:rsidRDefault="00575806" w:rsidP="009A308C">
      <w:pPr>
        <w:pStyle w:val="ListParagraph"/>
        <w:jc w:val="both"/>
        <w:rPr>
          <w:sz w:val="24"/>
          <w:szCs w:val="24"/>
        </w:rPr>
      </w:pPr>
    </w:p>
    <w:p w:rsidR="001A4102" w:rsidRPr="00CE34EC" w:rsidRDefault="00575806" w:rsidP="009A308C">
      <w:pPr>
        <w:pStyle w:val="ListParagraph"/>
        <w:jc w:val="both"/>
        <w:rPr>
          <w:sz w:val="24"/>
          <w:szCs w:val="24"/>
        </w:rPr>
      </w:pPr>
      <w:r w:rsidRPr="00A01DB2">
        <w:rPr>
          <w:sz w:val="24"/>
          <w:szCs w:val="24"/>
        </w:rPr>
        <w:t xml:space="preserve">In Phase </w:t>
      </w:r>
      <w:r w:rsidR="00E70A5C" w:rsidRPr="00A01DB2">
        <w:rPr>
          <w:sz w:val="24"/>
          <w:szCs w:val="24"/>
        </w:rPr>
        <w:t>One</w:t>
      </w:r>
      <w:r w:rsidRPr="00A01DB2">
        <w:rPr>
          <w:sz w:val="24"/>
          <w:szCs w:val="24"/>
        </w:rPr>
        <w:t xml:space="preserve">, Act 129 </w:t>
      </w:r>
      <w:r w:rsidR="006538B5" w:rsidRPr="00A01DB2">
        <w:rPr>
          <w:sz w:val="24"/>
          <w:szCs w:val="24"/>
        </w:rPr>
        <w:t xml:space="preserve">required each EE&amp;C </w:t>
      </w:r>
      <w:r w:rsidRPr="00A01DB2">
        <w:rPr>
          <w:sz w:val="24"/>
          <w:szCs w:val="24"/>
        </w:rPr>
        <w:t xml:space="preserve">plan </w:t>
      </w:r>
      <w:r w:rsidR="00495FC5" w:rsidRPr="00A01DB2">
        <w:rPr>
          <w:sz w:val="24"/>
          <w:szCs w:val="24"/>
        </w:rPr>
        <w:t xml:space="preserve">to </w:t>
      </w:r>
      <w:r w:rsidRPr="00A01DB2">
        <w:rPr>
          <w:sz w:val="24"/>
          <w:szCs w:val="24"/>
        </w:rPr>
        <w:t>include specific EE measures for households at or below 150% of the Federal Poverty Income Guidelines</w:t>
      </w:r>
      <w:r w:rsidR="00495FC5" w:rsidRPr="00A01DB2">
        <w:rPr>
          <w:sz w:val="24"/>
          <w:szCs w:val="24"/>
        </w:rPr>
        <w:t xml:space="preserve"> in proportion to </w:t>
      </w:r>
      <w:r w:rsidR="00E70A5C" w:rsidRPr="00A01DB2">
        <w:rPr>
          <w:sz w:val="24"/>
          <w:szCs w:val="24"/>
        </w:rPr>
        <w:t xml:space="preserve">that </w:t>
      </w:r>
      <w:r w:rsidR="006B307C" w:rsidRPr="00A01DB2">
        <w:rPr>
          <w:sz w:val="24"/>
          <w:szCs w:val="24"/>
        </w:rPr>
        <w:t>sector’s</w:t>
      </w:r>
      <w:r w:rsidR="00E70A5C" w:rsidRPr="00A01DB2">
        <w:rPr>
          <w:sz w:val="24"/>
          <w:szCs w:val="24"/>
        </w:rPr>
        <w:t xml:space="preserve"> </w:t>
      </w:r>
      <w:r w:rsidR="00495FC5" w:rsidRPr="00A01DB2">
        <w:rPr>
          <w:sz w:val="24"/>
          <w:szCs w:val="24"/>
        </w:rPr>
        <w:t>share of the total energy usage in the EDC’s service territory</w:t>
      </w:r>
      <w:r w:rsidRPr="00A01DB2">
        <w:rPr>
          <w:sz w:val="24"/>
          <w:szCs w:val="24"/>
        </w:rPr>
        <w:t>.</w:t>
      </w:r>
      <w:r w:rsidR="00495FC5" w:rsidRPr="00A01DB2">
        <w:rPr>
          <w:rStyle w:val="FootnoteReference"/>
          <w:sz w:val="24"/>
          <w:szCs w:val="24"/>
        </w:rPr>
        <w:footnoteReference w:id="7"/>
      </w:r>
      <w:r w:rsidRPr="00A01DB2">
        <w:rPr>
          <w:sz w:val="24"/>
          <w:szCs w:val="24"/>
        </w:rPr>
        <w:t xml:space="preserve">  </w:t>
      </w:r>
      <w:r w:rsidR="001A4102" w:rsidRPr="00A01DB2">
        <w:rPr>
          <w:sz w:val="24"/>
          <w:szCs w:val="24"/>
        </w:rPr>
        <w:t xml:space="preserve">We are seeking comments as to whether this </w:t>
      </w:r>
      <w:r w:rsidR="007E132D" w:rsidRPr="00A01DB2">
        <w:rPr>
          <w:sz w:val="24"/>
          <w:szCs w:val="24"/>
        </w:rPr>
        <w:t xml:space="preserve">requirement </w:t>
      </w:r>
      <w:r w:rsidR="001A4102" w:rsidRPr="00A01DB2">
        <w:rPr>
          <w:sz w:val="24"/>
          <w:szCs w:val="24"/>
        </w:rPr>
        <w:t xml:space="preserve">should </w:t>
      </w:r>
      <w:r w:rsidR="007E132D" w:rsidRPr="00A01DB2">
        <w:rPr>
          <w:sz w:val="24"/>
          <w:szCs w:val="24"/>
        </w:rPr>
        <w:t xml:space="preserve">continue in </w:t>
      </w:r>
      <w:r w:rsidR="00CE34EC">
        <w:rPr>
          <w:sz w:val="24"/>
          <w:szCs w:val="24"/>
        </w:rPr>
        <w:t>the next EE&amp;C Plan, if required</w:t>
      </w:r>
      <w:r w:rsidR="001A4102" w:rsidRPr="00CE34EC">
        <w:rPr>
          <w:sz w:val="24"/>
          <w:szCs w:val="24"/>
        </w:rPr>
        <w:t>.</w:t>
      </w:r>
      <w:r w:rsidRPr="00CE34EC">
        <w:rPr>
          <w:sz w:val="24"/>
          <w:szCs w:val="24"/>
        </w:rPr>
        <w:t xml:space="preserve">  </w:t>
      </w:r>
    </w:p>
    <w:p w:rsidR="001A4102" w:rsidRPr="000D7109" w:rsidRDefault="001A4102" w:rsidP="009A308C">
      <w:pPr>
        <w:pStyle w:val="ListParagraph"/>
        <w:jc w:val="both"/>
        <w:rPr>
          <w:sz w:val="24"/>
          <w:szCs w:val="24"/>
        </w:rPr>
      </w:pPr>
    </w:p>
    <w:p w:rsidR="003E7239" w:rsidRPr="000D7109" w:rsidRDefault="007E132D" w:rsidP="009A308C">
      <w:pPr>
        <w:pStyle w:val="ListParagraph"/>
        <w:jc w:val="both"/>
        <w:rPr>
          <w:sz w:val="24"/>
          <w:szCs w:val="24"/>
        </w:rPr>
      </w:pPr>
      <w:r w:rsidRPr="00A01DB2">
        <w:rPr>
          <w:sz w:val="24"/>
          <w:szCs w:val="24"/>
        </w:rPr>
        <w:t>I</w:t>
      </w:r>
      <w:r w:rsidR="00CE34EC">
        <w:rPr>
          <w:sz w:val="24"/>
          <w:szCs w:val="24"/>
        </w:rPr>
        <w:t>n addition, assuming this carve-out will</w:t>
      </w:r>
      <w:r w:rsidR="008554B6" w:rsidRPr="00CE34EC">
        <w:rPr>
          <w:sz w:val="24"/>
          <w:szCs w:val="24"/>
        </w:rPr>
        <w:t xml:space="preserve"> continue, </w:t>
      </w:r>
      <w:r w:rsidR="001A4102" w:rsidRPr="00CE34EC">
        <w:rPr>
          <w:sz w:val="24"/>
          <w:szCs w:val="24"/>
        </w:rPr>
        <w:t xml:space="preserve">we are seeking comments </w:t>
      </w:r>
      <w:r w:rsidR="00CE34EC">
        <w:rPr>
          <w:sz w:val="24"/>
          <w:szCs w:val="24"/>
        </w:rPr>
        <w:t>on whether</w:t>
      </w:r>
      <w:r w:rsidR="001A4102" w:rsidRPr="00CE34EC">
        <w:rPr>
          <w:sz w:val="24"/>
          <w:szCs w:val="24"/>
        </w:rPr>
        <w:t xml:space="preserve"> we </w:t>
      </w:r>
      <w:r w:rsidR="008554B6" w:rsidRPr="00CE34EC">
        <w:rPr>
          <w:sz w:val="24"/>
          <w:szCs w:val="24"/>
        </w:rPr>
        <w:t>should expand</w:t>
      </w:r>
      <w:r w:rsidR="00CE34EC">
        <w:rPr>
          <w:sz w:val="24"/>
          <w:szCs w:val="24"/>
        </w:rPr>
        <w:t xml:space="preserve"> the requirement</w:t>
      </w:r>
      <w:r w:rsidR="008554B6" w:rsidRPr="00CE34EC">
        <w:rPr>
          <w:sz w:val="24"/>
          <w:szCs w:val="24"/>
        </w:rPr>
        <w:t xml:space="preserve"> to include</w:t>
      </w:r>
      <w:r w:rsidR="00575806" w:rsidRPr="00CE34EC">
        <w:rPr>
          <w:sz w:val="24"/>
          <w:szCs w:val="24"/>
        </w:rPr>
        <w:t xml:space="preserve"> low-income households at or below 250% of the Federal Poverty Income Guidelines</w:t>
      </w:r>
      <w:r w:rsidR="00A72D60" w:rsidRPr="00CE34EC">
        <w:rPr>
          <w:sz w:val="24"/>
          <w:szCs w:val="24"/>
        </w:rPr>
        <w:t>.</w:t>
      </w:r>
      <w:r w:rsidR="003E7239" w:rsidRPr="00CE34EC">
        <w:rPr>
          <w:sz w:val="24"/>
          <w:szCs w:val="24"/>
        </w:rPr>
        <w:t xml:space="preserve">  </w:t>
      </w:r>
      <w:r w:rsidR="00575806" w:rsidRPr="00CE34EC">
        <w:rPr>
          <w:sz w:val="24"/>
          <w:szCs w:val="24"/>
        </w:rPr>
        <w:t>Considerations for potential expansion to 250% include overlapping eligibility with the existing Low-Income Usage Reduction Program</w:t>
      </w:r>
      <w:r w:rsidR="008554B6" w:rsidRPr="00CE34EC">
        <w:rPr>
          <w:sz w:val="24"/>
          <w:szCs w:val="24"/>
        </w:rPr>
        <w:t>s</w:t>
      </w:r>
      <w:r w:rsidR="00575806" w:rsidRPr="00CE34EC">
        <w:rPr>
          <w:sz w:val="24"/>
          <w:szCs w:val="24"/>
        </w:rPr>
        <w:t xml:space="preserve"> </w:t>
      </w:r>
      <w:r w:rsidR="008554B6" w:rsidRPr="00CE34EC">
        <w:rPr>
          <w:sz w:val="24"/>
          <w:szCs w:val="24"/>
        </w:rPr>
        <w:t>implemented under Chapter 28 of Title</w:t>
      </w:r>
      <w:r w:rsidR="00575806" w:rsidRPr="00CE34EC">
        <w:rPr>
          <w:sz w:val="24"/>
          <w:szCs w:val="24"/>
        </w:rPr>
        <w:t xml:space="preserve"> </w:t>
      </w:r>
      <w:r w:rsidR="008554B6" w:rsidRPr="00CE34EC">
        <w:rPr>
          <w:sz w:val="24"/>
          <w:szCs w:val="24"/>
        </w:rPr>
        <w:t xml:space="preserve">52 of the Pennsylvania Code </w:t>
      </w:r>
      <w:r w:rsidR="00575806" w:rsidRPr="00CE34EC">
        <w:rPr>
          <w:sz w:val="24"/>
          <w:szCs w:val="24"/>
        </w:rPr>
        <w:t xml:space="preserve">and the potential to make EE measures more </w:t>
      </w:r>
      <w:r w:rsidR="008554B6" w:rsidRPr="000D7109">
        <w:rPr>
          <w:sz w:val="24"/>
          <w:szCs w:val="24"/>
        </w:rPr>
        <w:t xml:space="preserve">affordable </w:t>
      </w:r>
      <w:r w:rsidR="00575806" w:rsidRPr="000D7109">
        <w:rPr>
          <w:sz w:val="24"/>
          <w:szCs w:val="24"/>
        </w:rPr>
        <w:t xml:space="preserve">to households in the 151-250% </w:t>
      </w:r>
      <w:r w:rsidR="006B307C" w:rsidRPr="000D7109">
        <w:rPr>
          <w:sz w:val="24"/>
          <w:szCs w:val="24"/>
        </w:rPr>
        <w:t xml:space="preserve">range </w:t>
      </w:r>
      <w:r w:rsidR="00575806" w:rsidRPr="000D7109">
        <w:rPr>
          <w:sz w:val="24"/>
          <w:szCs w:val="24"/>
        </w:rPr>
        <w:t xml:space="preserve">of </w:t>
      </w:r>
      <w:r w:rsidR="006B307C" w:rsidRPr="000D7109">
        <w:rPr>
          <w:sz w:val="24"/>
          <w:szCs w:val="24"/>
        </w:rPr>
        <w:t xml:space="preserve">the </w:t>
      </w:r>
      <w:r w:rsidR="00575806" w:rsidRPr="000D7109">
        <w:rPr>
          <w:sz w:val="24"/>
          <w:szCs w:val="24"/>
        </w:rPr>
        <w:t>poverty guidelines.</w:t>
      </w:r>
      <w:r w:rsidR="008554B6" w:rsidRPr="000D7109">
        <w:rPr>
          <w:sz w:val="24"/>
          <w:szCs w:val="24"/>
        </w:rPr>
        <w:t xml:space="preserve">  </w:t>
      </w:r>
    </w:p>
    <w:p w:rsidR="003E7239" w:rsidRPr="00A01DB2" w:rsidRDefault="003E7239" w:rsidP="009A308C">
      <w:pPr>
        <w:pStyle w:val="ListParagraph"/>
        <w:jc w:val="both"/>
        <w:rPr>
          <w:sz w:val="24"/>
          <w:szCs w:val="24"/>
        </w:rPr>
      </w:pPr>
    </w:p>
    <w:p w:rsidR="00A72D60" w:rsidRPr="00CE34EC" w:rsidRDefault="003E7239" w:rsidP="009A308C">
      <w:pPr>
        <w:pStyle w:val="ListParagraph"/>
        <w:jc w:val="both"/>
        <w:rPr>
          <w:sz w:val="24"/>
          <w:szCs w:val="24"/>
        </w:rPr>
      </w:pPr>
      <w:r w:rsidRPr="00A01DB2">
        <w:rPr>
          <w:sz w:val="24"/>
          <w:szCs w:val="24"/>
        </w:rPr>
        <w:t>A</w:t>
      </w:r>
      <w:r w:rsidR="00A72D60" w:rsidRPr="00A01DB2">
        <w:rPr>
          <w:sz w:val="24"/>
          <w:szCs w:val="24"/>
        </w:rPr>
        <w:t xml:space="preserve"> second</w:t>
      </w:r>
      <w:r w:rsidRPr="00A01DB2">
        <w:rPr>
          <w:sz w:val="24"/>
          <w:szCs w:val="24"/>
        </w:rPr>
        <w:t xml:space="preserve"> option </w:t>
      </w:r>
      <w:r w:rsidR="00CE34EC">
        <w:rPr>
          <w:sz w:val="24"/>
          <w:szCs w:val="24"/>
        </w:rPr>
        <w:t>would be</w:t>
      </w:r>
      <w:r w:rsidRPr="00CE34EC">
        <w:rPr>
          <w:sz w:val="24"/>
          <w:szCs w:val="24"/>
        </w:rPr>
        <w:t xml:space="preserve"> to structure the low-income carve-out as a percentage of the overall EE&amp;C Plan budget.  This budget</w:t>
      </w:r>
      <w:r w:rsidR="006B307C" w:rsidRPr="00CE34EC">
        <w:rPr>
          <w:sz w:val="24"/>
          <w:szCs w:val="24"/>
        </w:rPr>
        <w:t>ary</w:t>
      </w:r>
      <w:r w:rsidRPr="00CE34EC">
        <w:rPr>
          <w:sz w:val="24"/>
          <w:szCs w:val="24"/>
        </w:rPr>
        <w:t xml:space="preserve"> carve-out could be based on an estimate of the percentage of energy this sector </w:t>
      </w:r>
      <w:r w:rsidR="006B307C" w:rsidRPr="00CE34EC">
        <w:rPr>
          <w:sz w:val="24"/>
          <w:szCs w:val="24"/>
        </w:rPr>
        <w:t xml:space="preserve">consumes </w:t>
      </w:r>
      <w:r w:rsidRPr="00CE34EC">
        <w:rPr>
          <w:sz w:val="24"/>
          <w:szCs w:val="24"/>
        </w:rPr>
        <w:t xml:space="preserve">in the EDC’s service territory or some other indicator. </w:t>
      </w:r>
      <w:r w:rsidRPr="00CE34EC" w:rsidDel="00CE1EAB">
        <w:rPr>
          <w:sz w:val="24"/>
          <w:szCs w:val="24"/>
        </w:rPr>
        <w:t xml:space="preserve"> </w:t>
      </w:r>
    </w:p>
    <w:p w:rsidR="00A72D60" w:rsidRPr="000D7109" w:rsidRDefault="00A72D60" w:rsidP="009A308C">
      <w:pPr>
        <w:pStyle w:val="ListParagraph"/>
        <w:jc w:val="both"/>
        <w:rPr>
          <w:sz w:val="24"/>
          <w:szCs w:val="24"/>
        </w:rPr>
      </w:pPr>
    </w:p>
    <w:p w:rsidR="00D53F6A" w:rsidRDefault="003E7239" w:rsidP="009A308C">
      <w:pPr>
        <w:pStyle w:val="ListParagraph"/>
        <w:jc w:val="both"/>
        <w:rPr>
          <w:sz w:val="24"/>
          <w:szCs w:val="24"/>
        </w:rPr>
      </w:pPr>
      <w:r w:rsidRPr="000D7109">
        <w:rPr>
          <w:sz w:val="24"/>
          <w:szCs w:val="24"/>
        </w:rPr>
        <w:t>A</w:t>
      </w:r>
      <w:r w:rsidR="00A72D60" w:rsidRPr="000D7109">
        <w:rPr>
          <w:sz w:val="24"/>
          <w:szCs w:val="24"/>
        </w:rPr>
        <w:t xml:space="preserve"> third</w:t>
      </w:r>
      <w:r w:rsidRPr="000D7109">
        <w:rPr>
          <w:sz w:val="24"/>
          <w:szCs w:val="24"/>
        </w:rPr>
        <w:t xml:space="preserve"> option for structuring the low-income carve-out </w:t>
      </w:r>
      <w:r w:rsidR="00CE34EC">
        <w:rPr>
          <w:sz w:val="24"/>
          <w:szCs w:val="24"/>
        </w:rPr>
        <w:t>would be</w:t>
      </w:r>
      <w:r w:rsidRPr="00CE34EC">
        <w:rPr>
          <w:sz w:val="24"/>
          <w:szCs w:val="24"/>
        </w:rPr>
        <w:t xml:space="preserve"> to designate a percentage of </w:t>
      </w:r>
      <w:r w:rsidR="00126702" w:rsidRPr="000D7109">
        <w:rPr>
          <w:sz w:val="24"/>
          <w:szCs w:val="24"/>
        </w:rPr>
        <w:t xml:space="preserve">energy savings </w:t>
      </w:r>
      <w:r w:rsidRPr="000D7109">
        <w:rPr>
          <w:sz w:val="24"/>
          <w:szCs w:val="24"/>
        </w:rPr>
        <w:t>to be achieved from this sector</w:t>
      </w:r>
      <w:r w:rsidR="00A72D60" w:rsidRPr="000D7109">
        <w:rPr>
          <w:sz w:val="24"/>
          <w:szCs w:val="24"/>
        </w:rPr>
        <w:t>.</w:t>
      </w:r>
      <w:r w:rsidRPr="000D7109">
        <w:rPr>
          <w:sz w:val="24"/>
          <w:szCs w:val="24"/>
        </w:rPr>
        <w:t xml:space="preserve">  </w:t>
      </w:r>
    </w:p>
    <w:p w:rsidR="00F4578D" w:rsidRDefault="00F4578D" w:rsidP="009A308C">
      <w:pPr>
        <w:pStyle w:val="ListParagraph"/>
        <w:jc w:val="both"/>
        <w:rPr>
          <w:sz w:val="24"/>
          <w:szCs w:val="24"/>
        </w:rPr>
      </w:pPr>
    </w:p>
    <w:p w:rsidR="00F4578D" w:rsidRPr="000D7109" w:rsidRDefault="00F4578D" w:rsidP="009A308C">
      <w:pPr>
        <w:pStyle w:val="ListParagraph"/>
        <w:jc w:val="both"/>
        <w:rPr>
          <w:sz w:val="24"/>
          <w:szCs w:val="24"/>
        </w:rPr>
      </w:pPr>
      <w:r>
        <w:rPr>
          <w:sz w:val="24"/>
          <w:szCs w:val="24"/>
        </w:rPr>
        <w:t>At this time the Commission seeks comments on whether it should continue to include a low-income element in future EE&amp;C Plans, if required.  If so, what form or requirements should the low-income element entail</w:t>
      </w:r>
      <w:r w:rsidR="0028699F">
        <w:rPr>
          <w:sz w:val="24"/>
          <w:szCs w:val="24"/>
        </w:rPr>
        <w:t>?</w:t>
      </w:r>
    </w:p>
    <w:p w:rsidR="0053714C" w:rsidRPr="000D7109" w:rsidRDefault="0053714C" w:rsidP="00935E57">
      <w:pPr>
        <w:ind w:left="720"/>
        <w:rPr>
          <w:sz w:val="24"/>
          <w:szCs w:val="24"/>
        </w:rPr>
      </w:pPr>
    </w:p>
    <w:p w:rsidR="00EB2540" w:rsidRPr="00A01DB2" w:rsidRDefault="00EB2540" w:rsidP="00EB2540">
      <w:pPr>
        <w:pStyle w:val="ListParagraph"/>
        <w:numPr>
          <w:ilvl w:val="0"/>
          <w:numId w:val="13"/>
        </w:numPr>
        <w:rPr>
          <w:sz w:val="24"/>
          <w:szCs w:val="24"/>
        </w:rPr>
      </w:pPr>
      <w:r w:rsidRPr="00A01DB2">
        <w:rPr>
          <w:b/>
          <w:sz w:val="24"/>
          <w:szCs w:val="24"/>
          <w:u w:val="single"/>
        </w:rPr>
        <w:lastRenderedPageBreak/>
        <w:t>Transition Issues</w:t>
      </w:r>
    </w:p>
    <w:p w:rsidR="0053714C" w:rsidRPr="00A01DB2" w:rsidRDefault="0053714C" w:rsidP="00935E57">
      <w:pPr>
        <w:ind w:left="720"/>
        <w:rPr>
          <w:sz w:val="24"/>
          <w:szCs w:val="24"/>
        </w:rPr>
      </w:pPr>
    </w:p>
    <w:p w:rsidR="00EB2540" w:rsidRPr="00CE34EC" w:rsidRDefault="00CE34EC" w:rsidP="009A308C">
      <w:pPr>
        <w:ind w:left="720"/>
        <w:jc w:val="both"/>
        <w:rPr>
          <w:sz w:val="24"/>
          <w:szCs w:val="24"/>
        </w:rPr>
      </w:pPr>
      <w:r>
        <w:rPr>
          <w:sz w:val="24"/>
          <w:szCs w:val="24"/>
        </w:rPr>
        <w:t>In addition to the topics identified above, t</w:t>
      </w:r>
      <w:r w:rsidR="00EB2540" w:rsidRPr="00CE34EC">
        <w:rPr>
          <w:sz w:val="24"/>
          <w:szCs w:val="24"/>
        </w:rPr>
        <w:t xml:space="preserve">he Commission seeks comments on </w:t>
      </w:r>
      <w:r>
        <w:rPr>
          <w:sz w:val="24"/>
          <w:szCs w:val="24"/>
        </w:rPr>
        <w:t xml:space="preserve">a number of anticipated </w:t>
      </w:r>
      <w:r w:rsidR="00EB2540" w:rsidRPr="00CE34EC">
        <w:rPr>
          <w:sz w:val="24"/>
          <w:szCs w:val="24"/>
        </w:rPr>
        <w:t xml:space="preserve">issues </w:t>
      </w:r>
      <w:r w:rsidR="00D53F6A" w:rsidRPr="00CE34EC">
        <w:rPr>
          <w:sz w:val="24"/>
          <w:szCs w:val="24"/>
        </w:rPr>
        <w:t>regarding the transition</w:t>
      </w:r>
      <w:r w:rsidR="00EB2540" w:rsidRPr="00CE34EC">
        <w:rPr>
          <w:sz w:val="24"/>
          <w:szCs w:val="24"/>
        </w:rPr>
        <w:t xml:space="preserve"> from Phase One to </w:t>
      </w:r>
      <w:r>
        <w:rPr>
          <w:sz w:val="24"/>
          <w:szCs w:val="24"/>
        </w:rPr>
        <w:t>a second round of EE&amp;C plans, if required</w:t>
      </w:r>
      <w:r w:rsidR="00EB2540" w:rsidRPr="00CE34EC">
        <w:rPr>
          <w:sz w:val="24"/>
          <w:szCs w:val="24"/>
        </w:rPr>
        <w:t xml:space="preserve">.  The first transition issue is whether the Commission should give consideration in </w:t>
      </w:r>
      <w:r>
        <w:rPr>
          <w:sz w:val="24"/>
          <w:szCs w:val="24"/>
        </w:rPr>
        <w:t>the p</w:t>
      </w:r>
      <w:r w:rsidR="004B7A97">
        <w:rPr>
          <w:sz w:val="24"/>
          <w:szCs w:val="24"/>
        </w:rPr>
        <w:t>otential</w:t>
      </w:r>
      <w:r>
        <w:rPr>
          <w:sz w:val="24"/>
          <w:szCs w:val="24"/>
        </w:rPr>
        <w:t xml:space="preserve"> next phase</w:t>
      </w:r>
      <w:r w:rsidR="00EB2540" w:rsidRPr="00CE34EC">
        <w:rPr>
          <w:sz w:val="24"/>
          <w:szCs w:val="24"/>
        </w:rPr>
        <w:t xml:space="preserve"> for an EDC that exceeds its Phase One EE targets.  Specifically</w:t>
      </w:r>
      <w:r>
        <w:rPr>
          <w:sz w:val="24"/>
          <w:szCs w:val="24"/>
        </w:rPr>
        <w:t xml:space="preserve"> assuming that the Commission will require a second round of EE&amp;C Plans</w:t>
      </w:r>
      <w:r w:rsidR="00EB2540" w:rsidRPr="00CE34EC">
        <w:rPr>
          <w:sz w:val="24"/>
          <w:szCs w:val="24"/>
        </w:rPr>
        <w:t xml:space="preserve">, should an EDC that achieves more than </w:t>
      </w:r>
      <w:r w:rsidR="003E7239" w:rsidRPr="00CE34EC">
        <w:rPr>
          <w:sz w:val="24"/>
          <w:szCs w:val="24"/>
        </w:rPr>
        <w:t xml:space="preserve">its </w:t>
      </w:r>
      <w:r w:rsidR="00EB2540" w:rsidRPr="00CE34EC">
        <w:rPr>
          <w:sz w:val="24"/>
          <w:szCs w:val="24"/>
        </w:rPr>
        <w:t xml:space="preserve">3% reduction in its Phase One </w:t>
      </w:r>
      <w:r w:rsidR="003E7239" w:rsidRPr="00CE34EC">
        <w:rPr>
          <w:sz w:val="24"/>
          <w:szCs w:val="24"/>
        </w:rPr>
        <w:t xml:space="preserve">EE </w:t>
      </w:r>
      <w:r w:rsidR="00EB2540" w:rsidRPr="00CE34EC">
        <w:rPr>
          <w:sz w:val="24"/>
          <w:szCs w:val="24"/>
        </w:rPr>
        <w:t xml:space="preserve">program receive credit toward achieving its incremental </w:t>
      </w:r>
      <w:r>
        <w:rPr>
          <w:sz w:val="24"/>
          <w:szCs w:val="24"/>
        </w:rPr>
        <w:t>second</w:t>
      </w:r>
      <w:r w:rsidR="00EB2540" w:rsidRPr="00CE34EC">
        <w:rPr>
          <w:sz w:val="24"/>
          <w:szCs w:val="24"/>
        </w:rPr>
        <w:t xml:space="preserve"> target in the amount it exceeds its Phase One target?  If so, should the EDC’s </w:t>
      </w:r>
      <w:r>
        <w:rPr>
          <w:sz w:val="24"/>
          <w:szCs w:val="24"/>
        </w:rPr>
        <w:t>next</w:t>
      </w:r>
      <w:r w:rsidR="00EB2540" w:rsidRPr="00CE34EC">
        <w:rPr>
          <w:sz w:val="24"/>
          <w:szCs w:val="24"/>
        </w:rPr>
        <w:t xml:space="preserve"> budget be reduced to account for the portion of the </w:t>
      </w:r>
      <w:r>
        <w:rPr>
          <w:sz w:val="24"/>
          <w:szCs w:val="24"/>
        </w:rPr>
        <w:t>second</w:t>
      </w:r>
      <w:r w:rsidR="00EB2540" w:rsidRPr="00CE34EC">
        <w:rPr>
          <w:sz w:val="24"/>
          <w:szCs w:val="24"/>
        </w:rPr>
        <w:t xml:space="preserve"> target that </w:t>
      </w:r>
      <w:r w:rsidR="003E7239" w:rsidRPr="00CE34EC">
        <w:rPr>
          <w:sz w:val="24"/>
          <w:szCs w:val="24"/>
        </w:rPr>
        <w:t>it</w:t>
      </w:r>
      <w:r w:rsidR="00EB2540" w:rsidRPr="00CE34EC">
        <w:rPr>
          <w:sz w:val="24"/>
          <w:szCs w:val="24"/>
        </w:rPr>
        <w:t xml:space="preserve"> achieved in Phase One?</w:t>
      </w:r>
    </w:p>
    <w:p w:rsidR="00EB2540" w:rsidRPr="000D7109" w:rsidRDefault="00EB2540" w:rsidP="009A308C">
      <w:pPr>
        <w:ind w:left="720"/>
        <w:jc w:val="both"/>
        <w:rPr>
          <w:sz w:val="24"/>
          <w:szCs w:val="24"/>
        </w:rPr>
      </w:pPr>
    </w:p>
    <w:p w:rsidR="00EB2540" w:rsidRPr="00CE34EC" w:rsidRDefault="00EB2540" w:rsidP="009A308C">
      <w:pPr>
        <w:ind w:left="720"/>
        <w:jc w:val="both"/>
        <w:rPr>
          <w:sz w:val="24"/>
          <w:szCs w:val="24"/>
        </w:rPr>
      </w:pPr>
      <w:r w:rsidRPr="00A01DB2">
        <w:rPr>
          <w:sz w:val="24"/>
          <w:szCs w:val="24"/>
        </w:rPr>
        <w:t xml:space="preserve">A second and related transition issue is whether an EDC that has met its Phase One EE target but </w:t>
      </w:r>
      <w:r w:rsidR="000D7109">
        <w:rPr>
          <w:sz w:val="24"/>
          <w:szCs w:val="24"/>
        </w:rPr>
        <w:t xml:space="preserve">has </w:t>
      </w:r>
      <w:r w:rsidRPr="000D7109">
        <w:rPr>
          <w:sz w:val="24"/>
          <w:szCs w:val="24"/>
        </w:rPr>
        <w:t>not spent all of its Phase One budget</w:t>
      </w:r>
      <w:r w:rsidR="00CE34EC">
        <w:rPr>
          <w:sz w:val="24"/>
          <w:szCs w:val="24"/>
        </w:rPr>
        <w:t xml:space="preserve"> should</w:t>
      </w:r>
      <w:r w:rsidRPr="00CE34EC">
        <w:rPr>
          <w:sz w:val="24"/>
          <w:szCs w:val="24"/>
        </w:rPr>
        <w:t xml:space="preserve"> continue its Phase One program implementation until </w:t>
      </w:r>
      <w:r w:rsidR="00CE34EC">
        <w:rPr>
          <w:sz w:val="24"/>
          <w:szCs w:val="24"/>
        </w:rPr>
        <w:t>its second EE&amp;C Plan</w:t>
      </w:r>
      <w:r w:rsidRPr="00CE34EC">
        <w:rPr>
          <w:sz w:val="24"/>
          <w:szCs w:val="24"/>
        </w:rPr>
        <w:t xml:space="preserve"> begins or until the Phase One funds are exhausted?</w:t>
      </w:r>
      <w:r w:rsidR="000D7109">
        <w:rPr>
          <w:sz w:val="24"/>
          <w:szCs w:val="24"/>
        </w:rPr>
        <w:t xml:space="preserve"> Alternatively, should an EDC that has met its Phase One EE target but has</w:t>
      </w:r>
      <w:r w:rsidR="003B35CF">
        <w:rPr>
          <w:sz w:val="24"/>
          <w:szCs w:val="24"/>
        </w:rPr>
        <w:t xml:space="preserve"> not spent all of </w:t>
      </w:r>
      <w:r w:rsidR="000D7109">
        <w:rPr>
          <w:sz w:val="24"/>
          <w:szCs w:val="24"/>
        </w:rPr>
        <w:t>its Phase One budget be required to immediately reconcile the remainder of its Phase One budget to ratepayers?  Why or why not?</w:t>
      </w:r>
    </w:p>
    <w:p w:rsidR="00EB2540" w:rsidRPr="000D7109" w:rsidRDefault="00EB2540" w:rsidP="00EB2540">
      <w:pPr>
        <w:ind w:left="720"/>
        <w:rPr>
          <w:sz w:val="24"/>
          <w:szCs w:val="24"/>
        </w:rPr>
      </w:pPr>
    </w:p>
    <w:p w:rsidR="0053714C" w:rsidRDefault="00EB2540" w:rsidP="009A308C">
      <w:pPr>
        <w:ind w:left="720"/>
        <w:jc w:val="both"/>
        <w:rPr>
          <w:sz w:val="24"/>
          <w:szCs w:val="24"/>
        </w:rPr>
      </w:pPr>
      <w:r w:rsidRPr="00A01DB2">
        <w:rPr>
          <w:sz w:val="24"/>
          <w:szCs w:val="24"/>
        </w:rPr>
        <w:t xml:space="preserve">A third transition issue for consideration is the way in which the Commission operationalizes the Act 129 requirement that </w:t>
      </w:r>
      <w:r w:rsidR="003E7239" w:rsidRPr="00A01DB2">
        <w:rPr>
          <w:sz w:val="24"/>
          <w:szCs w:val="24"/>
        </w:rPr>
        <w:t>it</w:t>
      </w:r>
      <w:r w:rsidRPr="00A01DB2">
        <w:rPr>
          <w:sz w:val="24"/>
          <w:szCs w:val="24"/>
        </w:rPr>
        <w:t xml:space="preserve"> adopt additional required incremental reductions in consumption.  In Phase One, the EE reductions in consumption of 1% and 3% were to be measured against the EDC’s expected load as forecasted by the Commission for June 1, 2009, through May 31, 2010.  One way to operationalize “additional required incremental reductions” is to maintain the same baseline 2009-2010 energy year forecast and have the </w:t>
      </w:r>
      <w:r w:rsidR="00F309A9">
        <w:rPr>
          <w:sz w:val="24"/>
          <w:szCs w:val="24"/>
        </w:rPr>
        <w:t>next</w:t>
      </w:r>
      <w:r w:rsidRPr="00F309A9">
        <w:rPr>
          <w:sz w:val="24"/>
          <w:szCs w:val="24"/>
        </w:rPr>
        <w:t xml:space="preserve"> percentage reduction targets be added to, and cumulative</w:t>
      </w:r>
      <w:r w:rsidR="00D53F6A" w:rsidRPr="00A01DB2">
        <w:rPr>
          <w:sz w:val="24"/>
          <w:szCs w:val="24"/>
        </w:rPr>
        <w:t>,</w:t>
      </w:r>
      <w:r w:rsidRPr="00A01DB2">
        <w:rPr>
          <w:sz w:val="24"/>
          <w:szCs w:val="24"/>
        </w:rPr>
        <w:t xml:space="preserve"> with the Phase One percentage reduction targets.  For example, </w:t>
      </w:r>
      <w:r w:rsidR="00F309A9">
        <w:rPr>
          <w:sz w:val="24"/>
          <w:szCs w:val="24"/>
        </w:rPr>
        <w:t xml:space="preserve">assuming that the Commission concludes that a second round of EE&amp;C plans are necessary, </w:t>
      </w:r>
      <w:r w:rsidRPr="00F309A9">
        <w:rPr>
          <w:sz w:val="24"/>
          <w:szCs w:val="24"/>
        </w:rPr>
        <w:t>if an EDC were required to have an additional required incremental reduction of 2% , the new target would be expressed as a total, cumulative, end</w:t>
      </w:r>
      <w:r w:rsidR="00D53F6A" w:rsidRPr="00F309A9">
        <w:rPr>
          <w:sz w:val="24"/>
          <w:szCs w:val="24"/>
        </w:rPr>
        <w:t>-</w:t>
      </w:r>
      <w:r w:rsidRPr="00F309A9">
        <w:rPr>
          <w:sz w:val="24"/>
          <w:szCs w:val="24"/>
        </w:rPr>
        <w:t>of</w:t>
      </w:r>
      <w:r w:rsidR="00D53F6A" w:rsidRPr="00F309A9">
        <w:rPr>
          <w:sz w:val="24"/>
          <w:szCs w:val="24"/>
        </w:rPr>
        <w:t>-</w:t>
      </w:r>
      <w:r w:rsidR="00F309A9">
        <w:rPr>
          <w:sz w:val="24"/>
          <w:szCs w:val="24"/>
        </w:rPr>
        <w:t>second plan</w:t>
      </w:r>
      <w:r w:rsidRPr="00F309A9">
        <w:rPr>
          <w:sz w:val="24"/>
          <w:szCs w:val="24"/>
        </w:rPr>
        <w:t xml:space="preserve"> target of 5% </w:t>
      </w:r>
      <w:r w:rsidR="003E7239" w:rsidRPr="00F309A9">
        <w:rPr>
          <w:sz w:val="24"/>
          <w:szCs w:val="24"/>
        </w:rPr>
        <w:t>of</w:t>
      </w:r>
      <w:r w:rsidRPr="00F309A9">
        <w:rPr>
          <w:sz w:val="24"/>
          <w:szCs w:val="24"/>
        </w:rPr>
        <w:t xml:space="preserve"> the </w:t>
      </w:r>
      <w:r w:rsidR="003E7239" w:rsidRPr="00F309A9">
        <w:rPr>
          <w:sz w:val="24"/>
          <w:szCs w:val="24"/>
        </w:rPr>
        <w:t xml:space="preserve">previously determined </w:t>
      </w:r>
      <w:r w:rsidRPr="00F309A9">
        <w:rPr>
          <w:sz w:val="24"/>
          <w:szCs w:val="24"/>
        </w:rPr>
        <w:t xml:space="preserve">2009-2010 energy year forecast.  The 5% target would include the 3% reduction target from Phase One as well as the 2% increment for </w:t>
      </w:r>
      <w:r w:rsidR="00F309A9">
        <w:rPr>
          <w:sz w:val="24"/>
          <w:szCs w:val="24"/>
        </w:rPr>
        <w:t>the second EE&amp;C plan.</w:t>
      </w:r>
    </w:p>
    <w:p w:rsidR="00F4578D" w:rsidRDefault="00F4578D" w:rsidP="009A308C">
      <w:pPr>
        <w:ind w:left="720"/>
        <w:jc w:val="both"/>
        <w:rPr>
          <w:sz w:val="24"/>
          <w:szCs w:val="24"/>
        </w:rPr>
      </w:pPr>
    </w:p>
    <w:p w:rsidR="00F4578D" w:rsidRDefault="00F4578D" w:rsidP="009A308C">
      <w:pPr>
        <w:ind w:left="720"/>
        <w:jc w:val="both"/>
        <w:rPr>
          <w:sz w:val="24"/>
          <w:szCs w:val="24"/>
        </w:rPr>
      </w:pPr>
      <w:r>
        <w:rPr>
          <w:sz w:val="24"/>
          <w:szCs w:val="24"/>
        </w:rPr>
        <w:t>At this time, the Commission seeks comments on these and other potential issues involving the transition from the current EE&amp;C Plans to future EE&amp;C Plans, if required.</w:t>
      </w:r>
    </w:p>
    <w:p w:rsidR="000D7109" w:rsidRDefault="000D7109" w:rsidP="00EB2540">
      <w:pPr>
        <w:ind w:left="720"/>
        <w:rPr>
          <w:sz w:val="24"/>
          <w:szCs w:val="24"/>
        </w:rPr>
      </w:pPr>
    </w:p>
    <w:p w:rsidR="000D7109" w:rsidRDefault="000D7109" w:rsidP="000D7109">
      <w:pPr>
        <w:pStyle w:val="ListParagraph"/>
        <w:numPr>
          <w:ilvl w:val="0"/>
          <w:numId w:val="13"/>
        </w:numPr>
        <w:rPr>
          <w:sz w:val="24"/>
          <w:szCs w:val="24"/>
        </w:rPr>
      </w:pPr>
      <w:r>
        <w:rPr>
          <w:b/>
          <w:sz w:val="24"/>
          <w:szCs w:val="24"/>
          <w:u w:val="single"/>
        </w:rPr>
        <w:t>Other Act 129 Program Design Issues</w:t>
      </w:r>
    </w:p>
    <w:p w:rsidR="000D7109" w:rsidRDefault="000D7109" w:rsidP="009A308C">
      <w:pPr>
        <w:pStyle w:val="ListParagraph"/>
        <w:jc w:val="both"/>
        <w:rPr>
          <w:sz w:val="24"/>
          <w:szCs w:val="24"/>
        </w:rPr>
      </w:pPr>
    </w:p>
    <w:p w:rsidR="000D7109" w:rsidRPr="000D7109" w:rsidRDefault="000D7109" w:rsidP="009A308C">
      <w:pPr>
        <w:pStyle w:val="ListParagraph"/>
        <w:jc w:val="both"/>
        <w:rPr>
          <w:sz w:val="24"/>
          <w:szCs w:val="24"/>
        </w:rPr>
      </w:pPr>
      <w:r>
        <w:rPr>
          <w:sz w:val="24"/>
          <w:szCs w:val="24"/>
        </w:rPr>
        <w:t xml:space="preserve">The Commission seeks comments on any adjustments to the reconciliation requirements of EE&amp;C Plan Phase II programs, if the Commission decides to proceed with further programs.  Under the current program, program costs and revenues are reconciled without any interest collected or charged.  Comments on whether these plans should continue to reconcile costs without interest or to amend reconciliation procedures to charge or collect interest are requested.  If interest is to be included, please offer comments on what interest rate should be used and what adjustments to these rates are </w:t>
      </w:r>
      <w:r>
        <w:rPr>
          <w:sz w:val="24"/>
          <w:szCs w:val="24"/>
        </w:rPr>
        <w:lastRenderedPageBreak/>
        <w:t xml:space="preserve">appropriate for over and under recoveries.  The Commission also solicits comments on any modifications to the reconciliation procedures of Act 129 plans.  Currently revenues are being reconciled to actual costs for some utilities, while other EDCs reconcile to budgeted costs.  If interest is charged or credited, how should these reconciliation procedures be modified? </w:t>
      </w:r>
    </w:p>
    <w:p w:rsidR="0053714C" w:rsidRPr="000D7109" w:rsidRDefault="0053714C" w:rsidP="009A308C">
      <w:pPr>
        <w:ind w:left="720"/>
        <w:jc w:val="both"/>
        <w:rPr>
          <w:sz w:val="24"/>
          <w:szCs w:val="24"/>
        </w:rPr>
      </w:pPr>
    </w:p>
    <w:p w:rsidR="00590DCB" w:rsidRPr="00A01DB2" w:rsidRDefault="00DC06D2" w:rsidP="009A308C">
      <w:pPr>
        <w:ind w:firstLine="720"/>
        <w:jc w:val="both"/>
        <w:rPr>
          <w:sz w:val="24"/>
          <w:szCs w:val="24"/>
        </w:rPr>
      </w:pPr>
      <w:r w:rsidRPr="000D7109">
        <w:rPr>
          <w:sz w:val="24"/>
          <w:szCs w:val="24"/>
        </w:rPr>
        <w:t>The Commission directs that this Secretarial Letter shall b</w:t>
      </w:r>
      <w:r w:rsidRPr="00F309A9">
        <w:rPr>
          <w:sz w:val="24"/>
          <w:szCs w:val="24"/>
        </w:rPr>
        <w:t>e published on the Commission’s website and be served upon the Office of Consumer Advocate, the Office of Small Business Advocate, the Commissi</w:t>
      </w:r>
      <w:r w:rsidRPr="00A01DB2">
        <w:rPr>
          <w:sz w:val="24"/>
          <w:szCs w:val="24"/>
        </w:rPr>
        <w:t>on’s Bureau of Investigation and Enforcement and the large electric distribution companies covered under the Act 129 EE&amp;C Program.</w:t>
      </w:r>
    </w:p>
    <w:p w:rsidR="00DC06D2" w:rsidRPr="00A01DB2" w:rsidRDefault="00DC06D2" w:rsidP="009A308C">
      <w:pPr>
        <w:ind w:firstLine="720"/>
        <w:jc w:val="both"/>
        <w:rPr>
          <w:sz w:val="24"/>
          <w:szCs w:val="24"/>
        </w:rPr>
      </w:pPr>
    </w:p>
    <w:p w:rsidR="00DC06D2" w:rsidRPr="00A01DB2" w:rsidRDefault="00DC06D2" w:rsidP="009A308C">
      <w:pPr>
        <w:ind w:firstLine="720"/>
        <w:jc w:val="both"/>
        <w:rPr>
          <w:sz w:val="24"/>
          <w:szCs w:val="24"/>
        </w:rPr>
      </w:pPr>
      <w:r w:rsidRPr="00A01DB2">
        <w:rPr>
          <w:sz w:val="24"/>
          <w:szCs w:val="24"/>
        </w:rPr>
        <w:t xml:space="preserve">The Commission further directs that the Secretary shall deposit a notice of this Secretarial Letter with the Legislative Reference Bureau for publication in the </w:t>
      </w:r>
      <w:r w:rsidRPr="00A01DB2">
        <w:rPr>
          <w:i/>
          <w:sz w:val="24"/>
          <w:szCs w:val="24"/>
        </w:rPr>
        <w:t>Pennsylvania Bulletin</w:t>
      </w:r>
      <w:r w:rsidRPr="00A01DB2">
        <w:rPr>
          <w:sz w:val="24"/>
          <w:szCs w:val="24"/>
        </w:rPr>
        <w:t>.</w:t>
      </w:r>
    </w:p>
    <w:p w:rsidR="00DC06D2" w:rsidRPr="00A01DB2" w:rsidRDefault="00DC06D2" w:rsidP="009A308C">
      <w:pPr>
        <w:ind w:firstLine="720"/>
        <w:jc w:val="both"/>
        <w:rPr>
          <w:sz w:val="24"/>
          <w:szCs w:val="24"/>
        </w:rPr>
      </w:pPr>
    </w:p>
    <w:p w:rsidR="00DC06D2" w:rsidRDefault="00DC06D2" w:rsidP="009A308C">
      <w:pPr>
        <w:jc w:val="both"/>
        <w:rPr>
          <w:sz w:val="24"/>
          <w:szCs w:val="24"/>
        </w:rPr>
      </w:pPr>
      <w:r w:rsidRPr="00A01DB2">
        <w:rPr>
          <w:sz w:val="24"/>
          <w:szCs w:val="24"/>
        </w:rPr>
        <w:tab/>
        <w:t>The Commission directs that all interested parties shall file an original and three (3) copies of written Comments by April 17, 2012, referencing Docket Number M-2012-</w:t>
      </w:r>
      <w:r w:rsidR="00A72D60" w:rsidRPr="00A01DB2">
        <w:rPr>
          <w:sz w:val="24"/>
          <w:szCs w:val="24"/>
        </w:rPr>
        <w:t>2289411 t</w:t>
      </w:r>
      <w:r w:rsidRPr="00A01DB2">
        <w:rPr>
          <w:sz w:val="24"/>
          <w:szCs w:val="24"/>
        </w:rPr>
        <w:t>o the Pennsylvania Public Utility Commission, Attention:  Secretary, P.O. Box 3265, Harrisburg, PA 17105-3265.</w:t>
      </w:r>
    </w:p>
    <w:p w:rsidR="00D079C0" w:rsidRPr="00A01DB2" w:rsidRDefault="00D079C0" w:rsidP="009A308C">
      <w:pPr>
        <w:jc w:val="both"/>
        <w:rPr>
          <w:sz w:val="24"/>
          <w:szCs w:val="24"/>
        </w:rPr>
      </w:pPr>
    </w:p>
    <w:p w:rsidR="003B35CF" w:rsidRPr="00A01DB2" w:rsidRDefault="003B35CF" w:rsidP="009A308C">
      <w:pPr>
        <w:ind w:firstLine="720"/>
        <w:jc w:val="both"/>
        <w:rPr>
          <w:sz w:val="24"/>
          <w:szCs w:val="24"/>
        </w:rPr>
      </w:pPr>
    </w:p>
    <w:p w:rsidR="00325403" w:rsidRPr="00A01DB2" w:rsidRDefault="002B37D7" w:rsidP="009A308C">
      <w:pPr>
        <w:ind w:firstLine="360"/>
        <w:jc w:val="both"/>
        <w:rPr>
          <w:sz w:val="24"/>
          <w:szCs w:val="24"/>
        </w:rPr>
      </w:pPr>
      <w:r w:rsidRPr="00A01DB2">
        <w:rPr>
          <w:sz w:val="24"/>
          <w:szCs w:val="24"/>
        </w:rPr>
        <w:tab/>
      </w:r>
      <w:r w:rsidR="00A20C12" w:rsidRPr="00A01DB2">
        <w:rPr>
          <w:sz w:val="24"/>
          <w:szCs w:val="24"/>
        </w:rPr>
        <w:t xml:space="preserve">If you have any questions regarding this </w:t>
      </w:r>
      <w:r w:rsidR="0071761F" w:rsidRPr="00A01DB2">
        <w:rPr>
          <w:sz w:val="24"/>
          <w:szCs w:val="24"/>
        </w:rPr>
        <w:t>Secretarial Letter</w:t>
      </w:r>
      <w:r w:rsidR="00A20C12" w:rsidRPr="00A01DB2">
        <w:rPr>
          <w:sz w:val="24"/>
          <w:szCs w:val="24"/>
        </w:rPr>
        <w:t xml:space="preserve">, please contact </w:t>
      </w:r>
      <w:r w:rsidR="00325403" w:rsidRPr="00A01DB2">
        <w:rPr>
          <w:sz w:val="24"/>
          <w:szCs w:val="24"/>
        </w:rPr>
        <w:t>Darren</w:t>
      </w:r>
      <w:r w:rsidR="00E42E96" w:rsidRPr="00A01DB2">
        <w:rPr>
          <w:sz w:val="24"/>
          <w:szCs w:val="24"/>
        </w:rPr>
        <w:t xml:space="preserve"> </w:t>
      </w:r>
      <w:r w:rsidR="00325403" w:rsidRPr="00A01DB2">
        <w:rPr>
          <w:sz w:val="24"/>
          <w:szCs w:val="24"/>
        </w:rPr>
        <w:t xml:space="preserve">Gill </w:t>
      </w:r>
      <w:r w:rsidR="00A20C12" w:rsidRPr="00A01DB2">
        <w:rPr>
          <w:sz w:val="24"/>
          <w:szCs w:val="24"/>
        </w:rPr>
        <w:t>at 717-</w:t>
      </w:r>
      <w:r w:rsidR="00E42E96" w:rsidRPr="00A01DB2">
        <w:rPr>
          <w:sz w:val="24"/>
          <w:szCs w:val="24"/>
        </w:rPr>
        <w:t>78</w:t>
      </w:r>
      <w:r w:rsidR="00325403" w:rsidRPr="00A01DB2">
        <w:rPr>
          <w:sz w:val="24"/>
          <w:szCs w:val="24"/>
        </w:rPr>
        <w:t>3</w:t>
      </w:r>
      <w:r w:rsidR="00A20C12" w:rsidRPr="00A01DB2">
        <w:rPr>
          <w:sz w:val="24"/>
          <w:szCs w:val="24"/>
        </w:rPr>
        <w:t>-</w:t>
      </w:r>
      <w:r w:rsidR="00325403" w:rsidRPr="00A01DB2">
        <w:rPr>
          <w:sz w:val="24"/>
          <w:szCs w:val="24"/>
        </w:rPr>
        <w:t>5244</w:t>
      </w:r>
      <w:r w:rsidR="00A20C12" w:rsidRPr="00A01DB2">
        <w:rPr>
          <w:sz w:val="24"/>
          <w:szCs w:val="24"/>
        </w:rPr>
        <w:t xml:space="preserve"> or</w:t>
      </w:r>
      <w:r w:rsidR="00325403" w:rsidRPr="00A01DB2">
        <w:rPr>
          <w:sz w:val="24"/>
          <w:szCs w:val="24"/>
        </w:rPr>
        <w:t xml:space="preserve"> </w:t>
      </w:r>
      <w:hyperlink r:id="rId10" w:history="1">
        <w:r w:rsidR="00325403" w:rsidRPr="00A01DB2">
          <w:rPr>
            <w:rStyle w:val="Hyperlink"/>
            <w:sz w:val="24"/>
            <w:szCs w:val="24"/>
          </w:rPr>
          <w:t>dgill@pa.gov</w:t>
        </w:r>
      </w:hyperlink>
      <w:r w:rsidR="00325403" w:rsidRPr="00A01DB2">
        <w:rPr>
          <w:sz w:val="24"/>
          <w:szCs w:val="24"/>
        </w:rPr>
        <w:t>.</w:t>
      </w:r>
    </w:p>
    <w:p w:rsidR="00A20C12" w:rsidRPr="00F1131E" w:rsidRDefault="00A20C12" w:rsidP="002B37D7">
      <w:pPr>
        <w:ind w:firstLine="360"/>
        <w:rPr>
          <w:sz w:val="24"/>
          <w:szCs w:val="24"/>
        </w:rPr>
      </w:pPr>
      <w:r w:rsidRPr="00F1131E">
        <w:rPr>
          <w:sz w:val="24"/>
          <w:szCs w:val="24"/>
        </w:rPr>
        <w:t xml:space="preserve">   </w:t>
      </w:r>
    </w:p>
    <w:p w:rsidR="004D2698" w:rsidRPr="00F47A16" w:rsidRDefault="00C77F29" w:rsidP="00BE4A72">
      <w:pPr>
        <w:rPr>
          <w:sz w:val="24"/>
          <w:szCs w:val="24"/>
        </w:rPr>
      </w:pPr>
      <w:r w:rsidRPr="00F47A16">
        <w:rPr>
          <w:sz w:val="24"/>
          <w:szCs w:val="24"/>
        </w:rPr>
        <w:t xml:space="preserve"> </w:t>
      </w:r>
    </w:p>
    <w:p w:rsidR="00BE4A72" w:rsidRPr="00F47A16" w:rsidRDefault="00643DCA" w:rsidP="00BE4A72">
      <w:pPr>
        <w:ind w:left="3600"/>
        <w:rPr>
          <w:sz w:val="24"/>
          <w:szCs w:val="24"/>
        </w:rPr>
      </w:pPr>
      <w:bookmarkStart w:id="0" w:name="_GoBack"/>
      <w:r w:rsidRPr="00A4345F">
        <w:rPr>
          <w:noProof/>
        </w:rPr>
        <w:drawing>
          <wp:anchor distT="0" distB="0" distL="114300" distR="114300" simplePos="0" relativeHeight="251659264" behindDoc="1" locked="0" layoutInCell="1" allowOverlap="1" wp14:anchorId="7D1732DE" wp14:editId="7E0777D7">
            <wp:simplePos x="0" y="0"/>
            <wp:positionH relativeFrom="column">
              <wp:posOffset>2266950</wp:posOffset>
            </wp:positionH>
            <wp:positionV relativeFrom="paragraph">
              <wp:posOffset>635</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E4A72" w:rsidRPr="00F47A16">
        <w:rPr>
          <w:sz w:val="24"/>
          <w:szCs w:val="24"/>
        </w:rPr>
        <w:tab/>
        <w:t>Sincerely,</w:t>
      </w:r>
    </w:p>
    <w:p w:rsidR="00BE4A72" w:rsidRPr="00E20419" w:rsidRDefault="00BE4A72" w:rsidP="00BE4A72">
      <w:pPr>
        <w:ind w:left="3600"/>
        <w:rPr>
          <w:sz w:val="24"/>
          <w:szCs w:val="24"/>
        </w:rPr>
      </w:pPr>
    </w:p>
    <w:p w:rsidR="00BE4A72" w:rsidRPr="00681A8B" w:rsidRDefault="00BE4A72" w:rsidP="00BE4A72">
      <w:pPr>
        <w:ind w:left="3600"/>
        <w:rPr>
          <w:sz w:val="24"/>
          <w:szCs w:val="24"/>
        </w:rPr>
      </w:pPr>
    </w:p>
    <w:p w:rsidR="00325403" w:rsidRPr="00681A8B" w:rsidRDefault="00325403" w:rsidP="00BE4A72">
      <w:pPr>
        <w:ind w:left="3600"/>
        <w:rPr>
          <w:sz w:val="24"/>
          <w:szCs w:val="24"/>
        </w:rPr>
      </w:pPr>
    </w:p>
    <w:p w:rsidR="002B37D7" w:rsidRPr="00CE34EC" w:rsidRDefault="00C77F29" w:rsidP="002B37D7">
      <w:pPr>
        <w:jc w:val="both"/>
        <w:rPr>
          <w:color w:val="000000"/>
          <w:sz w:val="24"/>
          <w:szCs w:val="24"/>
        </w:rPr>
      </w:pPr>
      <w:r w:rsidRPr="00681A8B">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sz w:val="24"/>
          <w:szCs w:val="24"/>
        </w:rPr>
        <w:tab/>
      </w:r>
      <w:r w:rsidR="002B37D7" w:rsidRPr="00CE34EC">
        <w:rPr>
          <w:color w:val="000000"/>
          <w:sz w:val="24"/>
          <w:szCs w:val="24"/>
        </w:rPr>
        <w:t>Rosemary Chiavetta</w:t>
      </w:r>
    </w:p>
    <w:p w:rsidR="002B37D7" w:rsidRPr="000D7109" w:rsidRDefault="002B37D7" w:rsidP="002B37D7">
      <w:pPr>
        <w:jc w:val="both"/>
        <w:rPr>
          <w:color w:val="000000"/>
          <w:sz w:val="24"/>
          <w:szCs w:val="24"/>
        </w:rPr>
      </w:pP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r>
      <w:r w:rsidRPr="000D7109">
        <w:rPr>
          <w:color w:val="000000"/>
          <w:sz w:val="24"/>
          <w:szCs w:val="24"/>
        </w:rPr>
        <w:tab/>
        <w:t>Secretary</w:t>
      </w:r>
    </w:p>
    <w:p w:rsidR="002B37D7" w:rsidRPr="000D7109" w:rsidRDefault="002B37D7" w:rsidP="002B37D7">
      <w:pPr>
        <w:jc w:val="both"/>
        <w:rPr>
          <w:sz w:val="24"/>
          <w:szCs w:val="24"/>
        </w:rPr>
      </w:pPr>
    </w:p>
    <w:p w:rsidR="002B37D7" w:rsidRPr="00A01DB2" w:rsidRDefault="002B37D7" w:rsidP="002B37D7">
      <w:pPr>
        <w:jc w:val="both"/>
        <w:rPr>
          <w:sz w:val="24"/>
          <w:szCs w:val="24"/>
        </w:rPr>
      </w:pPr>
      <w:r w:rsidRPr="00A01DB2">
        <w:rPr>
          <w:sz w:val="24"/>
          <w:szCs w:val="24"/>
        </w:rPr>
        <w:t>cc:</w:t>
      </w:r>
      <w:r w:rsidRPr="00A01DB2">
        <w:rPr>
          <w:sz w:val="24"/>
          <w:szCs w:val="24"/>
        </w:rPr>
        <w:tab/>
        <w:t>Chairman’s Office</w:t>
      </w:r>
      <w:r w:rsidR="00F8563A">
        <w:rPr>
          <w:sz w:val="24"/>
          <w:szCs w:val="24"/>
        </w:rPr>
        <w:t xml:space="preserve">  </w:t>
      </w:r>
    </w:p>
    <w:p w:rsidR="002B37D7" w:rsidRPr="00A01DB2" w:rsidRDefault="002B37D7" w:rsidP="002B37D7">
      <w:pPr>
        <w:jc w:val="both"/>
        <w:rPr>
          <w:sz w:val="24"/>
          <w:szCs w:val="24"/>
        </w:rPr>
      </w:pPr>
      <w:r w:rsidRPr="00A01DB2">
        <w:rPr>
          <w:sz w:val="24"/>
          <w:szCs w:val="24"/>
        </w:rPr>
        <w:tab/>
        <w:t>Vice Chairman’s Office</w:t>
      </w:r>
    </w:p>
    <w:p w:rsidR="002B37D7" w:rsidRPr="00A01DB2" w:rsidRDefault="002B37D7" w:rsidP="002B37D7">
      <w:pPr>
        <w:jc w:val="both"/>
        <w:rPr>
          <w:sz w:val="24"/>
          <w:szCs w:val="24"/>
        </w:rPr>
      </w:pPr>
      <w:r w:rsidRPr="00A01DB2">
        <w:rPr>
          <w:sz w:val="24"/>
          <w:szCs w:val="24"/>
        </w:rPr>
        <w:tab/>
        <w:t>Commissioners’ Office</w:t>
      </w:r>
    </w:p>
    <w:p w:rsidR="00C55BE6" w:rsidRPr="00A01DB2" w:rsidRDefault="00C55BE6" w:rsidP="002B37D7">
      <w:pPr>
        <w:jc w:val="both"/>
        <w:rPr>
          <w:sz w:val="24"/>
          <w:szCs w:val="24"/>
        </w:rPr>
      </w:pPr>
      <w:r w:rsidRPr="00A01DB2">
        <w:rPr>
          <w:sz w:val="24"/>
          <w:szCs w:val="24"/>
        </w:rPr>
        <w:tab/>
        <w:t>Jan Freeman, Executive Director</w:t>
      </w:r>
    </w:p>
    <w:p w:rsidR="002B37D7" w:rsidRPr="00A01DB2" w:rsidRDefault="002B37D7" w:rsidP="002B37D7">
      <w:pPr>
        <w:jc w:val="both"/>
        <w:rPr>
          <w:sz w:val="24"/>
          <w:szCs w:val="24"/>
        </w:rPr>
      </w:pPr>
      <w:r w:rsidRPr="00A01DB2">
        <w:rPr>
          <w:sz w:val="24"/>
          <w:szCs w:val="24"/>
        </w:rPr>
        <w:tab/>
        <w:t xml:space="preserve">Karen </w:t>
      </w:r>
      <w:proofErr w:type="spellStart"/>
      <w:r w:rsidRPr="00A01DB2">
        <w:rPr>
          <w:sz w:val="24"/>
          <w:szCs w:val="24"/>
        </w:rPr>
        <w:t>Oill</w:t>
      </w:r>
      <w:proofErr w:type="spellEnd"/>
      <w:r w:rsidRPr="00A01DB2">
        <w:rPr>
          <w:sz w:val="24"/>
          <w:szCs w:val="24"/>
        </w:rPr>
        <w:t xml:space="preserve"> Moury, Director of </w:t>
      </w:r>
      <w:r w:rsidR="00C55BE6" w:rsidRPr="00A01DB2">
        <w:rPr>
          <w:sz w:val="24"/>
          <w:szCs w:val="24"/>
        </w:rPr>
        <w:t xml:space="preserve">Regulatory </w:t>
      </w:r>
      <w:r w:rsidRPr="00A01DB2">
        <w:rPr>
          <w:sz w:val="24"/>
          <w:szCs w:val="24"/>
        </w:rPr>
        <w:t>Operations</w:t>
      </w:r>
    </w:p>
    <w:p w:rsidR="002B37D7" w:rsidRPr="00A01DB2" w:rsidRDefault="002B37D7" w:rsidP="002B37D7">
      <w:pPr>
        <w:jc w:val="both"/>
        <w:rPr>
          <w:sz w:val="24"/>
          <w:szCs w:val="24"/>
        </w:rPr>
      </w:pPr>
      <w:r w:rsidRPr="00A01DB2">
        <w:rPr>
          <w:sz w:val="24"/>
          <w:szCs w:val="24"/>
        </w:rPr>
        <w:tab/>
        <w:t>Bohdan R. Pankiw, Chief Counsel</w:t>
      </w:r>
    </w:p>
    <w:p w:rsidR="002B37D7" w:rsidRPr="00A01DB2" w:rsidRDefault="002B37D7" w:rsidP="002B37D7">
      <w:pPr>
        <w:jc w:val="both"/>
        <w:rPr>
          <w:sz w:val="24"/>
          <w:szCs w:val="24"/>
        </w:rPr>
      </w:pPr>
      <w:r w:rsidRPr="00A01DB2">
        <w:rPr>
          <w:sz w:val="24"/>
          <w:szCs w:val="24"/>
        </w:rPr>
        <w:tab/>
        <w:t>Robert F. Young, Deputy Chief Counsel</w:t>
      </w:r>
    </w:p>
    <w:p w:rsidR="002B37D7" w:rsidRPr="00A01DB2" w:rsidRDefault="002B37D7" w:rsidP="002B37D7">
      <w:pPr>
        <w:jc w:val="both"/>
        <w:rPr>
          <w:sz w:val="24"/>
          <w:szCs w:val="24"/>
        </w:rPr>
      </w:pPr>
      <w:r w:rsidRPr="00A01DB2">
        <w:rPr>
          <w:sz w:val="24"/>
          <w:szCs w:val="24"/>
        </w:rPr>
        <w:tab/>
      </w:r>
      <w:r w:rsidR="00DC06D2" w:rsidRPr="00A01DB2">
        <w:rPr>
          <w:sz w:val="24"/>
          <w:szCs w:val="24"/>
        </w:rPr>
        <w:t>Paul T. Diskin</w:t>
      </w:r>
      <w:r w:rsidRPr="00A01DB2">
        <w:rPr>
          <w:sz w:val="24"/>
          <w:szCs w:val="24"/>
        </w:rPr>
        <w:t xml:space="preserve">, Director, </w:t>
      </w:r>
      <w:r w:rsidR="00DC06D2" w:rsidRPr="00A01DB2">
        <w:rPr>
          <w:sz w:val="24"/>
          <w:szCs w:val="24"/>
        </w:rPr>
        <w:t>Technical Utility Services</w:t>
      </w:r>
    </w:p>
    <w:p w:rsidR="006F614A" w:rsidRPr="00A01DB2" w:rsidRDefault="006F614A" w:rsidP="002B37D7">
      <w:pPr>
        <w:jc w:val="both"/>
        <w:rPr>
          <w:sz w:val="26"/>
          <w:szCs w:val="26"/>
        </w:rPr>
      </w:pPr>
      <w:r w:rsidRPr="00A01DB2">
        <w:rPr>
          <w:sz w:val="24"/>
          <w:szCs w:val="24"/>
        </w:rPr>
        <w:tab/>
        <w:t>Darren</w:t>
      </w:r>
      <w:r w:rsidR="00D53F6A" w:rsidRPr="00A01DB2">
        <w:rPr>
          <w:sz w:val="24"/>
          <w:szCs w:val="24"/>
        </w:rPr>
        <w:t xml:space="preserve"> D.</w:t>
      </w:r>
      <w:r w:rsidRPr="00A01DB2">
        <w:rPr>
          <w:sz w:val="24"/>
          <w:szCs w:val="24"/>
        </w:rPr>
        <w:t xml:space="preserve"> Gill, </w:t>
      </w:r>
      <w:r w:rsidR="00C07570" w:rsidRPr="00A01DB2">
        <w:rPr>
          <w:sz w:val="24"/>
          <w:szCs w:val="24"/>
        </w:rPr>
        <w:t>Deputy Director</w:t>
      </w:r>
      <w:r w:rsidRPr="00A01DB2">
        <w:rPr>
          <w:sz w:val="24"/>
          <w:szCs w:val="24"/>
        </w:rPr>
        <w:t xml:space="preserve">, </w:t>
      </w:r>
      <w:r w:rsidR="00C07570" w:rsidRPr="00A01DB2">
        <w:rPr>
          <w:sz w:val="24"/>
          <w:szCs w:val="24"/>
        </w:rPr>
        <w:t>Technical Utility Services</w:t>
      </w:r>
    </w:p>
    <w:p w:rsidR="002B37D7" w:rsidRDefault="002B37D7" w:rsidP="002B37D7">
      <w:pPr>
        <w:jc w:val="both"/>
        <w:rPr>
          <w:sz w:val="26"/>
          <w:szCs w:val="26"/>
        </w:rPr>
      </w:pPr>
      <w:r w:rsidRPr="00A01DB2">
        <w:rPr>
          <w:sz w:val="26"/>
          <w:szCs w:val="26"/>
        </w:rPr>
        <w:tab/>
      </w:r>
    </w:p>
    <w:p w:rsidR="00F8563A" w:rsidRDefault="00F8563A" w:rsidP="002B37D7">
      <w:pPr>
        <w:jc w:val="both"/>
        <w:rPr>
          <w:sz w:val="26"/>
          <w:szCs w:val="26"/>
        </w:rPr>
      </w:pPr>
    </w:p>
    <w:p w:rsidR="00F8563A" w:rsidRPr="00A01DB2" w:rsidRDefault="00F8563A" w:rsidP="002B37D7">
      <w:pPr>
        <w:jc w:val="both"/>
        <w:rPr>
          <w:sz w:val="26"/>
          <w:szCs w:val="26"/>
        </w:rPr>
      </w:pPr>
      <w:r>
        <w:rPr>
          <w:sz w:val="26"/>
          <w:szCs w:val="26"/>
        </w:rPr>
        <w:t>Statement of Chairman Robert F. Powelson</w:t>
      </w:r>
    </w:p>
    <w:p w:rsidR="00C77F29" w:rsidRPr="00A01DB2" w:rsidRDefault="00C77F29" w:rsidP="00C77F29">
      <w:pPr>
        <w:rPr>
          <w:sz w:val="26"/>
          <w:szCs w:val="26"/>
        </w:rPr>
      </w:pPr>
    </w:p>
    <w:sectPr w:rsidR="00C77F29" w:rsidRPr="00A01DB2" w:rsidSect="00EF002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6BF" w:rsidRDefault="008266BF">
      <w:r>
        <w:separator/>
      </w:r>
    </w:p>
  </w:endnote>
  <w:endnote w:type="continuationSeparator" w:id="0">
    <w:p w:rsidR="008266BF" w:rsidRDefault="0082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D7109" w:rsidRDefault="000D7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0D7109" w:rsidRDefault="000D7109">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643DCA">
          <w:rPr>
            <w:noProof/>
            <w:sz w:val="26"/>
            <w:szCs w:val="26"/>
          </w:rPr>
          <w:t>8</w:t>
        </w:r>
        <w:r w:rsidRPr="00AD0A9B">
          <w:rPr>
            <w:sz w:val="26"/>
            <w:szCs w:val="26"/>
          </w:rPr>
          <w:fldChar w:fldCharType="end"/>
        </w:r>
      </w:p>
    </w:sdtContent>
  </w:sdt>
  <w:p w:rsidR="000D7109" w:rsidRDefault="000D7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6BF" w:rsidRDefault="008266BF">
      <w:r>
        <w:separator/>
      </w:r>
    </w:p>
  </w:footnote>
  <w:footnote w:type="continuationSeparator" w:id="0">
    <w:p w:rsidR="008266BF" w:rsidRDefault="008266BF">
      <w:r>
        <w:continuationSeparator/>
      </w:r>
    </w:p>
  </w:footnote>
  <w:footnote w:id="1">
    <w:p w:rsidR="000D7109" w:rsidRDefault="000D7109" w:rsidP="00710DBE">
      <w:pPr>
        <w:pStyle w:val="FootnoteText"/>
      </w:pPr>
      <w:r>
        <w:rPr>
          <w:rStyle w:val="FootnoteReference"/>
        </w:rPr>
        <w:footnoteRef/>
      </w:r>
      <w:r>
        <w:t xml:space="preserve"> See </w:t>
      </w:r>
      <w:proofErr w:type="gramStart"/>
      <w:r>
        <w:t xml:space="preserve">66 </w:t>
      </w:r>
      <w:proofErr w:type="spellStart"/>
      <w:r>
        <w:t>Pa.C.S</w:t>
      </w:r>
      <w:proofErr w:type="spellEnd"/>
      <w:proofErr w:type="gramEnd"/>
      <w:r>
        <w:t xml:space="preserve">. </w:t>
      </w:r>
      <w:proofErr w:type="gramStart"/>
      <w:r>
        <w:t>§§ 2806.1(c) and (d).</w:t>
      </w:r>
      <w:proofErr w:type="gramEnd"/>
    </w:p>
  </w:footnote>
  <w:footnote w:id="2">
    <w:p w:rsidR="000D7109" w:rsidRPr="00F1131E" w:rsidRDefault="000D7109" w:rsidP="009A308C">
      <w:pPr>
        <w:pStyle w:val="FootnoteText"/>
        <w:jc w:val="both"/>
      </w:pPr>
      <w:r w:rsidRPr="00F1131E">
        <w:rPr>
          <w:rStyle w:val="FootnoteReference"/>
        </w:rPr>
        <w:footnoteRef/>
      </w:r>
      <w:r w:rsidRPr="00F1131E">
        <w:t xml:space="preserve"> </w:t>
      </w:r>
      <w:r w:rsidRPr="009A308C">
        <w:t>For example, unce</w:t>
      </w:r>
      <w:r w:rsidRPr="00F1131E">
        <w:t xml:space="preserve">rtainties arise </w:t>
      </w:r>
      <w:r>
        <w:t>regarding how to</w:t>
      </w:r>
      <w:r w:rsidRPr="009A308C">
        <w:t xml:space="preserve"> measure costs for new lighting equipment and their adoption rates </w:t>
      </w:r>
      <w:r>
        <w:t>over time</w:t>
      </w:r>
      <w:r w:rsidRPr="009A308C">
        <w:t xml:space="preserve">, potentially decreasing the accuracy of the associated forecasts.  These uncertainties are exacerbated by </w:t>
      </w:r>
      <w:r>
        <w:t>F</w:t>
      </w:r>
      <w:r w:rsidRPr="009A308C">
        <w:t>ederal code and standards changes that impact markets for high-impact EE</w:t>
      </w:r>
      <w:r>
        <w:t xml:space="preserve"> </w:t>
      </w:r>
      <w:r w:rsidRPr="009A308C">
        <w:t>measures, such as those contained in the Federal Energy and Independence Security Act (EISA)</w:t>
      </w:r>
      <w:r>
        <w:t>,</w:t>
      </w:r>
      <w:r w:rsidRPr="009A308C">
        <w:t xml:space="preserve"> which impacts the availability of less efficient lighting.  </w:t>
      </w:r>
    </w:p>
  </w:footnote>
  <w:footnote w:id="3">
    <w:p w:rsidR="000D7109" w:rsidRDefault="000D7109" w:rsidP="00710DBE">
      <w:pPr>
        <w:pStyle w:val="FootnoteText"/>
      </w:pPr>
      <w:r>
        <w:rPr>
          <w:rStyle w:val="FootnoteReference"/>
        </w:rPr>
        <w:footnoteRef/>
      </w:r>
      <w:r>
        <w:t xml:space="preserve"> Act 129 requires the Commission to evaluate the costs and benefits of the EE&amp;C Program at least every five years.  See </w:t>
      </w:r>
      <w:proofErr w:type="gramStart"/>
      <w:r>
        <w:t xml:space="preserve">66 </w:t>
      </w:r>
      <w:proofErr w:type="spellStart"/>
      <w:r>
        <w:t>Pa.C.S</w:t>
      </w:r>
      <w:proofErr w:type="spellEnd"/>
      <w:proofErr w:type="gramEnd"/>
      <w:r>
        <w:t>. § 2806.1(c</w:t>
      </w:r>
      <w:proofErr w:type="gramStart"/>
      <w:r>
        <w:t>)(</w:t>
      </w:r>
      <w:proofErr w:type="gramEnd"/>
      <w:r>
        <w:t>3).</w:t>
      </w:r>
    </w:p>
  </w:footnote>
  <w:footnote w:id="4">
    <w:p w:rsidR="000D7109" w:rsidRDefault="000D7109" w:rsidP="00710DBE">
      <w:pPr>
        <w:pStyle w:val="FootnoteText"/>
      </w:pPr>
      <w:r>
        <w:rPr>
          <w:rStyle w:val="FootnoteReference"/>
        </w:rPr>
        <w:footnoteRef/>
      </w:r>
      <w:r>
        <w:t xml:space="preserve"> See </w:t>
      </w:r>
      <w:proofErr w:type="gramStart"/>
      <w:r>
        <w:t xml:space="preserve">66 </w:t>
      </w:r>
      <w:proofErr w:type="spellStart"/>
      <w:r>
        <w:t>Pa.C.S</w:t>
      </w:r>
      <w:proofErr w:type="spellEnd"/>
      <w:proofErr w:type="gramEnd"/>
      <w:r>
        <w:t>. § 2806.1(d</w:t>
      </w:r>
      <w:proofErr w:type="gramStart"/>
      <w:r>
        <w:t>)(</w:t>
      </w:r>
      <w:proofErr w:type="gramEnd"/>
      <w:r>
        <w:t>2).</w:t>
      </w:r>
    </w:p>
  </w:footnote>
  <w:footnote w:id="5">
    <w:p w:rsidR="000D7109" w:rsidRDefault="000D7109">
      <w:pPr>
        <w:pStyle w:val="FootnoteText"/>
      </w:pPr>
      <w:r>
        <w:rPr>
          <w:rStyle w:val="FootnoteReference"/>
        </w:rPr>
        <w:footnoteRef/>
      </w:r>
      <w:r>
        <w:t xml:space="preserve"> </w:t>
      </w:r>
      <w:proofErr w:type="gramStart"/>
      <w:r>
        <w:t xml:space="preserve">66 </w:t>
      </w:r>
      <w:proofErr w:type="spellStart"/>
      <w:r>
        <w:t>Pa.C.S</w:t>
      </w:r>
      <w:proofErr w:type="spellEnd"/>
      <w:r>
        <w:t>.</w:t>
      </w:r>
      <w:proofErr w:type="gramEnd"/>
      <w:r>
        <w:t xml:space="preserve"> </w:t>
      </w:r>
      <w:proofErr w:type="gramStart"/>
      <w:r>
        <w:t>§2806.1(g).</w:t>
      </w:r>
      <w:proofErr w:type="gramEnd"/>
    </w:p>
  </w:footnote>
  <w:footnote w:id="6">
    <w:p w:rsidR="000D7109" w:rsidRDefault="000D7109">
      <w:pPr>
        <w:pStyle w:val="FootnoteText"/>
      </w:pPr>
      <w:r>
        <w:rPr>
          <w:rStyle w:val="FootnoteReference"/>
        </w:rPr>
        <w:footnoteRef/>
      </w:r>
      <w:r>
        <w:t xml:space="preserve"> See </w:t>
      </w:r>
      <w:proofErr w:type="gramStart"/>
      <w:r>
        <w:t xml:space="preserve">66 </w:t>
      </w:r>
      <w:proofErr w:type="spellStart"/>
      <w:r>
        <w:t>Pa.C.S</w:t>
      </w:r>
      <w:proofErr w:type="spellEnd"/>
      <w:proofErr w:type="gramEnd"/>
      <w:r>
        <w:t>. § 2806.1(b</w:t>
      </w:r>
      <w:proofErr w:type="gramStart"/>
      <w:r>
        <w:t>)(</w:t>
      </w:r>
      <w:proofErr w:type="gramEnd"/>
      <w:r>
        <w:t>1)(i)(B).</w:t>
      </w:r>
    </w:p>
  </w:footnote>
  <w:footnote w:id="7">
    <w:p w:rsidR="000D7109" w:rsidRDefault="000D7109">
      <w:pPr>
        <w:pStyle w:val="FootnoteText"/>
      </w:pPr>
      <w:r>
        <w:rPr>
          <w:rStyle w:val="FootnoteReference"/>
        </w:rPr>
        <w:footnoteRef/>
      </w:r>
      <w:r>
        <w:t xml:space="preserve"> See 66 </w:t>
      </w:r>
      <w:proofErr w:type="spellStart"/>
      <w:r>
        <w:t>Pa.C.S</w:t>
      </w:r>
      <w:proofErr w:type="spellEnd"/>
      <w:r>
        <w:t>. § 2806.1(b)(1)(i)(G).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09" w:rsidRDefault="000D7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16C43"/>
    <w:rsid w:val="00021147"/>
    <w:rsid w:val="00025E21"/>
    <w:rsid w:val="00026B9B"/>
    <w:rsid w:val="000315CB"/>
    <w:rsid w:val="00031795"/>
    <w:rsid w:val="000A4073"/>
    <w:rsid w:val="000C0BE0"/>
    <w:rsid w:val="000C7752"/>
    <w:rsid w:val="000D54BC"/>
    <w:rsid w:val="000D7109"/>
    <w:rsid w:val="000E6ACE"/>
    <w:rsid w:val="000F097A"/>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9426D"/>
    <w:rsid w:val="00195546"/>
    <w:rsid w:val="001A2DCD"/>
    <w:rsid w:val="001A4102"/>
    <w:rsid w:val="001B2C6D"/>
    <w:rsid w:val="001E1BF3"/>
    <w:rsid w:val="001E3A60"/>
    <w:rsid w:val="001F7863"/>
    <w:rsid w:val="002008CA"/>
    <w:rsid w:val="002229C3"/>
    <w:rsid w:val="002326FD"/>
    <w:rsid w:val="002775AC"/>
    <w:rsid w:val="0028699F"/>
    <w:rsid w:val="002874B9"/>
    <w:rsid w:val="0029471C"/>
    <w:rsid w:val="002A2B4A"/>
    <w:rsid w:val="002A43DC"/>
    <w:rsid w:val="002B37D7"/>
    <w:rsid w:val="002B618E"/>
    <w:rsid w:val="002C4503"/>
    <w:rsid w:val="002F0138"/>
    <w:rsid w:val="003049AB"/>
    <w:rsid w:val="00307364"/>
    <w:rsid w:val="00310263"/>
    <w:rsid w:val="003106B5"/>
    <w:rsid w:val="00320F11"/>
    <w:rsid w:val="00325403"/>
    <w:rsid w:val="003569E8"/>
    <w:rsid w:val="00361704"/>
    <w:rsid w:val="003878A0"/>
    <w:rsid w:val="003A6101"/>
    <w:rsid w:val="003B35CF"/>
    <w:rsid w:val="003E7239"/>
    <w:rsid w:val="003F79A7"/>
    <w:rsid w:val="00413702"/>
    <w:rsid w:val="00427AD9"/>
    <w:rsid w:val="00442D19"/>
    <w:rsid w:val="00447966"/>
    <w:rsid w:val="00467782"/>
    <w:rsid w:val="00472043"/>
    <w:rsid w:val="00495FC5"/>
    <w:rsid w:val="004A5F4E"/>
    <w:rsid w:val="004B61C1"/>
    <w:rsid w:val="004B7A97"/>
    <w:rsid w:val="004C5EA9"/>
    <w:rsid w:val="004D2698"/>
    <w:rsid w:val="0050362A"/>
    <w:rsid w:val="0051639C"/>
    <w:rsid w:val="0052665A"/>
    <w:rsid w:val="0053714C"/>
    <w:rsid w:val="005424F7"/>
    <w:rsid w:val="00553472"/>
    <w:rsid w:val="00557565"/>
    <w:rsid w:val="00567746"/>
    <w:rsid w:val="0057207C"/>
    <w:rsid w:val="0057487F"/>
    <w:rsid w:val="00575806"/>
    <w:rsid w:val="00590DCB"/>
    <w:rsid w:val="005B0327"/>
    <w:rsid w:val="005B7295"/>
    <w:rsid w:val="005C2839"/>
    <w:rsid w:val="005E25C5"/>
    <w:rsid w:val="00617CEC"/>
    <w:rsid w:val="006354F1"/>
    <w:rsid w:val="00643DCA"/>
    <w:rsid w:val="006538B5"/>
    <w:rsid w:val="006678F2"/>
    <w:rsid w:val="006755C0"/>
    <w:rsid w:val="00681A8B"/>
    <w:rsid w:val="006843D3"/>
    <w:rsid w:val="00694301"/>
    <w:rsid w:val="00697209"/>
    <w:rsid w:val="006B307C"/>
    <w:rsid w:val="006B4889"/>
    <w:rsid w:val="006E00A9"/>
    <w:rsid w:val="006F614A"/>
    <w:rsid w:val="006F6A30"/>
    <w:rsid w:val="007012F3"/>
    <w:rsid w:val="00710DBE"/>
    <w:rsid w:val="0071761F"/>
    <w:rsid w:val="00733109"/>
    <w:rsid w:val="00746BEC"/>
    <w:rsid w:val="00746F33"/>
    <w:rsid w:val="00750EF6"/>
    <w:rsid w:val="007617B1"/>
    <w:rsid w:val="00774136"/>
    <w:rsid w:val="00775A19"/>
    <w:rsid w:val="007762F7"/>
    <w:rsid w:val="0078658C"/>
    <w:rsid w:val="007E132D"/>
    <w:rsid w:val="007E3F38"/>
    <w:rsid w:val="007E5AA6"/>
    <w:rsid w:val="007E6ACB"/>
    <w:rsid w:val="007F0050"/>
    <w:rsid w:val="0080690D"/>
    <w:rsid w:val="00813B38"/>
    <w:rsid w:val="008241DB"/>
    <w:rsid w:val="008266BF"/>
    <w:rsid w:val="00831D49"/>
    <w:rsid w:val="008427B0"/>
    <w:rsid w:val="00846A98"/>
    <w:rsid w:val="008554B6"/>
    <w:rsid w:val="00881B7D"/>
    <w:rsid w:val="008C246C"/>
    <w:rsid w:val="00902959"/>
    <w:rsid w:val="00935E57"/>
    <w:rsid w:val="009376B4"/>
    <w:rsid w:val="00942E5E"/>
    <w:rsid w:val="00944B47"/>
    <w:rsid w:val="00945DEF"/>
    <w:rsid w:val="00952DD5"/>
    <w:rsid w:val="0095434D"/>
    <w:rsid w:val="0096632A"/>
    <w:rsid w:val="00977B3F"/>
    <w:rsid w:val="009A308C"/>
    <w:rsid w:val="009A5243"/>
    <w:rsid w:val="009B23D8"/>
    <w:rsid w:val="009C571F"/>
    <w:rsid w:val="009D1A9E"/>
    <w:rsid w:val="009D1C20"/>
    <w:rsid w:val="009E40EC"/>
    <w:rsid w:val="009F5F66"/>
    <w:rsid w:val="009F6C04"/>
    <w:rsid w:val="00A01138"/>
    <w:rsid w:val="00A01DB2"/>
    <w:rsid w:val="00A20C12"/>
    <w:rsid w:val="00A254D2"/>
    <w:rsid w:val="00A33AAF"/>
    <w:rsid w:val="00A374EE"/>
    <w:rsid w:val="00A42B51"/>
    <w:rsid w:val="00A46963"/>
    <w:rsid w:val="00A5263D"/>
    <w:rsid w:val="00A72D60"/>
    <w:rsid w:val="00A74877"/>
    <w:rsid w:val="00A777B5"/>
    <w:rsid w:val="00A85A00"/>
    <w:rsid w:val="00A94E60"/>
    <w:rsid w:val="00AA1AEC"/>
    <w:rsid w:val="00AA30E9"/>
    <w:rsid w:val="00AB490E"/>
    <w:rsid w:val="00AB497F"/>
    <w:rsid w:val="00AB53D2"/>
    <w:rsid w:val="00AD0506"/>
    <w:rsid w:val="00AD0A9B"/>
    <w:rsid w:val="00AE3480"/>
    <w:rsid w:val="00AE6CA2"/>
    <w:rsid w:val="00B04B8D"/>
    <w:rsid w:val="00B61CDD"/>
    <w:rsid w:val="00BB79A9"/>
    <w:rsid w:val="00BC6BC9"/>
    <w:rsid w:val="00BC7E75"/>
    <w:rsid w:val="00BD4A39"/>
    <w:rsid w:val="00BD600D"/>
    <w:rsid w:val="00BE4A72"/>
    <w:rsid w:val="00BE5119"/>
    <w:rsid w:val="00C07570"/>
    <w:rsid w:val="00C12EFD"/>
    <w:rsid w:val="00C3654A"/>
    <w:rsid w:val="00C45DCB"/>
    <w:rsid w:val="00C46EDA"/>
    <w:rsid w:val="00C55BE6"/>
    <w:rsid w:val="00C74A51"/>
    <w:rsid w:val="00C77F29"/>
    <w:rsid w:val="00C90506"/>
    <w:rsid w:val="00CA0D15"/>
    <w:rsid w:val="00CA2448"/>
    <w:rsid w:val="00CA358F"/>
    <w:rsid w:val="00CB5738"/>
    <w:rsid w:val="00CC0368"/>
    <w:rsid w:val="00CD0FDC"/>
    <w:rsid w:val="00CE1EAB"/>
    <w:rsid w:val="00CE34EC"/>
    <w:rsid w:val="00CF047C"/>
    <w:rsid w:val="00CF55DF"/>
    <w:rsid w:val="00D079C0"/>
    <w:rsid w:val="00D31A74"/>
    <w:rsid w:val="00D351A3"/>
    <w:rsid w:val="00D47C63"/>
    <w:rsid w:val="00D53F6A"/>
    <w:rsid w:val="00D5472C"/>
    <w:rsid w:val="00D55A7A"/>
    <w:rsid w:val="00D62E64"/>
    <w:rsid w:val="00D77B80"/>
    <w:rsid w:val="00DC06D2"/>
    <w:rsid w:val="00DC7B54"/>
    <w:rsid w:val="00DD5A6B"/>
    <w:rsid w:val="00E20419"/>
    <w:rsid w:val="00E23926"/>
    <w:rsid w:val="00E349DA"/>
    <w:rsid w:val="00E42E96"/>
    <w:rsid w:val="00E62236"/>
    <w:rsid w:val="00E67B87"/>
    <w:rsid w:val="00E70A5C"/>
    <w:rsid w:val="00E73061"/>
    <w:rsid w:val="00E83E92"/>
    <w:rsid w:val="00EA4C08"/>
    <w:rsid w:val="00EB2540"/>
    <w:rsid w:val="00EB3C30"/>
    <w:rsid w:val="00EC246D"/>
    <w:rsid w:val="00EC4487"/>
    <w:rsid w:val="00EC75EB"/>
    <w:rsid w:val="00EC7D0E"/>
    <w:rsid w:val="00EE1D60"/>
    <w:rsid w:val="00EF002D"/>
    <w:rsid w:val="00F1131E"/>
    <w:rsid w:val="00F3099A"/>
    <w:rsid w:val="00F309A9"/>
    <w:rsid w:val="00F4578D"/>
    <w:rsid w:val="00F47A16"/>
    <w:rsid w:val="00F51C5E"/>
    <w:rsid w:val="00F5640A"/>
    <w:rsid w:val="00F63D91"/>
    <w:rsid w:val="00F66053"/>
    <w:rsid w:val="00F7094C"/>
    <w:rsid w:val="00F75EE4"/>
    <w:rsid w:val="00F8563A"/>
    <w:rsid w:val="00FA0E37"/>
    <w:rsid w:val="00FB5B4F"/>
    <w:rsid w:val="00FC7B5D"/>
    <w:rsid w:val="00FD48E7"/>
    <w:rsid w:val="00FE0D00"/>
    <w:rsid w:val="00FE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A01DB2"/>
  </w:style>
  <w:style w:type="paragraph" w:styleId="Revision">
    <w:name w:val="Revision"/>
    <w:hidden/>
    <w:uiPriority w:val="99"/>
    <w:semiHidden/>
    <w:rsid w:val="009A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gill@p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9A79-684C-4DA2-9F37-545E074A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6</cp:revision>
  <cp:lastPrinted>2012-03-01T15:57:00Z</cp:lastPrinted>
  <dcterms:created xsi:type="dcterms:W3CDTF">2012-02-29T20:08:00Z</dcterms:created>
  <dcterms:modified xsi:type="dcterms:W3CDTF">2012-03-01T15:57:00Z</dcterms:modified>
</cp:coreProperties>
</file>