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6B5753" w:rsidRPr="009B38AA" w:rsidTr="00BA3012">
        <w:tc>
          <w:tcPr>
            <w:tcW w:w="2448" w:type="dxa"/>
          </w:tcPr>
          <w:p w:rsidR="006B5753" w:rsidRPr="009B38AA" w:rsidRDefault="006B5753" w:rsidP="007D24EB">
            <w:pPr>
              <w:rPr>
                <w:szCs w:val="26"/>
              </w:rPr>
            </w:pPr>
          </w:p>
        </w:tc>
        <w:tc>
          <w:tcPr>
            <w:tcW w:w="5130" w:type="dxa"/>
          </w:tcPr>
          <w:p w:rsidR="006B5753" w:rsidRPr="009B38AA" w:rsidRDefault="006B5753" w:rsidP="00BA3012">
            <w:pPr>
              <w:jc w:val="center"/>
              <w:rPr>
                <w:b/>
                <w:szCs w:val="26"/>
              </w:rPr>
            </w:pPr>
            <w:r w:rsidRPr="009B38AA">
              <w:rPr>
                <w:b/>
                <w:szCs w:val="26"/>
              </w:rPr>
              <w:t>PENNSYLVANIA</w:t>
            </w:r>
          </w:p>
          <w:p w:rsidR="006B5753" w:rsidRPr="009B38AA" w:rsidRDefault="006B5753" w:rsidP="00BA3012">
            <w:pPr>
              <w:jc w:val="center"/>
              <w:rPr>
                <w:b/>
                <w:szCs w:val="26"/>
              </w:rPr>
            </w:pPr>
            <w:r w:rsidRPr="009B38AA">
              <w:rPr>
                <w:b/>
                <w:szCs w:val="26"/>
              </w:rPr>
              <w:t>PUBLIC UTILITY COMMISSION</w:t>
            </w:r>
          </w:p>
          <w:p w:rsidR="006B5753" w:rsidRPr="009B38AA" w:rsidRDefault="00755D49" w:rsidP="00BA3012">
            <w:pPr>
              <w:pStyle w:val="StyleCentered"/>
              <w:rPr>
                <w:szCs w:val="26"/>
              </w:rPr>
            </w:pPr>
            <w:r w:rsidRPr="009B38AA">
              <w:rPr>
                <w:szCs w:val="26"/>
              </w:rPr>
              <w:t>Harrisburg, PA.  17105-3265</w:t>
            </w:r>
          </w:p>
        </w:tc>
        <w:tc>
          <w:tcPr>
            <w:tcW w:w="2700" w:type="dxa"/>
          </w:tcPr>
          <w:p w:rsidR="006B5753" w:rsidRPr="009B38AA" w:rsidRDefault="006B5753" w:rsidP="00BA3012">
            <w:pPr>
              <w:rPr>
                <w:szCs w:val="26"/>
              </w:rPr>
            </w:pPr>
          </w:p>
        </w:tc>
      </w:tr>
    </w:tbl>
    <w:p w:rsidR="006B5753" w:rsidRPr="009B38AA" w:rsidRDefault="006B5753" w:rsidP="006B5753">
      <w:pPr>
        <w:rPr>
          <w:szCs w:val="26"/>
        </w:rPr>
      </w:pPr>
    </w:p>
    <w:tbl>
      <w:tblPr>
        <w:tblW w:w="0" w:type="auto"/>
        <w:tblLayout w:type="fixed"/>
        <w:tblLook w:val="0000" w:firstRow="0" w:lastRow="0" w:firstColumn="0" w:lastColumn="0" w:noHBand="0" w:noVBand="0"/>
      </w:tblPr>
      <w:tblGrid>
        <w:gridCol w:w="5148"/>
        <w:gridCol w:w="5148"/>
      </w:tblGrid>
      <w:tr w:rsidR="006B5753" w:rsidRPr="009B38AA" w:rsidTr="00BA3012">
        <w:tc>
          <w:tcPr>
            <w:tcW w:w="5148" w:type="dxa"/>
          </w:tcPr>
          <w:p w:rsidR="006B5753" w:rsidRPr="009B38AA" w:rsidRDefault="006B5753" w:rsidP="00BA3012">
            <w:pPr>
              <w:rPr>
                <w:szCs w:val="26"/>
              </w:rPr>
            </w:pPr>
          </w:p>
        </w:tc>
        <w:tc>
          <w:tcPr>
            <w:tcW w:w="5148" w:type="dxa"/>
          </w:tcPr>
          <w:p w:rsidR="006B5753" w:rsidRPr="009B38AA" w:rsidRDefault="006B5753" w:rsidP="007A45AF">
            <w:pPr>
              <w:ind w:firstLine="612"/>
              <w:rPr>
                <w:szCs w:val="26"/>
              </w:rPr>
            </w:pPr>
            <w:r w:rsidRPr="009B38AA">
              <w:rPr>
                <w:szCs w:val="26"/>
              </w:rPr>
              <w:t xml:space="preserve">Public Meeting held </w:t>
            </w:r>
            <w:r w:rsidR="00033D1E" w:rsidRPr="009B38AA">
              <w:rPr>
                <w:szCs w:val="26"/>
              </w:rPr>
              <w:t>December 15, 2011</w:t>
            </w:r>
          </w:p>
        </w:tc>
      </w:tr>
      <w:tr w:rsidR="006B5753" w:rsidRPr="009B38AA" w:rsidTr="00BA3012">
        <w:tc>
          <w:tcPr>
            <w:tcW w:w="5148" w:type="dxa"/>
          </w:tcPr>
          <w:p w:rsidR="006B5753" w:rsidRPr="009B38AA" w:rsidRDefault="006B5753" w:rsidP="00BA3012">
            <w:pPr>
              <w:rPr>
                <w:szCs w:val="26"/>
              </w:rPr>
            </w:pPr>
            <w:r w:rsidRPr="009B38AA">
              <w:rPr>
                <w:szCs w:val="26"/>
              </w:rPr>
              <w:t>Commissioners Present:</w:t>
            </w:r>
          </w:p>
        </w:tc>
        <w:tc>
          <w:tcPr>
            <w:tcW w:w="5148" w:type="dxa"/>
          </w:tcPr>
          <w:p w:rsidR="006B5753" w:rsidRPr="009B38AA" w:rsidRDefault="006B5753" w:rsidP="00BA3012">
            <w:pPr>
              <w:rPr>
                <w:szCs w:val="26"/>
              </w:rPr>
            </w:pPr>
          </w:p>
        </w:tc>
      </w:tr>
    </w:tbl>
    <w:p w:rsidR="006B5753" w:rsidRPr="009B38AA" w:rsidRDefault="006B5753" w:rsidP="006B5753">
      <w:pPr>
        <w:rPr>
          <w:szCs w:val="26"/>
        </w:rPr>
      </w:pPr>
    </w:p>
    <w:tbl>
      <w:tblPr>
        <w:tblW w:w="10296" w:type="dxa"/>
        <w:tblLayout w:type="fixed"/>
        <w:tblLook w:val="0000" w:firstRow="0" w:lastRow="0" w:firstColumn="0" w:lastColumn="0" w:noHBand="0" w:noVBand="0"/>
      </w:tblPr>
      <w:tblGrid>
        <w:gridCol w:w="5958"/>
        <w:gridCol w:w="4320"/>
        <w:gridCol w:w="18"/>
      </w:tblGrid>
      <w:tr w:rsidR="006B5753" w:rsidRPr="009B38AA" w:rsidTr="001109F6">
        <w:tc>
          <w:tcPr>
            <w:tcW w:w="5958" w:type="dxa"/>
          </w:tcPr>
          <w:p w:rsidR="006B5753" w:rsidRPr="009B38AA" w:rsidRDefault="00C64488" w:rsidP="00CE5B78">
            <w:pPr>
              <w:spacing w:line="240" w:lineRule="auto"/>
              <w:ind w:firstLine="450"/>
              <w:rPr>
                <w:szCs w:val="26"/>
              </w:rPr>
            </w:pPr>
            <w:r w:rsidRPr="009B38AA">
              <w:rPr>
                <w:szCs w:val="26"/>
              </w:rPr>
              <w:t>Robert F. Powelson</w:t>
            </w:r>
            <w:r w:rsidR="006B5753" w:rsidRPr="009B38AA">
              <w:rPr>
                <w:szCs w:val="26"/>
              </w:rPr>
              <w:t>, Chairman</w:t>
            </w:r>
          </w:p>
          <w:p w:rsidR="00CE5B78" w:rsidRPr="009B38AA" w:rsidRDefault="00CE5B78" w:rsidP="00CE5B78">
            <w:pPr>
              <w:spacing w:line="240" w:lineRule="auto"/>
              <w:ind w:firstLine="450"/>
              <w:rPr>
                <w:szCs w:val="26"/>
              </w:rPr>
            </w:pPr>
            <w:r w:rsidRPr="009B38AA">
              <w:rPr>
                <w:szCs w:val="26"/>
              </w:rPr>
              <w:t>John F. Coleman, Jr., Vice Chairman</w:t>
            </w:r>
          </w:p>
          <w:p w:rsidR="00CE5B78" w:rsidRPr="009B38AA" w:rsidRDefault="00CE5B78" w:rsidP="00CE5B78">
            <w:pPr>
              <w:spacing w:line="240" w:lineRule="auto"/>
              <w:ind w:firstLine="450"/>
              <w:rPr>
                <w:szCs w:val="26"/>
              </w:rPr>
            </w:pPr>
            <w:r w:rsidRPr="009B38AA">
              <w:rPr>
                <w:szCs w:val="26"/>
              </w:rPr>
              <w:t>Wayne E. Gardner</w:t>
            </w:r>
          </w:p>
          <w:p w:rsidR="009D2884" w:rsidRPr="009B38AA" w:rsidRDefault="009D2884" w:rsidP="009D2884">
            <w:pPr>
              <w:spacing w:line="240" w:lineRule="auto"/>
              <w:ind w:firstLine="450"/>
              <w:rPr>
                <w:szCs w:val="26"/>
              </w:rPr>
            </w:pPr>
            <w:r w:rsidRPr="009B38AA">
              <w:rPr>
                <w:szCs w:val="26"/>
              </w:rPr>
              <w:t>James H. Cawley</w:t>
            </w:r>
          </w:p>
          <w:p w:rsidR="009D2884" w:rsidRPr="009B38AA" w:rsidRDefault="009D2884" w:rsidP="00CE5B78">
            <w:pPr>
              <w:spacing w:line="240" w:lineRule="auto"/>
              <w:ind w:firstLine="450"/>
              <w:rPr>
                <w:szCs w:val="26"/>
              </w:rPr>
            </w:pPr>
            <w:r w:rsidRPr="009B38AA">
              <w:rPr>
                <w:szCs w:val="26"/>
              </w:rPr>
              <w:t>Pamela A. Witmer</w:t>
            </w:r>
          </w:p>
        </w:tc>
        <w:tc>
          <w:tcPr>
            <w:tcW w:w="4338" w:type="dxa"/>
            <w:gridSpan w:val="2"/>
          </w:tcPr>
          <w:p w:rsidR="006B5753" w:rsidRPr="009B38AA" w:rsidRDefault="006B5753" w:rsidP="00BA3012">
            <w:pPr>
              <w:rPr>
                <w:szCs w:val="26"/>
              </w:rPr>
            </w:pPr>
          </w:p>
        </w:tc>
      </w:tr>
      <w:tr w:rsidR="006B5753" w:rsidRPr="009B38AA" w:rsidTr="001109F6">
        <w:tc>
          <w:tcPr>
            <w:tcW w:w="5958" w:type="dxa"/>
          </w:tcPr>
          <w:p w:rsidR="00BF66F0" w:rsidRPr="009B38AA" w:rsidRDefault="00BF66F0" w:rsidP="00CE5B78">
            <w:pPr>
              <w:spacing w:line="240" w:lineRule="auto"/>
              <w:ind w:firstLine="450"/>
              <w:rPr>
                <w:szCs w:val="26"/>
              </w:rPr>
            </w:pPr>
          </w:p>
        </w:tc>
        <w:tc>
          <w:tcPr>
            <w:tcW w:w="4338" w:type="dxa"/>
            <w:gridSpan w:val="2"/>
          </w:tcPr>
          <w:p w:rsidR="006B5753" w:rsidRPr="009B38AA" w:rsidRDefault="006B5753" w:rsidP="00BA3012">
            <w:pPr>
              <w:rPr>
                <w:szCs w:val="26"/>
              </w:rPr>
            </w:pPr>
          </w:p>
        </w:tc>
      </w:tr>
      <w:tr w:rsidR="006B5753" w:rsidRPr="009B38AA" w:rsidTr="001109F6">
        <w:trPr>
          <w:gridAfter w:val="1"/>
          <w:wAfter w:w="18" w:type="dxa"/>
        </w:trPr>
        <w:tc>
          <w:tcPr>
            <w:tcW w:w="5958" w:type="dxa"/>
          </w:tcPr>
          <w:p w:rsidR="006B5753" w:rsidRPr="009B38AA" w:rsidRDefault="006B5753" w:rsidP="001109F6">
            <w:pPr>
              <w:spacing w:line="240" w:lineRule="auto"/>
              <w:rPr>
                <w:szCs w:val="26"/>
              </w:rPr>
            </w:pPr>
            <w:r w:rsidRPr="009B38AA">
              <w:rPr>
                <w:szCs w:val="26"/>
              </w:rPr>
              <w:t>Implementation of the Alternative Energy Portfolio</w:t>
            </w:r>
          </w:p>
          <w:p w:rsidR="006B5753" w:rsidRPr="009B38AA" w:rsidRDefault="006B5753" w:rsidP="001109F6">
            <w:pPr>
              <w:spacing w:line="240" w:lineRule="auto"/>
              <w:rPr>
                <w:szCs w:val="26"/>
              </w:rPr>
            </w:pPr>
            <w:r w:rsidRPr="009B38AA">
              <w:rPr>
                <w:szCs w:val="26"/>
              </w:rPr>
              <w:t>Standards Act of 2004:  Standards for the Participation</w:t>
            </w:r>
          </w:p>
          <w:p w:rsidR="006B5753" w:rsidRPr="009B38AA" w:rsidRDefault="006B5753" w:rsidP="001109F6">
            <w:pPr>
              <w:spacing w:line="240" w:lineRule="auto"/>
              <w:rPr>
                <w:szCs w:val="26"/>
              </w:rPr>
            </w:pPr>
            <w:r w:rsidRPr="009B38AA">
              <w:rPr>
                <w:szCs w:val="26"/>
              </w:rPr>
              <w:t>of Demand Side Management Resources – Technical</w:t>
            </w:r>
          </w:p>
          <w:p w:rsidR="006B5753" w:rsidRPr="009B38AA" w:rsidRDefault="006B5753" w:rsidP="001109F6">
            <w:pPr>
              <w:spacing w:line="240" w:lineRule="auto"/>
              <w:rPr>
                <w:szCs w:val="26"/>
              </w:rPr>
            </w:pPr>
            <w:r w:rsidRPr="009B38AA">
              <w:rPr>
                <w:szCs w:val="26"/>
              </w:rPr>
              <w:t xml:space="preserve">Reference Manual </w:t>
            </w:r>
            <w:r w:rsidR="00DF0C8D" w:rsidRPr="009B38AA">
              <w:rPr>
                <w:szCs w:val="26"/>
              </w:rPr>
              <w:t>201</w:t>
            </w:r>
            <w:r w:rsidR="007A45AF" w:rsidRPr="009B38AA">
              <w:rPr>
                <w:szCs w:val="26"/>
              </w:rPr>
              <w:t>2</w:t>
            </w:r>
            <w:r w:rsidR="00DF0C8D" w:rsidRPr="009B38AA">
              <w:rPr>
                <w:szCs w:val="26"/>
              </w:rPr>
              <w:t xml:space="preserve"> </w:t>
            </w:r>
            <w:r w:rsidRPr="009B38AA">
              <w:rPr>
                <w:szCs w:val="26"/>
              </w:rPr>
              <w:t>Update</w:t>
            </w:r>
          </w:p>
        </w:tc>
        <w:tc>
          <w:tcPr>
            <w:tcW w:w="4320" w:type="dxa"/>
          </w:tcPr>
          <w:p w:rsidR="006B5753" w:rsidRPr="009B38AA" w:rsidRDefault="006B5753" w:rsidP="00BA3012">
            <w:pPr>
              <w:rPr>
                <w:szCs w:val="26"/>
              </w:rPr>
            </w:pPr>
            <w:r w:rsidRPr="009B38AA">
              <w:rPr>
                <w:szCs w:val="26"/>
              </w:rPr>
              <w:t>Docket No.  M</w:t>
            </w:r>
            <w:r w:rsidRPr="009B38AA">
              <w:rPr>
                <w:szCs w:val="26"/>
              </w:rPr>
              <w:noBreakHyphen/>
              <w:t>00051865</w:t>
            </w:r>
          </w:p>
        </w:tc>
      </w:tr>
    </w:tbl>
    <w:p w:rsidR="006B5753" w:rsidRPr="009B38AA" w:rsidRDefault="006B5753" w:rsidP="006B5753">
      <w:pPr>
        <w:jc w:val="center"/>
        <w:rPr>
          <w:b/>
          <w:szCs w:val="26"/>
        </w:rPr>
      </w:pPr>
    </w:p>
    <w:p w:rsidR="001109F6" w:rsidRPr="009B38AA" w:rsidRDefault="001109F6" w:rsidP="009D2884">
      <w:pPr>
        <w:overflowPunct/>
        <w:autoSpaceDE/>
        <w:autoSpaceDN/>
        <w:adjustRightInd/>
        <w:spacing w:after="200" w:line="276" w:lineRule="auto"/>
        <w:textAlignment w:val="auto"/>
        <w:rPr>
          <w:szCs w:val="26"/>
        </w:rPr>
        <w:sectPr w:rsidR="001109F6" w:rsidRPr="009B38AA" w:rsidSect="00122F7C">
          <w:footerReference w:type="default" r:id="rId13"/>
          <w:pgSz w:w="12240" w:h="15840"/>
          <w:pgMar w:top="1440" w:right="1440" w:bottom="1440" w:left="1440" w:header="720" w:footer="720" w:gutter="0"/>
          <w:cols w:space="720"/>
          <w:docGrid w:linePitch="360"/>
        </w:sectPr>
      </w:pPr>
    </w:p>
    <w:p w:rsidR="00822A97" w:rsidRPr="009B38AA" w:rsidRDefault="00822A97" w:rsidP="009230F9">
      <w:pPr>
        <w:overflowPunct/>
        <w:autoSpaceDE/>
        <w:autoSpaceDN/>
        <w:adjustRightInd/>
        <w:spacing w:after="200" w:line="276" w:lineRule="auto"/>
        <w:jc w:val="center"/>
        <w:textAlignment w:val="auto"/>
        <w:rPr>
          <w:b/>
          <w:szCs w:val="26"/>
        </w:rPr>
      </w:pPr>
      <w:r w:rsidRPr="009B38AA">
        <w:rPr>
          <w:b/>
          <w:szCs w:val="26"/>
        </w:rPr>
        <w:lastRenderedPageBreak/>
        <w:t>Table of Contents</w:t>
      </w:r>
    </w:p>
    <w:p w:rsidR="00822A97" w:rsidRPr="009B38AA" w:rsidRDefault="00822A97" w:rsidP="00822A97">
      <w:pPr>
        <w:overflowPunct/>
        <w:autoSpaceDE/>
        <w:autoSpaceDN/>
        <w:adjustRightInd/>
        <w:textAlignment w:val="auto"/>
        <w:rPr>
          <w:b/>
          <w:szCs w:val="26"/>
        </w:rPr>
      </w:pPr>
    </w:p>
    <w:p w:rsidR="00822A97" w:rsidRPr="009B38AA" w:rsidRDefault="00822A97" w:rsidP="00A130A1">
      <w:pPr>
        <w:pStyle w:val="ListParagraph"/>
        <w:numPr>
          <w:ilvl w:val="0"/>
          <w:numId w:val="15"/>
        </w:numPr>
        <w:tabs>
          <w:tab w:val="left" w:pos="-1080"/>
          <w:tab w:val="right" w:leader="dot" w:pos="9360"/>
        </w:tabs>
        <w:overflowPunct/>
        <w:autoSpaceDE/>
        <w:autoSpaceDN/>
        <w:adjustRightInd/>
        <w:ind w:left="360" w:hanging="360"/>
        <w:textAlignment w:val="auto"/>
        <w:rPr>
          <w:szCs w:val="26"/>
        </w:rPr>
      </w:pPr>
      <w:r w:rsidRPr="009B38AA">
        <w:rPr>
          <w:szCs w:val="26"/>
        </w:rPr>
        <w:t>Background</w:t>
      </w:r>
      <w:r w:rsidRPr="009B38AA">
        <w:rPr>
          <w:szCs w:val="26"/>
        </w:rPr>
        <w:tab/>
      </w:r>
      <w:r w:rsidR="00476FEA">
        <w:rPr>
          <w:szCs w:val="26"/>
        </w:rPr>
        <w:t>2</w:t>
      </w:r>
    </w:p>
    <w:p w:rsidR="00822A97" w:rsidRPr="009B38AA" w:rsidRDefault="00822A97" w:rsidP="00A130A1">
      <w:pPr>
        <w:pStyle w:val="ListParagraph"/>
        <w:numPr>
          <w:ilvl w:val="0"/>
          <w:numId w:val="15"/>
        </w:numPr>
        <w:tabs>
          <w:tab w:val="left" w:pos="-1080"/>
          <w:tab w:val="right" w:leader="dot" w:pos="9360"/>
        </w:tabs>
        <w:overflowPunct/>
        <w:autoSpaceDE/>
        <w:autoSpaceDN/>
        <w:adjustRightInd/>
        <w:ind w:left="360" w:hanging="360"/>
        <w:textAlignment w:val="auto"/>
        <w:rPr>
          <w:szCs w:val="26"/>
        </w:rPr>
      </w:pPr>
      <w:r w:rsidRPr="009B38AA">
        <w:rPr>
          <w:szCs w:val="26"/>
        </w:rPr>
        <w:t>Discussion</w:t>
      </w:r>
      <w:r w:rsidRPr="009B38AA">
        <w:rPr>
          <w:szCs w:val="26"/>
        </w:rPr>
        <w:tab/>
      </w:r>
      <w:r w:rsidR="00476FEA">
        <w:rPr>
          <w:szCs w:val="26"/>
        </w:rPr>
        <w:t>3</w:t>
      </w:r>
    </w:p>
    <w:p w:rsidR="00822A97" w:rsidRDefault="00822A97" w:rsidP="00A130A1">
      <w:pPr>
        <w:pStyle w:val="ListParagraph"/>
        <w:numPr>
          <w:ilvl w:val="0"/>
          <w:numId w:val="17"/>
        </w:numPr>
        <w:tabs>
          <w:tab w:val="left" w:pos="720"/>
          <w:tab w:val="right" w:leader="dot" w:pos="9360"/>
        </w:tabs>
        <w:overflowPunct/>
        <w:autoSpaceDE/>
        <w:autoSpaceDN/>
        <w:adjustRightInd/>
        <w:textAlignment w:val="auto"/>
        <w:rPr>
          <w:szCs w:val="26"/>
        </w:rPr>
      </w:pPr>
      <w:r w:rsidRPr="009B38AA">
        <w:rPr>
          <w:szCs w:val="26"/>
        </w:rPr>
        <w:t>Additional Residential EE&amp;C Measures</w:t>
      </w:r>
      <w:r w:rsidRPr="009B38AA">
        <w:rPr>
          <w:szCs w:val="26"/>
        </w:rPr>
        <w:tab/>
      </w:r>
      <w:r w:rsidR="00D0681F">
        <w:rPr>
          <w:szCs w:val="26"/>
        </w:rPr>
        <w:t>4</w:t>
      </w:r>
    </w:p>
    <w:p w:rsidR="0057365E" w:rsidRDefault="00476FEA" w:rsidP="00476FEA">
      <w:pPr>
        <w:pStyle w:val="ListParagraph"/>
        <w:tabs>
          <w:tab w:val="right" w:leader="dot" w:pos="9360"/>
        </w:tabs>
        <w:overflowPunct/>
        <w:autoSpaceDE/>
        <w:autoSpaceDN/>
        <w:adjustRightInd/>
        <w:ind w:left="1800" w:hanging="360"/>
        <w:textAlignment w:val="auto"/>
        <w:rPr>
          <w:b/>
        </w:rPr>
      </w:pPr>
      <w:r w:rsidRPr="00476FEA">
        <w:t>1</w:t>
      </w:r>
      <w:r>
        <w:rPr>
          <w:b/>
        </w:rPr>
        <w:t>.</w:t>
      </w:r>
      <w:r>
        <w:rPr>
          <w:b/>
        </w:rPr>
        <w:tab/>
      </w:r>
      <w:r w:rsidR="0057365E" w:rsidRPr="00476FEA">
        <w:t>ENERGY STAR Light-Emitting Diodes</w:t>
      </w:r>
      <w:r w:rsidRPr="00476FEA">
        <w:tab/>
      </w:r>
      <w:r w:rsidR="00D0681F">
        <w:t>6</w:t>
      </w:r>
    </w:p>
    <w:p w:rsidR="0057365E" w:rsidRDefault="0057365E" w:rsidP="00476FEA">
      <w:pPr>
        <w:pStyle w:val="Heading2"/>
        <w:numPr>
          <w:ilvl w:val="0"/>
          <w:numId w:val="0"/>
        </w:numPr>
        <w:tabs>
          <w:tab w:val="right" w:leader="dot" w:pos="9360"/>
        </w:tabs>
        <w:ind w:left="1800" w:hanging="360"/>
        <w:rPr>
          <w:b w:val="0"/>
        </w:rPr>
      </w:pPr>
      <w:r w:rsidRPr="0057365E">
        <w:rPr>
          <w:b w:val="0"/>
        </w:rPr>
        <w:t>2.</w:t>
      </w:r>
      <w:r w:rsidRPr="0057365E">
        <w:rPr>
          <w:b w:val="0"/>
        </w:rPr>
        <w:tab/>
        <w:t>Holiday Lights</w:t>
      </w:r>
      <w:r w:rsidR="00476FEA">
        <w:rPr>
          <w:b w:val="0"/>
        </w:rPr>
        <w:tab/>
      </w:r>
      <w:r w:rsidR="00D0681F">
        <w:rPr>
          <w:b w:val="0"/>
        </w:rPr>
        <w:t>9</w:t>
      </w:r>
    </w:p>
    <w:p w:rsidR="0057365E" w:rsidRDefault="0057365E" w:rsidP="00476FEA">
      <w:pPr>
        <w:pStyle w:val="Heading2"/>
        <w:numPr>
          <w:ilvl w:val="0"/>
          <w:numId w:val="0"/>
        </w:numPr>
        <w:tabs>
          <w:tab w:val="right" w:leader="dot" w:pos="9360"/>
        </w:tabs>
        <w:spacing w:line="240" w:lineRule="auto"/>
        <w:ind w:left="1800" w:hanging="360"/>
        <w:rPr>
          <w:b w:val="0"/>
        </w:rPr>
      </w:pPr>
      <w:r w:rsidRPr="0057365E">
        <w:rPr>
          <w:b w:val="0"/>
        </w:rPr>
        <w:t>3</w:t>
      </w:r>
      <w:r>
        <w:t>.</w:t>
      </w:r>
      <w:r>
        <w:tab/>
      </w:r>
      <w:r w:rsidRPr="0057365E">
        <w:rPr>
          <w:b w:val="0"/>
        </w:rPr>
        <w:t>Pool Pump Load Shifting &amp; Pool Pump with VFD Motor and Load Shifting</w:t>
      </w:r>
      <w:r w:rsidR="00476FEA">
        <w:rPr>
          <w:b w:val="0"/>
        </w:rPr>
        <w:tab/>
      </w:r>
      <w:r w:rsidR="00D0681F">
        <w:rPr>
          <w:b w:val="0"/>
        </w:rPr>
        <w:t>12</w:t>
      </w:r>
    </w:p>
    <w:p w:rsidR="00D0681F" w:rsidRPr="00D0681F" w:rsidRDefault="00D0681F" w:rsidP="00D0681F"/>
    <w:p w:rsidR="00822A97" w:rsidRDefault="00822A97" w:rsidP="00A130A1">
      <w:pPr>
        <w:pStyle w:val="ListParagraph"/>
        <w:numPr>
          <w:ilvl w:val="0"/>
          <w:numId w:val="17"/>
        </w:numPr>
        <w:tabs>
          <w:tab w:val="right" w:leader="dot" w:pos="9360"/>
        </w:tabs>
        <w:overflowPunct/>
        <w:autoSpaceDE/>
        <w:autoSpaceDN/>
        <w:adjustRightInd/>
        <w:textAlignment w:val="auto"/>
        <w:rPr>
          <w:szCs w:val="26"/>
        </w:rPr>
      </w:pPr>
      <w:r w:rsidRPr="009B38AA">
        <w:rPr>
          <w:szCs w:val="26"/>
        </w:rPr>
        <w:t>Additional Commercial &amp; Industrial EE&amp;C Measures</w:t>
      </w:r>
      <w:r w:rsidRPr="009B38AA">
        <w:rPr>
          <w:szCs w:val="26"/>
        </w:rPr>
        <w:tab/>
      </w:r>
      <w:r w:rsidR="00D0681F">
        <w:rPr>
          <w:szCs w:val="26"/>
        </w:rPr>
        <w:t>13</w:t>
      </w:r>
    </w:p>
    <w:p w:rsidR="0057365E" w:rsidRPr="00476FEA" w:rsidRDefault="0057365E" w:rsidP="00D0681F">
      <w:pPr>
        <w:pStyle w:val="Heading2"/>
        <w:tabs>
          <w:tab w:val="right" w:leader="dot" w:pos="9360"/>
        </w:tabs>
        <w:ind w:left="1800" w:hanging="360"/>
        <w:rPr>
          <w:b w:val="0"/>
        </w:rPr>
      </w:pPr>
      <w:r w:rsidRPr="00476FEA">
        <w:rPr>
          <w:b w:val="0"/>
        </w:rPr>
        <w:t>LED Channel Signage</w:t>
      </w:r>
      <w:r w:rsidR="00D0681F">
        <w:rPr>
          <w:b w:val="0"/>
        </w:rPr>
        <w:tab/>
        <w:t>16</w:t>
      </w:r>
    </w:p>
    <w:p w:rsidR="00526696" w:rsidRPr="00526696" w:rsidRDefault="00526696" w:rsidP="00476FEA">
      <w:pPr>
        <w:pStyle w:val="Heading2"/>
        <w:tabs>
          <w:tab w:val="right" w:leader="dot" w:pos="9360"/>
        </w:tabs>
        <w:ind w:left="1800" w:hanging="360"/>
        <w:rPr>
          <w:b w:val="0"/>
        </w:rPr>
      </w:pPr>
      <w:r w:rsidRPr="00526696">
        <w:rPr>
          <w:b w:val="0"/>
        </w:rPr>
        <w:t>Ductless Mini-Split Heat Pumps (“DHP”) – Commercial &lt;5.4 tons</w:t>
      </w:r>
      <w:r w:rsidR="00476FEA">
        <w:rPr>
          <w:b w:val="0"/>
        </w:rPr>
        <w:tab/>
      </w:r>
      <w:r w:rsidR="00D0681F">
        <w:rPr>
          <w:b w:val="0"/>
        </w:rPr>
        <w:t>17</w:t>
      </w:r>
    </w:p>
    <w:p w:rsidR="00526696" w:rsidRPr="00526696" w:rsidRDefault="00526696" w:rsidP="00476FEA">
      <w:pPr>
        <w:pStyle w:val="Heading2"/>
        <w:tabs>
          <w:tab w:val="right" w:leader="dot" w:pos="9360"/>
        </w:tabs>
        <w:ind w:left="1800" w:hanging="360"/>
        <w:rPr>
          <w:b w:val="0"/>
        </w:rPr>
      </w:pPr>
      <w:r w:rsidRPr="00526696">
        <w:rPr>
          <w:b w:val="0"/>
        </w:rPr>
        <w:t>Refrigeration – Strip Curtains for Walk-In Freezers and Coolers</w:t>
      </w:r>
      <w:r w:rsidR="00476FEA">
        <w:rPr>
          <w:b w:val="0"/>
        </w:rPr>
        <w:tab/>
      </w:r>
      <w:r w:rsidR="00D0681F">
        <w:rPr>
          <w:b w:val="0"/>
        </w:rPr>
        <w:t>18</w:t>
      </w:r>
    </w:p>
    <w:p w:rsidR="00526696" w:rsidRDefault="00526696" w:rsidP="00476FEA">
      <w:pPr>
        <w:pStyle w:val="Heading2"/>
        <w:tabs>
          <w:tab w:val="right" w:leader="dot" w:pos="9360"/>
        </w:tabs>
        <w:ind w:left="1800" w:hanging="360"/>
        <w:rPr>
          <w:b w:val="0"/>
        </w:rPr>
      </w:pPr>
      <w:r w:rsidRPr="00526696">
        <w:rPr>
          <w:b w:val="0"/>
        </w:rPr>
        <w:t>Refrigeration – Auto Closers</w:t>
      </w:r>
      <w:r w:rsidR="00476FEA">
        <w:rPr>
          <w:b w:val="0"/>
        </w:rPr>
        <w:tab/>
      </w:r>
      <w:r w:rsidR="00D0681F">
        <w:rPr>
          <w:b w:val="0"/>
        </w:rPr>
        <w:t>19</w:t>
      </w:r>
    </w:p>
    <w:p w:rsidR="00526696" w:rsidRPr="00526696" w:rsidRDefault="00526696" w:rsidP="00476FEA">
      <w:pPr>
        <w:pStyle w:val="Heading2"/>
        <w:tabs>
          <w:tab w:val="right" w:leader="dot" w:pos="9360"/>
        </w:tabs>
        <w:ind w:left="1800" w:hanging="360"/>
        <w:rPr>
          <w:b w:val="0"/>
        </w:rPr>
      </w:pPr>
      <w:r w:rsidRPr="00526696">
        <w:rPr>
          <w:b w:val="0"/>
        </w:rPr>
        <w:t>Refrigeration – Door Gaskets for Walk-In Coolers and Freezers</w:t>
      </w:r>
      <w:r w:rsidR="00476FEA">
        <w:rPr>
          <w:b w:val="0"/>
        </w:rPr>
        <w:tab/>
      </w:r>
      <w:r w:rsidR="00D0681F">
        <w:rPr>
          <w:b w:val="0"/>
        </w:rPr>
        <w:t>20</w:t>
      </w:r>
    </w:p>
    <w:p w:rsidR="00526696" w:rsidRDefault="00526696" w:rsidP="00476FEA">
      <w:pPr>
        <w:pStyle w:val="Heading2"/>
        <w:tabs>
          <w:tab w:val="right" w:leader="dot" w:pos="9360"/>
        </w:tabs>
        <w:ind w:left="1800" w:hanging="360"/>
        <w:rPr>
          <w:b w:val="0"/>
        </w:rPr>
      </w:pPr>
      <w:r w:rsidRPr="00526696">
        <w:rPr>
          <w:b w:val="0"/>
        </w:rPr>
        <w:t>Refrigera</w:t>
      </w:r>
      <w:r>
        <w:rPr>
          <w:b w:val="0"/>
        </w:rPr>
        <w:t>tion – Suction Pipes Insulation</w:t>
      </w:r>
      <w:r w:rsidR="00476FEA">
        <w:rPr>
          <w:b w:val="0"/>
        </w:rPr>
        <w:tab/>
      </w:r>
      <w:r w:rsidR="00D0681F">
        <w:rPr>
          <w:b w:val="0"/>
        </w:rPr>
        <w:t>21</w:t>
      </w:r>
    </w:p>
    <w:p w:rsidR="00526696" w:rsidRDefault="00526696" w:rsidP="00476FEA">
      <w:pPr>
        <w:pStyle w:val="Heading2"/>
        <w:tabs>
          <w:tab w:val="right" w:leader="dot" w:pos="9360"/>
        </w:tabs>
        <w:ind w:left="1800" w:hanging="360"/>
        <w:rPr>
          <w:b w:val="0"/>
        </w:rPr>
      </w:pPr>
      <w:r w:rsidRPr="00526696">
        <w:rPr>
          <w:b w:val="0"/>
        </w:rPr>
        <w:t>Refrigeration – Evaporator Fan Controller</w:t>
      </w:r>
      <w:r w:rsidR="00476FEA">
        <w:rPr>
          <w:b w:val="0"/>
        </w:rPr>
        <w:tab/>
      </w:r>
      <w:r w:rsidR="00D0681F">
        <w:rPr>
          <w:b w:val="0"/>
        </w:rPr>
        <w:t>22</w:t>
      </w:r>
    </w:p>
    <w:p w:rsidR="00526696" w:rsidRPr="00526696" w:rsidRDefault="00526696" w:rsidP="00476FEA">
      <w:pPr>
        <w:pStyle w:val="Heading2"/>
        <w:tabs>
          <w:tab w:val="right" w:leader="dot" w:pos="9360"/>
        </w:tabs>
        <w:ind w:left="1800" w:hanging="360"/>
        <w:rPr>
          <w:b w:val="0"/>
        </w:rPr>
      </w:pPr>
      <w:r w:rsidRPr="00526696">
        <w:rPr>
          <w:b w:val="0"/>
        </w:rPr>
        <w:t>ENERGY STAR Electric Steam Cooker</w:t>
      </w:r>
      <w:r w:rsidR="00476FEA">
        <w:rPr>
          <w:b w:val="0"/>
        </w:rPr>
        <w:tab/>
      </w:r>
      <w:r w:rsidR="00D0681F">
        <w:rPr>
          <w:b w:val="0"/>
        </w:rPr>
        <w:t>23</w:t>
      </w:r>
    </w:p>
    <w:p w:rsidR="00526696" w:rsidRPr="00526696" w:rsidRDefault="00526696" w:rsidP="00476FEA">
      <w:pPr>
        <w:pStyle w:val="Heading2"/>
        <w:tabs>
          <w:tab w:val="right" w:leader="dot" w:pos="9360"/>
        </w:tabs>
        <w:ind w:left="1800" w:hanging="360"/>
        <w:rPr>
          <w:b w:val="0"/>
        </w:rPr>
      </w:pPr>
      <w:r>
        <w:rPr>
          <w:b w:val="0"/>
        </w:rPr>
        <w:t>ENERGY STAR Clothes Washer</w:t>
      </w:r>
      <w:r w:rsidR="00476FEA">
        <w:rPr>
          <w:b w:val="0"/>
        </w:rPr>
        <w:tab/>
      </w:r>
      <w:r w:rsidR="00D0681F">
        <w:rPr>
          <w:b w:val="0"/>
        </w:rPr>
        <w:t>24</w:t>
      </w:r>
    </w:p>
    <w:p w:rsidR="00526696" w:rsidRPr="00526696" w:rsidRDefault="00526696" w:rsidP="00476FEA">
      <w:pPr>
        <w:pStyle w:val="Heading2"/>
        <w:tabs>
          <w:tab w:val="right" w:leader="dot" w:pos="9360"/>
        </w:tabs>
        <w:ind w:left="1800" w:hanging="446"/>
        <w:rPr>
          <w:b w:val="0"/>
        </w:rPr>
      </w:pPr>
      <w:r w:rsidRPr="00526696">
        <w:rPr>
          <w:b w:val="0"/>
        </w:rPr>
        <w:t>Electric Resistance Water Heaters</w:t>
      </w:r>
      <w:r w:rsidR="00476FEA">
        <w:rPr>
          <w:b w:val="0"/>
        </w:rPr>
        <w:tab/>
      </w:r>
      <w:r w:rsidR="00D0681F">
        <w:rPr>
          <w:b w:val="0"/>
        </w:rPr>
        <w:t>25</w:t>
      </w:r>
    </w:p>
    <w:p w:rsidR="00526696" w:rsidRPr="00526696" w:rsidRDefault="00526696" w:rsidP="00476FEA">
      <w:pPr>
        <w:pStyle w:val="Heading2"/>
        <w:tabs>
          <w:tab w:val="right" w:leader="dot" w:pos="9360"/>
        </w:tabs>
        <w:ind w:left="1800" w:hanging="446"/>
        <w:rPr>
          <w:b w:val="0"/>
        </w:rPr>
      </w:pPr>
      <w:r w:rsidRPr="00526696">
        <w:rPr>
          <w:b w:val="0"/>
        </w:rPr>
        <w:t>Heat Pump Water Heaters</w:t>
      </w:r>
      <w:r w:rsidR="00476FEA">
        <w:rPr>
          <w:b w:val="0"/>
        </w:rPr>
        <w:tab/>
      </w:r>
      <w:r w:rsidR="00D0681F">
        <w:rPr>
          <w:b w:val="0"/>
        </w:rPr>
        <w:t>2</w:t>
      </w:r>
      <w:r w:rsidR="00F5674A">
        <w:rPr>
          <w:b w:val="0"/>
        </w:rPr>
        <w:t>8</w:t>
      </w:r>
    </w:p>
    <w:p w:rsidR="00526696" w:rsidRPr="00526696" w:rsidRDefault="00526696" w:rsidP="00476FEA">
      <w:pPr>
        <w:pStyle w:val="Heading2"/>
        <w:tabs>
          <w:tab w:val="right" w:leader="dot" w:pos="9360"/>
        </w:tabs>
        <w:ind w:left="1800" w:hanging="446"/>
        <w:rPr>
          <w:b w:val="0"/>
        </w:rPr>
      </w:pPr>
      <w:r w:rsidRPr="00526696">
        <w:rPr>
          <w:b w:val="0"/>
        </w:rPr>
        <w:t>Low Flow Pre-Rinse Sprayers</w:t>
      </w:r>
      <w:r w:rsidR="00476FEA">
        <w:rPr>
          <w:b w:val="0"/>
        </w:rPr>
        <w:tab/>
      </w:r>
      <w:r w:rsidR="00D0681F">
        <w:rPr>
          <w:b w:val="0"/>
        </w:rPr>
        <w:t>29</w:t>
      </w:r>
    </w:p>
    <w:p w:rsidR="00822A97" w:rsidRPr="009B38AA" w:rsidRDefault="00822A97" w:rsidP="00A130A1">
      <w:pPr>
        <w:pStyle w:val="ListParagraph"/>
        <w:numPr>
          <w:ilvl w:val="0"/>
          <w:numId w:val="17"/>
        </w:numPr>
        <w:tabs>
          <w:tab w:val="left" w:pos="-2070"/>
          <w:tab w:val="right" w:leader="dot" w:pos="9360"/>
        </w:tabs>
        <w:overflowPunct/>
        <w:autoSpaceDE/>
        <w:autoSpaceDN/>
        <w:adjustRightInd/>
        <w:textAlignment w:val="auto"/>
        <w:rPr>
          <w:szCs w:val="26"/>
        </w:rPr>
      </w:pPr>
      <w:r w:rsidRPr="009B38AA">
        <w:rPr>
          <w:szCs w:val="26"/>
        </w:rPr>
        <w:t>General Improvements</w:t>
      </w:r>
      <w:r w:rsidRPr="009B38AA">
        <w:rPr>
          <w:szCs w:val="26"/>
        </w:rPr>
        <w:tab/>
      </w:r>
      <w:r w:rsidR="00D0681F">
        <w:rPr>
          <w:szCs w:val="26"/>
        </w:rPr>
        <w:t>32</w:t>
      </w:r>
    </w:p>
    <w:p w:rsidR="00822A97" w:rsidRDefault="00822A97" w:rsidP="00BD2852">
      <w:pPr>
        <w:pStyle w:val="ListParagraph"/>
        <w:numPr>
          <w:ilvl w:val="0"/>
          <w:numId w:val="14"/>
        </w:numPr>
        <w:tabs>
          <w:tab w:val="left" w:pos="-1890"/>
          <w:tab w:val="left" w:pos="-1440"/>
          <w:tab w:val="left" w:pos="0"/>
          <w:tab w:val="right" w:leader="dot" w:pos="9360"/>
        </w:tabs>
        <w:overflowPunct/>
        <w:autoSpaceDE/>
        <w:autoSpaceDN/>
        <w:adjustRightInd/>
        <w:spacing w:line="240" w:lineRule="auto"/>
        <w:ind w:left="1800"/>
        <w:textAlignment w:val="auto"/>
        <w:rPr>
          <w:szCs w:val="26"/>
        </w:rPr>
      </w:pPr>
      <w:r w:rsidRPr="009B38AA">
        <w:rPr>
          <w:szCs w:val="26"/>
        </w:rPr>
        <w:t>Mapping Zip Codes to Reference Cities for Weather-Dependent Measures</w:t>
      </w:r>
      <w:r w:rsidRPr="009B38AA">
        <w:rPr>
          <w:szCs w:val="26"/>
        </w:rPr>
        <w:tab/>
      </w:r>
      <w:r w:rsidR="00D0681F">
        <w:rPr>
          <w:szCs w:val="26"/>
        </w:rPr>
        <w:t>32</w:t>
      </w:r>
    </w:p>
    <w:p w:rsidR="00BD2852" w:rsidRPr="009B38AA" w:rsidRDefault="00BD2852" w:rsidP="00BD2852">
      <w:pPr>
        <w:pStyle w:val="ListParagraph"/>
        <w:tabs>
          <w:tab w:val="left" w:pos="-1890"/>
          <w:tab w:val="left" w:pos="-1440"/>
          <w:tab w:val="left" w:pos="0"/>
          <w:tab w:val="right" w:leader="dot" w:pos="9360"/>
        </w:tabs>
        <w:overflowPunct/>
        <w:autoSpaceDE/>
        <w:autoSpaceDN/>
        <w:adjustRightInd/>
        <w:spacing w:line="240" w:lineRule="auto"/>
        <w:ind w:left="1800"/>
        <w:textAlignment w:val="auto"/>
        <w:rPr>
          <w:szCs w:val="26"/>
        </w:rPr>
      </w:pPr>
    </w:p>
    <w:p w:rsidR="00822A97" w:rsidRDefault="00822A97" w:rsidP="00940A6F">
      <w:pPr>
        <w:numPr>
          <w:ilvl w:val="0"/>
          <w:numId w:val="14"/>
        </w:numPr>
        <w:tabs>
          <w:tab w:val="left" w:pos="-1890"/>
          <w:tab w:val="left" w:pos="-1440"/>
          <w:tab w:val="left" w:pos="0"/>
          <w:tab w:val="right" w:leader="dot" w:pos="9360"/>
        </w:tabs>
        <w:overflowPunct/>
        <w:autoSpaceDE/>
        <w:autoSpaceDN/>
        <w:adjustRightInd/>
        <w:spacing w:line="240" w:lineRule="auto"/>
        <w:ind w:left="1800"/>
        <w:textAlignment w:val="auto"/>
        <w:rPr>
          <w:szCs w:val="26"/>
        </w:rPr>
      </w:pPr>
      <w:r w:rsidRPr="009B38AA">
        <w:rPr>
          <w:szCs w:val="26"/>
        </w:rPr>
        <w:t>Determination of Baselines for Measures Replaced Upon Failure or at End of Useful Life</w:t>
      </w:r>
      <w:r w:rsidRPr="009B38AA">
        <w:rPr>
          <w:szCs w:val="26"/>
        </w:rPr>
        <w:tab/>
      </w:r>
      <w:r w:rsidR="00D0681F">
        <w:rPr>
          <w:szCs w:val="26"/>
        </w:rPr>
        <w:t>33</w:t>
      </w:r>
    </w:p>
    <w:p w:rsidR="00940A6F" w:rsidRPr="009B38AA" w:rsidRDefault="00940A6F" w:rsidP="00940A6F">
      <w:pPr>
        <w:tabs>
          <w:tab w:val="left" w:pos="-1890"/>
          <w:tab w:val="left" w:pos="-1440"/>
          <w:tab w:val="left" w:pos="0"/>
          <w:tab w:val="right" w:leader="dot" w:pos="9360"/>
        </w:tabs>
        <w:overflowPunct/>
        <w:autoSpaceDE/>
        <w:autoSpaceDN/>
        <w:adjustRightInd/>
        <w:spacing w:line="240" w:lineRule="auto"/>
        <w:ind w:left="1800"/>
        <w:textAlignment w:val="auto"/>
        <w:rPr>
          <w:szCs w:val="26"/>
        </w:rPr>
      </w:pPr>
    </w:p>
    <w:p w:rsidR="00822A97" w:rsidRPr="009B38AA" w:rsidRDefault="00822A97" w:rsidP="00A130A1">
      <w:pPr>
        <w:numPr>
          <w:ilvl w:val="0"/>
          <w:numId w:val="14"/>
        </w:numPr>
        <w:tabs>
          <w:tab w:val="left" w:pos="-1890"/>
          <w:tab w:val="left" w:pos="-1440"/>
          <w:tab w:val="left" w:pos="0"/>
          <w:tab w:val="right" w:leader="dot" w:pos="9360"/>
        </w:tabs>
        <w:overflowPunct/>
        <w:autoSpaceDE/>
        <w:autoSpaceDN/>
        <w:adjustRightInd/>
        <w:ind w:left="1800"/>
        <w:textAlignment w:val="auto"/>
        <w:rPr>
          <w:szCs w:val="26"/>
        </w:rPr>
      </w:pPr>
      <w:r w:rsidRPr="009B38AA">
        <w:rPr>
          <w:szCs w:val="26"/>
        </w:rPr>
        <w:t xml:space="preserve">Eligibility of Fuel Switching (Non-Electric to Electric) </w:t>
      </w:r>
      <w:r w:rsidRPr="009B38AA">
        <w:rPr>
          <w:szCs w:val="26"/>
        </w:rPr>
        <w:tab/>
      </w:r>
      <w:r w:rsidR="00D0681F">
        <w:rPr>
          <w:szCs w:val="26"/>
        </w:rPr>
        <w:t>35</w:t>
      </w:r>
    </w:p>
    <w:p w:rsidR="00822A97" w:rsidRPr="009B38AA" w:rsidRDefault="00822A97" w:rsidP="00A130A1">
      <w:pPr>
        <w:numPr>
          <w:ilvl w:val="0"/>
          <w:numId w:val="14"/>
        </w:numPr>
        <w:tabs>
          <w:tab w:val="left" w:pos="-1890"/>
          <w:tab w:val="left" w:pos="-1440"/>
          <w:tab w:val="left" w:pos="0"/>
          <w:tab w:val="right" w:leader="dot" w:pos="9360"/>
        </w:tabs>
        <w:overflowPunct/>
        <w:autoSpaceDE/>
        <w:autoSpaceDN/>
        <w:adjustRightInd/>
        <w:ind w:left="1800"/>
        <w:textAlignment w:val="auto"/>
        <w:rPr>
          <w:szCs w:val="26"/>
        </w:rPr>
      </w:pPr>
      <w:r w:rsidRPr="009B38AA">
        <w:rPr>
          <w:szCs w:val="26"/>
        </w:rPr>
        <w:lastRenderedPageBreak/>
        <w:t>Use of Residential Protocols in Commercially Metered Spaces</w:t>
      </w:r>
      <w:r w:rsidRPr="009B38AA">
        <w:rPr>
          <w:szCs w:val="26"/>
        </w:rPr>
        <w:tab/>
      </w:r>
      <w:r w:rsidR="00D0681F">
        <w:rPr>
          <w:szCs w:val="26"/>
        </w:rPr>
        <w:t>39</w:t>
      </w:r>
    </w:p>
    <w:p w:rsidR="004A41BF" w:rsidRPr="009B38AA" w:rsidRDefault="00822A97" w:rsidP="00940A6F">
      <w:pPr>
        <w:pStyle w:val="ListParagraph"/>
        <w:numPr>
          <w:ilvl w:val="0"/>
          <w:numId w:val="17"/>
        </w:numPr>
        <w:tabs>
          <w:tab w:val="right" w:leader="dot" w:pos="9360"/>
        </w:tabs>
        <w:overflowPunct/>
        <w:autoSpaceDE/>
        <w:autoSpaceDN/>
        <w:adjustRightInd/>
        <w:spacing w:line="240" w:lineRule="auto"/>
        <w:textAlignment w:val="auto"/>
        <w:rPr>
          <w:szCs w:val="26"/>
        </w:rPr>
      </w:pPr>
      <w:r w:rsidRPr="009B38AA">
        <w:rPr>
          <w:szCs w:val="26"/>
        </w:rPr>
        <w:t xml:space="preserve">Improvements to Existing Residential EE&amp;C Measure Protocols and </w:t>
      </w:r>
    </w:p>
    <w:p w:rsidR="00822A97" w:rsidRDefault="00822A97" w:rsidP="00940A6F">
      <w:pPr>
        <w:pStyle w:val="ListParagraph"/>
        <w:tabs>
          <w:tab w:val="right" w:leader="dot" w:pos="9360"/>
        </w:tabs>
        <w:overflowPunct/>
        <w:autoSpaceDE/>
        <w:autoSpaceDN/>
        <w:adjustRightInd/>
        <w:spacing w:line="240" w:lineRule="auto"/>
        <w:ind w:left="1080"/>
        <w:textAlignment w:val="auto"/>
        <w:rPr>
          <w:szCs w:val="26"/>
        </w:rPr>
      </w:pPr>
      <w:r w:rsidRPr="009B38AA">
        <w:rPr>
          <w:szCs w:val="26"/>
        </w:rPr>
        <w:t>Processes</w:t>
      </w:r>
      <w:r w:rsidR="00A130A1" w:rsidRPr="009B38AA">
        <w:rPr>
          <w:szCs w:val="26"/>
        </w:rPr>
        <w:tab/>
      </w:r>
      <w:r w:rsidR="00D0681F">
        <w:rPr>
          <w:szCs w:val="26"/>
        </w:rPr>
        <w:t>40</w:t>
      </w:r>
    </w:p>
    <w:p w:rsidR="00940A6F" w:rsidRPr="009B38AA" w:rsidRDefault="00940A6F" w:rsidP="00940A6F">
      <w:pPr>
        <w:pStyle w:val="ListParagraph"/>
        <w:tabs>
          <w:tab w:val="right" w:leader="dot" w:pos="9360"/>
        </w:tabs>
        <w:overflowPunct/>
        <w:autoSpaceDE/>
        <w:autoSpaceDN/>
        <w:adjustRightInd/>
        <w:spacing w:line="240" w:lineRule="auto"/>
        <w:ind w:left="1080"/>
        <w:textAlignment w:val="auto"/>
        <w:rPr>
          <w:szCs w:val="26"/>
        </w:rPr>
      </w:pPr>
    </w:p>
    <w:p w:rsidR="00822A97" w:rsidRPr="009B38AA" w:rsidRDefault="00822A97" w:rsidP="00A130A1">
      <w:pPr>
        <w:pStyle w:val="ListParagraph"/>
        <w:numPr>
          <w:ilvl w:val="0"/>
          <w:numId w:val="16"/>
        </w:numPr>
        <w:tabs>
          <w:tab w:val="left" w:pos="720"/>
          <w:tab w:val="right" w:leader="dot" w:pos="9360"/>
        </w:tabs>
        <w:overflowPunct/>
        <w:autoSpaceDE/>
        <w:autoSpaceDN/>
        <w:adjustRightInd/>
        <w:ind w:left="1800"/>
        <w:textAlignment w:val="auto"/>
        <w:rPr>
          <w:szCs w:val="26"/>
        </w:rPr>
      </w:pPr>
      <w:r w:rsidRPr="009B38AA">
        <w:rPr>
          <w:szCs w:val="26"/>
        </w:rPr>
        <w:t>Clarification of Electric HVAC Protocols</w:t>
      </w:r>
      <w:r w:rsidRPr="009B38AA">
        <w:rPr>
          <w:szCs w:val="26"/>
        </w:rPr>
        <w:tab/>
      </w:r>
      <w:r w:rsidR="00D0681F">
        <w:rPr>
          <w:szCs w:val="26"/>
        </w:rPr>
        <w:t>40</w:t>
      </w:r>
    </w:p>
    <w:p w:rsidR="00822A97" w:rsidRPr="009B38AA" w:rsidRDefault="00822A97" w:rsidP="00A130A1">
      <w:pPr>
        <w:pStyle w:val="ListParagraph"/>
        <w:numPr>
          <w:ilvl w:val="0"/>
          <w:numId w:val="16"/>
        </w:numPr>
        <w:tabs>
          <w:tab w:val="left" w:pos="720"/>
          <w:tab w:val="right" w:leader="dot" w:pos="9360"/>
        </w:tabs>
        <w:overflowPunct/>
        <w:autoSpaceDE/>
        <w:autoSpaceDN/>
        <w:adjustRightInd/>
        <w:ind w:left="1800"/>
        <w:textAlignment w:val="auto"/>
        <w:rPr>
          <w:szCs w:val="26"/>
        </w:rPr>
      </w:pPr>
      <w:r w:rsidRPr="009B38AA">
        <w:rPr>
          <w:szCs w:val="26"/>
        </w:rPr>
        <w:t>Clarification of Lighting Protocols</w:t>
      </w:r>
      <w:r w:rsidRPr="009B38AA">
        <w:rPr>
          <w:szCs w:val="26"/>
        </w:rPr>
        <w:tab/>
      </w:r>
      <w:r w:rsidR="00D0681F">
        <w:rPr>
          <w:szCs w:val="26"/>
        </w:rPr>
        <w:t>41</w:t>
      </w:r>
    </w:p>
    <w:p w:rsidR="00822A97" w:rsidRPr="009B38AA" w:rsidRDefault="00822A97" w:rsidP="00A130A1">
      <w:pPr>
        <w:pStyle w:val="ListParagraph"/>
        <w:numPr>
          <w:ilvl w:val="0"/>
          <w:numId w:val="16"/>
        </w:numPr>
        <w:tabs>
          <w:tab w:val="left" w:pos="720"/>
          <w:tab w:val="right" w:leader="dot" w:pos="9360"/>
        </w:tabs>
        <w:overflowPunct/>
        <w:autoSpaceDE/>
        <w:autoSpaceDN/>
        <w:adjustRightInd/>
        <w:ind w:left="1800"/>
        <w:textAlignment w:val="auto"/>
        <w:rPr>
          <w:szCs w:val="26"/>
        </w:rPr>
      </w:pPr>
      <w:r w:rsidRPr="009B38AA">
        <w:rPr>
          <w:szCs w:val="26"/>
        </w:rPr>
        <w:t>Refrigerator and Freezer Retirement and Recycling</w:t>
      </w:r>
      <w:r w:rsidRPr="009B38AA">
        <w:rPr>
          <w:szCs w:val="26"/>
        </w:rPr>
        <w:tab/>
      </w:r>
      <w:r w:rsidR="00D0681F">
        <w:rPr>
          <w:szCs w:val="26"/>
        </w:rPr>
        <w:t>46</w:t>
      </w:r>
    </w:p>
    <w:p w:rsidR="00A130A1" w:rsidRDefault="00A130A1" w:rsidP="00940A6F">
      <w:pPr>
        <w:pStyle w:val="ListParagraph"/>
        <w:numPr>
          <w:ilvl w:val="0"/>
          <w:numId w:val="17"/>
        </w:numPr>
        <w:tabs>
          <w:tab w:val="left" w:pos="720"/>
          <w:tab w:val="right" w:leader="dot" w:pos="9360"/>
        </w:tabs>
        <w:overflowPunct/>
        <w:autoSpaceDE/>
        <w:autoSpaceDN/>
        <w:adjustRightInd/>
        <w:spacing w:line="240" w:lineRule="auto"/>
        <w:textAlignment w:val="auto"/>
        <w:rPr>
          <w:szCs w:val="26"/>
        </w:rPr>
      </w:pPr>
      <w:r w:rsidRPr="009B38AA">
        <w:rPr>
          <w:szCs w:val="26"/>
        </w:rPr>
        <w:t>Improvements to Existing Commercial &amp; Industrial EE&amp;C Measure Protocols and Processes</w:t>
      </w:r>
      <w:r w:rsidRPr="009B38AA">
        <w:rPr>
          <w:szCs w:val="26"/>
        </w:rPr>
        <w:tab/>
      </w:r>
      <w:r w:rsidR="00E2559B">
        <w:rPr>
          <w:szCs w:val="26"/>
        </w:rPr>
        <w:t>49</w:t>
      </w:r>
    </w:p>
    <w:p w:rsidR="00940A6F" w:rsidRDefault="00940A6F" w:rsidP="00940A6F">
      <w:pPr>
        <w:pStyle w:val="ListParagraph"/>
        <w:tabs>
          <w:tab w:val="left" w:pos="720"/>
          <w:tab w:val="right" w:leader="dot" w:pos="9360"/>
        </w:tabs>
        <w:overflowPunct/>
        <w:autoSpaceDE/>
        <w:autoSpaceDN/>
        <w:adjustRightInd/>
        <w:spacing w:line="240" w:lineRule="auto"/>
        <w:ind w:left="1080"/>
        <w:textAlignment w:val="auto"/>
        <w:rPr>
          <w:szCs w:val="26"/>
        </w:rPr>
      </w:pPr>
    </w:p>
    <w:p w:rsidR="00A130A1" w:rsidRPr="009B38AA" w:rsidRDefault="00A130A1" w:rsidP="00940A6F">
      <w:pPr>
        <w:pStyle w:val="ListParagraph"/>
        <w:numPr>
          <w:ilvl w:val="3"/>
          <w:numId w:val="15"/>
        </w:numPr>
        <w:tabs>
          <w:tab w:val="left" w:pos="720"/>
          <w:tab w:val="right" w:leader="dot" w:pos="9360"/>
        </w:tabs>
        <w:overflowPunct/>
        <w:autoSpaceDE/>
        <w:autoSpaceDN/>
        <w:adjustRightInd/>
        <w:spacing w:before="240"/>
        <w:ind w:left="1800"/>
        <w:textAlignment w:val="auto"/>
        <w:rPr>
          <w:szCs w:val="26"/>
        </w:rPr>
      </w:pPr>
      <w:r w:rsidRPr="009B38AA">
        <w:rPr>
          <w:szCs w:val="26"/>
        </w:rPr>
        <w:t>Clarification of Lighting Protocols</w:t>
      </w:r>
      <w:r w:rsidRPr="009B38AA">
        <w:rPr>
          <w:szCs w:val="26"/>
        </w:rPr>
        <w:tab/>
      </w:r>
      <w:r w:rsidR="00E2559B">
        <w:rPr>
          <w:szCs w:val="26"/>
        </w:rPr>
        <w:t>49</w:t>
      </w:r>
    </w:p>
    <w:p w:rsidR="00A130A1" w:rsidRPr="009B38AA" w:rsidRDefault="00A130A1" w:rsidP="00A130A1">
      <w:pPr>
        <w:pStyle w:val="ListParagraph"/>
        <w:numPr>
          <w:ilvl w:val="3"/>
          <w:numId w:val="15"/>
        </w:numPr>
        <w:tabs>
          <w:tab w:val="left" w:pos="720"/>
          <w:tab w:val="right" w:leader="dot" w:pos="9360"/>
        </w:tabs>
        <w:overflowPunct/>
        <w:autoSpaceDE/>
        <w:autoSpaceDN/>
        <w:adjustRightInd/>
        <w:ind w:left="1800"/>
        <w:textAlignment w:val="auto"/>
        <w:rPr>
          <w:szCs w:val="26"/>
        </w:rPr>
      </w:pPr>
      <w:r w:rsidRPr="009B38AA">
        <w:rPr>
          <w:szCs w:val="26"/>
        </w:rPr>
        <w:t>Clarification of Motor and Variable Frequency Drive Protocols</w:t>
      </w:r>
      <w:r w:rsidRPr="009B38AA">
        <w:rPr>
          <w:szCs w:val="26"/>
        </w:rPr>
        <w:tab/>
      </w:r>
      <w:r w:rsidR="00E2559B">
        <w:rPr>
          <w:szCs w:val="26"/>
        </w:rPr>
        <w:t>56</w:t>
      </w:r>
    </w:p>
    <w:p w:rsidR="00A130A1" w:rsidRPr="009B38AA" w:rsidRDefault="00A130A1" w:rsidP="00A130A1">
      <w:pPr>
        <w:pStyle w:val="ListParagraph"/>
        <w:numPr>
          <w:ilvl w:val="3"/>
          <w:numId w:val="15"/>
        </w:numPr>
        <w:tabs>
          <w:tab w:val="left" w:pos="720"/>
          <w:tab w:val="right" w:leader="dot" w:pos="9360"/>
        </w:tabs>
        <w:overflowPunct/>
        <w:autoSpaceDE/>
        <w:autoSpaceDN/>
        <w:adjustRightInd/>
        <w:ind w:left="1800"/>
        <w:textAlignment w:val="auto"/>
        <w:rPr>
          <w:szCs w:val="26"/>
        </w:rPr>
      </w:pPr>
      <w:r w:rsidRPr="009B38AA">
        <w:rPr>
          <w:szCs w:val="26"/>
        </w:rPr>
        <w:t>Clarification of HVAC Protocols</w:t>
      </w:r>
      <w:r w:rsidRPr="009B38AA">
        <w:rPr>
          <w:szCs w:val="26"/>
        </w:rPr>
        <w:tab/>
      </w:r>
      <w:r w:rsidR="00E2559B">
        <w:rPr>
          <w:szCs w:val="26"/>
        </w:rPr>
        <w:t>59</w:t>
      </w:r>
    </w:p>
    <w:p w:rsidR="00A130A1" w:rsidRPr="009B38AA" w:rsidRDefault="00A130A1" w:rsidP="00A130A1">
      <w:pPr>
        <w:pStyle w:val="ListParagraph"/>
        <w:numPr>
          <w:ilvl w:val="0"/>
          <w:numId w:val="17"/>
        </w:numPr>
        <w:tabs>
          <w:tab w:val="left" w:pos="720"/>
          <w:tab w:val="right" w:leader="dot" w:pos="9360"/>
        </w:tabs>
        <w:overflowPunct/>
        <w:autoSpaceDE/>
        <w:autoSpaceDN/>
        <w:adjustRightInd/>
        <w:textAlignment w:val="auto"/>
        <w:rPr>
          <w:szCs w:val="26"/>
        </w:rPr>
      </w:pPr>
      <w:r w:rsidRPr="009B38AA">
        <w:rPr>
          <w:szCs w:val="26"/>
        </w:rPr>
        <w:t>Demand Response</w:t>
      </w:r>
      <w:r w:rsidRPr="009B38AA">
        <w:rPr>
          <w:szCs w:val="26"/>
        </w:rPr>
        <w:tab/>
      </w:r>
      <w:r w:rsidR="00E2559B">
        <w:rPr>
          <w:szCs w:val="26"/>
        </w:rPr>
        <w:t>61</w:t>
      </w:r>
    </w:p>
    <w:p w:rsidR="00A130A1" w:rsidRPr="009B38AA" w:rsidRDefault="00A130A1" w:rsidP="00A130A1">
      <w:pPr>
        <w:pStyle w:val="ListParagraph"/>
        <w:numPr>
          <w:ilvl w:val="6"/>
          <w:numId w:val="15"/>
        </w:numPr>
        <w:tabs>
          <w:tab w:val="left" w:pos="720"/>
          <w:tab w:val="right" w:leader="dot" w:pos="9360"/>
        </w:tabs>
        <w:overflowPunct/>
        <w:autoSpaceDE/>
        <w:autoSpaceDN/>
        <w:adjustRightInd/>
        <w:ind w:left="1800"/>
        <w:textAlignment w:val="auto"/>
        <w:rPr>
          <w:szCs w:val="26"/>
        </w:rPr>
      </w:pPr>
      <w:r w:rsidRPr="009B38AA">
        <w:rPr>
          <w:szCs w:val="26"/>
        </w:rPr>
        <w:t>Determination of Customer Baselines (“CBLs”)</w:t>
      </w:r>
      <w:r w:rsidRPr="009B38AA">
        <w:rPr>
          <w:szCs w:val="26"/>
        </w:rPr>
        <w:tab/>
      </w:r>
      <w:r w:rsidR="00E2559B">
        <w:rPr>
          <w:szCs w:val="26"/>
        </w:rPr>
        <w:t>61</w:t>
      </w:r>
    </w:p>
    <w:p w:rsidR="00A130A1" w:rsidRPr="009B38AA" w:rsidRDefault="00A130A1" w:rsidP="00A130A1">
      <w:pPr>
        <w:pStyle w:val="ListParagraph"/>
        <w:numPr>
          <w:ilvl w:val="6"/>
          <w:numId w:val="15"/>
        </w:numPr>
        <w:tabs>
          <w:tab w:val="left" w:pos="720"/>
          <w:tab w:val="right" w:leader="dot" w:pos="9360"/>
        </w:tabs>
        <w:overflowPunct/>
        <w:autoSpaceDE/>
        <w:autoSpaceDN/>
        <w:adjustRightInd/>
        <w:ind w:left="1800"/>
        <w:textAlignment w:val="auto"/>
        <w:rPr>
          <w:szCs w:val="26"/>
        </w:rPr>
      </w:pPr>
      <w:r w:rsidRPr="009B38AA">
        <w:rPr>
          <w:szCs w:val="26"/>
        </w:rPr>
        <w:t>Determination of the 100 Hours of Highest Peak Load</w:t>
      </w:r>
      <w:r w:rsidRPr="009B38AA">
        <w:rPr>
          <w:szCs w:val="26"/>
        </w:rPr>
        <w:tab/>
      </w:r>
      <w:r w:rsidR="00E2559B">
        <w:rPr>
          <w:szCs w:val="26"/>
        </w:rPr>
        <w:t>63</w:t>
      </w:r>
    </w:p>
    <w:p w:rsidR="00A130A1" w:rsidRPr="009B38AA" w:rsidRDefault="00A130A1" w:rsidP="00A130A1">
      <w:pPr>
        <w:pStyle w:val="ListParagraph"/>
        <w:numPr>
          <w:ilvl w:val="6"/>
          <w:numId w:val="15"/>
        </w:numPr>
        <w:tabs>
          <w:tab w:val="left" w:pos="720"/>
          <w:tab w:val="right" w:leader="dot" w:pos="9360"/>
        </w:tabs>
        <w:overflowPunct/>
        <w:autoSpaceDE/>
        <w:autoSpaceDN/>
        <w:adjustRightInd/>
        <w:ind w:left="1800"/>
        <w:textAlignment w:val="auto"/>
        <w:rPr>
          <w:szCs w:val="26"/>
        </w:rPr>
      </w:pPr>
      <w:r w:rsidRPr="009B38AA">
        <w:rPr>
          <w:szCs w:val="26"/>
        </w:rPr>
        <w:t>PJM Business Rules</w:t>
      </w:r>
      <w:r w:rsidRPr="009B38AA">
        <w:rPr>
          <w:szCs w:val="26"/>
        </w:rPr>
        <w:tab/>
      </w:r>
      <w:r w:rsidR="00E2559B">
        <w:rPr>
          <w:szCs w:val="26"/>
        </w:rPr>
        <w:t>64</w:t>
      </w:r>
    </w:p>
    <w:p w:rsidR="00A130A1" w:rsidRPr="009B38AA" w:rsidRDefault="00A130A1" w:rsidP="00A130A1">
      <w:pPr>
        <w:pStyle w:val="ListParagraph"/>
        <w:numPr>
          <w:ilvl w:val="0"/>
          <w:numId w:val="17"/>
        </w:numPr>
        <w:tabs>
          <w:tab w:val="left" w:pos="720"/>
          <w:tab w:val="right" w:leader="dot" w:pos="9360"/>
        </w:tabs>
        <w:overflowPunct/>
        <w:autoSpaceDE/>
        <w:autoSpaceDN/>
        <w:adjustRightInd/>
        <w:textAlignment w:val="auto"/>
        <w:rPr>
          <w:szCs w:val="26"/>
        </w:rPr>
      </w:pPr>
      <w:r w:rsidRPr="009B38AA">
        <w:rPr>
          <w:szCs w:val="26"/>
        </w:rPr>
        <w:t>Verified Gross Adjustments</w:t>
      </w:r>
      <w:r w:rsidRPr="009B38AA">
        <w:rPr>
          <w:szCs w:val="26"/>
        </w:rPr>
        <w:tab/>
      </w:r>
      <w:r w:rsidR="00E2559B">
        <w:rPr>
          <w:szCs w:val="26"/>
        </w:rPr>
        <w:t>65</w:t>
      </w:r>
    </w:p>
    <w:p w:rsidR="00A130A1" w:rsidRPr="009B38AA" w:rsidRDefault="00A130A1" w:rsidP="00A130A1">
      <w:pPr>
        <w:pStyle w:val="ListParagraph"/>
        <w:numPr>
          <w:ilvl w:val="0"/>
          <w:numId w:val="17"/>
        </w:numPr>
        <w:tabs>
          <w:tab w:val="left" w:pos="720"/>
          <w:tab w:val="right" w:leader="dot" w:pos="9360"/>
        </w:tabs>
        <w:overflowPunct/>
        <w:autoSpaceDE/>
        <w:autoSpaceDN/>
        <w:adjustRightInd/>
        <w:textAlignment w:val="auto"/>
        <w:rPr>
          <w:szCs w:val="26"/>
        </w:rPr>
      </w:pPr>
      <w:r w:rsidRPr="009B38AA">
        <w:rPr>
          <w:szCs w:val="26"/>
        </w:rPr>
        <w:t>Transmission and Distribution System Losses</w:t>
      </w:r>
      <w:r w:rsidRPr="009B38AA">
        <w:rPr>
          <w:szCs w:val="26"/>
        </w:rPr>
        <w:tab/>
      </w:r>
      <w:r w:rsidR="00E2559B">
        <w:rPr>
          <w:szCs w:val="26"/>
        </w:rPr>
        <w:t>67</w:t>
      </w:r>
    </w:p>
    <w:p w:rsidR="00A130A1" w:rsidRPr="009B38AA" w:rsidRDefault="00A130A1" w:rsidP="00A130A1">
      <w:pPr>
        <w:pStyle w:val="ListParagraph"/>
        <w:numPr>
          <w:ilvl w:val="0"/>
          <w:numId w:val="17"/>
        </w:numPr>
        <w:tabs>
          <w:tab w:val="left" w:pos="720"/>
          <w:tab w:val="right" w:leader="dot" w:pos="9360"/>
        </w:tabs>
        <w:overflowPunct/>
        <w:autoSpaceDE/>
        <w:autoSpaceDN/>
        <w:adjustRightInd/>
        <w:textAlignment w:val="auto"/>
        <w:rPr>
          <w:szCs w:val="26"/>
        </w:rPr>
      </w:pPr>
      <w:r w:rsidRPr="009B38AA">
        <w:rPr>
          <w:szCs w:val="26"/>
        </w:rPr>
        <w:t>High Efficiency Snowmaking Equipment</w:t>
      </w:r>
      <w:r w:rsidRPr="009B38AA">
        <w:rPr>
          <w:szCs w:val="26"/>
        </w:rPr>
        <w:tab/>
      </w:r>
      <w:r w:rsidR="00E2559B">
        <w:rPr>
          <w:szCs w:val="26"/>
        </w:rPr>
        <w:t>69</w:t>
      </w:r>
    </w:p>
    <w:p w:rsidR="00512257" w:rsidRPr="009B38AA" w:rsidRDefault="00A130A1" w:rsidP="00512257">
      <w:pPr>
        <w:pStyle w:val="ListParagraph"/>
        <w:numPr>
          <w:ilvl w:val="0"/>
          <w:numId w:val="17"/>
        </w:numPr>
        <w:tabs>
          <w:tab w:val="left" w:pos="720"/>
          <w:tab w:val="right" w:leader="dot" w:pos="9360"/>
        </w:tabs>
        <w:overflowPunct/>
        <w:autoSpaceDE/>
        <w:autoSpaceDN/>
        <w:adjustRightInd/>
        <w:textAlignment w:val="auto"/>
        <w:rPr>
          <w:szCs w:val="26"/>
        </w:rPr>
      </w:pPr>
      <w:r w:rsidRPr="009B38AA">
        <w:rPr>
          <w:szCs w:val="26"/>
        </w:rPr>
        <w:t>Application of the TRM</w:t>
      </w:r>
      <w:r w:rsidRPr="009B38AA">
        <w:rPr>
          <w:szCs w:val="26"/>
        </w:rPr>
        <w:tab/>
      </w:r>
      <w:r w:rsidR="00E2559B">
        <w:rPr>
          <w:szCs w:val="26"/>
        </w:rPr>
        <w:t>70</w:t>
      </w:r>
    </w:p>
    <w:p w:rsidR="001109F6" w:rsidRDefault="00512257" w:rsidP="00512257">
      <w:pPr>
        <w:pStyle w:val="ListParagraph"/>
        <w:tabs>
          <w:tab w:val="left" w:pos="720"/>
          <w:tab w:val="right" w:leader="dot" w:pos="9360"/>
        </w:tabs>
        <w:overflowPunct/>
        <w:autoSpaceDE/>
        <w:autoSpaceDN/>
        <w:adjustRightInd/>
        <w:ind w:left="540" w:hanging="540"/>
        <w:textAlignment w:val="auto"/>
        <w:rPr>
          <w:szCs w:val="26"/>
        </w:rPr>
      </w:pPr>
      <w:r w:rsidRPr="009B38AA">
        <w:rPr>
          <w:szCs w:val="26"/>
        </w:rPr>
        <w:t xml:space="preserve">III.   </w:t>
      </w:r>
      <w:r w:rsidR="00A130A1" w:rsidRPr="009B38AA">
        <w:rPr>
          <w:szCs w:val="26"/>
        </w:rPr>
        <w:t>Conclusion</w:t>
      </w:r>
      <w:r w:rsidR="00A130A1" w:rsidRPr="009B38AA">
        <w:rPr>
          <w:szCs w:val="26"/>
        </w:rPr>
        <w:tab/>
      </w:r>
      <w:r w:rsidR="00E2559B">
        <w:rPr>
          <w:szCs w:val="26"/>
        </w:rPr>
        <w:t>74</w:t>
      </w:r>
    </w:p>
    <w:p w:rsidR="0057365E" w:rsidRPr="009B38AA" w:rsidRDefault="0057365E" w:rsidP="00512257">
      <w:pPr>
        <w:pStyle w:val="ListParagraph"/>
        <w:tabs>
          <w:tab w:val="left" w:pos="720"/>
          <w:tab w:val="right" w:leader="dot" w:pos="9360"/>
        </w:tabs>
        <w:overflowPunct/>
        <w:autoSpaceDE/>
        <w:autoSpaceDN/>
        <w:adjustRightInd/>
        <w:ind w:left="540" w:hanging="540"/>
        <w:textAlignment w:val="auto"/>
        <w:rPr>
          <w:szCs w:val="26"/>
        </w:rPr>
      </w:pPr>
    </w:p>
    <w:p w:rsidR="001109F6" w:rsidRPr="009B38AA" w:rsidRDefault="001109F6" w:rsidP="001109F6">
      <w:pPr>
        <w:jc w:val="center"/>
        <w:rPr>
          <w:b/>
          <w:szCs w:val="26"/>
        </w:rPr>
        <w:sectPr w:rsidR="001109F6" w:rsidRPr="009B38AA" w:rsidSect="001109F6">
          <w:footerReference w:type="default" r:id="rId14"/>
          <w:pgSz w:w="12240" w:h="15840"/>
          <w:pgMar w:top="1440" w:right="1440" w:bottom="1440" w:left="1440" w:header="720" w:footer="720" w:gutter="0"/>
          <w:pgNumType w:fmt="lowerRoman" w:start="1"/>
          <w:cols w:space="720"/>
          <w:docGrid w:linePitch="360"/>
        </w:sectPr>
      </w:pPr>
    </w:p>
    <w:p w:rsidR="001109F6" w:rsidRPr="009B38AA" w:rsidRDefault="001109F6" w:rsidP="001109F6">
      <w:pPr>
        <w:jc w:val="center"/>
        <w:rPr>
          <w:b/>
          <w:szCs w:val="26"/>
        </w:rPr>
      </w:pPr>
      <w:r w:rsidRPr="009B38AA">
        <w:rPr>
          <w:b/>
          <w:szCs w:val="26"/>
        </w:rPr>
        <w:lastRenderedPageBreak/>
        <w:t>2012 TRM ANNUAL UPDATE ORDER</w:t>
      </w:r>
    </w:p>
    <w:p w:rsidR="001109F6" w:rsidRPr="009B38AA" w:rsidRDefault="001109F6" w:rsidP="001109F6">
      <w:pPr>
        <w:jc w:val="center"/>
        <w:rPr>
          <w:b/>
          <w:szCs w:val="26"/>
        </w:rPr>
      </w:pPr>
    </w:p>
    <w:p w:rsidR="001109F6" w:rsidRPr="009B38AA" w:rsidRDefault="001109F6" w:rsidP="001109F6">
      <w:pPr>
        <w:pStyle w:val="p3"/>
        <w:rPr>
          <w:b/>
          <w:szCs w:val="26"/>
        </w:rPr>
      </w:pPr>
      <w:r w:rsidRPr="009B38AA">
        <w:rPr>
          <w:b/>
          <w:szCs w:val="26"/>
        </w:rPr>
        <w:t>BY THE COMMISSION:</w:t>
      </w:r>
    </w:p>
    <w:p w:rsidR="001109F6" w:rsidRPr="009B38AA" w:rsidRDefault="001109F6" w:rsidP="001109F6">
      <w:pPr>
        <w:pStyle w:val="p3"/>
        <w:rPr>
          <w:b/>
          <w:szCs w:val="26"/>
        </w:rPr>
      </w:pPr>
    </w:p>
    <w:p w:rsidR="00734685" w:rsidRPr="009B38AA" w:rsidRDefault="001109F6" w:rsidP="001109F6">
      <w:pPr>
        <w:pStyle w:val="p3"/>
        <w:tabs>
          <w:tab w:val="clear" w:pos="204"/>
        </w:tabs>
        <w:ind w:firstLine="720"/>
        <w:rPr>
          <w:szCs w:val="26"/>
        </w:rPr>
        <w:sectPr w:rsidR="00734685" w:rsidRPr="009B38AA" w:rsidSect="00734685">
          <w:footerReference w:type="default" r:id="rId15"/>
          <w:pgSz w:w="12240" w:h="15840"/>
          <w:pgMar w:top="1440" w:right="1440" w:bottom="1440" w:left="1440" w:header="720" w:footer="720" w:gutter="0"/>
          <w:pgNumType w:start="2"/>
          <w:cols w:space="720"/>
          <w:docGrid w:linePitch="360"/>
        </w:sectPr>
      </w:pPr>
      <w:r w:rsidRPr="009B38AA">
        <w:rPr>
          <w:szCs w:val="26"/>
        </w:rPr>
        <w:t>As explained in our prior Orders at this docket, in implementing the Alternative Energy Portfolio Standards Act (“AEPS Act”), as amended,</w:t>
      </w:r>
      <w:r w:rsidRPr="009B38AA">
        <w:rPr>
          <w:rStyle w:val="FootnoteReference"/>
          <w:szCs w:val="26"/>
        </w:rPr>
        <w:footnoteReference w:id="1"/>
      </w:r>
      <w:r w:rsidRPr="009B38AA">
        <w:rPr>
          <w:szCs w:val="26"/>
        </w:rPr>
        <w:t xml:space="preserve"> this Commission had adopted an </w:t>
      </w:r>
      <w:r w:rsidRPr="009B38AA">
        <w:rPr>
          <w:i/>
          <w:szCs w:val="26"/>
        </w:rPr>
        <w:t>Energy</w:t>
      </w:r>
      <w:r w:rsidRPr="009B38AA">
        <w:rPr>
          <w:i/>
          <w:szCs w:val="26"/>
        </w:rPr>
        <w:noBreakHyphen/>
        <w:t xml:space="preserve">Efficiency and DSM Rules for Pennsylvania’s Alternative Energy Portfolio Standard, Technical Reference Manual </w:t>
      </w:r>
      <w:r w:rsidRPr="009B38AA">
        <w:rPr>
          <w:szCs w:val="26"/>
        </w:rPr>
        <w:t>(“TRM”).</w:t>
      </w:r>
      <w:r w:rsidRPr="009B38AA">
        <w:rPr>
          <w:rStyle w:val="FootnoteReference"/>
          <w:szCs w:val="26"/>
        </w:rPr>
        <w:footnoteReference w:id="2"/>
      </w:r>
      <w:r w:rsidRPr="009B38AA">
        <w:rPr>
          <w:szCs w:val="26"/>
        </w:rPr>
        <w:t xml:space="preserve">  In adopting the original version of the TRM, this Commission directed the Bureau of Conservation, Economics and Energy Planning (“CEEP”)</w:t>
      </w:r>
      <w:r w:rsidRPr="009B38AA">
        <w:rPr>
          <w:rStyle w:val="FootnoteReference"/>
          <w:szCs w:val="26"/>
        </w:rPr>
        <w:footnoteReference w:id="3"/>
      </w:r>
      <w:r w:rsidRPr="009B38AA">
        <w:rPr>
          <w:szCs w:val="26"/>
        </w:rPr>
        <w:t xml:space="preserve"> to oversee the implementation, maintenance and periodic updating of the TRM.</w:t>
      </w:r>
      <w:r w:rsidRPr="009B38AA">
        <w:rPr>
          <w:rStyle w:val="FootnoteReference"/>
          <w:szCs w:val="26"/>
        </w:rPr>
        <w:footnoteReference w:id="4"/>
      </w:r>
      <w:r w:rsidRPr="009B38AA">
        <w:rPr>
          <w:szCs w:val="26"/>
        </w:rPr>
        <w:t xml:space="preserve">  Additionally, in the Act 129 </w:t>
      </w:r>
      <w:r w:rsidRPr="009B38AA">
        <w:rPr>
          <w:i/>
          <w:szCs w:val="26"/>
        </w:rPr>
        <w:t>Energy Efficiency and Conservation Program Implementation Order</w:t>
      </w:r>
      <w:r w:rsidRPr="009B38AA">
        <w:rPr>
          <w:szCs w:val="26"/>
        </w:rPr>
        <w:t>,</w:t>
      </w:r>
      <w:r w:rsidRPr="009B38AA">
        <w:rPr>
          <w:rStyle w:val="FootnoteReference"/>
          <w:szCs w:val="26"/>
        </w:rPr>
        <w:footnoteReference w:id="5"/>
      </w:r>
      <w:r w:rsidRPr="009B38AA">
        <w:rPr>
          <w:szCs w:val="26"/>
        </w:rPr>
        <w:t xml:space="preserve"> this Commission adopted the TRM as a component of the Energy Efficiency and Conservation (“EE&amp;C”) Program evaluation process.  In that </w:t>
      </w:r>
      <w:r w:rsidRPr="009B38AA">
        <w:rPr>
          <w:i/>
          <w:szCs w:val="26"/>
        </w:rPr>
        <w:t>Implementation Order</w:t>
      </w:r>
      <w:r w:rsidRPr="009B38AA">
        <w:rPr>
          <w:szCs w:val="26"/>
        </w:rPr>
        <w:t>, this Commission also noted that “as the TRM was initially created to fulfill requirements of the AEPS Act, it will need to be updated and expanded to fulfill the requirements of the EE&amp;C provisions of Act 129.”</w:t>
      </w:r>
      <w:r w:rsidRPr="009B38AA">
        <w:rPr>
          <w:rStyle w:val="FootnoteReference"/>
          <w:szCs w:val="26"/>
        </w:rPr>
        <w:footnoteReference w:id="6"/>
      </w:r>
      <w:r w:rsidRPr="009B38AA">
        <w:rPr>
          <w:szCs w:val="26"/>
        </w:rPr>
        <w:t xml:space="preserve">  Soon after the adoption of the EE&amp;C Program </w:t>
      </w:r>
      <w:r w:rsidRPr="009B38AA">
        <w:rPr>
          <w:i/>
          <w:szCs w:val="26"/>
        </w:rPr>
        <w:t>Implementation Order</w:t>
      </w:r>
      <w:r w:rsidRPr="009B38AA">
        <w:rPr>
          <w:szCs w:val="26"/>
        </w:rPr>
        <w:t xml:space="preserve">, Commission staff initiated a collaborative process to review and update the TRM with the purpose of supporting both the AEPS Act and the Act 129 EE&amp;C program that culminated in the </w:t>
      </w:r>
    </w:p>
    <w:p w:rsidR="001109F6" w:rsidRPr="009B38AA" w:rsidRDefault="001109F6" w:rsidP="00734685">
      <w:pPr>
        <w:pStyle w:val="p3"/>
        <w:tabs>
          <w:tab w:val="clear" w:pos="204"/>
        </w:tabs>
        <w:rPr>
          <w:szCs w:val="26"/>
        </w:rPr>
      </w:pPr>
      <w:proofErr w:type="gramStart"/>
      <w:r w:rsidRPr="009B38AA">
        <w:rPr>
          <w:szCs w:val="26"/>
        </w:rPr>
        <w:lastRenderedPageBreak/>
        <w:t>adoption</w:t>
      </w:r>
      <w:proofErr w:type="gramEnd"/>
      <w:r w:rsidRPr="009B38AA">
        <w:rPr>
          <w:szCs w:val="26"/>
        </w:rPr>
        <w:t xml:space="preserve"> of the 2009 version of the TRM at the May 28, 2009 Public Meeting.</w:t>
      </w:r>
      <w:r w:rsidRPr="009B38AA">
        <w:rPr>
          <w:rStyle w:val="FootnoteReference"/>
          <w:szCs w:val="26"/>
        </w:rPr>
        <w:footnoteReference w:id="7"/>
      </w:r>
      <w:r w:rsidRPr="009B38AA">
        <w:rPr>
          <w:szCs w:val="26"/>
        </w:rPr>
        <w:t xml:space="preserve">  In adopting the 2009 version of the TRM, the Commission recognized the importance of updating the TRM on an annual basis.</w:t>
      </w:r>
      <w:r w:rsidRPr="009B38AA">
        <w:rPr>
          <w:rStyle w:val="FootnoteReference"/>
          <w:szCs w:val="26"/>
        </w:rPr>
        <w:footnoteReference w:id="8"/>
      </w:r>
      <w:r w:rsidRPr="009B38AA">
        <w:rPr>
          <w:szCs w:val="26"/>
        </w:rPr>
        <w:t xml:space="preserve">  With this Order, the Commission completes the fourth annual update of the TRM for 2012, to be applied beginning with the 2012</w:t>
      </w:r>
      <w:r w:rsidRPr="009B38AA">
        <w:rPr>
          <w:szCs w:val="26"/>
        </w:rPr>
        <w:noBreakHyphen/>
        <w:t>2013 AEPS Act and Act 129 EE&amp;C programs compliance year from June 1, 2012 to May 30, 2013.</w:t>
      </w:r>
    </w:p>
    <w:p w:rsidR="00822A97" w:rsidRPr="009B38AA" w:rsidRDefault="00822A97" w:rsidP="00512257">
      <w:pPr>
        <w:tabs>
          <w:tab w:val="right" w:leader="dot" w:pos="9360"/>
        </w:tabs>
        <w:overflowPunct/>
        <w:autoSpaceDE/>
        <w:autoSpaceDN/>
        <w:adjustRightInd/>
        <w:ind w:left="360"/>
        <w:textAlignment w:val="auto"/>
        <w:rPr>
          <w:szCs w:val="26"/>
        </w:rPr>
      </w:pPr>
    </w:p>
    <w:p w:rsidR="006B5753" w:rsidRPr="009B38AA" w:rsidRDefault="006B5753" w:rsidP="006B5753">
      <w:pPr>
        <w:pStyle w:val="p3"/>
        <w:tabs>
          <w:tab w:val="clear" w:pos="204"/>
        </w:tabs>
        <w:jc w:val="center"/>
        <w:rPr>
          <w:b/>
          <w:szCs w:val="26"/>
        </w:rPr>
      </w:pPr>
      <w:r w:rsidRPr="009B38AA">
        <w:rPr>
          <w:b/>
          <w:szCs w:val="26"/>
        </w:rPr>
        <w:t>BACKGROUND</w:t>
      </w:r>
    </w:p>
    <w:p w:rsidR="006B5753" w:rsidRPr="009B38AA" w:rsidRDefault="006B5753" w:rsidP="006B5753">
      <w:pPr>
        <w:pStyle w:val="p3"/>
        <w:tabs>
          <w:tab w:val="clear" w:pos="204"/>
        </w:tabs>
        <w:rPr>
          <w:b/>
          <w:szCs w:val="26"/>
        </w:rPr>
      </w:pPr>
    </w:p>
    <w:p w:rsidR="006B5753" w:rsidRPr="009B38AA" w:rsidRDefault="006B5753" w:rsidP="006B5753">
      <w:pPr>
        <w:pStyle w:val="p3"/>
        <w:tabs>
          <w:tab w:val="clear" w:pos="204"/>
        </w:tabs>
        <w:ind w:firstLine="720"/>
        <w:rPr>
          <w:szCs w:val="26"/>
        </w:rPr>
      </w:pPr>
      <w:r w:rsidRPr="009B38AA">
        <w:rPr>
          <w:szCs w:val="26"/>
        </w:rPr>
        <w:t xml:space="preserve">Act 129 of 2008, P.L. 1592, specifically directed this Commission to establish an evaluation process that monitors and verifies data collection, quality assurance and the results of each </w:t>
      </w:r>
      <w:r w:rsidR="00524C27" w:rsidRPr="009B38AA">
        <w:rPr>
          <w:szCs w:val="26"/>
        </w:rPr>
        <w:t>electric distribution company’s (“EDC”)</w:t>
      </w:r>
      <w:r w:rsidRPr="009B38AA">
        <w:rPr>
          <w:szCs w:val="26"/>
        </w:rPr>
        <w:t xml:space="preserve"> EE&amp;C plan and the EE&amp;C program as a whole.</w:t>
      </w:r>
      <w:r w:rsidR="003A687D" w:rsidRPr="009B38AA">
        <w:rPr>
          <w:rStyle w:val="FootnoteReference"/>
          <w:szCs w:val="26"/>
        </w:rPr>
        <w:footnoteReference w:id="9"/>
      </w:r>
      <w:r w:rsidRPr="009B38AA">
        <w:rPr>
          <w:szCs w:val="26"/>
        </w:rPr>
        <w:t xml:space="preserve">  To assist in meeting this obligation, the Commission contracted with GDS </w:t>
      </w:r>
      <w:r w:rsidR="00164D56" w:rsidRPr="009B38AA">
        <w:rPr>
          <w:szCs w:val="26"/>
        </w:rPr>
        <w:t>Associates, Inc. in August 2009</w:t>
      </w:r>
      <w:r w:rsidRPr="009B38AA">
        <w:rPr>
          <w:szCs w:val="26"/>
        </w:rPr>
        <w:t xml:space="preserve"> to perform these duties as the Act 129 Statewide Evaluator (“SWE”).  As part of its duties</w:t>
      </w:r>
      <w:r w:rsidR="0096221B" w:rsidRPr="009B38AA">
        <w:rPr>
          <w:szCs w:val="26"/>
        </w:rPr>
        <w:t>,</w:t>
      </w:r>
      <w:r w:rsidRPr="009B38AA">
        <w:rPr>
          <w:szCs w:val="26"/>
        </w:rPr>
        <w:t xml:space="preserve"> the SWE is to review the TRM and the Total Resource Cost</w:t>
      </w:r>
      <w:r w:rsidR="0096221B" w:rsidRPr="009B38AA">
        <w:rPr>
          <w:szCs w:val="26"/>
        </w:rPr>
        <w:t xml:space="preserve"> </w:t>
      </w:r>
      <w:r w:rsidRPr="009B38AA">
        <w:rPr>
          <w:szCs w:val="26"/>
        </w:rPr>
        <w:t xml:space="preserve">Test Manual </w:t>
      </w:r>
      <w:r w:rsidR="00E60566" w:rsidRPr="009B38AA">
        <w:rPr>
          <w:szCs w:val="26"/>
        </w:rPr>
        <w:t xml:space="preserve">(“TRC”) </w:t>
      </w:r>
      <w:r w:rsidRPr="009B38AA">
        <w:rPr>
          <w:szCs w:val="26"/>
        </w:rPr>
        <w:t>and to provide suggestions for possible revisions and additions to these manuals.  A Technical Working Group (“TWG”)</w:t>
      </w:r>
      <w:r w:rsidRPr="009B38AA">
        <w:rPr>
          <w:rStyle w:val="FootnoteReference"/>
          <w:szCs w:val="26"/>
        </w:rPr>
        <w:footnoteReference w:id="10"/>
      </w:r>
      <w:r w:rsidRPr="009B38AA">
        <w:rPr>
          <w:szCs w:val="26"/>
        </w:rPr>
        <w:t xml:space="preserve"> was formed to provide guidance to the SWE in clarifying savings measurement protocols and plans by recommending improvements to the existing TRM and other aspects of the EE&amp;C program</w:t>
      </w:r>
      <w:r w:rsidR="006F7A28" w:rsidRPr="009B38AA">
        <w:rPr>
          <w:szCs w:val="26"/>
        </w:rPr>
        <w:t>s</w:t>
      </w:r>
      <w:r w:rsidRPr="009B38AA">
        <w:rPr>
          <w:szCs w:val="26"/>
        </w:rPr>
        <w:t xml:space="preserve">.  </w:t>
      </w:r>
    </w:p>
    <w:p w:rsidR="006B5753" w:rsidRPr="009B38AA" w:rsidRDefault="006B5753" w:rsidP="006B5753">
      <w:pPr>
        <w:pStyle w:val="p3"/>
        <w:tabs>
          <w:tab w:val="clear" w:pos="204"/>
        </w:tabs>
        <w:ind w:firstLine="720"/>
        <w:rPr>
          <w:szCs w:val="26"/>
        </w:rPr>
      </w:pPr>
    </w:p>
    <w:p w:rsidR="006B5753" w:rsidRPr="009B38AA" w:rsidRDefault="006B5753" w:rsidP="006B5753">
      <w:pPr>
        <w:pStyle w:val="p3"/>
        <w:tabs>
          <w:tab w:val="clear" w:pos="204"/>
        </w:tabs>
        <w:ind w:firstLine="720"/>
        <w:rPr>
          <w:szCs w:val="26"/>
        </w:rPr>
      </w:pPr>
      <w:r w:rsidRPr="009B38AA">
        <w:rPr>
          <w:szCs w:val="26"/>
        </w:rPr>
        <w:t xml:space="preserve">The SWE, in </w:t>
      </w:r>
      <w:r w:rsidR="00BF66F0" w:rsidRPr="009B38AA">
        <w:rPr>
          <w:szCs w:val="26"/>
        </w:rPr>
        <w:t>collaboration</w:t>
      </w:r>
      <w:r w:rsidRPr="009B38AA">
        <w:rPr>
          <w:szCs w:val="26"/>
        </w:rPr>
        <w:t xml:space="preserve"> with </w:t>
      </w:r>
      <w:r w:rsidR="00CC52AD" w:rsidRPr="009B38AA">
        <w:rPr>
          <w:szCs w:val="26"/>
        </w:rPr>
        <w:t>the</w:t>
      </w:r>
      <w:r w:rsidRPr="009B38AA">
        <w:rPr>
          <w:szCs w:val="26"/>
        </w:rPr>
        <w:t xml:space="preserve"> TWG</w:t>
      </w:r>
      <w:r w:rsidR="00BF66F0" w:rsidRPr="009B38AA">
        <w:rPr>
          <w:szCs w:val="26"/>
        </w:rPr>
        <w:t xml:space="preserve"> and Commission staff</w:t>
      </w:r>
      <w:r w:rsidRPr="009B38AA">
        <w:rPr>
          <w:szCs w:val="26"/>
        </w:rPr>
        <w:t>, reviewed the 20</w:t>
      </w:r>
      <w:r w:rsidR="00BF66F0" w:rsidRPr="009B38AA">
        <w:rPr>
          <w:szCs w:val="26"/>
        </w:rPr>
        <w:t>1</w:t>
      </w:r>
      <w:r w:rsidR="007A45AF" w:rsidRPr="009B38AA">
        <w:rPr>
          <w:szCs w:val="26"/>
        </w:rPr>
        <w:t>1</w:t>
      </w:r>
      <w:r w:rsidRPr="009B38AA">
        <w:rPr>
          <w:szCs w:val="26"/>
        </w:rPr>
        <w:t xml:space="preserve"> version of the TRM and proposed several changes and additions that were released </w:t>
      </w:r>
      <w:r w:rsidRPr="009B38AA">
        <w:rPr>
          <w:szCs w:val="26"/>
        </w:rPr>
        <w:lastRenderedPageBreak/>
        <w:t>for comment with th</w:t>
      </w:r>
      <w:r w:rsidR="00E60566" w:rsidRPr="009B38AA">
        <w:rPr>
          <w:szCs w:val="26"/>
        </w:rPr>
        <w:t>e</w:t>
      </w:r>
      <w:r w:rsidRPr="009B38AA">
        <w:rPr>
          <w:szCs w:val="26"/>
        </w:rPr>
        <w:t xml:space="preserve"> Commission’s adoption of a Tentative Order </w:t>
      </w:r>
      <w:r w:rsidR="00E60566" w:rsidRPr="009B38AA">
        <w:rPr>
          <w:szCs w:val="26"/>
        </w:rPr>
        <w:t>on</w:t>
      </w:r>
      <w:r w:rsidRPr="009B38AA">
        <w:rPr>
          <w:szCs w:val="26"/>
        </w:rPr>
        <w:t xml:space="preserve"> </w:t>
      </w:r>
      <w:r w:rsidR="007A45AF" w:rsidRPr="009B38AA">
        <w:rPr>
          <w:szCs w:val="26"/>
        </w:rPr>
        <w:t>September 22, 2011</w:t>
      </w:r>
      <w:r w:rsidRPr="009B38AA">
        <w:rPr>
          <w:szCs w:val="26"/>
        </w:rPr>
        <w:t>.</w:t>
      </w:r>
      <w:r w:rsidRPr="009B38AA">
        <w:rPr>
          <w:rStyle w:val="FootnoteReference"/>
          <w:szCs w:val="26"/>
        </w:rPr>
        <w:footnoteReference w:id="11"/>
      </w:r>
      <w:r w:rsidRPr="009B38AA">
        <w:rPr>
          <w:szCs w:val="26"/>
        </w:rPr>
        <w:t xml:space="preserve">  </w:t>
      </w:r>
      <w:r w:rsidR="00121023" w:rsidRPr="009B38AA">
        <w:rPr>
          <w:szCs w:val="26"/>
        </w:rPr>
        <w:t>A Notice of the Tentative Order and proposed 2012 TRM update was published in t</w:t>
      </w:r>
      <w:r w:rsidRPr="009B38AA">
        <w:rPr>
          <w:szCs w:val="26"/>
        </w:rPr>
        <w:t xml:space="preserve">he </w:t>
      </w:r>
      <w:r w:rsidRPr="009B38AA">
        <w:rPr>
          <w:i/>
          <w:szCs w:val="26"/>
        </w:rPr>
        <w:t>Pennsylvania Bulletin</w:t>
      </w:r>
      <w:r w:rsidRPr="009B38AA">
        <w:rPr>
          <w:szCs w:val="26"/>
        </w:rPr>
        <w:t xml:space="preserve"> on </w:t>
      </w:r>
      <w:r w:rsidR="007A45AF" w:rsidRPr="009B38AA">
        <w:rPr>
          <w:szCs w:val="26"/>
        </w:rPr>
        <w:t>October 8, 2011</w:t>
      </w:r>
      <w:r w:rsidR="009F34FE" w:rsidRPr="009B38AA">
        <w:rPr>
          <w:szCs w:val="26"/>
        </w:rPr>
        <w:t>.</w:t>
      </w:r>
      <w:r w:rsidR="006F7A28" w:rsidRPr="009B38AA">
        <w:rPr>
          <w:rStyle w:val="FootnoteReference"/>
          <w:szCs w:val="26"/>
        </w:rPr>
        <w:footnoteReference w:id="12"/>
      </w:r>
      <w:r w:rsidR="009F34FE" w:rsidRPr="009B38AA">
        <w:rPr>
          <w:szCs w:val="26"/>
        </w:rPr>
        <w:t xml:space="preserve">  Comments were due on </w:t>
      </w:r>
      <w:r w:rsidR="007A45AF" w:rsidRPr="009B38AA">
        <w:rPr>
          <w:szCs w:val="26"/>
        </w:rPr>
        <w:t>October 28, 2011</w:t>
      </w:r>
      <w:r w:rsidR="009F34FE" w:rsidRPr="009B38AA">
        <w:rPr>
          <w:szCs w:val="26"/>
        </w:rPr>
        <w:t xml:space="preserve">, with reply comments due </w:t>
      </w:r>
      <w:r w:rsidR="007A45AF" w:rsidRPr="009B38AA">
        <w:rPr>
          <w:szCs w:val="26"/>
        </w:rPr>
        <w:t>November 7, 2011</w:t>
      </w:r>
      <w:r w:rsidR="009F34FE" w:rsidRPr="009B38AA">
        <w:rPr>
          <w:szCs w:val="26"/>
        </w:rPr>
        <w:t>.</w:t>
      </w:r>
    </w:p>
    <w:p w:rsidR="006B5753" w:rsidRPr="009B38AA" w:rsidRDefault="006B5753" w:rsidP="006B5753">
      <w:pPr>
        <w:pStyle w:val="p3"/>
        <w:tabs>
          <w:tab w:val="clear" w:pos="204"/>
        </w:tabs>
        <w:ind w:firstLine="720"/>
        <w:rPr>
          <w:szCs w:val="26"/>
        </w:rPr>
      </w:pPr>
    </w:p>
    <w:p w:rsidR="006B5753" w:rsidRPr="009B38AA" w:rsidRDefault="009F34FE" w:rsidP="006B5753">
      <w:pPr>
        <w:pStyle w:val="p3"/>
        <w:tabs>
          <w:tab w:val="clear" w:pos="204"/>
        </w:tabs>
        <w:ind w:firstLine="720"/>
        <w:rPr>
          <w:szCs w:val="26"/>
        </w:rPr>
      </w:pPr>
      <w:r w:rsidRPr="009B38AA">
        <w:rPr>
          <w:szCs w:val="26"/>
        </w:rPr>
        <w:t xml:space="preserve">The following parties filed comments to the proposed </w:t>
      </w:r>
      <w:r w:rsidR="00121023" w:rsidRPr="009B38AA">
        <w:rPr>
          <w:szCs w:val="26"/>
        </w:rPr>
        <w:t xml:space="preserve">2012 </w:t>
      </w:r>
      <w:r w:rsidRPr="009B38AA">
        <w:rPr>
          <w:szCs w:val="26"/>
        </w:rPr>
        <w:t>TRM update:  The Energy As</w:t>
      </w:r>
      <w:r w:rsidR="004C1D40" w:rsidRPr="009B38AA">
        <w:rPr>
          <w:szCs w:val="26"/>
        </w:rPr>
        <w:t>sociation of Pennsylvania (“EAP</w:t>
      </w:r>
      <w:r w:rsidRPr="009B38AA">
        <w:rPr>
          <w:szCs w:val="26"/>
        </w:rPr>
        <w:t>”);</w:t>
      </w:r>
      <w:r w:rsidR="007A45AF" w:rsidRPr="009B38AA">
        <w:rPr>
          <w:szCs w:val="26"/>
        </w:rPr>
        <w:t xml:space="preserve"> </w:t>
      </w:r>
      <w:proofErr w:type="spellStart"/>
      <w:r w:rsidR="007A45AF" w:rsidRPr="009B38AA">
        <w:rPr>
          <w:szCs w:val="26"/>
        </w:rPr>
        <w:t>EnerNOC</w:t>
      </w:r>
      <w:proofErr w:type="spellEnd"/>
      <w:r w:rsidR="007A45AF" w:rsidRPr="009B38AA">
        <w:rPr>
          <w:szCs w:val="26"/>
        </w:rPr>
        <w:t>, Inc. (“</w:t>
      </w:r>
      <w:proofErr w:type="spellStart"/>
      <w:r w:rsidR="007A45AF" w:rsidRPr="009B38AA">
        <w:rPr>
          <w:szCs w:val="26"/>
        </w:rPr>
        <w:t>EnerNOC</w:t>
      </w:r>
      <w:proofErr w:type="spellEnd"/>
      <w:r w:rsidR="007A45AF" w:rsidRPr="009B38AA">
        <w:rPr>
          <w:szCs w:val="26"/>
        </w:rPr>
        <w:t>”);</w:t>
      </w:r>
      <w:r w:rsidRPr="009B38AA">
        <w:rPr>
          <w:szCs w:val="26"/>
        </w:rPr>
        <w:t xml:space="preserve"> Metropolitan Edison Co., Pennsylvania Electric Co., Pennsylvania Power Co.</w:t>
      </w:r>
      <w:r w:rsidR="007A45AF" w:rsidRPr="009B38AA">
        <w:rPr>
          <w:szCs w:val="26"/>
        </w:rPr>
        <w:t xml:space="preserve">, and West Penn Power Co. </w:t>
      </w:r>
      <w:r w:rsidRPr="009B38AA">
        <w:rPr>
          <w:szCs w:val="26"/>
        </w:rPr>
        <w:t>(collectively “FirstEnergy”); PECO Energy Co. (“PECO”);</w:t>
      </w:r>
      <w:r w:rsidR="007A45AF" w:rsidRPr="009B38AA">
        <w:rPr>
          <w:szCs w:val="26"/>
        </w:rPr>
        <w:t xml:space="preserve"> Pennsylvania Ski Area Assoc. (“PSAA”);</w:t>
      </w:r>
      <w:r w:rsidRPr="009B38AA">
        <w:rPr>
          <w:szCs w:val="26"/>
        </w:rPr>
        <w:t xml:space="preserve"> PPL Electric Utilities Corp. (“PPL”); and</w:t>
      </w:r>
      <w:r w:rsidR="007A45AF" w:rsidRPr="009B38AA">
        <w:rPr>
          <w:szCs w:val="26"/>
        </w:rPr>
        <w:t xml:space="preserve"> </w:t>
      </w:r>
      <w:r w:rsidRPr="009B38AA">
        <w:rPr>
          <w:szCs w:val="26"/>
        </w:rPr>
        <w:t xml:space="preserve"> </w:t>
      </w:r>
      <w:r w:rsidR="007A45AF" w:rsidRPr="009B38AA">
        <w:rPr>
          <w:szCs w:val="26"/>
        </w:rPr>
        <w:t>UGI Utilities, Inc. – Gas Division, UGI Penn Natural Gas, Inc., and UGI Central Penn Gas, Inc. (collectively, “UGI”).</w:t>
      </w:r>
      <w:r w:rsidRPr="009B38AA">
        <w:rPr>
          <w:szCs w:val="26"/>
        </w:rPr>
        <w:t xml:space="preserve">  The following parties filed reply comments</w:t>
      </w:r>
      <w:r w:rsidR="003C4575" w:rsidRPr="009B38AA">
        <w:rPr>
          <w:szCs w:val="26"/>
        </w:rPr>
        <w:t xml:space="preserve">: </w:t>
      </w:r>
      <w:r w:rsidRPr="009B38AA">
        <w:rPr>
          <w:szCs w:val="26"/>
        </w:rPr>
        <w:t>Citizen</w:t>
      </w:r>
      <w:r w:rsidR="003C4575" w:rsidRPr="009B38AA">
        <w:rPr>
          <w:szCs w:val="26"/>
        </w:rPr>
        <w:t xml:space="preserve"> Power</w:t>
      </w:r>
      <w:r w:rsidRPr="009B38AA">
        <w:rPr>
          <w:szCs w:val="26"/>
        </w:rPr>
        <w:t xml:space="preserve"> and PECO.</w:t>
      </w:r>
    </w:p>
    <w:p w:rsidR="006B5753" w:rsidRPr="009B38AA" w:rsidRDefault="006B5753" w:rsidP="006B5753">
      <w:pPr>
        <w:pStyle w:val="p3"/>
        <w:tabs>
          <w:tab w:val="clear" w:pos="204"/>
        </w:tabs>
        <w:ind w:firstLine="720"/>
        <w:rPr>
          <w:b/>
          <w:szCs w:val="26"/>
        </w:rPr>
      </w:pPr>
    </w:p>
    <w:p w:rsidR="006B5753" w:rsidRPr="009B38AA" w:rsidRDefault="009F34FE" w:rsidP="006B5753">
      <w:pPr>
        <w:pStyle w:val="p3"/>
        <w:tabs>
          <w:tab w:val="clear" w:pos="204"/>
        </w:tabs>
        <w:jc w:val="center"/>
        <w:rPr>
          <w:b/>
          <w:szCs w:val="26"/>
        </w:rPr>
      </w:pPr>
      <w:r w:rsidRPr="009B38AA">
        <w:rPr>
          <w:b/>
          <w:szCs w:val="26"/>
        </w:rPr>
        <w:t>DISCUSSION</w:t>
      </w:r>
    </w:p>
    <w:p w:rsidR="006B5753" w:rsidRPr="009B38AA" w:rsidRDefault="006B5753" w:rsidP="006B5753">
      <w:pPr>
        <w:pStyle w:val="p3"/>
        <w:tabs>
          <w:tab w:val="clear" w:pos="204"/>
        </w:tabs>
        <w:jc w:val="center"/>
        <w:rPr>
          <w:szCs w:val="26"/>
        </w:rPr>
      </w:pPr>
    </w:p>
    <w:p w:rsidR="00212CBC" w:rsidRPr="009B38AA" w:rsidRDefault="009F34FE" w:rsidP="00212CBC">
      <w:pPr>
        <w:pStyle w:val="p3"/>
        <w:tabs>
          <w:tab w:val="clear" w:pos="204"/>
          <w:tab w:val="left" w:pos="720"/>
        </w:tabs>
        <w:ind w:firstLine="720"/>
        <w:rPr>
          <w:szCs w:val="26"/>
        </w:rPr>
      </w:pPr>
      <w:r w:rsidRPr="009B38AA">
        <w:rPr>
          <w:szCs w:val="26"/>
        </w:rPr>
        <w:t xml:space="preserve">The </w:t>
      </w:r>
      <w:r w:rsidR="00742D2E" w:rsidRPr="009B38AA">
        <w:rPr>
          <w:szCs w:val="26"/>
        </w:rPr>
        <w:t xml:space="preserve">changes and </w:t>
      </w:r>
      <w:r w:rsidRPr="009B38AA">
        <w:rPr>
          <w:szCs w:val="26"/>
        </w:rPr>
        <w:t>improvements to the TRM are based on more recent research</w:t>
      </w:r>
      <w:r w:rsidR="00742D2E" w:rsidRPr="009B38AA">
        <w:rPr>
          <w:szCs w:val="26"/>
        </w:rPr>
        <w:t xml:space="preserve"> and data</w:t>
      </w:r>
      <w:r w:rsidRPr="009B38AA">
        <w:rPr>
          <w:szCs w:val="26"/>
        </w:rPr>
        <w:t xml:space="preserve">, as well as the needs and experiences of the EDCs.  The EDCs provided, through the SWE evaluation and verification process, much of the data that forms the basis of the </w:t>
      </w:r>
      <w:r w:rsidR="00742D2E" w:rsidRPr="009B38AA">
        <w:rPr>
          <w:szCs w:val="26"/>
        </w:rPr>
        <w:t>changes and</w:t>
      </w:r>
      <w:r w:rsidRPr="009B38AA">
        <w:rPr>
          <w:szCs w:val="26"/>
        </w:rPr>
        <w:t xml:space="preserve"> improvements</w:t>
      </w:r>
      <w:r w:rsidR="009A64F0" w:rsidRPr="009B38AA">
        <w:rPr>
          <w:szCs w:val="26"/>
        </w:rPr>
        <w:t xml:space="preserve"> being adopted in the 201</w:t>
      </w:r>
      <w:r w:rsidR="00B7464A" w:rsidRPr="009B38AA">
        <w:rPr>
          <w:szCs w:val="26"/>
        </w:rPr>
        <w:t>2</w:t>
      </w:r>
      <w:r w:rsidR="009A64F0" w:rsidRPr="009B38AA">
        <w:rPr>
          <w:szCs w:val="26"/>
        </w:rPr>
        <w:t xml:space="preserve"> version of the TRM</w:t>
      </w:r>
      <w:r w:rsidRPr="009B38AA">
        <w:rPr>
          <w:szCs w:val="26"/>
        </w:rPr>
        <w:t xml:space="preserve">.  Specifically, the current </w:t>
      </w:r>
      <w:r w:rsidR="009A64F0" w:rsidRPr="009B38AA">
        <w:rPr>
          <w:szCs w:val="26"/>
        </w:rPr>
        <w:t>changes</w:t>
      </w:r>
      <w:r w:rsidRPr="009B38AA">
        <w:rPr>
          <w:szCs w:val="26"/>
        </w:rPr>
        <w:t xml:space="preserve"> were the result of SWE site inspections, Conservation Service Provider (“CSP”) comments, independent e</w:t>
      </w:r>
      <w:r w:rsidR="005D58F3" w:rsidRPr="009B38AA">
        <w:rPr>
          <w:szCs w:val="26"/>
        </w:rPr>
        <w:t>valuations</w:t>
      </w:r>
      <w:r w:rsidRPr="009B38AA">
        <w:rPr>
          <w:szCs w:val="26"/>
        </w:rPr>
        <w:t xml:space="preserve"> and EDC proposals for new EE&amp;C measures.  The </w:t>
      </w:r>
      <w:r w:rsidR="009A64F0" w:rsidRPr="009B38AA">
        <w:rPr>
          <w:szCs w:val="26"/>
        </w:rPr>
        <w:t>adopted changes</w:t>
      </w:r>
      <w:r w:rsidRPr="009B38AA">
        <w:rPr>
          <w:szCs w:val="26"/>
        </w:rPr>
        <w:t xml:space="preserve"> focus on protocols for additional residential, and </w:t>
      </w:r>
      <w:r w:rsidR="009A64F0" w:rsidRPr="009B38AA">
        <w:rPr>
          <w:szCs w:val="26"/>
        </w:rPr>
        <w:t>c</w:t>
      </w:r>
      <w:r w:rsidRPr="009B38AA">
        <w:rPr>
          <w:szCs w:val="26"/>
        </w:rPr>
        <w:t xml:space="preserve">ommercial and </w:t>
      </w:r>
      <w:r w:rsidR="009A64F0" w:rsidRPr="009B38AA">
        <w:rPr>
          <w:szCs w:val="26"/>
        </w:rPr>
        <w:t>i</w:t>
      </w:r>
      <w:r w:rsidRPr="009B38AA">
        <w:rPr>
          <w:szCs w:val="26"/>
        </w:rPr>
        <w:t xml:space="preserve">ndustrial (“C&amp;I”) EE&amp;C measures and clarify when the TRM is to be used and applied.  The Commission believes that these </w:t>
      </w:r>
      <w:r w:rsidR="009A64F0" w:rsidRPr="009B38AA">
        <w:rPr>
          <w:szCs w:val="26"/>
        </w:rPr>
        <w:t>adopted</w:t>
      </w:r>
      <w:r w:rsidRPr="009B38AA">
        <w:rPr>
          <w:szCs w:val="26"/>
        </w:rPr>
        <w:t xml:space="preserve"> changes will make the </w:t>
      </w:r>
      <w:r w:rsidRPr="009B38AA">
        <w:rPr>
          <w:szCs w:val="26"/>
        </w:rPr>
        <w:lastRenderedPageBreak/>
        <w:t xml:space="preserve">TRM a more effective and professional tool for validating energy savings and providing support for the Act 129 goals.  The major goals of the </w:t>
      </w:r>
      <w:r w:rsidR="009A64F0" w:rsidRPr="009B38AA">
        <w:rPr>
          <w:szCs w:val="26"/>
        </w:rPr>
        <w:t>adopted changes</w:t>
      </w:r>
      <w:r w:rsidRPr="009B38AA">
        <w:rPr>
          <w:szCs w:val="26"/>
        </w:rPr>
        <w:t xml:space="preserve"> are as follows:</w:t>
      </w:r>
    </w:p>
    <w:p w:rsidR="006B5753" w:rsidRPr="009B38AA" w:rsidRDefault="006B5753" w:rsidP="006B5753">
      <w:pPr>
        <w:pStyle w:val="p3"/>
        <w:tabs>
          <w:tab w:val="clear" w:pos="204"/>
        </w:tabs>
        <w:rPr>
          <w:szCs w:val="26"/>
        </w:rPr>
      </w:pPr>
    </w:p>
    <w:p w:rsidR="00212CBC" w:rsidRPr="009B38AA" w:rsidRDefault="00B7464A" w:rsidP="00330169">
      <w:pPr>
        <w:numPr>
          <w:ilvl w:val="0"/>
          <w:numId w:val="2"/>
        </w:numPr>
        <w:tabs>
          <w:tab w:val="clear" w:pos="720"/>
          <w:tab w:val="num" w:pos="1440"/>
        </w:tabs>
        <w:ind w:left="1440"/>
        <w:textAlignment w:val="auto"/>
        <w:rPr>
          <w:szCs w:val="26"/>
        </w:rPr>
      </w:pPr>
      <w:r w:rsidRPr="009B38AA">
        <w:rPr>
          <w:szCs w:val="26"/>
        </w:rPr>
        <w:t>To add protocols for EE&amp;C measures being implemented by the EDCs and to broaden the scope of the TRM</w:t>
      </w:r>
      <w:r w:rsidR="009F34FE" w:rsidRPr="009B38AA">
        <w:rPr>
          <w:szCs w:val="26"/>
        </w:rPr>
        <w:t>;</w:t>
      </w:r>
    </w:p>
    <w:p w:rsidR="00212CBC" w:rsidRPr="009B38AA" w:rsidRDefault="009F34FE" w:rsidP="00330169">
      <w:pPr>
        <w:numPr>
          <w:ilvl w:val="0"/>
          <w:numId w:val="2"/>
        </w:numPr>
        <w:tabs>
          <w:tab w:val="clear" w:pos="720"/>
          <w:tab w:val="num" w:pos="1440"/>
        </w:tabs>
        <w:ind w:left="1440"/>
        <w:textAlignment w:val="auto"/>
        <w:rPr>
          <w:szCs w:val="26"/>
        </w:rPr>
      </w:pPr>
      <w:r w:rsidRPr="009B38AA">
        <w:rPr>
          <w:szCs w:val="26"/>
        </w:rPr>
        <w:t>To appropriately balance the integrity and accuracy of claimed energy savings estimates with costs incurred to measure and verify the claimed energy savings;</w:t>
      </w:r>
    </w:p>
    <w:p w:rsidR="00212CBC" w:rsidRPr="009B38AA" w:rsidRDefault="009F34FE" w:rsidP="00330169">
      <w:pPr>
        <w:numPr>
          <w:ilvl w:val="0"/>
          <w:numId w:val="2"/>
        </w:numPr>
        <w:tabs>
          <w:tab w:val="clear" w:pos="720"/>
          <w:tab w:val="num" w:pos="1440"/>
        </w:tabs>
        <w:ind w:left="1440"/>
        <w:textAlignment w:val="auto"/>
        <w:rPr>
          <w:szCs w:val="26"/>
        </w:rPr>
      </w:pPr>
      <w:r w:rsidRPr="009B38AA">
        <w:rPr>
          <w:szCs w:val="26"/>
        </w:rPr>
        <w:t>To clarify existing calculation methods;</w:t>
      </w:r>
    </w:p>
    <w:p w:rsidR="00212CBC" w:rsidRPr="009B38AA" w:rsidRDefault="009F34FE" w:rsidP="00330169">
      <w:pPr>
        <w:numPr>
          <w:ilvl w:val="0"/>
          <w:numId w:val="2"/>
        </w:numPr>
        <w:tabs>
          <w:tab w:val="clear" w:pos="720"/>
          <w:tab w:val="num" w:pos="1440"/>
        </w:tabs>
        <w:ind w:left="1440"/>
        <w:textAlignment w:val="auto"/>
        <w:rPr>
          <w:szCs w:val="26"/>
        </w:rPr>
      </w:pPr>
      <w:r w:rsidRPr="009B38AA">
        <w:rPr>
          <w:szCs w:val="26"/>
        </w:rPr>
        <w:t>To minimize the number of EE&amp;C measures that must be evaluated through custom protocols;</w:t>
      </w:r>
    </w:p>
    <w:p w:rsidR="00212CBC" w:rsidRPr="009B38AA" w:rsidRDefault="009F34FE" w:rsidP="00330169">
      <w:pPr>
        <w:pStyle w:val="p14"/>
        <w:numPr>
          <w:ilvl w:val="0"/>
          <w:numId w:val="2"/>
        </w:numPr>
        <w:tabs>
          <w:tab w:val="clear" w:pos="720"/>
          <w:tab w:val="num" w:pos="1440"/>
        </w:tabs>
        <w:ind w:left="1440"/>
        <w:rPr>
          <w:szCs w:val="26"/>
        </w:rPr>
      </w:pPr>
      <w:r w:rsidRPr="009B38AA">
        <w:rPr>
          <w:szCs w:val="26"/>
        </w:rPr>
        <w:t>To provide additional reasonable methods for measurement and verification of incremental energy savings associated with EE&amp;C measures without unduly burdening EDC EE&amp;C program and evaluation staff</w:t>
      </w:r>
      <w:r w:rsidR="00944FC2" w:rsidRPr="009B38AA">
        <w:rPr>
          <w:szCs w:val="26"/>
        </w:rPr>
        <w:t>; and</w:t>
      </w:r>
    </w:p>
    <w:p w:rsidR="00944FC2" w:rsidRPr="009B38AA" w:rsidRDefault="00944FC2" w:rsidP="00330169">
      <w:pPr>
        <w:pStyle w:val="p14"/>
        <w:numPr>
          <w:ilvl w:val="0"/>
          <w:numId w:val="2"/>
        </w:numPr>
        <w:tabs>
          <w:tab w:val="clear" w:pos="720"/>
          <w:tab w:val="num" w:pos="1440"/>
        </w:tabs>
        <w:ind w:left="1440"/>
        <w:rPr>
          <w:szCs w:val="26"/>
        </w:rPr>
      </w:pPr>
      <w:r w:rsidRPr="009B38AA">
        <w:rPr>
          <w:szCs w:val="26"/>
        </w:rPr>
        <w:t>To provide guidance regarding the implementation and evaluation of demand response</w:t>
      </w:r>
      <w:r w:rsidR="00085B29" w:rsidRPr="009B38AA">
        <w:rPr>
          <w:szCs w:val="26"/>
        </w:rPr>
        <w:t xml:space="preserve"> (“DR”)</w:t>
      </w:r>
      <w:r w:rsidRPr="009B38AA">
        <w:rPr>
          <w:szCs w:val="26"/>
        </w:rPr>
        <w:t xml:space="preserve"> programs.</w:t>
      </w:r>
    </w:p>
    <w:p w:rsidR="006B5753" w:rsidRPr="009B38AA" w:rsidRDefault="006B5753" w:rsidP="006B5753">
      <w:pPr>
        <w:pStyle w:val="p14"/>
        <w:rPr>
          <w:szCs w:val="26"/>
        </w:rPr>
      </w:pPr>
    </w:p>
    <w:p w:rsidR="006B5753" w:rsidRPr="009B38AA" w:rsidRDefault="009A3B83" w:rsidP="006B5753">
      <w:pPr>
        <w:pStyle w:val="p14"/>
        <w:ind w:firstLine="720"/>
        <w:rPr>
          <w:szCs w:val="26"/>
        </w:rPr>
      </w:pPr>
      <w:r w:rsidRPr="009B38AA">
        <w:rPr>
          <w:szCs w:val="26"/>
        </w:rPr>
        <w:t xml:space="preserve">Below, </w:t>
      </w:r>
      <w:r w:rsidR="007D32FE" w:rsidRPr="009B38AA">
        <w:rPr>
          <w:szCs w:val="26"/>
        </w:rPr>
        <w:t xml:space="preserve">we will discuss in detail the </w:t>
      </w:r>
      <w:r w:rsidRPr="009B38AA">
        <w:rPr>
          <w:szCs w:val="26"/>
        </w:rPr>
        <w:t xml:space="preserve">more significant TRM changes and updates </w:t>
      </w:r>
      <w:r w:rsidR="007D32FE" w:rsidRPr="009B38AA">
        <w:rPr>
          <w:szCs w:val="26"/>
        </w:rPr>
        <w:t>that are being adopted</w:t>
      </w:r>
      <w:r w:rsidR="009F34FE" w:rsidRPr="009B38AA">
        <w:rPr>
          <w:szCs w:val="26"/>
        </w:rPr>
        <w:t xml:space="preserve">.  Minor administrative </w:t>
      </w:r>
      <w:r w:rsidR="0002628C" w:rsidRPr="009B38AA">
        <w:rPr>
          <w:szCs w:val="26"/>
        </w:rPr>
        <w:t xml:space="preserve">and uncontested changes </w:t>
      </w:r>
      <w:r w:rsidR="009F34FE" w:rsidRPr="009B38AA">
        <w:rPr>
          <w:szCs w:val="26"/>
        </w:rPr>
        <w:t xml:space="preserve">will not be discussed.  </w:t>
      </w:r>
    </w:p>
    <w:p w:rsidR="00A976AB" w:rsidRDefault="00A976AB" w:rsidP="006B5753">
      <w:pPr>
        <w:pStyle w:val="p14"/>
        <w:ind w:firstLine="720"/>
        <w:rPr>
          <w:szCs w:val="26"/>
        </w:rPr>
      </w:pPr>
    </w:p>
    <w:p w:rsidR="000671F7" w:rsidRPr="009B38AA" w:rsidRDefault="000671F7" w:rsidP="006B5753">
      <w:pPr>
        <w:pStyle w:val="p14"/>
        <w:ind w:firstLine="720"/>
        <w:rPr>
          <w:szCs w:val="26"/>
        </w:rPr>
      </w:pPr>
    </w:p>
    <w:p w:rsidR="006B5753" w:rsidRPr="009B38AA" w:rsidRDefault="00476FEA" w:rsidP="00476FEA">
      <w:pPr>
        <w:pStyle w:val="Heading1"/>
        <w:numPr>
          <w:ilvl w:val="0"/>
          <w:numId w:val="0"/>
        </w:numPr>
      </w:pPr>
      <w:r>
        <w:t>A.</w:t>
      </w:r>
      <w:r>
        <w:tab/>
      </w:r>
      <w:r w:rsidR="005C0D72" w:rsidRPr="009B38AA">
        <w:t>Additional Residential EE&amp;C Measure Protocols</w:t>
      </w:r>
    </w:p>
    <w:p w:rsidR="006B5753" w:rsidRPr="009B38AA" w:rsidRDefault="006B5753" w:rsidP="006B5753">
      <w:pPr>
        <w:pStyle w:val="p3"/>
        <w:tabs>
          <w:tab w:val="clear" w:pos="204"/>
        </w:tabs>
        <w:rPr>
          <w:b/>
          <w:szCs w:val="26"/>
        </w:rPr>
      </w:pPr>
    </w:p>
    <w:p w:rsidR="00610E56" w:rsidRPr="009B38AA" w:rsidRDefault="005C0D72" w:rsidP="005C0D72">
      <w:pPr>
        <w:pStyle w:val="p14"/>
        <w:ind w:firstLine="720"/>
        <w:rPr>
          <w:szCs w:val="26"/>
        </w:rPr>
      </w:pPr>
      <w:r w:rsidRPr="009B38AA">
        <w:rPr>
          <w:szCs w:val="26"/>
        </w:rPr>
        <w:t>The Commission understands that the expansion of the residential section of the TRM is essential for the accurate</w:t>
      </w:r>
      <w:r w:rsidR="00DE4B3C" w:rsidRPr="009B38AA">
        <w:rPr>
          <w:szCs w:val="26"/>
        </w:rPr>
        <w:t>,</w:t>
      </w:r>
      <w:r w:rsidRPr="009B38AA">
        <w:rPr>
          <w:szCs w:val="26"/>
        </w:rPr>
        <w:t xml:space="preserve"> timely </w:t>
      </w:r>
      <w:r w:rsidR="00DE4B3C" w:rsidRPr="009B38AA">
        <w:rPr>
          <w:szCs w:val="26"/>
        </w:rPr>
        <w:t xml:space="preserve">and cost-effective </w:t>
      </w:r>
      <w:r w:rsidRPr="009B38AA">
        <w:rPr>
          <w:szCs w:val="26"/>
        </w:rPr>
        <w:t xml:space="preserve">measurement and verification of the EDCs’ </w:t>
      </w:r>
      <w:r w:rsidR="00DE4B3C" w:rsidRPr="009B38AA">
        <w:rPr>
          <w:szCs w:val="26"/>
        </w:rPr>
        <w:t>EE&amp;C</w:t>
      </w:r>
      <w:r w:rsidRPr="009B38AA">
        <w:rPr>
          <w:szCs w:val="26"/>
        </w:rPr>
        <w:t xml:space="preserve"> programs.  </w:t>
      </w:r>
      <w:r w:rsidR="005C0AA4" w:rsidRPr="009B38AA">
        <w:rPr>
          <w:szCs w:val="26"/>
        </w:rPr>
        <w:t xml:space="preserve">In its </w:t>
      </w:r>
      <w:r w:rsidR="005C0AA4" w:rsidRPr="009B38AA">
        <w:rPr>
          <w:i/>
          <w:szCs w:val="26"/>
        </w:rPr>
        <w:t>Tentative Order</w:t>
      </w:r>
      <w:r w:rsidR="005C0AA4" w:rsidRPr="009B38AA">
        <w:rPr>
          <w:szCs w:val="26"/>
        </w:rPr>
        <w:t>, the Commission</w:t>
      </w:r>
      <w:r w:rsidRPr="009B38AA">
        <w:rPr>
          <w:szCs w:val="26"/>
        </w:rPr>
        <w:t xml:space="preserve"> include</w:t>
      </w:r>
      <w:r w:rsidR="005C0AA4" w:rsidRPr="009B38AA">
        <w:rPr>
          <w:szCs w:val="26"/>
        </w:rPr>
        <w:t>d</w:t>
      </w:r>
      <w:r w:rsidRPr="009B38AA">
        <w:rPr>
          <w:szCs w:val="26"/>
        </w:rPr>
        <w:t xml:space="preserve"> the addition of </w:t>
      </w:r>
      <w:r w:rsidR="005C0AA4" w:rsidRPr="009B38AA">
        <w:rPr>
          <w:szCs w:val="26"/>
        </w:rPr>
        <w:t xml:space="preserve">ten </w:t>
      </w:r>
      <w:r w:rsidRPr="009B38AA">
        <w:rPr>
          <w:szCs w:val="26"/>
        </w:rPr>
        <w:t xml:space="preserve">new residential EE&amp;C measure protocols, many of which </w:t>
      </w:r>
      <w:r w:rsidR="005C0AA4" w:rsidRPr="009B38AA">
        <w:rPr>
          <w:szCs w:val="26"/>
        </w:rPr>
        <w:t xml:space="preserve">were </w:t>
      </w:r>
      <w:r w:rsidRPr="009B38AA">
        <w:rPr>
          <w:szCs w:val="26"/>
        </w:rPr>
        <w:t xml:space="preserve">measures </w:t>
      </w:r>
      <w:r w:rsidRPr="009B38AA">
        <w:rPr>
          <w:szCs w:val="26"/>
        </w:rPr>
        <w:lastRenderedPageBreak/>
        <w:t xml:space="preserve">that constitute a large portion of the EDCs’ reported energy and demand savings.  The EDCs’ independent evaluators, in collaboration with the SWE, produced, reviewed and edited </w:t>
      </w:r>
      <w:r w:rsidR="005C0AA4" w:rsidRPr="009B38AA">
        <w:rPr>
          <w:szCs w:val="26"/>
        </w:rPr>
        <w:t xml:space="preserve">the proposed </w:t>
      </w:r>
      <w:r w:rsidRPr="009B38AA">
        <w:rPr>
          <w:szCs w:val="26"/>
        </w:rPr>
        <w:t xml:space="preserve">new residential EE&amp;C measure protocols.  </w:t>
      </w:r>
    </w:p>
    <w:p w:rsidR="00330169" w:rsidRPr="009B38AA" w:rsidRDefault="00330169" w:rsidP="00610E56">
      <w:pPr>
        <w:ind w:firstLine="720"/>
        <w:rPr>
          <w:szCs w:val="26"/>
        </w:rPr>
      </w:pPr>
    </w:p>
    <w:p w:rsidR="00610E56" w:rsidRPr="009B38AA" w:rsidRDefault="00610E56" w:rsidP="00610E56">
      <w:pPr>
        <w:ind w:firstLine="720"/>
        <w:rPr>
          <w:szCs w:val="26"/>
        </w:rPr>
      </w:pPr>
      <w:r w:rsidRPr="009B38AA">
        <w:rPr>
          <w:szCs w:val="26"/>
        </w:rPr>
        <w:t xml:space="preserve">In its comments, PECO noted that the Commission’s </w:t>
      </w:r>
      <w:r w:rsidRPr="009B38AA">
        <w:rPr>
          <w:i/>
          <w:szCs w:val="26"/>
        </w:rPr>
        <w:t xml:space="preserve">Tentative Order </w:t>
      </w:r>
      <w:r w:rsidRPr="009B38AA">
        <w:rPr>
          <w:szCs w:val="26"/>
        </w:rPr>
        <w:t xml:space="preserve">did not include the ENERGY STAR Office Equipment measure in its list of new residential measures. </w:t>
      </w:r>
      <w:proofErr w:type="gramStart"/>
      <w:r w:rsidRPr="009B38AA">
        <w:rPr>
          <w:szCs w:val="26"/>
        </w:rPr>
        <w:t>PECO Co</w:t>
      </w:r>
      <w:r w:rsidR="004C53A1" w:rsidRPr="009B38AA">
        <w:rPr>
          <w:szCs w:val="26"/>
        </w:rPr>
        <w:t>mments</w:t>
      </w:r>
      <w:r w:rsidRPr="009B38AA">
        <w:rPr>
          <w:szCs w:val="26"/>
        </w:rPr>
        <w:t xml:space="preserve"> Appendix </w:t>
      </w:r>
      <w:r w:rsidR="004C53A1" w:rsidRPr="009B38AA">
        <w:rPr>
          <w:szCs w:val="26"/>
        </w:rPr>
        <w:t xml:space="preserve">at </w:t>
      </w:r>
      <w:r w:rsidRPr="009B38AA">
        <w:rPr>
          <w:szCs w:val="26"/>
        </w:rPr>
        <w:t>1</w:t>
      </w:r>
      <w:r w:rsidR="00F2220B" w:rsidRPr="009B38AA">
        <w:rPr>
          <w:szCs w:val="26"/>
        </w:rPr>
        <w:t>.</w:t>
      </w:r>
      <w:proofErr w:type="gramEnd"/>
      <w:r w:rsidRPr="009B38AA">
        <w:rPr>
          <w:szCs w:val="26"/>
        </w:rPr>
        <w:t xml:space="preserve">  </w:t>
      </w:r>
    </w:p>
    <w:p w:rsidR="00330169" w:rsidRPr="009B38AA" w:rsidRDefault="00330169" w:rsidP="005C0D72">
      <w:pPr>
        <w:pStyle w:val="p14"/>
        <w:ind w:firstLine="720"/>
        <w:rPr>
          <w:szCs w:val="26"/>
        </w:rPr>
      </w:pPr>
    </w:p>
    <w:p w:rsidR="00610E56" w:rsidRPr="009B38AA" w:rsidRDefault="00610E56" w:rsidP="00330169">
      <w:pPr>
        <w:pStyle w:val="p14"/>
        <w:ind w:firstLine="720"/>
        <w:rPr>
          <w:szCs w:val="26"/>
        </w:rPr>
      </w:pPr>
      <w:r w:rsidRPr="009B38AA">
        <w:rPr>
          <w:szCs w:val="26"/>
        </w:rPr>
        <w:t>The Commission recognizes this omission and has included ENERGY STAR Office Equipment in its list of new residential EE&amp;C measures</w:t>
      </w:r>
      <w:r w:rsidR="00813935" w:rsidRPr="009B38AA">
        <w:rPr>
          <w:szCs w:val="26"/>
        </w:rPr>
        <w:t xml:space="preserve">, totaling </w:t>
      </w:r>
      <w:r w:rsidR="00D019D6" w:rsidRPr="009B38AA">
        <w:rPr>
          <w:szCs w:val="26"/>
        </w:rPr>
        <w:t>11</w:t>
      </w:r>
      <w:r w:rsidR="00813935" w:rsidRPr="009B38AA">
        <w:rPr>
          <w:szCs w:val="26"/>
        </w:rPr>
        <w:t xml:space="preserve"> new residential measure protocols</w:t>
      </w:r>
      <w:r w:rsidRPr="009B38AA">
        <w:rPr>
          <w:szCs w:val="26"/>
        </w:rPr>
        <w:t>.</w:t>
      </w:r>
    </w:p>
    <w:p w:rsidR="00330169" w:rsidRPr="009B38AA" w:rsidRDefault="00330169" w:rsidP="00330169">
      <w:pPr>
        <w:pStyle w:val="p3"/>
        <w:tabs>
          <w:tab w:val="clear" w:pos="204"/>
          <w:tab w:val="left" w:pos="720"/>
        </w:tabs>
        <w:rPr>
          <w:szCs w:val="26"/>
        </w:rPr>
      </w:pPr>
    </w:p>
    <w:p w:rsidR="00330169" w:rsidRPr="009B38AA" w:rsidRDefault="00330169" w:rsidP="00330169">
      <w:pPr>
        <w:pStyle w:val="p3"/>
        <w:tabs>
          <w:tab w:val="clear" w:pos="204"/>
          <w:tab w:val="left" w:pos="720"/>
        </w:tabs>
        <w:rPr>
          <w:szCs w:val="26"/>
        </w:rPr>
      </w:pPr>
      <w:r w:rsidRPr="009B38AA">
        <w:rPr>
          <w:szCs w:val="26"/>
        </w:rPr>
        <w:tab/>
      </w:r>
      <w:r w:rsidR="005C0D72" w:rsidRPr="009B38AA">
        <w:rPr>
          <w:szCs w:val="26"/>
        </w:rPr>
        <w:t>The following new residential EE&amp;C measures and associated protocols</w:t>
      </w:r>
      <w:r w:rsidR="007F5B06" w:rsidRPr="009B38AA">
        <w:rPr>
          <w:rStyle w:val="FootnoteReference"/>
          <w:szCs w:val="26"/>
        </w:rPr>
        <w:footnoteReference w:id="13"/>
      </w:r>
      <w:r w:rsidR="005C0D72" w:rsidRPr="009B38AA">
        <w:rPr>
          <w:szCs w:val="26"/>
        </w:rPr>
        <w:t xml:space="preserve"> </w:t>
      </w:r>
      <w:r w:rsidR="00D019D6" w:rsidRPr="009B38AA">
        <w:rPr>
          <w:szCs w:val="26"/>
        </w:rPr>
        <w:t>were proposed</w:t>
      </w:r>
      <w:r w:rsidR="005C0AA4" w:rsidRPr="009B38AA">
        <w:rPr>
          <w:szCs w:val="26"/>
        </w:rPr>
        <w:t xml:space="preserve"> (including ENERGY STAR Office Equipment)</w:t>
      </w:r>
      <w:r w:rsidR="00D019D6" w:rsidRPr="009B38AA">
        <w:rPr>
          <w:szCs w:val="26"/>
        </w:rPr>
        <w:t xml:space="preserve"> </w:t>
      </w:r>
      <w:r w:rsidR="00DE4B3C" w:rsidRPr="009B38AA">
        <w:rPr>
          <w:szCs w:val="26"/>
        </w:rPr>
        <w:t>in</w:t>
      </w:r>
      <w:r w:rsidR="005C0D72" w:rsidRPr="009B38AA">
        <w:rPr>
          <w:szCs w:val="26"/>
        </w:rPr>
        <w:t xml:space="preserve"> the </w:t>
      </w:r>
      <w:r w:rsidR="00944FC2" w:rsidRPr="009B38AA">
        <w:rPr>
          <w:szCs w:val="26"/>
        </w:rPr>
        <w:t xml:space="preserve">2012 </w:t>
      </w:r>
      <w:r w:rsidR="005C0D72" w:rsidRPr="009B38AA">
        <w:rPr>
          <w:szCs w:val="26"/>
        </w:rPr>
        <w:t>TRM update:</w:t>
      </w:r>
    </w:p>
    <w:p w:rsidR="00330169" w:rsidRPr="009B38AA" w:rsidRDefault="00330169" w:rsidP="00330169">
      <w:pPr>
        <w:pStyle w:val="p3"/>
        <w:tabs>
          <w:tab w:val="clear" w:pos="204"/>
          <w:tab w:val="left" w:pos="720"/>
        </w:tabs>
        <w:rPr>
          <w:szCs w:val="26"/>
        </w:rPr>
      </w:pPr>
    </w:p>
    <w:p w:rsidR="00944FC2" w:rsidRPr="009B38AA" w:rsidRDefault="00944FC2" w:rsidP="00F77EE7">
      <w:pPr>
        <w:pStyle w:val="p3"/>
        <w:numPr>
          <w:ilvl w:val="0"/>
          <w:numId w:val="7"/>
        </w:numPr>
        <w:tabs>
          <w:tab w:val="clear" w:pos="204"/>
          <w:tab w:val="left" w:pos="-2070"/>
        </w:tabs>
        <w:ind w:left="1440"/>
        <w:rPr>
          <w:szCs w:val="26"/>
        </w:rPr>
      </w:pPr>
      <w:r w:rsidRPr="009B38AA">
        <w:rPr>
          <w:szCs w:val="26"/>
        </w:rPr>
        <w:t>ENERGY STA</w:t>
      </w:r>
      <w:r w:rsidR="00774D45" w:rsidRPr="009B38AA">
        <w:rPr>
          <w:szCs w:val="26"/>
        </w:rPr>
        <w:t>R Light-Emitting Diodes (“LED”);</w:t>
      </w:r>
    </w:p>
    <w:p w:rsidR="00944FC2" w:rsidRPr="009B38AA" w:rsidRDefault="007F5B06" w:rsidP="00330169">
      <w:pPr>
        <w:pStyle w:val="p3"/>
        <w:numPr>
          <w:ilvl w:val="0"/>
          <w:numId w:val="3"/>
        </w:numPr>
        <w:tabs>
          <w:tab w:val="clear" w:pos="204"/>
          <w:tab w:val="left" w:pos="720"/>
        </w:tabs>
        <w:rPr>
          <w:szCs w:val="26"/>
        </w:rPr>
      </w:pPr>
      <w:r w:rsidRPr="009B38AA">
        <w:rPr>
          <w:szCs w:val="26"/>
        </w:rPr>
        <w:t xml:space="preserve">Residential </w:t>
      </w:r>
      <w:r w:rsidR="00944FC2" w:rsidRPr="009B38AA">
        <w:rPr>
          <w:szCs w:val="26"/>
        </w:rPr>
        <w:t>Occupancy Sensors</w:t>
      </w:r>
      <w:r w:rsidR="005C0AA4" w:rsidRPr="009B38AA">
        <w:rPr>
          <w:szCs w:val="26"/>
        </w:rPr>
        <w:t xml:space="preserve"> [Occupancy Sensors]</w:t>
      </w:r>
      <w:r w:rsidR="00774D45" w:rsidRPr="009B38AA">
        <w:rPr>
          <w:szCs w:val="26"/>
        </w:rPr>
        <w:t>;</w:t>
      </w:r>
    </w:p>
    <w:p w:rsidR="00944FC2" w:rsidRPr="009B38AA" w:rsidRDefault="00944FC2" w:rsidP="00330169">
      <w:pPr>
        <w:pStyle w:val="p3"/>
        <w:numPr>
          <w:ilvl w:val="0"/>
          <w:numId w:val="3"/>
        </w:numPr>
        <w:tabs>
          <w:tab w:val="clear" w:pos="204"/>
          <w:tab w:val="left" w:pos="720"/>
        </w:tabs>
        <w:rPr>
          <w:szCs w:val="26"/>
        </w:rPr>
      </w:pPr>
      <w:r w:rsidRPr="009B38AA">
        <w:rPr>
          <w:szCs w:val="26"/>
        </w:rPr>
        <w:t>Appliance Recycling and Replacement with</w:t>
      </w:r>
      <w:r w:rsidR="00774D45" w:rsidRPr="009B38AA">
        <w:rPr>
          <w:szCs w:val="26"/>
        </w:rPr>
        <w:t xml:space="preserve"> non-ENERGY STAR Refrigerators;</w:t>
      </w:r>
    </w:p>
    <w:p w:rsidR="00944FC2" w:rsidRPr="009B38AA" w:rsidRDefault="00944FC2" w:rsidP="00330169">
      <w:pPr>
        <w:pStyle w:val="p3"/>
        <w:numPr>
          <w:ilvl w:val="0"/>
          <w:numId w:val="3"/>
        </w:numPr>
        <w:tabs>
          <w:tab w:val="clear" w:pos="204"/>
          <w:tab w:val="left" w:pos="720"/>
        </w:tabs>
        <w:rPr>
          <w:szCs w:val="26"/>
        </w:rPr>
      </w:pPr>
      <w:r w:rsidRPr="009B38AA">
        <w:rPr>
          <w:szCs w:val="26"/>
        </w:rPr>
        <w:t>Holiday Lights</w:t>
      </w:r>
      <w:r w:rsidR="00774D45" w:rsidRPr="009B38AA">
        <w:rPr>
          <w:szCs w:val="26"/>
        </w:rPr>
        <w:t>;</w:t>
      </w:r>
    </w:p>
    <w:p w:rsidR="00944FC2" w:rsidRPr="009B38AA" w:rsidRDefault="00774D45" w:rsidP="00330169">
      <w:pPr>
        <w:pStyle w:val="p3"/>
        <w:numPr>
          <w:ilvl w:val="0"/>
          <w:numId w:val="3"/>
        </w:numPr>
        <w:tabs>
          <w:tab w:val="clear" w:pos="204"/>
          <w:tab w:val="left" w:pos="720"/>
        </w:tabs>
        <w:rPr>
          <w:szCs w:val="26"/>
        </w:rPr>
      </w:pPr>
      <w:r w:rsidRPr="009B38AA">
        <w:rPr>
          <w:szCs w:val="26"/>
        </w:rPr>
        <w:t>Low-Income Lighting;</w:t>
      </w:r>
    </w:p>
    <w:p w:rsidR="00944FC2" w:rsidRPr="009B38AA" w:rsidRDefault="00944FC2" w:rsidP="00330169">
      <w:pPr>
        <w:pStyle w:val="p3"/>
        <w:numPr>
          <w:ilvl w:val="0"/>
          <w:numId w:val="3"/>
        </w:numPr>
        <w:tabs>
          <w:tab w:val="clear" w:pos="204"/>
          <w:tab w:val="left" w:pos="720"/>
        </w:tabs>
        <w:rPr>
          <w:szCs w:val="26"/>
        </w:rPr>
      </w:pPr>
      <w:r w:rsidRPr="009B38AA">
        <w:rPr>
          <w:szCs w:val="26"/>
        </w:rPr>
        <w:t>Pool Pump Load Shifting</w:t>
      </w:r>
      <w:r w:rsidR="005C0AA4" w:rsidRPr="009B38AA">
        <w:rPr>
          <w:szCs w:val="26"/>
        </w:rPr>
        <w:t xml:space="preserve"> [Pool Pump with Load Shifting]</w:t>
      </w:r>
      <w:r w:rsidR="00774D45" w:rsidRPr="009B38AA">
        <w:rPr>
          <w:szCs w:val="26"/>
        </w:rPr>
        <w:t>;</w:t>
      </w:r>
    </w:p>
    <w:p w:rsidR="00944FC2" w:rsidRPr="009B38AA" w:rsidRDefault="00944FC2" w:rsidP="00330169">
      <w:pPr>
        <w:pStyle w:val="p3"/>
        <w:numPr>
          <w:ilvl w:val="0"/>
          <w:numId w:val="3"/>
        </w:numPr>
        <w:tabs>
          <w:tab w:val="clear" w:pos="204"/>
          <w:tab w:val="left" w:pos="720"/>
        </w:tabs>
        <w:rPr>
          <w:szCs w:val="26"/>
        </w:rPr>
      </w:pPr>
      <w:r w:rsidRPr="009B38AA">
        <w:rPr>
          <w:szCs w:val="26"/>
        </w:rPr>
        <w:t>Pool Pump with V</w:t>
      </w:r>
      <w:r w:rsidR="00D019D6" w:rsidRPr="009B38AA">
        <w:rPr>
          <w:szCs w:val="26"/>
        </w:rPr>
        <w:t xml:space="preserve">ariable </w:t>
      </w:r>
      <w:r w:rsidRPr="009B38AA">
        <w:rPr>
          <w:szCs w:val="26"/>
        </w:rPr>
        <w:t>F</w:t>
      </w:r>
      <w:r w:rsidR="00D019D6" w:rsidRPr="009B38AA">
        <w:rPr>
          <w:szCs w:val="26"/>
        </w:rPr>
        <w:t xml:space="preserve">requency </w:t>
      </w:r>
      <w:r w:rsidRPr="009B38AA">
        <w:rPr>
          <w:szCs w:val="26"/>
        </w:rPr>
        <w:t>D</w:t>
      </w:r>
      <w:r w:rsidR="00D019D6" w:rsidRPr="009B38AA">
        <w:rPr>
          <w:szCs w:val="26"/>
        </w:rPr>
        <w:t>rive (“VFD”)</w:t>
      </w:r>
      <w:r w:rsidR="00774D45" w:rsidRPr="009B38AA">
        <w:rPr>
          <w:szCs w:val="26"/>
        </w:rPr>
        <w:t xml:space="preserve"> Motor and Load Shifting;</w:t>
      </w:r>
    </w:p>
    <w:p w:rsidR="00944FC2" w:rsidRPr="009B38AA" w:rsidRDefault="00774D45" w:rsidP="00330169">
      <w:pPr>
        <w:pStyle w:val="p3"/>
        <w:numPr>
          <w:ilvl w:val="0"/>
          <w:numId w:val="3"/>
        </w:numPr>
        <w:tabs>
          <w:tab w:val="clear" w:pos="204"/>
          <w:tab w:val="left" w:pos="720"/>
        </w:tabs>
        <w:rPr>
          <w:szCs w:val="26"/>
        </w:rPr>
      </w:pPr>
      <w:r w:rsidRPr="009B38AA">
        <w:rPr>
          <w:szCs w:val="26"/>
        </w:rPr>
        <w:t>Pool Pump with VFD Motor;</w:t>
      </w:r>
    </w:p>
    <w:p w:rsidR="00944FC2" w:rsidRPr="009B38AA" w:rsidRDefault="00073700" w:rsidP="00330169">
      <w:pPr>
        <w:pStyle w:val="p3"/>
        <w:numPr>
          <w:ilvl w:val="0"/>
          <w:numId w:val="3"/>
        </w:numPr>
        <w:tabs>
          <w:tab w:val="clear" w:pos="204"/>
          <w:tab w:val="left" w:pos="720"/>
        </w:tabs>
        <w:rPr>
          <w:szCs w:val="26"/>
        </w:rPr>
      </w:pPr>
      <w:r w:rsidRPr="009B38AA">
        <w:rPr>
          <w:szCs w:val="26"/>
        </w:rPr>
        <w:t>High Efficiency Two-Speed Pool Pump</w:t>
      </w:r>
      <w:r w:rsidR="005C0AA4" w:rsidRPr="009B38AA">
        <w:rPr>
          <w:szCs w:val="26"/>
        </w:rPr>
        <w:t xml:space="preserve"> [Pool Pump with Two-Speed </w:t>
      </w:r>
      <w:r w:rsidR="005C0AA4" w:rsidRPr="009B38AA">
        <w:rPr>
          <w:szCs w:val="26"/>
        </w:rPr>
        <w:lastRenderedPageBreak/>
        <w:t>Motor]</w:t>
      </w:r>
      <w:r w:rsidR="00774D45" w:rsidRPr="009B38AA">
        <w:rPr>
          <w:szCs w:val="26"/>
        </w:rPr>
        <w:t>;</w:t>
      </w:r>
    </w:p>
    <w:p w:rsidR="00944FC2" w:rsidRPr="009B38AA" w:rsidRDefault="00610E56" w:rsidP="00330169">
      <w:pPr>
        <w:pStyle w:val="p3"/>
        <w:numPr>
          <w:ilvl w:val="0"/>
          <w:numId w:val="3"/>
        </w:numPr>
        <w:tabs>
          <w:tab w:val="clear" w:pos="204"/>
          <w:tab w:val="left" w:pos="720"/>
        </w:tabs>
        <w:rPr>
          <w:szCs w:val="26"/>
        </w:rPr>
      </w:pPr>
      <w:r w:rsidRPr="009B38AA">
        <w:rPr>
          <w:szCs w:val="26"/>
        </w:rPr>
        <w:t xml:space="preserve">Water Heater Tank </w:t>
      </w:r>
      <w:r w:rsidR="00073700" w:rsidRPr="009B38AA">
        <w:rPr>
          <w:szCs w:val="26"/>
        </w:rPr>
        <w:t>Wrap</w:t>
      </w:r>
      <w:r w:rsidR="005C0AA4" w:rsidRPr="009B38AA">
        <w:rPr>
          <w:szCs w:val="26"/>
        </w:rPr>
        <w:t xml:space="preserve"> [Water Heater Tank Insulation]</w:t>
      </w:r>
      <w:r w:rsidR="00774D45" w:rsidRPr="009B38AA">
        <w:rPr>
          <w:szCs w:val="26"/>
        </w:rPr>
        <w:t>;</w:t>
      </w:r>
      <w:r w:rsidRPr="009B38AA">
        <w:rPr>
          <w:szCs w:val="26"/>
        </w:rPr>
        <w:t xml:space="preserve"> and</w:t>
      </w:r>
    </w:p>
    <w:p w:rsidR="00610E56" w:rsidRPr="009B38AA" w:rsidRDefault="00610E56" w:rsidP="00330169">
      <w:pPr>
        <w:pStyle w:val="p3"/>
        <w:numPr>
          <w:ilvl w:val="0"/>
          <w:numId w:val="3"/>
        </w:numPr>
        <w:tabs>
          <w:tab w:val="clear" w:pos="204"/>
          <w:tab w:val="left" w:pos="720"/>
        </w:tabs>
        <w:rPr>
          <w:szCs w:val="26"/>
        </w:rPr>
      </w:pPr>
      <w:r w:rsidRPr="009B38AA">
        <w:rPr>
          <w:szCs w:val="26"/>
        </w:rPr>
        <w:t>ENERGY STAR Office Equipment.</w:t>
      </w:r>
    </w:p>
    <w:p w:rsidR="00535EB6" w:rsidRPr="009B38AA" w:rsidRDefault="00535EB6" w:rsidP="00CC769C">
      <w:pPr>
        <w:ind w:firstLine="720"/>
        <w:rPr>
          <w:szCs w:val="26"/>
        </w:rPr>
      </w:pPr>
    </w:p>
    <w:p w:rsidR="005C0AA4" w:rsidRPr="009B38AA" w:rsidRDefault="00CC769C" w:rsidP="00535EB6">
      <w:pPr>
        <w:ind w:firstLine="720"/>
        <w:rPr>
          <w:szCs w:val="26"/>
        </w:rPr>
      </w:pPr>
      <w:r w:rsidRPr="009B38AA">
        <w:rPr>
          <w:szCs w:val="26"/>
        </w:rPr>
        <w:t xml:space="preserve">Of the </w:t>
      </w:r>
      <w:r w:rsidR="00BF717D" w:rsidRPr="009B38AA">
        <w:rPr>
          <w:szCs w:val="26"/>
        </w:rPr>
        <w:t>11</w:t>
      </w:r>
      <w:r w:rsidR="00944FC2" w:rsidRPr="009B38AA">
        <w:rPr>
          <w:szCs w:val="26"/>
        </w:rPr>
        <w:t xml:space="preserve"> </w:t>
      </w:r>
      <w:r w:rsidRPr="009B38AA">
        <w:rPr>
          <w:szCs w:val="26"/>
        </w:rPr>
        <w:t>new residential measures</w:t>
      </w:r>
      <w:r w:rsidR="00DF73A4" w:rsidRPr="009B38AA">
        <w:rPr>
          <w:szCs w:val="26"/>
        </w:rPr>
        <w:t xml:space="preserve"> proposed in the</w:t>
      </w:r>
      <w:r w:rsidR="000E79FE" w:rsidRPr="009B38AA">
        <w:rPr>
          <w:szCs w:val="26"/>
        </w:rPr>
        <w:t xml:space="preserve"> </w:t>
      </w:r>
      <w:r w:rsidR="000E79FE" w:rsidRPr="009B38AA">
        <w:rPr>
          <w:i/>
          <w:szCs w:val="26"/>
        </w:rPr>
        <w:t>Tentative Order</w:t>
      </w:r>
      <w:r w:rsidRPr="009B38AA">
        <w:rPr>
          <w:szCs w:val="26"/>
        </w:rPr>
        <w:t>, comments were received on</w:t>
      </w:r>
      <w:r w:rsidR="00813935" w:rsidRPr="009B38AA">
        <w:rPr>
          <w:szCs w:val="26"/>
        </w:rPr>
        <w:t xml:space="preserve"> four</w:t>
      </w:r>
      <w:r w:rsidR="00441C22" w:rsidRPr="009B38AA">
        <w:rPr>
          <w:szCs w:val="26"/>
        </w:rPr>
        <w:t xml:space="preserve"> of them, the</w:t>
      </w:r>
      <w:r w:rsidR="005C0AA4" w:rsidRPr="009B38AA">
        <w:rPr>
          <w:szCs w:val="26"/>
        </w:rPr>
        <w:t xml:space="preserve"> Energy Star LEDs, Holiday Lights, Pool Pump Load Shifting and Pool Pump with VFD Motor and Load Shifting</w:t>
      </w:r>
      <w:r w:rsidR="00441C22" w:rsidRPr="009B38AA">
        <w:rPr>
          <w:szCs w:val="26"/>
        </w:rPr>
        <w:t>, and will be discussed below</w:t>
      </w:r>
      <w:r w:rsidR="00330169" w:rsidRPr="009B38AA">
        <w:rPr>
          <w:szCs w:val="26"/>
        </w:rPr>
        <w:t>.</w:t>
      </w:r>
      <w:r w:rsidR="005C0AA4" w:rsidRPr="009B38AA">
        <w:rPr>
          <w:szCs w:val="26"/>
        </w:rPr>
        <w:t xml:space="preserve">  The Pool Pump Load Shifting and Pool Pump with VFD Motor and Load Shifting protocols will be addressed together as the comments received on each were identical.</w:t>
      </w:r>
    </w:p>
    <w:p w:rsidR="005C0AA4" w:rsidRPr="009B38AA" w:rsidRDefault="005C0AA4" w:rsidP="00535EB6">
      <w:pPr>
        <w:ind w:firstLine="720"/>
        <w:rPr>
          <w:szCs w:val="26"/>
        </w:rPr>
      </w:pPr>
    </w:p>
    <w:p w:rsidR="00CC769C" w:rsidRPr="009B38AA" w:rsidRDefault="00253E84" w:rsidP="00535EB6">
      <w:pPr>
        <w:ind w:firstLine="720"/>
        <w:rPr>
          <w:szCs w:val="26"/>
        </w:rPr>
      </w:pPr>
      <w:r w:rsidRPr="009B38AA">
        <w:rPr>
          <w:szCs w:val="26"/>
        </w:rPr>
        <w:t>The Commission adopts</w:t>
      </w:r>
      <w:r w:rsidR="00441C22" w:rsidRPr="009B38AA">
        <w:rPr>
          <w:szCs w:val="26"/>
        </w:rPr>
        <w:t xml:space="preserve"> without modification</w:t>
      </w:r>
      <w:r w:rsidRPr="009B38AA">
        <w:rPr>
          <w:szCs w:val="26"/>
        </w:rPr>
        <w:t xml:space="preserve"> the </w:t>
      </w:r>
      <w:r w:rsidR="00F2220B" w:rsidRPr="009B38AA">
        <w:rPr>
          <w:szCs w:val="26"/>
        </w:rPr>
        <w:t xml:space="preserve">remaining </w:t>
      </w:r>
      <w:r w:rsidRPr="009B38AA">
        <w:rPr>
          <w:szCs w:val="26"/>
        </w:rPr>
        <w:t xml:space="preserve">seven new residential measures and associated protocols </w:t>
      </w:r>
      <w:r w:rsidR="00F2220B" w:rsidRPr="009B38AA">
        <w:rPr>
          <w:szCs w:val="26"/>
        </w:rPr>
        <w:t xml:space="preserve">for </w:t>
      </w:r>
      <w:r w:rsidRPr="009B38AA">
        <w:rPr>
          <w:szCs w:val="26"/>
        </w:rPr>
        <w:t>which no comment</w:t>
      </w:r>
      <w:r w:rsidR="00F2220B" w:rsidRPr="009B38AA">
        <w:rPr>
          <w:szCs w:val="26"/>
        </w:rPr>
        <w:t>s were received</w:t>
      </w:r>
      <w:r w:rsidRPr="009B38AA">
        <w:rPr>
          <w:szCs w:val="26"/>
        </w:rPr>
        <w:t>.</w:t>
      </w:r>
      <w:r w:rsidR="005C0AA4" w:rsidRPr="009B38AA">
        <w:rPr>
          <w:rStyle w:val="FootnoteReference"/>
          <w:szCs w:val="26"/>
        </w:rPr>
        <w:footnoteReference w:id="14"/>
      </w:r>
      <w:r w:rsidRPr="009B38AA">
        <w:rPr>
          <w:szCs w:val="26"/>
        </w:rPr>
        <w:t xml:space="preserve">  </w:t>
      </w:r>
    </w:p>
    <w:p w:rsidR="00923453" w:rsidRPr="009B38AA" w:rsidRDefault="00923453" w:rsidP="00535EB6">
      <w:pPr>
        <w:ind w:firstLine="720"/>
        <w:rPr>
          <w:szCs w:val="26"/>
        </w:rPr>
      </w:pPr>
    </w:p>
    <w:p w:rsidR="00330169" w:rsidRPr="009B38AA" w:rsidRDefault="00476FEA" w:rsidP="00476FEA">
      <w:pPr>
        <w:pStyle w:val="Heading2"/>
        <w:numPr>
          <w:ilvl w:val="0"/>
          <w:numId w:val="0"/>
        </w:numPr>
        <w:ind w:left="720"/>
      </w:pPr>
      <w:r>
        <w:t>1.</w:t>
      </w:r>
      <w:r>
        <w:tab/>
      </w:r>
      <w:r w:rsidR="00330169" w:rsidRPr="009B38AA">
        <w:t xml:space="preserve">ENERGY STAR Light-Emitting Diodes </w:t>
      </w:r>
    </w:p>
    <w:p w:rsidR="00BF717D" w:rsidRPr="009B38AA" w:rsidRDefault="00BF717D" w:rsidP="00BF717D">
      <w:pPr>
        <w:rPr>
          <w:szCs w:val="26"/>
        </w:rPr>
      </w:pPr>
    </w:p>
    <w:p w:rsidR="00330169" w:rsidRPr="009B38AA" w:rsidRDefault="009D4FD1" w:rsidP="00330169">
      <w:pPr>
        <w:ind w:firstLine="720"/>
        <w:rPr>
          <w:szCs w:val="26"/>
        </w:rPr>
      </w:pPr>
      <w:r w:rsidRPr="009B38AA">
        <w:rPr>
          <w:szCs w:val="26"/>
        </w:rPr>
        <w:t xml:space="preserve">The ENERGY STAR LED protocol documents the energy and demand savings attributed to replacing standard incandescent lamps and fixtures in residential applications with ENERGY STAR LED </w:t>
      </w:r>
      <w:proofErr w:type="gramStart"/>
      <w:r w:rsidRPr="009B38AA">
        <w:rPr>
          <w:szCs w:val="26"/>
        </w:rPr>
        <w:t>lamps,</w:t>
      </w:r>
      <w:proofErr w:type="gramEnd"/>
      <w:r w:rsidRPr="009B38AA">
        <w:rPr>
          <w:szCs w:val="26"/>
        </w:rPr>
        <w:t xml:space="preserve"> retrofit kits, and fixtures.  LEDs provide an efficient alternative to incandescent lighting.  This protocol is designed to be generic and replace earlier protocols that </w:t>
      </w:r>
      <w:r w:rsidR="00441C22" w:rsidRPr="009B38AA">
        <w:rPr>
          <w:szCs w:val="26"/>
        </w:rPr>
        <w:t xml:space="preserve">were </w:t>
      </w:r>
      <w:r w:rsidRPr="009B38AA">
        <w:rPr>
          <w:szCs w:val="26"/>
        </w:rPr>
        <w:t>specific to a particular make and model of LED lamp.</w:t>
      </w:r>
    </w:p>
    <w:p w:rsidR="00060D1A" w:rsidRPr="009B38AA" w:rsidRDefault="00060D1A" w:rsidP="00330169">
      <w:pPr>
        <w:ind w:firstLine="720"/>
        <w:rPr>
          <w:szCs w:val="26"/>
        </w:rPr>
      </w:pPr>
    </w:p>
    <w:p w:rsidR="00EB1FAC" w:rsidRPr="009B38AA" w:rsidRDefault="00EB1FAC" w:rsidP="00330169">
      <w:pPr>
        <w:ind w:firstLine="720"/>
        <w:rPr>
          <w:szCs w:val="26"/>
        </w:rPr>
      </w:pPr>
    </w:p>
    <w:p w:rsidR="001F01D3" w:rsidRPr="009B38AA" w:rsidRDefault="001F01D3" w:rsidP="00EB1FAC">
      <w:pPr>
        <w:pStyle w:val="Heading3"/>
        <w:rPr>
          <w:rFonts w:cs="Times New Roman"/>
        </w:rPr>
      </w:pPr>
      <w:r w:rsidRPr="009B38AA">
        <w:rPr>
          <w:rFonts w:cs="Times New Roman"/>
        </w:rPr>
        <w:lastRenderedPageBreak/>
        <w:t>Comments</w:t>
      </w:r>
    </w:p>
    <w:p w:rsidR="001F01D3" w:rsidRPr="009B38AA" w:rsidRDefault="001F01D3" w:rsidP="00C223E5">
      <w:pPr>
        <w:ind w:firstLine="720"/>
        <w:rPr>
          <w:b/>
          <w:szCs w:val="26"/>
        </w:rPr>
      </w:pPr>
    </w:p>
    <w:p w:rsidR="004A60B1" w:rsidRPr="009B38AA" w:rsidRDefault="004A60B1" w:rsidP="00C223E5">
      <w:pPr>
        <w:ind w:firstLine="720"/>
        <w:rPr>
          <w:szCs w:val="26"/>
        </w:rPr>
      </w:pPr>
      <w:r w:rsidRPr="009B38AA">
        <w:rPr>
          <w:szCs w:val="26"/>
        </w:rPr>
        <w:t xml:space="preserve">PECO proposed a variety of edits to this protocol.  </w:t>
      </w:r>
      <w:r w:rsidR="00441C22" w:rsidRPr="009B38AA">
        <w:rPr>
          <w:szCs w:val="26"/>
        </w:rPr>
        <w:t>Initially</w:t>
      </w:r>
      <w:r w:rsidRPr="009B38AA">
        <w:rPr>
          <w:szCs w:val="26"/>
        </w:rPr>
        <w:t xml:space="preserve">, PECO </w:t>
      </w:r>
      <w:r w:rsidR="00441C22" w:rsidRPr="009B38AA">
        <w:rPr>
          <w:szCs w:val="26"/>
        </w:rPr>
        <w:t>suggest</w:t>
      </w:r>
      <w:r w:rsidR="0046422F" w:rsidRPr="009B38AA">
        <w:rPr>
          <w:szCs w:val="26"/>
        </w:rPr>
        <w:t>s</w:t>
      </w:r>
      <w:r w:rsidR="00441C22" w:rsidRPr="009B38AA">
        <w:rPr>
          <w:szCs w:val="26"/>
        </w:rPr>
        <w:t xml:space="preserve"> </w:t>
      </w:r>
      <w:r w:rsidRPr="009B38AA">
        <w:rPr>
          <w:szCs w:val="26"/>
        </w:rPr>
        <w:t xml:space="preserve">that the last sentence of the opening paragraph be removed as there were no earlier TRM protocols for ENERGY STAR LEDs. </w:t>
      </w:r>
      <w:proofErr w:type="gramStart"/>
      <w:r w:rsidRPr="009B38AA">
        <w:rPr>
          <w:szCs w:val="26"/>
        </w:rPr>
        <w:t>PECO Comments Appendix</w:t>
      </w:r>
      <w:r w:rsidR="004C53A1" w:rsidRPr="009B38AA">
        <w:rPr>
          <w:szCs w:val="26"/>
        </w:rPr>
        <w:t xml:space="preserve"> at</w:t>
      </w:r>
      <w:r w:rsidRPr="009B38AA">
        <w:rPr>
          <w:szCs w:val="26"/>
        </w:rPr>
        <w:t xml:space="preserve"> 8</w:t>
      </w:r>
      <w:r w:rsidR="00441C22" w:rsidRPr="009B38AA">
        <w:rPr>
          <w:szCs w:val="26"/>
        </w:rPr>
        <w:t>.</w:t>
      </w:r>
      <w:proofErr w:type="gramEnd"/>
      <w:r w:rsidRPr="009B38AA">
        <w:rPr>
          <w:szCs w:val="26"/>
        </w:rPr>
        <w:t xml:space="preserve">  </w:t>
      </w:r>
    </w:p>
    <w:p w:rsidR="004A60B1" w:rsidRPr="009B38AA" w:rsidRDefault="004A60B1" w:rsidP="00C223E5">
      <w:pPr>
        <w:ind w:firstLine="720"/>
        <w:rPr>
          <w:szCs w:val="26"/>
        </w:rPr>
      </w:pPr>
    </w:p>
    <w:p w:rsidR="004A60B1" w:rsidRPr="009B38AA" w:rsidRDefault="00441C22" w:rsidP="00C223E5">
      <w:pPr>
        <w:ind w:firstLine="720"/>
        <w:rPr>
          <w:szCs w:val="26"/>
        </w:rPr>
      </w:pPr>
      <w:r w:rsidRPr="009B38AA">
        <w:rPr>
          <w:szCs w:val="26"/>
        </w:rPr>
        <w:t xml:space="preserve">Next, </w:t>
      </w:r>
      <w:r w:rsidR="004A60B1" w:rsidRPr="009B38AA">
        <w:rPr>
          <w:szCs w:val="26"/>
        </w:rPr>
        <w:t>PECO</w:t>
      </w:r>
      <w:r w:rsidRPr="009B38AA">
        <w:rPr>
          <w:szCs w:val="26"/>
        </w:rPr>
        <w:t xml:space="preserve"> suggests that</w:t>
      </w:r>
      <w:r w:rsidR="004A60B1" w:rsidRPr="009B38AA">
        <w:rPr>
          <w:szCs w:val="26"/>
        </w:rPr>
        <w:t xml:space="preserve"> Table 2-52: General Service Lamps </w:t>
      </w:r>
      <w:r w:rsidRPr="009B38AA">
        <w:rPr>
          <w:szCs w:val="26"/>
        </w:rPr>
        <w:t xml:space="preserve">be modified </w:t>
      </w:r>
      <w:r w:rsidR="004A60B1" w:rsidRPr="009B38AA">
        <w:rPr>
          <w:szCs w:val="26"/>
        </w:rPr>
        <w:t xml:space="preserve">to match Table 2-43 Baseline Wattage by Lumen Output of CFL [compact fluorescent light bulb, “CFL”] as they are similar.  Specifically, </w:t>
      </w:r>
      <w:r w:rsidRPr="009B38AA">
        <w:rPr>
          <w:szCs w:val="26"/>
        </w:rPr>
        <w:t xml:space="preserve">PECO suggests that </w:t>
      </w:r>
      <w:r w:rsidR="004A60B1" w:rsidRPr="009B38AA">
        <w:rPr>
          <w:szCs w:val="26"/>
        </w:rPr>
        <w:t>Table 2-52 reflect that the Energy Independence and Security Act of 2007 (“EISA 2007”)</w:t>
      </w:r>
      <w:r w:rsidR="004A60B1" w:rsidRPr="009B38AA">
        <w:rPr>
          <w:rStyle w:val="FootnoteReference"/>
          <w:szCs w:val="26"/>
        </w:rPr>
        <w:footnoteReference w:id="15"/>
      </w:r>
      <w:r w:rsidR="004A60B1" w:rsidRPr="009B38AA">
        <w:rPr>
          <w:szCs w:val="26"/>
        </w:rPr>
        <w:t xml:space="preserve"> </w:t>
      </w:r>
      <w:r w:rsidR="0046422F" w:rsidRPr="009B38AA">
        <w:rPr>
          <w:szCs w:val="26"/>
        </w:rPr>
        <w:t xml:space="preserve">set </w:t>
      </w:r>
      <w:r w:rsidR="00BF717D" w:rsidRPr="009B38AA">
        <w:rPr>
          <w:szCs w:val="26"/>
        </w:rPr>
        <w:t>the</w:t>
      </w:r>
      <w:r w:rsidR="004A60B1" w:rsidRPr="009B38AA">
        <w:rPr>
          <w:szCs w:val="26"/>
        </w:rPr>
        <w:t xml:space="preserve"> compliance year for 60 watt-equivalent lamps </w:t>
      </w:r>
      <w:r w:rsidR="0046422F" w:rsidRPr="009B38AA">
        <w:rPr>
          <w:szCs w:val="26"/>
        </w:rPr>
        <w:t>as</w:t>
      </w:r>
      <w:r w:rsidR="004A60B1" w:rsidRPr="009B38AA">
        <w:rPr>
          <w:szCs w:val="26"/>
        </w:rPr>
        <w:t xml:space="preserve"> 2014, not 2013</w:t>
      </w:r>
      <w:r w:rsidR="00BF717D" w:rsidRPr="009B38AA">
        <w:rPr>
          <w:szCs w:val="26"/>
        </w:rPr>
        <w:t>,</w:t>
      </w:r>
      <w:r w:rsidR="004A60B1" w:rsidRPr="009B38AA">
        <w:rPr>
          <w:szCs w:val="26"/>
        </w:rPr>
        <w:t xml:space="preserve"> as shown in Table 2-52.  </w:t>
      </w:r>
      <w:proofErr w:type="gramStart"/>
      <w:r w:rsidR="004A60B1" w:rsidRPr="009B38AA">
        <w:rPr>
          <w:szCs w:val="26"/>
        </w:rPr>
        <w:t>PECO Comments Appendix</w:t>
      </w:r>
      <w:r w:rsidR="004C53A1" w:rsidRPr="009B38AA">
        <w:rPr>
          <w:szCs w:val="26"/>
        </w:rPr>
        <w:t xml:space="preserve"> at</w:t>
      </w:r>
      <w:r w:rsidR="004A60B1" w:rsidRPr="009B38AA">
        <w:rPr>
          <w:szCs w:val="26"/>
        </w:rPr>
        <w:t xml:space="preserve"> 8</w:t>
      </w:r>
      <w:r w:rsidR="0046422F" w:rsidRPr="009B38AA">
        <w:rPr>
          <w:szCs w:val="26"/>
        </w:rPr>
        <w:t>.</w:t>
      </w:r>
      <w:proofErr w:type="gramEnd"/>
    </w:p>
    <w:p w:rsidR="001F01D3" w:rsidRPr="009B38AA" w:rsidRDefault="001F01D3" w:rsidP="001F01D3">
      <w:pPr>
        <w:ind w:firstLine="720"/>
        <w:rPr>
          <w:szCs w:val="26"/>
        </w:rPr>
      </w:pPr>
    </w:p>
    <w:p w:rsidR="004A60B1" w:rsidRPr="009B38AA" w:rsidRDefault="004A60B1" w:rsidP="001F01D3">
      <w:pPr>
        <w:ind w:firstLine="720"/>
        <w:rPr>
          <w:szCs w:val="26"/>
        </w:rPr>
      </w:pPr>
      <w:r w:rsidRPr="009B38AA">
        <w:rPr>
          <w:szCs w:val="26"/>
        </w:rPr>
        <w:t xml:space="preserve">PECO also </w:t>
      </w:r>
      <w:r w:rsidR="0046422F" w:rsidRPr="009B38AA">
        <w:rPr>
          <w:szCs w:val="26"/>
        </w:rPr>
        <w:t xml:space="preserve">suggests </w:t>
      </w:r>
      <w:r w:rsidRPr="009B38AA">
        <w:rPr>
          <w:szCs w:val="26"/>
        </w:rPr>
        <w:t xml:space="preserve">a correction to the definition of coincidence factor (“CF”).  PECO </w:t>
      </w:r>
      <w:r w:rsidR="0046422F" w:rsidRPr="009B38AA">
        <w:rPr>
          <w:szCs w:val="26"/>
        </w:rPr>
        <w:t>states</w:t>
      </w:r>
      <w:r w:rsidR="00060D1A" w:rsidRPr="009B38AA">
        <w:rPr>
          <w:szCs w:val="26"/>
        </w:rPr>
        <w:t xml:space="preserve"> </w:t>
      </w:r>
      <w:r w:rsidRPr="009B38AA">
        <w:rPr>
          <w:szCs w:val="26"/>
        </w:rPr>
        <w:t>that the “TRM currently shows: CF = Demand Coincidence Factor, percentage of load connected during peak hours.”  It is requested that this language be revised to reflect the following, “CF = Coincidence Factor, defined as the fraction of the technology demand that is coincident with the utility peak.”  PECO requested that the amended definition for CF be used consistently throughout the TRM.</w:t>
      </w:r>
      <w:r w:rsidR="00940A6F">
        <w:rPr>
          <w:szCs w:val="26"/>
        </w:rPr>
        <w:t xml:space="preserve"> </w:t>
      </w:r>
      <w:r w:rsidRPr="009B38AA">
        <w:rPr>
          <w:szCs w:val="26"/>
        </w:rPr>
        <w:t xml:space="preserve"> </w:t>
      </w:r>
      <w:proofErr w:type="gramStart"/>
      <w:r w:rsidRPr="009B38AA">
        <w:rPr>
          <w:szCs w:val="26"/>
        </w:rPr>
        <w:t xml:space="preserve">PECO Comments Appendix </w:t>
      </w:r>
      <w:r w:rsidR="004C53A1" w:rsidRPr="009B38AA">
        <w:rPr>
          <w:szCs w:val="26"/>
        </w:rPr>
        <w:t xml:space="preserve">at </w:t>
      </w:r>
      <w:r w:rsidRPr="009B38AA">
        <w:rPr>
          <w:szCs w:val="26"/>
        </w:rPr>
        <w:t>8</w:t>
      </w:r>
      <w:r w:rsidR="0046422F" w:rsidRPr="009B38AA">
        <w:rPr>
          <w:szCs w:val="26"/>
        </w:rPr>
        <w:t>.</w:t>
      </w:r>
      <w:proofErr w:type="gramEnd"/>
    </w:p>
    <w:p w:rsidR="004A60B1" w:rsidRPr="009B38AA" w:rsidRDefault="004A60B1" w:rsidP="001F01D3">
      <w:pPr>
        <w:ind w:firstLine="720"/>
        <w:rPr>
          <w:szCs w:val="26"/>
        </w:rPr>
      </w:pPr>
    </w:p>
    <w:p w:rsidR="004A60B1" w:rsidRPr="009B38AA" w:rsidRDefault="004A60B1" w:rsidP="001F01D3">
      <w:pPr>
        <w:ind w:firstLine="720"/>
        <w:rPr>
          <w:szCs w:val="26"/>
        </w:rPr>
      </w:pPr>
      <w:r w:rsidRPr="009B38AA">
        <w:rPr>
          <w:szCs w:val="26"/>
        </w:rPr>
        <w:t xml:space="preserve">Lastly, PECO </w:t>
      </w:r>
      <w:r w:rsidR="0046422F" w:rsidRPr="009B38AA">
        <w:rPr>
          <w:szCs w:val="26"/>
        </w:rPr>
        <w:t xml:space="preserve">recommends </w:t>
      </w:r>
      <w:r w:rsidRPr="009B38AA">
        <w:rPr>
          <w:szCs w:val="26"/>
        </w:rPr>
        <w:t xml:space="preserve">that the reported measure life for reflector CFLs be changed from 13 to either 13.7 or 14 as the footnote associated with measure life states </w:t>
      </w:r>
      <w:r w:rsidR="00193EAD" w:rsidRPr="009B38AA">
        <w:rPr>
          <w:szCs w:val="26"/>
        </w:rPr>
        <w:t>“</w:t>
      </w:r>
      <w:r w:rsidRPr="009B38AA">
        <w:rPr>
          <w:szCs w:val="26"/>
        </w:rPr>
        <w:t>that all LEDs that qualify for ENERGY STAR have a minimum lifetime</w:t>
      </w:r>
      <w:r w:rsidR="00193EAD" w:rsidRPr="009B38AA">
        <w:rPr>
          <w:szCs w:val="26"/>
        </w:rPr>
        <w:t xml:space="preserve"> of 15,000 hours and that at 3 hours of use per day this equates to 13.7 years.” </w:t>
      </w:r>
      <w:r w:rsidR="00940A6F">
        <w:rPr>
          <w:szCs w:val="26"/>
        </w:rPr>
        <w:t xml:space="preserve"> </w:t>
      </w:r>
      <w:proofErr w:type="gramStart"/>
      <w:r w:rsidR="00193EAD" w:rsidRPr="009B38AA">
        <w:rPr>
          <w:szCs w:val="26"/>
        </w:rPr>
        <w:t xml:space="preserve">PECO Comments Appendix </w:t>
      </w:r>
      <w:r w:rsidR="004C53A1" w:rsidRPr="009B38AA">
        <w:rPr>
          <w:szCs w:val="26"/>
        </w:rPr>
        <w:t xml:space="preserve">at </w:t>
      </w:r>
      <w:r w:rsidR="00193EAD" w:rsidRPr="009B38AA">
        <w:rPr>
          <w:szCs w:val="26"/>
        </w:rPr>
        <w:t>8</w:t>
      </w:r>
      <w:r w:rsidR="0046422F" w:rsidRPr="009B38AA">
        <w:rPr>
          <w:szCs w:val="26"/>
        </w:rPr>
        <w:t>.</w:t>
      </w:r>
      <w:proofErr w:type="gramEnd"/>
    </w:p>
    <w:p w:rsidR="00193EAD" w:rsidRPr="009B38AA" w:rsidRDefault="0023307C" w:rsidP="001F01D3">
      <w:pPr>
        <w:ind w:firstLine="720"/>
        <w:rPr>
          <w:szCs w:val="26"/>
        </w:rPr>
      </w:pPr>
      <w:r w:rsidRPr="009B38AA">
        <w:rPr>
          <w:szCs w:val="26"/>
        </w:rPr>
        <w:lastRenderedPageBreak/>
        <w:t xml:space="preserve">In its comments, PPL </w:t>
      </w:r>
      <w:r w:rsidR="0046422F" w:rsidRPr="009B38AA">
        <w:rPr>
          <w:szCs w:val="26"/>
        </w:rPr>
        <w:t xml:space="preserve">recommends </w:t>
      </w:r>
      <w:r w:rsidRPr="009B38AA">
        <w:rPr>
          <w:szCs w:val="26"/>
        </w:rPr>
        <w:t xml:space="preserve">the removal of Footnote 107 from the protocol. </w:t>
      </w:r>
      <w:proofErr w:type="gramStart"/>
      <w:r w:rsidRPr="009B38AA">
        <w:rPr>
          <w:szCs w:val="26"/>
        </w:rPr>
        <w:t>PPL Comments at 16</w:t>
      </w:r>
      <w:r w:rsidR="0046422F" w:rsidRPr="009B38AA">
        <w:rPr>
          <w:szCs w:val="26"/>
        </w:rPr>
        <w:t>.</w:t>
      </w:r>
      <w:proofErr w:type="gramEnd"/>
      <w:r w:rsidRPr="009B38AA">
        <w:rPr>
          <w:szCs w:val="26"/>
        </w:rPr>
        <w:t xml:space="preserve">  </w:t>
      </w:r>
      <w:r w:rsidR="004C2494" w:rsidRPr="009B38AA">
        <w:rPr>
          <w:szCs w:val="26"/>
        </w:rPr>
        <w:t xml:space="preserve">Footnote 107 applied to the in-service rate (“ISR”) value for LEDs.  The </w:t>
      </w:r>
      <w:r w:rsidR="00B31134" w:rsidRPr="009B38AA">
        <w:rPr>
          <w:i/>
          <w:szCs w:val="26"/>
        </w:rPr>
        <w:t>Tentative Order</w:t>
      </w:r>
      <w:r w:rsidR="004C2494" w:rsidRPr="009B38AA">
        <w:rPr>
          <w:szCs w:val="26"/>
        </w:rPr>
        <w:t xml:space="preserve"> proposed an ISR of 95</w:t>
      </w:r>
      <w:r w:rsidR="00A31563" w:rsidRPr="009B38AA">
        <w:rPr>
          <w:szCs w:val="26"/>
        </w:rPr>
        <w:t xml:space="preserve"> percent</w:t>
      </w:r>
      <w:r w:rsidR="004C2494" w:rsidRPr="009B38AA">
        <w:rPr>
          <w:szCs w:val="26"/>
        </w:rPr>
        <w:t xml:space="preserve"> </w:t>
      </w:r>
      <w:r w:rsidR="0046422F" w:rsidRPr="009B38AA">
        <w:rPr>
          <w:szCs w:val="26"/>
        </w:rPr>
        <w:t xml:space="preserve">in </w:t>
      </w:r>
      <w:r w:rsidR="004C2494" w:rsidRPr="009B38AA">
        <w:rPr>
          <w:szCs w:val="26"/>
        </w:rPr>
        <w:t>footnote 107</w:t>
      </w:r>
      <w:r w:rsidR="0046422F" w:rsidRPr="009B38AA">
        <w:rPr>
          <w:szCs w:val="26"/>
        </w:rPr>
        <w:t>, but</w:t>
      </w:r>
      <w:r w:rsidR="004C2494" w:rsidRPr="009B38AA">
        <w:rPr>
          <w:szCs w:val="26"/>
        </w:rPr>
        <w:t xml:space="preserve"> then </w:t>
      </w:r>
      <w:r w:rsidR="0046422F" w:rsidRPr="009B38AA">
        <w:rPr>
          <w:szCs w:val="26"/>
        </w:rPr>
        <w:t xml:space="preserve">stated </w:t>
      </w:r>
      <w:r w:rsidR="004C2494" w:rsidRPr="009B38AA">
        <w:rPr>
          <w:szCs w:val="26"/>
        </w:rPr>
        <w:t>that the 95</w:t>
      </w:r>
      <w:r w:rsidR="00A31563" w:rsidRPr="009B38AA">
        <w:rPr>
          <w:szCs w:val="26"/>
        </w:rPr>
        <w:t xml:space="preserve"> percent</w:t>
      </w:r>
      <w:r w:rsidR="004C2494" w:rsidRPr="009B38AA">
        <w:rPr>
          <w:szCs w:val="26"/>
        </w:rPr>
        <w:t xml:space="preserve"> value was “Subject to verification through evaluation.”</w:t>
      </w:r>
      <w:r w:rsidR="004C2494" w:rsidRPr="009B38AA">
        <w:rPr>
          <w:rStyle w:val="FootnoteReference"/>
          <w:szCs w:val="26"/>
        </w:rPr>
        <w:footnoteReference w:id="16"/>
      </w:r>
      <w:r w:rsidR="004C53A1" w:rsidRPr="009B38AA">
        <w:rPr>
          <w:szCs w:val="26"/>
        </w:rPr>
        <w:t xml:space="preserve">  PPL </w:t>
      </w:r>
      <w:r w:rsidR="0046422F" w:rsidRPr="009B38AA">
        <w:rPr>
          <w:szCs w:val="26"/>
        </w:rPr>
        <w:t xml:space="preserve">suggests </w:t>
      </w:r>
      <w:r w:rsidR="004C53A1" w:rsidRPr="009B38AA">
        <w:rPr>
          <w:szCs w:val="26"/>
        </w:rPr>
        <w:t>that</w:t>
      </w:r>
      <w:r w:rsidR="0046422F" w:rsidRPr="009B38AA">
        <w:rPr>
          <w:szCs w:val="26"/>
        </w:rPr>
        <w:t xml:space="preserve"> </w:t>
      </w:r>
      <w:r w:rsidR="004C53A1" w:rsidRPr="009B38AA">
        <w:rPr>
          <w:szCs w:val="26"/>
        </w:rPr>
        <w:t>the ISR value be updated, if necessary, in future TRMs</w:t>
      </w:r>
      <w:r w:rsidR="0046422F" w:rsidRPr="009B38AA">
        <w:rPr>
          <w:szCs w:val="26"/>
        </w:rPr>
        <w:t xml:space="preserve"> </w:t>
      </w:r>
      <w:r w:rsidR="001421FE" w:rsidRPr="009B38AA">
        <w:rPr>
          <w:szCs w:val="26"/>
        </w:rPr>
        <w:t>a</w:t>
      </w:r>
      <w:r w:rsidR="0046422F" w:rsidRPr="009B38AA">
        <w:rPr>
          <w:szCs w:val="26"/>
        </w:rPr>
        <w:t>nd that t</w:t>
      </w:r>
      <w:r w:rsidR="004C53A1" w:rsidRPr="009B38AA">
        <w:rPr>
          <w:szCs w:val="26"/>
        </w:rPr>
        <w:t xml:space="preserve">he TWG would be an appropriate forum for </w:t>
      </w:r>
      <w:r w:rsidR="0046422F" w:rsidRPr="009B38AA">
        <w:rPr>
          <w:szCs w:val="26"/>
        </w:rPr>
        <w:t xml:space="preserve">setting this </w:t>
      </w:r>
      <w:r w:rsidR="004C53A1" w:rsidRPr="009B38AA">
        <w:rPr>
          <w:szCs w:val="26"/>
        </w:rPr>
        <w:t>determination.</w:t>
      </w:r>
      <w:r w:rsidR="00940A6F">
        <w:rPr>
          <w:szCs w:val="26"/>
        </w:rPr>
        <w:t xml:space="preserve"> </w:t>
      </w:r>
      <w:r w:rsidR="004C53A1" w:rsidRPr="009B38AA">
        <w:rPr>
          <w:szCs w:val="26"/>
        </w:rPr>
        <w:t xml:space="preserve"> </w:t>
      </w:r>
      <w:proofErr w:type="gramStart"/>
      <w:r w:rsidR="004C53A1" w:rsidRPr="009B38AA">
        <w:rPr>
          <w:szCs w:val="26"/>
        </w:rPr>
        <w:t>PPL Comments at 16</w:t>
      </w:r>
      <w:r w:rsidR="0046422F" w:rsidRPr="009B38AA">
        <w:rPr>
          <w:szCs w:val="26"/>
        </w:rPr>
        <w:t>.</w:t>
      </w:r>
      <w:proofErr w:type="gramEnd"/>
    </w:p>
    <w:p w:rsidR="009D2884" w:rsidRPr="009B38AA" w:rsidRDefault="009D2884" w:rsidP="001F01D3">
      <w:pPr>
        <w:ind w:firstLine="720"/>
        <w:rPr>
          <w:szCs w:val="26"/>
        </w:rPr>
      </w:pPr>
    </w:p>
    <w:p w:rsidR="001F01D3" w:rsidRPr="009B38AA" w:rsidRDefault="001F01D3" w:rsidP="00EB1FAC">
      <w:pPr>
        <w:pStyle w:val="Heading3"/>
        <w:rPr>
          <w:rFonts w:cs="Times New Roman"/>
        </w:rPr>
      </w:pPr>
      <w:r w:rsidRPr="009B38AA">
        <w:rPr>
          <w:rFonts w:cs="Times New Roman"/>
        </w:rPr>
        <w:t>Disposition</w:t>
      </w:r>
    </w:p>
    <w:p w:rsidR="004C53A1" w:rsidRPr="009B38AA" w:rsidRDefault="004C53A1" w:rsidP="00281437">
      <w:pPr>
        <w:rPr>
          <w:szCs w:val="26"/>
        </w:rPr>
      </w:pPr>
    </w:p>
    <w:p w:rsidR="00281437" w:rsidRPr="009B38AA" w:rsidRDefault="00281437" w:rsidP="00281437">
      <w:pPr>
        <w:ind w:firstLine="720"/>
        <w:rPr>
          <w:szCs w:val="26"/>
        </w:rPr>
      </w:pPr>
      <w:r w:rsidRPr="009B38AA">
        <w:rPr>
          <w:szCs w:val="26"/>
        </w:rPr>
        <w:t xml:space="preserve">The Commission agrees with PECO that the language referencing earlier LED protocols should be removed </w:t>
      </w:r>
      <w:r w:rsidR="00BF717D" w:rsidRPr="009B38AA">
        <w:rPr>
          <w:szCs w:val="26"/>
        </w:rPr>
        <w:t>as previous TRMs did not contain LED protocols.</w:t>
      </w:r>
      <w:r w:rsidR="0046422F" w:rsidRPr="009B38AA">
        <w:rPr>
          <w:szCs w:val="26"/>
        </w:rPr>
        <w:t xml:space="preserve">  In addition, we </w:t>
      </w:r>
      <w:r w:rsidRPr="009B38AA">
        <w:rPr>
          <w:szCs w:val="26"/>
        </w:rPr>
        <w:t>corrected the error regarding the 60</w:t>
      </w:r>
      <w:r w:rsidR="002F40DA" w:rsidRPr="009B38AA">
        <w:rPr>
          <w:szCs w:val="26"/>
        </w:rPr>
        <w:t>-</w:t>
      </w:r>
      <w:r w:rsidRPr="009B38AA">
        <w:rPr>
          <w:szCs w:val="26"/>
        </w:rPr>
        <w:t>watt</w:t>
      </w:r>
      <w:r w:rsidR="002F40DA" w:rsidRPr="009B38AA">
        <w:rPr>
          <w:szCs w:val="26"/>
        </w:rPr>
        <w:t xml:space="preserve"> </w:t>
      </w:r>
      <w:r w:rsidRPr="009B38AA">
        <w:rPr>
          <w:szCs w:val="26"/>
        </w:rPr>
        <w:t>equivalent compliance year.  Specifically, the compliance year for the 60</w:t>
      </w:r>
      <w:r w:rsidR="002F40DA" w:rsidRPr="009B38AA">
        <w:rPr>
          <w:szCs w:val="26"/>
        </w:rPr>
        <w:t>-</w:t>
      </w:r>
      <w:r w:rsidRPr="009B38AA">
        <w:rPr>
          <w:szCs w:val="26"/>
        </w:rPr>
        <w:t>watt</w:t>
      </w:r>
      <w:r w:rsidR="002F40DA" w:rsidRPr="009B38AA">
        <w:rPr>
          <w:szCs w:val="26"/>
        </w:rPr>
        <w:t xml:space="preserve"> </w:t>
      </w:r>
      <w:r w:rsidRPr="009B38AA">
        <w:rPr>
          <w:szCs w:val="26"/>
        </w:rPr>
        <w:t xml:space="preserve">equivalent was corrected to 2014 </w:t>
      </w:r>
      <w:r w:rsidR="0046422F" w:rsidRPr="009B38AA">
        <w:rPr>
          <w:szCs w:val="26"/>
        </w:rPr>
        <w:t>to be consistent</w:t>
      </w:r>
      <w:r w:rsidRPr="009B38AA">
        <w:rPr>
          <w:szCs w:val="26"/>
        </w:rPr>
        <w:t xml:space="preserve"> with EISA 2007.</w:t>
      </w:r>
    </w:p>
    <w:p w:rsidR="00281437" w:rsidRPr="009B38AA" w:rsidRDefault="00281437" w:rsidP="00281437">
      <w:pPr>
        <w:ind w:firstLine="720"/>
        <w:rPr>
          <w:szCs w:val="26"/>
        </w:rPr>
      </w:pPr>
    </w:p>
    <w:p w:rsidR="00281437" w:rsidRPr="009B38AA" w:rsidRDefault="00B56515" w:rsidP="00281437">
      <w:pPr>
        <w:ind w:firstLine="720"/>
        <w:rPr>
          <w:szCs w:val="26"/>
        </w:rPr>
      </w:pPr>
      <w:r w:rsidRPr="009B38AA">
        <w:rPr>
          <w:szCs w:val="26"/>
        </w:rPr>
        <w:t>We</w:t>
      </w:r>
      <w:r w:rsidR="00281437" w:rsidRPr="009B38AA">
        <w:rPr>
          <w:szCs w:val="26"/>
        </w:rPr>
        <w:t xml:space="preserve"> </w:t>
      </w:r>
      <w:r w:rsidR="0046422F" w:rsidRPr="009B38AA">
        <w:rPr>
          <w:szCs w:val="26"/>
        </w:rPr>
        <w:t xml:space="preserve">also </w:t>
      </w:r>
      <w:r w:rsidR="00281437" w:rsidRPr="009B38AA">
        <w:rPr>
          <w:szCs w:val="26"/>
        </w:rPr>
        <w:t xml:space="preserve">adopted </w:t>
      </w:r>
      <w:r w:rsidR="00284EF0" w:rsidRPr="009B38AA">
        <w:rPr>
          <w:szCs w:val="26"/>
        </w:rPr>
        <w:t xml:space="preserve">a revised definition </w:t>
      </w:r>
      <w:r w:rsidR="0046422F" w:rsidRPr="009B38AA">
        <w:rPr>
          <w:szCs w:val="26"/>
        </w:rPr>
        <w:t xml:space="preserve">for </w:t>
      </w:r>
      <w:r w:rsidR="00284EF0" w:rsidRPr="009B38AA">
        <w:rPr>
          <w:szCs w:val="26"/>
        </w:rPr>
        <w:t>CF</w:t>
      </w:r>
      <w:r w:rsidR="00164F40" w:rsidRPr="009B38AA">
        <w:rPr>
          <w:szCs w:val="26"/>
        </w:rPr>
        <w:t xml:space="preserve"> based on PECO’s suggestion</w:t>
      </w:r>
      <w:r w:rsidR="00284EF0" w:rsidRPr="009B38AA">
        <w:rPr>
          <w:szCs w:val="26"/>
        </w:rPr>
        <w:t xml:space="preserve"> to clarify the definition such that it </w:t>
      </w:r>
      <w:r w:rsidRPr="009B38AA">
        <w:rPr>
          <w:szCs w:val="26"/>
        </w:rPr>
        <w:t xml:space="preserve">references </w:t>
      </w:r>
      <w:r w:rsidR="00284EF0" w:rsidRPr="009B38AA">
        <w:rPr>
          <w:szCs w:val="26"/>
        </w:rPr>
        <w:t xml:space="preserve">the demand of </w:t>
      </w:r>
      <w:r w:rsidR="00281437" w:rsidRPr="009B38AA">
        <w:rPr>
          <w:szCs w:val="26"/>
        </w:rPr>
        <w:t xml:space="preserve">the technology </w:t>
      </w:r>
      <w:r w:rsidR="00AA1FCD" w:rsidRPr="009B38AA">
        <w:rPr>
          <w:szCs w:val="26"/>
        </w:rPr>
        <w:t>as a whole</w:t>
      </w:r>
      <w:r w:rsidR="004D71BF" w:rsidRPr="009B38AA">
        <w:rPr>
          <w:szCs w:val="26"/>
        </w:rPr>
        <w:t>,</w:t>
      </w:r>
      <w:r w:rsidR="00AA1FCD" w:rsidRPr="009B38AA">
        <w:rPr>
          <w:szCs w:val="26"/>
        </w:rPr>
        <w:t xml:space="preserve"> compared </w:t>
      </w:r>
      <w:r w:rsidR="00281437" w:rsidRPr="009B38AA">
        <w:rPr>
          <w:szCs w:val="26"/>
        </w:rPr>
        <w:t xml:space="preserve">to </w:t>
      </w:r>
      <w:r w:rsidR="00AA1FCD" w:rsidRPr="009B38AA">
        <w:rPr>
          <w:szCs w:val="26"/>
        </w:rPr>
        <w:t xml:space="preserve">a </w:t>
      </w:r>
      <w:r w:rsidR="00281437" w:rsidRPr="009B38AA">
        <w:rPr>
          <w:szCs w:val="26"/>
        </w:rPr>
        <w:t>utility</w:t>
      </w:r>
      <w:r w:rsidR="00AA1FCD" w:rsidRPr="009B38AA">
        <w:rPr>
          <w:szCs w:val="26"/>
        </w:rPr>
        <w:t>’s summer system</w:t>
      </w:r>
      <w:r w:rsidR="00281437" w:rsidRPr="009B38AA">
        <w:rPr>
          <w:szCs w:val="26"/>
        </w:rPr>
        <w:t xml:space="preserve"> peak</w:t>
      </w:r>
      <w:r w:rsidR="00AA1FCD" w:rsidRPr="009B38AA">
        <w:rPr>
          <w:szCs w:val="26"/>
        </w:rPr>
        <w:t>, as defined by Act 129</w:t>
      </w:r>
      <w:r w:rsidR="00281437" w:rsidRPr="009B38AA">
        <w:rPr>
          <w:szCs w:val="26"/>
        </w:rPr>
        <w:t xml:space="preserve">.  </w:t>
      </w:r>
      <w:r w:rsidR="00164F40" w:rsidRPr="009B38AA">
        <w:rPr>
          <w:szCs w:val="26"/>
        </w:rPr>
        <w:t xml:space="preserve">Our revised definition adds clarity to PECO’s suggestion by specifically referencing Act 129’s definition of a utility’s summer system peak.  </w:t>
      </w:r>
      <w:r w:rsidR="00281437" w:rsidRPr="009B38AA">
        <w:rPr>
          <w:szCs w:val="26"/>
        </w:rPr>
        <w:t>The definition</w:t>
      </w:r>
      <w:r w:rsidR="00164F40" w:rsidRPr="009B38AA">
        <w:rPr>
          <w:szCs w:val="26"/>
        </w:rPr>
        <w:t xml:space="preserve"> in the 2011</w:t>
      </w:r>
      <w:r w:rsidR="00281437" w:rsidRPr="009B38AA">
        <w:rPr>
          <w:szCs w:val="26"/>
        </w:rPr>
        <w:t xml:space="preserve"> </w:t>
      </w:r>
      <w:r w:rsidR="00AA1FCD" w:rsidRPr="009B38AA">
        <w:rPr>
          <w:szCs w:val="26"/>
        </w:rPr>
        <w:t>did not state how the system peak was defined</w:t>
      </w:r>
      <w:r w:rsidR="00281437" w:rsidRPr="009B38AA">
        <w:rPr>
          <w:szCs w:val="26"/>
        </w:rPr>
        <w:t xml:space="preserve">.  The definition of </w:t>
      </w:r>
      <w:r w:rsidR="00BF717D" w:rsidRPr="009B38AA">
        <w:rPr>
          <w:szCs w:val="26"/>
        </w:rPr>
        <w:t>CF</w:t>
      </w:r>
      <w:r w:rsidR="00281437" w:rsidRPr="009B38AA">
        <w:rPr>
          <w:szCs w:val="26"/>
        </w:rPr>
        <w:t xml:space="preserve"> has been updated in all appropriate sections of the 2012 TRM for consistency.</w:t>
      </w:r>
    </w:p>
    <w:p w:rsidR="00281437" w:rsidRPr="009B38AA" w:rsidRDefault="00281437" w:rsidP="00281437">
      <w:pPr>
        <w:ind w:firstLine="720"/>
        <w:rPr>
          <w:szCs w:val="26"/>
        </w:rPr>
      </w:pPr>
    </w:p>
    <w:p w:rsidR="00281437" w:rsidRPr="009B38AA" w:rsidRDefault="00B56515" w:rsidP="00281437">
      <w:pPr>
        <w:ind w:firstLine="720"/>
        <w:rPr>
          <w:szCs w:val="26"/>
        </w:rPr>
      </w:pPr>
      <w:r w:rsidRPr="009B38AA">
        <w:rPr>
          <w:szCs w:val="26"/>
        </w:rPr>
        <w:t>We</w:t>
      </w:r>
      <w:r w:rsidR="00281437" w:rsidRPr="009B38AA">
        <w:rPr>
          <w:szCs w:val="26"/>
        </w:rPr>
        <w:t xml:space="preserve"> corrected the measure life error for LED replacements of incandescent reflector lamps</w:t>
      </w:r>
      <w:r w:rsidRPr="009B38AA">
        <w:rPr>
          <w:szCs w:val="26"/>
        </w:rPr>
        <w:t xml:space="preserve"> from 13 to 13.7 as suggested by PECO</w:t>
      </w:r>
      <w:r w:rsidR="00281437" w:rsidRPr="009B38AA">
        <w:rPr>
          <w:szCs w:val="26"/>
        </w:rPr>
        <w:t xml:space="preserve">.  </w:t>
      </w:r>
    </w:p>
    <w:p w:rsidR="00281437" w:rsidRPr="009B38AA" w:rsidRDefault="00281437" w:rsidP="00281437">
      <w:pPr>
        <w:ind w:firstLine="720"/>
        <w:rPr>
          <w:szCs w:val="26"/>
        </w:rPr>
      </w:pPr>
      <w:r w:rsidRPr="009B38AA">
        <w:rPr>
          <w:szCs w:val="26"/>
        </w:rPr>
        <w:tab/>
      </w:r>
    </w:p>
    <w:p w:rsidR="00281437" w:rsidRPr="009B38AA" w:rsidRDefault="00281437" w:rsidP="00281437">
      <w:pPr>
        <w:ind w:firstLine="720"/>
        <w:rPr>
          <w:szCs w:val="26"/>
        </w:rPr>
      </w:pPr>
      <w:r w:rsidRPr="009B38AA">
        <w:rPr>
          <w:szCs w:val="26"/>
        </w:rPr>
        <w:lastRenderedPageBreak/>
        <w:t>The Commission does not agree with PPL’s request to remove footnot</w:t>
      </w:r>
      <w:r w:rsidR="00A31563" w:rsidRPr="009B38AA">
        <w:rPr>
          <w:szCs w:val="26"/>
        </w:rPr>
        <w:t>e 107, which states that the 95 percent</w:t>
      </w:r>
      <w:r w:rsidRPr="009B38AA">
        <w:rPr>
          <w:szCs w:val="26"/>
        </w:rPr>
        <w:t xml:space="preserve"> ISR is “subject to verification through evaluation.”  The Commission believes that the option should be available</w:t>
      </w:r>
      <w:r w:rsidR="00164F40" w:rsidRPr="009B38AA">
        <w:rPr>
          <w:szCs w:val="26"/>
        </w:rPr>
        <w:t xml:space="preserve"> if EDC evaluation resources are allocated to discern program-specific ISR for this measure</w:t>
      </w:r>
      <w:r w:rsidRPr="009B38AA">
        <w:rPr>
          <w:szCs w:val="26"/>
        </w:rPr>
        <w:t xml:space="preserve"> </w:t>
      </w:r>
      <w:r w:rsidR="002F40DA" w:rsidRPr="009B38AA">
        <w:rPr>
          <w:szCs w:val="26"/>
        </w:rPr>
        <w:t xml:space="preserve">and </w:t>
      </w:r>
      <w:r w:rsidRPr="009B38AA">
        <w:rPr>
          <w:szCs w:val="26"/>
        </w:rPr>
        <w:t>that a value in the TRM can be updated through evaluation</w:t>
      </w:r>
      <w:r w:rsidR="00BF717D" w:rsidRPr="009B38AA">
        <w:rPr>
          <w:szCs w:val="26"/>
        </w:rPr>
        <w:t xml:space="preserve"> to more accurately reflect market conditions</w:t>
      </w:r>
      <w:r w:rsidRPr="009B38AA">
        <w:rPr>
          <w:szCs w:val="26"/>
        </w:rPr>
        <w:t>.  Given that this measure is a new protocol with limited penetration in the residential sector</w:t>
      </w:r>
      <w:r w:rsidR="00BF717D" w:rsidRPr="009B38AA">
        <w:rPr>
          <w:szCs w:val="26"/>
        </w:rPr>
        <w:t>,</w:t>
      </w:r>
      <w:r w:rsidRPr="009B38AA">
        <w:rPr>
          <w:szCs w:val="26"/>
        </w:rPr>
        <w:t xml:space="preserve"> the Commission believes that the footnote is appropriate.</w:t>
      </w:r>
    </w:p>
    <w:p w:rsidR="004C53A1" w:rsidRPr="009B38AA" w:rsidRDefault="004C53A1" w:rsidP="00281437">
      <w:pPr>
        <w:rPr>
          <w:szCs w:val="26"/>
        </w:rPr>
      </w:pPr>
    </w:p>
    <w:p w:rsidR="004C53A1" w:rsidRPr="009B38AA" w:rsidRDefault="004C53A1" w:rsidP="00476FEA">
      <w:pPr>
        <w:pStyle w:val="Heading2"/>
        <w:numPr>
          <w:ilvl w:val="1"/>
          <w:numId w:val="19"/>
        </w:numPr>
      </w:pPr>
      <w:r w:rsidRPr="009B38AA">
        <w:t>Holiday Lights</w:t>
      </w:r>
    </w:p>
    <w:p w:rsidR="004C53A1" w:rsidRPr="009B38AA" w:rsidRDefault="004C53A1" w:rsidP="00281437">
      <w:pPr>
        <w:rPr>
          <w:szCs w:val="26"/>
        </w:rPr>
      </w:pPr>
    </w:p>
    <w:p w:rsidR="004C53A1" w:rsidRPr="009B38AA" w:rsidRDefault="004C53A1" w:rsidP="004C53A1">
      <w:pPr>
        <w:pStyle w:val="ListParagraph"/>
        <w:tabs>
          <w:tab w:val="left" w:pos="0"/>
        </w:tabs>
        <w:ind w:left="0" w:firstLine="720"/>
        <w:rPr>
          <w:szCs w:val="26"/>
        </w:rPr>
      </w:pPr>
      <w:r w:rsidRPr="009B38AA">
        <w:rPr>
          <w:szCs w:val="26"/>
        </w:rPr>
        <w:t xml:space="preserve">LED holiday lights reduce energy consumption </w:t>
      </w:r>
      <w:r w:rsidR="009724C6" w:rsidRPr="009B38AA">
        <w:rPr>
          <w:szCs w:val="26"/>
        </w:rPr>
        <w:t xml:space="preserve">by </w:t>
      </w:r>
      <w:r w:rsidRPr="009B38AA">
        <w:rPr>
          <w:szCs w:val="26"/>
        </w:rPr>
        <w:t>up to 90</w:t>
      </w:r>
      <w:r w:rsidR="00A31563" w:rsidRPr="009B38AA">
        <w:rPr>
          <w:szCs w:val="26"/>
        </w:rPr>
        <w:t xml:space="preserve"> percent</w:t>
      </w:r>
      <w:r w:rsidR="009724C6" w:rsidRPr="009B38AA">
        <w:rPr>
          <w:szCs w:val="26"/>
        </w:rPr>
        <w:t xml:space="preserve"> compared to</w:t>
      </w:r>
      <w:r w:rsidR="00164F40" w:rsidRPr="009B38AA">
        <w:rPr>
          <w:szCs w:val="26"/>
        </w:rPr>
        <w:t xml:space="preserve"> incandescent holiday lights</w:t>
      </w:r>
      <w:r w:rsidRPr="009B38AA">
        <w:rPr>
          <w:szCs w:val="26"/>
        </w:rPr>
        <w:t>.  This protocol documents the energy savings attributed to the installation of</w:t>
      </w:r>
      <w:r w:rsidR="009724C6" w:rsidRPr="009B38AA">
        <w:rPr>
          <w:szCs w:val="26"/>
        </w:rPr>
        <w:t xml:space="preserve"> indoor and outdoor</w:t>
      </w:r>
      <w:r w:rsidRPr="009B38AA">
        <w:rPr>
          <w:szCs w:val="26"/>
        </w:rPr>
        <w:t xml:space="preserve"> LED holiday lights.</w:t>
      </w:r>
    </w:p>
    <w:p w:rsidR="004C53A1" w:rsidRPr="009B38AA" w:rsidRDefault="004C53A1" w:rsidP="00281437">
      <w:pPr>
        <w:rPr>
          <w:szCs w:val="26"/>
        </w:rPr>
      </w:pPr>
    </w:p>
    <w:p w:rsidR="004C53A1" w:rsidRPr="009B38AA" w:rsidRDefault="004C53A1" w:rsidP="00EB1FAC">
      <w:pPr>
        <w:pStyle w:val="Heading3"/>
        <w:rPr>
          <w:rFonts w:cs="Times New Roman"/>
        </w:rPr>
      </w:pPr>
      <w:r w:rsidRPr="009B38AA">
        <w:rPr>
          <w:rFonts w:cs="Times New Roman"/>
        </w:rPr>
        <w:t>Comments</w:t>
      </w:r>
    </w:p>
    <w:p w:rsidR="004C53A1" w:rsidRPr="009B38AA" w:rsidRDefault="004C53A1" w:rsidP="00281437">
      <w:pPr>
        <w:rPr>
          <w:szCs w:val="26"/>
        </w:rPr>
      </w:pPr>
    </w:p>
    <w:p w:rsidR="004C53A1" w:rsidRPr="009B38AA" w:rsidRDefault="004C53A1" w:rsidP="004C53A1">
      <w:pPr>
        <w:tabs>
          <w:tab w:val="left" w:pos="0"/>
        </w:tabs>
        <w:ind w:firstLine="720"/>
        <w:rPr>
          <w:szCs w:val="26"/>
        </w:rPr>
      </w:pPr>
      <w:r w:rsidRPr="009B38AA">
        <w:rPr>
          <w:szCs w:val="26"/>
        </w:rPr>
        <w:t xml:space="preserve">PECO </w:t>
      </w:r>
      <w:r w:rsidR="009724C6" w:rsidRPr="009B38AA">
        <w:rPr>
          <w:szCs w:val="26"/>
        </w:rPr>
        <w:t xml:space="preserve">requests </w:t>
      </w:r>
      <w:r w:rsidRPr="009B38AA">
        <w:rPr>
          <w:szCs w:val="26"/>
        </w:rPr>
        <w:t xml:space="preserve">that the following language be removed from the Eligibility section of </w:t>
      </w:r>
      <w:r w:rsidR="00BF717D" w:rsidRPr="009B38AA">
        <w:rPr>
          <w:szCs w:val="26"/>
        </w:rPr>
        <w:t>this protocol</w:t>
      </w:r>
      <w:r w:rsidRPr="009B38AA">
        <w:rPr>
          <w:szCs w:val="26"/>
        </w:rPr>
        <w:t>: “Typical requirements for applicants to receive incentives for this measure are as follows:</w:t>
      </w:r>
    </w:p>
    <w:p w:rsidR="004C53A1" w:rsidRPr="009B38AA" w:rsidRDefault="004C53A1" w:rsidP="00810AF2">
      <w:pPr>
        <w:ind w:left="1080" w:hanging="360"/>
        <w:rPr>
          <w:szCs w:val="26"/>
        </w:rPr>
      </w:pPr>
      <w:r w:rsidRPr="009B38AA">
        <w:rPr>
          <w:szCs w:val="26"/>
        </w:rPr>
        <w:t>•</w:t>
      </w:r>
      <w:r w:rsidRPr="009B38AA">
        <w:rPr>
          <w:szCs w:val="26"/>
        </w:rPr>
        <w:tab/>
        <w:t>A deadline for purchase and installation.</w:t>
      </w:r>
    </w:p>
    <w:p w:rsidR="004C53A1" w:rsidRPr="009B38AA" w:rsidRDefault="004C53A1" w:rsidP="00810AF2">
      <w:pPr>
        <w:ind w:left="1080" w:hanging="360"/>
        <w:rPr>
          <w:szCs w:val="26"/>
        </w:rPr>
      </w:pPr>
      <w:r w:rsidRPr="009B38AA">
        <w:rPr>
          <w:szCs w:val="26"/>
        </w:rPr>
        <w:t>•</w:t>
      </w:r>
      <w:r w:rsidRPr="009B38AA">
        <w:rPr>
          <w:szCs w:val="26"/>
        </w:rPr>
        <w:tab/>
        <w:t>Provide proof of purchase and installation.</w:t>
      </w:r>
    </w:p>
    <w:p w:rsidR="004C53A1" w:rsidRPr="009B38AA" w:rsidRDefault="004C53A1" w:rsidP="00810AF2">
      <w:pPr>
        <w:ind w:left="1080" w:hanging="360"/>
        <w:rPr>
          <w:szCs w:val="26"/>
        </w:rPr>
      </w:pPr>
      <w:proofErr w:type="gramStart"/>
      <w:r w:rsidRPr="009B38AA">
        <w:rPr>
          <w:szCs w:val="26"/>
        </w:rPr>
        <w:t>•</w:t>
      </w:r>
      <w:r w:rsidRPr="009B38AA">
        <w:rPr>
          <w:szCs w:val="26"/>
        </w:rPr>
        <w:tab/>
        <w:t xml:space="preserve">An incentive form where customer is to provide information (name, address </w:t>
      </w:r>
      <w:r w:rsidRPr="00940A6F">
        <w:rPr>
          <w:i/>
          <w:szCs w:val="26"/>
        </w:rPr>
        <w:t>etc.</w:t>
      </w:r>
      <w:r w:rsidRPr="009B38AA">
        <w:rPr>
          <w:szCs w:val="26"/>
        </w:rPr>
        <w:t>)”</w:t>
      </w:r>
      <w:proofErr w:type="gramEnd"/>
      <w:r w:rsidRPr="009B38AA">
        <w:rPr>
          <w:rStyle w:val="FootnoteReference"/>
          <w:szCs w:val="26"/>
        </w:rPr>
        <w:footnoteReference w:id="17"/>
      </w:r>
      <w:r w:rsidRPr="009B38AA">
        <w:rPr>
          <w:szCs w:val="26"/>
        </w:rPr>
        <w:t xml:space="preserve"> </w:t>
      </w:r>
    </w:p>
    <w:p w:rsidR="00281437" w:rsidRPr="009B38AA" w:rsidRDefault="00281437" w:rsidP="000437E2">
      <w:pPr>
        <w:rPr>
          <w:szCs w:val="26"/>
        </w:rPr>
      </w:pPr>
    </w:p>
    <w:p w:rsidR="000437E2" w:rsidRPr="009B38AA" w:rsidRDefault="000437E2" w:rsidP="00281437">
      <w:pPr>
        <w:ind w:firstLine="720"/>
        <w:rPr>
          <w:szCs w:val="26"/>
        </w:rPr>
      </w:pPr>
      <w:r w:rsidRPr="009B38AA">
        <w:rPr>
          <w:szCs w:val="26"/>
        </w:rPr>
        <w:lastRenderedPageBreak/>
        <w:t xml:space="preserve">PECO </w:t>
      </w:r>
      <w:r w:rsidR="009724C6" w:rsidRPr="009B38AA">
        <w:rPr>
          <w:szCs w:val="26"/>
        </w:rPr>
        <w:t xml:space="preserve">states </w:t>
      </w:r>
      <w:r w:rsidRPr="009B38AA">
        <w:rPr>
          <w:szCs w:val="26"/>
        </w:rPr>
        <w:t xml:space="preserve">that the bullet points represent program design elements, not eligibility requirements and, as such, may vary by EDC. </w:t>
      </w:r>
      <w:r w:rsidR="00940A6F">
        <w:rPr>
          <w:szCs w:val="26"/>
        </w:rPr>
        <w:t xml:space="preserve"> </w:t>
      </w:r>
      <w:proofErr w:type="gramStart"/>
      <w:r w:rsidRPr="009B38AA">
        <w:rPr>
          <w:szCs w:val="26"/>
        </w:rPr>
        <w:t xml:space="preserve">PECO Comments Appendix </w:t>
      </w:r>
      <w:r w:rsidR="00940A6F">
        <w:rPr>
          <w:szCs w:val="26"/>
        </w:rPr>
        <w:t xml:space="preserve">   </w:t>
      </w:r>
      <w:r w:rsidRPr="009B38AA">
        <w:rPr>
          <w:szCs w:val="26"/>
        </w:rPr>
        <w:t>at 9</w:t>
      </w:r>
      <w:r w:rsidR="009724C6" w:rsidRPr="009B38AA">
        <w:rPr>
          <w:szCs w:val="26"/>
        </w:rPr>
        <w:t>.</w:t>
      </w:r>
      <w:proofErr w:type="gramEnd"/>
    </w:p>
    <w:p w:rsidR="000437E2" w:rsidRPr="009B38AA" w:rsidRDefault="000437E2" w:rsidP="000437E2">
      <w:pPr>
        <w:rPr>
          <w:szCs w:val="26"/>
        </w:rPr>
      </w:pPr>
    </w:p>
    <w:p w:rsidR="004A2A95" w:rsidRPr="009B38AA" w:rsidRDefault="000437E2" w:rsidP="004A2A95">
      <w:pPr>
        <w:rPr>
          <w:szCs w:val="26"/>
        </w:rPr>
      </w:pPr>
      <w:r w:rsidRPr="009B38AA">
        <w:rPr>
          <w:szCs w:val="26"/>
        </w:rPr>
        <w:tab/>
      </w:r>
      <w:r w:rsidR="000420B9" w:rsidRPr="009B38AA">
        <w:rPr>
          <w:szCs w:val="26"/>
        </w:rPr>
        <w:t xml:space="preserve">PECO </w:t>
      </w:r>
      <w:r w:rsidR="009724C6" w:rsidRPr="009B38AA">
        <w:rPr>
          <w:szCs w:val="26"/>
        </w:rPr>
        <w:t xml:space="preserve">further requests </w:t>
      </w:r>
      <w:r w:rsidR="000420B9" w:rsidRPr="009B38AA">
        <w:rPr>
          <w:szCs w:val="26"/>
        </w:rPr>
        <w:t>that the reference to cost estimates in the Key Assumptions section be removed as no other algorithms or comments refer to cost</w:t>
      </w:r>
      <w:r w:rsidR="00815D69" w:rsidRPr="009B38AA">
        <w:rPr>
          <w:szCs w:val="26"/>
        </w:rPr>
        <w:t xml:space="preserve"> and are not necessary</w:t>
      </w:r>
      <w:r w:rsidR="000420B9" w:rsidRPr="009B38AA">
        <w:rPr>
          <w:szCs w:val="26"/>
        </w:rPr>
        <w:t xml:space="preserve">.  </w:t>
      </w:r>
      <w:proofErr w:type="gramStart"/>
      <w:r w:rsidR="000420B9" w:rsidRPr="009B38AA">
        <w:rPr>
          <w:szCs w:val="26"/>
        </w:rPr>
        <w:t>PECO Comments Appendix at 9</w:t>
      </w:r>
      <w:r w:rsidR="00815D69" w:rsidRPr="009B38AA">
        <w:rPr>
          <w:szCs w:val="26"/>
        </w:rPr>
        <w:t>.</w:t>
      </w:r>
      <w:proofErr w:type="gramEnd"/>
      <w:r w:rsidR="00815D69" w:rsidRPr="009B38AA">
        <w:rPr>
          <w:szCs w:val="26"/>
        </w:rPr>
        <w:t xml:space="preserve">  </w:t>
      </w:r>
      <w:r w:rsidR="000420B9" w:rsidRPr="009B38AA">
        <w:rPr>
          <w:szCs w:val="26"/>
        </w:rPr>
        <w:t xml:space="preserve">PECO also </w:t>
      </w:r>
      <w:r w:rsidR="00815D69" w:rsidRPr="009B38AA">
        <w:rPr>
          <w:szCs w:val="26"/>
        </w:rPr>
        <w:t xml:space="preserve">recommends </w:t>
      </w:r>
      <w:r w:rsidR="000420B9" w:rsidRPr="009B38AA">
        <w:rPr>
          <w:szCs w:val="26"/>
        </w:rPr>
        <w:t>that the definition of “# Strands” be modified</w:t>
      </w:r>
      <w:r w:rsidR="00815D69" w:rsidRPr="009B38AA">
        <w:rPr>
          <w:szCs w:val="26"/>
        </w:rPr>
        <w:t xml:space="preserve"> by the addition of “per package” at the end</w:t>
      </w:r>
      <w:r w:rsidR="000420B9" w:rsidRPr="009B38AA">
        <w:rPr>
          <w:szCs w:val="26"/>
        </w:rPr>
        <w:t xml:space="preserve">.  PECO </w:t>
      </w:r>
      <w:r w:rsidR="00815D69" w:rsidRPr="009B38AA">
        <w:rPr>
          <w:szCs w:val="26"/>
        </w:rPr>
        <w:t xml:space="preserve">asserts </w:t>
      </w:r>
      <w:r w:rsidR="000420B9" w:rsidRPr="009B38AA">
        <w:rPr>
          <w:szCs w:val="26"/>
        </w:rPr>
        <w:t xml:space="preserve">that a single package of LED holiday lights is the operative unit of the energy savings calculation. </w:t>
      </w:r>
      <w:proofErr w:type="gramStart"/>
      <w:r w:rsidR="000420B9" w:rsidRPr="009B38AA">
        <w:rPr>
          <w:szCs w:val="26"/>
        </w:rPr>
        <w:t>PECO Comments Appendix at 9</w:t>
      </w:r>
      <w:r w:rsidR="00815D69" w:rsidRPr="009B38AA">
        <w:rPr>
          <w:szCs w:val="26"/>
        </w:rPr>
        <w:t>.</w:t>
      </w:r>
      <w:proofErr w:type="gramEnd"/>
      <w:r w:rsidR="00815D69" w:rsidRPr="009B38AA">
        <w:rPr>
          <w:szCs w:val="26"/>
        </w:rPr>
        <w:t xml:space="preserve">  Finally, </w:t>
      </w:r>
      <w:r w:rsidR="004A2A95" w:rsidRPr="009B38AA">
        <w:rPr>
          <w:szCs w:val="26"/>
        </w:rPr>
        <w:t xml:space="preserve">PECO </w:t>
      </w:r>
      <w:r w:rsidR="00815D69" w:rsidRPr="009B38AA">
        <w:rPr>
          <w:szCs w:val="26"/>
        </w:rPr>
        <w:t>recommends the</w:t>
      </w:r>
      <w:r w:rsidR="004A2A95" w:rsidRPr="009B38AA">
        <w:rPr>
          <w:szCs w:val="26"/>
        </w:rPr>
        <w:t xml:space="preserve"> </w:t>
      </w:r>
      <w:r w:rsidR="00815D69" w:rsidRPr="009B38AA">
        <w:rPr>
          <w:szCs w:val="26"/>
        </w:rPr>
        <w:t xml:space="preserve">removal of </w:t>
      </w:r>
      <w:r w:rsidR="004A2A95" w:rsidRPr="009B38AA">
        <w:rPr>
          <w:szCs w:val="26"/>
        </w:rPr>
        <w:t xml:space="preserve">the three Weight factor terms from the Definition of Terms section as they are not used in any algorithm. </w:t>
      </w:r>
      <w:proofErr w:type="gramStart"/>
      <w:r w:rsidR="004A2A95" w:rsidRPr="009B38AA">
        <w:rPr>
          <w:szCs w:val="26"/>
        </w:rPr>
        <w:t>PECO Comments Appendix at 9</w:t>
      </w:r>
      <w:r w:rsidR="00815D69" w:rsidRPr="009B38AA">
        <w:rPr>
          <w:szCs w:val="26"/>
        </w:rPr>
        <w:t>.</w:t>
      </w:r>
      <w:proofErr w:type="gramEnd"/>
      <w:r w:rsidR="004A2A95" w:rsidRPr="009B38AA">
        <w:rPr>
          <w:szCs w:val="26"/>
        </w:rPr>
        <w:t xml:space="preserve">  The three Weight factor terms in the proposed 2012 TRM were: “</w:t>
      </w:r>
      <w:proofErr w:type="spellStart"/>
      <w:r w:rsidR="004A2A95" w:rsidRPr="009B38AA">
        <w:rPr>
          <w:i/>
          <w:szCs w:val="26"/>
        </w:rPr>
        <w:t>WMini</w:t>
      </w:r>
      <w:proofErr w:type="spellEnd"/>
      <w:r w:rsidR="004A2A95" w:rsidRPr="009B38AA">
        <w:rPr>
          <w:i/>
          <w:szCs w:val="26"/>
        </w:rPr>
        <w:t xml:space="preserve"> = Weight factor of mini bulbs</w:t>
      </w:r>
      <w:r w:rsidR="004A2A95" w:rsidRPr="009B38AA">
        <w:rPr>
          <w:szCs w:val="26"/>
        </w:rPr>
        <w:t>,” “</w:t>
      </w:r>
      <w:r w:rsidR="004A2A95" w:rsidRPr="009B38AA">
        <w:rPr>
          <w:i/>
          <w:szCs w:val="26"/>
        </w:rPr>
        <w:t>WC7 = Weight factor of C7 bulbs</w:t>
      </w:r>
      <w:r w:rsidR="004A2A95" w:rsidRPr="009B38AA">
        <w:rPr>
          <w:szCs w:val="26"/>
        </w:rPr>
        <w:t>,” and “</w:t>
      </w:r>
      <w:r w:rsidR="004A2A95" w:rsidRPr="009B38AA">
        <w:rPr>
          <w:i/>
          <w:szCs w:val="26"/>
        </w:rPr>
        <w:t>WC9 = Weight factor of C9 bulbs.”</w:t>
      </w:r>
      <w:r w:rsidR="004A2A95" w:rsidRPr="009B38AA">
        <w:rPr>
          <w:rStyle w:val="FootnoteReference"/>
          <w:i/>
          <w:szCs w:val="26"/>
        </w:rPr>
        <w:footnoteReference w:id="18"/>
      </w:r>
      <w:r w:rsidR="004A2A95" w:rsidRPr="009B38AA">
        <w:rPr>
          <w:i/>
          <w:szCs w:val="26"/>
        </w:rPr>
        <w:t xml:space="preserve"> </w:t>
      </w:r>
    </w:p>
    <w:p w:rsidR="004C53A1" w:rsidRPr="009B38AA" w:rsidRDefault="004C53A1" w:rsidP="004C53A1">
      <w:pPr>
        <w:tabs>
          <w:tab w:val="left" w:pos="0"/>
        </w:tabs>
        <w:rPr>
          <w:szCs w:val="26"/>
        </w:rPr>
      </w:pPr>
    </w:p>
    <w:p w:rsidR="004C53A1" w:rsidRPr="009B38AA" w:rsidRDefault="004C53A1" w:rsidP="00EB1FAC">
      <w:pPr>
        <w:pStyle w:val="Heading3"/>
        <w:rPr>
          <w:rFonts w:cs="Times New Roman"/>
        </w:rPr>
      </w:pPr>
      <w:r w:rsidRPr="009B38AA">
        <w:rPr>
          <w:rFonts w:cs="Times New Roman"/>
        </w:rPr>
        <w:t>Disposition</w:t>
      </w:r>
    </w:p>
    <w:p w:rsidR="002078D2" w:rsidRPr="009B38AA" w:rsidRDefault="002078D2" w:rsidP="00281437">
      <w:pPr>
        <w:rPr>
          <w:szCs w:val="26"/>
        </w:rPr>
      </w:pPr>
    </w:p>
    <w:p w:rsidR="000C7E63" w:rsidRPr="009B38AA" w:rsidRDefault="000C7E63" w:rsidP="000C7E63">
      <w:pPr>
        <w:tabs>
          <w:tab w:val="left" w:pos="0"/>
        </w:tabs>
        <w:rPr>
          <w:szCs w:val="26"/>
        </w:rPr>
      </w:pPr>
      <w:r w:rsidRPr="009B38AA">
        <w:rPr>
          <w:szCs w:val="26"/>
        </w:rPr>
        <w:tab/>
        <w:t>The Commission agrees that the eligibility comments</w:t>
      </w:r>
      <w:r w:rsidR="00BF717D" w:rsidRPr="009B38AA">
        <w:rPr>
          <w:szCs w:val="26"/>
        </w:rPr>
        <w:t>,</w:t>
      </w:r>
      <w:r w:rsidRPr="009B38AA">
        <w:rPr>
          <w:szCs w:val="26"/>
        </w:rPr>
        <w:t xml:space="preserve"> referenced </w:t>
      </w:r>
      <w:r w:rsidR="00BF717D" w:rsidRPr="009B38AA">
        <w:rPr>
          <w:szCs w:val="26"/>
        </w:rPr>
        <w:t>by</w:t>
      </w:r>
      <w:r w:rsidRPr="009B38AA">
        <w:rPr>
          <w:szCs w:val="26"/>
        </w:rPr>
        <w:t xml:space="preserve"> PECO</w:t>
      </w:r>
      <w:r w:rsidR="00BF717D" w:rsidRPr="009B38AA">
        <w:rPr>
          <w:szCs w:val="26"/>
        </w:rPr>
        <w:t>,</w:t>
      </w:r>
      <w:r w:rsidRPr="009B38AA">
        <w:rPr>
          <w:szCs w:val="26"/>
        </w:rPr>
        <w:t xml:space="preserve"> should be removed and that the only eligibility requirement should be that the LED holiday lights replace traditional style incandescent lights.  PECO was correct to note that the other proposed eligibility requirements were program design elements and not eligibility requirements.  </w:t>
      </w:r>
      <w:r w:rsidR="00815D69" w:rsidRPr="009B38AA">
        <w:rPr>
          <w:szCs w:val="26"/>
        </w:rPr>
        <w:t>We</w:t>
      </w:r>
      <w:r w:rsidRPr="009B38AA">
        <w:rPr>
          <w:szCs w:val="26"/>
        </w:rPr>
        <w:t xml:space="preserve"> also updated the eligibility requirement language in the TRM and replaced “traditional</w:t>
      </w:r>
      <w:r w:rsidR="002F40DA" w:rsidRPr="009B38AA">
        <w:rPr>
          <w:szCs w:val="26"/>
        </w:rPr>
        <w:t>-</w:t>
      </w:r>
      <w:r w:rsidRPr="009B38AA">
        <w:rPr>
          <w:szCs w:val="26"/>
        </w:rPr>
        <w:t>style holiday lights” with “traditional incandescent holiday lights” for clarity.</w:t>
      </w:r>
    </w:p>
    <w:p w:rsidR="000C7E63" w:rsidRPr="009B38AA" w:rsidRDefault="000C7E63" w:rsidP="000C7E63">
      <w:pPr>
        <w:tabs>
          <w:tab w:val="left" w:pos="0"/>
        </w:tabs>
        <w:rPr>
          <w:szCs w:val="26"/>
        </w:rPr>
      </w:pPr>
    </w:p>
    <w:p w:rsidR="000C7E63" w:rsidRPr="009B38AA" w:rsidRDefault="000C7E63" w:rsidP="000C7E63">
      <w:pPr>
        <w:tabs>
          <w:tab w:val="left" w:pos="0"/>
        </w:tabs>
        <w:rPr>
          <w:szCs w:val="26"/>
        </w:rPr>
      </w:pPr>
      <w:r w:rsidRPr="009B38AA">
        <w:rPr>
          <w:szCs w:val="26"/>
        </w:rPr>
        <w:lastRenderedPageBreak/>
        <w:tab/>
      </w:r>
      <w:r w:rsidR="002D7341" w:rsidRPr="009B38AA">
        <w:rPr>
          <w:szCs w:val="26"/>
        </w:rPr>
        <w:t>In addition</w:t>
      </w:r>
      <w:r w:rsidR="00815D69" w:rsidRPr="009B38AA">
        <w:rPr>
          <w:szCs w:val="26"/>
        </w:rPr>
        <w:t>, we</w:t>
      </w:r>
      <w:r w:rsidRPr="009B38AA">
        <w:rPr>
          <w:szCs w:val="26"/>
        </w:rPr>
        <w:t xml:space="preserve"> removed any language referencing cost estimates from this protocol since no energy saving algorithms or comments reference cost.  The TRM is limited to the determination of the per unit resource savings in physical terms at the customer meter and</w:t>
      </w:r>
      <w:r w:rsidR="00BF717D" w:rsidRPr="009B38AA">
        <w:rPr>
          <w:szCs w:val="26"/>
        </w:rPr>
        <w:t>,</w:t>
      </w:r>
      <w:r w:rsidRPr="009B38AA">
        <w:rPr>
          <w:szCs w:val="26"/>
        </w:rPr>
        <w:t xml:space="preserve"> therefore</w:t>
      </w:r>
      <w:r w:rsidR="00BF717D" w:rsidRPr="009B38AA">
        <w:rPr>
          <w:szCs w:val="26"/>
        </w:rPr>
        <w:t>,</w:t>
      </w:r>
      <w:r w:rsidRPr="009B38AA">
        <w:rPr>
          <w:szCs w:val="26"/>
        </w:rPr>
        <w:t xml:space="preserve"> any language that references cost without cost directly factoring into energy savings algorithms should not be included in the TRM.</w:t>
      </w:r>
    </w:p>
    <w:p w:rsidR="000C7E63" w:rsidRPr="009B38AA" w:rsidRDefault="000C7E63" w:rsidP="000C7E63">
      <w:pPr>
        <w:tabs>
          <w:tab w:val="left" w:pos="0"/>
        </w:tabs>
        <w:rPr>
          <w:szCs w:val="26"/>
        </w:rPr>
      </w:pPr>
    </w:p>
    <w:p w:rsidR="000C7E63" w:rsidRPr="009B38AA" w:rsidRDefault="000C7E63" w:rsidP="000C7E63">
      <w:pPr>
        <w:tabs>
          <w:tab w:val="left" w:pos="0"/>
        </w:tabs>
        <w:rPr>
          <w:szCs w:val="26"/>
        </w:rPr>
      </w:pPr>
      <w:r w:rsidRPr="009B38AA">
        <w:rPr>
          <w:szCs w:val="26"/>
        </w:rPr>
        <w:tab/>
      </w:r>
      <w:r w:rsidR="002D7341" w:rsidRPr="009B38AA">
        <w:rPr>
          <w:szCs w:val="26"/>
        </w:rPr>
        <w:t>Furthermore, we</w:t>
      </w:r>
      <w:r w:rsidRPr="009B38AA">
        <w:rPr>
          <w:szCs w:val="26"/>
        </w:rPr>
        <w:t xml:space="preserve"> agree with PECO that the operative unit of the energy savings calculation for holiday lights is a single package of holiday lights.  The average savings is based on a weighted average of three different bulb sizes for a 25</w:t>
      </w:r>
      <w:r w:rsidR="00F41996" w:rsidRPr="009B38AA">
        <w:rPr>
          <w:szCs w:val="26"/>
        </w:rPr>
        <w:t>-</w:t>
      </w:r>
      <w:r w:rsidRPr="009B38AA">
        <w:rPr>
          <w:szCs w:val="26"/>
        </w:rPr>
        <w:t>bulb strand of LED holiday lights.  EDC data tracking and gathering would likely collect information based on the number of packages of LED holiday lights</w:t>
      </w:r>
      <w:r w:rsidR="002D7341" w:rsidRPr="009B38AA">
        <w:rPr>
          <w:szCs w:val="26"/>
        </w:rPr>
        <w:t xml:space="preserve">.  </w:t>
      </w:r>
      <w:proofErr w:type="gramStart"/>
      <w:r w:rsidR="002D7341" w:rsidRPr="009B38AA">
        <w:rPr>
          <w:szCs w:val="26"/>
        </w:rPr>
        <w:t>As such</w:t>
      </w:r>
      <w:r w:rsidR="00F41996" w:rsidRPr="009B38AA">
        <w:rPr>
          <w:szCs w:val="26"/>
        </w:rPr>
        <w:t>,</w:t>
      </w:r>
      <w:r w:rsidRPr="009B38AA">
        <w:rPr>
          <w:szCs w:val="26"/>
        </w:rPr>
        <w:t xml:space="preserve"> the definition of “# of strands” was updated to incorporate PECO’s suggestion </w:t>
      </w:r>
      <w:r w:rsidR="002D7341" w:rsidRPr="009B38AA">
        <w:rPr>
          <w:szCs w:val="26"/>
        </w:rPr>
        <w:t xml:space="preserve">by adding </w:t>
      </w:r>
      <w:r w:rsidRPr="009B38AA">
        <w:rPr>
          <w:szCs w:val="26"/>
        </w:rPr>
        <w:t>“per package” to the end of the proposed definition.</w:t>
      </w:r>
      <w:proofErr w:type="gramEnd"/>
      <w:r w:rsidRPr="009B38AA">
        <w:rPr>
          <w:szCs w:val="26"/>
        </w:rPr>
        <w:t xml:space="preserve">  By modifying the definition of “# of strands</w:t>
      </w:r>
      <w:r w:rsidR="00F41996" w:rsidRPr="009B38AA">
        <w:rPr>
          <w:szCs w:val="26"/>
        </w:rPr>
        <w:t>,</w:t>
      </w:r>
      <w:r w:rsidRPr="009B38AA">
        <w:rPr>
          <w:szCs w:val="26"/>
        </w:rPr>
        <w:t>” the protocol algorithms now reflect savings on a per package basis.</w:t>
      </w:r>
    </w:p>
    <w:p w:rsidR="000C7E63" w:rsidRPr="009B38AA" w:rsidRDefault="000C7E63" w:rsidP="000C7E63">
      <w:pPr>
        <w:tabs>
          <w:tab w:val="left" w:pos="0"/>
        </w:tabs>
        <w:rPr>
          <w:szCs w:val="26"/>
        </w:rPr>
      </w:pPr>
    </w:p>
    <w:p w:rsidR="000C7E63" w:rsidRPr="009B38AA" w:rsidRDefault="000C7E63" w:rsidP="000C7E63">
      <w:pPr>
        <w:tabs>
          <w:tab w:val="left" w:pos="0"/>
        </w:tabs>
        <w:rPr>
          <w:szCs w:val="26"/>
        </w:rPr>
      </w:pPr>
      <w:r w:rsidRPr="009B38AA">
        <w:rPr>
          <w:szCs w:val="26"/>
        </w:rPr>
        <w:tab/>
      </w:r>
      <w:r w:rsidR="002D7341" w:rsidRPr="009B38AA">
        <w:rPr>
          <w:szCs w:val="26"/>
        </w:rPr>
        <w:t>Finally, we</w:t>
      </w:r>
      <w:r w:rsidRPr="009B38AA">
        <w:rPr>
          <w:szCs w:val="26"/>
        </w:rPr>
        <w:t xml:space="preserve"> accept PECO’</w:t>
      </w:r>
      <w:r w:rsidR="00F41996" w:rsidRPr="009B38AA">
        <w:rPr>
          <w:szCs w:val="26"/>
        </w:rPr>
        <w:t>s recommendation to remove the W</w:t>
      </w:r>
      <w:r w:rsidRPr="009B38AA">
        <w:rPr>
          <w:szCs w:val="26"/>
        </w:rPr>
        <w:t xml:space="preserve">eight factor terms </w:t>
      </w:r>
      <w:r w:rsidR="002D7341" w:rsidRPr="009B38AA">
        <w:rPr>
          <w:szCs w:val="26"/>
        </w:rPr>
        <w:t xml:space="preserve">as </w:t>
      </w:r>
      <w:r w:rsidRPr="009B38AA">
        <w:rPr>
          <w:szCs w:val="26"/>
        </w:rPr>
        <w:t>they are not used in th</w:t>
      </w:r>
      <w:r w:rsidR="00F41996" w:rsidRPr="009B38AA">
        <w:rPr>
          <w:szCs w:val="26"/>
        </w:rPr>
        <w:t>e algorithms.  By removing the W</w:t>
      </w:r>
      <w:r w:rsidRPr="009B38AA">
        <w:rPr>
          <w:szCs w:val="26"/>
        </w:rPr>
        <w:t>eight factors</w:t>
      </w:r>
      <w:r w:rsidR="00F41996" w:rsidRPr="009B38AA">
        <w:rPr>
          <w:szCs w:val="26"/>
        </w:rPr>
        <w:t>,</w:t>
      </w:r>
      <w:r w:rsidRPr="009B38AA">
        <w:rPr>
          <w:szCs w:val="26"/>
        </w:rPr>
        <w:t xml:space="preserve"> the algorithms allow savings to be calculated by lamp type</w:t>
      </w:r>
      <w:r w:rsidR="00F41996" w:rsidRPr="009B38AA">
        <w:rPr>
          <w:szCs w:val="26"/>
        </w:rPr>
        <w:t>,</w:t>
      </w:r>
      <w:r w:rsidRPr="009B38AA">
        <w:rPr>
          <w:szCs w:val="26"/>
        </w:rPr>
        <w:t xml:space="preserve"> if the lamp type is known or set by program design.  Otherwise</w:t>
      </w:r>
      <w:r w:rsidR="00F41996" w:rsidRPr="009B38AA">
        <w:rPr>
          <w:szCs w:val="26"/>
        </w:rPr>
        <w:t>,</w:t>
      </w:r>
      <w:r w:rsidRPr="009B38AA">
        <w:rPr>
          <w:szCs w:val="26"/>
        </w:rPr>
        <w:t xml:space="preserve"> the protocol states that if the lamp type is not known “the savings for the “mini</w:t>
      </w:r>
      <w:r w:rsidR="00F41996" w:rsidRPr="009B38AA">
        <w:rPr>
          <w:szCs w:val="26"/>
        </w:rPr>
        <w:t>,</w:t>
      </w:r>
      <w:r w:rsidRPr="009B38AA">
        <w:rPr>
          <w:szCs w:val="26"/>
        </w:rPr>
        <w:t>” “C7</w:t>
      </w:r>
      <w:r w:rsidR="00F41996" w:rsidRPr="009B38AA">
        <w:rPr>
          <w:szCs w:val="26"/>
        </w:rPr>
        <w:t>,</w:t>
      </w:r>
      <w:r w:rsidRPr="009B38AA">
        <w:rPr>
          <w:szCs w:val="26"/>
        </w:rPr>
        <w:t>” and “C9” varieties should be weighted by 0.5, 0.25 and 0.25 respectively.”</w:t>
      </w:r>
      <w:r w:rsidR="00F41996" w:rsidRPr="009B38AA">
        <w:rPr>
          <w:rStyle w:val="FootnoteReference"/>
          <w:szCs w:val="26"/>
        </w:rPr>
        <w:footnoteReference w:id="19"/>
      </w:r>
    </w:p>
    <w:p w:rsidR="007C7AA8" w:rsidRPr="009B38AA" w:rsidRDefault="007C7AA8" w:rsidP="00281437">
      <w:pPr>
        <w:rPr>
          <w:szCs w:val="26"/>
        </w:rPr>
      </w:pPr>
    </w:p>
    <w:p w:rsidR="001421FE" w:rsidRPr="009B38AA" w:rsidRDefault="001421FE" w:rsidP="00281437">
      <w:pPr>
        <w:rPr>
          <w:szCs w:val="26"/>
        </w:rPr>
      </w:pPr>
    </w:p>
    <w:p w:rsidR="001421FE" w:rsidRDefault="001421FE" w:rsidP="00281437">
      <w:pPr>
        <w:rPr>
          <w:szCs w:val="26"/>
        </w:rPr>
      </w:pPr>
    </w:p>
    <w:p w:rsidR="00940A6F" w:rsidRPr="009B38AA" w:rsidRDefault="00940A6F" w:rsidP="00281437">
      <w:pPr>
        <w:rPr>
          <w:szCs w:val="26"/>
        </w:rPr>
      </w:pPr>
    </w:p>
    <w:p w:rsidR="001421FE" w:rsidRPr="009B38AA" w:rsidRDefault="001421FE" w:rsidP="00281437">
      <w:pPr>
        <w:rPr>
          <w:szCs w:val="26"/>
        </w:rPr>
      </w:pPr>
    </w:p>
    <w:p w:rsidR="002078D2" w:rsidRPr="009B38AA" w:rsidRDefault="002078D2" w:rsidP="00940A6F">
      <w:pPr>
        <w:pStyle w:val="Heading2"/>
        <w:spacing w:line="240" w:lineRule="auto"/>
      </w:pPr>
      <w:r w:rsidRPr="009B38AA">
        <w:lastRenderedPageBreak/>
        <w:t>Pool Pump Load Shifting</w:t>
      </w:r>
      <w:r w:rsidR="00F41996" w:rsidRPr="009B38AA">
        <w:t xml:space="preserve"> &amp; Pool Pump with VFD Motor and Load Shifting</w:t>
      </w:r>
    </w:p>
    <w:p w:rsidR="002078D2" w:rsidRPr="009B38AA" w:rsidRDefault="002078D2" w:rsidP="002078D2">
      <w:pPr>
        <w:pStyle w:val="ListParagraph"/>
        <w:tabs>
          <w:tab w:val="left" w:pos="0"/>
        </w:tabs>
        <w:ind w:left="1440"/>
        <w:rPr>
          <w:szCs w:val="26"/>
        </w:rPr>
      </w:pPr>
    </w:p>
    <w:p w:rsidR="002078D2" w:rsidRPr="009B38AA" w:rsidRDefault="00F41996" w:rsidP="002078D2">
      <w:pPr>
        <w:pStyle w:val="ListParagraph"/>
        <w:tabs>
          <w:tab w:val="left" w:pos="0"/>
        </w:tabs>
        <w:ind w:left="0" w:firstLine="720"/>
        <w:rPr>
          <w:szCs w:val="26"/>
        </w:rPr>
      </w:pPr>
      <w:r w:rsidRPr="009B38AA">
        <w:rPr>
          <w:szCs w:val="26"/>
        </w:rPr>
        <w:t>The Pool Pump Load Shifting protocol</w:t>
      </w:r>
      <w:r w:rsidR="007C7AA8" w:rsidRPr="009B38AA">
        <w:rPr>
          <w:szCs w:val="26"/>
        </w:rPr>
        <w:t xml:space="preserve"> documents the energy savings attributed to </w:t>
      </w:r>
      <w:r w:rsidR="002D7341" w:rsidRPr="009B38AA">
        <w:rPr>
          <w:szCs w:val="26"/>
        </w:rPr>
        <w:t xml:space="preserve">the </w:t>
      </w:r>
      <w:r w:rsidR="007C7AA8" w:rsidRPr="009B38AA">
        <w:rPr>
          <w:szCs w:val="26"/>
        </w:rPr>
        <w:t>schedul</w:t>
      </w:r>
      <w:r w:rsidR="002D7341" w:rsidRPr="009B38AA">
        <w:rPr>
          <w:szCs w:val="26"/>
        </w:rPr>
        <w:t>ing of</w:t>
      </w:r>
      <w:r w:rsidR="007C7AA8" w:rsidRPr="009B38AA">
        <w:rPr>
          <w:szCs w:val="26"/>
        </w:rPr>
        <w:t xml:space="preserve"> residential single</w:t>
      </w:r>
      <w:r w:rsidR="002F40DA" w:rsidRPr="009B38AA">
        <w:rPr>
          <w:szCs w:val="26"/>
        </w:rPr>
        <w:t>-</w:t>
      </w:r>
      <w:r w:rsidR="007C7AA8" w:rsidRPr="009B38AA">
        <w:rPr>
          <w:szCs w:val="26"/>
        </w:rPr>
        <w:t>speed pool pumps to avoid run</w:t>
      </w:r>
      <w:r w:rsidRPr="009B38AA">
        <w:rPr>
          <w:szCs w:val="26"/>
        </w:rPr>
        <w:t>ning</w:t>
      </w:r>
      <w:r w:rsidR="007C7AA8" w:rsidRPr="009B38AA">
        <w:rPr>
          <w:szCs w:val="26"/>
        </w:rPr>
        <w:t xml:space="preserve"> during the peak hours from noon to 8</w:t>
      </w:r>
      <w:r w:rsidR="00AF0A9D" w:rsidRPr="009B38AA">
        <w:rPr>
          <w:szCs w:val="26"/>
        </w:rPr>
        <w:t xml:space="preserve"> </w:t>
      </w:r>
      <w:r w:rsidR="007C7AA8" w:rsidRPr="009B38AA">
        <w:rPr>
          <w:szCs w:val="26"/>
        </w:rPr>
        <w:t>PM.  The residential pool pump reschedule measure is intended to produce demand savings</w:t>
      </w:r>
      <w:r w:rsidR="00D66A7E" w:rsidRPr="009B38AA">
        <w:rPr>
          <w:szCs w:val="26"/>
        </w:rPr>
        <w:t xml:space="preserve"> not consumption reductions</w:t>
      </w:r>
      <w:r w:rsidR="002D7341" w:rsidRPr="009B38AA">
        <w:rPr>
          <w:szCs w:val="26"/>
        </w:rPr>
        <w:t xml:space="preserve">.  </w:t>
      </w:r>
      <w:r w:rsidR="007C7AA8" w:rsidRPr="009B38AA">
        <w:rPr>
          <w:szCs w:val="26"/>
        </w:rPr>
        <w:t xml:space="preserve">The demand savings result from not running pool pumps during the peak hours </w:t>
      </w:r>
      <w:r w:rsidR="00D66A7E" w:rsidRPr="009B38AA">
        <w:rPr>
          <w:szCs w:val="26"/>
        </w:rPr>
        <w:t xml:space="preserve">from </w:t>
      </w:r>
      <w:r w:rsidR="007C7AA8" w:rsidRPr="009B38AA">
        <w:rPr>
          <w:szCs w:val="26"/>
        </w:rPr>
        <w:t>noon to 8PM</w:t>
      </w:r>
      <w:r w:rsidR="00D66A7E" w:rsidRPr="009B38AA">
        <w:rPr>
          <w:szCs w:val="26"/>
        </w:rPr>
        <w:t xml:space="preserve"> on weekdays</w:t>
      </w:r>
      <w:r w:rsidR="007C7AA8" w:rsidRPr="009B38AA">
        <w:rPr>
          <w:szCs w:val="26"/>
        </w:rPr>
        <w:t>.</w:t>
      </w:r>
    </w:p>
    <w:p w:rsidR="00F41996" w:rsidRPr="009B38AA" w:rsidRDefault="00F41996" w:rsidP="002078D2">
      <w:pPr>
        <w:pStyle w:val="ListParagraph"/>
        <w:tabs>
          <w:tab w:val="left" w:pos="0"/>
        </w:tabs>
        <w:ind w:left="0" w:firstLine="720"/>
        <w:rPr>
          <w:szCs w:val="26"/>
        </w:rPr>
      </w:pPr>
    </w:p>
    <w:p w:rsidR="00F41996" w:rsidRPr="009B38AA" w:rsidRDefault="00F41996" w:rsidP="00F41996">
      <w:pPr>
        <w:ind w:firstLine="720"/>
        <w:rPr>
          <w:szCs w:val="26"/>
        </w:rPr>
      </w:pPr>
      <w:r w:rsidRPr="009B38AA">
        <w:rPr>
          <w:szCs w:val="26"/>
        </w:rPr>
        <w:t xml:space="preserve">The Pool Pump with VFD Motor and Load Shifting measure has two potential components.  </w:t>
      </w:r>
      <w:r w:rsidR="00EF3E93" w:rsidRPr="009B38AA">
        <w:rPr>
          <w:szCs w:val="26"/>
        </w:rPr>
        <w:t>The first component is the VFD on a pool pump that is</w:t>
      </w:r>
      <w:r w:rsidRPr="009B38AA">
        <w:rPr>
          <w:szCs w:val="26"/>
        </w:rPr>
        <w:t xml:space="preserve"> installed on a residential pool.  </w:t>
      </w:r>
      <w:r w:rsidR="00EF3E93" w:rsidRPr="009B38AA">
        <w:rPr>
          <w:szCs w:val="26"/>
        </w:rPr>
        <w:t xml:space="preserve">VFDs on pool pumps can adjust the flow rate so that </w:t>
      </w:r>
      <w:r w:rsidRPr="009B38AA">
        <w:rPr>
          <w:szCs w:val="26"/>
        </w:rPr>
        <w:t>the minimal required flow is achieved for each application</w:t>
      </w:r>
      <w:r w:rsidR="00EF3E93" w:rsidRPr="009B38AA">
        <w:rPr>
          <w:szCs w:val="26"/>
        </w:rPr>
        <w:t>, resulting in energy savings</w:t>
      </w:r>
      <w:r w:rsidRPr="009B38AA">
        <w:rPr>
          <w:szCs w:val="26"/>
        </w:rPr>
        <w:t xml:space="preserve">.  </w:t>
      </w:r>
      <w:r w:rsidR="00EF3E93" w:rsidRPr="009B38AA">
        <w:rPr>
          <w:szCs w:val="26"/>
        </w:rPr>
        <w:t xml:space="preserve">The second component is that the variable speed pool pump may be commissioned such that it does not operate from noon to 8 PM on weekdays.  This second, optional step is referred to as load shifting.  </w:t>
      </w:r>
      <w:r w:rsidRPr="009B38AA">
        <w:rPr>
          <w:szCs w:val="26"/>
        </w:rPr>
        <w:t>Since the only difference between the VFD pool pump without load shifting and VFD pool pump with load shifting measures pertains to the pool pump operation schedule, this protocol is written such that it may support both measures at once.</w:t>
      </w:r>
    </w:p>
    <w:p w:rsidR="00F41996" w:rsidRPr="009B38AA" w:rsidRDefault="00F41996" w:rsidP="002078D2">
      <w:pPr>
        <w:pStyle w:val="ListParagraph"/>
        <w:tabs>
          <w:tab w:val="left" w:pos="0"/>
        </w:tabs>
        <w:ind w:left="0" w:firstLine="720"/>
        <w:rPr>
          <w:szCs w:val="26"/>
        </w:rPr>
      </w:pPr>
    </w:p>
    <w:p w:rsidR="002078D2" w:rsidRPr="009B38AA" w:rsidRDefault="002078D2" w:rsidP="00EB1FAC">
      <w:pPr>
        <w:pStyle w:val="Heading3"/>
        <w:rPr>
          <w:rFonts w:cs="Times New Roman"/>
        </w:rPr>
      </w:pPr>
      <w:r w:rsidRPr="009B38AA">
        <w:rPr>
          <w:rFonts w:cs="Times New Roman"/>
        </w:rPr>
        <w:t>Comments</w:t>
      </w:r>
    </w:p>
    <w:p w:rsidR="001F01D3" w:rsidRPr="009B38AA" w:rsidRDefault="001F01D3" w:rsidP="001F01D3">
      <w:pPr>
        <w:ind w:firstLine="720"/>
        <w:rPr>
          <w:szCs w:val="26"/>
        </w:rPr>
      </w:pPr>
    </w:p>
    <w:p w:rsidR="00DD015E" w:rsidRPr="009B38AA" w:rsidRDefault="00DD015E" w:rsidP="001F01D3">
      <w:pPr>
        <w:ind w:firstLine="720"/>
        <w:rPr>
          <w:szCs w:val="26"/>
        </w:rPr>
      </w:pPr>
      <w:r w:rsidRPr="009B38AA">
        <w:rPr>
          <w:szCs w:val="26"/>
        </w:rPr>
        <w:t xml:space="preserve">PECO </w:t>
      </w:r>
      <w:r w:rsidR="00AC221D" w:rsidRPr="009B38AA">
        <w:rPr>
          <w:szCs w:val="26"/>
        </w:rPr>
        <w:t xml:space="preserve">recommends </w:t>
      </w:r>
      <w:r w:rsidRPr="009B38AA">
        <w:rPr>
          <w:szCs w:val="26"/>
        </w:rPr>
        <w:t xml:space="preserve">that the </w:t>
      </w:r>
      <w:proofErr w:type="spellStart"/>
      <w:r w:rsidRPr="009B38AA">
        <w:rPr>
          <w:szCs w:val="26"/>
        </w:rPr>
        <w:t>CF</w:t>
      </w:r>
      <w:r w:rsidRPr="009B38AA">
        <w:rPr>
          <w:szCs w:val="26"/>
          <w:vertAlign w:val="subscript"/>
        </w:rPr>
        <w:t>pre</w:t>
      </w:r>
      <w:proofErr w:type="spellEnd"/>
      <w:r w:rsidRPr="009B38AA">
        <w:rPr>
          <w:rStyle w:val="FootnoteReference"/>
          <w:szCs w:val="26"/>
        </w:rPr>
        <w:footnoteReference w:id="20"/>
      </w:r>
      <w:r w:rsidRPr="009B38AA">
        <w:rPr>
          <w:szCs w:val="26"/>
        </w:rPr>
        <w:t xml:space="preserve"> value</w:t>
      </w:r>
      <w:r w:rsidR="00F41996" w:rsidRPr="009B38AA">
        <w:rPr>
          <w:szCs w:val="26"/>
        </w:rPr>
        <w:t xml:space="preserve"> for both the Pool Pump Load Shifting measure and the Pool Pump VFD Motor and Load Shifting</w:t>
      </w:r>
      <w:r w:rsidRPr="009B38AA">
        <w:rPr>
          <w:szCs w:val="26"/>
        </w:rPr>
        <w:t xml:space="preserve"> </w:t>
      </w:r>
      <w:r w:rsidR="00F41996" w:rsidRPr="009B38AA">
        <w:rPr>
          <w:szCs w:val="26"/>
        </w:rPr>
        <w:t xml:space="preserve">measure </w:t>
      </w:r>
      <w:r w:rsidRPr="009B38AA">
        <w:rPr>
          <w:szCs w:val="26"/>
        </w:rPr>
        <w:t xml:space="preserve">should be 0.235 instead of 0.27 as is listed in the proposed 2012 TRM.  </w:t>
      </w:r>
      <w:r w:rsidR="00AC221D" w:rsidRPr="009B38AA">
        <w:rPr>
          <w:szCs w:val="26"/>
        </w:rPr>
        <w:t xml:space="preserve">Specifically, PECO states that </w:t>
      </w:r>
      <w:r w:rsidRPr="009B38AA">
        <w:rPr>
          <w:szCs w:val="26"/>
        </w:rPr>
        <w:t>“</w:t>
      </w:r>
      <w:r w:rsidR="00AC221D" w:rsidRPr="009B38AA">
        <w:rPr>
          <w:szCs w:val="26"/>
        </w:rPr>
        <w:t xml:space="preserve">[u]sing </w:t>
      </w:r>
      <w:r w:rsidRPr="009B38AA">
        <w:rPr>
          <w:szCs w:val="26"/>
        </w:rPr>
        <w:t xml:space="preserve">the peak period of noon to 8 pm, only the inland hourly coincidence percentages, and the approved non-weather dependent Pennsylvania Coincident Peak Demand </w:t>
      </w:r>
      <w:r w:rsidRPr="009B38AA">
        <w:rPr>
          <w:szCs w:val="26"/>
        </w:rPr>
        <w:lastRenderedPageBreak/>
        <w:t xml:space="preserve">calculator for all utilities results in an average </w:t>
      </w:r>
      <w:proofErr w:type="spellStart"/>
      <w:r w:rsidRPr="009B38AA">
        <w:rPr>
          <w:szCs w:val="26"/>
        </w:rPr>
        <w:t>CF</w:t>
      </w:r>
      <w:r w:rsidRPr="009B38AA">
        <w:rPr>
          <w:szCs w:val="26"/>
          <w:vertAlign w:val="subscript"/>
        </w:rPr>
        <w:t>pre</w:t>
      </w:r>
      <w:proofErr w:type="spellEnd"/>
      <w:r w:rsidRPr="009B38AA">
        <w:rPr>
          <w:szCs w:val="26"/>
        </w:rPr>
        <w:t xml:space="preserve"> value of 0.235 using the same data source</w:t>
      </w:r>
      <w:r w:rsidR="00AC221D" w:rsidRPr="009B38AA">
        <w:rPr>
          <w:szCs w:val="26"/>
        </w:rPr>
        <w:t>.”</w:t>
      </w:r>
      <w:r w:rsidRPr="009B38AA">
        <w:rPr>
          <w:szCs w:val="26"/>
        </w:rPr>
        <w:t xml:space="preserve">  PECO </w:t>
      </w:r>
      <w:r w:rsidR="002138FE" w:rsidRPr="009B38AA">
        <w:rPr>
          <w:szCs w:val="26"/>
        </w:rPr>
        <w:t xml:space="preserve">also </w:t>
      </w:r>
      <w:r w:rsidR="00AC221D" w:rsidRPr="009B38AA">
        <w:rPr>
          <w:szCs w:val="26"/>
        </w:rPr>
        <w:t xml:space="preserve">asserts </w:t>
      </w:r>
      <w:r w:rsidR="002138FE" w:rsidRPr="009B38AA">
        <w:rPr>
          <w:szCs w:val="26"/>
        </w:rPr>
        <w:t xml:space="preserve">that the 0.27 value is artificially inflated through the use of high coincidence factors </w:t>
      </w:r>
      <w:r w:rsidR="00AC221D" w:rsidRPr="009B38AA">
        <w:rPr>
          <w:szCs w:val="26"/>
        </w:rPr>
        <w:t xml:space="preserve">from </w:t>
      </w:r>
      <w:r w:rsidR="002138FE" w:rsidRPr="009B38AA">
        <w:rPr>
          <w:szCs w:val="26"/>
        </w:rPr>
        <w:t xml:space="preserve">the desert areas </w:t>
      </w:r>
      <w:r w:rsidR="00AC221D" w:rsidRPr="009B38AA">
        <w:rPr>
          <w:szCs w:val="26"/>
        </w:rPr>
        <w:t xml:space="preserve">of </w:t>
      </w:r>
      <w:r w:rsidR="002138FE" w:rsidRPr="009B38AA">
        <w:rPr>
          <w:szCs w:val="26"/>
        </w:rPr>
        <w:t>California.</w:t>
      </w:r>
      <w:r w:rsidR="007F5B06" w:rsidRPr="009B38AA">
        <w:rPr>
          <w:szCs w:val="26"/>
        </w:rPr>
        <w:t xml:space="preserve"> </w:t>
      </w:r>
      <w:r w:rsidR="001421FE" w:rsidRPr="009B38AA">
        <w:rPr>
          <w:szCs w:val="26"/>
        </w:rPr>
        <w:t xml:space="preserve"> </w:t>
      </w:r>
      <w:proofErr w:type="gramStart"/>
      <w:r w:rsidR="007F5B06" w:rsidRPr="009B38AA">
        <w:rPr>
          <w:szCs w:val="26"/>
        </w:rPr>
        <w:t>PECO Comments Appendix at 9</w:t>
      </w:r>
      <w:r w:rsidR="00AC221D" w:rsidRPr="009B38AA">
        <w:rPr>
          <w:szCs w:val="26"/>
        </w:rPr>
        <w:t>.</w:t>
      </w:r>
      <w:proofErr w:type="gramEnd"/>
      <w:r w:rsidR="002138FE" w:rsidRPr="009B38AA">
        <w:rPr>
          <w:szCs w:val="26"/>
        </w:rPr>
        <w:t xml:space="preserve">  </w:t>
      </w:r>
    </w:p>
    <w:p w:rsidR="00930003" w:rsidRPr="009B38AA" w:rsidRDefault="00930003" w:rsidP="001F01D3">
      <w:pPr>
        <w:ind w:firstLine="720"/>
        <w:rPr>
          <w:szCs w:val="26"/>
        </w:rPr>
      </w:pPr>
    </w:p>
    <w:p w:rsidR="00930003" w:rsidRPr="009B38AA" w:rsidRDefault="00930003" w:rsidP="00EB1FAC">
      <w:pPr>
        <w:pStyle w:val="Heading3"/>
        <w:rPr>
          <w:rFonts w:cs="Times New Roman"/>
        </w:rPr>
      </w:pPr>
      <w:r w:rsidRPr="009B38AA">
        <w:rPr>
          <w:rFonts w:cs="Times New Roman"/>
        </w:rPr>
        <w:t>Disposition</w:t>
      </w:r>
    </w:p>
    <w:p w:rsidR="00930003" w:rsidRPr="009B38AA" w:rsidRDefault="00930003" w:rsidP="00930003">
      <w:pPr>
        <w:pStyle w:val="ListParagraph"/>
        <w:ind w:left="2160"/>
        <w:rPr>
          <w:b/>
          <w:szCs w:val="26"/>
        </w:rPr>
      </w:pPr>
    </w:p>
    <w:p w:rsidR="00366977" w:rsidRPr="009B38AA" w:rsidRDefault="00366977" w:rsidP="00366977">
      <w:pPr>
        <w:ind w:firstLine="720"/>
        <w:rPr>
          <w:szCs w:val="26"/>
        </w:rPr>
      </w:pPr>
      <w:r w:rsidRPr="009B38AA">
        <w:rPr>
          <w:szCs w:val="26"/>
        </w:rPr>
        <w:t xml:space="preserve">The Commission agrees with PECO’s recommendation to adjust the </w:t>
      </w:r>
      <w:r w:rsidR="00F41996" w:rsidRPr="009B38AA">
        <w:rPr>
          <w:szCs w:val="26"/>
        </w:rPr>
        <w:t>CF</w:t>
      </w:r>
      <w:r w:rsidRPr="009B38AA">
        <w:rPr>
          <w:szCs w:val="26"/>
        </w:rPr>
        <w:t xml:space="preserve"> from 0.27 to 0.235. </w:t>
      </w:r>
      <w:r w:rsidR="00F41996" w:rsidRPr="009B38AA">
        <w:rPr>
          <w:szCs w:val="26"/>
        </w:rPr>
        <w:t xml:space="preserve"> </w:t>
      </w:r>
      <w:r w:rsidRPr="009B38AA">
        <w:rPr>
          <w:szCs w:val="26"/>
        </w:rPr>
        <w:t xml:space="preserve">Where possible, </w:t>
      </w:r>
      <w:r w:rsidR="00AC221D" w:rsidRPr="009B38AA">
        <w:rPr>
          <w:szCs w:val="26"/>
        </w:rPr>
        <w:t>we</w:t>
      </w:r>
      <w:r w:rsidRPr="009B38AA">
        <w:rPr>
          <w:szCs w:val="26"/>
        </w:rPr>
        <w:t xml:space="preserve"> believe that using secondary data is more practical than using tertiary data. </w:t>
      </w:r>
      <w:r w:rsidR="00F41996" w:rsidRPr="009B38AA">
        <w:rPr>
          <w:szCs w:val="26"/>
        </w:rPr>
        <w:t xml:space="preserve"> </w:t>
      </w:r>
      <w:r w:rsidRPr="009B38AA">
        <w:rPr>
          <w:szCs w:val="26"/>
        </w:rPr>
        <w:t xml:space="preserve">Therefore, rather than accepting the </w:t>
      </w:r>
      <w:r w:rsidR="00F41996" w:rsidRPr="009B38AA">
        <w:rPr>
          <w:szCs w:val="26"/>
        </w:rPr>
        <w:t>CF</w:t>
      </w:r>
      <w:r w:rsidRPr="009B38AA">
        <w:rPr>
          <w:szCs w:val="26"/>
        </w:rPr>
        <w:t xml:space="preserve"> stated in the Mid-</w:t>
      </w:r>
      <w:r w:rsidR="000953A1" w:rsidRPr="009B38AA">
        <w:rPr>
          <w:szCs w:val="26"/>
        </w:rPr>
        <w:t>Atlantic TRM,</w:t>
      </w:r>
      <w:r w:rsidR="00F41996" w:rsidRPr="009B38AA">
        <w:rPr>
          <w:rStyle w:val="FootnoteReference"/>
          <w:szCs w:val="26"/>
        </w:rPr>
        <w:footnoteReference w:id="21"/>
      </w:r>
      <w:r w:rsidR="000953A1" w:rsidRPr="009B38AA">
        <w:rPr>
          <w:szCs w:val="26"/>
        </w:rPr>
        <w:t xml:space="preserve"> which uses PJM Interconnection, LLC’s</w:t>
      </w:r>
      <w:r w:rsidRPr="009B38AA">
        <w:rPr>
          <w:szCs w:val="26"/>
        </w:rPr>
        <w:t xml:space="preserve"> summer peak window of 2</w:t>
      </w:r>
      <w:r w:rsidR="00AF0A9D" w:rsidRPr="009B38AA">
        <w:rPr>
          <w:szCs w:val="26"/>
        </w:rPr>
        <w:t xml:space="preserve"> PM</w:t>
      </w:r>
      <w:r w:rsidRPr="009B38AA">
        <w:rPr>
          <w:szCs w:val="26"/>
        </w:rPr>
        <w:t xml:space="preserve"> to 6</w:t>
      </w:r>
      <w:r w:rsidR="00AF0A9D" w:rsidRPr="009B38AA">
        <w:rPr>
          <w:szCs w:val="26"/>
        </w:rPr>
        <w:t xml:space="preserve"> PM</w:t>
      </w:r>
      <w:r w:rsidRPr="009B38AA">
        <w:rPr>
          <w:szCs w:val="26"/>
        </w:rPr>
        <w:t xml:space="preserve"> to determine the </w:t>
      </w:r>
      <w:r w:rsidR="00F41996" w:rsidRPr="009B38AA">
        <w:rPr>
          <w:szCs w:val="26"/>
        </w:rPr>
        <w:t>CF</w:t>
      </w:r>
      <w:r w:rsidRPr="009B38AA">
        <w:rPr>
          <w:szCs w:val="26"/>
        </w:rPr>
        <w:t>, the Commission agrees that using the non-weather dependent peak demand calculator is most appropriate.</w:t>
      </w:r>
      <w:r w:rsidR="004C44A2" w:rsidRPr="009B38AA">
        <w:rPr>
          <w:rStyle w:val="FootnoteReference"/>
          <w:szCs w:val="26"/>
        </w:rPr>
        <w:footnoteReference w:id="22"/>
      </w:r>
      <w:r w:rsidRPr="009B38AA">
        <w:rPr>
          <w:szCs w:val="26"/>
        </w:rPr>
        <w:t xml:space="preserve"> </w:t>
      </w:r>
      <w:r w:rsidR="00F41996" w:rsidRPr="009B38AA">
        <w:rPr>
          <w:szCs w:val="26"/>
        </w:rPr>
        <w:t xml:space="preserve"> </w:t>
      </w:r>
      <w:r w:rsidRPr="009B38AA">
        <w:rPr>
          <w:szCs w:val="26"/>
        </w:rPr>
        <w:t xml:space="preserve">In addition, the Commission agrees that use of data from desert and coastal areas </w:t>
      </w:r>
      <w:r w:rsidR="00F845FD" w:rsidRPr="009B38AA">
        <w:rPr>
          <w:szCs w:val="26"/>
        </w:rPr>
        <w:t>does not accurately represent Pennsylvania</w:t>
      </w:r>
      <w:r w:rsidR="00294875" w:rsidRPr="009B38AA">
        <w:rPr>
          <w:szCs w:val="26"/>
        </w:rPr>
        <w:t>.</w:t>
      </w:r>
      <w:r w:rsidR="00501DF2" w:rsidRPr="009B38AA">
        <w:rPr>
          <w:szCs w:val="26"/>
        </w:rPr>
        <w:t xml:space="preserve"> </w:t>
      </w:r>
      <w:r w:rsidR="00294875" w:rsidRPr="009B38AA">
        <w:rPr>
          <w:szCs w:val="26"/>
        </w:rPr>
        <w:t xml:space="preserve"> T</w:t>
      </w:r>
      <w:r w:rsidR="00501DF2" w:rsidRPr="009B38AA">
        <w:rPr>
          <w:szCs w:val="26"/>
        </w:rPr>
        <w:t xml:space="preserve">herefore only inland valley data </w:t>
      </w:r>
      <w:r w:rsidR="00294875" w:rsidRPr="009B38AA">
        <w:rPr>
          <w:szCs w:val="26"/>
        </w:rPr>
        <w:t>will be</w:t>
      </w:r>
      <w:r w:rsidR="00501DF2" w:rsidRPr="009B38AA">
        <w:rPr>
          <w:szCs w:val="26"/>
        </w:rPr>
        <w:t xml:space="preserve"> used. </w:t>
      </w:r>
      <w:r w:rsidR="00F41996" w:rsidRPr="009B38AA">
        <w:rPr>
          <w:szCs w:val="26"/>
        </w:rPr>
        <w:t xml:space="preserve"> </w:t>
      </w:r>
      <w:r w:rsidR="00294875" w:rsidRPr="009B38AA">
        <w:rPr>
          <w:szCs w:val="26"/>
        </w:rPr>
        <w:t xml:space="preserve">Based on </w:t>
      </w:r>
      <w:r w:rsidR="00F416D0" w:rsidRPr="009B38AA">
        <w:rPr>
          <w:szCs w:val="26"/>
        </w:rPr>
        <w:t xml:space="preserve">these assumptions, the </w:t>
      </w:r>
      <w:r w:rsidR="00294875" w:rsidRPr="009B38AA">
        <w:rPr>
          <w:szCs w:val="26"/>
        </w:rPr>
        <w:t xml:space="preserve">calculated </w:t>
      </w:r>
      <w:r w:rsidR="00F416D0" w:rsidRPr="009B38AA">
        <w:rPr>
          <w:szCs w:val="26"/>
        </w:rPr>
        <w:t xml:space="preserve">statewide average </w:t>
      </w:r>
      <w:r w:rsidR="00F41996" w:rsidRPr="009B38AA">
        <w:rPr>
          <w:szCs w:val="26"/>
        </w:rPr>
        <w:t>CF</w:t>
      </w:r>
      <w:r w:rsidR="00F416D0" w:rsidRPr="009B38AA">
        <w:rPr>
          <w:szCs w:val="26"/>
        </w:rPr>
        <w:t xml:space="preserve"> </w:t>
      </w:r>
      <w:r w:rsidR="00294875" w:rsidRPr="009B38AA">
        <w:rPr>
          <w:szCs w:val="26"/>
        </w:rPr>
        <w:t>has been changed to</w:t>
      </w:r>
      <w:r w:rsidR="00F416D0" w:rsidRPr="009B38AA">
        <w:rPr>
          <w:szCs w:val="26"/>
        </w:rPr>
        <w:t xml:space="preserve"> 0.235 as recommended by PECO.</w:t>
      </w:r>
    </w:p>
    <w:p w:rsidR="00BE1C8A" w:rsidRPr="009B38AA" w:rsidRDefault="00BE1C8A" w:rsidP="00F41996">
      <w:pPr>
        <w:rPr>
          <w:szCs w:val="26"/>
        </w:rPr>
      </w:pPr>
    </w:p>
    <w:p w:rsidR="001421FE" w:rsidRPr="009B38AA" w:rsidRDefault="001421FE" w:rsidP="00F41996">
      <w:pPr>
        <w:rPr>
          <w:szCs w:val="26"/>
        </w:rPr>
      </w:pPr>
    </w:p>
    <w:p w:rsidR="006B5753" w:rsidRPr="009B38AA" w:rsidRDefault="00755D49" w:rsidP="00EB1FAC">
      <w:pPr>
        <w:pStyle w:val="Heading1"/>
      </w:pPr>
      <w:r w:rsidRPr="009B38AA">
        <w:t>Additional Commercial and Industrial EE&amp;C Measure Protocols</w:t>
      </w:r>
    </w:p>
    <w:p w:rsidR="00774D45" w:rsidRPr="009B38AA" w:rsidRDefault="00774D45" w:rsidP="00823908">
      <w:pPr>
        <w:pStyle w:val="p14"/>
        <w:ind w:firstLine="720"/>
        <w:rPr>
          <w:szCs w:val="26"/>
        </w:rPr>
      </w:pPr>
    </w:p>
    <w:p w:rsidR="00823908" w:rsidRPr="009B38AA" w:rsidRDefault="00823908" w:rsidP="00823908">
      <w:pPr>
        <w:pStyle w:val="p14"/>
        <w:ind w:firstLine="720"/>
        <w:rPr>
          <w:szCs w:val="26"/>
        </w:rPr>
      </w:pPr>
      <w:r w:rsidRPr="009B38AA">
        <w:rPr>
          <w:szCs w:val="26"/>
        </w:rPr>
        <w:t xml:space="preserve">The Commission understands that the expansion of the C&amp;I section of the TRM is essential for the accurate, timely and cost-effective measurement and verification of the EDCs’ EE&amp;C programs.  In its </w:t>
      </w:r>
      <w:r w:rsidR="00B31134" w:rsidRPr="009B38AA">
        <w:rPr>
          <w:i/>
          <w:szCs w:val="26"/>
        </w:rPr>
        <w:t>Tentative Order</w:t>
      </w:r>
      <w:r w:rsidRPr="009B38AA">
        <w:rPr>
          <w:szCs w:val="26"/>
        </w:rPr>
        <w:t xml:space="preserve">, the Commission included the addition of 17 new C&amp;I EE&amp;C measure protocols, many of which were measures that constitute a large portion of the EDCs’ reported energy and demand savings.  The EDCs’ independent </w:t>
      </w:r>
      <w:r w:rsidRPr="009B38AA">
        <w:rPr>
          <w:szCs w:val="26"/>
        </w:rPr>
        <w:lastRenderedPageBreak/>
        <w:t xml:space="preserve">evaluators, in collaboration with the SWE, produced, reviewed and edited the proposed new C&amp;I EE&amp;C measure protocols.  </w:t>
      </w:r>
    </w:p>
    <w:p w:rsidR="00823908" w:rsidRPr="009B38AA" w:rsidRDefault="00823908" w:rsidP="00823908">
      <w:pPr>
        <w:ind w:firstLine="720"/>
        <w:rPr>
          <w:szCs w:val="26"/>
        </w:rPr>
      </w:pPr>
    </w:p>
    <w:p w:rsidR="00823908" w:rsidRPr="009B38AA" w:rsidRDefault="00823908" w:rsidP="00823908">
      <w:pPr>
        <w:ind w:firstLine="720"/>
        <w:rPr>
          <w:szCs w:val="26"/>
        </w:rPr>
      </w:pPr>
      <w:r w:rsidRPr="009B38AA">
        <w:rPr>
          <w:szCs w:val="26"/>
        </w:rPr>
        <w:t xml:space="preserve">In its comments, PECO noted that the Commission’s </w:t>
      </w:r>
      <w:r w:rsidR="00B31134" w:rsidRPr="009B38AA">
        <w:rPr>
          <w:i/>
          <w:szCs w:val="26"/>
        </w:rPr>
        <w:t>Tentative Order</w:t>
      </w:r>
      <w:r w:rsidRPr="009B38AA">
        <w:rPr>
          <w:szCs w:val="26"/>
        </w:rPr>
        <w:t xml:space="preserve"> did not </w:t>
      </w:r>
      <w:r w:rsidR="00623B58" w:rsidRPr="009B38AA">
        <w:rPr>
          <w:szCs w:val="26"/>
        </w:rPr>
        <w:t xml:space="preserve">list </w:t>
      </w:r>
      <w:r w:rsidRPr="009B38AA">
        <w:rPr>
          <w:szCs w:val="26"/>
        </w:rPr>
        <w:t xml:space="preserve">the Geothermal Heat Pumps and ENERGY STAR Room Air Conditioner measures in its list of new C&amp;I measures. </w:t>
      </w:r>
      <w:proofErr w:type="gramStart"/>
      <w:r w:rsidRPr="009B38AA">
        <w:rPr>
          <w:szCs w:val="26"/>
        </w:rPr>
        <w:t>PECO Comments Appendix at 3</w:t>
      </w:r>
      <w:r w:rsidR="00623B58" w:rsidRPr="009B38AA">
        <w:rPr>
          <w:szCs w:val="26"/>
        </w:rPr>
        <w:t>.</w:t>
      </w:r>
      <w:proofErr w:type="gramEnd"/>
      <w:r w:rsidRPr="009B38AA">
        <w:rPr>
          <w:szCs w:val="26"/>
        </w:rPr>
        <w:t xml:space="preserve">  </w:t>
      </w:r>
    </w:p>
    <w:p w:rsidR="00823908" w:rsidRPr="009B38AA" w:rsidRDefault="00823908" w:rsidP="00823908">
      <w:pPr>
        <w:pStyle w:val="p14"/>
        <w:ind w:firstLine="720"/>
        <w:rPr>
          <w:szCs w:val="26"/>
        </w:rPr>
      </w:pPr>
    </w:p>
    <w:p w:rsidR="00823908" w:rsidRPr="009B38AA" w:rsidRDefault="00823908" w:rsidP="00823908">
      <w:pPr>
        <w:pStyle w:val="p14"/>
        <w:ind w:firstLine="720"/>
        <w:rPr>
          <w:szCs w:val="26"/>
        </w:rPr>
      </w:pPr>
      <w:r w:rsidRPr="009B38AA">
        <w:rPr>
          <w:szCs w:val="26"/>
        </w:rPr>
        <w:t>The Commission recognizes this omission and has included the Geothermal Heat Pumps and ENERGY STAR Room Air Conditioner measures in its list of new C&amp;I EE&amp;C measures, totaling 19 new C&amp;I measure protocols.</w:t>
      </w:r>
    </w:p>
    <w:p w:rsidR="00823908" w:rsidRPr="009B38AA" w:rsidRDefault="00823908" w:rsidP="00823908">
      <w:pPr>
        <w:pStyle w:val="p3"/>
        <w:tabs>
          <w:tab w:val="clear" w:pos="204"/>
          <w:tab w:val="left" w:pos="720"/>
        </w:tabs>
        <w:rPr>
          <w:szCs w:val="26"/>
        </w:rPr>
      </w:pPr>
    </w:p>
    <w:p w:rsidR="00E35CA1" w:rsidRPr="009B38AA" w:rsidRDefault="00823908" w:rsidP="00D019D6">
      <w:pPr>
        <w:pStyle w:val="p14"/>
        <w:ind w:firstLine="720"/>
        <w:rPr>
          <w:szCs w:val="26"/>
        </w:rPr>
      </w:pPr>
      <w:r w:rsidRPr="009B38AA">
        <w:rPr>
          <w:szCs w:val="26"/>
        </w:rPr>
        <w:t>The following new C&amp;I EE&amp;C measures and associated protocols</w:t>
      </w:r>
      <w:r w:rsidRPr="009B38AA">
        <w:rPr>
          <w:rStyle w:val="FootnoteReference"/>
          <w:szCs w:val="26"/>
        </w:rPr>
        <w:footnoteReference w:id="23"/>
      </w:r>
      <w:r w:rsidRPr="009B38AA">
        <w:rPr>
          <w:szCs w:val="26"/>
        </w:rPr>
        <w:t xml:space="preserve"> were proposed (including Geothermal Heat Pumps and ENERGY STAR Room Air Conditioner) in the 2012 TRM update:</w:t>
      </w:r>
    </w:p>
    <w:p w:rsidR="00823908" w:rsidRPr="009B38AA" w:rsidRDefault="00823908" w:rsidP="00D019D6">
      <w:pPr>
        <w:pStyle w:val="p14"/>
        <w:ind w:firstLine="720"/>
        <w:rPr>
          <w:szCs w:val="26"/>
        </w:rPr>
      </w:pPr>
    </w:p>
    <w:p w:rsidR="00823908" w:rsidRPr="009B38AA" w:rsidRDefault="00823908" w:rsidP="00774D45">
      <w:pPr>
        <w:pStyle w:val="p14"/>
        <w:numPr>
          <w:ilvl w:val="0"/>
          <w:numId w:val="12"/>
        </w:numPr>
        <w:rPr>
          <w:szCs w:val="26"/>
        </w:rPr>
      </w:pPr>
      <w:r w:rsidRPr="009B38AA">
        <w:rPr>
          <w:szCs w:val="26"/>
        </w:rPr>
        <w:t>Exterio</w:t>
      </w:r>
      <w:r w:rsidR="00AF0A9D" w:rsidRPr="009B38AA">
        <w:rPr>
          <w:szCs w:val="26"/>
        </w:rPr>
        <w:t>r Lighting for New Construction,</w:t>
      </w:r>
    </w:p>
    <w:p w:rsidR="00823908" w:rsidRPr="009B38AA" w:rsidRDefault="00823908" w:rsidP="00774D45">
      <w:pPr>
        <w:pStyle w:val="p14"/>
        <w:numPr>
          <w:ilvl w:val="0"/>
          <w:numId w:val="12"/>
        </w:numPr>
        <w:rPr>
          <w:szCs w:val="26"/>
        </w:rPr>
      </w:pPr>
      <w:r w:rsidRPr="009B38AA">
        <w:rPr>
          <w:szCs w:val="26"/>
        </w:rPr>
        <w:t>LED Channel Si</w:t>
      </w:r>
      <w:r w:rsidR="00AF0A9D" w:rsidRPr="009B38AA">
        <w:rPr>
          <w:szCs w:val="26"/>
        </w:rPr>
        <w:t>gnage [LED Signage],</w:t>
      </w:r>
    </w:p>
    <w:p w:rsidR="00823908" w:rsidRPr="009B38AA" w:rsidRDefault="00823908" w:rsidP="00774D45">
      <w:pPr>
        <w:pStyle w:val="p14"/>
        <w:numPr>
          <w:ilvl w:val="0"/>
          <w:numId w:val="12"/>
        </w:numPr>
        <w:rPr>
          <w:szCs w:val="26"/>
        </w:rPr>
      </w:pPr>
      <w:r w:rsidRPr="009B38AA">
        <w:rPr>
          <w:szCs w:val="26"/>
        </w:rPr>
        <w:t xml:space="preserve">Ductless Mini-Split Heat Pumps – Commercial </w:t>
      </w:r>
      <w:r w:rsidR="00AF0A9D" w:rsidRPr="009B38AA">
        <w:rPr>
          <w:szCs w:val="26"/>
        </w:rPr>
        <w:t>&lt;5.4 tons [Ductless Heat Pumps],</w:t>
      </w:r>
    </w:p>
    <w:p w:rsidR="00823908" w:rsidRPr="009B38AA" w:rsidRDefault="00823908" w:rsidP="00774D45">
      <w:pPr>
        <w:pStyle w:val="p14"/>
        <w:numPr>
          <w:ilvl w:val="0"/>
          <w:numId w:val="12"/>
        </w:numPr>
        <w:rPr>
          <w:szCs w:val="26"/>
        </w:rPr>
      </w:pPr>
      <w:r w:rsidRPr="009B38AA">
        <w:rPr>
          <w:szCs w:val="26"/>
        </w:rPr>
        <w:t>Small C&amp;I HVAC</w:t>
      </w:r>
      <w:r w:rsidR="007508D8" w:rsidRPr="009B38AA">
        <w:rPr>
          <w:szCs w:val="26"/>
        </w:rPr>
        <w:t xml:space="preserve"> (Heating, Ventilation and Air Conditioning)</w:t>
      </w:r>
      <w:r w:rsidRPr="009B38AA">
        <w:rPr>
          <w:szCs w:val="26"/>
        </w:rPr>
        <w:t xml:space="preserve"> Refrigerant Charge Correction [Heat Pump</w:t>
      </w:r>
      <w:r w:rsidR="00AF0A9D" w:rsidRPr="009B38AA">
        <w:rPr>
          <w:szCs w:val="26"/>
        </w:rPr>
        <w:t xml:space="preserve"> Refrigerant Charge Correction],</w:t>
      </w:r>
    </w:p>
    <w:p w:rsidR="00823908" w:rsidRPr="009B38AA" w:rsidRDefault="00823908" w:rsidP="00774D45">
      <w:pPr>
        <w:pStyle w:val="p14"/>
        <w:numPr>
          <w:ilvl w:val="0"/>
          <w:numId w:val="12"/>
        </w:numPr>
        <w:rPr>
          <w:szCs w:val="26"/>
        </w:rPr>
      </w:pPr>
      <w:r w:rsidRPr="009B38AA">
        <w:rPr>
          <w:szCs w:val="26"/>
        </w:rPr>
        <w:t>Office Equipment – Network Power Management Enabling [Network Power Management</w:t>
      </w:r>
      <w:r w:rsidR="00AF0A9D" w:rsidRPr="009B38AA">
        <w:rPr>
          <w:szCs w:val="26"/>
        </w:rPr>
        <w:t xml:space="preserve"> Enabling for Office Equipment],</w:t>
      </w:r>
    </w:p>
    <w:p w:rsidR="00823908" w:rsidRPr="009B38AA" w:rsidRDefault="00823908" w:rsidP="00774D45">
      <w:pPr>
        <w:pStyle w:val="p14"/>
        <w:numPr>
          <w:ilvl w:val="0"/>
          <w:numId w:val="12"/>
        </w:numPr>
        <w:rPr>
          <w:szCs w:val="26"/>
        </w:rPr>
      </w:pPr>
      <w:r w:rsidRPr="009B38AA">
        <w:rPr>
          <w:szCs w:val="26"/>
        </w:rPr>
        <w:t>Refrigeration – Night Covers for Display Case</w:t>
      </w:r>
      <w:r w:rsidR="00AF0A9D" w:rsidRPr="009B38AA">
        <w:rPr>
          <w:szCs w:val="26"/>
        </w:rPr>
        <w:t>s [Refrigeration – Night Cover],</w:t>
      </w:r>
    </w:p>
    <w:p w:rsidR="00823908" w:rsidRPr="009B38AA" w:rsidRDefault="00823908" w:rsidP="00774D45">
      <w:pPr>
        <w:pStyle w:val="p14"/>
        <w:numPr>
          <w:ilvl w:val="0"/>
          <w:numId w:val="12"/>
        </w:numPr>
        <w:rPr>
          <w:szCs w:val="26"/>
        </w:rPr>
      </w:pPr>
      <w:r w:rsidRPr="009B38AA">
        <w:rPr>
          <w:szCs w:val="26"/>
        </w:rPr>
        <w:t xml:space="preserve">Refrigeration – Strip Curtains for Walk-In Freezers and Coolers </w:t>
      </w:r>
      <w:r w:rsidRPr="009B38AA">
        <w:rPr>
          <w:szCs w:val="26"/>
        </w:rPr>
        <w:lastRenderedPageBreak/>
        <w:t>[Refrigeration – Strip Curtai</w:t>
      </w:r>
      <w:r w:rsidR="00AF0A9D" w:rsidRPr="009B38AA">
        <w:rPr>
          <w:szCs w:val="26"/>
        </w:rPr>
        <w:t>ns for Walk-In Unit],</w:t>
      </w:r>
    </w:p>
    <w:p w:rsidR="00823908" w:rsidRPr="009B38AA" w:rsidRDefault="00AF0A9D" w:rsidP="00774D45">
      <w:pPr>
        <w:pStyle w:val="p14"/>
        <w:numPr>
          <w:ilvl w:val="0"/>
          <w:numId w:val="12"/>
        </w:numPr>
        <w:rPr>
          <w:szCs w:val="26"/>
        </w:rPr>
      </w:pPr>
      <w:r w:rsidRPr="009B38AA">
        <w:rPr>
          <w:szCs w:val="26"/>
        </w:rPr>
        <w:t>Refrigeration – Auto Closers,</w:t>
      </w:r>
    </w:p>
    <w:p w:rsidR="00823908" w:rsidRPr="009B38AA" w:rsidRDefault="00823908" w:rsidP="00774D45">
      <w:pPr>
        <w:pStyle w:val="p14"/>
        <w:numPr>
          <w:ilvl w:val="0"/>
          <w:numId w:val="12"/>
        </w:numPr>
        <w:rPr>
          <w:szCs w:val="26"/>
        </w:rPr>
      </w:pPr>
      <w:r w:rsidRPr="009B38AA">
        <w:rPr>
          <w:szCs w:val="26"/>
        </w:rPr>
        <w:t>Refrigeration – Door Gaskets for Walk-In Coolers and Freezers</w:t>
      </w:r>
      <w:r w:rsidR="00AF0A9D" w:rsidRPr="009B38AA">
        <w:rPr>
          <w:szCs w:val="26"/>
        </w:rPr>
        <w:t xml:space="preserve"> [Refrigeration – Door Gaskets],</w:t>
      </w:r>
    </w:p>
    <w:p w:rsidR="00823908" w:rsidRPr="009B38AA" w:rsidRDefault="00823908" w:rsidP="00774D45">
      <w:pPr>
        <w:pStyle w:val="p14"/>
        <w:numPr>
          <w:ilvl w:val="0"/>
          <w:numId w:val="12"/>
        </w:numPr>
        <w:rPr>
          <w:szCs w:val="26"/>
        </w:rPr>
      </w:pPr>
      <w:r w:rsidRPr="009B38AA">
        <w:rPr>
          <w:szCs w:val="26"/>
        </w:rPr>
        <w:t xml:space="preserve">Refrigeration – Suction Pipes Insulation [Refrigeration </w:t>
      </w:r>
      <w:r w:rsidR="00AF0A9D" w:rsidRPr="009B38AA">
        <w:rPr>
          <w:szCs w:val="26"/>
        </w:rPr>
        <w:t>– Bare Suction Pipe Insulation],</w:t>
      </w:r>
    </w:p>
    <w:p w:rsidR="00823908" w:rsidRPr="009B38AA" w:rsidRDefault="00823908" w:rsidP="00774D45">
      <w:pPr>
        <w:pStyle w:val="p14"/>
        <w:numPr>
          <w:ilvl w:val="0"/>
          <w:numId w:val="12"/>
        </w:numPr>
        <w:rPr>
          <w:szCs w:val="26"/>
        </w:rPr>
      </w:pPr>
      <w:r w:rsidRPr="009B38AA">
        <w:rPr>
          <w:szCs w:val="26"/>
        </w:rPr>
        <w:t>Refrigeration – Evapo</w:t>
      </w:r>
      <w:r w:rsidR="00AF0A9D" w:rsidRPr="009B38AA">
        <w:rPr>
          <w:szCs w:val="26"/>
        </w:rPr>
        <w:t>rator Fan Controller,</w:t>
      </w:r>
    </w:p>
    <w:p w:rsidR="00823908" w:rsidRPr="009B38AA" w:rsidRDefault="00823908" w:rsidP="00774D45">
      <w:pPr>
        <w:pStyle w:val="p14"/>
        <w:numPr>
          <w:ilvl w:val="0"/>
          <w:numId w:val="12"/>
        </w:numPr>
        <w:rPr>
          <w:szCs w:val="26"/>
        </w:rPr>
      </w:pPr>
      <w:r w:rsidRPr="009B38AA">
        <w:rPr>
          <w:szCs w:val="26"/>
        </w:rPr>
        <w:t>Refrigeration – Special Doors with Low or No Anti-Sweat Heat for Low Temp Case [Refrigeration – Spe</w:t>
      </w:r>
      <w:r w:rsidR="00AF0A9D" w:rsidRPr="009B38AA">
        <w:rPr>
          <w:szCs w:val="26"/>
        </w:rPr>
        <w:t>cial Doors for Low Temperature],</w:t>
      </w:r>
    </w:p>
    <w:p w:rsidR="00823908" w:rsidRPr="009B38AA" w:rsidRDefault="00823908" w:rsidP="00774D45">
      <w:pPr>
        <w:pStyle w:val="p14"/>
        <w:numPr>
          <w:ilvl w:val="0"/>
          <w:numId w:val="12"/>
        </w:numPr>
        <w:rPr>
          <w:szCs w:val="26"/>
        </w:rPr>
      </w:pPr>
      <w:r w:rsidRPr="009B38AA">
        <w:rPr>
          <w:szCs w:val="26"/>
        </w:rPr>
        <w:t>ENERGY STAR Electric Steam</w:t>
      </w:r>
      <w:r w:rsidR="00AF0A9D" w:rsidRPr="009B38AA">
        <w:rPr>
          <w:szCs w:val="26"/>
        </w:rPr>
        <w:t xml:space="preserve"> Cooker [Electric Steam Cooker],</w:t>
      </w:r>
    </w:p>
    <w:p w:rsidR="00823908" w:rsidRPr="009B38AA" w:rsidRDefault="00823908" w:rsidP="00774D45">
      <w:pPr>
        <w:pStyle w:val="p14"/>
        <w:numPr>
          <w:ilvl w:val="0"/>
          <w:numId w:val="12"/>
        </w:numPr>
        <w:rPr>
          <w:szCs w:val="26"/>
        </w:rPr>
      </w:pPr>
      <w:r w:rsidRPr="009B38AA">
        <w:rPr>
          <w:szCs w:val="26"/>
        </w:rPr>
        <w:t>ENERGY STAR Clothes Washer (Electric Water Heater, E</w:t>
      </w:r>
      <w:r w:rsidR="00AF0A9D" w:rsidRPr="009B38AA">
        <w:rPr>
          <w:szCs w:val="26"/>
        </w:rPr>
        <w:t>lectric Dryer) [Clothes Washer],</w:t>
      </w:r>
    </w:p>
    <w:p w:rsidR="00823908" w:rsidRPr="009B38AA" w:rsidRDefault="00823908" w:rsidP="00774D45">
      <w:pPr>
        <w:pStyle w:val="p14"/>
        <w:numPr>
          <w:ilvl w:val="0"/>
          <w:numId w:val="12"/>
        </w:numPr>
        <w:rPr>
          <w:szCs w:val="26"/>
        </w:rPr>
      </w:pPr>
      <w:r w:rsidRPr="009B38AA">
        <w:rPr>
          <w:szCs w:val="26"/>
        </w:rPr>
        <w:t>Electric Resistance Water Heaters</w:t>
      </w:r>
      <w:r w:rsidR="007508D8" w:rsidRPr="009B38AA">
        <w:rPr>
          <w:szCs w:val="26"/>
        </w:rPr>
        <w:t xml:space="preserve"> [Electric Water Heater]</w:t>
      </w:r>
      <w:r w:rsidR="00AF0A9D" w:rsidRPr="009B38AA">
        <w:rPr>
          <w:szCs w:val="26"/>
        </w:rPr>
        <w:t>,</w:t>
      </w:r>
    </w:p>
    <w:p w:rsidR="00823908" w:rsidRPr="009B38AA" w:rsidRDefault="00AF0A9D" w:rsidP="00774D45">
      <w:pPr>
        <w:pStyle w:val="p14"/>
        <w:numPr>
          <w:ilvl w:val="0"/>
          <w:numId w:val="12"/>
        </w:numPr>
        <w:rPr>
          <w:szCs w:val="26"/>
        </w:rPr>
      </w:pPr>
      <w:r w:rsidRPr="009B38AA">
        <w:rPr>
          <w:szCs w:val="26"/>
        </w:rPr>
        <w:t>Heat Pump Water Heaters,</w:t>
      </w:r>
    </w:p>
    <w:p w:rsidR="00823908" w:rsidRPr="009B38AA" w:rsidRDefault="00AF0A9D" w:rsidP="00774D45">
      <w:pPr>
        <w:pStyle w:val="p14"/>
        <w:numPr>
          <w:ilvl w:val="0"/>
          <w:numId w:val="12"/>
        </w:numPr>
        <w:rPr>
          <w:szCs w:val="26"/>
        </w:rPr>
      </w:pPr>
      <w:r w:rsidRPr="009B38AA">
        <w:rPr>
          <w:szCs w:val="26"/>
        </w:rPr>
        <w:t>Low Flow Pre-Rinse Sprayers,</w:t>
      </w:r>
    </w:p>
    <w:p w:rsidR="00823908" w:rsidRPr="009B38AA" w:rsidRDefault="00823908" w:rsidP="00774D45">
      <w:pPr>
        <w:pStyle w:val="p14"/>
        <w:numPr>
          <w:ilvl w:val="0"/>
          <w:numId w:val="12"/>
        </w:numPr>
        <w:rPr>
          <w:szCs w:val="26"/>
        </w:rPr>
      </w:pPr>
      <w:r w:rsidRPr="009B38AA">
        <w:rPr>
          <w:szCs w:val="26"/>
        </w:rPr>
        <w:t>Geothermal Heat Pumps</w:t>
      </w:r>
      <w:r w:rsidR="00AF0A9D" w:rsidRPr="009B38AA">
        <w:rPr>
          <w:szCs w:val="26"/>
        </w:rPr>
        <w:t>,</w:t>
      </w:r>
      <w:r w:rsidRPr="009B38AA">
        <w:rPr>
          <w:szCs w:val="26"/>
        </w:rPr>
        <w:t xml:space="preserve"> and </w:t>
      </w:r>
    </w:p>
    <w:p w:rsidR="00823908" w:rsidRPr="009B38AA" w:rsidRDefault="00823908" w:rsidP="00774D45">
      <w:pPr>
        <w:pStyle w:val="p14"/>
        <w:numPr>
          <w:ilvl w:val="0"/>
          <w:numId w:val="12"/>
        </w:numPr>
        <w:rPr>
          <w:szCs w:val="26"/>
        </w:rPr>
      </w:pPr>
      <w:r w:rsidRPr="009B38AA">
        <w:rPr>
          <w:szCs w:val="26"/>
        </w:rPr>
        <w:t>ENERGY STAR Room Air Conditioner.</w:t>
      </w:r>
    </w:p>
    <w:p w:rsidR="00823908" w:rsidRPr="009B38AA" w:rsidRDefault="00823908" w:rsidP="00D019D6">
      <w:pPr>
        <w:pStyle w:val="p14"/>
        <w:ind w:firstLine="720"/>
        <w:rPr>
          <w:szCs w:val="26"/>
        </w:rPr>
      </w:pPr>
    </w:p>
    <w:p w:rsidR="007508D8" w:rsidRPr="009B38AA" w:rsidRDefault="00E35CA1" w:rsidP="006B5753">
      <w:pPr>
        <w:ind w:firstLine="720"/>
        <w:rPr>
          <w:szCs w:val="26"/>
        </w:rPr>
      </w:pPr>
      <w:r w:rsidRPr="009B38AA">
        <w:rPr>
          <w:szCs w:val="26"/>
        </w:rPr>
        <w:t xml:space="preserve">Of the 19 new C&amp;I measures proposed in the </w:t>
      </w:r>
      <w:r w:rsidRPr="009B38AA">
        <w:rPr>
          <w:i/>
          <w:szCs w:val="26"/>
        </w:rPr>
        <w:t>Tentative Order</w:t>
      </w:r>
      <w:r w:rsidRPr="009B38AA">
        <w:rPr>
          <w:szCs w:val="26"/>
        </w:rPr>
        <w:t xml:space="preserve">, </w:t>
      </w:r>
      <w:r w:rsidR="007508D8" w:rsidRPr="009B38AA">
        <w:rPr>
          <w:szCs w:val="26"/>
        </w:rPr>
        <w:t xml:space="preserve">substantive </w:t>
      </w:r>
      <w:r w:rsidRPr="009B38AA">
        <w:rPr>
          <w:szCs w:val="26"/>
        </w:rPr>
        <w:t>comments were received on 17</w:t>
      </w:r>
      <w:r w:rsidR="00623B58" w:rsidRPr="009B38AA">
        <w:rPr>
          <w:szCs w:val="26"/>
        </w:rPr>
        <w:t xml:space="preserve"> of them</w:t>
      </w:r>
      <w:r w:rsidRPr="009B38AA">
        <w:rPr>
          <w:szCs w:val="26"/>
        </w:rPr>
        <w:t xml:space="preserve">.  </w:t>
      </w:r>
    </w:p>
    <w:p w:rsidR="007508D8" w:rsidRPr="009B38AA" w:rsidRDefault="007508D8" w:rsidP="006B5753">
      <w:pPr>
        <w:ind w:firstLine="720"/>
        <w:rPr>
          <w:szCs w:val="26"/>
        </w:rPr>
      </w:pPr>
    </w:p>
    <w:p w:rsidR="007508D8" w:rsidRPr="009B38AA" w:rsidRDefault="00E35CA1" w:rsidP="007508D8">
      <w:pPr>
        <w:ind w:firstLine="720"/>
        <w:rPr>
          <w:szCs w:val="26"/>
        </w:rPr>
      </w:pPr>
      <w:r w:rsidRPr="009B38AA">
        <w:rPr>
          <w:szCs w:val="26"/>
        </w:rPr>
        <w:t>Th</w:t>
      </w:r>
      <w:r w:rsidR="00253E84" w:rsidRPr="009B38AA">
        <w:rPr>
          <w:szCs w:val="26"/>
        </w:rPr>
        <w:t>e Commission adopts</w:t>
      </w:r>
      <w:r w:rsidR="00623B58" w:rsidRPr="009B38AA">
        <w:rPr>
          <w:szCs w:val="26"/>
        </w:rPr>
        <w:t xml:space="preserve"> without modification</w:t>
      </w:r>
      <w:r w:rsidR="00253E84" w:rsidRPr="009B38AA">
        <w:rPr>
          <w:szCs w:val="26"/>
        </w:rPr>
        <w:t xml:space="preserve"> the </w:t>
      </w:r>
      <w:r w:rsidR="00623B58" w:rsidRPr="009B38AA">
        <w:rPr>
          <w:szCs w:val="26"/>
        </w:rPr>
        <w:t xml:space="preserve">two </w:t>
      </w:r>
      <w:r w:rsidR="00253E84" w:rsidRPr="009B38AA">
        <w:rPr>
          <w:szCs w:val="26"/>
        </w:rPr>
        <w:t xml:space="preserve">new C&amp;I measures and associated protocols </w:t>
      </w:r>
      <w:r w:rsidR="00623B58" w:rsidRPr="009B38AA">
        <w:rPr>
          <w:szCs w:val="26"/>
        </w:rPr>
        <w:t xml:space="preserve">for </w:t>
      </w:r>
      <w:r w:rsidR="00253E84" w:rsidRPr="009B38AA">
        <w:rPr>
          <w:szCs w:val="26"/>
        </w:rPr>
        <w:t xml:space="preserve">which no </w:t>
      </w:r>
      <w:r w:rsidR="00623B58" w:rsidRPr="009B38AA">
        <w:rPr>
          <w:szCs w:val="26"/>
        </w:rPr>
        <w:t>comments were received</w:t>
      </w:r>
      <w:r w:rsidRPr="009B38AA">
        <w:rPr>
          <w:szCs w:val="26"/>
        </w:rPr>
        <w:t>.</w:t>
      </w:r>
      <w:r w:rsidR="007508D8" w:rsidRPr="009B38AA">
        <w:rPr>
          <w:rStyle w:val="FootnoteReference"/>
          <w:szCs w:val="26"/>
        </w:rPr>
        <w:footnoteReference w:id="24"/>
      </w:r>
      <w:r w:rsidRPr="009B38AA">
        <w:rPr>
          <w:szCs w:val="26"/>
        </w:rPr>
        <w:t xml:space="preserve">  </w:t>
      </w:r>
    </w:p>
    <w:p w:rsidR="007508D8" w:rsidRPr="009B38AA" w:rsidRDefault="007508D8" w:rsidP="006B5753">
      <w:pPr>
        <w:ind w:firstLine="720"/>
        <w:rPr>
          <w:szCs w:val="26"/>
        </w:rPr>
      </w:pPr>
    </w:p>
    <w:p w:rsidR="007508D8" w:rsidRPr="009B38AA" w:rsidRDefault="0045648F" w:rsidP="006B5753">
      <w:pPr>
        <w:ind w:firstLine="720"/>
        <w:rPr>
          <w:szCs w:val="26"/>
        </w:rPr>
      </w:pPr>
      <w:r w:rsidRPr="009B38AA">
        <w:rPr>
          <w:szCs w:val="26"/>
        </w:rPr>
        <w:t xml:space="preserve">The </w:t>
      </w:r>
      <w:r w:rsidR="00623B58" w:rsidRPr="009B38AA">
        <w:rPr>
          <w:szCs w:val="26"/>
        </w:rPr>
        <w:t>Comments addressing</w:t>
      </w:r>
      <w:r w:rsidRPr="009B38AA">
        <w:rPr>
          <w:szCs w:val="26"/>
        </w:rPr>
        <w:t xml:space="preserve"> the </w:t>
      </w:r>
      <w:r w:rsidR="006941ED" w:rsidRPr="009B38AA">
        <w:rPr>
          <w:szCs w:val="26"/>
        </w:rPr>
        <w:t xml:space="preserve">Small C&amp;I HVAC Refrigerant Charge Correction, Office Equipment – Network Power Management Enabling, and Refrigeration – Night </w:t>
      </w:r>
      <w:r w:rsidR="006941ED" w:rsidRPr="009B38AA">
        <w:rPr>
          <w:szCs w:val="26"/>
        </w:rPr>
        <w:lastRenderedPageBreak/>
        <w:t>Covers for Display Cases</w:t>
      </w:r>
      <w:r w:rsidRPr="009B38AA">
        <w:rPr>
          <w:szCs w:val="26"/>
        </w:rPr>
        <w:t xml:space="preserve"> </w:t>
      </w:r>
      <w:r w:rsidR="006941ED" w:rsidRPr="009B38AA">
        <w:rPr>
          <w:szCs w:val="26"/>
        </w:rPr>
        <w:t>measures</w:t>
      </w:r>
      <w:r w:rsidRPr="009B38AA">
        <w:rPr>
          <w:szCs w:val="26"/>
        </w:rPr>
        <w:t xml:space="preserve"> were </w:t>
      </w:r>
      <w:r w:rsidR="00622C5E" w:rsidRPr="009B38AA">
        <w:rPr>
          <w:szCs w:val="26"/>
        </w:rPr>
        <w:t xml:space="preserve">non-substantive and </w:t>
      </w:r>
      <w:r w:rsidR="001421FE" w:rsidRPr="009B38AA">
        <w:rPr>
          <w:szCs w:val="26"/>
        </w:rPr>
        <w:t>editorial and</w:t>
      </w:r>
      <w:r w:rsidR="00622C5E" w:rsidRPr="009B38AA">
        <w:rPr>
          <w:szCs w:val="26"/>
        </w:rPr>
        <w:t xml:space="preserve"> are adopted</w:t>
      </w:r>
      <w:r w:rsidRPr="009B38AA">
        <w:rPr>
          <w:szCs w:val="26"/>
        </w:rPr>
        <w:t xml:space="preserve">. </w:t>
      </w:r>
      <w:r w:rsidR="006941ED" w:rsidRPr="009B38AA">
        <w:rPr>
          <w:szCs w:val="26"/>
        </w:rPr>
        <w:t xml:space="preserve"> </w:t>
      </w:r>
      <w:r w:rsidR="007508D8" w:rsidRPr="009B38AA">
        <w:rPr>
          <w:szCs w:val="26"/>
        </w:rPr>
        <w:t xml:space="preserve">The TRM has been updated accordingly. </w:t>
      </w:r>
    </w:p>
    <w:p w:rsidR="007508D8" w:rsidRPr="009B38AA" w:rsidRDefault="007508D8" w:rsidP="006B5753">
      <w:pPr>
        <w:ind w:firstLine="720"/>
        <w:rPr>
          <w:szCs w:val="26"/>
        </w:rPr>
      </w:pPr>
    </w:p>
    <w:p w:rsidR="00D019D6" w:rsidRPr="009B38AA" w:rsidRDefault="006941ED" w:rsidP="006B5753">
      <w:pPr>
        <w:ind w:firstLine="720"/>
        <w:rPr>
          <w:szCs w:val="26"/>
        </w:rPr>
      </w:pPr>
      <w:r w:rsidRPr="009B38AA">
        <w:rPr>
          <w:szCs w:val="26"/>
        </w:rPr>
        <w:t xml:space="preserve">The </w:t>
      </w:r>
      <w:r w:rsidR="00622C5E" w:rsidRPr="009B38AA">
        <w:rPr>
          <w:szCs w:val="26"/>
        </w:rPr>
        <w:t xml:space="preserve">Comments addressing </w:t>
      </w:r>
      <w:r w:rsidRPr="009B38AA">
        <w:rPr>
          <w:szCs w:val="26"/>
        </w:rPr>
        <w:t>the</w:t>
      </w:r>
      <w:r w:rsidR="006C730D" w:rsidRPr="009B38AA">
        <w:rPr>
          <w:szCs w:val="26"/>
        </w:rPr>
        <w:t xml:space="preserve"> Refrigeration –Special Doors with Low or No Anti-Sweat Heat for Low Temp Case</w:t>
      </w:r>
      <w:r w:rsidRPr="009B38AA">
        <w:rPr>
          <w:szCs w:val="26"/>
        </w:rPr>
        <w:t xml:space="preserve"> protocol</w:t>
      </w:r>
      <w:r w:rsidR="006C730D" w:rsidRPr="009B38AA">
        <w:rPr>
          <w:szCs w:val="26"/>
        </w:rPr>
        <w:t xml:space="preserve"> reflect the acceptance of the protocol, and as</w:t>
      </w:r>
      <w:r w:rsidRPr="009B38AA">
        <w:rPr>
          <w:szCs w:val="26"/>
        </w:rPr>
        <w:t xml:space="preserve"> such, the Commission adopts this</w:t>
      </w:r>
      <w:r w:rsidR="006C730D" w:rsidRPr="009B38AA">
        <w:rPr>
          <w:szCs w:val="26"/>
        </w:rPr>
        <w:t xml:space="preserve"> </w:t>
      </w:r>
      <w:r w:rsidRPr="009B38AA">
        <w:rPr>
          <w:szCs w:val="26"/>
        </w:rPr>
        <w:t>measure</w:t>
      </w:r>
      <w:r w:rsidR="006C730D" w:rsidRPr="009B38AA">
        <w:rPr>
          <w:szCs w:val="26"/>
        </w:rPr>
        <w:t xml:space="preserve"> and</w:t>
      </w:r>
      <w:r w:rsidRPr="009B38AA">
        <w:rPr>
          <w:szCs w:val="26"/>
        </w:rPr>
        <w:t xml:space="preserve"> its </w:t>
      </w:r>
      <w:r w:rsidR="006C730D" w:rsidRPr="009B38AA">
        <w:rPr>
          <w:szCs w:val="26"/>
        </w:rPr>
        <w:t>associated protocol</w:t>
      </w:r>
      <w:r w:rsidR="00622C5E" w:rsidRPr="009B38AA">
        <w:rPr>
          <w:szCs w:val="26"/>
        </w:rPr>
        <w:t xml:space="preserve"> without modification</w:t>
      </w:r>
      <w:r w:rsidR="006C730D" w:rsidRPr="009B38AA">
        <w:rPr>
          <w:szCs w:val="26"/>
        </w:rPr>
        <w:t>.</w:t>
      </w:r>
      <w:r w:rsidR="0045648F" w:rsidRPr="009B38AA">
        <w:rPr>
          <w:szCs w:val="26"/>
        </w:rPr>
        <w:t xml:space="preserve"> </w:t>
      </w:r>
      <w:r w:rsidR="006C730D" w:rsidRPr="009B38AA">
        <w:rPr>
          <w:szCs w:val="26"/>
        </w:rPr>
        <w:t xml:space="preserve"> </w:t>
      </w:r>
    </w:p>
    <w:p w:rsidR="007508D8" w:rsidRPr="009B38AA" w:rsidRDefault="007508D8" w:rsidP="006B5753">
      <w:pPr>
        <w:ind w:firstLine="720"/>
        <w:rPr>
          <w:szCs w:val="26"/>
        </w:rPr>
      </w:pPr>
    </w:p>
    <w:p w:rsidR="007508D8" w:rsidRPr="009B38AA" w:rsidRDefault="007508D8" w:rsidP="006B5753">
      <w:pPr>
        <w:ind w:firstLine="720"/>
        <w:rPr>
          <w:szCs w:val="26"/>
        </w:rPr>
      </w:pPr>
      <w:r w:rsidRPr="009B38AA">
        <w:rPr>
          <w:szCs w:val="26"/>
        </w:rPr>
        <w:t xml:space="preserve">The </w:t>
      </w:r>
      <w:r w:rsidR="00622C5E" w:rsidRPr="009B38AA">
        <w:rPr>
          <w:szCs w:val="26"/>
        </w:rPr>
        <w:t xml:space="preserve">Comments addressing </w:t>
      </w:r>
      <w:r w:rsidRPr="009B38AA">
        <w:rPr>
          <w:szCs w:val="26"/>
        </w:rPr>
        <w:t xml:space="preserve">Geothermal Heat Pumps </w:t>
      </w:r>
      <w:r w:rsidR="00923453" w:rsidRPr="009B38AA">
        <w:rPr>
          <w:szCs w:val="26"/>
        </w:rPr>
        <w:t>will be addressed</w:t>
      </w:r>
      <w:r w:rsidRPr="009B38AA">
        <w:rPr>
          <w:szCs w:val="26"/>
        </w:rPr>
        <w:t xml:space="preserve"> in the Clarification of HVAC Protocols section of this Order, as the comments relate to other protocols, as well.</w:t>
      </w:r>
    </w:p>
    <w:p w:rsidR="009D2884" w:rsidRPr="009B38AA" w:rsidRDefault="009D2884" w:rsidP="006B5753">
      <w:pPr>
        <w:ind w:firstLine="720"/>
        <w:rPr>
          <w:szCs w:val="26"/>
        </w:rPr>
      </w:pPr>
    </w:p>
    <w:p w:rsidR="0017588A" w:rsidRPr="009B38AA" w:rsidRDefault="0084223F" w:rsidP="00EB1FAC">
      <w:pPr>
        <w:pStyle w:val="Heading2"/>
      </w:pPr>
      <w:r w:rsidRPr="009B38AA">
        <w:t>LED Channel Signage</w:t>
      </w:r>
    </w:p>
    <w:p w:rsidR="0084223F" w:rsidRPr="009B38AA" w:rsidRDefault="0084223F" w:rsidP="0084223F">
      <w:pPr>
        <w:ind w:left="720"/>
        <w:rPr>
          <w:b/>
          <w:szCs w:val="26"/>
        </w:rPr>
      </w:pPr>
    </w:p>
    <w:p w:rsidR="0036764F" w:rsidRDefault="0084223F" w:rsidP="006B5753">
      <w:pPr>
        <w:ind w:firstLine="720"/>
        <w:rPr>
          <w:szCs w:val="26"/>
        </w:rPr>
      </w:pPr>
      <w:r w:rsidRPr="009B38AA">
        <w:rPr>
          <w:szCs w:val="26"/>
        </w:rPr>
        <w:t xml:space="preserve">Channel signage refers to the illuminated signs found inside and outside shopping malls to identify store names.  </w:t>
      </w:r>
      <w:r w:rsidR="00622C5E" w:rsidRPr="009B38AA">
        <w:rPr>
          <w:szCs w:val="26"/>
        </w:rPr>
        <w:t xml:space="preserve">Lighting for these signs </w:t>
      </w:r>
      <w:r w:rsidRPr="009B38AA">
        <w:rPr>
          <w:szCs w:val="26"/>
        </w:rPr>
        <w:t xml:space="preserve">is most commonly provided by single or double strip neon lamps, powered by neon sign transformers.  This measure </w:t>
      </w:r>
      <w:r w:rsidR="00622C5E" w:rsidRPr="009B38AA">
        <w:rPr>
          <w:szCs w:val="26"/>
        </w:rPr>
        <w:t xml:space="preserve">involves the </w:t>
      </w:r>
      <w:r w:rsidRPr="009B38AA">
        <w:rPr>
          <w:szCs w:val="26"/>
        </w:rPr>
        <w:t>replace</w:t>
      </w:r>
      <w:r w:rsidR="00622C5E" w:rsidRPr="009B38AA">
        <w:rPr>
          <w:szCs w:val="26"/>
        </w:rPr>
        <w:t>ment of</w:t>
      </w:r>
      <w:r w:rsidRPr="009B38AA">
        <w:rPr>
          <w:szCs w:val="26"/>
        </w:rPr>
        <w:t xml:space="preserve"> incandescent-lighted or neon-lighted channel letter signs</w:t>
      </w:r>
      <w:r w:rsidR="00622C5E" w:rsidRPr="009B38AA">
        <w:rPr>
          <w:szCs w:val="26"/>
        </w:rPr>
        <w:t xml:space="preserve"> with LED lighting</w:t>
      </w:r>
      <w:r w:rsidRPr="009B38AA">
        <w:rPr>
          <w:szCs w:val="26"/>
        </w:rPr>
        <w:t xml:space="preserve">.  Retrofit kits or complete replacement LED signs are eligible.  Replacement </w:t>
      </w:r>
      <w:r w:rsidR="00622C5E" w:rsidRPr="009B38AA">
        <w:rPr>
          <w:szCs w:val="26"/>
        </w:rPr>
        <w:t xml:space="preserve">LED </w:t>
      </w:r>
      <w:r w:rsidRPr="009B38AA">
        <w:rPr>
          <w:szCs w:val="26"/>
        </w:rPr>
        <w:t>signs cannot use more than 20</w:t>
      </w:r>
      <w:r w:rsidR="00A31563" w:rsidRPr="009B38AA">
        <w:rPr>
          <w:szCs w:val="26"/>
        </w:rPr>
        <w:t xml:space="preserve"> percent</w:t>
      </w:r>
      <w:r w:rsidRPr="009B38AA">
        <w:rPr>
          <w:szCs w:val="26"/>
        </w:rPr>
        <w:t xml:space="preserve"> of the actual input power of the sign that is replaced.</w:t>
      </w:r>
    </w:p>
    <w:p w:rsidR="00940A6F" w:rsidRPr="009B38AA" w:rsidRDefault="00940A6F" w:rsidP="006B5753">
      <w:pPr>
        <w:ind w:firstLine="720"/>
        <w:rPr>
          <w:szCs w:val="26"/>
        </w:rPr>
      </w:pPr>
    </w:p>
    <w:p w:rsidR="0017588A" w:rsidRPr="009B38AA" w:rsidRDefault="0017588A" w:rsidP="00EB1FAC">
      <w:pPr>
        <w:pStyle w:val="Heading3"/>
        <w:rPr>
          <w:rFonts w:cs="Times New Roman"/>
        </w:rPr>
      </w:pPr>
      <w:r w:rsidRPr="009B38AA">
        <w:rPr>
          <w:rFonts w:cs="Times New Roman"/>
        </w:rPr>
        <w:t>Comments</w:t>
      </w:r>
    </w:p>
    <w:p w:rsidR="0084223F" w:rsidRPr="009B38AA" w:rsidRDefault="0084223F" w:rsidP="0084223F">
      <w:pPr>
        <w:rPr>
          <w:b/>
          <w:szCs w:val="26"/>
        </w:rPr>
      </w:pPr>
    </w:p>
    <w:p w:rsidR="0084223F" w:rsidRPr="009B38AA" w:rsidRDefault="00F57431" w:rsidP="0084223F">
      <w:pPr>
        <w:ind w:firstLine="720"/>
        <w:rPr>
          <w:szCs w:val="26"/>
        </w:rPr>
      </w:pPr>
      <w:r w:rsidRPr="009B38AA">
        <w:rPr>
          <w:szCs w:val="26"/>
        </w:rPr>
        <w:t xml:space="preserve">PECO </w:t>
      </w:r>
      <w:r w:rsidR="00622C5E" w:rsidRPr="009B38AA">
        <w:rPr>
          <w:szCs w:val="26"/>
        </w:rPr>
        <w:t xml:space="preserve">requests </w:t>
      </w:r>
      <w:r w:rsidRPr="009B38AA">
        <w:rPr>
          <w:szCs w:val="26"/>
        </w:rPr>
        <w:t xml:space="preserve">that the algorithms for this measure be modified to either use sign length or number of letters, as the proposed measure only </w:t>
      </w:r>
      <w:r w:rsidR="00622C5E" w:rsidRPr="009B38AA">
        <w:rPr>
          <w:szCs w:val="26"/>
        </w:rPr>
        <w:t xml:space="preserve">provides for </w:t>
      </w:r>
      <w:r w:rsidRPr="009B38AA">
        <w:rPr>
          <w:szCs w:val="26"/>
        </w:rPr>
        <w:t>savings per letter, not savings per sign.</w:t>
      </w:r>
      <w:r w:rsidR="001421FE" w:rsidRPr="009B38AA">
        <w:rPr>
          <w:szCs w:val="26"/>
        </w:rPr>
        <w:t xml:space="preserve"> </w:t>
      </w:r>
      <w:r w:rsidRPr="009B38AA">
        <w:rPr>
          <w:szCs w:val="26"/>
        </w:rPr>
        <w:t xml:space="preserve"> </w:t>
      </w:r>
      <w:proofErr w:type="gramStart"/>
      <w:r w:rsidRPr="009B38AA">
        <w:rPr>
          <w:szCs w:val="26"/>
        </w:rPr>
        <w:t>PECO Comments Appendix at 28</w:t>
      </w:r>
      <w:r w:rsidR="00622C5E" w:rsidRPr="009B38AA">
        <w:rPr>
          <w:szCs w:val="26"/>
        </w:rPr>
        <w:t>.</w:t>
      </w:r>
      <w:proofErr w:type="gramEnd"/>
    </w:p>
    <w:p w:rsidR="00F57431" w:rsidRPr="009B38AA" w:rsidRDefault="00F57431" w:rsidP="0084223F">
      <w:pPr>
        <w:ind w:firstLine="720"/>
        <w:rPr>
          <w:szCs w:val="26"/>
        </w:rPr>
      </w:pPr>
    </w:p>
    <w:p w:rsidR="00F57431" w:rsidRPr="009B38AA" w:rsidRDefault="00F57431" w:rsidP="0084223F">
      <w:pPr>
        <w:ind w:firstLine="720"/>
        <w:rPr>
          <w:szCs w:val="26"/>
        </w:rPr>
      </w:pPr>
      <w:r w:rsidRPr="009B38AA">
        <w:rPr>
          <w:szCs w:val="26"/>
        </w:rPr>
        <w:lastRenderedPageBreak/>
        <w:t xml:space="preserve">PECO also </w:t>
      </w:r>
      <w:r w:rsidR="00622C5E" w:rsidRPr="009B38AA">
        <w:rPr>
          <w:szCs w:val="26"/>
        </w:rPr>
        <w:t xml:space="preserve">requests </w:t>
      </w:r>
      <w:r w:rsidRPr="009B38AA">
        <w:rPr>
          <w:szCs w:val="26"/>
        </w:rPr>
        <w:t xml:space="preserve">that the savings values in Table 3-93: LED Channel Signage Calculation Assumptions be split into two categories: channel signs greater than two feet tall and those two feet </w:t>
      </w:r>
      <w:r w:rsidR="00622C5E" w:rsidRPr="009B38AA">
        <w:rPr>
          <w:szCs w:val="26"/>
        </w:rPr>
        <w:t xml:space="preserve">tall </w:t>
      </w:r>
      <w:r w:rsidRPr="009B38AA">
        <w:rPr>
          <w:szCs w:val="26"/>
        </w:rPr>
        <w:t xml:space="preserve">or less, as the savings could vary significantly depending on the distribution of signs being retrofit. </w:t>
      </w:r>
      <w:r w:rsidR="001421FE" w:rsidRPr="009B38AA">
        <w:rPr>
          <w:szCs w:val="26"/>
        </w:rPr>
        <w:t xml:space="preserve"> </w:t>
      </w:r>
      <w:proofErr w:type="gramStart"/>
      <w:r w:rsidRPr="009B38AA">
        <w:rPr>
          <w:szCs w:val="26"/>
        </w:rPr>
        <w:t>PECO Comments Appendix at 29</w:t>
      </w:r>
      <w:r w:rsidR="00EA7603" w:rsidRPr="009B38AA">
        <w:rPr>
          <w:szCs w:val="26"/>
        </w:rPr>
        <w:t>.</w:t>
      </w:r>
      <w:proofErr w:type="gramEnd"/>
    </w:p>
    <w:p w:rsidR="0084223F" w:rsidRPr="009B38AA" w:rsidRDefault="0084223F" w:rsidP="00813935">
      <w:pPr>
        <w:ind w:left="2160" w:hanging="720"/>
        <w:rPr>
          <w:b/>
          <w:szCs w:val="26"/>
        </w:rPr>
      </w:pPr>
    </w:p>
    <w:p w:rsidR="00835439" w:rsidRPr="009B38AA" w:rsidRDefault="0017588A" w:rsidP="00EB1FAC">
      <w:pPr>
        <w:pStyle w:val="Heading3"/>
        <w:rPr>
          <w:rFonts w:cs="Times New Roman"/>
        </w:rPr>
      </w:pPr>
      <w:r w:rsidRPr="009B38AA">
        <w:rPr>
          <w:rFonts w:cs="Times New Roman"/>
        </w:rPr>
        <w:t>Disposition</w:t>
      </w:r>
    </w:p>
    <w:p w:rsidR="00835439" w:rsidRPr="009B38AA" w:rsidRDefault="00835439" w:rsidP="00835439">
      <w:pPr>
        <w:rPr>
          <w:b/>
          <w:szCs w:val="26"/>
        </w:rPr>
      </w:pPr>
    </w:p>
    <w:p w:rsidR="0099717C" w:rsidRPr="009B38AA" w:rsidRDefault="0099717C" w:rsidP="0099717C">
      <w:pPr>
        <w:pStyle w:val="ListParagraph"/>
        <w:ind w:left="0" w:firstLine="720"/>
        <w:rPr>
          <w:szCs w:val="26"/>
        </w:rPr>
      </w:pPr>
      <w:r w:rsidRPr="009B38AA">
        <w:rPr>
          <w:szCs w:val="26"/>
        </w:rPr>
        <w:t xml:space="preserve">The Commission accepts PECO’s suggestion to modify the savings algorithm to account for the number of letters in signs. </w:t>
      </w:r>
      <w:r w:rsidR="00EA7603" w:rsidRPr="009B38AA">
        <w:rPr>
          <w:szCs w:val="26"/>
        </w:rPr>
        <w:t>We also</w:t>
      </w:r>
      <w:r w:rsidRPr="009B38AA">
        <w:rPr>
          <w:szCs w:val="26"/>
        </w:rPr>
        <w:t xml:space="preserve"> support PECO’s recommendation that the savings for this measure be split into two catego</w:t>
      </w:r>
      <w:r w:rsidR="006941ED" w:rsidRPr="009B38AA">
        <w:rPr>
          <w:szCs w:val="26"/>
        </w:rPr>
        <w:t>ries:  channel</w:t>
      </w:r>
      <w:r w:rsidRPr="009B38AA">
        <w:rPr>
          <w:szCs w:val="26"/>
        </w:rPr>
        <w:t xml:space="preserve"> signs greater than two feet tall and those two feet or less. </w:t>
      </w:r>
      <w:r w:rsidR="006941ED" w:rsidRPr="009B38AA">
        <w:rPr>
          <w:szCs w:val="26"/>
        </w:rPr>
        <w:t xml:space="preserve"> </w:t>
      </w:r>
      <w:r w:rsidRPr="009B38AA">
        <w:rPr>
          <w:szCs w:val="26"/>
        </w:rPr>
        <w:t xml:space="preserve">However, this change requires further research before it can be incorporated into the TRM.  Therefore, </w:t>
      </w:r>
      <w:r w:rsidR="00EA7603" w:rsidRPr="009B38AA">
        <w:rPr>
          <w:szCs w:val="26"/>
        </w:rPr>
        <w:t>we direct</w:t>
      </w:r>
      <w:r w:rsidRPr="009B38AA">
        <w:rPr>
          <w:szCs w:val="26"/>
        </w:rPr>
        <w:t xml:space="preserve"> the TWG </w:t>
      </w:r>
      <w:r w:rsidR="00EA7603" w:rsidRPr="009B38AA">
        <w:rPr>
          <w:szCs w:val="26"/>
        </w:rPr>
        <w:t>to address</w:t>
      </w:r>
      <w:r w:rsidRPr="009B38AA">
        <w:rPr>
          <w:szCs w:val="26"/>
        </w:rPr>
        <w:t xml:space="preserve"> this modification </w:t>
      </w:r>
      <w:r w:rsidR="00EA7603" w:rsidRPr="009B38AA">
        <w:rPr>
          <w:szCs w:val="26"/>
        </w:rPr>
        <w:t xml:space="preserve">in </w:t>
      </w:r>
      <w:r w:rsidRPr="009B38AA">
        <w:rPr>
          <w:szCs w:val="26"/>
        </w:rPr>
        <w:t xml:space="preserve">subsequent TRM updates. </w:t>
      </w:r>
    </w:p>
    <w:p w:rsidR="00835439" w:rsidRPr="009B38AA" w:rsidRDefault="00835439" w:rsidP="00835439">
      <w:pPr>
        <w:rPr>
          <w:b/>
          <w:szCs w:val="26"/>
        </w:rPr>
      </w:pPr>
    </w:p>
    <w:p w:rsidR="00835439" w:rsidRPr="009B38AA" w:rsidRDefault="00835439" w:rsidP="00EB1FAC">
      <w:pPr>
        <w:pStyle w:val="Heading2"/>
      </w:pPr>
      <w:r w:rsidRPr="009B38AA">
        <w:t>Ductless Mini-Split Heat Pumps</w:t>
      </w:r>
      <w:r w:rsidR="00FA15A7" w:rsidRPr="009B38AA">
        <w:t xml:space="preserve"> (“DHP”)</w:t>
      </w:r>
      <w:r w:rsidRPr="009B38AA">
        <w:t xml:space="preserve"> – Commercial &lt;5.4 tons</w:t>
      </w:r>
    </w:p>
    <w:p w:rsidR="00835439" w:rsidRPr="009B38AA" w:rsidRDefault="00835439" w:rsidP="00835439">
      <w:pPr>
        <w:pStyle w:val="ListParagraph"/>
        <w:ind w:left="1440"/>
        <w:rPr>
          <w:b/>
          <w:szCs w:val="26"/>
        </w:rPr>
      </w:pPr>
    </w:p>
    <w:p w:rsidR="00835439" w:rsidRPr="009B38AA" w:rsidRDefault="002D43CB" w:rsidP="002D43CB">
      <w:pPr>
        <w:pStyle w:val="ListParagraph"/>
        <w:ind w:left="0" w:firstLine="720"/>
        <w:rPr>
          <w:szCs w:val="26"/>
        </w:rPr>
      </w:pPr>
      <w:r w:rsidRPr="009B38AA">
        <w:rPr>
          <w:szCs w:val="26"/>
        </w:rPr>
        <w:t>ENERGY STAR ductless mini-split heat pumps utilize high efficiency Seasonal Energy Efficiency Ratio (“SEER”)/Energy Efficiency Ratio (“EER”) and Heating Seasonal Performance Factors (“HSPF”) of 14.5/12 and 8.2, respectively or greater.  This technology typically converts an electric</w:t>
      </w:r>
      <w:r w:rsidR="006941ED" w:rsidRPr="009B38AA">
        <w:rPr>
          <w:szCs w:val="26"/>
        </w:rPr>
        <w:t>-resistance</w:t>
      </w:r>
      <w:r w:rsidR="00AF0A9D" w:rsidRPr="009B38AA">
        <w:rPr>
          <w:szCs w:val="26"/>
        </w:rPr>
        <w:t xml:space="preserve"> </w:t>
      </w:r>
      <w:r w:rsidRPr="009B38AA">
        <w:rPr>
          <w:szCs w:val="26"/>
        </w:rPr>
        <w:t>heated space into a space heated/cooled with a single or multi-zonal ductless heat pump system.</w:t>
      </w:r>
    </w:p>
    <w:p w:rsidR="002D43CB" w:rsidRPr="009B38AA" w:rsidRDefault="002D43CB" w:rsidP="002D43CB">
      <w:pPr>
        <w:pStyle w:val="ListParagraph"/>
        <w:ind w:left="0" w:firstLine="720"/>
        <w:rPr>
          <w:b/>
          <w:szCs w:val="26"/>
        </w:rPr>
      </w:pPr>
    </w:p>
    <w:p w:rsidR="00835439" w:rsidRPr="009B38AA" w:rsidRDefault="00835439" w:rsidP="00EB1FAC">
      <w:pPr>
        <w:pStyle w:val="Heading3"/>
        <w:rPr>
          <w:rFonts w:cs="Times New Roman"/>
        </w:rPr>
      </w:pPr>
      <w:r w:rsidRPr="009B38AA">
        <w:rPr>
          <w:rFonts w:cs="Times New Roman"/>
        </w:rPr>
        <w:t>Comments</w:t>
      </w:r>
    </w:p>
    <w:p w:rsidR="00835439" w:rsidRPr="009B38AA" w:rsidRDefault="00835439" w:rsidP="00835439">
      <w:pPr>
        <w:rPr>
          <w:b/>
          <w:szCs w:val="26"/>
        </w:rPr>
      </w:pPr>
    </w:p>
    <w:p w:rsidR="00835439" w:rsidRPr="009B38AA" w:rsidRDefault="00FA15A7" w:rsidP="00FA15A7">
      <w:pPr>
        <w:ind w:firstLine="720"/>
        <w:rPr>
          <w:szCs w:val="26"/>
        </w:rPr>
      </w:pPr>
      <w:r w:rsidRPr="009B38AA">
        <w:rPr>
          <w:szCs w:val="26"/>
        </w:rPr>
        <w:t xml:space="preserve">PECO </w:t>
      </w:r>
      <w:r w:rsidR="00EA7603" w:rsidRPr="009B38AA">
        <w:rPr>
          <w:szCs w:val="26"/>
        </w:rPr>
        <w:t xml:space="preserve">requests </w:t>
      </w:r>
      <w:r w:rsidRPr="009B38AA">
        <w:rPr>
          <w:szCs w:val="26"/>
        </w:rPr>
        <w:t>the addition of CF to the definition of terms list</w:t>
      </w:r>
      <w:r w:rsidR="00EA7603" w:rsidRPr="009B38AA">
        <w:rPr>
          <w:szCs w:val="26"/>
        </w:rPr>
        <w:t>,</w:t>
      </w:r>
      <w:r w:rsidRPr="009B38AA">
        <w:rPr>
          <w:szCs w:val="26"/>
        </w:rPr>
        <w:t xml:space="preserve"> the spelling out of acronyms in Table 3-66: DHP – Values and References</w:t>
      </w:r>
      <w:r w:rsidR="00EA7603" w:rsidRPr="009B38AA">
        <w:rPr>
          <w:szCs w:val="26"/>
        </w:rPr>
        <w:t>,</w:t>
      </w:r>
      <w:r w:rsidRPr="009B38AA">
        <w:rPr>
          <w:szCs w:val="26"/>
        </w:rPr>
        <w:t xml:space="preserve"> and a footnote reference to Appendix F: Zip Code Mapping.</w:t>
      </w:r>
      <w:r w:rsidR="001421FE" w:rsidRPr="009B38AA">
        <w:rPr>
          <w:szCs w:val="26"/>
        </w:rPr>
        <w:t xml:space="preserve"> </w:t>
      </w:r>
      <w:r w:rsidRPr="009B38AA">
        <w:rPr>
          <w:szCs w:val="26"/>
        </w:rPr>
        <w:t xml:space="preserve"> </w:t>
      </w:r>
      <w:proofErr w:type="gramStart"/>
      <w:r w:rsidRPr="009B38AA">
        <w:rPr>
          <w:szCs w:val="26"/>
        </w:rPr>
        <w:t>PECO Comments Appendix at 20</w:t>
      </w:r>
      <w:r w:rsidR="00EA7603" w:rsidRPr="009B38AA">
        <w:rPr>
          <w:szCs w:val="26"/>
        </w:rPr>
        <w:t>.</w:t>
      </w:r>
      <w:proofErr w:type="gramEnd"/>
    </w:p>
    <w:p w:rsidR="00FA15A7" w:rsidRPr="009B38AA" w:rsidRDefault="00FA15A7" w:rsidP="00FA15A7">
      <w:pPr>
        <w:ind w:firstLine="720"/>
        <w:rPr>
          <w:szCs w:val="26"/>
        </w:rPr>
      </w:pPr>
    </w:p>
    <w:p w:rsidR="00FA15A7" w:rsidRPr="009B38AA" w:rsidRDefault="00FA15A7" w:rsidP="00FA15A7">
      <w:pPr>
        <w:ind w:firstLine="720"/>
        <w:rPr>
          <w:szCs w:val="26"/>
        </w:rPr>
      </w:pPr>
      <w:r w:rsidRPr="009B38AA">
        <w:rPr>
          <w:szCs w:val="26"/>
        </w:rPr>
        <w:lastRenderedPageBreak/>
        <w:t xml:space="preserve">PPL </w:t>
      </w:r>
      <w:r w:rsidR="00EA7603" w:rsidRPr="009B38AA">
        <w:rPr>
          <w:szCs w:val="26"/>
        </w:rPr>
        <w:t xml:space="preserve">approves </w:t>
      </w:r>
      <w:r w:rsidRPr="009B38AA">
        <w:rPr>
          <w:szCs w:val="26"/>
        </w:rPr>
        <w:t>of the addition of a DHP protocol for the C&amp;I sector.</w:t>
      </w:r>
      <w:r w:rsidR="001421FE" w:rsidRPr="009B38AA">
        <w:rPr>
          <w:szCs w:val="26"/>
        </w:rPr>
        <w:t xml:space="preserve"> </w:t>
      </w:r>
      <w:r w:rsidRPr="009B38AA">
        <w:rPr>
          <w:szCs w:val="26"/>
        </w:rPr>
        <w:t xml:space="preserve"> </w:t>
      </w:r>
      <w:proofErr w:type="gramStart"/>
      <w:r w:rsidRPr="009B38AA">
        <w:rPr>
          <w:szCs w:val="26"/>
        </w:rPr>
        <w:t>PPL Comments at 8</w:t>
      </w:r>
      <w:r w:rsidR="00EA7603" w:rsidRPr="009B38AA">
        <w:rPr>
          <w:szCs w:val="26"/>
        </w:rPr>
        <w:t>.</w:t>
      </w:r>
      <w:proofErr w:type="gramEnd"/>
    </w:p>
    <w:p w:rsidR="00835439" w:rsidRPr="009B38AA" w:rsidRDefault="00835439" w:rsidP="00835439">
      <w:pPr>
        <w:rPr>
          <w:b/>
          <w:szCs w:val="26"/>
        </w:rPr>
      </w:pPr>
    </w:p>
    <w:p w:rsidR="00835439" w:rsidRPr="009B38AA" w:rsidRDefault="00835439" w:rsidP="00EB1FAC">
      <w:pPr>
        <w:pStyle w:val="Heading3"/>
        <w:rPr>
          <w:rFonts w:cs="Times New Roman"/>
        </w:rPr>
      </w:pPr>
      <w:r w:rsidRPr="009B38AA">
        <w:rPr>
          <w:rFonts w:cs="Times New Roman"/>
        </w:rPr>
        <w:t>Disposition</w:t>
      </w:r>
    </w:p>
    <w:p w:rsidR="00835439" w:rsidRPr="009B38AA" w:rsidRDefault="00835439" w:rsidP="00835439">
      <w:pPr>
        <w:rPr>
          <w:b/>
          <w:szCs w:val="26"/>
        </w:rPr>
      </w:pPr>
    </w:p>
    <w:p w:rsidR="0099717C" w:rsidRPr="009B38AA" w:rsidRDefault="0099717C" w:rsidP="0099717C">
      <w:pPr>
        <w:ind w:firstLine="720"/>
        <w:rPr>
          <w:b/>
          <w:szCs w:val="26"/>
        </w:rPr>
      </w:pPr>
      <w:r w:rsidRPr="009B38AA">
        <w:rPr>
          <w:szCs w:val="26"/>
        </w:rPr>
        <w:t xml:space="preserve">The Commission accepts PECO’s recommendation to add </w:t>
      </w:r>
      <w:r w:rsidR="00EA7603" w:rsidRPr="009B38AA">
        <w:rPr>
          <w:szCs w:val="26"/>
        </w:rPr>
        <w:t xml:space="preserve">the definition for </w:t>
      </w:r>
      <w:r w:rsidRPr="009B38AA">
        <w:rPr>
          <w:szCs w:val="26"/>
        </w:rPr>
        <w:t xml:space="preserve">CF to the </w:t>
      </w:r>
      <w:r w:rsidR="00810ED3" w:rsidRPr="009B38AA">
        <w:rPr>
          <w:szCs w:val="26"/>
        </w:rPr>
        <w:t>Definition of Terms section</w:t>
      </w:r>
      <w:r w:rsidRPr="009B38AA">
        <w:rPr>
          <w:szCs w:val="26"/>
        </w:rPr>
        <w:t xml:space="preserve">. </w:t>
      </w:r>
      <w:r w:rsidR="00EA7603" w:rsidRPr="009B38AA">
        <w:rPr>
          <w:szCs w:val="26"/>
        </w:rPr>
        <w:t>The Commission also accepts PECO’s suggestion to add a footnote reference to Appendix F to provide clarification with respect to use of the Table 3-67.</w:t>
      </w:r>
      <w:r w:rsidR="00810ED3" w:rsidRPr="009B38AA">
        <w:rPr>
          <w:szCs w:val="26"/>
        </w:rPr>
        <w:t xml:space="preserve"> </w:t>
      </w:r>
      <w:r w:rsidR="00EA7603" w:rsidRPr="009B38AA">
        <w:rPr>
          <w:szCs w:val="26"/>
        </w:rPr>
        <w:t>We, however,</w:t>
      </w:r>
      <w:r w:rsidRPr="009B38AA">
        <w:rPr>
          <w:szCs w:val="26"/>
        </w:rPr>
        <w:t xml:space="preserve"> </w:t>
      </w:r>
      <w:r w:rsidR="00EA7603" w:rsidRPr="009B38AA">
        <w:rPr>
          <w:szCs w:val="26"/>
        </w:rPr>
        <w:t>will</w:t>
      </w:r>
      <w:r w:rsidR="00EE7E13" w:rsidRPr="009B38AA">
        <w:rPr>
          <w:szCs w:val="26"/>
        </w:rPr>
        <w:t xml:space="preserve"> keep the acronyms in Table 3-66</w:t>
      </w:r>
      <w:r w:rsidR="00810ED3" w:rsidRPr="009B38AA">
        <w:rPr>
          <w:szCs w:val="26"/>
        </w:rPr>
        <w:t>,</w:t>
      </w:r>
      <w:r w:rsidR="00EE7E13" w:rsidRPr="009B38AA">
        <w:rPr>
          <w:szCs w:val="26"/>
        </w:rPr>
        <w:t xml:space="preserve"> </w:t>
      </w:r>
      <w:r w:rsidR="00EA7603" w:rsidRPr="009B38AA">
        <w:rPr>
          <w:szCs w:val="26"/>
        </w:rPr>
        <w:t xml:space="preserve">as </w:t>
      </w:r>
      <w:r w:rsidR="00EE7E13" w:rsidRPr="009B38AA">
        <w:rPr>
          <w:szCs w:val="26"/>
        </w:rPr>
        <w:t xml:space="preserve">all acronyms are spelled out in the measure description. </w:t>
      </w:r>
      <w:r w:rsidR="00810ED3" w:rsidRPr="009B38AA">
        <w:rPr>
          <w:szCs w:val="26"/>
        </w:rPr>
        <w:t xml:space="preserve"> </w:t>
      </w:r>
      <w:r w:rsidRPr="009B38AA">
        <w:rPr>
          <w:szCs w:val="26"/>
        </w:rPr>
        <w:t xml:space="preserve">  </w:t>
      </w:r>
    </w:p>
    <w:p w:rsidR="006F2665" w:rsidRPr="009B38AA" w:rsidRDefault="006F2665" w:rsidP="006F2665">
      <w:pPr>
        <w:rPr>
          <w:b/>
          <w:szCs w:val="26"/>
        </w:rPr>
      </w:pPr>
    </w:p>
    <w:p w:rsidR="005F64EA" w:rsidRPr="009B38AA" w:rsidRDefault="005F64EA" w:rsidP="00EB1FAC">
      <w:pPr>
        <w:pStyle w:val="Heading2"/>
      </w:pPr>
      <w:r w:rsidRPr="009B38AA">
        <w:t>Refrigeration – Strip Curtains for Walk-In Freezers and Coolers</w:t>
      </w:r>
    </w:p>
    <w:p w:rsidR="006F2665" w:rsidRPr="009B38AA" w:rsidRDefault="006F2665" w:rsidP="006F2665">
      <w:pPr>
        <w:rPr>
          <w:b/>
          <w:szCs w:val="26"/>
        </w:rPr>
      </w:pPr>
    </w:p>
    <w:p w:rsidR="006F2665" w:rsidRPr="009B38AA" w:rsidRDefault="00A959FC" w:rsidP="00CB1C0D">
      <w:pPr>
        <w:ind w:firstLine="720"/>
        <w:rPr>
          <w:szCs w:val="26"/>
        </w:rPr>
      </w:pPr>
      <w:r w:rsidRPr="009B38AA">
        <w:rPr>
          <w:szCs w:val="26"/>
        </w:rPr>
        <w:t xml:space="preserve">Strip curtains are used to reduce the refrigeration load associated with the infiltration of non-refrigerated air into the refrigerated spaces of walk-in coolers or freezers.  </w:t>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DD54B0" w:rsidRPr="009B38AA" w:rsidRDefault="00DD54B0" w:rsidP="00DD54B0">
      <w:pPr>
        <w:ind w:firstLine="720"/>
        <w:rPr>
          <w:szCs w:val="26"/>
        </w:rPr>
      </w:pPr>
      <w:r w:rsidRPr="009B38AA">
        <w:rPr>
          <w:szCs w:val="26"/>
        </w:rPr>
        <w:t xml:space="preserve">PECO </w:t>
      </w:r>
      <w:r w:rsidR="00EA7603" w:rsidRPr="009B38AA">
        <w:rPr>
          <w:szCs w:val="26"/>
        </w:rPr>
        <w:t xml:space="preserve">requests </w:t>
      </w:r>
      <w:r w:rsidRPr="009B38AA">
        <w:rPr>
          <w:szCs w:val="26"/>
        </w:rPr>
        <w:t>that the sentence, “To the extent that evaluation findings are able to find more accurate assumptions, they may be used in place of the default per square foot savings using the following equation,”</w:t>
      </w:r>
      <w:r w:rsidRPr="009B38AA">
        <w:rPr>
          <w:rStyle w:val="FootnoteReference"/>
          <w:szCs w:val="26"/>
        </w:rPr>
        <w:footnoteReference w:id="25"/>
      </w:r>
      <w:r w:rsidRPr="009B38AA">
        <w:rPr>
          <w:szCs w:val="26"/>
        </w:rPr>
        <w:t xml:space="preserve"> be amended to say, “To the extent that evaluation findings are able to provide more reliable site specific inputs, they may be used in place of the default per square foot savings using the following equation.”</w:t>
      </w:r>
      <w:r w:rsidR="001421FE" w:rsidRPr="009B38AA">
        <w:rPr>
          <w:szCs w:val="26"/>
        </w:rPr>
        <w:t xml:space="preserve"> </w:t>
      </w:r>
      <w:r w:rsidRPr="009B38AA">
        <w:rPr>
          <w:szCs w:val="26"/>
        </w:rPr>
        <w:t xml:space="preserve"> </w:t>
      </w:r>
      <w:proofErr w:type="gramStart"/>
      <w:r w:rsidRPr="009B38AA">
        <w:rPr>
          <w:szCs w:val="26"/>
        </w:rPr>
        <w:t>PECO Comments Appendix at 19</w:t>
      </w:r>
      <w:r w:rsidR="00F57FA8" w:rsidRPr="009B38AA">
        <w:rPr>
          <w:szCs w:val="26"/>
        </w:rPr>
        <w:t>.</w:t>
      </w:r>
      <w:proofErr w:type="gramEnd"/>
      <w:r w:rsidR="00F57FA8" w:rsidRPr="009B38AA">
        <w:rPr>
          <w:szCs w:val="26"/>
        </w:rPr>
        <w:t xml:space="preserve">  </w:t>
      </w:r>
      <w:r w:rsidRPr="009B38AA">
        <w:rPr>
          <w:szCs w:val="26"/>
        </w:rPr>
        <w:t xml:space="preserve">PPL </w:t>
      </w:r>
      <w:r w:rsidR="00F57FA8" w:rsidRPr="009B38AA">
        <w:rPr>
          <w:szCs w:val="26"/>
        </w:rPr>
        <w:t xml:space="preserve">approves </w:t>
      </w:r>
      <w:r w:rsidRPr="009B38AA">
        <w:rPr>
          <w:szCs w:val="26"/>
        </w:rPr>
        <w:t xml:space="preserve">of the addition of this protocol for the C&amp;I sector. </w:t>
      </w:r>
      <w:proofErr w:type="gramStart"/>
      <w:r w:rsidRPr="009B38AA">
        <w:rPr>
          <w:szCs w:val="26"/>
        </w:rPr>
        <w:t>PPL Comments at 8</w:t>
      </w:r>
      <w:r w:rsidR="00F57FA8" w:rsidRPr="009B38AA">
        <w:rPr>
          <w:szCs w:val="26"/>
        </w:rPr>
        <w:t>.</w:t>
      </w:r>
      <w:proofErr w:type="gramEnd"/>
    </w:p>
    <w:p w:rsidR="006F2665" w:rsidRPr="009B38AA" w:rsidRDefault="006F2665" w:rsidP="00EB1FAC">
      <w:pPr>
        <w:pStyle w:val="Heading3"/>
        <w:rPr>
          <w:rFonts w:cs="Times New Roman"/>
        </w:rPr>
      </w:pPr>
      <w:r w:rsidRPr="009B38AA">
        <w:rPr>
          <w:rFonts w:cs="Times New Roman"/>
        </w:rPr>
        <w:lastRenderedPageBreak/>
        <w:t>Disposition</w:t>
      </w:r>
    </w:p>
    <w:p w:rsidR="000D050F" w:rsidRPr="009B38AA" w:rsidRDefault="000D050F" w:rsidP="000D050F">
      <w:pPr>
        <w:ind w:firstLine="720"/>
        <w:rPr>
          <w:szCs w:val="26"/>
        </w:rPr>
      </w:pPr>
    </w:p>
    <w:p w:rsidR="000D050F" w:rsidRPr="009B38AA" w:rsidRDefault="000D050F" w:rsidP="000D050F">
      <w:pPr>
        <w:ind w:firstLine="720"/>
        <w:rPr>
          <w:szCs w:val="26"/>
        </w:rPr>
      </w:pPr>
      <w:r w:rsidRPr="009B38AA">
        <w:rPr>
          <w:szCs w:val="26"/>
        </w:rPr>
        <w:t xml:space="preserve">The Commission accepts PECO’s suggestion to modify Section 3.17. </w:t>
      </w:r>
      <w:r w:rsidR="00810ED3" w:rsidRPr="009B38AA">
        <w:rPr>
          <w:szCs w:val="26"/>
        </w:rPr>
        <w:t xml:space="preserve"> </w:t>
      </w:r>
      <w:r w:rsidRPr="009B38AA">
        <w:rPr>
          <w:szCs w:val="26"/>
        </w:rPr>
        <w:t xml:space="preserve">In the TRM, Section 3.17, the third sentence of the Algorithms section has been modified </w:t>
      </w:r>
      <w:r w:rsidR="00F57FA8" w:rsidRPr="009B38AA">
        <w:rPr>
          <w:szCs w:val="26"/>
        </w:rPr>
        <w:t>as suggested by PECO.</w:t>
      </w:r>
    </w:p>
    <w:p w:rsidR="006F2665" w:rsidRPr="009B38AA" w:rsidRDefault="001421FE" w:rsidP="006F2665">
      <w:pPr>
        <w:rPr>
          <w:b/>
          <w:szCs w:val="26"/>
        </w:rPr>
      </w:pPr>
      <w:r w:rsidRPr="009B38AA">
        <w:rPr>
          <w:b/>
          <w:szCs w:val="26"/>
        </w:rPr>
        <w:t xml:space="preserve"> </w:t>
      </w:r>
    </w:p>
    <w:p w:rsidR="005F64EA" w:rsidRPr="009B38AA" w:rsidRDefault="005F64EA" w:rsidP="00EB1FAC">
      <w:pPr>
        <w:pStyle w:val="Heading2"/>
      </w:pPr>
      <w:r w:rsidRPr="009B38AA">
        <w:t>Refrigeration – Auto Closers</w:t>
      </w:r>
    </w:p>
    <w:p w:rsidR="006F2665" w:rsidRPr="009B38AA" w:rsidRDefault="006F2665" w:rsidP="006F2665">
      <w:pPr>
        <w:rPr>
          <w:b/>
          <w:szCs w:val="26"/>
        </w:rPr>
      </w:pPr>
    </w:p>
    <w:p w:rsidR="006F2665" w:rsidRPr="009B38AA" w:rsidRDefault="00D961A3" w:rsidP="00D961A3">
      <w:pPr>
        <w:ind w:firstLine="720"/>
        <w:rPr>
          <w:szCs w:val="26"/>
        </w:rPr>
      </w:pPr>
      <w:r w:rsidRPr="009B38AA">
        <w:rPr>
          <w:szCs w:val="26"/>
        </w:rPr>
        <w:t>Auto-closers on freezers and coolers can reduce the amount of time that doors are open, thereby reducing infiltration and refrigeration loads.  These measures are for retrofit of doors not previously equipped with auto-closers and assume the doors have strip curtains.  This protocol documents the energy savings attributed to installation of auto closers in walk-in coolers and freezers.</w:t>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894935" w:rsidRPr="009B38AA" w:rsidRDefault="00894935" w:rsidP="00894935">
      <w:pPr>
        <w:ind w:firstLine="720"/>
        <w:rPr>
          <w:szCs w:val="26"/>
        </w:rPr>
      </w:pPr>
      <w:r w:rsidRPr="009B38AA">
        <w:rPr>
          <w:szCs w:val="26"/>
        </w:rPr>
        <w:t xml:space="preserve">PECO </w:t>
      </w:r>
      <w:r w:rsidR="00F57FA8" w:rsidRPr="009B38AA">
        <w:rPr>
          <w:szCs w:val="26"/>
        </w:rPr>
        <w:t xml:space="preserve">states </w:t>
      </w:r>
      <w:r w:rsidRPr="009B38AA">
        <w:rPr>
          <w:szCs w:val="26"/>
        </w:rPr>
        <w:t xml:space="preserve">that auto closers can also apply to reach-in units and, as such, this protocol should be expanded in the next TRM update. </w:t>
      </w:r>
      <w:proofErr w:type="gramStart"/>
      <w:r w:rsidRPr="009B38AA">
        <w:rPr>
          <w:szCs w:val="26"/>
        </w:rPr>
        <w:t>PECO Comments Appendix at 21</w:t>
      </w:r>
      <w:r w:rsidR="00F57FA8" w:rsidRPr="009B38AA">
        <w:rPr>
          <w:szCs w:val="26"/>
        </w:rPr>
        <w:t>.</w:t>
      </w:r>
      <w:proofErr w:type="gramEnd"/>
      <w:r w:rsidR="00F57FA8" w:rsidRPr="009B38AA">
        <w:rPr>
          <w:szCs w:val="26"/>
        </w:rPr>
        <w:t xml:space="preserve">  </w:t>
      </w:r>
      <w:r w:rsidRPr="009B38AA">
        <w:rPr>
          <w:szCs w:val="26"/>
        </w:rPr>
        <w:t xml:space="preserve">PPL </w:t>
      </w:r>
      <w:r w:rsidR="00F57FA8" w:rsidRPr="009B38AA">
        <w:rPr>
          <w:szCs w:val="26"/>
        </w:rPr>
        <w:t xml:space="preserve">approves </w:t>
      </w:r>
      <w:r w:rsidRPr="009B38AA">
        <w:rPr>
          <w:szCs w:val="26"/>
        </w:rPr>
        <w:t xml:space="preserve">of the addition of this protocol for the C&amp;I sector. </w:t>
      </w:r>
      <w:proofErr w:type="gramStart"/>
      <w:r w:rsidRPr="009B38AA">
        <w:rPr>
          <w:szCs w:val="26"/>
        </w:rPr>
        <w:t>PPL Comments at 8</w:t>
      </w:r>
      <w:r w:rsidR="00F57FA8" w:rsidRPr="009B38AA">
        <w:rPr>
          <w:szCs w:val="26"/>
        </w:rPr>
        <w:t>.</w:t>
      </w:r>
      <w:proofErr w:type="gramEnd"/>
    </w:p>
    <w:p w:rsidR="001E70F1" w:rsidRPr="009B38AA" w:rsidRDefault="001E70F1"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6F2665" w:rsidRPr="009B38AA" w:rsidRDefault="006F2665" w:rsidP="006F2665">
      <w:pPr>
        <w:rPr>
          <w:b/>
          <w:szCs w:val="26"/>
        </w:rPr>
      </w:pPr>
    </w:p>
    <w:p w:rsidR="000D050F" w:rsidRPr="009B38AA" w:rsidRDefault="000D050F" w:rsidP="000D050F">
      <w:pPr>
        <w:ind w:firstLine="720"/>
        <w:rPr>
          <w:szCs w:val="26"/>
        </w:rPr>
      </w:pPr>
      <w:r w:rsidRPr="009B38AA">
        <w:rPr>
          <w:szCs w:val="26"/>
        </w:rPr>
        <w:t xml:space="preserve">The Commission supports the expansion of the Refrigeration – Auto Closers protocol to include reach-in units. </w:t>
      </w:r>
      <w:r w:rsidR="00810ED3" w:rsidRPr="009B38AA">
        <w:rPr>
          <w:szCs w:val="26"/>
        </w:rPr>
        <w:t xml:space="preserve"> </w:t>
      </w:r>
      <w:r w:rsidR="00F57FA8" w:rsidRPr="009B38AA">
        <w:rPr>
          <w:szCs w:val="26"/>
        </w:rPr>
        <w:t>We therefore</w:t>
      </w:r>
      <w:r w:rsidR="00BB4246" w:rsidRPr="009B38AA">
        <w:rPr>
          <w:szCs w:val="26"/>
        </w:rPr>
        <w:t xml:space="preserve"> direct the TWG to </w:t>
      </w:r>
      <w:r w:rsidR="00F57FA8" w:rsidRPr="009B38AA">
        <w:rPr>
          <w:szCs w:val="26"/>
        </w:rPr>
        <w:t>address</w:t>
      </w:r>
      <w:r w:rsidR="00BB4246" w:rsidRPr="009B38AA">
        <w:rPr>
          <w:szCs w:val="26"/>
        </w:rPr>
        <w:t xml:space="preserve"> this protocol </w:t>
      </w:r>
      <w:r w:rsidR="00324785" w:rsidRPr="009B38AA">
        <w:rPr>
          <w:szCs w:val="26"/>
        </w:rPr>
        <w:t xml:space="preserve">in </w:t>
      </w:r>
      <w:r w:rsidR="00BB4246" w:rsidRPr="009B38AA">
        <w:rPr>
          <w:szCs w:val="26"/>
        </w:rPr>
        <w:t xml:space="preserve">future TRM updates. </w:t>
      </w:r>
      <w:r w:rsidR="00810ED3" w:rsidRPr="009B38AA">
        <w:rPr>
          <w:szCs w:val="26"/>
        </w:rPr>
        <w:t xml:space="preserve"> </w:t>
      </w:r>
    </w:p>
    <w:p w:rsidR="006F2665" w:rsidRDefault="006F2665" w:rsidP="006F2665">
      <w:pPr>
        <w:rPr>
          <w:b/>
          <w:szCs w:val="26"/>
        </w:rPr>
      </w:pPr>
    </w:p>
    <w:p w:rsidR="00940A6F" w:rsidRDefault="00940A6F" w:rsidP="006F2665">
      <w:pPr>
        <w:rPr>
          <w:b/>
          <w:szCs w:val="26"/>
        </w:rPr>
      </w:pPr>
    </w:p>
    <w:p w:rsidR="00940A6F" w:rsidRPr="009B38AA" w:rsidRDefault="00940A6F" w:rsidP="006F2665">
      <w:pPr>
        <w:rPr>
          <w:b/>
          <w:szCs w:val="26"/>
        </w:rPr>
      </w:pPr>
    </w:p>
    <w:p w:rsidR="005F64EA" w:rsidRPr="009B38AA" w:rsidRDefault="005F64EA" w:rsidP="00EB1FAC">
      <w:pPr>
        <w:pStyle w:val="Heading2"/>
      </w:pPr>
      <w:r w:rsidRPr="009B38AA">
        <w:lastRenderedPageBreak/>
        <w:t xml:space="preserve">Refrigeration – Door Gaskets </w:t>
      </w:r>
      <w:r w:rsidR="006F2665" w:rsidRPr="009B38AA">
        <w:t>for Walk-In Coolers and Freezers</w:t>
      </w:r>
    </w:p>
    <w:p w:rsidR="001E3529" w:rsidRPr="009B38AA" w:rsidRDefault="001E3529" w:rsidP="001E3529">
      <w:pPr>
        <w:rPr>
          <w:szCs w:val="26"/>
        </w:rPr>
      </w:pPr>
    </w:p>
    <w:p w:rsidR="006F2665" w:rsidRPr="009B38AA" w:rsidRDefault="00810ED3" w:rsidP="000D050F">
      <w:pPr>
        <w:ind w:firstLine="720"/>
        <w:rPr>
          <w:szCs w:val="26"/>
        </w:rPr>
      </w:pPr>
      <w:r w:rsidRPr="009B38AA">
        <w:rPr>
          <w:szCs w:val="26"/>
        </w:rPr>
        <w:t>Tight-</w:t>
      </w:r>
      <w:r w:rsidR="000D050F" w:rsidRPr="009B38AA">
        <w:rPr>
          <w:szCs w:val="26"/>
        </w:rPr>
        <w:t xml:space="preserve">fitting gaskets inhibit infiltration of warm, moist air into the cold refrigerated space, thereby reducing the cooling load. </w:t>
      </w:r>
      <w:r w:rsidRPr="009B38AA">
        <w:rPr>
          <w:szCs w:val="26"/>
        </w:rPr>
        <w:t xml:space="preserve"> </w:t>
      </w:r>
      <w:r w:rsidR="000D050F" w:rsidRPr="009B38AA">
        <w:rPr>
          <w:szCs w:val="26"/>
        </w:rPr>
        <w:t xml:space="preserve">Aside from the direct reduction in cooling load, the associated decrease in moisture entering the refrigerated space also helps prevent frost on the cooling coils. </w:t>
      </w:r>
      <w:r w:rsidRPr="009B38AA">
        <w:rPr>
          <w:szCs w:val="26"/>
        </w:rPr>
        <w:t xml:space="preserve"> </w:t>
      </w:r>
      <w:r w:rsidR="000D050F" w:rsidRPr="009B38AA">
        <w:rPr>
          <w:szCs w:val="26"/>
        </w:rPr>
        <w:t xml:space="preserve">Frost build-up adversely impacts the coil’s heat transfer effectiveness, reduces air passage (lowering heat transfer efficiency) and increases energy use during the defrost cycle. </w:t>
      </w:r>
      <w:r w:rsidRPr="009B38AA">
        <w:rPr>
          <w:szCs w:val="26"/>
        </w:rPr>
        <w:t xml:space="preserve"> </w:t>
      </w:r>
      <w:r w:rsidR="00F57FA8" w:rsidRPr="009B38AA">
        <w:rPr>
          <w:szCs w:val="26"/>
        </w:rPr>
        <w:t>As such</w:t>
      </w:r>
      <w:r w:rsidR="000D050F" w:rsidRPr="009B38AA">
        <w:rPr>
          <w:szCs w:val="26"/>
        </w:rPr>
        <w:t>, replacing defective door gaskets reduces compressor run time and improves the overall effectiveness of heat removal from a refrigerated cabinet</w:t>
      </w:r>
      <w:r w:rsidR="00F57FA8" w:rsidRPr="009B38AA">
        <w:rPr>
          <w:szCs w:val="26"/>
        </w:rPr>
        <w:t xml:space="preserve"> and providing energy usage reductions</w:t>
      </w:r>
      <w:r w:rsidR="000D050F" w:rsidRPr="009B38AA">
        <w:rPr>
          <w:szCs w:val="26"/>
        </w:rPr>
        <w:t>.</w:t>
      </w:r>
    </w:p>
    <w:p w:rsidR="000D050F" w:rsidRPr="009B38AA" w:rsidRDefault="000D050F" w:rsidP="000D050F">
      <w:pPr>
        <w:ind w:firstLine="720"/>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4D30A9" w:rsidRPr="009B38AA" w:rsidRDefault="004D30A9" w:rsidP="004D30A9">
      <w:pPr>
        <w:ind w:firstLine="720"/>
        <w:rPr>
          <w:szCs w:val="26"/>
        </w:rPr>
      </w:pPr>
      <w:r w:rsidRPr="009B38AA">
        <w:rPr>
          <w:szCs w:val="26"/>
        </w:rPr>
        <w:t xml:space="preserve">PECO </w:t>
      </w:r>
      <w:r w:rsidR="00F57FA8" w:rsidRPr="009B38AA">
        <w:rPr>
          <w:szCs w:val="26"/>
        </w:rPr>
        <w:t xml:space="preserve">states </w:t>
      </w:r>
      <w:r w:rsidRPr="009B38AA">
        <w:rPr>
          <w:szCs w:val="26"/>
        </w:rPr>
        <w:t xml:space="preserve">that </w:t>
      </w:r>
      <w:r w:rsidR="000D050F" w:rsidRPr="009B38AA">
        <w:rPr>
          <w:szCs w:val="26"/>
        </w:rPr>
        <w:t>door gaskets</w:t>
      </w:r>
      <w:r w:rsidRPr="009B38AA">
        <w:rPr>
          <w:szCs w:val="26"/>
        </w:rPr>
        <w:t xml:space="preserve"> can also apply to reach-in units and, as such, this protocol should be expanded in the next TRM update. </w:t>
      </w:r>
      <w:r w:rsidR="001421FE" w:rsidRPr="009B38AA">
        <w:rPr>
          <w:szCs w:val="26"/>
        </w:rPr>
        <w:t xml:space="preserve"> </w:t>
      </w:r>
      <w:proofErr w:type="gramStart"/>
      <w:r w:rsidRPr="009B38AA">
        <w:rPr>
          <w:szCs w:val="26"/>
        </w:rPr>
        <w:t>PECO Comments Appendix at 21</w:t>
      </w:r>
      <w:r w:rsidR="00F57FA8" w:rsidRPr="009B38AA">
        <w:rPr>
          <w:szCs w:val="26"/>
        </w:rPr>
        <w:t>.</w:t>
      </w:r>
      <w:proofErr w:type="gramEnd"/>
      <w:r w:rsidR="00F57FA8" w:rsidRPr="009B38AA">
        <w:rPr>
          <w:szCs w:val="26"/>
        </w:rPr>
        <w:t xml:space="preserve">  </w:t>
      </w:r>
      <w:r w:rsidRPr="009B38AA">
        <w:rPr>
          <w:szCs w:val="26"/>
        </w:rPr>
        <w:t>PECO also requested that the first paragraph of the protocol be amended per its comments</w:t>
      </w:r>
      <w:r w:rsidR="000D050F" w:rsidRPr="009B38AA">
        <w:rPr>
          <w:szCs w:val="26"/>
        </w:rPr>
        <w:t xml:space="preserve"> to improve the clarity of the </w:t>
      </w:r>
      <w:r w:rsidR="00BB4246" w:rsidRPr="009B38AA">
        <w:rPr>
          <w:szCs w:val="26"/>
        </w:rPr>
        <w:t>measure description</w:t>
      </w:r>
      <w:r w:rsidRPr="009B38AA">
        <w:rPr>
          <w:szCs w:val="26"/>
        </w:rPr>
        <w:t>.</w:t>
      </w:r>
      <w:r w:rsidR="001421FE" w:rsidRPr="009B38AA">
        <w:rPr>
          <w:szCs w:val="26"/>
        </w:rPr>
        <w:t xml:space="preserve"> </w:t>
      </w:r>
      <w:r w:rsidRPr="009B38AA">
        <w:rPr>
          <w:szCs w:val="26"/>
        </w:rPr>
        <w:t xml:space="preserve"> </w:t>
      </w:r>
      <w:proofErr w:type="gramStart"/>
      <w:r w:rsidRPr="009B38AA">
        <w:rPr>
          <w:szCs w:val="26"/>
        </w:rPr>
        <w:t>PECO Comments Appendix at 21</w:t>
      </w:r>
      <w:r w:rsidR="00324785" w:rsidRPr="009B38AA">
        <w:rPr>
          <w:szCs w:val="26"/>
        </w:rPr>
        <w:t>.</w:t>
      </w:r>
      <w:proofErr w:type="gramEnd"/>
      <w:r w:rsidR="00324785" w:rsidRPr="009B38AA">
        <w:rPr>
          <w:szCs w:val="26"/>
        </w:rPr>
        <w:t xml:space="preserve">  </w:t>
      </w:r>
      <w:r w:rsidRPr="009B38AA">
        <w:rPr>
          <w:szCs w:val="26"/>
        </w:rPr>
        <w:t xml:space="preserve">PPL </w:t>
      </w:r>
      <w:r w:rsidR="00324785" w:rsidRPr="009B38AA">
        <w:rPr>
          <w:szCs w:val="26"/>
        </w:rPr>
        <w:t xml:space="preserve">approves </w:t>
      </w:r>
      <w:r w:rsidRPr="009B38AA">
        <w:rPr>
          <w:szCs w:val="26"/>
        </w:rPr>
        <w:t>of the addition of this protocol for the C&amp;I sector.</w:t>
      </w:r>
      <w:r w:rsidR="001421FE" w:rsidRPr="009B38AA">
        <w:rPr>
          <w:szCs w:val="26"/>
        </w:rPr>
        <w:t xml:space="preserve"> </w:t>
      </w:r>
      <w:r w:rsidRPr="009B38AA">
        <w:rPr>
          <w:szCs w:val="26"/>
        </w:rPr>
        <w:t xml:space="preserve"> </w:t>
      </w:r>
      <w:proofErr w:type="gramStart"/>
      <w:r w:rsidRPr="009B38AA">
        <w:rPr>
          <w:szCs w:val="26"/>
        </w:rPr>
        <w:t>PPL Comments at 8</w:t>
      </w:r>
      <w:r w:rsidR="00324785" w:rsidRPr="009B38AA">
        <w:rPr>
          <w:szCs w:val="26"/>
        </w:rPr>
        <w:t>.</w:t>
      </w:r>
      <w:proofErr w:type="gramEnd"/>
    </w:p>
    <w:p w:rsidR="001421FE" w:rsidRPr="009B38AA" w:rsidRDefault="001421FE"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6F2665" w:rsidRPr="009B38AA" w:rsidRDefault="006F2665" w:rsidP="006F2665">
      <w:pPr>
        <w:rPr>
          <w:b/>
          <w:szCs w:val="26"/>
        </w:rPr>
      </w:pPr>
    </w:p>
    <w:p w:rsidR="000D050F" w:rsidRPr="009B38AA" w:rsidRDefault="000D050F" w:rsidP="000D050F">
      <w:pPr>
        <w:ind w:firstLine="720"/>
        <w:rPr>
          <w:szCs w:val="26"/>
        </w:rPr>
      </w:pPr>
      <w:r w:rsidRPr="009B38AA">
        <w:rPr>
          <w:szCs w:val="26"/>
        </w:rPr>
        <w:t xml:space="preserve">The Commission supports the expansion of the Refrigeration – </w:t>
      </w:r>
      <w:r w:rsidR="00BB4246" w:rsidRPr="009B38AA">
        <w:rPr>
          <w:szCs w:val="26"/>
        </w:rPr>
        <w:t>Door Gaskets</w:t>
      </w:r>
      <w:r w:rsidRPr="009B38AA">
        <w:rPr>
          <w:szCs w:val="26"/>
        </w:rPr>
        <w:t xml:space="preserve"> protocol to include applications to reach-in units. </w:t>
      </w:r>
      <w:r w:rsidR="00F505FA" w:rsidRPr="009B38AA">
        <w:rPr>
          <w:szCs w:val="26"/>
        </w:rPr>
        <w:t xml:space="preserve"> </w:t>
      </w:r>
      <w:r w:rsidR="00324785" w:rsidRPr="009B38AA">
        <w:rPr>
          <w:szCs w:val="26"/>
        </w:rPr>
        <w:t>We therefore</w:t>
      </w:r>
      <w:r w:rsidR="00BB4246" w:rsidRPr="009B38AA">
        <w:rPr>
          <w:szCs w:val="26"/>
        </w:rPr>
        <w:t xml:space="preserve"> direct the TWG to </w:t>
      </w:r>
      <w:r w:rsidR="00324785" w:rsidRPr="009B38AA">
        <w:rPr>
          <w:szCs w:val="26"/>
        </w:rPr>
        <w:t>address</w:t>
      </w:r>
      <w:r w:rsidR="00BB4246" w:rsidRPr="009B38AA">
        <w:rPr>
          <w:szCs w:val="26"/>
        </w:rPr>
        <w:t xml:space="preserve"> this protocol </w:t>
      </w:r>
      <w:r w:rsidR="00324785" w:rsidRPr="009B38AA">
        <w:rPr>
          <w:szCs w:val="26"/>
        </w:rPr>
        <w:t xml:space="preserve">in </w:t>
      </w:r>
      <w:r w:rsidR="00BB4246" w:rsidRPr="009B38AA">
        <w:rPr>
          <w:szCs w:val="26"/>
        </w:rPr>
        <w:t>future TRM updates</w:t>
      </w:r>
      <w:r w:rsidRPr="009B38AA">
        <w:rPr>
          <w:szCs w:val="26"/>
        </w:rPr>
        <w:t>.</w:t>
      </w:r>
      <w:r w:rsidR="00324785" w:rsidRPr="009B38AA">
        <w:rPr>
          <w:szCs w:val="26"/>
        </w:rPr>
        <w:t xml:space="preserve">  We also</w:t>
      </w:r>
      <w:r w:rsidRPr="009B38AA">
        <w:rPr>
          <w:szCs w:val="26"/>
        </w:rPr>
        <w:t xml:space="preserve"> accept PECO’s suggestion to modify </w:t>
      </w:r>
      <w:r w:rsidR="00BB4246" w:rsidRPr="009B38AA">
        <w:rPr>
          <w:szCs w:val="26"/>
        </w:rPr>
        <w:t xml:space="preserve">the introductory paragraphs </w:t>
      </w:r>
      <w:r w:rsidR="00324785" w:rsidRPr="009B38AA">
        <w:rPr>
          <w:szCs w:val="26"/>
        </w:rPr>
        <w:t xml:space="preserve">to </w:t>
      </w:r>
      <w:r w:rsidR="00F505FA" w:rsidRPr="009B38AA">
        <w:rPr>
          <w:szCs w:val="26"/>
        </w:rPr>
        <w:t xml:space="preserve">Section 3.24 and </w:t>
      </w:r>
      <w:r w:rsidR="00324785" w:rsidRPr="009B38AA">
        <w:rPr>
          <w:szCs w:val="26"/>
        </w:rPr>
        <w:t xml:space="preserve">have updated </w:t>
      </w:r>
      <w:r w:rsidR="00F505FA" w:rsidRPr="009B38AA">
        <w:rPr>
          <w:szCs w:val="26"/>
        </w:rPr>
        <w:t>the TRM accordingly.</w:t>
      </w:r>
    </w:p>
    <w:p w:rsidR="006F2665" w:rsidRPr="009B38AA" w:rsidRDefault="006F2665" w:rsidP="006F2665">
      <w:pPr>
        <w:rPr>
          <w:b/>
          <w:szCs w:val="26"/>
        </w:rPr>
      </w:pPr>
    </w:p>
    <w:p w:rsidR="005F64EA" w:rsidRPr="009B38AA" w:rsidRDefault="005F64EA" w:rsidP="00EB1FAC">
      <w:pPr>
        <w:pStyle w:val="Heading2"/>
      </w:pPr>
      <w:r w:rsidRPr="009B38AA">
        <w:lastRenderedPageBreak/>
        <w:t xml:space="preserve">Refrigeration – Suction Pipes Insulation </w:t>
      </w:r>
    </w:p>
    <w:p w:rsidR="006F2665" w:rsidRPr="009B38AA" w:rsidRDefault="006F2665" w:rsidP="006F2665">
      <w:pPr>
        <w:rPr>
          <w:b/>
          <w:szCs w:val="26"/>
        </w:rPr>
      </w:pPr>
    </w:p>
    <w:p w:rsidR="006F2665" w:rsidRPr="009B38AA" w:rsidRDefault="00737C97" w:rsidP="004D30A9">
      <w:pPr>
        <w:ind w:firstLine="720"/>
        <w:rPr>
          <w:szCs w:val="26"/>
        </w:rPr>
      </w:pPr>
      <w:r w:rsidRPr="009B38AA">
        <w:rPr>
          <w:szCs w:val="26"/>
        </w:rPr>
        <w:t>This measure applies to</w:t>
      </w:r>
      <w:r w:rsidR="007E45A9" w:rsidRPr="009B38AA">
        <w:rPr>
          <w:szCs w:val="26"/>
        </w:rPr>
        <w:t xml:space="preserve"> the</w:t>
      </w:r>
      <w:r w:rsidRPr="009B38AA">
        <w:rPr>
          <w:szCs w:val="26"/>
        </w:rPr>
        <w:t xml:space="preserve"> installation of insulation on existing bare suction lines that are located outside of the refrigerated space.  Insulation impedes heat transfer from the ambient air to the suction lines, thereby reducing undesirable system superheat.  This decreases the load on the compressor, resulting in decreased compressor operating hours and energy </w:t>
      </w:r>
      <w:r w:rsidR="00324785" w:rsidRPr="009B38AA">
        <w:rPr>
          <w:szCs w:val="26"/>
        </w:rPr>
        <w:t>usage</w:t>
      </w:r>
      <w:r w:rsidRPr="009B38AA">
        <w:rPr>
          <w:szCs w:val="26"/>
        </w:rPr>
        <w:t xml:space="preserve">.  </w:t>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6F2665" w:rsidRDefault="00952AE6" w:rsidP="00737C97">
      <w:pPr>
        <w:ind w:firstLine="720"/>
        <w:rPr>
          <w:szCs w:val="26"/>
        </w:rPr>
      </w:pPr>
      <w:r w:rsidRPr="009B38AA">
        <w:rPr>
          <w:szCs w:val="26"/>
        </w:rPr>
        <w:t xml:space="preserve">PECO </w:t>
      </w:r>
      <w:r w:rsidR="00324785" w:rsidRPr="009B38AA">
        <w:rPr>
          <w:szCs w:val="26"/>
        </w:rPr>
        <w:t xml:space="preserve">requests </w:t>
      </w:r>
      <w:r w:rsidRPr="009B38AA">
        <w:rPr>
          <w:szCs w:val="26"/>
        </w:rPr>
        <w:t>the removal of the following language from the first paragraph of the Algorithms section</w:t>
      </w:r>
      <w:r w:rsidR="00186878" w:rsidRPr="009B38AA">
        <w:rPr>
          <w:szCs w:val="26"/>
        </w:rPr>
        <w:t xml:space="preserve">: </w:t>
      </w:r>
      <w:r w:rsidRPr="009B38AA">
        <w:rPr>
          <w:szCs w:val="26"/>
        </w:rPr>
        <w:t xml:space="preserve"> “According to a survey carried out in the study, approximately 70% of refrigerated cases in audited grocery stores are medium temperature cases and 30% are low-temperature cases.  As a result, the energy savings shown in this report are the weighted average energy savings (70% medium-temperature, 30% low-temperature).”</w:t>
      </w:r>
      <w:r w:rsidRPr="009B38AA">
        <w:rPr>
          <w:rStyle w:val="FootnoteReference"/>
          <w:szCs w:val="26"/>
        </w:rPr>
        <w:footnoteReference w:id="26"/>
      </w:r>
      <w:r w:rsidR="00F20BA3" w:rsidRPr="009B38AA">
        <w:rPr>
          <w:szCs w:val="26"/>
        </w:rPr>
        <w:t xml:space="preserve">  PECO </w:t>
      </w:r>
      <w:r w:rsidR="00324785" w:rsidRPr="009B38AA">
        <w:rPr>
          <w:szCs w:val="26"/>
        </w:rPr>
        <w:t xml:space="preserve">states </w:t>
      </w:r>
      <w:r w:rsidR="00F20BA3" w:rsidRPr="009B38AA">
        <w:rPr>
          <w:szCs w:val="26"/>
        </w:rPr>
        <w:t xml:space="preserve">that this text </w:t>
      </w:r>
      <w:r w:rsidR="00324785" w:rsidRPr="009B38AA">
        <w:rPr>
          <w:szCs w:val="26"/>
        </w:rPr>
        <w:t xml:space="preserve">is irrelevant as it </w:t>
      </w:r>
      <w:r w:rsidR="00F20BA3" w:rsidRPr="009B38AA">
        <w:rPr>
          <w:szCs w:val="26"/>
        </w:rPr>
        <w:t>applies to a different source than the data referenced in Table 3-82: Insulate Bare Refrigeration Suction Pip</w:t>
      </w:r>
      <w:r w:rsidR="00186878" w:rsidRPr="009B38AA">
        <w:rPr>
          <w:szCs w:val="26"/>
        </w:rPr>
        <w:t>es Savings per Linear Foot</w:t>
      </w:r>
      <w:r w:rsidR="00F20BA3" w:rsidRPr="009B38AA">
        <w:rPr>
          <w:szCs w:val="26"/>
        </w:rPr>
        <w:t xml:space="preserve">. </w:t>
      </w:r>
      <w:r w:rsidR="001421FE" w:rsidRPr="009B38AA">
        <w:rPr>
          <w:szCs w:val="26"/>
        </w:rPr>
        <w:t xml:space="preserve"> </w:t>
      </w:r>
      <w:proofErr w:type="gramStart"/>
      <w:r w:rsidR="00F20BA3" w:rsidRPr="009B38AA">
        <w:rPr>
          <w:szCs w:val="26"/>
        </w:rPr>
        <w:t>PECO Comments Appendix at 22</w:t>
      </w:r>
      <w:r w:rsidR="00324785" w:rsidRPr="009B38AA">
        <w:rPr>
          <w:szCs w:val="26"/>
        </w:rPr>
        <w:t>.</w:t>
      </w:r>
      <w:proofErr w:type="gramEnd"/>
    </w:p>
    <w:p w:rsidR="00940A6F" w:rsidRPr="009B38AA" w:rsidRDefault="00940A6F" w:rsidP="00737C97">
      <w:pPr>
        <w:ind w:firstLine="720"/>
        <w:rPr>
          <w:szCs w:val="26"/>
        </w:rPr>
      </w:pPr>
    </w:p>
    <w:p w:rsidR="00F20BA3" w:rsidRPr="009B38AA" w:rsidRDefault="00F20BA3" w:rsidP="00F20BA3">
      <w:pPr>
        <w:ind w:firstLine="720"/>
        <w:rPr>
          <w:szCs w:val="26"/>
        </w:rPr>
      </w:pPr>
      <w:r w:rsidRPr="009B38AA">
        <w:rPr>
          <w:szCs w:val="26"/>
        </w:rPr>
        <w:t xml:space="preserve">Additionally, PECO </w:t>
      </w:r>
      <w:r w:rsidR="00324785" w:rsidRPr="009B38AA">
        <w:rPr>
          <w:szCs w:val="26"/>
        </w:rPr>
        <w:t xml:space="preserve">suggests </w:t>
      </w:r>
      <w:r w:rsidRPr="009B38AA">
        <w:rPr>
          <w:szCs w:val="26"/>
        </w:rPr>
        <w:t xml:space="preserve">that the “Coolers” and “Freezers” headings of Table 3-82: Insulate Bare Refrigeration Suction Pipes Savings per Linear Foot, be changed to “Medium-Temperature” and “Low-Temperature,” respectively, to be more general and include lines to walk-in boxes and cases. </w:t>
      </w:r>
      <w:r w:rsidR="00963D7E" w:rsidRPr="009B38AA">
        <w:rPr>
          <w:szCs w:val="26"/>
        </w:rPr>
        <w:t xml:space="preserve"> </w:t>
      </w:r>
      <w:proofErr w:type="gramStart"/>
      <w:r w:rsidRPr="009B38AA">
        <w:rPr>
          <w:szCs w:val="26"/>
        </w:rPr>
        <w:t>PECO Comments Appendix at 22</w:t>
      </w:r>
      <w:r w:rsidR="00324785" w:rsidRPr="009B38AA">
        <w:rPr>
          <w:szCs w:val="26"/>
        </w:rPr>
        <w:t>.</w:t>
      </w:r>
      <w:proofErr w:type="gramEnd"/>
      <w:r w:rsidR="00324785" w:rsidRPr="009B38AA">
        <w:rPr>
          <w:szCs w:val="26"/>
        </w:rPr>
        <w:t xml:space="preserve">  </w:t>
      </w:r>
      <w:r w:rsidRPr="009B38AA">
        <w:rPr>
          <w:szCs w:val="26"/>
        </w:rPr>
        <w:t xml:space="preserve">Lastly, PECO </w:t>
      </w:r>
      <w:r w:rsidR="00324785" w:rsidRPr="009B38AA">
        <w:rPr>
          <w:szCs w:val="26"/>
        </w:rPr>
        <w:t xml:space="preserve">suggests </w:t>
      </w:r>
      <w:r w:rsidRPr="009B38AA">
        <w:rPr>
          <w:szCs w:val="26"/>
        </w:rPr>
        <w:t xml:space="preserve">the addition of a reference to Appendix F: Zip Code Mapping. </w:t>
      </w:r>
      <w:r w:rsidR="00963D7E" w:rsidRPr="009B38AA">
        <w:rPr>
          <w:szCs w:val="26"/>
        </w:rPr>
        <w:t xml:space="preserve"> </w:t>
      </w:r>
      <w:proofErr w:type="gramStart"/>
      <w:r w:rsidRPr="009B38AA">
        <w:rPr>
          <w:szCs w:val="26"/>
        </w:rPr>
        <w:t>PECO Comments Appendix at 22</w:t>
      </w:r>
      <w:r w:rsidR="00324785" w:rsidRPr="009B38AA">
        <w:rPr>
          <w:szCs w:val="26"/>
        </w:rPr>
        <w:t>.</w:t>
      </w:r>
      <w:proofErr w:type="gramEnd"/>
      <w:r w:rsidR="00324785" w:rsidRPr="009B38AA">
        <w:rPr>
          <w:szCs w:val="26"/>
        </w:rPr>
        <w:t xml:space="preserve">  </w:t>
      </w:r>
      <w:r w:rsidRPr="009B38AA">
        <w:rPr>
          <w:szCs w:val="26"/>
        </w:rPr>
        <w:t xml:space="preserve">PPL </w:t>
      </w:r>
      <w:r w:rsidR="00324785" w:rsidRPr="009B38AA">
        <w:rPr>
          <w:szCs w:val="26"/>
        </w:rPr>
        <w:t xml:space="preserve">approves </w:t>
      </w:r>
      <w:r w:rsidRPr="009B38AA">
        <w:rPr>
          <w:szCs w:val="26"/>
        </w:rPr>
        <w:t xml:space="preserve">of the addition of this protocol for the C&amp;I sector. </w:t>
      </w:r>
      <w:r w:rsidR="00963D7E" w:rsidRPr="009B38AA">
        <w:rPr>
          <w:szCs w:val="26"/>
        </w:rPr>
        <w:t xml:space="preserve"> </w:t>
      </w:r>
      <w:proofErr w:type="gramStart"/>
      <w:r w:rsidRPr="009B38AA">
        <w:rPr>
          <w:szCs w:val="26"/>
        </w:rPr>
        <w:t>PPL Comments at 8</w:t>
      </w:r>
      <w:r w:rsidR="00324785" w:rsidRPr="009B38AA">
        <w:rPr>
          <w:szCs w:val="26"/>
        </w:rPr>
        <w:t>.</w:t>
      </w:r>
      <w:proofErr w:type="gramEnd"/>
    </w:p>
    <w:p w:rsidR="006F2665" w:rsidRPr="009B38AA" w:rsidRDefault="006F2665" w:rsidP="00EB1FAC">
      <w:pPr>
        <w:pStyle w:val="Heading3"/>
        <w:rPr>
          <w:rFonts w:cs="Times New Roman"/>
        </w:rPr>
      </w:pPr>
      <w:r w:rsidRPr="009B38AA">
        <w:rPr>
          <w:rFonts w:cs="Times New Roman"/>
        </w:rPr>
        <w:lastRenderedPageBreak/>
        <w:t>Disposition</w:t>
      </w:r>
    </w:p>
    <w:p w:rsidR="006F2665" w:rsidRPr="009B38AA" w:rsidRDefault="006F2665" w:rsidP="006F2665">
      <w:pPr>
        <w:rPr>
          <w:b/>
          <w:szCs w:val="26"/>
        </w:rPr>
      </w:pPr>
    </w:p>
    <w:p w:rsidR="00BB4246" w:rsidRPr="009B38AA" w:rsidRDefault="00BB4246" w:rsidP="00BB4246">
      <w:pPr>
        <w:ind w:firstLine="720"/>
        <w:rPr>
          <w:b/>
          <w:szCs w:val="26"/>
        </w:rPr>
      </w:pPr>
      <w:r w:rsidRPr="009B38AA">
        <w:rPr>
          <w:szCs w:val="26"/>
        </w:rPr>
        <w:t>The Commission accepts PECO’s suggestion to remove irrelevant language from Section 3.25</w:t>
      </w:r>
      <w:r w:rsidR="00A16B74" w:rsidRPr="009B38AA">
        <w:rPr>
          <w:szCs w:val="26"/>
        </w:rPr>
        <w:t xml:space="preserve"> and has modified this Section consistent with PECO’s suggestion</w:t>
      </w:r>
      <w:r w:rsidRPr="009B38AA">
        <w:rPr>
          <w:szCs w:val="26"/>
        </w:rPr>
        <w:t xml:space="preserve">. </w:t>
      </w:r>
      <w:r w:rsidR="007E45A9" w:rsidRPr="009B38AA">
        <w:rPr>
          <w:szCs w:val="26"/>
        </w:rPr>
        <w:t xml:space="preserve"> </w:t>
      </w:r>
      <w:r w:rsidR="00A16B74" w:rsidRPr="009B38AA">
        <w:rPr>
          <w:szCs w:val="26"/>
        </w:rPr>
        <w:t>We also</w:t>
      </w:r>
      <w:r w:rsidRPr="009B38AA">
        <w:rPr>
          <w:szCs w:val="26"/>
        </w:rPr>
        <w:t xml:space="preserve"> accept PECO’s recommendation to rename the headers in Table 3-82</w:t>
      </w:r>
      <w:r w:rsidR="00A16B74" w:rsidRPr="009B38AA">
        <w:rPr>
          <w:szCs w:val="26"/>
        </w:rPr>
        <w:t>,</w:t>
      </w:r>
      <w:r w:rsidRPr="009B38AA">
        <w:rPr>
          <w:szCs w:val="26"/>
        </w:rPr>
        <w:t xml:space="preserve"> </w:t>
      </w:r>
      <w:r w:rsidR="00A16B74" w:rsidRPr="009B38AA">
        <w:rPr>
          <w:szCs w:val="26"/>
        </w:rPr>
        <w:t>thus</w:t>
      </w:r>
      <w:r w:rsidRPr="009B38AA">
        <w:rPr>
          <w:szCs w:val="26"/>
        </w:rPr>
        <w:t xml:space="preserve"> </w:t>
      </w:r>
      <w:r w:rsidR="00A16B74" w:rsidRPr="009B38AA">
        <w:rPr>
          <w:szCs w:val="26"/>
        </w:rPr>
        <w:t xml:space="preserve">removing </w:t>
      </w:r>
      <w:r w:rsidRPr="009B38AA">
        <w:rPr>
          <w:szCs w:val="26"/>
        </w:rPr>
        <w:t xml:space="preserve">any unintended restriction </w:t>
      </w:r>
      <w:r w:rsidR="00A16B74" w:rsidRPr="009B38AA">
        <w:rPr>
          <w:szCs w:val="26"/>
        </w:rPr>
        <w:t xml:space="preserve">to the applicability </w:t>
      </w:r>
      <w:r w:rsidRPr="009B38AA">
        <w:rPr>
          <w:szCs w:val="26"/>
        </w:rPr>
        <w:t>of this protocol and allow other similar measures to be addressed by this protocol.</w:t>
      </w:r>
      <w:r w:rsidR="00A16B74" w:rsidRPr="009B38AA">
        <w:rPr>
          <w:szCs w:val="26"/>
        </w:rPr>
        <w:t xml:space="preserve">  Finally, we</w:t>
      </w:r>
      <w:r w:rsidRPr="009B38AA">
        <w:rPr>
          <w:szCs w:val="26"/>
        </w:rPr>
        <w:t xml:space="preserve"> accept PECO’s suggestion to add a footnote reference to Appendix F to provide clarification with respect to use of the Table 3-67</w:t>
      </w:r>
      <w:r w:rsidR="004910BE" w:rsidRPr="009B38AA">
        <w:rPr>
          <w:szCs w:val="26"/>
        </w:rPr>
        <w:t>: DHP – Values and References</w:t>
      </w:r>
      <w:r w:rsidRPr="009B38AA">
        <w:rPr>
          <w:szCs w:val="26"/>
        </w:rPr>
        <w:t xml:space="preserve">.  </w:t>
      </w:r>
    </w:p>
    <w:p w:rsidR="006F2665" w:rsidRPr="009B38AA" w:rsidRDefault="006F2665" w:rsidP="006F2665">
      <w:pPr>
        <w:rPr>
          <w:b/>
          <w:szCs w:val="26"/>
        </w:rPr>
      </w:pPr>
    </w:p>
    <w:p w:rsidR="005F64EA" w:rsidRPr="009B38AA" w:rsidRDefault="005F64EA" w:rsidP="00EB1FAC">
      <w:pPr>
        <w:pStyle w:val="Heading2"/>
      </w:pPr>
      <w:r w:rsidRPr="009B38AA">
        <w:t>Refrigerat</w:t>
      </w:r>
      <w:r w:rsidR="006F2665" w:rsidRPr="009B38AA">
        <w:t>ion – Evaporator Fan Controller</w:t>
      </w:r>
    </w:p>
    <w:p w:rsidR="006F2665" w:rsidRPr="009B38AA" w:rsidRDefault="006F2665" w:rsidP="006F2665">
      <w:pPr>
        <w:rPr>
          <w:b/>
          <w:szCs w:val="26"/>
        </w:rPr>
      </w:pPr>
    </w:p>
    <w:p w:rsidR="006F2665" w:rsidRPr="009B38AA" w:rsidRDefault="007F0779" w:rsidP="00952AE6">
      <w:pPr>
        <w:ind w:firstLine="720"/>
        <w:rPr>
          <w:szCs w:val="26"/>
        </w:rPr>
      </w:pPr>
      <w:r w:rsidRPr="009B38AA">
        <w:rPr>
          <w:szCs w:val="26"/>
        </w:rPr>
        <w:t>This measure is for the installation of evaporator fan controls in medium-temperature walk-in coolers with no pre-existing controls.  Evaporator fans run constantly to provide cooling when the compressor is running and to provide air circulation when the compressor is not running.  The controller reduces air flow rather than turning fans off completely when the compressor is not operating, a</w:t>
      </w:r>
      <w:r w:rsidR="00A16B74" w:rsidRPr="009B38AA">
        <w:rPr>
          <w:szCs w:val="26"/>
        </w:rPr>
        <w:t>s</w:t>
      </w:r>
      <w:r w:rsidRPr="009B38AA">
        <w:rPr>
          <w:szCs w:val="26"/>
        </w:rPr>
        <w:t xml:space="preserve"> minimum airflow is required to provide defrosting and to prevent the air in the cooler from stratifying into layers of higher and lower temperature.  </w:t>
      </w:r>
      <w:r w:rsidR="00A16B74" w:rsidRPr="009B38AA">
        <w:rPr>
          <w:szCs w:val="26"/>
        </w:rPr>
        <w:t xml:space="preserve">These </w:t>
      </w:r>
      <w:r w:rsidRPr="009B38AA">
        <w:rPr>
          <w:szCs w:val="26"/>
        </w:rPr>
        <w:t>fan controller</w:t>
      </w:r>
      <w:r w:rsidR="00A16B74" w:rsidRPr="009B38AA">
        <w:rPr>
          <w:szCs w:val="26"/>
        </w:rPr>
        <w:t>s</w:t>
      </w:r>
      <w:r w:rsidRPr="009B38AA">
        <w:rPr>
          <w:szCs w:val="26"/>
        </w:rPr>
        <w:t xml:space="preserve"> saves energy by reducing fan usage, by reducing the refrigeration load resulting from the heat given off by the fan and by reducing compressor energy </w:t>
      </w:r>
      <w:r w:rsidR="00A16B74" w:rsidRPr="009B38AA">
        <w:rPr>
          <w:szCs w:val="26"/>
        </w:rPr>
        <w:t xml:space="preserve">usage </w:t>
      </w:r>
      <w:r w:rsidRPr="009B38AA">
        <w:rPr>
          <w:szCs w:val="26"/>
        </w:rPr>
        <w:t xml:space="preserve">resulting from the electronic temperature control.  </w:t>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7D2422" w:rsidRPr="009B38AA" w:rsidRDefault="007D2422" w:rsidP="007F0779">
      <w:pPr>
        <w:ind w:firstLine="720"/>
        <w:rPr>
          <w:szCs w:val="26"/>
        </w:rPr>
      </w:pPr>
      <w:r w:rsidRPr="009B38AA">
        <w:rPr>
          <w:szCs w:val="26"/>
        </w:rPr>
        <w:t xml:space="preserve">PECO </w:t>
      </w:r>
      <w:r w:rsidR="00A16B74" w:rsidRPr="009B38AA">
        <w:rPr>
          <w:szCs w:val="26"/>
        </w:rPr>
        <w:t xml:space="preserve">requests </w:t>
      </w:r>
      <w:r w:rsidRPr="009B38AA">
        <w:rPr>
          <w:szCs w:val="26"/>
        </w:rPr>
        <w:t xml:space="preserve">that the applicability of evaporator fan controls be more fully explained.  PECO </w:t>
      </w:r>
      <w:r w:rsidR="00A16B74" w:rsidRPr="009B38AA">
        <w:rPr>
          <w:szCs w:val="26"/>
        </w:rPr>
        <w:t xml:space="preserve">states </w:t>
      </w:r>
      <w:r w:rsidRPr="009B38AA">
        <w:rPr>
          <w:szCs w:val="26"/>
        </w:rPr>
        <w:t>that there are a variety of evaporator fan controller systems that operate in different manners</w:t>
      </w:r>
      <w:r w:rsidR="00234685" w:rsidRPr="009B38AA">
        <w:rPr>
          <w:szCs w:val="26"/>
        </w:rPr>
        <w:t xml:space="preserve">, such as adding a smaller fan to cycle the air while the </w:t>
      </w:r>
      <w:r w:rsidR="00234685" w:rsidRPr="009B38AA">
        <w:rPr>
          <w:szCs w:val="26"/>
        </w:rPr>
        <w:lastRenderedPageBreak/>
        <w:t>evaporator fans are off, by adding a VFD</w:t>
      </w:r>
      <w:r w:rsidR="00DD5961" w:rsidRPr="009B38AA">
        <w:rPr>
          <w:szCs w:val="26"/>
        </w:rPr>
        <w:t xml:space="preserve"> or by cycl</w:t>
      </w:r>
      <w:r w:rsidR="00234685" w:rsidRPr="009B38AA">
        <w:rPr>
          <w:szCs w:val="26"/>
        </w:rPr>
        <w:t>ing the fans on and off</w:t>
      </w:r>
      <w:r w:rsidRPr="009B38AA">
        <w:rPr>
          <w:szCs w:val="26"/>
        </w:rPr>
        <w:t xml:space="preserve">.    </w:t>
      </w:r>
      <w:r w:rsidR="00234685" w:rsidRPr="009B38AA">
        <w:rPr>
          <w:szCs w:val="26"/>
        </w:rPr>
        <w:t>PECO notes that t</w:t>
      </w:r>
      <w:r w:rsidRPr="009B38AA">
        <w:rPr>
          <w:szCs w:val="26"/>
        </w:rPr>
        <w:t>he equations specified in this section are for fans that are turned off and/or cycled</w:t>
      </w:r>
      <w:r w:rsidR="00234685" w:rsidRPr="009B38AA">
        <w:rPr>
          <w:szCs w:val="26"/>
        </w:rPr>
        <w:t xml:space="preserve"> only</w:t>
      </w:r>
      <w:r w:rsidRPr="009B38AA">
        <w:rPr>
          <w:szCs w:val="26"/>
        </w:rPr>
        <w:t>.</w:t>
      </w:r>
      <w:r w:rsidR="00234685" w:rsidRPr="009B38AA">
        <w:rPr>
          <w:szCs w:val="26"/>
        </w:rPr>
        <w:t xml:space="preserve"> </w:t>
      </w:r>
      <w:r w:rsidRPr="009B38AA">
        <w:rPr>
          <w:szCs w:val="26"/>
        </w:rPr>
        <w:t xml:space="preserve"> </w:t>
      </w:r>
      <w:proofErr w:type="gramStart"/>
      <w:r w:rsidRPr="009B38AA">
        <w:rPr>
          <w:szCs w:val="26"/>
        </w:rPr>
        <w:t>PECO Comments Appendix at 22</w:t>
      </w:r>
      <w:r w:rsidR="00234685" w:rsidRPr="009B38AA">
        <w:rPr>
          <w:szCs w:val="26"/>
        </w:rPr>
        <w:t>.</w:t>
      </w:r>
      <w:proofErr w:type="gramEnd"/>
      <w:r w:rsidR="00234685" w:rsidRPr="009B38AA">
        <w:rPr>
          <w:szCs w:val="26"/>
        </w:rPr>
        <w:t xml:space="preserve">  </w:t>
      </w:r>
      <w:r w:rsidRPr="009B38AA">
        <w:rPr>
          <w:szCs w:val="26"/>
        </w:rPr>
        <w:t xml:space="preserve">PECO </w:t>
      </w:r>
      <w:r w:rsidR="00234685" w:rsidRPr="009B38AA">
        <w:rPr>
          <w:szCs w:val="26"/>
        </w:rPr>
        <w:t xml:space="preserve">also requests </w:t>
      </w:r>
      <w:r w:rsidRPr="009B38AA">
        <w:rPr>
          <w:szCs w:val="26"/>
        </w:rPr>
        <w:t>that the following be removed from the first paragraph of the protocol</w:t>
      </w:r>
      <w:r w:rsidR="00186878" w:rsidRPr="009B38AA">
        <w:rPr>
          <w:szCs w:val="26"/>
        </w:rPr>
        <w:t xml:space="preserve">: </w:t>
      </w:r>
      <w:r w:rsidRPr="009B38AA">
        <w:rPr>
          <w:szCs w:val="26"/>
        </w:rPr>
        <w:t xml:space="preserve"> “The controller reduces air flow rather than turning fans off completely when the compressor is not operating because a minimum airflow is required to provide defrosting and prevent the air in the cooler from stratifying into layers of higher and lower temperature.”</w:t>
      </w:r>
      <w:r w:rsidRPr="009B38AA">
        <w:rPr>
          <w:rStyle w:val="FootnoteReference"/>
          <w:szCs w:val="26"/>
        </w:rPr>
        <w:footnoteReference w:id="27"/>
      </w:r>
      <w:r w:rsidRPr="009B38AA">
        <w:rPr>
          <w:szCs w:val="26"/>
        </w:rPr>
        <w:t xml:space="preserve">  PECO </w:t>
      </w:r>
      <w:r w:rsidR="00234685" w:rsidRPr="009B38AA">
        <w:rPr>
          <w:szCs w:val="26"/>
        </w:rPr>
        <w:t xml:space="preserve">asserts </w:t>
      </w:r>
      <w:r w:rsidRPr="009B38AA">
        <w:rPr>
          <w:szCs w:val="26"/>
        </w:rPr>
        <w:t xml:space="preserve">that this is not appropriate for the equations in the protocol as the fans do turn off but can also cycle to prevent air stratification. </w:t>
      </w:r>
      <w:r w:rsidR="00234685" w:rsidRPr="009B38AA">
        <w:rPr>
          <w:szCs w:val="26"/>
        </w:rPr>
        <w:t xml:space="preserve"> </w:t>
      </w:r>
      <w:proofErr w:type="gramStart"/>
      <w:r w:rsidRPr="009B38AA">
        <w:rPr>
          <w:szCs w:val="26"/>
        </w:rPr>
        <w:t>PECO Comments Appendix at 22</w:t>
      </w:r>
      <w:r w:rsidR="00234685" w:rsidRPr="009B38AA">
        <w:rPr>
          <w:szCs w:val="26"/>
        </w:rPr>
        <w:t>.</w:t>
      </w:r>
      <w:proofErr w:type="gramEnd"/>
    </w:p>
    <w:p w:rsidR="001E70F1" w:rsidRPr="009B38AA" w:rsidRDefault="001E70F1" w:rsidP="007F0779">
      <w:pPr>
        <w:ind w:firstLine="720"/>
        <w:rPr>
          <w:szCs w:val="26"/>
        </w:rPr>
      </w:pPr>
    </w:p>
    <w:p w:rsidR="00632FFD" w:rsidRPr="009B38AA" w:rsidRDefault="00234685" w:rsidP="00632FFD">
      <w:pPr>
        <w:ind w:firstLine="720"/>
        <w:rPr>
          <w:szCs w:val="26"/>
        </w:rPr>
      </w:pPr>
      <w:r w:rsidRPr="009B38AA">
        <w:rPr>
          <w:szCs w:val="26"/>
        </w:rPr>
        <w:t xml:space="preserve">In addition, </w:t>
      </w:r>
      <w:r w:rsidR="00632FFD" w:rsidRPr="009B38AA">
        <w:rPr>
          <w:szCs w:val="26"/>
        </w:rPr>
        <w:t xml:space="preserve">PECO </w:t>
      </w:r>
      <w:r w:rsidRPr="009B38AA">
        <w:rPr>
          <w:szCs w:val="26"/>
        </w:rPr>
        <w:t xml:space="preserve">requests </w:t>
      </w:r>
      <w:r w:rsidR="00632FFD" w:rsidRPr="009B38AA">
        <w:rPr>
          <w:szCs w:val="26"/>
        </w:rPr>
        <w:t xml:space="preserve">the addition of the language “(See Table 3-83 for power factor)” to the definitions of </w:t>
      </w:r>
      <w:proofErr w:type="spellStart"/>
      <w:r w:rsidR="00632FFD" w:rsidRPr="009B38AA">
        <w:rPr>
          <w:szCs w:val="26"/>
        </w:rPr>
        <w:t>kW</w:t>
      </w:r>
      <w:r w:rsidR="00632FFD" w:rsidRPr="009B38AA">
        <w:rPr>
          <w:szCs w:val="26"/>
          <w:vertAlign w:val="subscript"/>
        </w:rPr>
        <w:t>Fan</w:t>
      </w:r>
      <w:proofErr w:type="spellEnd"/>
      <w:r w:rsidR="00632FFD" w:rsidRPr="009B38AA">
        <w:rPr>
          <w:szCs w:val="26"/>
        </w:rPr>
        <w:t xml:space="preserve"> and </w:t>
      </w:r>
      <w:proofErr w:type="spellStart"/>
      <w:r w:rsidR="00632FFD" w:rsidRPr="009B38AA">
        <w:rPr>
          <w:szCs w:val="26"/>
        </w:rPr>
        <w:t>kW</w:t>
      </w:r>
      <w:r w:rsidR="00632FFD" w:rsidRPr="009B38AA">
        <w:rPr>
          <w:szCs w:val="26"/>
          <w:vertAlign w:val="subscript"/>
        </w:rPr>
        <w:t>CP</w:t>
      </w:r>
      <w:proofErr w:type="spellEnd"/>
      <w:r w:rsidR="00632FFD" w:rsidRPr="009B38AA">
        <w:rPr>
          <w:szCs w:val="26"/>
        </w:rPr>
        <w:t>.</w:t>
      </w:r>
      <w:r w:rsidR="002A5CD1" w:rsidRPr="009B38AA">
        <w:rPr>
          <w:rStyle w:val="FootnoteReference"/>
          <w:szCs w:val="26"/>
        </w:rPr>
        <w:footnoteReference w:id="28"/>
      </w:r>
      <w:r w:rsidR="00632FFD" w:rsidRPr="009B38AA">
        <w:rPr>
          <w:szCs w:val="26"/>
        </w:rPr>
        <w:t xml:space="preserve"> </w:t>
      </w:r>
      <w:r w:rsidRPr="009B38AA">
        <w:rPr>
          <w:szCs w:val="26"/>
        </w:rPr>
        <w:t xml:space="preserve"> </w:t>
      </w:r>
      <w:proofErr w:type="gramStart"/>
      <w:r w:rsidR="00632FFD" w:rsidRPr="009B38AA">
        <w:rPr>
          <w:szCs w:val="26"/>
        </w:rPr>
        <w:t>PECO Comments Appendix at 23</w:t>
      </w:r>
      <w:r w:rsidRPr="009B38AA">
        <w:rPr>
          <w:szCs w:val="26"/>
        </w:rPr>
        <w:t>.</w:t>
      </w:r>
      <w:proofErr w:type="gramEnd"/>
      <w:r w:rsidRPr="009B38AA">
        <w:rPr>
          <w:szCs w:val="26"/>
        </w:rPr>
        <w:t xml:space="preserve">  </w:t>
      </w:r>
      <w:r w:rsidR="00632FFD" w:rsidRPr="009B38AA">
        <w:rPr>
          <w:szCs w:val="26"/>
        </w:rPr>
        <w:t xml:space="preserve">PPL </w:t>
      </w:r>
      <w:r w:rsidRPr="009B38AA">
        <w:rPr>
          <w:szCs w:val="26"/>
        </w:rPr>
        <w:t xml:space="preserve">approves </w:t>
      </w:r>
      <w:r w:rsidR="00632FFD" w:rsidRPr="009B38AA">
        <w:rPr>
          <w:szCs w:val="26"/>
        </w:rPr>
        <w:t xml:space="preserve">of the addition of this protocol for the C&amp;I sector. </w:t>
      </w:r>
      <w:r w:rsidRPr="009B38AA">
        <w:rPr>
          <w:szCs w:val="26"/>
        </w:rPr>
        <w:t xml:space="preserve"> </w:t>
      </w:r>
      <w:proofErr w:type="gramStart"/>
      <w:r w:rsidR="00632FFD" w:rsidRPr="009B38AA">
        <w:rPr>
          <w:szCs w:val="26"/>
        </w:rPr>
        <w:t xml:space="preserve">PPL Comments </w:t>
      </w:r>
      <w:r w:rsidR="00940A6F">
        <w:rPr>
          <w:szCs w:val="26"/>
        </w:rPr>
        <w:t xml:space="preserve">   </w:t>
      </w:r>
      <w:r w:rsidR="00632FFD" w:rsidRPr="009B38AA">
        <w:rPr>
          <w:szCs w:val="26"/>
        </w:rPr>
        <w:t>at 8</w:t>
      </w:r>
      <w:r w:rsidRPr="009B38AA">
        <w:rPr>
          <w:szCs w:val="26"/>
        </w:rPr>
        <w:t>.</w:t>
      </w:r>
      <w:proofErr w:type="gramEnd"/>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6F2665" w:rsidRPr="009B38AA" w:rsidRDefault="006F2665" w:rsidP="006F2665">
      <w:pPr>
        <w:rPr>
          <w:b/>
          <w:szCs w:val="26"/>
        </w:rPr>
      </w:pPr>
    </w:p>
    <w:p w:rsidR="00AB3D7D" w:rsidRPr="009B38AA" w:rsidRDefault="002D1ACC" w:rsidP="00DD5961">
      <w:pPr>
        <w:pStyle w:val="p3"/>
        <w:tabs>
          <w:tab w:val="clear" w:pos="204"/>
          <w:tab w:val="left" w:pos="720"/>
        </w:tabs>
        <w:rPr>
          <w:szCs w:val="26"/>
        </w:rPr>
      </w:pPr>
      <w:r w:rsidRPr="009B38AA">
        <w:rPr>
          <w:szCs w:val="26"/>
        </w:rPr>
        <w:tab/>
        <w:t xml:space="preserve">The Commission </w:t>
      </w:r>
      <w:r w:rsidR="00234685" w:rsidRPr="009B38AA">
        <w:rPr>
          <w:szCs w:val="26"/>
        </w:rPr>
        <w:t>adopts</w:t>
      </w:r>
      <w:r w:rsidRPr="009B38AA">
        <w:rPr>
          <w:szCs w:val="26"/>
        </w:rPr>
        <w:t xml:space="preserve"> the </w:t>
      </w:r>
      <w:r w:rsidR="00234685" w:rsidRPr="009B38AA">
        <w:rPr>
          <w:szCs w:val="26"/>
        </w:rPr>
        <w:t xml:space="preserve">suggestions </w:t>
      </w:r>
      <w:r w:rsidRPr="009B38AA">
        <w:rPr>
          <w:szCs w:val="26"/>
        </w:rPr>
        <w:t>provided by PECO</w:t>
      </w:r>
      <w:r w:rsidR="00234685" w:rsidRPr="009B38AA">
        <w:rPr>
          <w:szCs w:val="26"/>
        </w:rPr>
        <w:t xml:space="preserve"> regarding this protocol</w:t>
      </w:r>
      <w:r w:rsidR="006F4636">
        <w:rPr>
          <w:szCs w:val="26"/>
        </w:rPr>
        <w:t>, to include adding language to the TRM that more fully explains which evaporator fan control applications are covered by this protocol.</w:t>
      </w:r>
    </w:p>
    <w:p w:rsidR="006F2665" w:rsidRPr="009B38AA" w:rsidRDefault="006F2665" w:rsidP="006F2665">
      <w:pPr>
        <w:rPr>
          <w:b/>
          <w:szCs w:val="26"/>
        </w:rPr>
      </w:pPr>
    </w:p>
    <w:p w:rsidR="005F64EA" w:rsidRPr="009B38AA" w:rsidRDefault="005F64EA" w:rsidP="00EB1FAC">
      <w:pPr>
        <w:pStyle w:val="Heading2"/>
      </w:pPr>
      <w:r w:rsidRPr="009B38AA">
        <w:t>ENERGY STAR Electric Steam Cooker</w:t>
      </w:r>
    </w:p>
    <w:p w:rsidR="006F2665" w:rsidRPr="009B38AA" w:rsidRDefault="006F2665" w:rsidP="006F2665">
      <w:pPr>
        <w:rPr>
          <w:b/>
          <w:szCs w:val="26"/>
        </w:rPr>
      </w:pPr>
    </w:p>
    <w:p w:rsidR="006F2665" w:rsidRPr="009B38AA" w:rsidRDefault="00B45DD2" w:rsidP="00B45DD2">
      <w:pPr>
        <w:ind w:firstLine="720"/>
        <w:rPr>
          <w:szCs w:val="26"/>
        </w:rPr>
      </w:pPr>
      <w:r w:rsidRPr="009B38AA">
        <w:rPr>
          <w:szCs w:val="26"/>
        </w:rPr>
        <w:t xml:space="preserve">This measure applies to the installation of electric ENERGY STAR steam cookers as either a new item or as replacement for an existing unit.  A qualifying steam cooker </w:t>
      </w:r>
      <w:r w:rsidRPr="009B38AA">
        <w:rPr>
          <w:szCs w:val="26"/>
        </w:rPr>
        <w:lastRenderedPageBreak/>
        <w:t>must meet a minimum cooking efficiency of 50 percent and meet idle energy rates specified by pan capacity.  The baseline equipment is a unit with efficiency specifications that do not meet the minimum ENERGY STAR efficiency requirements.</w:t>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6F2665" w:rsidRPr="009B38AA" w:rsidRDefault="00B45DD2" w:rsidP="00B45DD2">
      <w:pPr>
        <w:ind w:firstLine="720"/>
        <w:rPr>
          <w:szCs w:val="26"/>
        </w:rPr>
      </w:pPr>
      <w:r w:rsidRPr="009B38AA">
        <w:rPr>
          <w:szCs w:val="26"/>
        </w:rPr>
        <w:t xml:space="preserve">PPL </w:t>
      </w:r>
      <w:r w:rsidR="00B37EE2" w:rsidRPr="009B38AA">
        <w:rPr>
          <w:szCs w:val="26"/>
        </w:rPr>
        <w:t xml:space="preserve">requests </w:t>
      </w:r>
      <w:r w:rsidRPr="009B38AA">
        <w:rPr>
          <w:szCs w:val="26"/>
        </w:rPr>
        <w:t xml:space="preserve">clarification of this measure.  Specifically, PPL </w:t>
      </w:r>
      <w:r w:rsidR="00B37EE2" w:rsidRPr="009B38AA">
        <w:rPr>
          <w:szCs w:val="26"/>
        </w:rPr>
        <w:t xml:space="preserve">requests </w:t>
      </w:r>
      <w:r w:rsidRPr="009B38AA">
        <w:rPr>
          <w:szCs w:val="26"/>
        </w:rPr>
        <w:t>that the Commission clarify the use of 26</w:t>
      </w:r>
      <w:r w:rsidR="00A31563" w:rsidRPr="009B38AA">
        <w:rPr>
          <w:szCs w:val="26"/>
        </w:rPr>
        <w:t xml:space="preserve"> percent</w:t>
      </w:r>
      <w:r w:rsidRPr="009B38AA">
        <w:rPr>
          <w:szCs w:val="26"/>
        </w:rPr>
        <w:t xml:space="preserve"> for a baseline as opposed to 30</w:t>
      </w:r>
      <w:r w:rsidR="00A31563" w:rsidRPr="009B38AA">
        <w:rPr>
          <w:szCs w:val="26"/>
        </w:rPr>
        <w:t xml:space="preserve"> percent</w:t>
      </w:r>
      <w:r w:rsidRPr="009B38AA">
        <w:rPr>
          <w:szCs w:val="26"/>
        </w:rPr>
        <w:t>, or that the Commission revise Table 3-70 to include the 30</w:t>
      </w:r>
      <w:r w:rsidR="00A31563" w:rsidRPr="009B38AA">
        <w:rPr>
          <w:szCs w:val="26"/>
        </w:rPr>
        <w:t xml:space="preserve"> percent</w:t>
      </w:r>
      <w:r w:rsidRPr="009B38AA">
        <w:rPr>
          <w:szCs w:val="26"/>
        </w:rPr>
        <w:t xml:space="preserve"> value. </w:t>
      </w:r>
      <w:r w:rsidR="00B37EE2" w:rsidRPr="009B38AA">
        <w:rPr>
          <w:szCs w:val="26"/>
        </w:rPr>
        <w:t xml:space="preserve"> </w:t>
      </w:r>
      <w:proofErr w:type="gramStart"/>
      <w:r w:rsidRPr="009B38AA">
        <w:rPr>
          <w:szCs w:val="26"/>
        </w:rPr>
        <w:t>PPL Comments at 8</w:t>
      </w:r>
      <w:r w:rsidR="00B37EE2" w:rsidRPr="009B38AA">
        <w:rPr>
          <w:szCs w:val="26"/>
        </w:rPr>
        <w:t>.</w:t>
      </w:r>
      <w:proofErr w:type="gramEnd"/>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6F2665" w:rsidRPr="009B38AA" w:rsidRDefault="006F2665" w:rsidP="006F2665">
      <w:pPr>
        <w:rPr>
          <w:b/>
          <w:szCs w:val="26"/>
        </w:rPr>
      </w:pPr>
    </w:p>
    <w:p w:rsidR="002D1ACC" w:rsidRPr="009B38AA" w:rsidRDefault="002D1ACC" w:rsidP="002D1ACC">
      <w:pPr>
        <w:pStyle w:val="p3"/>
        <w:tabs>
          <w:tab w:val="clear" w:pos="204"/>
          <w:tab w:val="left" w:pos="720"/>
        </w:tabs>
        <w:rPr>
          <w:szCs w:val="26"/>
        </w:rPr>
      </w:pPr>
      <w:r w:rsidRPr="009B38AA">
        <w:rPr>
          <w:szCs w:val="26"/>
        </w:rPr>
        <w:tab/>
        <w:t xml:space="preserve">The Commission agrees with PPL’s proposal to change the </w:t>
      </w:r>
      <w:proofErr w:type="spellStart"/>
      <w:r w:rsidR="00D902BD" w:rsidRPr="009B38AA">
        <w:rPr>
          <w:szCs w:val="26"/>
        </w:rPr>
        <w:t>Eff</w:t>
      </w:r>
      <w:proofErr w:type="spellEnd"/>
      <w:r w:rsidRPr="009B38AA">
        <w:rPr>
          <w:szCs w:val="26"/>
        </w:rPr>
        <w:t xml:space="preserve"> rating value for a baseline model in Table 3-70 to 30</w:t>
      </w:r>
      <w:r w:rsidR="00A31563" w:rsidRPr="009B38AA">
        <w:rPr>
          <w:szCs w:val="26"/>
        </w:rPr>
        <w:t xml:space="preserve"> percent</w:t>
      </w:r>
      <w:r w:rsidRPr="009B38AA">
        <w:rPr>
          <w:szCs w:val="26"/>
        </w:rPr>
        <w:t xml:space="preserve"> in order to be consistent with ENERGY STAR values.  The TRM has been updated accordingly.  </w:t>
      </w:r>
    </w:p>
    <w:p w:rsidR="006F2665" w:rsidRPr="009B38AA" w:rsidRDefault="006F2665" w:rsidP="006F2665">
      <w:pPr>
        <w:rPr>
          <w:b/>
          <w:szCs w:val="26"/>
        </w:rPr>
      </w:pPr>
    </w:p>
    <w:p w:rsidR="005F64EA" w:rsidRPr="009B38AA" w:rsidRDefault="005F64EA" w:rsidP="00EB1FAC">
      <w:pPr>
        <w:pStyle w:val="Heading2"/>
      </w:pPr>
      <w:r w:rsidRPr="009B38AA">
        <w:t xml:space="preserve">ENERGY STAR Clothes Washer </w:t>
      </w:r>
    </w:p>
    <w:p w:rsidR="006F2665" w:rsidRPr="009B38AA" w:rsidRDefault="006F2665" w:rsidP="006F2665">
      <w:pPr>
        <w:rPr>
          <w:b/>
          <w:szCs w:val="26"/>
        </w:rPr>
      </w:pPr>
    </w:p>
    <w:p w:rsidR="002079FA" w:rsidRPr="009B38AA" w:rsidRDefault="002079FA" w:rsidP="002079FA">
      <w:pPr>
        <w:ind w:firstLine="720"/>
        <w:rPr>
          <w:szCs w:val="26"/>
        </w:rPr>
      </w:pPr>
      <w:r w:rsidRPr="009B38AA">
        <w:rPr>
          <w:szCs w:val="26"/>
        </w:rPr>
        <w:t>This protocol documents the energy savings attributed to efficient clothes washers meeting ENERGY STAR or Consortium for Energy Efficiency (“CEE”) Tier 1 standards</w:t>
      </w:r>
      <w:r w:rsidRPr="009B38AA">
        <w:rPr>
          <w:rStyle w:val="FootnoteReference"/>
          <w:szCs w:val="26"/>
        </w:rPr>
        <w:footnoteReference w:id="29"/>
      </w:r>
      <w:r w:rsidRPr="009B38AA">
        <w:rPr>
          <w:szCs w:val="26"/>
        </w:rPr>
        <w:t xml:space="preserve"> or better in small commercial applications.  This protocol is limited to clothes washers in multi</w:t>
      </w:r>
      <w:r w:rsidR="00186878" w:rsidRPr="009B38AA">
        <w:rPr>
          <w:szCs w:val="26"/>
        </w:rPr>
        <w:t>-</w:t>
      </w:r>
      <w:r w:rsidRPr="009B38AA">
        <w:rPr>
          <w:szCs w:val="26"/>
        </w:rPr>
        <w:t>family establishments</w:t>
      </w:r>
      <w:r w:rsidR="00B37EE2" w:rsidRPr="009B38AA">
        <w:rPr>
          <w:szCs w:val="26"/>
        </w:rPr>
        <w:t>.</w:t>
      </w:r>
      <w:r w:rsidRPr="009B38AA">
        <w:rPr>
          <w:szCs w:val="26"/>
        </w:rPr>
        <w:t xml:space="preserve"> </w:t>
      </w:r>
    </w:p>
    <w:p w:rsidR="006F2665" w:rsidRDefault="006F2665" w:rsidP="006F2665">
      <w:pPr>
        <w:rPr>
          <w:b/>
          <w:szCs w:val="26"/>
        </w:rPr>
      </w:pPr>
    </w:p>
    <w:p w:rsidR="002F5C72" w:rsidRDefault="002F5C72" w:rsidP="006F2665">
      <w:pPr>
        <w:rPr>
          <w:b/>
          <w:szCs w:val="26"/>
        </w:rPr>
      </w:pPr>
    </w:p>
    <w:p w:rsidR="002F5C72" w:rsidRPr="009B38AA" w:rsidRDefault="002F5C72" w:rsidP="006F2665">
      <w:pPr>
        <w:rPr>
          <w:b/>
          <w:szCs w:val="26"/>
        </w:rPr>
      </w:pPr>
    </w:p>
    <w:p w:rsidR="006F2665" w:rsidRPr="009B38AA" w:rsidRDefault="006F2665" w:rsidP="00EB1FAC">
      <w:pPr>
        <w:pStyle w:val="Heading3"/>
        <w:rPr>
          <w:rFonts w:cs="Times New Roman"/>
        </w:rPr>
      </w:pPr>
      <w:r w:rsidRPr="009B38AA">
        <w:rPr>
          <w:rFonts w:cs="Times New Roman"/>
        </w:rPr>
        <w:lastRenderedPageBreak/>
        <w:t>Comments</w:t>
      </w:r>
    </w:p>
    <w:p w:rsidR="006F2665" w:rsidRPr="009B38AA" w:rsidRDefault="006F2665" w:rsidP="006F2665">
      <w:pPr>
        <w:rPr>
          <w:b/>
          <w:szCs w:val="26"/>
        </w:rPr>
      </w:pPr>
    </w:p>
    <w:p w:rsidR="0067187A" w:rsidRPr="009B38AA" w:rsidRDefault="0067187A" w:rsidP="000A453A">
      <w:pPr>
        <w:ind w:firstLine="720"/>
        <w:rPr>
          <w:szCs w:val="26"/>
        </w:rPr>
      </w:pPr>
      <w:r w:rsidRPr="009B38AA">
        <w:rPr>
          <w:szCs w:val="26"/>
        </w:rPr>
        <w:t xml:space="preserve">PECO </w:t>
      </w:r>
      <w:r w:rsidR="00B37EE2" w:rsidRPr="009B38AA">
        <w:rPr>
          <w:szCs w:val="26"/>
        </w:rPr>
        <w:t xml:space="preserve">recommends </w:t>
      </w:r>
      <w:r w:rsidRPr="009B38AA">
        <w:rPr>
          <w:szCs w:val="26"/>
        </w:rPr>
        <w:t xml:space="preserve">the inclusion of clothes washers with gas as a fuel source.  PECO </w:t>
      </w:r>
      <w:r w:rsidR="00B37EE2" w:rsidRPr="009B38AA">
        <w:rPr>
          <w:szCs w:val="26"/>
        </w:rPr>
        <w:t>asserts that t</w:t>
      </w:r>
      <w:r w:rsidRPr="009B38AA">
        <w:rPr>
          <w:szCs w:val="26"/>
        </w:rPr>
        <w:t>he residential protocol for clothes washers allows savings to be claimed for gas fuel sources and</w:t>
      </w:r>
      <w:r w:rsidR="00B37EE2" w:rsidRPr="009B38AA">
        <w:rPr>
          <w:szCs w:val="26"/>
        </w:rPr>
        <w:t xml:space="preserve"> that</w:t>
      </w:r>
      <w:r w:rsidRPr="009B38AA">
        <w:rPr>
          <w:szCs w:val="26"/>
        </w:rPr>
        <w:t xml:space="preserve"> the commercial protocol should as well.</w:t>
      </w:r>
      <w:r w:rsidR="00B37EE2" w:rsidRPr="009B38AA">
        <w:rPr>
          <w:szCs w:val="26"/>
        </w:rPr>
        <w:t xml:space="preserve"> </w:t>
      </w:r>
      <w:r w:rsidRPr="009B38AA">
        <w:rPr>
          <w:szCs w:val="26"/>
        </w:rPr>
        <w:t xml:space="preserve"> </w:t>
      </w:r>
      <w:proofErr w:type="gramStart"/>
      <w:r w:rsidRPr="009B38AA">
        <w:rPr>
          <w:szCs w:val="26"/>
        </w:rPr>
        <w:t>PECO Comments Appendix at 23</w:t>
      </w:r>
      <w:r w:rsidR="00B37EE2" w:rsidRPr="009B38AA">
        <w:rPr>
          <w:szCs w:val="26"/>
        </w:rPr>
        <w:t>.</w:t>
      </w:r>
      <w:proofErr w:type="gramEnd"/>
      <w:r w:rsidR="00B37EE2" w:rsidRPr="009B38AA">
        <w:rPr>
          <w:szCs w:val="26"/>
        </w:rPr>
        <w:t xml:space="preserve">  </w:t>
      </w:r>
      <w:r w:rsidRPr="009B38AA">
        <w:rPr>
          <w:szCs w:val="26"/>
        </w:rPr>
        <w:t xml:space="preserve">PECO </w:t>
      </w:r>
      <w:r w:rsidR="00B37EE2" w:rsidRPr="009B38AA">
        <w:rPr>
          <w:szCs w:val="26"/>
        </w:rPr>
        <w:t xml:space="preserve">also requests that </w:t>
      </w:r>
      <w:r w:rsidRPr="009B38AA">
        <w:rPr>
          <w:szCs w:val="26"/>
        </w:rPr>
        <w:t>the second sentence of the Figure 3-1 section</w:t>
      </w:r>
      <w:r w:rsidR="00B37EE2" w:rsidRPr="009B38AA">
        <w:rPr>
          <w:szCs w:val="26"/>
        </w:rPr>
        <w:t xml:space="preserve"> be modified by changing </w:t>
      </w:r>
      <w:r w:rsidRPr="009B38AA">
        <w:rPr>
          <w:szCs w:val="26"/>
        </w:rPr>
        <w:t>the 1</w:t>
      </w:r>
      <w:r w:rsidR="007C660C" w:rsidRPr="009B38AA">
        <w:rPr>
          <w:szCs w:val="26"/>
        </w:rPr>
        <w:t>,</w:t>
      </w:r>
      <w:r w:rsidRPr="009B38AA">
        <w:rPr>
          <w:szCs w:val="26"/>
        </w:rPr>
        <w:t xml:space="preserve">144 value to 950. </w:t>
      </w:r>
      <w:r w:rsidR="00B37EE2" w:rsidRPr="009B38AA">
        <w:rPr>
          <w:szCs w:val="26"/>
        </w:rPr>
        <w:t xml:space="preserve"> </w:t>
      </w:r>
      <w:proofErr w:type="gramStart"/>
      <w:r w:rsidRPr="009B38AA">
        <w:rPr>
          <w:szCs w:val="26"/>
        </w:rPr>
        <w:t>PECO Comments Appendix at 23</w:t>
      </w:r>
      <w:r w:rsidR="00B37EE2" w:rsidRPr="009B38AA">
        <w:rPr>
          <w:szCs w:val="26"/>
        </w:rPr>
        <w:t>.</w:t>
      </w:r>
      <w:proofErr w:type="gramEnd"/>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6F2665" w:rsidRPr="009B38AA" w:rsidRDefault="006F2665" w:rsidP="006F2665">
      <w:pPr>
        <w:rPr>
          <w:b/>
          <w:szCs w:val="26"/>
        </w:rPr>
      </w:pPr>
    </w:p>
    <w:p w:rsidR="002079FA" w:rsidRPr="009B38AA" w:rsidRDefault="002079FA" w:rsidP="002079FA">
      <w:pPr>
        <w:ind w:firstLine="720"/>
        <w:rPr>
          <w:szCs w:val="26"/>
        </w:rPr>
      </w:pPr>
      <w:r w:rsidRPr="009B38AA">
        <w:rPr>
          <w:szCs w:val="26"/>
        </w:rPr>
        <w:t>The Commission supports the expansion of the ENERGY STAR clothes washer protocol to include clothes washer</w:t>
      </w:r>
      <w:r w:rsidR="00B37EE2" w:rsidRPr="009B38AA">
        <w:rPr>
          <w:szCs w:val="26"/>
        </w:rPr>
        <w:t>s</w:t>
      </w:r>
      <w:r w:rsidRPr="009B38AA">
        <w:rPr>
          <w:szCs w:val="26"/>
        </w:rPr>
        <w:t xml:space="preserve"> with gas as a fuel source. </w:t>
      </w:r>
      <w:r w:rsidR="00D902BD" w:rsidRPr="009B38AA">
        <w:rPr>
          <w:szCs w:val="26"/>
        </w:rPr>
        <w:t xml:space="preserve"> </w:t>
      </w:r>
      <w:r w:rsidRPr="009B38AA">
        <w:rPr>
          <w:szCs w:val="26"/>
        </w:rPr>
        <w:t xml:space="preserve">Specifically, </w:t>
      </w:r>
      <w:r w:rsidR="00B37EE2" w:rsidRPr="009B38AA">
        <w:rPr>
          <w:szCs w:val="26"/>
        </w:rPr>
        <w:t>we</w:t>
      </w:r>
      <w:r w:rsidRPr="009B38AA">
        <w:rPr>
          <w:szCs w:val="26"/>
        </w:rPr>
        <w:t xml:space="preserve"> agree with PECO that the commercial protocol should allow savings to be claimed for gas fuel sources </w:t>
      </w:r>
      <w:r w:rsidR="00B37EE2" w:rsidRPr="009B38AA">
        <w:rPr>
          <w:szCs w:val="26"/>
        </w:rPr>
        <w:t xml:space="preserve">in a manner </w:t>
      </w:r>
      <w:r w:rsidRPr="009B38AA">
        <w:rPr>
          <w:szCs w:val="26"/>
        </w:rPr>
        <w:t xml:space="preserve">similar to the residential protocols. </w:t>
      </w:r>
      <w:r w:rsidR="00D902BD" w:rsidRPr="009B38AA">
        <w:rPr>
          <w:szCs w:val="26"/>
        </w:rPr>
        <w:t xml:space="preserve"> </w:t>
      </w:r>
      <w:r w:rsidRPr="009B38AA">
        <w:rPr>
          <w:szCs w:val="26"/>
        </w:rPr>
        <w:t xml:space="preserve">The energy and demand savings for different combinations of water heater and dryer types </w:t>
      </w:r>
      <w:r w:rsidR="00B37EE2" w:rsidRPr="009B38AA">
        <w:rPr>
          <w:szCs w:val="26"/>
        </w:rPr>
        <w:t xml:space="preserve">have been </w:t>
      </w:r>
      <w:r w:rsidRPr="009B38AA">
        <w:rPr>
          <w:szCs w:val="26"/>
        </w:rPr>
        <w:t>added to the protocol based on the values taken from the ENERGY STAR calculator developed for commercial clothes washers</w:t>
      </w:r>
      <w:r w:rsidR="00284EF0" w:rsidRPr="009B38AA">
        <w:rPr>
          <w:szCs w:val="26"/>
        </w:rPr>
        <w:t>, similar to how energy and demand savings are calculated for clothes washers in the residential sector</w:t>
      </w:r>
      <w:r w:rsidRPr="009B38AA">
        <w:rPr>
          <w:szCs w:val="26"/>
        </w:rPr>
        <w:t xml:space="preserve">. </w:t>
      </w:r>
      <w:r w:rsidR="00D902BD" w:rsidRPr="009B38AA">
        <w:rPr>
          <w:szCs w:val="26"/>
        </w:rPr>
        <w:t xml:space="preserve"> </w:t>
      </w:r>
      <w:r w:rsidR="00284EF0" w:rsidRPr="009B38AA">
        <w:rPr>
          <w:szCs w:val="26"/>
        </w:rPr>
        <w:t>This modification eliminates the need to estimate the number of loads per year</w:t>
      </w:r>
      <w:r w:rsidR="007C660C" w:rsidRPr="009B38AA">
        <w:rPr>
          <w:szCs w:val="26"/>
        </w:rPr>
        <w:t>;</w:t>
      </w:r>
      <w:r w:rsidR="00284EF0" w:rsidRPr="009B38AA">
        <w:rPr>
          <w:szCs w:val="26"/>
        </w:rPr>
        <w:t xml:space="preserve"> </w:t>
      </w:r>
      <w:r w:rsidR="00B37EE2" w:rsidRPr="009B38AA">
        <w:rPr>
          <w:szCs w:val="26"/>
        </w:rPr>
        <w:t>thus eliminating the need to change the value in Figure 3-1</w:t>
      </w:r>
      <w:r w:rsidR="004D71BF" w:rsidRPr="009B38AA">
        <w:rPr>
          <w:szCs w:val="26"/>
        </w:rPr>
        <w:t>,</w:t>
      </w:r>
      <w:r w:rsidR="00B37EE2" w:rsidRPr="009B38AA">
        <w:rPr>
          <w:szCs w:val="26"/>
        </w:rPr>
        <w:t xml:space="preserve"> as suggested by</w:t>
      </w:r>
      <w:r w:rsidR="00284EF0" w:rsidRPr="009B38AA">
        <w:rPr>
          <w:szCs w:val="26"/>
        </w:rPr>
        <w:t xml:space="preserve"> PECO. </w:t>
      </w:r>
      <w:r w:rsidR="004D71BF" w:rsidRPr="009B38AA">
        <w:rPr>
          <w:szCs w:val="26"/>
        </w:rPr>
        <w:t xml:space="preserve"> </w:t>
      </w:r>
    </w:p>
    <w:p w:rsidR="006F2665" w:rsidRPr="009B38AA" w:rsidRDefault="006F2665" w:rsidP="006F2665">
      <w:pPr>
        <w:rPr>
          <w:b/>
          <w:szCs w:val="26"/>
        </w:rPr>
      </w:pPr>
    </w:p>
    <w:p w:rsidR="005F64EA" w:rsidRPr="009B38AA" w:rsidRDefault="005F64EA" w:rsidP="00EB1FAC">
      <w:pPr>
        <w:pStyle w:val="Heading2"/>
      </w:pPr>
      <w:r w:rsidRPr="009B38AA">
        <w:t>Electric Resistance Water Heaters</w:t>
      </w:r>
    </w:p>
    <w:p w:rsidR="006F2665" w:rsidRPr="009B38AA" w:rsidRDefault="006F2665" w:rsidP="006F2665">
      <w:pPr>
        <w:rPr>
          <w:b/>
          <w:szCs w:val="26"/>
        </w:rPr>
      </w:pPr>
    </w:p>
    <w:p w:rsidR="006F2665" w:rsidRPr="009B38AA" w:rsidRDefault="001F6804" w:rsidP="0067187A">
      <w:pPr>
        <w:ind w:firstLine="720"/>
        <w:rPr>
          <w:szCs w:val="26"/>
        </w:rPr>
      </w:pPr>
      <w:r w:rsidRPr="009B38AA">
        <w:rPr>
          <w:szCs w:val="26"/>
        </w:rPr>
        <w:t xml:space="preserve">Efficient electric resistance water heaters use resistive heating coils to heat water.  Premium efficiency models generally use increased tank insulation to achieve energy factors </w:t>
      </w:r>
      <w:r w:rsidR="00D902BD" w:rsidRPr="009B38AA">
        <w:rPr>
          <w:szCs w:val="26"/>
        </w:rPr>
        <w:t>ranging from</w:t>
      </w:r>
      <w:r w:rsidRPr="009B38AA">
        <w:rPr>
          <w:szCs w:val="26"/>
        </w:rPr>
        <w:t xml:space="preserve"> 0.93 to 0.96.  This protocol documents the energy savings attributed </w:t>
      </w:r>
      <w:r w:rsidRPr="009B38AA">
        <w:rPr>
          <w:szCs w:val="26"/>
        </w:rPr>
        <w:lastRenderedPageBreak/>
        <w:t>to efficient electric resistance water heaters with a minimum energy factor of 0.93 compared to a baseline electric resistance water heater with an energy factor of 0.90.</w:t>
      </w:r>
    </w:p>
    <w:p w:rsidR="00940A6F" w:rsidRPr="009B38AA" w:rsidRDefault="00940A6F"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174F6C" w:rsidRPr="009B38AA" w:rsidRDefault="00174F6C" w:rsidP="001F6804">
      <w:pPr>
        <w:ind w:firstLine="720"/>
        <w:rPr>
          <w:szCs w:val="26"/>
        </w:rPr>
      </w:pPr>
      <w:r w:rsidRPr="009B38AA">
        <w:rPr>
          <w:szCs w:val="26"/>
        </w:rPr>
        <w:t xml:space="preserve">PECO </w:t>
      </w:r>
      <w:r w:rsidR="00B814D2" w:rsidRPr="009B38AA">
        <w:rPr>
          <w:szCs w:val="26"/>
        </w:rPr>
        <w:t xml:space="preserve">requests </w:t>
      </w:r>
      <w:r w:rsidRPr="009B38AA">
        <w:rPr>
          <w:szCs w:val="26"/>
        </w:rPr>
        <w:t xml:space="preserve">that the measure description be corrected to reflect a standard water heater efficiency value of 0.904 and that the algorithm be adjusted to match all other water heater measures in the TRM. </w:t>
      </w:r>
      <w:r w:rsidR="00B814D2" w:rsidRPr="009B38AA">
        <w:rPr>
          <w:szCs w:val="26"/>
        </w:rPr>
        <w:t xml:space="preserve"> </w:t>
      </w:r>
      <w:proofErr w:type="gramStart"/>
      <w:r w:rsidRPr="009B38AA">
        <w:rPr>
          <w:szCs w:val="26"/>
        </w:rPr>
        <w:t>PECO Comments Appendix at 24</w:t>
      </w:r>
      <w:r w:rsidR="00B814D2" w:rsidRPr="009B38AA">
        <w:rPr>
          <w:szCs w:val="26"/>
        </w:rPr>
        <w:t>.</w:t>
      </w:r>
      <w:proofErr w:type="gramEnd"/>
      <w:r w:rsidR="00B814D2" w:rsidRPr="009B38AA">
        <w:rPr>
          <w:szCs w:val="26"/>
        </w:rPr>
        <w:t xml:space="preserve">  </w:t>
      </w:r>
      <w:r w:rsidRPr="009B38AA">
        <w:rPr>
          <w:szCs w:val="26"/>
        </w:rPr>
        <w:t xml:space="preserve">PECO also </w:t>
      </w:r>
      <w:r w:rsidR="00B814D2" w:rsidRPr="009B38AA">
        <w:rPr>
          <w:szCs w:val="26"/>
        </w:rPr>
        <w:t xml:space="preserve">asserts </w:t>
      </w:r>
      <w:r w:rsidRPr="009B38AA">
        <w:rPr>
          <w:szCs w:val="26"/>
        </w:rPr>
        <w:t xml:space="preserve">that the use of </w:t>
      </w:r>
      <w:proofErr w:type="spellStart"/>
      <w:r w:rsidRPr="009B38AA">
        <w:rPr>
          <w:szCs w:val="26"/>
        </w:rPr>
        <w:t>kBtu</w:t>
      </w:r>
      <w:proofErr w:type="spellEnd"/>
      <w:r w:rsidRPr="009B38AA">
        <w:rPr>
          <w:szCs w:val="26"/>
        </w:rPr>
        <w:t xml:space="preserve"> loads from DEER</w:t>
      </w:r>
      <w:r w:rsidRPr="009B38AA">
        <w:rPr>
          <w:rStyle w:val="FootnoteReference"/>
          <w:szCs w:val="26"/>
        </w:rPr>
        <w:footnoteReference w:id="30"/>
      </w:r>
      <w:r w:rsidRPr="009B38AA">
        <w:rPr>
          <w:szCs w:val="26"/>
        </w:rPr>
        <w:t xml:space="preserve"> in the current algorithm results in incorrect units of kWh*°F.  PECO </w:t>
      </w:r>
      <w:r w:rsidR="00B814D2" w:rsidRPr="009B38AA">
        <w:rPr>
          <w:szCs w:val="26"/>
        </w:rPr>
        <w:t xml:space="preserve">provides </w:t>
      </w:r>
      <w:r w:rsidRPr="009B38AA">
        <w:rPr>
          <w:szCs w:val="26"/>
        </w:rPr>
        <w:t xml:space="preserve">a revised algorithm for converting DEER gas use data to average annual gallons of use. </w:t>
      </w:r>
      <w:r w:rsidR="00B814D2" w:rsidRPr="009B38AA">
        <w:rPr>
          <w:szCs w:val="26"/>
        </w:rPr>
        <w:t xml:space="preserve"> </w:t>
      </w:r>
      <w:proofErr w:type="gramStart"/>
      <w:r w:rsidRPr="009B38AA">
        <w:rPr>
          <w:szCs w:val="26"/>
        </w:rPr>
        <w:t>PECO Comments Appendix at 24</w:t>
      </w:r>
      <w:r w:rsidR="00B814D2" w:rsidRPr="009B38AA">
        <w:rPr>
          <w:szCs w:val="26"/>
        </w:rPr>
        <w:t>.</w:t>
      </w:r>
      <w:proofErr w:type="gramEnd"/>
      <w:r w:rsidR="00B814D2" w:rsidRPr="009B38AA">
        <w:rPr>
          <w:szCs w:val="26"/>
        </w:rPr>
        <w:t xml:space="preserve">  </w:t>
      </w:r>
      <w:r w:rsidRPr="009B38AA">
        <w:rPr>
          <w:szCs w:val="26"/>
        </w:rPr>
        <w:t xml:space="preserve">Additionally, PECO </w:t>
      </w:r>
      <w:r w:rsidR="00B814D2" w:rsidRPr="009B38AA">
        <w:rPr>
          <w:szCs w:val="26"/>
        </w:rPr>
        <w:t xml:space="preserve">provides </w:t>
      </w:r>
      <w:r w:rsidRPr="009B38AA">
        <w:rPr>
          <w:szCs w:val="26"/>
        </w:rPr>
        <w:t xml:space="preserve">a revised version of Table 3-86: Typical water heating loads, using DEER baseline end-use loads and a variety of other factors for determining the table’s values.  </w:t>
      </w:r>
      <w:proofErr w:type="gramStart"/>
      <w:r w:rsidRPr="009B38AA">
        <w:rPr>
          <w:szCs w:val="26"/>
        </w:rPr>
        <w:t>PECO Comments Appendix at 24</w:t>
      </w:r>
      <w:r w:rsidR="00B814D2" w:rsidRPr="009B38AA">
        <w:rPr>
          <w:szCs w:val="26"/>
        </w:rPr>
        <w:t>.</w:t>
      </w:r>
      <w:proofErr w:type="gramEnd"/>
      <w:r w:rsidR="00B814D2" w:rsidRPr="009B38AA">
        <w:rPr>
          <w:szCs w:val="26"/>
        </w:rPr>
        <w:t xml:space="preserve">  </w:t>
      </w:r>
      <w:r w:rsidRPr="009B38AA">
        <w:rPr>
          <w:szCs w:val="26"/>
        </w:rPr>
        <w:t xml:space="preserve">PECO </w:t>
      </w:r>
      <w:r w:rsidR="00B814D2" w:rsidRPr="009B38AA">
        <w:rPr>
          <w:szCs w:val="26"/>
        </w:rPr>
        <w:t xml:space="preserve">requests </w:t>
      </w:r>
      <w:r w:rsidRPr="009B38AA">
        <w:rPr>
          <w:szCs w:val="26"/>
        </w:rPr>
        <w:t xml:space="preserve">that Table 3-87: Electric Resistance Water Heater Calculation Assumptions be amended to reflect the exact calculation of 0.904 for the </w:t>
      </w:r>
      <w:proofErr w:type="spellStart"/>
      <w:r w:rsidRPr="009B38AA">
        <w:rPr>
          <w:szCs w:val="26"/>
        </w:rPr>
        <w:t>EF</w:t>
      </w:r>
      <w:r w:rsidRPr="009B38AA">
        <w:rPr>
          <w:szCs w:val="26"/>
          <w:vertAlign w:val="subscript"/>
        </w:rPr>
        <w:t>base</w:t>
      </w:r>
      <w:proofErr w:type="spellEnd"/>
      <w:r w:rsidRPr="009B38AA">
        <w:rPr>
          <w:rStyle w:val="FootnoteReference"/>
          <w:szCs w:val="26"/>
        </w:rPr>
        <w:footnoteReference w:id="31"/>
      </w:r>
      <w:r w:rsidRPr="009B38AA">
        <w:rPr>
          <w:szCs w:val="26"/>
        </w:rPr>
        <w:t xml:space="preserve"> value.  Additionally, PECO </w:t>
      </w:r>
      <w:r w:rsidR="00B814D2" w:rsidRPr="009B38AA">
        <w:rPr>
          <w:szCs w:val="26"/>
        </w:rPr>
        <w:t xml:space="preserve">requests </w:t>
      </w:r>
      <w:r w:rsidRPr="009B38AA">
        <w:rPr>
          <w:szCs w:val="26"/>
        </w:rPr>
        <w:t xml:space="preserve">that the “Load” parameter in Table 3-87 be replaced with “annual gallons of use.” </w:t>
      </w:r>
      <w:r w:rsidR="00B814D2" w:rsidRPr="009B38AA">
        <w:rPr>
          <w:szCs w:val="26"/>
        </w:rPr>
        <w:t xml:space="preserve"> </w:t>
      </w:r>
      <w:proofErr w:type="gramStart"/>
      <w:r w:rsidRPr="009B38AA">
        <w:rPr>
          <w:szCs w:val="26"/>
        </w:rPr>
        <w:t>PECO Comments Appendix at 25</w:t>
      </w:r>
      <w:r w:rsidR="00B814D2" w:rsidRPr="009B38AA">
        <w:rPr>
          <w:szCs w:val="26"/>
        </w:rPr>
        <w:t>.</w:t>
      </w:r>
      <w:proofErr w:type="gramEnd"/>
      <w:r w:rsidR="00B814D2" w:rsidRPr="009B38AA">
        <w:rPr>
          <w:szCs w:val="26"/>
        </w:rPr>
        <w:t xml:space="preserve">  Finally</w:t>
      </w:r>
      <w:r w:rsidR="00770B39" w:rsidRPr="009B38AA">
        <w:rPr>
          <w:szCs w:val="26"/>
        </w:rPr>
        <w:t xml:space="preserve">, PECO </w:t>
      </w:r>
      <w:r w:rsidR="00B814D2" w:rsidRPr="009B38AA">
        <w:rPr>
          <w:szCs w:val="26"/>
        </w:rPr>
        <w:t xml:space="preserve">requests </w:t>
      </w:r>
      <w:r w:rsidR="00770B39" w:rsidRPr="009B38AA">
        <w:rPr>
          <w:szCs w:val="26"/>
        </w:rPr>
        <w:t xml:space="preserve">that Table 3-88: Energy Savings and Demand Reductions be amended based on the comments noted above. </w:t>
      </w:r>
      <w:r w:rsidR="00B814D2" w:rsidRPr="009B38AA">
        <w:rPr>
          <w:szCs w:val="26"/>
        </w:rPr>
        <w:t xml:space="preserve"> </w:t>
      </w:r>
      <w:proofErr w:type="gramStart"/>
      <w:r w:rsidR="00770B39" w:rsidRPr="009B38AA">
        <w:rPr>
          <w:szCs w:val="26"/>
        </w:rPr>
        <w:t>PECO Comments Appendix at 25</w:t>
      </w:r>
      <w:r w:rsidR="00B814D2" w:rsidRPr="009B38AA">
        <w:rPr>
          <w:szCs w:val="26"/>
        </w:rPr>
        <w:t>.</w:t>
      </w:r>
      <w:proofErr w:type="gramEnd"/>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2079FA" w:rsidRPr="009B38AA" w:rsidRDefault="002079FA" w:rsidP="002079FA">
      <w:pPr>
        <w:ind w:firstLine="720"/>
        <w:rPr>
          <w:szCs w:val="26"/>
        </w:rPr>
      </w:pPr>
    </w:p>
    <w:p w:rsidR="002079FA" w:rsidRPr="009B38AA" w:rsidRDefault="002079FA" w:rsidP="002079FA">
      <w:pPr>
        <w:ind w:firstLine="720"/>
        <w:rPr>
          <w:szCs w:val="26"/>
        </w:rPr>
      </w:pPr>
      <w:r w:rsidRPr="009B38AA">
        <w:rPr>
          <w:szCs w:val="26"/>
        </w:rPr>
        <w:t xml:space="preserve">The Commission accepts PECO’s proposal to change the standard water heater efficiency value to 0.904 in the protocol. </w:t>
      </w:r>
      <w:r w:rsidR="00D902BD" w:rsidRPr="009B38AA">
        <w:rPr>
          <w:szCs w:val="26"/>
        </w:rPr>
        <w:t xml:space="preserve"> </w:t>
      </w:r>
      <w:r w:rsidRPr="009B38AA">
        <w:rPr>
          <w:szCs w:val="26"/>
        </w:rPr>
        <w:t xml:space="preserve">Where appropriate, the TRM has been modified to ensure adherence to the federal standards. </w:t>
      </w:r>
    </w:p>
    <w:p w:rsidR="00D902BD" w:rsidRPr="009B38AA" w:rsidRDefault="002079FA" w:rsidP="002079FA">
      <w:pPr>
        <w:ind w:firstLine="720"/>
        <w:rPr>
          <w:szCs w:val="26"/>
        </w:rPr>
      </w:pPr>
      <w:r w:rsidRPr="009B38AA">
        <w:rPr>
          <w:szCs w:val="26"/>
        </w:rPr>
        <w:lastRenderedPageBreak/>
        <w:t xml:space="preserve">The Commission agrees with PECO that the algorithm should be adjusted to be consistent with all other water heater measures in the TRM. </w:t>
      </w:r>
      <w:r w:rsidR="00D902BD" w:rsidRPr="009B38AA">
        <w:rPr>
          <w:szCs w:val="26"/>
        </w:rPr>
        <w:t xml:space="preserve"> </w:t>
      </w:r>
      <w:r w:rsidRPr="009B38AA">
        <w:rPr>
          <w:szCs w:val="26"/>
        </w:rPr>
        <w:t xml:space="preserve">The Commission also accepts the methodology suggested by PECO for converting DEER gas use data to average annual gallons of use. </w:t>
      </w:r>
      <w:r w:rsidR="004D71BF" w:rsidRPr="009B38AA">
        <w:rPr>
          <w:szCs w:val="26"/>
        </w:rPr>
        <w:t xml:space="preserve"> </w:t>
      </w:r>
      <w:r w:rsidRPr="009B38AA">
        <w:rPr>
          <w:szCs w:val="26"/>
        </w:rPr>
        <w:t xml:space="preserve">The Commission revised Table 3-86 </w:t>
      </w:r>
      <w:r w:rsidR="005573AE" w:rsidRPr="009B38AA">
        <w:rPr>
          <w:szCs w:val="26"/>
        </w:rPr>
        <w:t>based on PECO’s comments, but modified the average annual use in gallons value</w:t>
      </w:r>
      <w:r w:rsidR="00A11169" w:rsidRPr="009B38AA">
        <w:rPr>
          <w:szCs w:val="26"/>
        </w:rPr>
        <w:t>s</w:t>
      </w:r>
      <w:r w:rsidR="005573AE" w:rsidRPr="009B38AA">
        <w:rPr>
          <w:szCs w:val="26"/>
        </w:rPr>
        <w:t xml:space="preserve"> to reflect </w:t>
      </w:r>
      <w:r w:rsidR="00A11169" w:rsidRPr="009B38AA">
        <w:rPr>
          <w:szCs w:val="26"/>
        </w:rPr>
        <w:t xml:space="preserve">a </w:t>
      </w:r>
      <w:r w:rsidR="004D71BF" w:rsidRPr="009B38AA">
        <w:rPr>
          <w:szCs w:val="26"/>
        </w:rPr>
        <w:t>cold water temperature of 55°F a</w:t>
      </w:r>
      <w:r w:rsidR="005573AE" w:rsidRPr="009B38AA">
        <w:rPr>
          <w:szCs w:val="26"/>
        </w:rPr>
        <w:t xml:space="preserve">nd </w:t>
      </w:r>
      <w:r w:rsidR="00A11169" w:rsidRPr="009B38AA">
        <w:rPr>
          <w:szCs w:val="26"/>
        </w:rPr>
        <w:t xml:space="preserve">a </w:t>
      </w:r>
      <w:r w:rsidR="005573AE" w:rsidRPr="009B38AA">
        <w:rPr>
          <w:szCs w:val="26"/>
        </w:rPr>
        <w:t>baseline gas EF</w:t>
      </w:r>
      <w:r w:rsidR="00A11169" w:rsidRPr="009B38AA">
        <w:rPr>
          <w:szCs w:val="26"/>
        </w:rPr>
        <w:t xml:space="preserve"> of 0.594</w:t>
      </w:r>
      <w:r w:rsidR="005573AE" w:rsidRPr="009B38AA">
        <w:rPr>
          <w:szCs w:val="26"/>
        </w:rPr>
        <w:t xml:space="preserve"> to be consistent with other protocols and standard assumptions in the TRM.</w:t>
      </w:r>
      <w:r w:rsidRPr="009B38AA">
        <w:rPr>
          <w:szCs w:val="26"/>
        </w:rPr>
        <w:t xml:space="preserve"> </w:t>
      </w:r>
      <w:r w:rsidR="00D902BD" w:rsidRPr="009B38AA">
        <w:rPr>
          <w:szCs w:val="26"/>
        </w:rPr>
        <w:t xml:space="preserve"> </w:t>
      </w:r>
      <w:r w:rsidR="00B814D2" w:rsidRPr="009B38AA">
        <w:rPr>
          <w:szCs w:val="26"/>
        </w:rPr>
        <w:t>We also added the value for Resistive Heating Discount Factor</w:t>
      </w:r>
      <w:r w:rsidR="00B814D2" w:rsidRPr="009B38AA">
        <w:rPr>
          <w:szCs w:val="26"/>
          <w:vertAlign w:val="superscript"/>
        </w:rPr>
        <w:footnoteReference w:id="32"/>
      </w:r>
      <w:r w:rsidR="00B814D2" w:rsidRPr="009B38AA">
        <w:rPr>
          <w:szCs w:val="26"/>
        </w:rPr>
        <w:t xml:space="preserve"> in Table 3-87 after noticing that the value was missing in the current protocol.  For this protocol, the appropriate value is one.  This does not modify savings but does make the algorithm consistent with other similar water-related protocols.  We also amended Table 3-88 based on the comments provided.  </w:t>
      </w:r>
    </w:p>
    <w:p w:rsidR="00D902BD" w:rsidRPr="009B38AA" w:rsidRDefault="00D902BD" w:rsidP="002079FA">
      <w:pPr>
        <w:ind w:firstLine="720"/>
        <w:rPr>
          <w:szCs w:val="26"/>
        </w:rPr>
      </w:pPr>
    </w:p>
    <w:p w:rsidR="002079FA" w:rsidRPr="009B38AA" w:rsidRDefault="002079FA" w:rsidP="002079FA">
      <w:pPr>
        <w:ind w:firstLine="720"/>
        <w:rPr>
          <w:szCs w:val="26"/>
        </w:rPr>
      </w:pPr>
      <w:r w:rsidRPr="009B38AA">
        <w:rPr>
          <w:szCs w:val="26"/>
        </w:rPr>
        <w:t xml:space="preserve">The Commission rejects </w:t>
      </w:r>
      <w:r w:rsidR="00B814D2" w:rsidRPr="009B38AA">
        <w:rPr>
          <w:szCs w:val="26"/>
        </w:rPr>
        <w:t xml:space="preserve">PECO’s </w:t>
      </w:r>
      <w:r w:rsidRPr="009B38AA">
        <w:rPr>
          <w:szCs w:val="26"/>
        </w:rPr>
        <w:t xml:space="preserve">proposed domestic cold water and domestic hot water supply temperatures and maintains the existing temperatures, consistent with other water-related protocols in the TRM. </w:t>
      </w:r>
      <w:r w:rsidR="004D71BF" w:rsidRPr="009B38AA">
        <w:rPr>
          <w:szCs w:val="26"/>
        </w:rPr>
        <w:t xml:space="preserve"> </w:t>
      </w:r>
      <w:r w:rsidRPr="009B38AA">
        <w:rPr>
          <w:szCs w:val="26"/>
        </w:rPr>
        <w:t>The Commission uses</w:t>
      </w:r>
      <w:r w:rsidR="00D902BD" w:rsidRPr="009B38AA">
        <w:rPr>
          <w:szCs w:val="26"/>
        </w:rPr>
        <w:t xml:space="preserve"> a</w:t>
      </w:r>
      <w:r w:rsidRPr="009B38AA">
        <w:rPr>
          <w:szCs w:val="26"/>
        </w:rPr>
        <w:t xml:space="preserve"> baseline gas </w:t>
      </w:r>
      <w:r w:rsidR="00D902BD" w:rsidRPr="009B38AA">
        <w:rPr>
          <w:szCs w:val="26"/>
        </w:rPr>
        <w:t xml:space="preserve">energy factor </w:t>
      </w:r>
      <w:r w:rsidRPr="009B38AA">
        <w:rPr>
          <w:szCs w:val="26"/>
        </w:rPr>
        <w:t xml:space="preserve">value of 0.594 instead of 0.54 recommended by PECO. </w:t>
      </w:r>
      <w:r w:rsidR="00D902BD" w:rsidRPr="009B38AA">
        <w:rPr>
          <w:szCs w:val="26"/>
        </w:rPr>
        <w:t xml:space="preserve"> </w:t>
      </w:r>
      <w:r w:rsidRPr="009B38AA">
        <w:rPr>
          <w:szCs w:val="26"/>
        </w:rPr>
        <w:t xml:space="preserve">The latest U.S. Department of Energy (“DOE”) energy efficiency </w:t>
      </w:r>
      <w:r w:rsidR="00085B29" w:rsidRPr="009B38AA">
        <w:rPr>
          <w:szCs w:val="26"/>
        </w:rPr>
        <w:t xml:space="preserve">(“EE”) </w:t>
      </w:r>
      <w:r w:rsidRPr="009B38AA">
        <w:rPr>
          <w:szCs w:val="26"/>
        </w:rPr>
        <w:t>standards, effective in 2006, require that the minimum baseline efficiency for this equipment be 0.594</w:t>
      </w:r>
      <w:r w:rsidRPr="009B38AA">
        <w:rPr>
          <w:rStyle w:val="FootnoteReference"/>
          <w:szCs w:val="26"/>
        </w:rPr>
        <w:footnoteReference w:id="33"/>
      </w:r>
      <w:r w:rsidRPr="009B38AA">
        <w:rPr>
          <w:szCs w:val="26"/>
        </w:rPr>
        <w:t xml:space="preserve">. </w:t>
      </w:r>
      <w:r w:rsidR="00D902BD" w:rsidRPr="009B38AA">
        <w:rPr>
          <w:szCs w:val="26"/>
        </w:rPr>
        <w:t xml:space="preserve"> </w:t>
      </w:r>
      <w:r w:rsidRPr="009B38AA">
        <w:rPr>
          <w:szCs w:val="26"/>
        </w:rPr>
        <w:t xml:space="preserve">Furthermore, the Commission modified the algorithm to remove the factor “365” </w:t>
      </w:r>
      <w:r w:rsidR="00A11169" w:rsidRPr="009B38AA">
        <w:rPr>
          <w:szCs w:val="26"/>
        </w:rPr>
        <w:t xml:space="preserve">from the savings algorithm </w:t>
      </w:r>
      <w:r w:rsidR="004D71BF" w:rsidRPr="009B38AA">
        <w:rPr>
          <w:szCs w:val="26"/>
        </w:rPr>
        <w:t>as</w:t>
      </w:r>
      <w:r w:rsidRPr="009B38AA">
        <w:rPr>
          <w:szCs w:val="26"/>
        </w:rPr>
        <w:t xml:space="preserve"> the average annual gallons of use values already </w:t>
      </w:r>
      <w:r w:rsidR="00A11169" w:rsidRPr="009B38AA">
        <w:rPr>
          <w:szCs w:val="26"/>
        </w:rPr>
        <w:t xml:space="preserve">account for </w:t>
      </w:r>
      <w:r w:rsidRPr="009B38AA">
        <w:rPr>
          <w:szCs w:val="26"/>
        </w:rPr>
        <w:t xml:space="preserve">annual </w:t>
      </w:r>
      <w:r w:rsidR="00A11169" w:rsidRPr="009B38AA">
        <w:rPr>
          <w:szCs w:val="26"/>
        </w:rPr>
        <w:t>usage</w:t>
      </w:r>
      <w:r w:rsidRPr="009B38AA">
        <w:rPr>
          <w:szCs w:val="26"/>
        </w:rPr>
        <w:t xml:space="preserve">. </w:t>
      </w:r>
    </w:p>
    <w:p w:rsidR="002079FA" w:rsidRDefault="002079FA" w:rsidP="002079FA">
      <w:pPr>
        <w:ind w:firstLine="720"/>
        <w:rPr>
          <w:szCs w:val="26"/>
        </w:rPr>
      </w:pPr>
    </w:p>
    <w:p w:rsidR="002F5C72" w:rsidRDefault="002F5C72" w:rsidP="002079FA">
      <w:pPr>
        <w:ind w:firstLine="720"/>
        <w:rPr>
          <w:szCs w:val="26"/>
        </w:rPr>
      </w:pPr>
    </w:p>
    <w:p w:rsidR="002F5C72" w:rsidRDefault="002F5C72" w:rsidP="002079FA">
      <w:pPr>
        <w:ind w:firstLine="720"/>
        <w:rPr>
          <w:szCs w:val="26"/>
        </w:rPr>
      </w:pPr>
    </w:p>
    <w:p w:rsidR="002F5C72" w:rsidRPr="009B38AA" w:rsidRDefault="002F5C72" w:rsidP="002079FA">
      <w:pPr>
        <w:ind w:firstLine="720"/>
        <w:rPr>
          <w:szCs w:val="26"/>
        </w:rPr>
      </w:pPr>
    </w:p>
    <w:p w:rsidR="005F64EA" w:rsidRPr="009B38AA" w:rsidRDefault="005F64EA" w:rsidP="00EB1FAC">
      <w:pPr>
        <w:pStyle w:val="Heading2"/>
      </w:pPr>
      <w:r w:rsidRPr="009B38AA">
        <w:lastRenderedPageBreak/>
        <w:t>Heat Pump Water Heaters</w:t>
      </w:r>
    </w:p>
    <w:p w:rsidR="006F2665" w:rsidRPr="009B38AA" w:rsidRDefault="006F2665" w:rsidP="006F2665">
      <w:pPr>
        <w:rPr>
          <w:b/>
          <w:szCs w:val="26"/>
        </w:rPr>
      </w:pPr>
    </w:p>
    <w:p w:rsidR="006F2665" w:rsidRPr="009B38AA" w:rsidRDefault="000F4ADF" w:rsidP="000F4ADF">
      <w:pPr>
        <w:ind w:firstLine="720"/>
        <w:rPr>
          <w:szCs w:val="26"/>
        </w:rPr>
      </w:pPr>
      <w:r w:rsidRPr="009B38AA">
        <w:rPr>
          <w:szCs w:val="26"/>
        </w:rPr>
        <w:t>Heat</w:t>
      </w:r>
      <w:r w:rsidR="009B4F8B" w:rsidRPr="009B38AA">
        <w:rPr>
          <w:szCs w:val="26"/>
        </w:rPr>
        <w:t xml:space="preserve"> pump w</w:t>
      </w:r>
      <w:r w:rsidRPr="009B38AA">
        <w:rPr>
          <w:szCs w:val="26"/>
        </w:rPr>
        <w:t xml:space="preserve">ater </w:t>
      </w:r>
      <w:r w:rsidR="009B4F8B" w:rsidRPr="009B38AA">
        <w:rPr>
          <w:szCs w:val="26"/>
        </w:rPr>
        <w:t>h</w:t>
      </w:r>
      <w:r w:rsidRPr="009B38AA">
        <w:rPr>
          <w:szCs w:val="26"/>
        </w:rPr>
        <w:t xml:space="preserve">eaters take heat from the surrounding air and transfer it to the water in the tank, unlike conventional electrical water heaters which use resistive heating coils to heat the water.  This measure involves a direct retrofit of a resistive electric water heater with a heat pump water heater.  It does not cover systems where the heat pump is a pre-heater or is combined with other water heating sources.  </w:t>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Comments</w:t>
      </w:r>
    </w:p>
    <w:p w:rsidR="006F2665" w:rsidRPr="009B38AA" w:rsidRDefault="006F2665" w:rsidP="006F2665">
      <w:pPr>
        <w:rPr>
          <w:b/>
          <w:szCs w:val="26"/>
        </w:rPr>
      </w:pPr>
    </w:p>
    <w:p w:rsidR="00D61641" w:rsidRPr="009B38AA" w:rsidRDefault="00D61641" w:rsidP="00D61641">
      <w:pPr>
        <w:ind w:firstLine="720"/>
        <w:rPr>
          <w:szCs w:val="26"/>
        </w:rPr>
      </w:pPr>
      <w:r w:rsidRPr="009B38AA">
        <w:rPr>
          <w:szCs w:val="26"/>
        </w:rPr>
        <w:t xml:space="preserve">PECO </w:t>
      </w:r>
      <w:r w:rsidR="00A834F2" w:rsidRPr="009B38AA">
        <w:rPr>
          <w:szCs w:val="26"/>
        </w:rPr>
        <w:t xml:space="preserve">requests </w:t>
      </w:r>
      <w:r w:rsidRPr="009B38AA">
        <w:rPr>
          <w:szCs w:val="26"/>
        </w:rPr>
        <w:t xml:space="preserve">that the measure description be corrected to reflect a standard water heater efficiency value of 0.904 and that the algorithm be adjusted to match all other water heater measures in the TRM. </w:t>
      </w:r>
      <w:r w:rsidR="00A834F2" w:rsidRPr="009B38AA">
        <w:rPr>
          <w:szCs w:val="26"/>
        </w:rPr>
        <w:t xml:space="preserve"> </w:t>
      </w:r>
      <w:proofErr w:type="gramStart"/>
      <w:r w:rsidRPr="009B38AA">
        <w:rPr>
          <w:szCs w:val="26"/>
        </w:rPr>
        <w:t>PECO Comments Appendix at 26</w:t>
      </w:r>
      <w:r w:rsidR="00A834F2" w:rsidRPr="009B38AA">
        <w:rPr>
          <w:szCs w:val="26"/>
        </w:rPr>
        <w:t>.</w:t>
      </w:r>
      <w:proofErr w:type="gramEnd"/>
      <w:r w:rsidR="00A834F2" w:rsidRPr="009B38AA">
        <w:rPr>
          <w:szCs w:val="26"/>
        </w:rPr>
        <w:t xml:space="preserve">  </w:t>
      </w:r>
      <w:r w:rsidR="002079FA" w:rsidRPr="009B38AA">
        <w:rPr>
          <w:szCs w:val="26"/>
        </w:rPr>
        <w:t xml:space="preserve">PECO </w:t>
      </w:r>
      <w:r w:rsidR="00A834F2" w:rsidRPr="009B38AA">
        <w:rPr>
          <w:szCs w:val="26"/>
        </w:rPr>
        <w:t>notes</w:t>
      </w:r>
      <w:r w:rsidR="002079FA" w:rsidRPr="009B38AA">
        <w:rPr>
          <w:szCs w:val="26"/>
        </w:rPr>
        <w:t xml:space="preserve"> that the use of </w:t>
      </w:r>
      <w:proofErr w:type="spellStart"/>
      <w:r w:rsidR="002079FA" w:rsidRPr="009B38AA">
        <w:rPr>
          <w:szCs w:val="26"/>
        </w:rPr>
        <w:t>kBtu</w:t>
      </w:r>
      <w:proofErr w:type="spellEnd"/>
      <w:r w:rsidR="002079FA" w:rsidRPr="009B38AA">
        <w:rPr>
          <w:szCs w:val="26"/>
        </w:rPr>
        <w:t xml:space="preserve"> loads from DEER in the current algorithm results in incorrect units of kWh*°F.  PECO </w:t>
      </w:r>
      <w:r w:rsidR="00A834F2" w:rsidRPr="009B38AA">
        <w:rPr>
          <w:szCs w:val="26"/>
        </w:rPr>
        <w:t xml:space="preserve">provides </w:t>
      </w:r>
      <w:r w:rsidR="002079FA" w:rsidRPr="009B38AA">
        <w:rPr>
          <w:szCs w:val="26"/>
        </w:rPr>
        <w:t xml:space="preserve">a revised algorithm for converting DEER gas use data to average annual gallons of use. </w:t>
      </w:r>
      <w:r w:rsidR="00A834F2" w:rsidRPr="009B38AA">
        <w:rPr>
          <w:szCs w:val="26"/>
        </w:rPr>
        <w:t xml:space="preserve"> </w:t>
      </w:r>
      <w:proofErr w:type="gramStart"/>
      <w:r w:rsidR="002079FA" w:rsidRPr="009B38AA">
        <w:rPr>
          <w:szCs w:val="26"/>
        </w:rPr>
        <w:t>PECO Comments Appendix at 26</w:t>
      </w:r>
      <w:r w:rsidR="00A834F2" w:rsidRPr="009B38AA">
        <w:rPr>
          <w:szCs w:val="26"/>
        </w:rPr>
        <w:t>.</w:t>
      </w:r>
      <w:proofErr w:type="gramEnd"/>
      <w:r w:rsidR="00A834F2" w:rsidRPr="009B38AA">
        <w:rPr>
          <w:szCs w:val="26"/>
        </w:rPr>
        <w:t xml:space="preserve">  </w:t>
      </w:r>
      <w:r w:rsidR="002079FA" w:rsidRPr="009B38AA">
        <w:rPr>
          <w:szCs w:val="26"/>
        </w:rPr>
        <w:t xml:space="preserve">Additionally, PECO </w:t>
      </w:r>
      <w:r w:rsidR="00A834F2" w:rsidRPr="009B38AA">
        <w:rPr>
          <w:szCs w:val="26"/>
        </w:rPr>
        <w:t xml:space="preserve">provides </w:t>
      </w:r>
      <w:r w:rsidR="002079FA" w:rsidRPr="009B38AA">
        <w:rPr>
          <w:szCs w:val="26"/>
        </w:rPr>
        <w:t xml:space="preserve">a revised version of Table 3-89: Typical water heating loads, using DEER baseline end-use loads and a variety of other factors for determining the table’s values.  </w:t>
      </w:r>
      <w:proofErr w:type="gramStart"/>
      <w:r w:rsidR="002079FA" w:rsidRPr="009B38AA">
        <w:rPr>
          <w:szCs w:val="26"/>
        </w:rPr>
        <w:t>PECO Comments Appendix at 27</w:t>
      </w:r>
      <w:r w:rsidR="00A834F2" w:rsidRPr="009B38AA">
        <w:rPr>
          <w:szCs w:val="26"/>
        </w:rPr>
        <w:t>.</w:t>
      </w:r>
      <w:proofErr w:type="gramEnd"/>
      <w:r w:rsidR="00A834F2" w:rsidRPr="009B38AA">
        <w:rPr>
          <w:szCs w:val="26"/>
        </w:rPr>
        <w:t xml:space="preserve">  </w:t>
      </w:r>
      <w:r w:rsidRPr="009B38AA">
        <w:rPr>
          <w:szCs w:val="26"/>
        </w:rPr>
        <w:t xml:space="preserve">PECO </w:t>
      </w:r>
      <w:r w:rsidR="00A834F2" w:rsidRPr="009B38AA">
        <w:rPr>
          <w:szCs w:val="26"/>
        </w:rPr>
        <w:t xml:space="preserve">further requests </w:t>
      </w:r>
      <w:r w:rsidRPr="009B38AA">
        <w:rPr>
          <w:szCs w:val="26"/>
        </w:rPr>
        <w:t xml:space="preserve">that Table 3-91: Electric Resistance Water Heater Calculation Assumptions be amended to reflect the exact calculation of 0.904 for the </w:t>
      </w:r>
      <w:proofErr w:type="spellStart"/>
      <w:r w:rsidRPr="009B38AA">
        <w:rPr>
          <w:szCs w:val="26"/>
        </w:rPr>
        <w:t>EF</w:t>
      </w:r>
      <w:r w:rsidRPr="009B38AA">
        <w:rPr>
          <w:szCs w:val="26"/>
          <w:vertAlign w:val="subscript"/>
        </w:rPr>
        <w:t>base</w:t>
      </w:r>
      <w:proofErr w:type="spellEnd"/>
      <w:r w:rsidRPr="009B38AA">
        <w:rPr>
          <w:szCs w:val="26"/>
        </w:rPr>
        <w:t xml:space="preserve"> value.  Additionally, PECO </w:t>
      </w:r>
      <w:r w:rsidR="00A834F2" w:rsidRPr="009B38AA">
        <w:rPr>
          <w:szCs w:val="26"/>
        </w:rPr>
        <w:t xml:space="preserve">requests </w:t>
      </w:r>
      <w:r w:rsidRPr="009B38AA">
        <w:rPr>
          <w:szCs w:val="26"/>
        </w:rPr>
        <w:t>that the “Load” parameter in Table 3-91 be replaced with “annual gallons of use.” PECO Comments Appendix at 27</w:t>
      </w:r>
      <w:r w:rsidR="00A834F2" w:rsidRPr="009B38AA">
        <w:rPr>
          <w:szCs w:val="26"/>
        </w:rPr>
        <w:t>.</w:t>
      </w:r>
      <w:r w:rsidRPr="009B38AA">
        <w:rPr>
          <w:szCs w:val="26"/>
        </w:rPr>
        <w:t xml:space="preserve">Lastly, PECO </w:t>
      </w:r>
      <w:r w:rsidR="00A834F2" w:rsidRPr="009B38AA">
        <w:rPr>
          <w:szCs w:val="26"/>
        </w:rPr>
        <w:t xml:space="preserve">requests </w:t>
      </w:r>
      <w:r w:rsidRPr="009B38AA">
        <w:rPr>
          <w:szCs w:val="26"/>
        </w:rPr>
        <w:t xml:space="preserve">that Table 3-92: Energy Savings and Demand Reductions be amended based on the comments noted above. </w:t>
      </w:r>
      <w:r w:rsidR="00A834F2" w:rsidRPr="009B38AA">
        <w:rPr>
          <w:szCs w:val="26"/>
        </w:rPr>
        <w:t xml:space="preserve"> </w:t>
      </w:r>
      <w:proofErr w:type="gramStart"/>
      <w:r w:rsidRPr="009B38AA">
        <w:rPr>
          <w:szCs w:val="26"/>
        </w:rPr>
        <w:t>PECO Comments Appendix at 28</w:t>
      </w:r>
      <w:r w:rsidR="00A834F2" w:rsidRPr="009B38AA">
        <w:rPr>
          <w:szCs w:val="26"/>
        </w:rPr>
        <w:t>.</w:t>
      </w:r>
      <w:proofErr w:type="gramEnd"/>
    </w:p>
    <w:p w:rsidR="006F2665" w:rsidRPr="009B38AA" w:rsidRDefault="006F2665" w:rsidP="006F2665">
      <w:pPr>
        <w:rPr>
          <w:b/>
          <w:szCs w:val="26"/>
        </w:rPr>
      </w:pPr>
    </w:p>
    <w:p w:rsidR="00CC772B" w:rsidRPr="009B38AA" w:rsidRDefault="00CC772B" w:rsidP="00CC772B">
      <w:pPr>
        <w:ind w:firstLine="720"/>
        <w:rPr>
          <w:szCs w:val="26"/>
        </w:rPr>
      </w:pPr>
      <w:r w:rsidRPr="009B38AA">
        <w:rPr>
          <w:szCs w:val="26"/>
        </w:rPr>
        <w:t xml:space="preserve">PPL </w:t>
      </w:r>
      <w:r w:rsidR="00A834F2" w:rsidRPr="009B38AA">
        <w:rPr>
          <w:szCs w:val="26"/>
        </w:rPr>
        <w:t xml:space="preserve">approves </w:t>
      </w:r>
      <w:r w:rsidRPr="009B38AA">
        <w:rPr>
          <w:szCs w:val="26"/>
        </w:rPr>
        <w:t xml:space="preserve">of the addition of this protocol for the C&amp;I sector. </w:t>
      </w:r>
      <w:r w:rsidR="00A834F2" w:rsidRPr="009B38AA">
        <w:rPr>
          <w:szCs w:val="26"/>
        </w:rPr>
        <w:t xml:space="preserve"> </w:t>
      </w:r>
      <w:proofErr w:type="gramStart"/>
      <w:r w:rsidRPr="009B38AA">
        <w:rPr>
          <w:szCs w:val="26"/>
        </w:rPr>
        <w:t>PPL Comments at 8</w:t>
      </w:r>
      <w:r w:rsidR="00A834F2" w:rsidRPr="009B38AA">
        <w:rPr>
          <w:szCs w:val="26"/>
        </w:rPr>
        <w:t>.</w:t>
      </w:r>
      <w:proofErr w:type="gramEnd"/>
    </w:p>
    <w:p w:rsidR="006F2665" w:rsidRPr="009B38AA" w:rsidRDefault="006F2665" w:rsidP="00EB1FAC">
      <w:pPr>
        <w:pStyle w:val="Heading3"/>
        <w:rPr>
          <w:rFonts w:cs="Times New Roman"/>
        </w:rPr>
      </w:pPr>
      <w:r w:rsidRPr="009B38AA">
        <w:rPr>
          <w:rFonts w:cs="Times New Roman"/>
        </w:rPr>
        <w:lastRenderedPageBreak/>
        <w:t>Disposition</w:t>
      </w:r>
    </w:p>
    <w:p w:rsidR="006F2665" w:rsidRPr="009B38AA" w:rsidRDefault="006F2665" w:rsidP="006F2665">
      <w:pPr>
        <w:rPr>
          <w:b/>
          <w:szCs w:val="26"/>
        </w:rPr>
      </w:pPr>
    </w:p>
    <w:p w:rsidR="002079FA" w:rsidRPr="009B38AA" w:rsidRDefault="002079FA" w:rsidP="002079FA">
      <w:pPr>
        <w:ind w:firstLine="720"/>
        <w:rPr>
          <w:szCs w:val="26"/>
        </w:rPr>
      </w:pPr>
      <w:r w:rsidRPr="009B38AA">
        <w:rPr>
          <w:szCs w:val="26"/>
        </w:rPr>
        <w:t xml:space="preserve">The Commission accepts PECO’s proposal to change the standard water heater efficiency value of 0.90 to 0.904 in the protocol. </w:t>
      </w:r>
      <w:r w:rsidR="00464D5C" w:rsidRPr="009B38AA">
        <w:rPr>
          <w:szCs w:val="26"/>
        </w:rPr>
        <w:t xml:space="preserve"> </w:t>
      </w:r>
      <w:r w:rsidRPr="009B38AA">
        <w:rPr>
          <w:szCs w:val="26"/>
        </w:rPr>
        <w:t xml:space="preserve">Where appropriate, the TRM has been modified to ensure adherence to the standards. </w:t>
      </w:r>
      <w:r w:rsidR="00A834F2" w:rsidRPr="009B38AA">
        <w:rPr>
          <w:szCs w:val="26"/>
        </w:rPr>
        <w:t xml:space="preserve"> </w:t>
      </w:r>
      <w:r w:rsidRPr="009B38AA">
        <w:rPr>
          <w:szCs w:val="26"/>
        </w:rPr>
        <w:t xml:space="preserve">The Commission agrees with PECO that the algorithm should be adjusted to be consistent with all other water heater measures in the TRM. </w:t>
      </w:r>
      <w:r w:rsidR="00464D5C" w:rsidRPr="009B38AA">
        <w:rPr>
          <w:szCs w:val="26"/>
        </w:rPr>
        <w:t xml:space="preserve"> </w:t>
      </w:r>
      <w:r w:rsidRPr="009B38AA">
        <w:rPr>
          <w:szCs w:val="26"/>
        </w:rPr>
        <w:t xml:space="preserve">The Commission also accepts the methodology suggested by PECO for converting DEER gas use data to average annual gallons of use. </w:t>
      </w:r>
      <w:r w:rsidR="00A834F2" w:rsidRPr="009B38AA">
        <w:rPr>
          <w:szCs w:val="26"/>
        </w:rPr>
        <w:t xml:space="preserve"> Finally, we accept PECO’s request of amending Table 3-92 based on the comments provided.</w:t>
      </w:r>
    </w:p>
    <w:p w:rsidR="002079FA" w:rsidRPr="009B38AA" w:rsidRDefault="002079FA" w:rsidP="002079FA">
      <w:pPr>
        <w:ind w:firstLine="720"/>
        <w:rPr>
          <w:szCs w:val="26"/>
        </w:rPr>
      </w:pPr>
    </w:p>
    <w:p w:rsidR="002079FA" w:rsidRDefault="002079FA" w:rsidP="002079FA">
      <w:pPr>
        <w:ind w:firstLine="720"/>
        <w:rPr>
          <w:szCs w:val="26"/>
        </w:rPr>
      </w:pPr>
      <w:r w:rsidRPr="009B38AA">
        <w:rPr>
          <w:szCs w:val="26"/>
        </w:rPr>
        <w:t>The Commission</w:t>
      </w:r>
      <w:r w:rsidR="00A834F2" w:rsidRPr="009B38AA">
        <w:rPr>
          <w:szCs w:val="26"/>
        </w:rPr>
        <w:t>, however,</w:t>
      </w:r>
      <w:r w:rsidRPr="009B38AA">
        <w:rPr>
          <w:szCs w:val="26"/>
        </w:rPr>
        <w:t xml:space="preserve"> disagrees with PECO in terms of the assumptions made for some of the key variables. </w:t>
      </w:r>
      <w:r w:rsidR="00464D5C" w:rsidRPr="009B38AA">
        <w:rPr>
          <w:szCs w:val="26"/>
        </w:rPr>
        <w:t xml:space="preserve"> </w:t>
      </w:r>
      <w:r w:rsidRPr="009B38AA">
        <w:rPr>
          <w:szCs w:val="26"/>
        </w:rPr>
        <w:t xml:space="preserve">The Commission uses </w:t>
      </w:r>
      <w:r w:rsidR="00464D5C" w:rsidRPr="009B38AA">
        <w:rPr>
          <w:szCs w:val="26"/>
        </w:rPr>
        <w:t xml:space="preserve">a </w:t>
      </w:r>
      <w:r w:rsidRPr="009B38AA">
        <w:rPr>
          <w:szCs w:val="26"/>
        </w:rPr>
        <w:t xml:space="preserve">baseline gas EF value of 0.594 instead of 0.54 recommended by PECO. </w:t>
      </w:r>
      <w:r w:rsidR="00464D5C" w:rsidRPr="009B38AA">
        <w:rPr>
          <w:szCs w:val="26"/>
        </w:rPr>
        <w:t xml:space="preserve"> </w:t>
      </w:r>
      <w:r w:rsidRPr="009B38AA">
        <w:rPr>
          <w:szCs w:val="26"/>
        </w:rPr>
        <w:t xml:space="preserve">The latest U.S. DOE </w:t>
      </w:r>
      <w:r w:rsidR="00085B29" w:rsidRPr="009B38AA">
        <w:rPr>
          <w:szCs w:val="26"/>
        </w:rPr>
        <w:t>EE</w:t>
      </w:r>
      <w:r w:rsidRPr="009B38AA">
        <w:rPr>
          <w:szCs w:val="26"/>
        </w:rPr>
        <w:t xml:space="preserve"> standards, effective in 2006, require that the minimum baseline efficiency for this equipment be 0.594</w:t>
      </w:r>
      <w:r w:rsidR="00464D5C" w:rsidRPr="009B38AA">
        <w:rPr>
          <w:szCs w:val="26"/>
        </w:rPr>
        <w:t>.</w:t>
      </w:r>
      <w:r w:rsidRPr="009B38AA">
        <w:rPr>
          <w:rStyle w:val="FootnoteReference"/>
          <w:szCs w:val="26"/>
        </w:rPr>
        <w:footnoteReference w:id="34"/>
      </w:r>
      <w:r w:rsidRPr="009B38AA">
        <w:rPr>
          <w:szCs w:val="26"/>
        </w:rPr>
        <w:t xml:space="preserve"> </w:t>
      </w:r>
      <w:r w:rsidR="00464D5C" w:rsidRPr="009B38AA">
        <w:rPr>
          <w:szCs w:val="26"/>
        </w:rPr>
        <w:t xml:space="preserve"> </w:t>
      </w:r>
      <w:r w:rsidRPr="009B38AA">
        <w:rPr>
          <w:szCs w:val="26"/>
        </w:rPr>
        <w:t xml:space="preserve">The Commission uses cold water temperature of 55°F instead of 67°F suggested by PECO. </w:t>
      </w:r>
      <w:r w:rsidR="00464D5C" w:rsidRPr="009B38AA">
        <w:rPr>
          <w:szCs w:val="26"/>
        </w:rPr>
        <w:t xml:space="preserve"> </w:t>
      </w:r>
      <w:r w:rsidRPr="009B38AA">
        <w:rPr>
          <w:szCs w:val="26"/>
        </w:rPr>
        <w:t xml:space="preserve">These assumptions have been modified to remain consistent with all the other water heater measures in the TRM. </w:t>
      </w:r>
    </w:p>
    <w:p w:rsidR="00940A6F" w:rsidRPr="009B38AA" w:rsidRDefault="00940A6F" w:rsidP="002079FA">
      <w:pPr>
        <w:ind w:firstLine="720"/>
        <w:rPr>
          <w:szCs w:val="26"/>
        </w:rPr>
      </w:pPr>
    </w:p>
    <w:p w:rsidR="005F64EA" w:rsidRPr="009B38AA" w:rsidRDefault="005F64EA" w:rsidP="00EB1FAC">
      <w:pPr>
        <w:pStyle w:val="Heading2"/>
      </w:pPr>
      <w:r w:rsidRPr="009B38AA">
        <w:t>Low Flow Pre-Rinse Sprayers</w:t>
      </w:r>
    </w:p>
    <w:p w:rsidR="006F2665" w:rsidRPr="009B38AA" w:rsidRDefault="006F2665" w:rsidP="006F2665">
      <w:pPr>
        <w:rPr>
          <w:b/>
          <w:szCs w:val="26"/>
        </w:rPr>
      </w:pPr>
    </w:p>
    <w:p w:rsidR="006F2665" w:rsidRPr="009B38AA" w:rsidRDefault="001E4B2A" w:rsidP="00CC772B">
      <w:pPr>
        <w:ind w:firstLine="720"/>
        <w:rPr>
          <w:szCs w:val="26"/>
        </w:rPr>
      </w:pPr>
      <w:r w:rsidRPr="009B38AA">
        <w:rPr>
          <w:szCs w:val="26"/>
        </w:rPr>
        <w:t xml:space="preserve">This protocol documents the energy savings and demand reductions attributed to efficient low flow pre-rinse sprayers in grocery and non-grocery (primarily food service) applications.  The most likely areas of application are kitchens in restaurants and hotels.  Only premises with electric water heating may qualify for this incentive.  Low flow pre-rinse sprayers reduce hot water usage and save energy associated with water heating. </w:t>
      </w:r>
    </w:p>
    <w:p w:rsidR="006F2665" w:rsidRPr="009B38AA" w:rsidRDefault="006F2665" w:rsidP="00EB1FAC">
      <w:pPr>
        <w:pStyle w:val="Heading3"/>
        <w:rPr>
          <w:rFonts w:cs="Times New Roman"/>
        </w:rPr>
      </w:pPr>
      <w:r w:rsidRPr="009B38AA">
        <w:rPr>
          <w:rFonts w:cs="Times New Roman"/>
        </w:rPr>
        <w:lastRenderedPageBreak/>
        <w:t>Comments</w:t>
      </w:r>
    </w:p>
    <w:p w:rsidR="006F2665" w:rsidRPr="009B38AA" w:rsidRDefault="006F2665" w:rsidP="006F2665">
      <w:pPr>
        <w:rPr>
          <w:b/>
          <w:szCs w:val="26"/>
        </w:rPr>
      </w:pPr>
    </w:p>
    <w:p w:rsidR="0065160F" w:rsidRPr="009B38AA" w:rsidRDefault="002C45E5" w:rsidP="002C45E5">
      <w:pPr>
        <w:ind w:firstLine="720"/>
        <w:rPr>
          <w:szCs w:val="26"/>
        </w:rPr>
      </w:pPr>
      <w:r w:rsidRPr="009B38AA">
        <w:rPr>
          <w:szCs w:val="26"/>
        </w:rPr>
        <w:t xml:space="preserve">PECO </w:t>
      </w:r>
      <w:r w:rsidR="00A834F2" w:rsidRPr="009B38AA">
        <w:rPr>
          <w:szCs w:val="26"/>
        </w:rPr>
        <w:t xml:space="preserve">requests </w:t>
      </w:r>
      <w:r w:rsidRPr="009B38AA">
        <w:rPr>
          <w:szCs w:val="26"/>
        </w:rPr>
        <w:t>that the protocol be amended to contain algorithms consistent with other water heater</w:t>
      </w:r>
      <w:r w:rsidR="00486CF7" w:rsidRPr="009B38AA">
        <w:rPr>
          <w:szCs w:val="26"/>
        </w:rPr>
        <w:t>-</w:t>
      </w:r>
      <w:r w:rsidRPr="009B38AA">
        <w:rPr>
          <w:szCs w:val="26"/>
        </w:rPr>
        <w:t xml:space="preserve">related measures. </w:t>
      </w:r>
      <w:r w:rsidR="00A834F2" w:rsidRPr="009B38AA">
        <w:rPr>
          <w:szCs w:val="26"/>
        </w:rPr>
        <w:t xml:space="preserve"> </w:t>
      </w:r>
      <w:proofErr w:type="gramStart"/>
      <w:r w:rsidRPr="009B38AA">
        <w:rPr>
          <w:szCs w:val="26"/>
        </w:rPr>
        <w:t>PECO Comments Appendix at 29</w:t>
      </w:r>
      <w:r w:rsidR="00A834F2" w:rsidRPr="009B38AA">
        <w:rPr>
          <w:szCs w:val="26"/>
        </w:rPr>
        <w:t xml:space="preserve"> and </w:t>
      </w:r>
      <w:r w:rsidRPr="009B38AA">
        <w:rPr>
          <w:szCs w:val="26"/>
        </w:rPr>
        <w:t>30</w:t>
      </w:r>
      <w:r w:rsidR="00A834F2" w:rsidRPr="009B38AA">
        <w:rPr>
          <w:szCs w:val="26"/>
        </w:rPr>
        <w:t>.</w:t>
      </w:r>
      <w:proofErr w:type="gramEnd"/>
      <w:r w:rsidR="00A834F2" w:rsidRPr="009B38AA">
        <w:rPr>
          <w:szCs w:val="26"/>
        </w:rPr>
        <w:t xml:space="preserve">  </w:t>
      </w:r>
      <w:r w:rsidR="0065160F" w:rsidRPr="009B38AA">
        <w:rPr>
          <w:szCs w:val="26"/>
        </w:rPr>
        <w:t xml:space="preserve">PECO also </w:t>
      </w:r>
      <w:r w:rsidR="00A834F2" w:rsidRPr="009B38AA">
        <w:rPr>
          <w:szCs w:val="26"/>
        </w:rPr>
        <w:t xml:space="preserve">suggests </w:t>
      </w:r>
      <w:r w:rsidR="0065160F" w:rsidRPr="009B38AA">
        <w:rPr>
          <w:szCs w:val="26"/>
        </w:rPr>
        <w:t xml:space="preserve">that the Definition of Terms be clarified to show that the cold water temperature is for incoming water and that the hot water temperature is for water coming from the spray nozzle.  </w:t>
      </w:r>
      <w:proofErr w:type="gramStart"/>
      <w:r w:rsidR="00A834F2" w:rsidRPr="009B38AA">
        <w:rPr>
          <w:szCs w:val="26"/>
        </w:rPr>
        <w:t>Suggesting that t</w:t>
      </w:r>
      <w:r w:rsidR="0065160F" w:rsidRPr="009B38AA">
        <w:rPr>
          <w:szCs w:val="26"/>
        </w:rPr>
        <w:t xml:space="preserve">hese values should have been 55°F for </w:t>
      </w:r>
      <w:proofErr w:type="spellStart"/>
      <w:r w:rsidR="0065160F" w:rsidRPr="009B38AA">
        <w:rPr>
          <w:szCs w:val="26"/>
        </w:rPr>
        <w:t>T</w:t>
      </w:r>
      <w:r w:rsidR="0065160F" w:rsidRPr="009B38AA">
        <w:rPr>
          <w:szCs w:val="26"/>
          <w:vertAlign w:val="subscript"/>
        </w:rPr>
        <w:t>c</w:t>
      </w:r>
      <w:proofErr w:type="spellEnd"/>
      <w:r w:rsidR="00B31134" w:rsidRPr="009B38AA">
        <w:rPr>
          <w:szCs w:val="26"/>
        </w:rPr>
        <w:t>,</w:t>
      </w:r>
      <w:r w:rsidR="0065160F" w:rsidRPr="009B38AA">
        <w:rPr>
          <w:rStyle w:val="FootnoteReference"/>
          <w:szCs w:val="26"/>
        </w:rPr>
        <w:footnoteReference w:id="35"/>
      </w:r>
      <w:r w:rsidR="0065160F" w:rsidRPr="009B38AA">
        <w:rPr>
          <w:szCs w:val="26"/>
        </w:rPr>
        <w:t xml:space="preserve"> and 107°F and 97.6°F for non-grocery and grocery applications, respectively.</w:t>
      </w:r>
      <w:proofErr w:type="gramEnd"/>
      <w:r w:rsidR="0065160F" w:rsidRPr="009B38AA">
        <w:rPr>
          <w:szCs w:val="26"/>
        </w:rPr>
        <w:t xml:space="preserve"> </w:t>
      </w:r>
      <w:r w:rsidR="00A834F2" w:rsidRPr="009B38AA">
        <w:rPr>
          <w:szCs w:val="26"/>
        </w:rPr>
        <w:t xml:space="preserve"> </w:t>
      </w:r>
      <w:proofErr w:type="gramStart"/>
      <w:r w:rsidR="0065160F" w:rsidRPr="009B38AA">
        <w:rPr>
          <w:szCs w:val="26"/>
        </w:rPr>
        <w:t>PECO Comments Appendix at 30</w:t>
      </w:r>
      <w:r w:rsidR="00A834F2" w:rsidRPr="009B38AA">
        <w:rPr>
          <w:szCs w:val="26"/>
        </w:rPr>
        <w:t>.</w:t>
      </w:r>
      <w:proofErr w:type="gramEnd"/>
      <w:r w:rsidR="00A834F2" w:rsidRPr="009B38AA">
        <w:rPr>
          <w:szCs w:val="26"/>
        </w:rPr>
        <w:t xml:space="preserve">  </w:t>
      </w:r>
      <w:r w:rsidR="0065160F" w:rsidRPr="009B38AA">
        <w:rPr>
          <w:szCs w:val="26"/>
        </w:rPr>
        <w:t xml:space="preserve">PECO </w:t>
      </w:r>
      <w:r w:rsidR="00A834F2" w:rsidRPr="009B38AA">
        <w:rPr>
          <w:szCs w:val="26"/>
        </w:rPr>
        <w:t xml:space="preserve">further requests </w:t>
      </w:r>
      <w:r w:rsidR="0065160F" w:rsidRPr="009B38AA">
        <w:rPr>
          <w:szCs w:val="26"/>
        </w:rPr>
        <w:t xml:space="preserve">that the measure description be corrected to reflect a standard water heater efficiency value of 0.904 and that the algorithm be adjusted to match all other water heater measures in the TRM. </w:t>
      </w:r>
      <w:r w:rsidR="00A834F2" w:rsidRPr="009B38AA">
        <w:rPr>
          <w:szCs w:val="26"/>
        </w:rPr>
        <w:t xml:space="preserve"> </w:t>
      </w:r>
      <w:proofErr w:type="gramStart"/>
      <w:r w:rsidR="0065160F" w:rsidRPr="009B38AA">
        <w:rPr>
          <w:szCs w:val="26"/>
        </w:rPr>
        <w:t>PECO Comments Appendix at 30</w:t>
      </w:r>
      <w:r w:rsidR="00A834F2" w:rsidRPr="009B38AA">
        <w:rPr>
          <w:szCs w:val="26"/>
        </w:rPr>
        <w:t>.</w:t>
      </w:r>
      <w:proofErr w:type="gramEnd"/>
      <w:r w:rsidR="00A834F2" w:rsidRPr="009B38AA">
        <w:rPr>
          <w:szCs w:val="26"/>
        </w:rPr>
        <w:t xml:space="preserve">  Finally, </w:t>
      </w:r>
      <w:r w:rsidR="0065160F" w:rsidRPr="009B38AA">
        <w:rPr>
          <w:szCs w:val="26"/>
        </w:rPr>
        <w:t xml:space="preserve">PECO </w:t>
      </w:r>
      <w:r w:rsidR="00A834F2" w:rsidRPr="009B38AA">
        <w:rPr>
          <w:szCs w:val="26"/>
        </w:rPr>
        <w:t xml:space="preserve">requests </w:t>
      </w:r>
      <w:r w:rsidR="0065160F" w:rsidRPr="009B38AA">
        <w:rPr>
          <w:szCs w:val="26"/>
        </w:rPr>
        <w:t xml:space="preserve">clarification regarding the </w:t>
      </w:r>
      <w:proofErr w:type="spellStart"/>
      <w:r w:rsidR="0065160F" w:rsidRPr="009B38AA">
        <w:rPr>
          <w:szCs w:val="26"/>
        </w:rPr>
        <w:t>EnergyToDemandFactor</w:t>
      </w:r>
      <w:proofErr w:type="spellEnd"/>
      <w:r w:rsidR="0065160F" w:rsidRPr="009B38AA">
        <w:rPr>
          <w:szCs w:val="26"/>
        </w:rPr>
        <w:t xml:space="preserve"> in Table 3-94: Low Flow Pre-Rinse Sprayer Calculations Assumptions.  The proposed 2012 TRM provided an </w:t>
      </w:r>
      <w:proofErr w:type="spellStart"/>
      <w:r w:rsidR="0065160F" w:rsidRPr="009B38AA">
        <w:rPr>
          <w:szCs w:val="26"/>
        </w:rPr>
        <w:t>EnergyToDemandFactor</w:t>
      </w:r>
      <w:proofErr w:type="spellEnd"/>
      <w:r w:rsidR="0065160F" w:rsidRPr="009B38AA">
        <w:rPr>
          <w:szCs w:val="26"/>
        </w:rPr>
        <w:t xml:space="preserve"> of 0.000193885.</w:t>
      </w:r>
      <w:r w:rsidR="0065160F" w:rsidRPr="009B38AA">
        <w:rPr>
          <w:rStyle w:val="FootnoteReference"/>
          <w:szCs w:val="26"/>
        </w:rPr>
        <w:footnoteReference w:id="36"/>
      </w:r>
      <w:r w:rsidR="008624F7" w:rsidRPr="009B38AA">
        <w:rPr>
          <w:szCs w:val="26"/>
        </w:rPr>
        <w:t xml:space="preserve">  PECO </w:t>
      </w:r>
      <w:r w:rsidR="00D50F85" w:rsidRPr="009B38AA">
        <w:rPr>
          <w:szCs w:val="26"/>
        </w:rPr>
        <w:t xml:space="preserve">states </w:t>
      </w:r>
      <w:r w:rsidR="008624F7" w:rsidRPr="009B38AA">
        <w:rPr>
          <w:szCs w:val="26"/>
        </w:rPr>
        <w:t xml:space="preserve">that it was unclear whether or not the </w:t>
      </w:r>
      <w:proofErr w:type="spellStart"/>
      <w:r w:rsidR="008624F7" w:rsidRPr="009B38AA">
        <w:rPr>
          <w:szCs w:val="26"/>
        </w:rPr>
        <w:t>EnergyToDemandFactor</w:t>
      </w:r>
      <w:proofErr w:type="spellEnd"/>
      <w:r w:rsidR="008624F7" w:rsidRPr="009B38AA">
        <w:rPr>
          <w:szCs w:val="26"/>
        </w:rPr>
        <w:t xml:space="preserve"> was updated for commercial applications from the residential measures</w:t>
      </w:r>
      <w:r w:rsidR="00D50F85" w:rsidRPr="009B38AA">
        <w:rPr>
          <w:szCs w:val="26"/>
        </w:rPr>
        <w:t xml:space="preserve"> And i</w:t>
      </w:r>
      <w:r w:rsidR="008624F7" w:rsidRPr="009B38AA">
        <w:rPr>
          <w:szCs w:val="26"/>
        </w:rPr>
        <w:t>f not  it should be corrected to match the 0.00009172 as listed in the residential sections, or 0.0001916 as listed in measure 3.28.  If it was updated, measures 3.27, 3.28, 3.29, and 3.31 should all be reviewed for internal consistency</w:t>
      </w:r>
      <w:r w:rsidR="00D50F85" w:rsidRPr="009B38AA">
        <w:rPr>
          <w:szCs w:val="26"/>
        </w:rPr>
        <w:t>.</w:t>
      </w:r>
      <w:r w:rsidR="008624F7" w:rsidRPr="009B38AA">
        <w:rPr>
          <w:szCs w:val="26"/>
        </w:rPr>
        <w:t xml:space="preserve"> </w:t>
      </w:r>
      <w:r w:rsidR="00D50F85" w:rsidRPr="009B38AA">
        <w:rPr>
          <w:szCs w:val="26"/>
        </w:rPr>
        <w:t xml:space="preserve"> </w:t>
      </w:r>
      <w:proofErr w:type="gramStart"/>
      <w:r w:rsidR="008624F7" w:rsidRPr="009B38AA">
        <w:rPr>
          <w:szCs w:val="26"/>
        </w:rPr>
        <w:t>PECO Comments Appendix at 31</w:t>
      </w:r>
      <w:r w:rsidR="00D50F85" w:rsidRPr="009B38AA">
        <w:rPr>
          <w:szCs w:val="26"/>
        </w:rPr>
        <w:t>.</w:t>
      </w:r>
      <w:proofErr w:type="gramEnd"/>
      <w:r w:rsidR="008624F7" w:rsidRPr="009B38AA">
        <w:rPr>
          <w:rStyle w:val="FootnoteReference"/>
          <w:szCs w:val="26"/>
        </w:rPr>
        <w:footnoteReference w:id="37"/>
      </w:r>
    </w:p>
    <w:p w:rsidR="006F2665" w:rsidRPr="009B38AA" w:rsidRDefault="006F2665" w:rsidP="006F2665">
      <w:pPr>
        <w:rPr>
          <w:b/>
          <w:szCs w:val="26"/>
        </w:rPr>
      </w:pPr>
    </w:p>
    <w:p w:rsidR="006F2665" w:rsidRPr="009B38AA" w:rsidRDefault="006F2665" w:rsidP="00EB1FAC">
      <w:pPr>
        <w:pStyle w:val="Heading3"/>
        <w:rPr>
          <w:rFonts w:cs="Times New Roman"/>
        </w:rPr>
      </w:pPr>
      <w:r w:rsidRPr="009B38AA">
        <w:rPr>
          <w:rFonts w:cs="Times New Roman"/>
        </w:rPr>
        <w:t>Disposition</w:t>
      </w:r>
    </w:p>
    <w:p w:rsidR="006F2665" w:rsidRPr="009B38AA" w:rsidRDefault="006F2665" w:rsidP="006F2665">
      <w:pPr>
        <w:rPr>
          <w:b/>
          <w:szCs w:val="26"/>
        </w:rPr>
      </w:pPr>
    </w:p>
    <w:p w:rsidR="002079FA" w:rsidRPr="009B38AA" w:rsidRDefault="002079FA" w:rsidP="002079FA">
      <w:pPr>
        <w:ind w:firstLine="720"/>
        <w:rPr>
          <w:szCs w:val="26"/>
        </w:rPr>
      </w:pPr>
      <w:r w:rsidRPr="009B38AA">
        <w:rPr>
          <w:szCs w:val="26"/>
        </w:rPr>
        <w:t xml:space="preserve">The Commission agrees with PECO that the algorithm should be modified to be consistent with all other water heater measures in the TRM. </w:t>
      </w:r>
      <w:r w:rsidR="00206B4D" w:rsidRPr="009B38AA">
        <w:rPr>
          <w:szCs w:val="26"/>
        </w:rPr>
        <w:t xml:space="preserve"> </w:t>
      </w:r>
      <w:r w:rsidRPr="009B38AA">
        <w:rPr>
          <w:szCs w:val="26"/>
        </w:rPr>
        <w:t xml:space="preserve">The Commission, however, </w:t>
      </w:r>
      <w:r w:rsidRPr="009B38AA">
        <w:rPr>
          <w:szCs w:val="26"/>
        </w:rPr>
        <w:lastRenderedPageBreak/>
        <w:t xml:space="preserve">rejects PECO’s request to combine both the algorithms for grocery and non-grocery applications into a single algorithm. </w:t>
      </w:r>
      <w:r w:rsidR="00206B4D" w:rsidRPr="009B38AA">
        <w:rPr>
          <w:szCs w:val="26"/>
        </w:rPr>
        <w:t xml:space="preserve"> </w:t>
      </w:r>
      <w:r w:rsidRPr="009B38AA">
        <w:rPr>
          <w:szCs w:val="26"/>
        </w:rPr>
        <w:t>The Commission believes that the algorithms currently in the TRM clearly differentiate</w:t>
      </w:r>
      <w:r w:rsidR="00206B4D" w:rsidRPr="009B38AA">
        <w:rPr>
          <w:szCs w:val="26"/>
        </w:rPr>
        <w:t>s</w:t>
      </w:r>
      <w:r w:rsidRPr="009B38AA">
        <w:rPr>
          <w:szCs w:val="26"/>
        </w:rPr>
        <w:t xml:space="preserve"> between these applicati</w:t>
      </w:r>
      <w:r w:rsidR="00206B4D" w:rsidRPr="009B38AA">
        <w:rPr>
          <w:szCs w:val="26"/>
        </w:rPr>
        <w:t>ons and is consistent with the De</w:t>
      </w:r>
      <w:r w:rsidRPr="009B38AA">
        <w:rPr>
          <w:szCs w:val="26"/>
        </w:rPr>
        <w:t xml:space="preserve">finition of </w:t>
      </w:r>
      <w:r w:rsidR="00206B4D" w:rsidRPr="009B38AA">
        <w:rPr>
          <w:szCs w:val="26"/>
        </w:rPr>
        <w:t>T</w:t>
      </w:r>
      <w:r w:rsidRPr="009B38AA">
        <w:rPr>
          <w:szCs w:val="26"/>
        </w:rPr>
        <w:t>erms</w:t>
      </w:r>
      <w:r w:rsidR="00206B4D" w:rsidRPr="009B38AA">
        <w:rPr>
          <w:szCs w:val="26"/>
        </w:rPr>
        <w:t xml:space="preserve"> section</w:t>
      </w:r>
      <w:r w:rsidRPr="009B38AA">
        <w:rPr>
          <w:szCs w:val="26"/>
        </w:rPr>
        <w:t xml:space="preserve"> and Table 3-94. </w:t>
      </w:r>
    </w:p>
    <w:p w:rsidR="002079FA" w:rsidRPr="009B38AA" w:rsidRDefault="002079FA" w:rsidP="002079FA">
      <w:pPr>
        <w:ind w:firstLine="720"/>
        <w:rPr>
          <w:szCs w:val="26"/>
        </w:rPr>
      </w:pPr>
    </w:p>
    <w:p w:rsidR="002079FA" w:rsidRPr="009B38AA" w:rsidRDefault="002079FA" w:rsidP="002079FA">
      <w:pPr>
        <w:ind w:firstLine="720"/>
        <w:rPr>
          <w:szCs w:val="26"/>
        </w:rPr>
      </w:pPr>
      <w:r w:rsidRPr="009B38AA">
        <w:rPr>
          <w:szCs w:val="26"/>
        </w:rPr>
        <w:t xml:space="preserve">The Commission accepts PECO’s suggestion to modify the definitions for terms including </w:t>
      </w:r>
      <w:proofErr w:type="spellStart"/>
      <w:r w:rsidRPr="009B38AA">
        <w:rPr>
          <w:szCs w:val="26"/>
        </w:rPr>
        <w:t>T</w:t>
      </w:r>
      <w:r w:rsidRPr="009B38AA">
        <w:rPr>
          <w:szCs w:val="26"/>
          <w:vertAlign w:val="subscript"/>
        </w:rPr>
        <w:t>hot</w:t>
      </w:r>
      <w:proofErr w:type="spellEnd"/>
      <w:r w:rsidRPr="009B38AA">
        <w:rPr>
          <w:szCs w:val="26"/>
        </w:rPr>
        <w:t xml:space="preserve"> and </w:t>
      </w:r>
      <w:proofErr w:type="spellStart"/>
      <w:r w:rsidRPr="009B38AA">
        <w:rPr>
          <w:szCs w:val="26"/>
        </w:rPr>
        <w:t>T</w:t>
      </w:r>
      <w:r w:rsidRPr="009B38AA">
        <w:rPr>
          <w:szCs w:val="26"/>
          <w:vertAlign w:val="subscript"/>
        </w:rPr>
        <w:t>cold</w:t>
      </w:r>
      <w:proofErr w:type="spellEnd"/>
      <w:r w:rsidRPr="009B38AA">
        <w:rPr>
          <w:szCs w:val="26"/>
        </w:rPr>
        <w:t xml:space="preserve">, thereby clarifying that the cold water temperature is for incoming water and that the hot water temperature is for water coming from the spray nozzle.  The Commission also agrees with PECO that these values should be updated to 55°F for </w:t>
      </w:r>
      <w:proofErr w:type="spellStart"/>
      <w:r w:rsidRPr="009B38AA">
        <w:rPr>
          <w:szCs w:val="26"/>
        </w:rPr>
        <w:t>T</w:t>
      </w:r>
      <w:r w:rsidRPr="009B38AA">
        <w:rPr>
          <w:szCs w:val="26"/>
          <w:vertAlign w:val="subscript"/>
        </w:rPr>
        <w:t>cold</w:t>
      </w:r>
      <w:proofErr w:type="spellEnd"/>
      <w:r w:rsidRPr="009B38AA">
        <w:rPr>
          <w:szCs w:val="26"/>
        </w:rPr>
        <w:t xml:space="preserve"> and 107°F and 97.6°F for </w:t>
      </w:r>
      <w:proofErr w:type="spellStart"/>
      <w:r w:rsidRPr="009B38AA">
        <w:rPr>
          <w:szCs w:val="26"/>
        </w:rPr>
        <w:t>T</w:t>
      </w:r>
      <w:r w:rsidRPr="009B38AA">
        <w:rPr>
          <w:szCs w:val="26"/>
          <w:vertAlign w:val="subscript"/>
        </w:rPr>
        <w:t>hot</w:t>
      </w:r>
      <w:proofErr w:type="spellEnd"/>
      <w:r w:rsidRPr="009B38AA">
        <w:rPr>
          <w:szCs w:val="26"/>
        </w:rPr>
        <w:t xml:space="preserve"> for non-grocery and grocery applications, respectively.</w:t>
      </w:r>
      <w:r w:rsidR="00206B4D" w:rsidRPr="009B38AA">
        <w:rPr>
          <w:szCs w:val="26"/>
        </w:rPr>
        <w:t xml:space="preserve">  The TRM has been updated accordingly.  </w:t>
      </w:r>
      <w:r w:rsidRPr="009B38AA">
        <w:rPr>
          <w:szCs w:val="26"/>
        </w:rPr>
        <w:t xml:space="preserve"> </w:t>
      </w:r>
    </w:p>
    <w:p w:rsidR="002079FA" w:rsidRPr="009B38AA" w:rsidRDefault="002079FA" w:rsidP="002079FA">
      <w:pPr>
        <w:ind w:firstLine="720"/>
        <w:rPr>
          <w:szCs w:val="26"/>
        </w:rPr>
      </w:pPr>
    </w:p>
    <w:p w:rsidR="002079FA" w:rsidRPr="009B38AA" w:rsidRDefault="00206B4D" w:rsidP="002079FA">
      <w:pPr>
        <w:ind w:firstLine="720"/>
        <w:rPr>
          <w:szCs w:val="26"/>
        </w:rPr>
      </w:pPr>
      <w:r w:rsidRPr="009B38AA">
        <w:rPr>
          <w:szCs w:val="26"/>
        </w:rPr>
        <w:t>The Commission</w:t>
      </w:r>
      <w:r w:rsidR="002079FA" w:rsidRPr="009B38AA">
        <w:rPr>
          <w:szCs w:val="26"/>
        </w:rPr>
        <w:t xml:space="preserve"> reject'</w:t>
      </w:r>
      <w:r w:rsidRPr="009B38AA">
        <w:rPr>
          <w:szCs w:val="26"/>
        </w:rPr>
        <w:t>s PECO's request to modify the D</w:t>
      </w:r>
      <w:r w:rsidR="002079FA" w:rsidRPr="009B38AA">
        <w:rPr>
          <w:szCs w:val="26"/>
        </w:rPr>
        <w:t>efi</w:t>
      </w:r>
      <w:r w:rsidRPr="009B38AA">
        <w:rPr>
          <w:szCs w:val="26"/>
        </w:rPr>
        <w:t>nition of T</w:t>
      </w:r>
      <w:r w:rsidR="002079FA" w:rsidRPr="009B38AA">
        <w:rPr>
          <w:szCs w:val="26"/>
        </w:rPr>
        <w:t>erms</w:t>
      </w:r>
      <w:r w:rsidRPr="009B38AA">
        <w:rPr>
          <w:szCs w:val="26"/>
        </w:rPr>
        <w:t xml:space="preserve"> section</w:t>
      </w:r>
      <w:r w:rsidR="002079FA" w:rsidRPr="009B38AA">
        <w:rPr>
          <w:szCs w:val="26"/>
        </w:rPr>
        <w:t xml:space="preserve"> for a variety of other variables to remain consistent with the acronyms listed in Table 3-87</w:t>
      </w:r>
      <w:r w:rsidRPr="009B38AA">
        <w:rPr>
          <w:szCs w:val="26"/>
        </w:rPr>
        <w:t>: Electric Resistance Water Heater Calculation Assumptions</w:t>
      </w:r>
      <w:r w:rsidR="002079FA" w:rsidRPr="009B38AA">
        <w:rPr>
          <w:szCs w:val="26"/>
        </w:rPr>
        <w:t xml:space="preserve">. </w:t>
      </w:r>
      <w:r w:rsidRPr="009B38AA">
        <w:rPr>
          <w:szCs w:val="26"/>
        </w:rPr>
        <w:t xml:space="preserve"> </w:t>
      </w:r>
    </w:p>
    <w:p w:rsidR="002079FA" w:rsidRPr="009B38AA" w:rsidRDefault="002079FA" w:rsidP="002079FA">
      <w:pPr>
        <w:ind w:firstLine="720"/>
        <w:rPr>
          <w:szCs w:val="26"/>
        </w:rPr>
      </w:pPr>
    </w:p>
    <w:p w:rsidR="00940A6F" w:rsidRDefault="002079FA" w:rsidP="002079FA">
      <w:pPr>
        <w:ind w:firstLine="720"/>
        <w:rPr>
          <w:szCs w:val="26"/>
        </w:rPr>
      </w:pPr>
      <w:r w:rsidRPr="009B38AA">
        <w:rPr>
          <w:szCs w:val="26"/>
        </w:rPr>
        <w:t xml:space="preserve">The Commission accepts PECO’s proposal to change the standard water heater efficiency value of 0.90 to 0.904 in the protocol. </w:t>
      </w:r>
      <w:r w:rsidR="00206B4D" w:rsidRPr="009B38AA">
        <w:rPr>
          <w:szCs w:val="26"/>
        </w:rPr>
        <w:t xml:space="preserve"> </w:t>
      </w:r>
      <w:r w:rsidRPr="009B38AA">
        <w:rPr>
          <w:szCs w:val="26"/>
        </w:rPr>
        <w:t xml:space="preserve">Where appropriate, the TRM has been modified to ensure adherence to the standards. </w:t>
      </w:r>
    </w:p>
    <w:p w:rsidR="002079FA" w:rsidRPr="009B38AA" w:rsidRDefault="002079FA" w:rsidP="002079FA">
      <w:pPr>
        <w:ind w:firstLine="720"/>
        <w:rPr>
          <w:szCs w:val="26"/>
        </w:rPr>
      </w:pPr>
      <w:r w:rsidRPr="009B38AA">
        <w:rPr>
          <w:szCs w:val="26"/>
        </w:rPr>
        <w:t xml:space="preserve"> </w:t>
      </w:r>
    </w:p>
    <w:p w:rsidR="00963D7E" w:rsidRPr="009B38AA" w:rsidRDefault="002079FA" w:rsidP="002079FA">
      <w:pPr>
        <w:ind w:firstLine="720"/>
        <w:rPr>
          <w:szCs w:val="26"/>
        </w:rPr>
      </w:pPr>
      <w:r w:rsidRPr="009B38AA">
        <w:rPr>
          <w:szCs w:val="26"/>
        </w:rPr>
        <w:t xml:space="preserve">The Commission confirms that the values for </w:t>
      </w:r>
      <w:proofErr w:type="spellStart"/>
      <w:r w:rsidRPr="009B38AA">
        <w:rPr>
          <w:szCs w:val="26"/>
        </w:rPr>
        <w:t>EnergyToDemandFactor</w:t>
      </w:r>
      <w:proofErr w:type="spellEnd"/>
      <w:r w:rsidRPr="009B38AA">
        <w:rPr>
          <w:szCs w:val="26"/>
        </w:rPr>
        <w:t xml:space="preserve"> for</w:t>
      </w:r>
      <w:r w:rsidR="00963D7E" w:rsidRPr="009B38AA">
        <w:rPr>
          <w:szCs w:val="26"/>
        </w:rPr>
        <w:t xml:space="preserve"> </w:t>
      </w:r>
    </w:p>
    <w:p w:rsidR="002079FA" w:rsidRPr="009B38AA" w:rsidRDefault="002079FA" w:rsidP="00963D7E">
      <w:pPr>
        <w:rPr>
          <w:szCs w:val="26"/>
        </w:rPr>
      </w:pPr>
      <w:proofErr w:type="gramStart"/>
      <w:r w:rsidRPr="009B38AA">
        <w:rPr>
          <w:szCs w:val="26"/>
        </w:rPr>
        <w:t>sections</w:t>
      </w:r>
      <w:proofErr w:type="gramEnd"/>
      <w:r w:rsidRPr="009B38AA">
        <w:rPr>
          <w:szCs w:val="26"/>
        </w:rPr>
        <w:t xml:space="preserve"> 3.27, 3.28, 3.29, and 3.31 in the TRM </w:t>
      </w:r>
      <w:r w:rsidR="00206B4D" w:rsidRPr="009B38AA">
        <w:rPr>
          <w:szCs w:val="26"/>
        </w:rPr>
        <w:t>have been</w:t>
      </w:r>
      <w:r w:rsidRPr="009B38AA">
        <w:rPr>
          <w:szCs w:val="26"/>
        </w:rPr>
        <w:t xml:space="preserve"> updated for commercial applications from the residential measures. </w:t>
      </w:r>
      <w:r w:rsidR="00206B4D" w:rsidRPr="009B38AA">
        <w:rPr>
          <w:szCs w:val="26"/>
        </w:rPr>
        <w:t xml:space="preserve"> </w:t>
      </w:r>
      <w:r w:rsidRPr="009B38AA">
        <w:rPr>
          <w:szCs w:val="26"/>
        </w:rPr>
        <w:t>After review, the Commission changed the value from 0.000193885 to 0.0001916 to be consistent with sections 3.28 and 3.29.</w:t>
      </w:r>
    </w:p>
    <w:p w:rsidR="002079FA" w:rsidRPr="009B38AA" w:rsidRDefault="002079FA" w:rsidP="002079FA">
      <w:pPr>
        <w:rPr>
          <w:szCs w:val="26"/>
        </w:rPr>
      </w:pPr>
    </w:p>
    <w:p w:rsidR="002079FA" w:rsidRPr="009B38AA" w:rsidRDefault="002079FA" w:rsidP="002079FA">
      <w:pPr>
        <w:ind w:firstLine="720"/>
        <w:rPr>
          <w:szCs w:val="26"/>
        </w:rPr>
      </w:pPr>
      <w:r w:rsidRPr="009B38AA">
        <w:rPr>
          <w:szCs w:val="26"/>
        </w:rPr>
        <w:t xml:space="preserve">Furthermore, based on the </w:t>
      </w:r>
      <w:r w:rsidR="00206B4D" w:rsidRPr="009B38AA">
        <w:rPr>
          <w:szCs w:val="26"/>
        </w:rPr>
        <w:t xml:space="preserve">incorporation of the </w:t>
      </w:r>
      <w:r w:rsidRPr="009B38AA">
        <w:rPr>
          <w:szCs w:val="26"/>
        </w:rPr>
        <w:t>above</w:t>
      </w:r>
      <w:r w:rsidR="00206B4D" w:rsidRPr="009B38AA">
        <w:rPr>
          <w:szCs w:val="26"/>
        </w:rPr>
        <w:t>-</w:t>
      </w:r>
      <w:r w:rsidRPr="009B38AA">
        <w:rPr>
          <w:szCs w:val="26"/>
        </w:rPr>
        <w:t>mentioned changes</w:t>
      </w:r>
      <w:r w:rsidR="00206B4D" w:rsidRPr="009B38AA">
        <w:rPr>
          <w:szCs w:val="26"/>
        </w:rPr>
        <w:t xml:space="preserve"> into the 2012 TRM</w:t>
      </w:r>
      <w:r w:rsidRPr="009B38AA">
        <w:rPr>
          <w:szCs w:val="26"/>
        </w:rPr>
        <w:t>, the Commission revised the values for unit energy savings and unit peak demand reductions in the protocol.</w:t>
      </w:r>
    </w:p>
    <w:p w:rsidR="007B592F" w:rsidRPr="009B38AA" w:rsidRDefault="007B592F" w:rsidP="00EB1FAC">
      <w:pPr>
        <w:pStyle w:val="Heading1"/>
      </w:pPr>
      <w:r w:rsidRPr="009B38AA">
        <w:lastRenderedPageBreak/>
        <w:t xml:space="preserve">General Improvements </w:t>
      </w:r>
    </w:p>
    <w:p w:rsidR="007B592F" w:rsidRPr="009B38AA" w:rsidRDefault="007B592F" w:rsidP="007B592F">
      <w:pPr>
        <w:pStyle w:val="p3"/>
        <w:tabs>
          <w:tab w:val="clear" w:pos="204"/>
          <w:tab w:val="left" w:pos="720"/>
        </w:tabs>
        <w:ind w:left="720"/>
        <w:rPr>
          <w:szCs w:val="26"/>
        </w:rPr>
      </w:pPr>
    </w:p>
    <w:p w:rsidR="007B592F" w:rsidRPr="009B38AA" w:rsidRDefault="007B592F" w:rsidP="007B592F">
      <w:pPr>
        <w:pStyle w:val="p3"/>
        <w:tabs>
          <w:tab w:val="clear" w:pos="204"/>
          <w:tab w:val="left" w:pos="720"/>
        </w:tabs>
        <w:rPr>
          <w:szCs w:val="26"/>
        </w:rPr>
      </w:pPr>
      <w:r w:rsidRPr="009B38AA">
        <w:rPr>
          <w:szCs w:val="26"/>
        </w:rPr>
        <w:tab/>
        <w:t xml:space="preserve">Several issues not particular to a measure </w:t>
      </w:r>
      <w:r w:rsidR="009A6E7A" w:rsidRPr="009B38AA">
        <w:rPr>
          <w:szCs w:val="26"/>
        </w:rPr>
        <w:t>were</w:t>
      </w:r>
      <w:r w:rsidRPr="009B38AA">
        <w:rPr>
          <w:szCs w:val="26"/>
        </w:rPr>
        <w:t xml:space="preserve"> identified by the TWG as overarching TRM issues and </w:t>
      </w:r>
      <w:r w:rsidR="009A6E7A" w:rsidRPr="009B38AA">
        <w:rPr>
          <w:szCs w:val="26"/>
        </w:rPr>
        <w:t>were</w:t>
      </w:r>
      <w:r w:rsidRPr="009B38AA">
        <w:rPr>
          <w:szCs w:val="26"/>
        </w:rPr>
        <w:t xml:space="preserve"> addressed in Section 1</w:t>
      </w:r>
      <w:r w:rsidR="003403DD" w:rsidRPr="009B38AA">
        <w:rPr>
          <w:szCs w:val="26"/>
        </w:rPr>
        <w:t>: Introduction</w:t>
      </w:r>
      <w:r w:rsidRPr="009B38AA">
        <w:rPr>
          <w:szCs w:val="26"/>
        </w:rPr>
        <w:t xml:space="preserve"> of the TRM. </w:t>
      </w:r>
      <w:r w:rsidR="003403DD" w:rsidRPr="009B38AA">
        <w:rPr>
          <w:szCs w:val="26"/>
        </w:rPr>
        <w:t xml:space="preserve"> </w:t>
      </w:r>
      <w:r w:rsidRPr="009B38AA">
        <w:rPr>
          <w:szCs w:val="26"/>
        </w:rPr>
        <w:t>Additionally, some issues from the 201</w:t>
      </w:r>
      <w:r w:rsidR="009A6E7A" w:rsidRPr="009B38AA">
        <w:rPr>
          <w:szCs w:val="26"/>
        </w:rPr>
        <w:t>1</w:t>
      </w:r>
      <w:r w:rsidRPr="009B38AA">
        <w:rPr>
          <w:szCs w:val="26"/>
        </w:rPr>
        <w:t xml:space="preserve"> TRM update were referred to the TWG for resolution.  Discussion</w:t>
      </w:r>
      <w:r w:rsidR="009A6E7A" w:rsidRPr="009B38AA">
        <w:rPr>
          <w:szCs w:val="26"/>
        </w:rPr>
        <w:t>s</w:t>
      </w:r>
      <w:r w:rsidRPr="009B38AA">
        <w:rPr>
          <w:szCs w:val="26"/>
        </w:rPr>
        <w:t xml:space="preserve"> of each </w:t>
      </w:r>
      <w:r w:rsidR="009A6E7A" w:rsidRPr="009B38AA">
        <w:rPr>
          <w:szCs w:val="26"/>
        </w:rPr>
        <w:t>issue and associated resolutions</w:t>
      </w:r>
      <w:r w:rsidRPr="009B38AA">
        <w:rPr>
          <w:szCs w:val="26"/>
        </w:rPr>
        <w:t xml:space="preserve"> are presented in this section.</w:t>
      </w:r>
    </w:p>
    <w:p w:rsidR="007B592F" w:rsidRPr="009B38AA" w:rsidRDefault="007B592F" w:rsidP="007B592F">
      <w:pPr>
        <w:pStyle w:val="p3"/>
        <w:tabs>
          <w:tab w:val="clear" w:pos="204"/>
          <w:tab w:val="left" w:pos="720"/>
        </w:tabs>
        <w:rPr>
          <w:b/>
          <w:szCs w:val="26"/>
        </w:rPr>
      </w:pPr>
    </w:p>
    <w:p w:rsidR="007B592F" w:rsidRPr="009B38AA" w:rsidRDefault="007B592F" w:rsidP="00940A6F">
      <w:pPr>
        <w:pStyle w:val="Heading2"/>
        <w:spacing w:line="240" w:lineRule="auto"/>
      </w:pPr>
      <w:r w:rsidRPr="009B38AA">
        <w:t>Mapping Zip Codes to Reference Cities for Weather-Dependent Measures</w:t>
      </w:r>
    </w:p>
    <w:p w:rsidR="007B592F" w:rsidRPr="009B38AA" w:rsidRDefault="007B592F" w:rsidP="00237F4C">
      <w:pPr>
        <w:rPr>
          <w:szCs w:val="26"/>
        </w:rPr>
      </w:pPr>
    </w:p>
    <w:p w:rsidR="00812C49" w:rsidRPr="009B38AA" w:rsidRDefault="00812C49" w:rsidP="001B5752">
      <w:pPr>
        <w:pStyle w:val="p3"/>
        <w:tabs>
          <w:tab w:val="clear" w:pos="204"/>
          <w:tab w:val="left" w:pos="720"/>
        </w:tabs>
        <w:rPr>
          <w:szCs w:val="26"/>
        </w:rPr>
      </w:pPr>
      <w:r w:rsidRPr="009B38AA">
        <w:rPr>
          <w:szCs w:val="26"/>
        </w:rPr>
        <w:tab/>
        <w:t xml:space="preserve">The </w:t>
      </w:r>
      <w:r w:rsidRPr="009B38AA">
        <w:rPr>
          <w:i/>
          <w:szCs w:val="26"/>
        </w:rPr>
        <w:t>Tentative Order</w:t>
      </w:r>
      <w:r w:rsidRPr="009B38AA">
        <w:rPr>
          <w:szCs w:val="26"/>
        </w:rPr>
        <w:t xml:space="preserve"> stated that savings for weather-dependent measures are driven in part by weather-related variables that differ in different parts of Pennsylvania. </w:t>
      </w:r>
      <w:r w:rsidR="006E071F" w:rsidRPr="009B38AA">
        <w:rPr>
          <w:szCs w:val="26"/>
        </w:rPr>
        <w:t xml:space="preserve"> </w:t>
      </w:r>
      <w:r w:rsidRPr="009B38AA">
        <w:rPr>
          <w:szCs w:val="26"/>
        </w:rPr>
        <w:t xml:space="preserve">Previous iterations used several Pennsylvania cities as reference cities to reasonably estimate weather-dependent variables without needing to define such variables for every city. </w:t>
      </w:r>
      <w:r w:rsidR="006E071F" w:rsidRPr="009B38AA">
        <w:rPr>
          <w:szCs w:val="26"/>
        </w:rPr>
        <w:t xml:space="preserve"> </w:t>
      </w:r>
      <w:r w:rsidRPr="009B38AA">
        <w:rPr>
          <w:szCs w:val="26"/>
        </w:rPr>
        <w:t>To provide more clari</w:t>
      </w:r>
      <w:r w:rsidR="006E071F" w:rsidRPr="009B38AA">
        <w:rPr>
          <w:szCs w:val="26"/>
        </w:rPr>
        <w:t>t</w:t>
      </w:r>
      <w:r w:rsidRPr="009B38AA">
        <w:rPr>
          <w:szCs w:val="26"/>
        </w:rPr>
        <w:t xml:space="preserve">y, the Commission proposed three improvements in the </w:t>
      </w:r>
      <w:r w:rsidR="00B31134" w:rsidRPr="009B38AA">
        <w:rPr>
          <w:i/>
          <w:szCs w:val="26"/>
        </w:rPr>
        <w:t>Tentative Order</w:t>
      </w:r>
      <w:r w:rsidRPr="009B38AA">
        <w:rPr>
          <w:szCs w:val="26"/>
        </w:rPr>
        <w:t xml:space="preserve">. </w:t>
      </w:r>
      <w:r w:rsidR="006E071F" w:rsidRPr="009B38AA">
        <w:rPr>
          <w:szCs w:val="26"/>
        </w:rPr>
        <w:t xml:space="preserve"> </w:t>
      </w:r>
      <w:r w:rsidRPr="009B38AA">
        <w:rPr>
          <w:szCs w:val="26"/>
        </w:rPr>
        <w:t xml:space="preserve">First, the Commission proposed the addition of Allentown as a reference city, which was previously not used for C&amp;I protocols and would be consistent with residential protocols. </w:t>
      </w:r>
      <w:r w:rsidR="006E071F" w:rsidRPr="009B38AA">
        <w:rPr>
          <w:szCs w:val="26"/>
        </w:rPr>
        <w:t xml:space="preserve"> </w:t>
      </w:r>
      <w:r w:rsidRPr="009B38AA">
        <w:rPr>
          <w:szCs w:val="26"/>
        </w:rPr>
        <w:t xml:space="preserve">Second, the Commission proposed the use of a mapping table to assign a reference city for each zip code in Pennsylvania. </w:t>
      </w:r>
      <w:r w:rsidR="006E071F" w:rsidRPr="009B38AA">
        <w:rPr>
          <w:szCs w:val="26"/>
        </w:rPr>
        <w:t xml:space="preserve"> </w:t>
      </w:r>
      <w:r w:rsidR="00061BA5" w:rsidRPr="009B38AA">
        <w:rPr>
          <w:szCs w:val="26"/>
        </w:rPr>
        <w:t>Lastly</w:t>
      </w:r>
      <w:r w:rsidRPr="009B38AA">
        <w:rPr>
          <w:szCs w:val="26"/>
        </w:rPr>
        <w:t>, the Commission proposed the use of a mapping table to assign a California climate zone for each reference city.</w:t>
      </w:r>
    </w:p>
    <w:p w:rsidR="009A6E7A" w:rsidRPr="009B38AA" w:rsidRDefault="009A6E7A" w:rsidP="009A6E7A">
      <w:pPr>
        <w:pStyle w:val="p3"/>
        <w:tabs>
          <w:tab w:val="clear" w:pos="204"/>
          <w:tab w:val="left" w:pos="720"/>
        </w:tabs>
        <w:rPr>
          <w:szCs w:val="26"/>
        </w:rPr>
      </w:pPr>
    </w:p>
    <w:p w:rsidR="009A6E7A" w:rsidRPr="009B38AA" w:rsidRDefault="009A6E7A" w:rsidP="00EB1FAC">
      <w:pPr>
        <w:pStyle w:val="Heading3"/>
        <w:rPr>
          <w:rFonts w:cs="Times New Roman"/>
        </w:rPr>
      </w:pPr>
      <w:r w:rsidRPr="009B38AA">
        <w:rPr>
          <w:rFonts w:cs="Times New Roman"/>
        </w:rPr>
        <w:t>Comments</w:t>
      </w:r>
    </w:p>
    <w:p w:rsidR="00FD60DC" w:rsidRPr="009B38AA" w:rsidRDefault="00FD60DC" w:rsidP="00FD60DC">
      <w:pPr>
        <w:rPr>
          <w:szCs w:val="26"/>
        </w:rPr>
      </w:pPr>
    </w:p>
    <w:p w:rsidR="004F402A" w:rsidRPr="009B38AA" w:rsidRDefault="00812C49" w:rsidP="00237F4C">
      <w:pPr>
        <w:ind w:firstLine="720"/>
        <w:rPr>
          <w:szCs w:val="26"/>
        </w:rPr>
      </w:pPr>
      <w:r w:rsidRPr="009B38AA">
        <w:rPr>
          <w:szCs w:val="26"/>
        </w:rPr>
        <w:t xml:space="preserve">PPL </w:t>
      </w:r>
      <w:r w:rsidR="00061BA5" w:rsidRPr="009B38AA">
        <w:rPr>
          <w:szCs w:val="26"/>
        </w:rPr>
        <w:t>agrees</w:t>
      </w:r>
      <w:r w:rsidRPr="009B38AA">
        <w:rPr>
          <w:szCs w:val="26"/>
        </w:rPr>
        <w:t xml:space="preserve"> with the addition of Allentown as a reference city for weather- dependent [HVAC] measures</w:t>
      </w:r>
      <w:r w:rsidR="006E071F" w:rsidRPr="009B38AA">
        <w:rPr>
          <w:szCs w:val="26"/>
        </w:rPr>
        <w:t>,</w:t>
      </w:r>
      <w:r w:rsidR="001D0AFC" w:rsidRPr="009B38AA">
        <w:rPr>
          <w:szCs w:val="26"/>
        </w:rPr>
        <w:t xml:space="preserve"> </w:t>
      </w:r>
      <w:r w:rsidR="00061BA5" w:rsidRPr="009B38AA">
        <w:rPr>
          <w:szCs w:val="26"/>
        </w:rPr>
        <w:t>noting</w:t>
      </w:r>
      <w:r w:rsidR="001D0AFC" w:rsidRPr="009B38AA">
        <w:rPr>
          <w:szCs w:val="26"/>
        </w:rPr>
        <w:t xml:space="preserve"> that it would result in a more accu</w:t>
      </w:r>
      <w:r w:rsidR="006E071F" w:rsidRPr="009B38AA">
        <w:rPr>
          <w:szCs w:val="26"/>
        </w:rPr>
        <w:t xml:space="preserve">rate ex-ante savings estimate.  </w:t>
      </w:r>
      <w:r w:rsidR="001D0AFC" w:rsidRPr="009B38AA">
        <w:rPr>
          <w:szCs w:val="26"/>
        </w:rPr>
        <w:t xml:space="preserve">PPL </w:t>
      </w:r>
      <w:r w:rsidR="00061BA5" w:rsidRPr="009B38AA">
        <w:rPr>
          <w:szCs w:val="26"/>
        </w:rPr>
        <w:t>also supports</w:t>
      </w:r>
      <w:r w:rsidR="001D0AFC" w:rsidRPr="009B38AA">
        <w:rPr>
          <w:szCs w:val="26"/>
        </w:rPr>
        <w:t xml:space="preserve"> the addition of the proposed zip code mapping table for mapping each Pennsylvania zip code to one of the reference cities</w:t>
      </w:r>
      <w:r w:rsidR="006E071F" w:rsidRPr="009B38AA">
        <w:rPr>
          <w:szCs w:val="26"/>
        </w:rPr>
        <w:t>.</w:t>
      </w:r>
      <w:r w:rsidR="001D0AFC" w:rsidRPr="009B38AA">
        <w:rPr>
          <w:szCs w:val="26"/>
        </w:rPr>
        <w:t xml:space="preserve"> </w:t>
      </w:r>
      <w:r w:rsidR="00A5307C" w:rsidRPr="009B38AA">
        <w:rPr>
          <w:szCs w:val="26"/>
        </w:rPr>
        <w:t xml:space="preserve"> </w:t>
      </w:r>
      <w:r w:rsidR="00061BA5" w:rsidRPr="009B38AA">
        <w:rPr>
          <w:szCs w:val="26"/>
        </w:rPr>
        <w:t xml:space="preserve">Furthermore, </w:t>
      </w:r>
      <w:r w:rsidR="001D0AFC" w:rsidRPr="009B38AA">
        <w:rPr>
          <w:szCs w:val="26"/>
        </w:rPr>
        <w:t xml:space="preserve">PPL </w:t>
      </w:r>
      <w:r w:rsidR="00061BA5" w:rsidRPr="009B38AA">
        <w:rPr>
          <w:szCs w:val="26"/>
        </w:rPr>
        <w:lastRenderedPageBreak/>
        <w:t>agrees</w:t>
      </w:r>
      <w:r w:rsidR="001D0AFC" w:rsidRPr="009B38AA">
        <w:rPr>
          <w:szCs w:val="26"/>
        </w:rPr>
        <w:t xml:space="preserve"> with using a mapping table to assign a California climate zone for each reference city, stating </w:t>
      </w:r>
      <w:r w:rsidR="00061BA5" w:rsidRPr="009B38AA">
        <w:rPr>
          <w:szCs w:val="26"/>
        </w:rPr>
        <w:t xml:space="preserve">that </w:t>
      </w:r>
      <w:r w:rsidR="006E071F" w:rsidRPr="009B38AA">
        <w:rPr>
          <w:szCs w:val="26"/>
        </w:rPr>
        <w:t>the a</w:t>
      </w:r>
      <w:r w:rsidR="001D0AFC" w:rsidRPr="009B38AA">
        <w:rPr>
          <w:szCs w:val="26"/>
        </w:rPr>
        <w:t xml:space="preserve">dded </w:t>
      </w:r>
      <w:r w:rsidR="00A5307C" w:rsidRPr="009B38AA">
        <w:rPr>
          <w:szCs w:val="26"/>
        </w:rPr>
        <w:t>flexibility</w:t>
      </w:r>
      <w:r w:rsidR="00F77359" w:rsidRPr="009B38AA">
        <w:rPr>
          <w:szCs w:val="26"/>
        </w:rPr>
        <w:t xml:space="preserve"> to the protocols </w:t>
      </w:r>
      <w:r w:rsidR="00061BA5" w:rsidRPr="009B38AA">
        <w:rPr>
          <w:szCs w:val="26"/>
        </w:rPr>
        <w:t>would enable</w:t>
      </w:r>
      <w:r w:rsidR="004F402A" w:rsidRPr="009B38AA">
        <w:rPr>
          <w:szCs w:val="26"/>
        </w:rPr>
        <w:t xml:space="preserve"> the use of the Database for Energy Efficient Resources for determining savings for weather-dependent measures using California-based models</w:t>
      </w:r>
      <w:r w:rsidR="006E071F" w:rsidRPr="009B38AA">
        <w:rPr>
          <w:szCs w:val="26"/>
        </w:rPr>
        <w:t>.</w:t>
      </w:r>
      <w:r w:rsidR="004F402A" w:rsidRPr="009B38AA">
        <w:rPr>
          <w:szCs w:val="26"/>
        </w:rPr>
        <w:t xml:space="preserve"> </w:t>
      </w:r>
      <w:r w:rsidR="00061BA5" w:rsidRPr="009B38AA">
        <w:rPr>
          <w:szCs w:val="26"/>
        </w:rPr>
        <w:t xml:space="preserve"> </w:t>
      </w:r>
      <w:proofErr w:type="gramStart"/>
      <w:r w:rsidR="004F402A" w:rsidRPr="009B38AA">
        <w:rPr>
          <w:szCs w:val="26"/>
        </w:rPr>
        <w:t xml:space="preserve">PPL Comments at </w:t>
      </w:r>
      <w:r w:rsidR="006E071F" w:rsidRPr="009B38AA">
        <w:rPr>
          <w:szCs w:val="26"/>
        </w:rPr>
        <w:t>9</w:t>
      </w:r>
      <w:r w:rsidR="00061BA5" w:rsidRPr="009B38AA">
        <w:rPr>
          <w:szCs w:val="26"/>
        </w:rPr>
        <w:t xml:space="preserve"> and </w:t>
      </w:r>
      <w:r w:rsidR="006E071F" w:rsidRPr="009B38AA">
        <w:rPr>
          <w:szCs w:val="26"/>
        </w:rPr>
        <w:t>10</w:t>
      </w:r>
      <w:r w:rsidR="00061BA5" w:rsidRPr="009B38AA">
        <w:rPr>
          <w:szCs w:val="26"/>
        </w:rPr>
        <w:t>.</w:t>
      </w:r>
      <w:proofErr w:type="gramEnd"/>
    </w:p>
    <w:p w:rsidR="004F402A" w:rsidRPr="009B38AA" w:rsidRDefault="004F402A" w:rsidP="00237F4C">
      <w:pPr>
        <w:ind w:firstLine="720"/>
        <w:rPr>
          <w:szCs w:val="26"/>
        </w:rPr>
      </w:pPr>
    </w:p>
    <w:p w:rsidR="00237F4C" w:rsidRPr="009B38AA" w:rsidRDefault="004F402A" w:rsidP="00237F4C">
      <w:pPr>
        <w:ind w:firstLine="720"/>
        <w:rPr>
          <w:szCs w:val="26"/>
        </w:rPr>
      </w:pPr>
      <w:r w:rsidRPr="009B38AA">
        <w:rPr>
          <w:szCs w:val="26"/>
        </w:rPr>
        <w:t xml:space="preserve">PECO </w:t>
      </w:r>
      <w:r w:rsidR="00061BA5" w:rsidRPr="009B38AA">
        <w:rPr>
          <w:szCs w:val="26"/>
        </w:rPr>
        <w:t xml:space="preserve">suggests </w:t>
      </w:r>
      <w:r w:rsidRPr="009B38AA">
        <w:rPr>
          <w:szCs w:val="26"/>
        </w:rPr>
        <w:t xml:space="preserve">that identifying the associated </w:t>
      </w:r>
      <w:r w:rsidR="006E071F" w:rsidRPr="009B38AA">
        <w:rPr>
          <w:szCs w:val="26"/>
        </w:rPr>
        <w:t>American Society of Heating, Refrigerating and Air Conditioning Engineers</w:t>
      </w:r>
      <w:r w:rsidR="00061BA5" w:rsidRPr="009B38AA">
        <w:rPr>
          <w:szCs w:val="26"/>
        </w:rPr>
        <w:t xml:space="preserve"> (“ASHRAE”)</w:t>
      </w:r>
      <w:r w:rsidR="00963D7E" w:rsidRPr="009B38AA">
        <w:rPr>
          <w:szCs w:val="26"/>
        </w:rPr>
        <w:t xml:space="preserve"> </w:t>
      </w:r>
      <w:r w:rsidRPr="009B38AA">
        <w:rPr>
          <w:szCs w:val="26"/>
        </w:rPr>
        <w:t>climate zone with each zip code would be helpfu</w:t>
      </w:r>
      <w:r w:rsidR="006E071F" w:rsidRPr="009B38AA">
        <w:rPr>
          <w:szCs w:val="26"/>
        </w:rPr>
        <w:t>l in the future</w:t>
      </w:r>
      <w:r w:rsidR="00061BA5" w:rsidRPr="009B38AA">
        <w:rPr>
          <w:szCs w:val="26"/>
        </w:rPr>
        <w:t xml:space="preserve">. </w:t>
      </w:r>
      <w:r w:rsidR="006E071F" w:rsidRPr="009B38AA">
        <w:rPr>
          <w:szCs w:val="26"/>
        </w:rPr>
        <w:t xml:space="preserve"> </w:t>
      </w:r>
      <w:proofErr w:type="gramStart"/>
      <w:r w:rsidR="006E071F" w:rsidRPr="009B38AA">
        <w:rPr>
          <w:szCs w:val="26"/>
        </w:rPr>
        <w:t>PECO Comments</w:t>
      </w:r>
      <w:r w:rsidRPr="009B38AA">
        <w:rPr>
          <w:szCs w:val="26"/>
        </w:rPr>
        <w:t xml:space="preserve"> Appendix at 33.</w:t>
      </w:r>
      <w:proofErr w:type="gramEnd"/>
    </w:p>
    <w:p w:rsidR="009A6E7A" w:rsidRPr="009B38AA" w:rsidRDefault="009A6E7A" w:rsidP="00237F4C">
      <w:pPr>
        <w:rPr>
          <w:szCs w:val="26"/>
        </w:rPr>
      </w:pPr>
    </w:p>
    <w:p w:rsidR="009A6E7A" w:rsidRPr="009B38AA" w:rsidRDefault="009A6E7A" w:rsidP="00EB1FAC">
      <w:pPr>
        <w:pStyle w:val="Heading3"/>
        <w:rPr>
          <w:rFonts w:cs="Times New Roman"/>
        </w:rPr>
      </w:pPr>
      <w:r w:rsidRPr="009B38AA">
        <w:rPr>
          <w:rFonts w:cs="Times New Roman"/>
        </w:rPr>
        <w:t>Disposition</w:t>
      </w:r>
    </w:p>
    <w:p w:rsidR="009A6E7A" w:rsidRPr="009B38AA" w:rsidRDefault="009A6E7A" w:rsidP="00F77359">
      <w:pPr>
        <w:rPr>
          <w:szCs w:val="26"/>
        </w:rPr>
      </w:pPr>
    </w:p>
    <w:p w:rsidR="007B592F" w:rsidRPr="009B38AA" w:rsidRDefault="00F77359" w:rsidP="007B592F">
      <w:pPr>
        <w:pStyle w:val="p3"/>
        <w:tabs>
          <w:tab w:val="clear" w:pos="204"/>
          <w:tab w:val="left" w:pos="720"/>
        </w:tabs>
        <w:rPr>
          <w:szCs w:val="26"/>
        </w:rPr>
      </w:pPr>
      <w:r w:rsidRPr="009B38AA">
        <w:rPr>
          <w:szCs w:val="26"/>
        </w:rPr>
        <w:tab/>
        <w:t xml:space="preserve">The Commission </w:t>
      </w:r>
      <w:r w:rsidR="004F402A" w:rsidRPr="009B38AA">
        <w:rPr>
          <w:szCs w:val="26"/>
        </w:rPr>
        <w:t xml:space="preserve">adopts the three proposals as </w:t>
      </w:r>
      <w:r w:rsidR="001D0AFC" w:rsidRPr="009B38AA">
        <w:rPr>
          <w:szCs w:val="26"/>
        </w:rPr>
        <w:t>set</w:t>
      </w:r>
      <w:r w:rsidR="008821E4" w:rsidRPr="009B38AA">
        <w:rPr>
          <w:szCs w:val="26"/>
        </w:rPr>
        <w:t xml:space="preserve"> forth</w:t>
      </w:r>
      <w:r w:rsidR="004F402A" w:rsidRPr="009B38AA">
        <w:rPr>
          <w:szCs w:val="26"/>
        </w:rPr>
        <w:t xml:space="preserve"> in the </w:t>
      </w:r>
      <w:r w:rsidR="004F402A" w:rsidRPr="009B38AA">
        <w:rPr>
          <w:i/>
          <w:szCs w:val="26"/>
        </w:rPr>
        <w:t>Te</w:t>
      </w:r>
      <w:r w:rsidR="008821E4" w:rsidRPr="009B38AA">
        <w:rPr>
          <w:i/>
          <w:szCs w:val="26"/>
        </w:rPr>
        <w:t>ntative Order</w:t>
      </w:r>
      <w:r w:rsidR="008821E4" w:rsidRPr="009B38AA">
        <w:rPr>
          <w:szCs w:val="26"/>
        </w:rPr>
        <w:t xml:space="preserve">. </w:t>
      </w:r>
      <w:r w:rsidR="00061BA5" w:rsidRPr="009B38AA">
        <w:rPr>
          <w:szCs w:val="26"/>
        </w:rPr>
        <w:t>We do</w:t>
      </w:r>
      <w:r w:rsidR="006F2572" w:rsidRPr="009B38AA">
        <w:rPr>
          <w:szCs w:val="26"/>
        </w:rPr>
        <w:t xml:space="preserve"> not</w:t>
      </w:r>
      <w:r w:rsidR="00061BA5" w:rsidRPr="009B38AA">
        <w:rPr>
          <w:szCs w:val="26"/>
        </w:rPr>
        <w:t>, however,</w:t>
      </w:r>
      <w:r w:rsidR="006F2572" w:rsidRPr="009B38AA">
        <w:rPr>
          <w:szCs w:val="26"/>
        </w:rPr>
        <w:t xml:space="preserve"> adopt PECO’s suggestion </w:t>
      </w:r>
      <w:r w:rsidR="00802A55" w:rsidRPr="009B38AA">
        <w:rPr>
          <w:szCs w:val="26"/>
        </w:rPr>
        <w:t xml:space="preserve">to identify the associated ASHRAE climate zones </w:t>
      </w:r>
      <w:r w:rsidR="006F2572" w:rsidRPr="009B38AA">
        <w:rPr>
          <w:szCs w:val="26"/>
        </w:rPr>
        <w:t xml:space="preserve">at this time. </w:t>
      </w:r>
      <w:r w:rsidR="00CA46E8" w:rsidRPr="009B38AA">
        <w:rPr>
          <w:szCs w:val="26"/>
        </w:rPr>
        <w:t xml:space="preserve"> </w:t>
      </w:r>
      <w:r w:rsidR="008821E4" w:rsidRPr="009B38AA">
        <w:rPr>
          <w:szCs w:val="26"/>
        </w:rPr>
        <w:t xml:space="preserve">The Commission agrees with PECO that identifying the </w:t>
      </w:r>
      <w:r w:rsidR="00061BA5" w:rsidRPr="009B38AA">
        <w:rPr>
          <w:szCs w:val="26"/>
        </w:rPr>
        <w:t xml:space="preserve">ASHRAE </w:t>
      </w:r>
      <w:r w:rsidR="008821E4" w:rsidRPr="009B38AA">
        <w:rPr>
          <w:szCs w:val="26"/>
        </w:rPr>
        <w:t xml:space="preserve">climate zone for each zip code could be helpful in the future, </w:t>
      </w:r>
      <w:r w:rsidR="00D22E88" w:rsidRPr="009B38AA">
        <w:rPr>
          <w:szCs w:val="26"/>
        </w:rPr>
        <w:t xml:space="preserve">however, we believe that </w:t>
      </w:r>
      <w:r w:rsidR="006F2572" w:rsidRPr="009B38AA">
        <w:rPr>
          <w:szCs w:val="26"/>
        </w:rPr>
        <w:t>the</w:t>
      </w:r>
      <w:r w:rsidR="008821E4" w:rsidRPr="009B38AA">
        <w:rPr>
          <w:szCs w:val="26"/>
        </w:rPr>
        <w:t xml:space="preserve"> mapping table that assigns each zip code to a reference city</w:t>
      </w:r>
      <w:r w:rsidR="00D22E88" w:rsidRPr="009B38AA">
        <w:rPr>
          <w:szCs w:val="26"/>
        </w:rPr>
        <w:t xml:space="preserve"> is currently adequate</w:t>
      </w:r>
      <w:r w:rsidR="006F2572" w:rsidRPr="009B38AA">
        <w:rPr>
          <w:szCs w:val="26"/>
        </w:rPr>
        <w:t xml:space="preserve">. </w:t>
      </w:r>
      <w:r w:rsidR="00CA46E8" w:rsidRPr="009B38AA">
        <w:rPr>
          <w:szCs w:val="26"/>
        </w:rPr>
        <w:t xml:space="preserve"> </w:t>
      </w:r>
    </w:p>
    <w:p w:rsidR="007B592F" w:rsidRPr="009B38AA" w:rsidRDefault="007B592F" w:rsidP="007B592F">
      <w:pPr>
        <w:pStyle w:val="p3"/>
        <w:tabs>
          <w:tab w:val="clear" w:pos="204"/>
          <w:tab w:val="left" w:pos="720"/>
        </w:tabs>
        <w:rPr>
          <w:szCs w:val="26"/>
        </w:rPr>
      </w:pPr>
    </w:p>
    <w:p w:rsidR="007B592F" w:rsidRPr="009B38AA" w:rsidRDefault="007B592F" w:rsidP="00940A6F">
      <w:pPr>
        <w:pStyle w:val="Heading2"/>
        <w:spacing w:line="240" w:lineRule="auto"/>
      </w:pPr>
      <w:r w:rsidRPr="009B38AA">
        <w:t>Determination of Baselines for Measures Replaced Upon Failure or at End of Useful Life</w:t>
      </w:r>
    </w:p>
    <w:p w:rsidR="009A6E7A" w:rsidRPr="009B38AA" w:rsidRDefault="007B592F" w:rsidP="009A6E7A">
      <w:pPr>
        <w:pStyle w:val="p3"/>
        <w:tabs>
          <w:tab w:val="clear" w:pos="204"/>
          <w:tab w:val="left" w:pos="720"/>
        </w:tabs>
        <w:ind w:left="1440"/>
        <w:rPr>
          <w:b/>
          <w:szCs w:val="26"/>
        </w:rPr>
      </w:pPr>
      <w:r w:rsidRPr="009B38AA">
        <w:rPr>
          <w:szCs w:val="26"/>
        </w:rPr>
        <w:tab/>
      </w:r>
    </w:p>
    <w:p w:rsidR="009A6E7A" w:rsidRPr="009B38AA" w:rsidRDefault="00C51083" w:rsidP="008F7B05">
      <w:pPr>
        <w:ind w:firstLine="720"/>
        <w:rPr>
          <w:szCs w:val="26"/>
        </w:rPr>
      </w:pPr>
      <w:r w:rsidRPr="009B38AA">
        <w:rPr>
          <w:szCs w:val="26"/>
        </w:rPr>
        <w:t xml:space="preserve">The </w:t>
      </w:r>
      <w:r w:rsidR="00B31134" w:rsidRPr="009B38AA">
        <w:rPr>
          <w:i/>
          <w:szCs w:val="26"/>
        </w:rPr>
        <w:t>Tentative Order</w:t>
      </w:r>
      <w:r w:rsidRPr="009B38AA">
        <w:rPr>
          <w:szCs w:val="26"/>
        </w:rPr>
        <w:t xml:space="preserve"> stated that annual savings and lifetime savings for a measure are highly dependent on what is considered the baseline for that measure. </w:t>
      </w:r>
      <w:r w:rsidR="00CA46E8" w:rsidRPr="009B38AA">
        <w:rPr>
          <w:szCs w:val="26"/>
        </w:rPr>
        <w:t xml:space="preserve"> </w:t>
      </w:r>
      <w:r w:rsidRPr="009B38AA">
        <w:rPr>
          <w:szCs w:val="26"/>
        </w:rPr>
        <w:t xml:space="preserve">Differences primarily exist between the “burnout” and “early replacement” scenarios. </w:t>
      </w:r>
      <w:r w:rsidR="00CA46E8" w:rsidRPr="009B38AA">
        <w:rPr>
          <w:szCs w:val="26"/>
        </w:rPr>
        <w:t xml:space="preserve"> </w:t>
      </w:r>
      <w:r w:rsidRPr="009B38AA">
        <w:rPr>
          <w:szCs w:val="26"/>
        </w:rPr>
        <w:t xml:space="preserve">The Commission proposed that these scenarios be defined for TRM protocols on </w:t>
      </w:r>
      <w:r w:rsidR="008F7B05" w:rsidRPr="009B38AA">
        <w:rPr>
          <w:szCs w:val="26"/>
        </w:rPr>
        <w:t>a measure-by-measure basis starting with the highest priority measures.</w:t>
      </w:r>
    </w:p>
    <w:p w:rsidR="009A6E7A" w:rsidRDefault="009A6E7A" w:rsidP="009A6E7A">
      <w:pPr>
        <w:pStyle w:val="p3"/>
        <w:tabs>
          <w:tab w:val="clear" w:pos="204"/>
          <w:tab w:val="left" w:pos="720"/>
        </w:tabs>
        <w:rPr>
          <w:szCs w:val="26"/>
        </w:rPr>
      </w:pPr>
    </w:p>
    <w:p w:rsidR="00940A6F" w:rsidRDefault="00940A6F" w:rsidP="009A6E7A">
      <w:pPr>
        <w:pStyle w:val="p3"/>
        <w:tabs>
          <w:tab w:val="clear" w:pos="204"/>
          <w:tab w:val="left" w:pos="720"/>
        </w:tabs>
        <w:rPr>
          <w:szCs w:val="26"/>
        </w:rPr>
      </w:pPr>
    </w:p>
    <w:p w:rsidR="00940A6F" w:rsidRPr="009B38AA" w:rsidRDefault="00940A6F" w:rsidP="009A6E7A">
      <w:pPr>
        <w:pStyle w:val="p3"/>
        <w:tabs>
          <w:tab w:val="clear" w:pos="204"/>
          <w:tab w:val="left" w:pos="720"/>
        </w:tabs>
        <w:rPr>
          <w:szCs w:val="26"/>
        </w:rPr>
      </w:pPr>
    </w:p>
    <w:p w:rsidR="009A6E7A" w:rsidRPr="009B38AA" w:rsidRDefault="009A6E7A" w:rsidP="00EB1FAC">
      <w:pPr>
        <w:pStyle w:val="Heading3"/>
        <w:rPr>
          <w:rFonts w:cs="Times New Roman"/>
        </w:rPr>
      </w:pPr>
      <w:r w:rsidRPr="009B38AA">
        <w:rPr>
          <w:rFonts w:cs="Times New Roman"/>
        </w:rPr>
        <w:lastRenderedPageBreak/>
        <w:t>Comments</w:t>
      </w:r>
    </w:p>
    <w:p w:rsidR="008F7B05" w:rsidRPr="009B38AA" w:rsidRDefault="008F7B05" w:rsidP="008F7B05">
      <w:pPr>
        <w:rPr>
          <w:szCs w:val="26"/>
        </w:rPr>
      </w:pPr>
    </w:p>
    <w:p w:rsidR="009A6E7A" w:rsidRPr="009B38AA" w:rsidRDefault="008F7B05" w:rsidP="008F7B05">
      <w:pPr>
        <w:ind w:firstLine="720"/>
        <w:rPr>
          <w:szCs w:val="26"/>
        </w:rPr>
      </w:pPr>
      <w:r w:rsidRPr="009B38AA">
        <w:rPr>
          <w:szCs w:val="26"/>
        </w:rPr>
        <w:t xml:space="preserve">PPL </w:t>
      </w:r>
      <w:r w:rsidR="00BB336A" w:rsidRPr="009B38AA">
        <w:rPr>
          <w:szCs w:val="26"/>
        </w:rPr>
        <w:t xml:space="preserve">agrees </w:t>
      </w:r>
      <w:r w:rsidRPr="009B38AA">
        <w:rPr>
          <w:szCs w:val="26"/>
        </w:rPr>
        <w:t>that the baseline condition (burnout or early replacement) needs to be determined correctly to provide the most accurate estimate of savings</w:t>
      </w:r>
      <w:r w:rsidR="00CA46E8" w:rsidRPr="009B38AA">
        <w:rPr>
          <w:szCs w:val="26"/>
        </w:rPr>
        <w:t>,</w:t>
      </w:r>
      <w:r w:rsidRPr="009B38AA">
        <w:rPr>
          <w:szCs w:val="26"/>
        </w:rPr>
        <w:t xml:space="preserve"> but </w:t>
      </w:r>
      <w:r w:rsidR="00BB336A" w:rsidRPr="009B38AA">
        <w:rPr>
          <w:szCs w:val="26"/>
        </w:rPr>
        <w:t>notes</w:t>
      </w:r>
      <w:r w:rsidR="000A54A7" w:rsidRPr="009B38AA">
        <w:rPr>
          <w:szCs w:val="26"/>
        </w:rPr>
        <w:t xml:space="preserve"> practical concerns with </w:t>
      </w:r>
      <w:r w:rsidRPr="009B38AA">
        <w:rPr>
          <w:szCs w:val="26"/>
        </w:rPr>
        <w:t xml:space="preserve">determining whether equipment was replaced on burnout or </w:t>
      </w:r>
      <w:r w:rsidR="000A54A7" w:rsidRPr="009B38AA">
        <w:rPr>
          <w:szCs w:val="26"/>
        </w:rPr>
        <w:t>early re</w:t>
      </w:r>
      <w:r w:rsidR="00CA46E8" w:rsidRPr="009B38AA">
        <w:rPr>
          <w:szCs w:val="26"/>
        </w:rPr>
        <w:t>placement.  S</w:t>
      </w:r>
      <w:r w:rsidR="000A54A7" w:rsidRPr="009B38AA">
        <w:rPr>
          <w:szCs w:val="26"/>
        </w:rPr>
        <w:t>pecifically</w:t>
      </w:r>
      <w:r w:rsidR="00CA46E8" w:rsidRPr="009B38AA">
        <w:rPr>
          <w:szCs w:val="26"/>
        </w:rPr>
        <w:t>,</w:t>
      </w:r>
      <w:r w:rsidR="00BB336A" w:rsidRPr="009B38AA">
        <w:rPr>
          <w:szCs w:val="26"/>
        </w:rPr>
        <w:t xml:space="preserve"> PPL asserts that</w:t>
      </w:r>
      <w:r w:rsidR="000A54A7" w:rsidRPr="009B38AA">
        <w:rPr>
          <w:szCs w:val="26"/>
        </w:rPr>
        <w:t xml:space="preserve"> the additional information may not be available, may be unreliable, may confuse customers or may add a level of complexity </w:t>
      </w:r>
      <w:r w:rsidR="00BB336A" w:rsidRPr="009B38AA">
        <w:rPr>
          <w:szCs w:val="26"/>
        </w:rPr>
        <w:t xml:space="preserve">that </w:t>
      </w:r>
      <w:r w:rsidR="000A54A7" w:rsidRPr="009B38AA">
        <w:rPr>
          <w:szCs w:val="26"/>
        </w:rPr>
        <w:t>ultimately will increase tracking and evaluation costs</w:t>
      </w:r>
      <w:r w:rsidR="00CA46E8" w:rsidRPr="009B38AA">
        <w:rPr>
          <w:szCs w:val="26"/>
        </w:rPr>
        <w:t>.</w:t>
      </w:r>
      <w:r w:rsidR="000A54A7" w:rsidRPr="009B38AA">
        <w:rPr>
          <w:szCs w:val="26"/>
        </w:rPr>
        <w:t xml:space="preserve"> </w:t>
      </w:r>
      <w:r w:rsidR="00CA46E8" w:rsidRPr="009B38AA">
        <w:rPr>
          <w:szCs w:val="26"/>
        </w:rPr>
        <w:t xml:space="preserve"> </w:t>
      </w:r>
      <w:r w:rsidR="000A54A7" w:rsidRPr="009B38AA">
        <w:rPr>
          <w:szCs w:val="26"/>
        </w:rPr>
        <w:t xml:space="preserve">PPL </w:t>
      </w:r>
      <w:r w:rsidR="00BB336A" w:rsidRPr="009B38AA">
        <w:rPr>
          <w:szCs w:val="26"/>
        </w:rPr>
        <w:t xml:space="preserve">recommends </w:t>
      </w:r>
      <w:r w:rsidR="000A54A7" w:rsidRPr="009B38AA">
        <w:rPr>
          <w:szCs w:val="26"/>
        </w:rPr>
        <w:t>that the Commission provide EDCs with the discretion to determine if they want to assume replace on burnout (and claim lower savings), or incur the additional cost and complexity to determine if the equipment was an early replacement (and claim higher savings</w:t>
      </w:r>
      <w:r w:rsidR="009042BD" w:rsidRPr="009B38AA">
        <w:rPr>
          <w:szCs w:val="26"/>
        </w:rPr>
        <w:t>)</w:t>
      </w:r>
      <w:r w:rsidR="00CA46E8" w:rsidRPr="009B38AA">
        <w:rPr>
          <w:szCs w:val="26"/>
        </w:rPr>
        <w:t>.</w:t>
      </w:r>
      <w:r w:rsidR="00BB336A" w:rsidRPr="009B38AA">
        <w:rPr>
          <w:szCs w:val="26"/>
        </w:rPr>
        <w:t xml:space="preserve"> </w:t>
      </w:r>
      <w:r w:rsidR="00CA46E8" w:rsidRPr="009B38AA">
        <w:rPr>
          <w:szCs w:val="26"/>
        </w:rPr>
        <w:t xml:space="preserve"> PPL Comments at 10-12</w:t>
      </w:r>
      <w:r w:rsidR="00BB336A" w:rsidRPr="009B38AA">
        <w:rPr>
          <w:szCs w:val="26"/>
        </w:rPr>
        <w:t>.</w:t>
      </w:r>
    </w:p>
    <w:p w:rsidR="009A6E7A" w:rsidRPr="009B38AA" w:rsidRDefault="009A6E7A" w:rsidP="009A6E7A">
      <w:pPr>
        <w:pStyle w:val="p3"/>
        <w:tabs>
          <w:tab w:val="clear" w:pos="204"/>
          <w:tab w:val="left" w:pos="720"/>
        </w:tabs>
        <w:ind w:left="2160" w:hanging="720"/>
        <w:rPr>
          <w:b/>
          <w:szCs w:val="26"/>
        </w:rPr>
      </w:pPr>
    </w:p>
    <w:p w:rsidR="009A6E7A" w:rsidRPr="009B38AA" w:rsidRDefault="009A6E7A" w:rsidP="00EB1FAC">
      <w:pPr>
        <w:pStyle w:val="Heading3"/>
        <w:rPr>
          <w:rFonts w:cs="Times New Roman"/>
        </w:rPr>
      </w:pPr>
      <w:r w:rsidRPr="009B38AA">
        <w:rPr>
          <w:rFonts w:cs="Times New Roman"/>
        </w:rPr>
        <w:t>Disposition</w:t>
      </w:r>
    </w:p>
    <w:p w:rsidR="000A54A7" w:rsidRPr="009B38AA" w:rsidRDefault="000A54A7" w:rsidP="000A54A7">
      <w:pPr>
        <w:rPr>
          <w:szCs w:val="26"/>
        </w:rPr>
      </w:pPr>
    </w:p>
    <w:p w:rsidR="0008385A" w:rsidRPr="009B38AA" w:rsidRDefault="000A54A7" w:rsidP="00CC124B">
      <w:pPr>
        <w:ind w:firstLine="720"/>
        <w:rPr>
          <w:szCs w:val="26"/>
        </w:rPr>
      </w:pPr>
      <w:r w:rsidRPr="009B38AA">
        <w:rPr>
          <w:szCs w:val="26"/>
        </w:rPr>
        <w:t xml:space="preserve">The Commission agrees with PPL that practical concerns and limitations that affect the implementation of </w:t>
      </w:r>
      <w:r w:rsidR="00085B29" w:rsidRPr="009B38AA">
        <w:rPr>
          <w:szCs w:val="26"/>
        </w:rPr>
        <w:t>EE</w:t>
      </w:r>
      <w:r w:rsidRPr="009B38AA">
        <w:rPr>
          <w:szCs w:val="26"/>
        </w:rPr>
        <w:t xml:space="preserve"> and </w:t>
      </w:r>
      <w:r w:rsidR="00085B29" w:rsidRPr="009B38AA">
        <w:rPr>
          <w:szCs w:val="26"/>
        </w:rPr>
        <w:t>DR</w:t>
      </w:r>
      <w:r w:rsidRPr="009B38AA">
        <w:rPr>
          <w:szCs w:val="26"/>
        </w:rPr>
        <w:t xml:space="preserve"> programs should be considered.</w:t>
      </w:r>
      <w:r w:rsidR="0008385A" w:rsidRPr="009B38AA">
        <w:rPr>
          <w:szCs w:val="26"/>
        </w:rPr>
        <w:t xml:space="preserve"> </w:t>
      </w:r>
      <w:r w:rsidR="00CA46E8" w:rsidRPr="009B38AA">
        <w:rPr>
          <w:szCs w:val="26"/>
        </w:rPr>
        <w:t xml:space="preserve"> </w:t>
      </w:r>
      <w:r w:rsidR="00BB336A" w:rsidRPr="009B38AA">
        <w:rPr>
          <w:szCs w:val="26"/>
        </w:rPr>
        <w:t>We, however, do</w:t>
      </w:r>
      <w:r w:rsidR="0008385A" w:rsidRPr="009B38AA">
        <w:rPr>
          <w:szCs w:val="26"/>
        </w:rPr>
        <w:t xml:space="preserve"> not agree that information regarding existing equipment is always difficult to acquire. </w:t>
      </w:r>
      <w:r w:rsidR="00CA46E8" w:rsidRPr="009B38AA">
        <w:rPr>
          <w:szCs w:val="26"/>
        </w:rPr>
        <w:t xml:space="preserve"> </w:t>
      </w:r>
      <w:r w:rsidR="0008385A" w:rsidRPr="009B38AA">
        <w:rPr>
          <w:szCs w:val="26"/>
        </w:rPr>
        <w:t xml:space="preserve">For example, some measures may only require the efficiency ratings of the existing unit(s), which may require some additional work on the part of the participant but should hardly impact the overall cost of program implementation. </w:t>
      </w:r>
      <w:r w:rsidR="00BB336A" w:rsidRPr="009B38AA">
        <w:rPr>
          <w:szCs w:val="26"/>
        </w:rPr>
        <w:t xml:space="preserve"> Therefore, we will adopt </w:t>
      </w:r>
      <w:r w:rsidR="009042BD" w:rsidRPr="009B38AA">
        <w:rPr>
          <w:szCs w:val="26"/>
        </w:rPr>
        <w:t xml:space="preserve">PPL’s recommendation to allow EDCs the discretion to assume replace on burnout scenarios and claim lower savings or collect additional customer data to determine when early replacement scenarios are appropriate and claim higher savings. </w:t>
      </w:r>
      <w:r w:rsidR="00CA46E8" w:rsidRPr="009B38AA">
        <w:rPr>
          <w:szCs w:val="26"/>
        </w:rPr>
        <w:t xml:space="preserve"> </w:t>
      </w:r>
      <w:r w:rsidR="00692D6F" w:rsidRPr="009B38AA">
        <w:rPr>
          <w:szCs w:val="26"/>
        </w:rPr>
        <w:t>We do</w:t>
      </w:r>
      <w:r w:rsidRPr="009B38AA">
        <w:rPr>
          <w:szCs w:val="26"/>
        </w:rPr>
        <w:t xml:space="preserve"> not believe that PPL</w:t>
      </w:r>
      <w:r w:rsidR="009042BD" w:rsidRPr="009B38AA">
        <w:rPr>
          <w:szCs w:val="26"/>
        </w:rPr>
        <w:t>’s recommendation</w:t>
      </w:r>
      <w:r w:rsidRPr="009B38AA">
        <w:rPr>
          <w:szCs w:val="26"/>
        </w:rPr>
        <w:t xml:space="preserve"> </w:t>
      </w:r>
      <w:r w:rsidR="009042BD" w:rsidRPr="009B38AA">
        <w:rPr>
          <w:szCs w:val="26"/>
        </w:rPr>
        <w:t>is</w:t>
      </w:r>
      <w:r w:rsidRPr="009B38AA">
        <w:rPr>
          <w:szCs w:val="26"/>
        </w:rPr>
        <w:t xml:space="preserve"> contrary to the initial proposal stated in the </w:t>
      </w:r>
      <w:r w:rsidR="00B31134" w:rsidRPr="009B38AA">
        <w:rPr>
          <w:i/>
          <w:szCs w:val="26"/>
        </w:rPr>
        <w:t>Tentative Order</w:t>
      </w:r>
      <w:r w:rsidRPr="009B38AA">
        <w:rPr>
          <w:szCs w:val="26"/>
        </w:rPr>
        <w:t xml:space="preserve"> but rather add</w:t>
      </w:r>
      <w:r w:rsidR="009042BD" w:rsidRPr="009B38AA">
        <w:rPr>
          <w:szCs w:val="26"/>
        </w:rPr>
        <w:t>s</w:t>
      </w:r>
      <w:r w:rsidRPr="009B38AA">
        <w:rPr>
          <w:szCs w:val="26"/>
        </w:rPr>
        <w:t xml:space="preserve"> more clarity. </w:t>
      </w:r>
      <w:r w:rsidR="00CA46E8" w:rsidRPr="009B38AA">
        <w:rPr>
          <w:szCs w:val="26"/>
        </w:rPr>
        <w:t xml:space="preserve"> </w:t>
      </w:r>
      <w:r w:rsidR="009042BD" w:rsidRPr="009B38AA">
        <w:rPr>
          <w:szCs w:val="26"/>
        </w:rPr>
        <w:t xml:space="preserve">TRM protocols that already differentiate between replace on burnout and early replacement scenarios (e.g. motors and HVAC protocols) assume the replace on burnout scenario as the default. </w:t>
      </w:r>
      <w:r w:rsidR="00CA46E8" w:rsidRPr="009B38AA">
        <w:rPr>
          <w:szCs w:val="26"/>
        </w:rPr>
        <w:t xml:space="preserve"> </w:t>
      </w:r>
      <w:r w:rsidR="009042BD" w:rsidRPr="009B38AA">
        <w:rPr>
          <w:szCs w:val="26"/>
        </w:rPr>
        <w:t xml:space="preserve">EDCs may claim savings per the </w:t>
      </w:r>
      <w:r w:rsidR="009042BD" w:rsidRPr="009B38AA">
        <w:rPr>
          <w:szCs w:val="26"/>
        </w:rPr>
        <w:lastRenderedPageBreak/>
        <w:t xml:space="preserve">early replacement scenario only if that information is available. </w:t>
      </w:r>
      <w:r w:rsidR="00692D6F" w:rsidRPr="009B38AA">
        <w:rPr>
          <w:szCs w:val="26"/>
        </w:rPr>
        <w:t xml:space="preserve"> As such, we direct</w:t>
      </w:r>
      <w:r w:rsidR="0008385A" w:rsidRPr="009B38AA">
        <w:rPr>
          <w:szCs w:val="26"/>
        </w:rPr>
        <w:t xml:space="preserve"> the TWG </w:t>
      </w:r>
      <w:r w:rsidR="00692D6F" w:rsidRPr="009B38AA">
        <w:rPr>
          <w:szCs w:val="26"/>
        </w:rPr>
        <w:t xml:space="preserve">to </w:t>
      </w:r>
      <w:r w:rsidR="0008385A" w:rsidRPr="009B38AA">
        <w:rPr>
          <w:szCs w:val="26"/>
        </w:rPr>
        <w:t>prioritize measures</w:t>
      </w:r>
      <w:r w:rsidR="00CC124B" w:rsidRPr="009B38AA">
        <w:rPr>
          <w:szCs w:val="26"/>
        </w:rPr>
        <w:t>,</w:t>
      </w:r>
      <w:r w:rsidR="0008385A" w:rsidRPr="009B38AA">
        <w:rPr>
          <w:szCs w:val="26"/>
        </w:rPr>
        <w:t xml:space="preserve"> for which a distinction between early replacement and replace on burnout scenarios </w:t>
      </w:r>
      <w:r w:rsidR="00692D6F" w:rsidRPr="009B38AA">
        <w:rPr>
          <w:szCs w:val="26"/>
        </w:rPr>
        <w:t xml:space="preserve">are </w:t>
      </w:r>
      <w:r w:rsidR="0008385A" w:rsidRPr="009B38AA">
        <w:rPr>
          <w:szCs w:val="26"/>
        </w:rPr>
        <w:t>needed to help determine more accurate estimates of savings</w:t>
      </w:r>
      <w:r w:rsidR="00CC124B" w:rsidRPr="009B38AA">
        <w:rPr>
          <w:szCs w:val="26"/>
        </w:rPr>
        <w:t>, based on impacts and overall contribution to the Act 129 programs</w:t>
      </w:r>
      <w:r w:rsidR="00692D6F" w:rsidRPr="009B38AA">
        <w:rPr>
          <w:szCs w:val="26"/>
        </w:rPr>
        <w:t xml:space="preserve"> and address them in future TRM updates</w:t>
      </w:r>
      <w:r w:rsidR="00CC124B" w:rsidRPr="009B38AA">
        <w:rPr>
          <w:szCs w:val="26"/>
        </w:rPr>
        <w:t xml:space="preserve">. </w:t>
      </w:r>
      <w:r w:rsidR="00CA46E8" w:rsidRPr="009B38AA">
        <w:rPr>
          <w:szCs w:val="26"/>
        </w:rPr>
        <w:t xml:space="preserve"> </w:t>
      </w:r>
      <w:r w:rsidR="00CC124B" w:rsidRPr="009B38AA">
        <w:rPr>
          <w:szCs w:val="26"/>
        </w:rPr>
        <w:t xml:space="preserve">The TWG is to </w:t>
      </w:r>
      <w:r w:rsidR="00CA46E8" w:rsidRPr="009B38AA">
        <w:rPr>
          <w:szCs w:val="26"/>
        </w:rPr>
        <w:t>provide recommendations to the Commission regarding</w:t>
      </w:r>
      <w:r w:rsidR="00CC124B" w:rsidRPr="009B38AA">
        <w:rPr>
          <w:szCs w:val="26"/>
        </w:rPr>
        <w:t xml:space="preserve"> updated savings protocols for both scenarios that take into account program delivery methods, federal standards, market trends, and other factors while considering unintended implementation barriers.</w:t>
      </w:r>
    </w:p>
    <w:p w:rsidR="0008385A" w:rsidRPr="009B38AA" w:rsidRDefault="0008385A" w:rsidP="007B592F">
      <w:pPr>
        <w:pStyle w:val="p3"/>
        <w:tabs>
          <w:tab w:val="clear" w:pos="204"/>
          <w:tab w:val="left" w:pos="0"/>
          <w:tab w:val="left" w:pos="720"/>
        </w:tabs>
        <w:rPr>
          <w:b/>
          <w:szCs w:val="26"/>
        </w:rPr>
      </w:pPr>
    </w:p>
    <w:p w:rsidR="007B592F" w:rsidRPr="009B38AA" w:rsidRDefault="007B592F" w:rsidP="00EB1FAC">
      <w:pPr>
        <w:pStyle w:val="Heading2"/>
      </w:pPr>
      <w:r w:rsidRPr="009B38AA">
        <w:t>Eligibility of Fuel Switching (Non-Electric to Electric)</w:t>
      </w:r>
    </w:p>
    <w:p w:rsidR="000D3B2C" w:rsidRPr="009B38AA" w:rsidRDefault="000D3B2C" w:rsidP="000D3B2C">
      <w:pPr>
        <w:pStyle w:val="p3"/>
        <w:tabs>
          <w:tab w:val="clear" w:pos="204"/>
          <w:tab w:val="left" w:pos="0"/>
          <w:tab w:val="left" w:pos="720"/>
        </w:tabs>
        <w:ind w:left="1080"/>
        <w:rPr>
          <w:b/>
          <w:szCs w:val="26"/>
        </w:rPr>
      </w:pPr>
    </w:p>
    <w:p w:rsidR="000D3B2C" w:rsidRPr="009B38AA" w:rsidRDefault="000D3B2C" w:rsidP="000D3B2C">
      <w:pPr>
        <w:pStyle w:val="p3"/>
        <w:tabs>
          <w:tab w:val="clear" w:pos="204"/>
          <w:tab w:val="left" w:pos="720"/>
        </w:tabs>
        <w:rPr>
          <w:szCs w:val="26"/>
        </w:rPr>
      </w:pPr>
      <w:r w:rsidRPr="009B38AA">
        <w:rPr>
          <w:szCs w:val="26"/>
        </w:rPr>
        <w:tab/>
      </w:r>
      <w:r w:rsidR="00BC1192" w:rsidRPr="009B38AA">
        <w:rPr>
          <w:szCs w:val="26"/>
        </w:rPr>
        <w:t xml:space="preserve">In </w:t>
      </w:r>
      <w:r w:rsidR="00692D6F" w:rsidRPr="009B38AA">
        <w:rPr>
          <w:szCs w:val="26"/>
        </w:rPr>
        <w:t xml:space="preserve">the </w:t>
      </w:r>
      <w:r w:rsidR="00B31134" w:rsidRPr="009B38AA">
        <w:rPr>
          <w:i/>
          <w:szCs w:val="26"/>
        </w:rPr>
        <w:t>Tentative Order</w:t>
      </w:r>
      <w:r w:rsidRPr="009B38AA">
        <w:rPr>
          <w:szCs w:val="26"/>
        </w:rPr>
        <w:t xml:space="preserve">, </w:t>
      </w:r>
      <w:r w:rsidR="00692D6F" w:rsidRPr="009B38AA">
        <w:rPr>
          <w:szCs w:val="26"/>
        </w:rPr>
        <w:t>we</w:t>
      </w:r>
      <w:r w:rsidRPr="009B38AA">
        <w:rPr>
          <w:szCs w:val="26"/>
        </w:rPr>
        <w:t xml:space="preserve"> proposed to allow EDCs to continue to offer fuel switching programs based on both electric and non-electric sources as part of their Act 129 EE&amp;</w:t>
      </w:r>
      <w:r w:rsidR="002823DE" w:rsidRPr="009B38AA">
        <w:rPr>
          <w:szCs w:val="26"/>
        </w:rPr>
        <w:t>C plans</w:t>
      </w:r>
      <w:r w:rsidR="00A62EEA" w:rsidRPr="009B38AA">
        <w:rPr>
          <w:szCs w:val="26"/>
        </w:rPr>
        <w:t>, noting,</w:t>
      </w:r>
      <w:r w:rsidR="002823DE" w:rsidRPr="009B38AA">
        <w:rPr>
          <w:szCs w:val="26"/>
        </w:rPr>
        <w:t xml:space="preserve"> </w:t>
      </w:r>
      <w:r w:rsidR="00A62EEA" w:rsidRPr="009B38AA">
        <w:rPr>
          <w:szCs w:val="26"/>
        </w:rPr>
        <w:t>h</w:t>
      </w:r>
      <w:r w:rsidR="002823DE" w:rsidRPr="009B38AA">
        <w:rPr>
          <w:szCs w:val="26"/>
        </w:rPr>
        <w:t xml:space="preserve">owever, </w:t>
      </w:r>
      <w:r w:rsidRPr="009B38AA">
        <w:rPr>
          <w:szCs w:val="26"/>
        </w:rPr>
        <w:t xml:space="preserve">that improperly constructed incentives could unfairly impact non-electric </w:t>
      </w:r>
      <w:r w:rsidR="00A62EEA" w:rsidRPr="009B38AA">
        <w:rPr>
          <w:szCs w:val="26"/>
        </w:rPr>
        <w:t>energy suppliers</w:t>
      </w:r>
      <w:r w:rsidRPr="009B38AA">
        <w:rPr>
          <w:szCs w:val="26"/>
        </w:rPr>
        <w:t xml:space="preserve">.  As such, </w:t>
      </w:r>
      <w:r w:rsidR="00A62EEA" w:rsidRPr="009B38AA">
        <w:rPr>
          <w:szCs w:val="26"/>
        </w:rPr>
        <w:t>we stressed</w:t>
      </w:r>
      <w:r w:rsidRPr="009B38AA">
        <w:rPr>
          <w:szCs w:val="26"/>
        </w:rPr>
        <w:t xml:space="preserve"> that the focus of the rebates should be to encourage the purchase of high</w:t>
      </w:r>
      <w:r w:rsidR="00795E72" w:rsidRPr="009B38AA">
        <w:rPr>
          <w:szCs w:val="26"/>
        </w:rPr>
        <w:t>-</w:t>
      </w:r>
      <w:r w:rsidRPr="009B38AA">
        <w:rPr>
          <w:szCs w:val="26"/>
        </w:rPr>
        <w:t xml:space="preserve">efficiency appliances by those customers who had already </w:t>
      </w:r>
      <w:r w:rsidR="00BC1192" w:rsidRPr="009B38AA">
        <w:rPr>
          <w:szCs w:val="26"/>
        </w:rPr>
        <w:t>made the decision</w:t>
      </w:r>
      <w:r w:rsidRPr="009B38AA">
        <w:rPr>
          <w:szCs w:val="26"/>
        </w:rPr>
        <w:t xml:space="preserve"> to change energy sources</w:t>
      </w:r>
      <w:r w:rsidR="00A62EEA" w:rsidRPr="009B38AA">
        <w:rPr>
          <w:szCs w:val="26"/>
        </w:rPr>
        <w:t>, noting that our</w:t>
      </w:r>
      <w:r w:rsidRPr="009B38AA">
        <w:rPr>
          <w:szCs w:val="26"/>
        </w:rPr>
        <w:t xml:space="preserve"> review of proposed rebates will be based on such a premise.</w:t>
      </w:r>
    </w:p>
    <w:p w:rsidR="000D3B2C" w:rsidRPr="009B38AA" w:rsidRDefault="000D3B2C" w:rsidP="000D3B2C">
      <w:pPr>
        <w:pStyle w:val="p3"/>
        <w:tabs>
          <w:tab w:val="clear" w:pos="204"/>
          <w:tab w:val="left" w:pos="720"/>
        </w:tabs>
        <w:rPr>
          <w:szCs w:val="26"/>
        </w:rPr>
      </w:pPr>
    </w:p>
    <w:p w:rsidR="000D3B2C" w:rsidRPr="009B38AA" w:rsidRDefault="000D3B2C" w:rsidP="000D3B2C">
      <w:pPr>
        <w:pStyle w:val="p3"/>
        <w:numPr>
          <w:ilvl w:val="3"/>
          <w:numId w:val="6"/>
        </w:numPr>
        <w:tabs>
          <w:tab w:val="clear" w:pos="204"/>
          <w:tab w:val="left" w:pos="720"/>
        </w:tabs>
        <w:ind w:left="2160" w:hanging="720"/>
        <w:rPr>
          <w:b/>
          <w:szCs w:val="26"/>
        </w:rPr>
      </w:pPr>
      <w:r w:rsidRPr="009B38AA">
        <w:rPr>
          <w:b/>
          <w:szCs w:val="26"/>
        </w:rPr>
        <w:t>Comments</w:t>
      </w:r>
    </w:p>
    <w:p w:rsidR="000D3B2C" w:rsidRPr="009B38AA" w:rsidRDefault="000D3B2C" w:rsidP="000D3B2C">
      <w:pPr>
        <w:pStyle w:val="p3"/>
        <w:tabs>
          <w:tab w:val="clear" w:pos="204"/>
          <w:tab w:val="left" w:pos="720"/>
        </w:tabs>
        <w:ind w:left="2160"/>
        <w:rPr>
          <w:b/>
          <w:szCs w:val="26"/>
        </w:rPr>
      </w:pPr>
    </w:p>
    <w:p w:rsidR="000D3B2C" w:rsidRPr="009B38AA" w:rsidRDefault="000D3B2C" w:rsidP="000D3B2C">
      <w:pPr>
        <w:pStyle w:val="p3"/>
        <w:tabs>
          <w:tab w:val="clear" w:pos="204"/>
          <w:tab w:val="left" w:pos="720"/>
        </w:tabs>
        <w:rPr>
          <w:szCs w:val="26"/>
        </w:rPr>
      </w:pPr>
      <w:r w:rsidRPr="009B38AA">
        <w:rPr>
          <w:b/>
          <w:szCs w:val="26"/>
        </w:rPr>
        <w:tab/>
      </w:r>
      <w:r w:rsidRPr="009B38AA">
        <w:rPr>
          <w:szCs w:val="26"/>
        </w:rPr>
        <w:t>PPL agrees that rebates should encourage the purchase of higher efficiency appliances by customers who have already decided to change energy sources</w:t>
      </w:r>
      <w:r w:rsidR="00BC1192" w:rsidRPr="009B38AA">
        <w:rPr>
          <w:szCs w:val="26"/>
        </w:rPr>
        <w:t xml:space="preserve">. </w:t>
      </w:r>
      <w:r w:rsidR="00A62EEA" w:rsidRPr="009B38AA">
        <w:rPr>
          <w:szCs w:val="26"/>
        </w:rPr>
        <w:t xml:space="preserve"> </w:t>
      </w:r>
      <w:proofErr w:type="gramStart"/>
      <w:r w:rsidR="00BC1192" w:rsidRPr="009B38AA">
        <w:rPr>
          <w:szCs w:val="26"/>
        </w:rPr>
        <w:t>PPL Comments at 12</w:t>
      </w:r>
      <w:r w:rsidR="00A62EEA" w:rsidRPr="009B38AA">
        <w:rPr>
          <w:szCs w:val="26"/>
        </w:rPr>
        <w:t>.</w:t>
      </w:r>
      <w:proofErr w:type="gramEnd"/>
    </w:p>
    <w:p w:rsidR="000D3B2C" w:rsidRPr="009B38AA" w:rsidRDefault="000D3B2C" w:rsidP="000D3B2C">
      <w:pPr>
        <w:pStyle w:val="p3"/>
        <w:tabs>
          <w:tab w:val="clear" w:pos="204"/>
          <w:tab w:val="left" w:pos="720"/>
        </w:tabs>
        <w:rPr>
          <w:szCs w:val="26"/>
        </w:rPr>
      </w:pPr>
    </w:p>
    <w:p w:rsidR="000D3B2C" w:rsidRPr="009B38AA" w:rsidRDefault="000D3B2C" w:rsidP="000D3B2C">
      <w:pPr>
        <w:pStyle w:val="p3"/>
        <w:tabs>
          <w:tab w:val="clear" w:pos="204"/>
          <w:tab w:val="left" w:pos="720"/>
        </w:tabs>
        <w:rPr>
          <w:szCs w:val="26"/>
        </w:rPr>
      </w:pPr>
      <w:r w:rsidRPr="009B38AA">
        <w:rPr>
          <w:szCs w:val="26"/>
        </w:rPr>
        <w:tab/>
        <w:t xml:space="preserve">UGI welcomes the inclusion of standards for measuring efficiency gains designed to encourage electric to gas water heating and electric heating to gas space heating.  UGI </w:t>
      </w:r>
      <w:r w:rsidR="00A62EEA" w:rsidRPr="009B38AA">
        <w:rPr>
          <w:szCs w:val="26"/>
        </w:rPr>
        <w:t xml:space="preserve">comments </w:t>
      </w:r>
      <w:r w:rsidRPr="009B38AA">
        <w:rPr>
          <w:szCs w:val="26"/>
        </w:rPr>
        <w:t>that since the Commission has allowed for fuel switching in that respect</w:t>
      </w:r>
      <w:r w:rsidR="00BC1192" w:rsidRPr="009B38AA">
        <w:rPr>
          <w:szCs w:val="26"/>
        </w:rPr>
        <w:t>,</w:t>
      </w:r>
      <w:r w:rsidRPr="009B38AA">
        <w:rPr>
          <w:szCs w:val="26"/>
        </w:rPr>
        <w:t xml:space="preserve"> the </w:t>
      </w:r>
      <w:r w:rsidRPr="009B38AA">
        <w:rPr>
          <w:szCs w:val="26"/>
        </w:rPr>
        <w:lastRenderedPageBreak/>
        <w:t xml:space="preserve">Commission should develop and include standards for </w:t>
      </w:r>
      <w:r w:rsidR="00BC1192" w:rsidRPr="009B38AA">
        <w:rPr>
          <w:szCs w:val="26"/>
        </w:rPr>
        <w:t>C&amp;I</w:t>
      </w:r>
      <w:r w:rsidRPr="009B38AA">
        <w:rPr>
          <w:szCs w:val="26"/>
        </w:rPr>
        <w:t xml:space="preserve"> water heating conversions in th</w:t>
      </w:r>
      <w:r w:rsidR="00BC1192" w:rsidRPr="009B38AA">
        <w:rPr>
          <w:szCs w:val="26"/>
        </w:rPr>
        <w:t xml:space="preserve">e 2012 TRM. </w:t>
      </w:r>
      <w:r w:rsidR="0053120B" w:rsidRPr="009B38AA">
        <w:rPr>
          <w:szCs w:val="26"/>
        </w:rPr>
        <w:t xml:space="preserve"> </w:t>
      </w:r>
      <w:proofErr w:type="gramStart"/>
      <w:r w:rsidR="00BC1192" w:rsidRPr="009B38AA">
        <w:rPr>
          <w:szCs w:val="26"/>
        </w:rPr>
        <w:t>UGI Comments at 4</w:t>
      </w:r>
      <w:r w:rsidR="0053120B" w:rsidRPr="009B38AA">
        <w:rPr>
          <w:szCs w:val="26"/>
        </w:rPr>
        <w:t>.</w:t>
      </w:r>
      <w:proofErr w:type="gramEnd"/>
      <w:r w:rsidR="0053120B" w:rsidRPr="009B38AA">
        <w:rPr>
          <w:szCs w:val="26"/>
        </w:rPr>
        <w:t xml:space="preserve">  Additionally, </w:t>
      </w:r>
      <w:r w:rsidRPr="009B38AA">
        <w:rPr>
          <w:szCs w:val="26"/>
        </w:rPr>
        <w:t xml:space="preserve">UGI </w:t>
      </w:r>
      <w:r w:rsidR="0053120B" w:rsidRPr="009B38AA">
        <w:rPr>
          <w:szCs w:val="26"/>
        </w:rPr>
        <w:t>avers</w:t>
      </w:r>
      <w:r w:rsidRPr="009B38AA">
        <w:rPr>
          <w:szCs w:val="26"/>
        </w:rPr>
        <w:t xml:space="preserve"> that Section 1.1</w:t>
      </w:r>
      <w:r w:rsidR="00BC1192" w:rsidRPr="009B38AA">
        <w:rPr>
          <w:szCs w:val="26"/>
        </w:rPr>
        <w:t>: Purpose</w:t>
      </w:r>
      <w:r w:rsidRPr="009B38AA">
        <w:rPr>
          <w:szCs w:val="26"/>
        </w:rPr>
        <w:t xml:space="preserve"> of the TRM should expand applicability of the TRM standards to smaller EDC and</w:t>
      </w:r>
      <w:r w:rsidR="00BC1192" w:rsidRPr="009B38AA">
        <w:rPr>
          <w:szCs w:val="26"/>
        </w:rPr>
        <w:t xml:space="preserve"> natural gas distribution company (“NGDC”)</w:t>
      </w:r>
      <w:r w:rsidRPr="009B38AA">
        <w:rPr>
          <w:szCs w:val="26"/>
        </w:rPr>
        <w:t xml:space="preserve"> EE&amp;C programs. </w:t>
      </w:r>
      <w:r w:rsidR="0053120B" w:rsidRPr="009B38AA">
        <w:rPr>
          <w:szCs w:val="26"/>
        </w:rPr>
        <w:t xml:space="preserve"> </w:t>
      </w:r>
      <w:proofErr w:type="gramStart"/>
      <w:r w:rsidRPr="009B38AA">
        <w:rPr>
          <w:szCs w:val="26"/>
        </w:rPr>
        <w:t>UGI Comments at 5</w:t>
      </w:r>
      <w:r w:rsidR="0053120B" w:rsidRPr="009B38AA">
        <w:rPr>
          <w:szCs w:val="26"/>
        </w:rPr>
        <w:t>.</w:t>
      </w:r>
      <w:proofErr w:type="gramEnd"/>
      <w:r w:rsidR="0053120B" w:rsidRPr="009B38AA">
        <w:rPr>
          <w:szCs w:val="26"/>
        </w:rPr>
        <w:t xml:space="preserve">  </w:t>
      </w:r>
      <w:r w:rsidRPr="009B38AA">
        <w:rPr>
          <w:szCs w:val="26"/>
        </w:rPr>
        <w:t>Further</w:t>
      </w:r>
      <w:r w:rsidR="0053120B" w:rsidRPr="009B38AA">
        <w:rPr>
          <w:szCs w:val="26"/>
        </w:rPr>
        <w:t>more</w:t>
      </w:r>
      <w:r w:rsidRPr="009B38AA">
        <w:rPr>
          <w:szCs w:val="26"/>
        </w:rPr>
        <w:t xml:space="preserve">, UGI </w:t>
      </w:r>
      <w:r w:rsidR="0053120B" w:rsidRPr="009B38AA">
        <w:rPr>
          <w:szCs w:val="26"/>
        </w:rPr>
        <w:t xml:space="preserve">asserts </w:t>
      </w:r>
      <w:r w:rsidRPr="009B38AA">
        <w:rPr>
          <w:szCs w:val="26"/>
        </w:rPr>
        <w:t xml:space="preserve">that the TWG membership should be expanded to include </w:t>
      </w:r>
      <w:r w:rsidR="0053120B" w:rsidRPr="009B38AA">
        <w:rPr>
          <w:szCs w:val="26"/>
        </w:rPr>
        <w:t>NGDC and small EDC</w:t>
      </w:r>
      <w:r w:rsidRPr="009B38AA">
        <w:rPr>
          <w:szCs w:val="26"/>
        </w:rPr>
        <w:t xml:space="preserve"> representatives who wish to </w:t>
      </w:r>
      <w:r w:rsidR="00BC1192" w:rsidRPr="009B38AA">
        <w:rPr>
          <w:szCs w:val="26"/>
        </w:rPr>
        <w:t xml:space="preserve">participate. </w:t>
      </w:r>
      <w:r w:rsidR="0053120B" w:rsidRPr="009B38AA">
        <w:rPr>
          <w:szCs w:val="26"/>
        </w:rPr>
        <w:t xml:space="preserve"> </w:t>
      </w:r>
      <w:proofErr w:type="gramStart"/>
      <w:r w:rsidR="00BC1192" w:rsidRPr="009B38AA">
        <w:rPr>
          <w:szCs w:val="26"/>
        </w:rPr>
        <w:t>UGI Comments at 5</w:t>
      </w:r>
      <w:r w:rsidR="0053120B" w:rsidRPr="009B38AA">
        <w:rPr>
          <w:szCs w:val="26"/>
        </w:rPr>
        <w:t>.</w:t>
      </w:r>
      <w:proofErr w:type="gramEnd"/>
      <w:r w:rsidR="0053120B" w:rsidRPr="009B38AA">
        <w:rPr>
          <w:szCs w:val="26"/>
        </w:rPr>
        <w:t xml:space="preserve">  UGI states that it would be helpful to establish uniform standards for making electric and gas price projections, that are based on publicly available information and to include these standards in future TRM editions.  UGI comments at 5.  Finally, UGI states that the requirements regarding the EDCs’ tracking and reporting of customers participating in EE&amp;C programs in which they are switching to electric from a non-electric fuel source are neither being adhered to, nor enforced.</w:t>
      </w:r>
      <w:r w:rsidR="0053120B" w:rsidRPr="009B38AA">
        <w:rPr>
          <w:szCs w:val="26"/>
          <w:vertAlign w:val="superscript"/>
        </w:rPr>
        <w:footnoteReference w:id="38"/>
      </w:r>
      <w:r w:rsidR="0053120B" w:rsidRPr="009B38AA">
        <w:rPr>
          <w:szCs w:val="26"/>
        </w:rPr>
        <w:t xml:space="preserve">  UGI maintains that this information has not been made publicly available despite requirements to do so, as documented in previous Act 129 orders.  UGI comments at 5 and 6.</w:t>
      </w:r>
    </w:p>
    <w:p w:rsidR="000D3B2C" w:rsidRPr="00D0681F" w:rsidRDefault="000D3B2C" w:rsidP="000D3B2C">
      <w:pPr>
        <w:pStyle w:val="p3"/>
        <w:tabs>
          <w:tab w:val="clear" w:pos="204"/>
          <w:tab w:val="left" w:pos="720"/>
        </w:tabs>
        <w:rPr>
          <w:szCs w:val="26"/>
        </w:rPr>
      </w:pPr>
    </w:p>
    <w:p w:rsidR="000D3B2C" w:rsidRPr="009B38AA" w:rsidRDefault="000D3B2C" w:rsidP="000D3B2C">
      <w:pPr>
        <w:pStyle w:val="p3"/>
        <w:tabs>
          <w:tab w:val="clear" w:pos="204"/>
          <w:tab w:val="left" w:pos="720"/>
        </w:tabs>
        <w:rPr>
          <w:szCs w:val="26"/>
        </w:rPr>
      </w:pPr>
      <w:r w:rsidRPr="009B38AA">
        <w:rPr>
          <w:szCs w:val="26"/>
        </w:rPr>
        <w:tab/>
      </w:r>
      <w:r w:rsidR="0053120B" w:rsidRPr="009B38AA">
        <w:rPr>
          <w:szCs w:val="26"/>
        </w:rPr>
        <w:t xml:space="preserve">In response, </w:t>
      </w:r>
      <w:r w:rsidR="00BC1192" w:rsidRPr="009B38AA">
        <w:rPr>
          <w:szCs w:val="26"/>
        </w:rPr>
        <w:t>First</w:t>
      </w:r>
      <w:r w:rsidRPr="009B38AA">
        <w:rPr>
          <w:szCs w:val="26"/>
        </w:rPr>
        <w:t xml:space="preserve">Energy, </w:t>
      </w:r>
      <w:r w:rsidR="0053120B" w:rsidRPr="009B38AA">
        <w:rPr>
          <w:szCs w:val="26"/>
        </w:rPr>
        <w:t xml:space="preserve">states </w:t>
      </w:r>
      <w:r w:rsidRPr="009B38AA">
        <w:rPr>
          <w:szCs w:val="26"/>
        </w:rPr>
        <w:t xml:space="preserve">that the TWG is not closed to any party but that active participation by the gas utilities in the TWG would be more appropriate when </w:t>
      </w:r>
      <w:r w:rsidR="00085B29" w:rsidRPr="009B38AA">
        <w:rPr>
          <w:szCs w:val="26"/>
        </w:rPr>
        <w:t>EE</w:t>
      </w:r>
      <w:r w:rsidRPr="009B38AA">
        <w:rPr>
          <w:szCs w:val="26"/>
        </w:rPr>
        <w:t xml:space="preserve"> targets and programs are mandated for NGDCs</w:t>
      </w:r>
      <w:r w:rsidR="00BC1192" w:rsidRPr="009B38AA">
        <w:rPr>
          <w:szCs w:val="26"/>
        </w:rPr>
        <w:t>.</w:t>
      </w:r>
      <w:r w:rsidRPr="009B38AA">
        <w:rPr>
          <w:szCs w:val="26"/>
        </w:rPr>
        <w:t xml:space="preserve"> </w:t>
      </w:r>
      <w:r w:rsidR="0053120B" w:rsidRPr="009B38AA">
        <w:rPr>
          <w:szCs w:val="26"/>
        </w:rPr>
        <w:t xml:space="preserve"> </w:t>
      </w:r>
      <w:proofErr w:type="gramStart"/>
      <w:r w:rsidRPr="009B38AA">
        <w:rPr>
          <w:szCs w:val="26"/>
        </w:rPr>
        <w:t>First</w:t>
      </w:r>
      <w:r w:rsidR="00BC1192" w:rsidRPr="009B38AA">
        <w:rPr>
          <w:szCs w:val="26"/>
        </w:rPr>
        <w:t>Energy R</w:t>
      </w:r>
      <w:r w:rsidRPr="009B38AA">
        <w:rPr>
          <w:szCs w:val="26"/>
        </w:rPr>
        <w:t xml:space="preserve">eply </w:t>
      </w:r>
      <w:r w:rsidR="00BC1192" w:rsidRPr="009B38AA">
        <w:rPr>
          <w:szCs w:val="26"/>
        </w:rPr>
        <w:t>Comments at 2</w:t>
      </w:r>
      <w:r w:rsidR="0053120B" w:rsidRPr="009B38AA">
        <w:rPr>
          <w:szCs w:val="26"/>
        </w:rPr>
        <w:t>.</w:t>
      </w:r>
      <w:proofErr w:type="gramEnd"/>
    </w:p>
    <w:p w:rsidR="000D3B2C" w:rsidRPr="009B38AA" w:rsidRDefault="000D3B2C" w:rsidP="000D3B2C">
      <w:pPr>
        <w:pStyle w:val="p3"/>
        <w:tabs>
          <w:tab w:val="clear" w:pos="204"/>
          <w:tab w:val="left" w:pos="720"/>
        </w:tabs>
        <w:ind w:left="2160" w:hanging="720"/>
        <w:rPr>
          <w:b/>
          <w:szCs w:val="26"/>
        </w:rPr>
      </w:pPr>
    </w:p>
    <w:p w:rsidR="000D3B2C" w:rsidRPr="009B38AA" w:rsidRDefault="000D3B2C" w:rsidP="000D3B2C">
      <w:pPr>
        <w:pStyle w:val="p3"/>
        <w:numPr>
          <w:ilvl w:val="3"/>
          <w:numId w:val="6"/>
        </w:numPr>
        <w:tabs>
          <w:tab w:val="clear" w:pos="204"/>
          <w:tab w:val="left" w:pos="720"/>
        </w:tabs>
        <w:ind w:left="2160" w:hanging="720"/>
        <w:rPr>
          <w:b/>
          <w:szCs w:val="26"/>
        </w:rPr>
      </w:pPr>
      <w:r w:rsidRPr="009B38AA">
        <w:rPr>
          <w:b/>
          <w:szCs w:val="26"/>
        </w:rPr>
        <w:t>Disposition</w:t>
      </w:r>
    </w:p>
    <w:p w:rsidR="000D3B2C" w:rsidRPr="009B38AA" w:rsidRDefault="000D3B2C" w:rsidP="000D3B2C">
      <w:pPr>
        <w:ind w:left="720"/>
        <w:rPr>
          <w:szCs w:val="26"/>
        </w:rPr>
      </w:pPr>
    </w:p>
    <w:p w:rsidR="000D3B2C" w:rsidRPr="009B38AA" w:rsidRDefault="00BC1192" w:rsidP="000D3B2C">
      <w:pPr>
        <w:pStyle w:val="p3"/>
        <w:tabs>
          <w:tab w:val="clear" w:pos="204"/>
          <w:tab w:val="left" w:pos="720"/>
        </w:tabs>
        <w:rPr>
          <w:szCs w:val="26"/>
        </w:rPr>
      </w:pPr>
      <w:r w:rsidRPr="009B38AA">
        <w:rPr>
          <w:szCs w:val="26"/>
        </w:rPr>
        <w:tab/>
      </w:r>
      <w:proofErr w:type="gramStart"/>
      <w:r w:rsidRPr="009B38AA">
        <w:rPr>
          <w:szCs w:val="26"/>
        </w:rPr>
        <w:t>UGI’</w:t>
      </w:r>
      <w:r w:rsidR="000D3B2C" w:rsidRPr="009B38AA">
        <w:rPr>
          <w:szCs w:val="26"/>
        </w:rPr>
        <w:t>s assertion that the Commi</w:t>
      </w:r>
      <w:r w:rsidRPr="009B38AA">
        <w:rPr>
          <w:szCs w:val="26"/>
        </w:rPr>
        <w:t xml:space="preserve">ssion </w:t>
      </w:r>
      <w:r w:rsidR="0053120B" w:rsidRPr="009B38AA">
        <w:rPr>
          <w:szCs w:val="26"/>
        </w:rPr>
        <w:t xml:space="preserve">has </w:t>
      </w:r>
      <w:r w:rsidRPr="009B38AA">
        <w:rPr>
          <w:szCs w:val="26"/>
        </w:rPr>
        <w:t xml:space="preserve">approved the inclusion </w:t>
      </w:r>
      <w:r w:rsidR="000D3B2C" w:rsidRPr="009B38AA">
        <w:rPr>
          <w:szCs w:val="26"/>
        </w:rPr>
        <w:t xml:space="preserve">of standards related </w:t>
      </w:r>
      <w:r w:rsidRPr="009B38AA">
        <w:rPr>
          <w:szCs w:val="26"/>
        </w:rPr>
        <w:t xml:space="preserve">to </w:t>
      </w:r>
      <w:r w:rsidR="000D3B2C" w:rsidRPr="009B38AA">
        <w:rPr>
          <w:szCs w:val="26"/>
        </w:rPr>
        <w:t>electric to gas water heating and electric heating to gas space heating</w:t>
      </w:r>
      <w:r w:rsidRPr="009B38AA">
        <w:rPr>
          <w:szCs w:val="26"/>
        </w:rPr>
        <w:t xml:space="preserve"> in the TRM</w:t>
      </w:r>
      <w:r w:rsidR="000D3B2C" w:rsidRPr="009B38AA">
        <w:rPr>
          <w:szCs w:val="26"/>
        </w:rPr>
        <w:t xml:space="preserve"> for the purpose of encouraging fuel switching is incorrect.</w:t>
      </w:r>
      <w:proofErr w:type="gramEnd"/>
      <w:r w:rsidR="000D3B2C" w:rsidRPr="009B38AA">
        <w:rPr>
          <w:szCs w:val="26"/>
        </w:rPr>
        <w:t xml:space="preserve">  Thes</w:t>
      </w:r>
      <w:r w:rsidRPr="009B38AA">
        <w:rPr>
          <w:szCs w:val="26"/>
        </w:rPr>
        <w:t xml:space="preserve">e items are </w:t>
      </w:r>
      <w:r w:rsidRPr="009B38AA">
        <w:rPr>
          <w:szCs w:val="26"/>
        </w:rPr>
        <w:lastRenderedPageBreak/>
        <w:t>included in the TRM</w:t>
      </w:r>
      <w:r w:rsidR="000D3B2C" w:rsidRPr="009B38AA">
        <w:rPr>
          <w:szCs w:val="26"/>
        </w:rPr>
        <w:t xml:space="preserve"> because </w:t>
      </w:r>
      <w:r w:rsidR="007416C3" w:rsidRPr="009B38AA">
        <w:rPr>
          <w:szCs w:val="26"/>
        </w:rPr>
        <w:t>they</w:t>
      </w:r>
      <w:r w:rsidRPr="009B38AA">
        <w:rPr>
          <w:szCs w:val="26"/>
        </w:rPr>
        <w:t xml:space="preserve"> were deemed cost-</w:t>
      </w:r>
      <w:r w:rsidR="000D3B2C" w:rsidRPr="009B38AA">
        <w:rPr>
          <w:szCs w:val="26"/>
        </w:rPr>
        <w:t xml:space="preserve">effective by the EDCs and Commission and guidance on their measurement was necessary in the TRM. </w:t>
      </w:r>
      <w:r w:rsidRPr="009B38AA">
        <w:rPr>
          <w:szCs w:val="26"/>
        </w:rPr>
        <w:t xml:space="preserve"> </w:t>
      </w:r>
      <w:r w:rsidR="000D3B2C" w:rsidRPr="009B38AA">
        <w:rPr>
          <w:szCs w:val="26"/>
        </w:rPr>
        <w:t xml:space="preserve">UGI’s contention that the Commission should develop and include standards for </w:t>
      </w:r>
      <w:r w:rsidRPr="009B38AA">
        <w:rPr>
          <w:szCs w:val="26"/>
        </w:rPr>
        <w:t>C&amp;I</w:t>
      </w:r>
      <w:r w:rsidR="000D3B2C" w:rsidRPr="009B38AA">
        <w:rPr>
          <w:szCs w:val="26"/>
        </w:rPr>
        <w:t xml:space="preserve"> water heating conversions in the 2012 TRM is without merit, </w:t>
      </w:r>
      <w:r w:rsidR="007416C3" w:rsidRPr="009B38AA">
        <w:rPr>
          <w:szCs w:val="26"/>
        </w:rPr>
        <w:t>as</w:t>
      </w:r>
      <w:r w:rsidR="000D3B2C" w:rsidRPr="009B38AA">
        <w:rPr>
          <w:szCs w:val="26"/>
        </w:rPr>
        <w:t xml:space="preserve"> no EDC has proposed either measure</w:t>
      </w:r>
      <w:r w:rsidRPr="009B38AA">
        <w:rPr>
          <w:szCs w:val="26"/>
        </w:rPr>
        <w:t xml:space="preserve">. </w:t>
      </w:r>
    </w:p>
    <w:p w:rsidR="000D3B2C" w:rsidRPr="009B38AA" w:rsidRDefault="000D3B2C" w:rsidP="000D3B2C">
      <w:pPr>
        <w:ind w:firstLine="720"/>
        <w:rPr>
          <w:szCs w:val="26"/>
        </w:rPr>
      </w:pPr>
    </w:p>
    <w:p w:rsidR="001E70F1" w:rsidRPr="009B38AA" w:rsidRDefault="000D3B2C" w:rsidP="006A32E9">
      <w:pPr>
        <w:ind w:firstLine="720"/>
        <w:rPr>
          <w:szCs w:val="26"/>
        </w:rPr>
      </w:pPr>
      <w:r w:rsidRPr="009B38AA">
        <w:rPr>
          <w:szCs w:val="26"/>
        </w:rPr>
        <w:t>The Commission does not support UGI’s recommendation to expand the TRM’s applicability to include standards for smaller EDCs</w:t>
      </w:r>
      <w:r w:rsidR="00BC1192" w:rsidRPr="009B38AA">
        <w:rPr>
          <w:szCs w:val="26"/>
        </w:rPr>
        <w:t>, as well as</w:t>
      </w:r>
      <w:r w:rsidRPr="009B38AA">
        <w:rPr>
          <w:szCs w:val="26"/>
        </w:rPr>
        <w:t xml:space="preserve"> NGDCs.  The TRM is a tool designed to be used by utilities that are required to comply with Act 129</w:t>
      </w:r>
      <w:r w:rsidR="00DD4A42" w:rsidRPr="009B38AA">
        <w:rPr>
          <w:szCs w:val="26"/>
        </w:rPr>
        <w:t>, as well as determining alternative energy credits to be attributed to demand-side management in accordance with the Alternative Energy Portfolio Standards Act</w:t>
      </w:r>
      <w:r w:rsidRPr="009B38AA">
        <w:rPr>
          <w:szCs w:val="26"/>
        </w:rPr>
        <w:t xml:space="preserve">.  </w:t>
      </w:r>
      <w:r w:rsidR="00BC1192" w:rsidRPr="009B38AA">
        <w:rPr>
          <w:szCs w:val="26"/>
        </w:rPr>
        <w:t>The Commission</w:t>
      </w:r>
      <w:r w:rsidRPr="009B38AA">
        <w:rPr>
          <w:szCs w:val="26"/>
        </w:rPr>
        <w:t xml:space="preserve"> encourage</w:t>
      </w:r>
      <w:r w:rsidR="00BC1192" w:rsidRPr="009B38AA">
        <w:rPr>
          <w:szCs w:val="26"/>
        </w:rPr>
        <w:t>s</w:t>
      </w:r>
      <w:r w:rsidRPr="009B38AA">
        <w:rPr>
          <w:szCs w:val="26"/>
        </w:rPr>
        <w:t xml:space="preserve"> </w:t>
      </w:r>
      <w:r w:rsidR="00DD4A42" w:rsidRPr="009B38AA">
        <w:rPr>
          <w:szCs w:val="26"/>
        </w:rPr>
        <w:t>NGDCs and small EDCs</w:t>
      </w:r>
      <w:r w:rsidRPr="009B38AA">
        <w:rPr>
          <w:szCs w:val="26"/>
        </w:rPr>
        <w:t xml:space="preserve"> to utilize the TRM as a guide when crafting their own EE&amp;C plans.  However, since smaller EDCs</w:t>
      </w:r>
      <w:r w:rsidR="00BC1192" w:rsidRPr="009B38AA">
        <w:rPr>
          <w:szCs w:val="26"/>
        </w:rPr>
        <w:t>, as well as</w:t>
      </w:r>
      <w:r w:rsidRPr="009B38AA">
        <w:rPr>
          <w:szCs w:val="26"/>
        </w:rPr>
        <w:t xml:space="preserve"> NGDCs</w:t>
      </w:r>
      <w:r w:rsidR="00BC1192" w:rsidRPr="009B38AA">
        <w:rPr>
          <w:szCs w:val="26"/>
        </w:rPr>
        <w:t>,</w:t>
      </w:r>
      <w:r w:rsidRPr="009B38AA">
        <w:rPr>
          <w:szCs w:val="26"/>
        </w:rPr>
        <w:t xml:space="preserve"> are not included in the Act 129 mandate, the Commission rejects the proposal to expand the current TRM’s applicability to </w:t>
      </w:r>
      <w:r w:rsidR="00BC1192" w:rsidRPr="009B38AA">
        <w:rPr>
          <w:szCs w:val="26"/>
        </w:rPr>
        <w:t>these groups</w:t>
      </w:r>
      <w:r w:rsidR="00DD4A42" w:rsidRPr="009B38AA">
        <w:rPr>
          <w:szCs w:val="26"/>
        </w:rPr>
        <w:t xml:space="preserve"> at this </w:t>
      </w:r>
      <w:proofErr w:type="gramStart"/>
      <w:r w:rsidR="00DD4A42" w:rsidRPr="009B38AA">
        <w:rPr>
          <w:szCs w:val="26"/>
        </w:rPr>
        <w:t>time,</w:t>
      </w:r>
      <w:proofErr w:type="gramEnd"/>
      <w:r w:rsidR="00DD4A42" w:rsidRPr="009B38AA">
        <w:rPr>
          <w:szCs w:val="26"/>
        </w:rPr>
        <w:t xml:space="preserve"> as such an effort would require the expenditure of already limited resources with little or no immediate public benefit</w:t>
      </w:r>
      <w:r w:rsidRPr="009B38AA">
        <w:rPr>
          <w:szCs w:val="26"/>
        </w:rPr>
        <w:t xml:space="preserve">.  </w:t>
      </w:r>
      <w:r w:rsidR="00DD4A42" w:rsidRPr="009B38AA">
        <w:rPr>
          <w:szCs w:val="26"/>
        </w:rPr>
        <w:t xml:space="preserve">It must be noted that, at the moment, the costs associated with the TWG and the development of the TRM are being born by the large EDC electric ratepayers.  </w:t>
      </w:r>
    </w:p>
    <w:p w:rsidR="001E70F1" w:rsidRPr="009B38AA" w:rsidRDefault="001E70F1" w:rsidP="006A32E9">
      <w:pPr>
        <w:ind w:firstLine="720"/>
        <w:rPr>
          <w:szCs w:val="26"/>
        </w:rPr>
      </w:pPr>
    </w:p>
    <w:p w:rsidR="000D3B2C" w:rsidRPr="009B38AA" w:rsidRDefault="00DD4A42" w:rsidP="006A32E9">
      <w:pPr>
        <w:ind w:firstLine="720"/>
        <w:rPr>
          <w:szCs w:val="26"/>
        </w:rPr>
      </w:pPr>
      <w:r w:rsidRPr="009B38AA">
        <w:rPr>
          <w:szCs w:val="26"/>
        </w:rPr>
        <w:t xml:space="preserve">Therefore, until such time that NGDCs or small EDCs develop or are required to develop </w:t>
      </w:r>
      <w:r w:rsidR="007B4F9B" w:rsidRPr="009B38AA">
        <w:rPr>
          <w:szCs w:val="26"/>
        </w:rPr>
        <w:t xml:space="preserve">comprehensive and robust energy (natural gas or electric) efficiency programs, funded by their ratepayers, we will not expand applicability of the TRM or the efforts of the TWG to include specific natural gas efficiency measures, NGDCs nor small EDCs.  </w:t>
      </w:r>
      <w:r w:rsidR="00F445F7" w:rsidRPr="009B38AA">
        <w:rPr>
          <w:szCs w:val="26"/>
        </w:rPr>
        <w:t>The Commission</w:t>
      </w:r>
      <w:r w:rsidR="001E70F1" w:rsidRPr="009B38AA">
        <w:rPr>
          <w:szCs w:val="26"/>
        </w:rPr>
        <w:t>,</w:t>
      </w:r>
      <w:r w:rsidR="007B4F9B" w:rsidRPr="009B38AA">
        <w:rPr>
          <w:szCs w:val="26"/>
        </w:rPr>
        <w:t xml:space="preserve"> however, </w:t>
      </w:r>
      <w:r w:rsidR="00F445F7" w:rsidRPr="009B38AA">
        <w:rPr>
          <w:szCs w:val="26"/>
        </w:rPr>
        <w:t xml:space="preserve">agrees with </w:t>
      </w:r>
      <w:r w:rsidR="000D3B2C" w:rsidRPr="009B38AA">
        <w:rPr>
          <w:szCs w:val="26"/>
        </w:rPr>
        <w:t xml:space="preserve">FirstEnergy </w:t>
      </w:r>
      <w:r w:rsidR="00F445F7" w:rsidRPr="009B38AA">
        <w:rPr>
          <w:szCs w:val="26"/>
        </w:rPr>
        <w:t>that the</w:t>
      </w:r>
      <w:r w:rsidR="000D3B2C" w:rsidRPr="009B38AA">
        <w:rPr>
          <w:szCs w:val="26"/>
        </w:rPr>
        <w:t xml:space="preserve"> TWG is not closed to any party</w:t>
      </w:r>
      <w:r w:rsidR="007B4F9B" w:rsidRPr="009B38AA">
        <w:rPr>
          <w:szCs w:val="26"/>
        </w:rPr>
        <w:t>, to the extent that the focus of their participation is on establishing appropriate and reliable protocols for implementing and measuring the</w:t>
      </w:r>
      <w:r w:rsidR="006A32E9" w:rsidRPr="009B38AA">
        <w:rPr>
          <w:szCs w:val="26"/>
        </w:rPr>
        <w:t xml:space="preserve"> effectiveness of electric </w:t>
      </w:r>
      <w:r w:rsidR="00150B09" w:rsidRPr="009B38AA">
        <w:rPr>
          <w:szCs w:val="26"/>
        </w:rPr>
        <w:t>EE</w:t>
      </w:r>
      <w:r w:rsidR="006A32E9" w:rsidRPr="009B38AA">
        <w:rPr>
          <w:szCs w:val="26"/>
        </w:rPr>
        <w:t xml:space="preserve"> and </w:t>
      </w:r>
      <w:r w:rsidR="00150B09" w:rsidRPr="009B38AA">
        <w:rPr>
          <w:szCs w:val="26"/>
        </w:rPr>
        <w:t>DR</w:t>
      </w:r>
      <w:r w:rsidR="006A32E9" w:rsidRPr="009B38AA">
        <w:rPr>
          <w:szCs w:val="26"/>
        </w:rPr>
        <w:t xml:space="preserve"> programs that relate to approved EDC EE&amp;C plans</w:t>
      </w:r>
      <w:r w:rsidR="000D3B2C" w:rsidRPr="009B38AA">
        <w:rPr>
          <w:szCs w:val="26"/>
        </w:rPr>
        <w:t xml:space="preserve">.  </w:t>
      </w:r>
      <w:r w:rsidR="006A32E9" w:rsidRPr="009B38AA">
        <w:rPr>
          <w:szCs w:val="26"/>
        </w:rPr>
        <w:t xml:space="preserve">Neither the TRM, nor the TWG are the appropriate forum for entities to advocate for, promote or market their products.  </w:t>
      </w:r>
      <w:r w:rsidR="000D3B2C" w:rsidRPr="009B38AA">
        <w:rPr>
          <w:szCs w:val="26"/>
        </w:rPr>
        <w:lastRenderedPageBreak/>
        <w:t>The Act 129 Stakeholder groups</w:t>
      </w:r>
      <w:r w:rsidR="006A32E9" w:rsidRPr="009B38AA">
        <w:rPr>
          <w:szCs w:val="26"/>
        </w:rPr>
        <w:t xml:space="preserve"> and evidentiary hearings</w:t>
      </w:r>
      <w:r w:rsidR="000D3B2C" w:rsidRPr="009B38AA">
        <w:rPr>
          <w:szCs w:val="26"/>
        </w:rPr>
        <w:t xml:space="preserve"> are a more appropriate forum to advocate</w:t>
      </w:r>
      <w:r w:rsidR="006A32E9" w:rsidRPr="009B38AA">
        <w:rPr>
          <w:szCs w:val="26"/>
        </w:rPr>
        <w:t>, promote or market for</w:t>
      </w:r>
      <w:r w:rsidR="000D3B2C" w:rsidRPr="009B38AA">
        <w:rPr>
          <w:szCs w:val="26"/>
        </w:rPr>
        <w:t xml:space="preserve"> the incorporation of new measures</w:t>
      </w:r>
      <w:r w:rsidR="006A32E9" w:rsidRPr="009B38AA">
        <w:rPr>
          <w:szCs w:val="26"/>
        </w:rPr>
        <w:t xml:space="preserve"> or technology</w:t>
      </w:r>
      <w:r w:rsidR="000D3B2C" w:rsidRPr="009B38AA">
        <w:rPr>
          <w:szCs w:val="26"/>
        </w:rPr>
        <w:t xml:space="preserve"> into an EDC’s </w:t>
      </w:r>
      <w:r w:rsidR="00F445F7" w:rsidRPr="009B38AA">
        <w:rPr>
          <w:szCs w:val="26"/>
        </w:rPr>
        <w:t>EE&amp;C</w:t>
      </w:r>
      <w:r w:rsidR="000D3B2C" w:rsidRPr="009B38AA">
        <w:rPr>
          <w:szCs w:val="26"/>
        </w:rPr>
        <w:t xml:space="preserve"> portfolio.</w:t>
      </w:r>
      <w:r w:rsidR="00802A55" w:rsidRPr="009B38AA">
        <w:rPr>
          <w:szCs w:val="26"/>
        </w:rPr>
        <w:t xml:space="preserve"> </w:t>
      </w:r>
    </w:p>
    <w:p w:rsidR="000D3B2C" w:rsidRPr="009B38AA" w:rsidRDefault="000D3B2C" w:rsidP="000D3B2C">
      <w:pPr>
        <w:ind w:firstLine="720"/>
        <w:rPr>
          <w:szCs w:val="26"/>
        </w:rPr>
      </w:pPr>
    </w:p>
    <w:p w:rsidR="000D3B2C" w:rsidRPr="009B38AA" w:rsidRDefault="000D3B2C" w:rsidP="000D3B2C">
      <w:pPr>
        <w:ind w:firstLine="720"/>
        <w:rPr>
          <w:szCs w:val="26"/>
        </w:rPr>
      </w:pPr>
      <w:r w:rsidRPr="009B38AA">
        <w:rPr>
          <w:szCs w:val="26"/>
        </w:rPr>
        <w:t>UGI has suggested that uniform standards for price projections be established and then included in the TRM.  This suggestion was previously addressed by the Commission’s TRC Test order, adopted July 28, 2011.</w:t>
      </w:r>
      <w:r w:rsidR="006A32E9" w:rsidRPr="009B38AA">
        <w:rPr>
          <w:szCs w:val="26"/>
          <w:vertAlign w:val="superscript"/>
        </w:rPr>
        <w:t xml:space="preserve"> </w:t>
      </w:r>
      <w:r w:rsidR="006A32E9" w:rsidRPr="009B38AA">
        <w:rPr>
          <w:szCs w:val="26"/>
          <w:vertAlign w:val="superscript"/>
        </w:rPr>
        <w:footnoteReference w:id="39"/>
      </w:r>
      <w:r w:rsidRPr="009B38AA">
        <w:rPr>
          <w:szCs w:val="26"/>
        </w:rPr>
        <w:t xml:space="preserve">  Specifically, </w:t>
      </w:r>
      <w:r w:rsidR="008470E0" w:rsidRPr="009B38AA">
        <w:rPr>
          <w:szCs w:val="26"/>
        </w:rPr>
        <w:t>we state in that order that</w:t>
      </w:r>
    </w:p>
    <w:p w:rsidR="00AB3D7D" w:rsidRPr="009B38AA" w:rsidRDefault="000D3B2C" w:rsidP="00DD5961">
      <w:pPr>
        <w:spacing w:line="240" w:lineRule="auto"/>
        <w:ind w:left="720" w:right="720"/>
        <w:rPr>
          <w:szCs w:val="26"/>
        </w:rPr>
      </w:pPr>
      <w:r w:rsidRPr="009B38AA">
        <w:rPr>
          <w:szCs w:val="26"/>
        </w:rPr>
        <w:t>PECO, FirstEnergy and PPL point out that the Tentative Order did not provide instruction on how to value the increased fuel costs due to fuel switching.  We will adopt the suggestions of PECO and PPL to define the increased fuel costs as the NYMEX gas costs for the first 10 years and the EIA gas cost projections thereafter.</w:t>
      </w:r>
      <w:r w:rsidR="008470E0" w:rsidRPr="009B38AA">
        <w:rPr>
          <w:rStyle w:val="FootnoteReference"/>
          <w:szCs w:val="26"/>
        </w:rPr>
        <w:footnoteReference w:id="40"/>
      </w:r>
      <w:r w:rsidRPr="009B38AA">
        <w:rPr>
          <w:szCs w:val="26"/>
        </w:rPr>
        <w:t xml:space="preserve"> </w:t>
      </w:r>
    </w:p>
    <w:p w:rsidR="00AB3D7D" w:rsidRPr="009B38AA" w:rsidRDefault="000D3B2C" w:rsidP="00DD5961">
      <w:pPr>
        <w:spacing w:before="240"/>
        <w:rPr>
          <w:szCs w:val="26"/>
        </w:rPr>
      </w:pPr>
      <w:r w:rsidRPr="009B38AA">
        <w:rPr>
          <w:szCs w:val="26"/>
        </w:rPr>
        <w:t xml:space="preserve">Additionally, </w:t>
      </w:r>
      <w:r w:rsidR="008470E0" w:rsidRPr="009B38AA">
        <w:rPr>
          <w:szCs w:val="26"/>
        </w:rPr>
        <w:t xml:space="preserve">this </w:t>
      </w:r>
      <w:r w:rsidRPr="009B38AA">
        <w:rPr>
          <w:szCs w:val="26"/>
        </w:rPr>
        <w:t>TRC Order reaffirmed previously established electric avoided cost projection methodologies.</w:t>
      </w:r>
      <w:r w:rsidR="008470E0" w:rsidRPr="009B38AA">
        <w:rPr>
          <w:rStyle w:val="FootnoteReference"/>
          <w:szCs w:val="26"/>
        </w:rPr>
        <w:footnoteReference w:id="41"/>
      </w:r>
    </w:p>
    <w:p w:rsidR="000D3B2C" w:rsidRPr="009B38AA" w:rsidRDefault="000D3B2C" w:rsidP="000D3B2C">
      <w:pPr>
        <w:ind w:left="720"/>
        <w:rPr>
          <w:szCs w:val="26"/>
        </w:rPr>
      </w:pPr>
    </w:p>
    <w:p w:rsidR="000D3B2C" w:rsidRPr="009B38AA" w:rsidRDefault="000D3B2C" w:rsidP="000D3B2C">
      <w:pPr>
        <w:ind w:firstLine="720"/>
        <w:rPr>
          <w:szCs w:val="26"/>
        </w:rPr>
      </w:pPr>
      <w:r w:rsidRPr="009B38AA">
        <w:rPr>
          <w:szCs w:val="26"/>
        </w:rPr>
        <w:t xml:space="preserve">UGI’s assertion that Act 129 electric to non-electric fuel source reporting requirements are not being adhered to or enforced is incorrect.  The EDCs have reported to the TWG that there </w:t>
      </w:r>
      <w:r w:rsidR="008470E0" w:rsidRPr="009B38AA">
        <w:rPr>
          <w:szCs w:val="26"/>
        </w:rPr>
        <w:t xml:space="preserve">have </w:t>
      </w:r>
      <w:r w:rsidRPr="009B38AA">
        <w:rPr>
          <w:szCs w:val="26"/>
        </w:rPr>
        <w:t>been no such switching and therefore</w:t>
      </w:r>
      <w:r w:rsidR="00B310F2" w:rsidRPr="009B38AA">
        <w:rPr>
          <w:szCs w:val="26"/>
        </w:rPr>
        <w:t>,</w:t>
      </w:r>
      <w:r w:rsidRPr="009B38AA">
        <w:rPr>
          <w:szCs w:val="26"/>
        </w:rPr>
        <w:t xml:space="preserve"> there is nothing to report.  However, </w:t>
      </w:r>
      <w:r w:rsidR="00C55F2E" w:rsidRPr="009B38AA">
        <w:rPr>
          <w:szCs w:val="26"/>
        </w:rPr>
        <w:t>the Commission</w:t>
      </w:r>
      <w:r w:rsidRPr="009B38AA">
        <w:rPr>
          <w:szCs w:val="26"/>
        </w:rPr>
        <w:t xml:space="preserve"> understand</w:t>
      </w:r>
      <w:r w:rsidR="00C55F2E" w:rsidRPr="009B38AA">
        <w:rPr>
          <w:szCs w:val="26"/>
        </w:rPr>
        <w:t>s</w:t>
      </w:r>
      <w:r w:rsidRPr="009B38AA">
        <w:rPr>
          <w:szCs w:val="26"/>
        </w:rPr>
        <w:t xml:space="preserve"> and agree</w:t>
      </w:r>
      <w:r w:rsidR="00C55F2E" w:rsidRPr="009B38AA">
        <w:rPr>
          <w:szCs w:val="26"/>
        </w:rPr>
        <w:t>s</w:t>
      </w:r>
      <w:r w:rsidRPr="009B38AA">
        <w:rPr>
          <w:szCs w:val="26"/>
        </w:rPr>
        <w:t xml:space="preserve"> with UGI’s request to have the amount of switching in writing, even if the answer is that no such switching has occurred.  Therefore, the Commission directs the EDCs to report this information in their annual reports beginning with their</w:t>
      </w:r>
      <w:r w:rsidR="00C55F2E" w:rsidRPr="009B38AA">
        <w:rPr>
          <w:szCs w:val="26"/>
        </w:rPr>
        <w:t xml:space="preserve"> program year three (June 1, 2011 – May 30, 2012)</w:t>
      </w:r>
      <w:r w:rsidRPr="009B38AA">
        <w:rPr>
          <w:szCs w:val="26"/>
        </w:rPr>
        <w:t xml:space="preserve"> preliminary annual reports due July 15, 2012.</w:t>
      </w:r>
    </w:p>
    <w:p w:rsidR="007B592F" w:rsidRDefault="007B592F" w:rsidP="007B592F">
      <w:pPr>
        <w:pStyle w:val="p3"/>
        <w:tabs>
          <w:tab w:val="clear" w:pos="204"/>
          <w:tab w:val="left" w:pos="0"/>
          <w:tab w:val="left" w:pos="720"/>
        </w:tabs>
        <w:rPr>
          <w:b/>
          <w:szCs w:val="26"/>
        </w:rPr>
      </w:pPr>
    </w:p>
    <w:p w:rsidR="00940A6F" w:rsidRPr="009B38AA" w:rsidRDefault="00940A6F" w:rsidP="007B592F">
      <w:pPr>
        <w:pStyle w:val="p3"/>
        <w:tabs>
          <w:tab w:val="clear" w:pos="204"/>
          <w:tab w:val="left" w:pos="0"/>
          <w:tab w:val="left" w:pos="720"/>
        </w:tabs>
        <w:rPr>
          <w:b/>
          <w:szCs w:val="26"/>
        </w:rPr>
      </w:pPr>
    </w:p>
    <w:p w:rsidR="007B592F" w:rsidRPr="009B38AA" w:rsidRDefault="007B592F" w:rsidP="00EB1FAC">
      <w:pPr>
        <w:pStyle w:val="Heading2"/>
      </w:pPr>
      <w:r w:rsidRPr="009B38AA">
        <w:lastRenderedPageBreak/>
        <w:t>Use of Residential Protocols in Commercially Metered Spaces</w:t>
      </w:r>
    </w:p>
    <w:p w:rsidR="009A6E7A" w:rsidRPr="009B38AA" w:rsidRDefault="009A6E7A" w:rsidP="003D6DDC">
      <w:pPr>
        <w:rPr>
          <w:szCs w:val="26"/>
        </w:rPr>
      </w:pPr>
    </w:p>
    <w:p w:rsidR="003D6DDC" w:rsidRPr="009B38AA" w:rsidRDefault="00EA50ED" w:rsidP="00EA50ED">
      <w:pPr>
        <w:ind w:firstLine="720"/>
        <w:rPr>
          <w:szCs w:val="26"/>
        </w:rPr>
      </w:pPr>
      <w:r w:rsidRPr="009B38AA">
        <w:rPr>
          <w:szCs w:val="26"/>
        </w:rPr>
        <w:t>Protocols in the residential sect</w:t>
      </w:r>
      <w:r w:rsidR="007D42CB" w:rsidRPr="009B38AA">
        <w:rPr>
          <w:szCs w:val="26"/>
        </w:rPr>
        <w:t>or</w:t>
      </w:r>
      <w:r w:rsidRPr="009B38AA">
        <w:rPr>
          <w:szCs w:val="26"/>
        </w:rPr>
        <w:t xml:space="preserve"> quantify savings for measures typically found in residential areas under residential meters.  Likewise, protocols in the C&amp;I sect</w:t>
      </w:r>
      <w:r w:rsidR="007D42CB" w:rsidRPr="009B38AA">
        <w:rPr>
          <w:szCs w:val="26"/>
        </w:rPr>
        <w:t>or</w:t>
      </w:r>
      <w:r w:rsidRPr="009B38AA">
        <w:rPr>
          <w:szCs w:val="26"/>
        </w:rPr>
        <w:t xml:space="preserve"> quantify savings for measures typically found in C&amp;I areas under C&amp;I meters.  However, </w:t>
      </w:r>
      <w:r w:rsidR="0084371F" w:rsidRPr="009B38AA">
        <w:rPr>
          <w:szCs w:val="26"/>
        </w:rPr>
        <w:t xml:space="preserve">there is some overlap where measure type, usage and the sector do not match. </w:t>
      </w:r>
      <w:r w:rsidR="007D42CB" w:rsidRPr="009B38AA">
        <w:rPr>
          <w:szCs w:val="26"/>
        </w:rPr>
        <w:t xml:space="preserve"> </w:t>
      </w:r>
      <w:r w:rsidR="0084371F" w:rsidRPr="009B38AA">
        <w:rPr>
          <w:szCs w:val="26"/>
        </w:rPr>
        <w:t>Therefore</w:t>
      </w:r>
      <w:r w:rsidR="006A7018" w:rsidRPr="009B38AA">
        <w:rPr>
          <w:szCs w:val="26"/>
        </w:rPr>
        <w:t xml:space="preserve">, in </w:t>
      </w:r>
      <w:r w:rsidR="00A35064" w:rsidRPr="009B38AA">
        <w:rPr>
          <w:szCs w:val="26"/>
        </w:rPr>
        <w:t xml:space="preserve">the </w:t>
      </w:r>
      <w:r w:rsidR="00B31134" w:rsidRPr="009B38AA">
        <w:rPr>
          <w:i/>
          <w:szCs w:val="26"/>
        </w:rPr>
        <w:t>Tentative Order</w:t>
      </w:r>
      <w:r w:rsidR="006A7018" w:rsidRPr="009B38AA">
        <w:rPr>
          <w:szCs w:val="26"/>
        </w:rPr>
        <w:t xml:space="preserve">, </w:t>
      </w:r>
      <w:r w:rsidR="00A35064" w:rsidRPr="009B38AA">
        <w:rPr>
          <w:szCs w:val="26"/>
        </w:rPr>
        <w:t>we</w:t>
      </w:r>
      <w:r w:rsidR="006A7018" w:rsidRPr="009B38AA">
        <w:rPr>
          <w:szCs w:val="26"/>
        </w:rPr>
        <w:t xml:space="preserve"> proposed that EDCs use protocols from the residential or C&amp;I sectors according to usage characteristics rather than the sector under which the account is metered.  </w:t>
      </w:r>
    </w:p>
    <w:p w:rsidR="00EA50ED" w:rsidRPr="009B38AA" w:rsidRDefault="00EA50ED" w:rsidP="003D6DDC">
      <w:pPr>
        <w:rPr>
          <w:szCs w:val="26"/>
        </w:rPr>
      </w:pPr>
    </w:p>
    <w:p w:rsidR="009A6E7A" w:rsidRPr="009B38AA" w:rsidRDefault="009A6E7A" w:rsidP="007D42CB">
      <w:pPr>
        <w:pStyle w:val="Heading3"/>
        <w:rPr>
          <w:rFonts w:cs="Times New Roman"/>
        </w:rPr>
      </w:pPr>
      <w:r w:rsidRPr="009B38AA">
        <w:rPr>
          <w:rFonts w:cs="Times New Roman"/>
        </w:rPr>
        <w:t>Comments</w:t>
      </w:r>
    </w:p>
    <w:p w:rsidR="009A6E7A" w:rsidRPr="009B38AA" w:rsidRDefault="009A6E7A" w:rsidP="00EA50ED">
      <w:pPr>
        <w:rPr>
          <w:szCs w:val="26"/>
        </w:rPr>
      </w:pPr>
    </w:p>
    <w:p w:rsidR="009A6E7A" w:rsidRDefault="00EA50ED" w:rsidP="0084371F">
      <w:pPr>
        <w:ind w:firstLine="720"/>
        <w:rPr>
          <w:szCs w:val="26"/>
        </w:rPr>
      </w:pPr>
      <w:r w:rsidRPr="009B38AA">
        <w:rPr>
          <w:szCs w:val="26"/>
        </w:rPr>
        <w:t xml:space="preserve">PPL </w:t>
      </w:r>
      <w:r w:rsidR="00A35064" w:rsidRPr="009B38AA">
        <w:rPr>
          <w:szCs w:val="26"/>
        </w:rPr>
        <w:t xml:space="preserve">agrees </w:t>
      </w:r>
      <w:r w:rsidRPr="009B38AA">
        <w:rPr>
          <w:szCs w:val="26"/>
        </w:rPr>
        <w:t>that EDCs should use measures from the residential or C&amp;</w:t>
      </w:r>
      <w:r w:rsidR="007D42CB" w:rsidRPr="009B38AA">
        <w:rPr>
          <w:szCs w:val="26"/>
        </w:rPr>
        <w:t>I</w:t>
      </w:r>
      <w:r w:rsidRPr="009B38AA">
        <w:rPr>
          <w:szCs w:val="26"/>
        </w:rPr>
        <w:t xml:space="preserve"> section according to usage characteristics, rather than the sector under which the account is metered</w:t>
      </w:r>
      <w:r w:rsidR="007D42CB" w:rsidRPr="009B38AA">
        <w:rPr>
          <w:szCs w:val="26"/>
        </w:rPr>
        <w:t>,</w:t>
      </w:r>
      <w:r w:rsidRPr="009B38AA">
        <w:rPr>
          <w:szCs w:val="26"/>
        </w:rPr>
        <w:t xml:space="preserve"> </w:t>
      </w:r>
      <w:r w:rsidR="00A35064" w:rsidRPr="009B38AA">
        <w:rPr>
          <w:szCs w:val="26"/>
        </w:rPr>
        <w:t xml:space="preserve">asserting </w:t>
      </w:r>
      <w:r w:rsidRPr="009B38AA">
        <w:rPr>
          <w:szCs w:val="26"/>
        </w:rPr>
        <w:t xml:space="preserve">that such clarification will result in </w:t>
      </w:r>
      <w:r w:rsidR="006565C5" w:rsidRPr="009B38AA">
        <w:rPr>
          <w:szCs w:val="26"/>
        </w:rPr>
        <w:t>simplif</w:t>
      </w:r>
      <w:r w:rsidRPr="009B38AA">
        <w:rPr>
          <w:szCs w:val="26"/>
        </w:rPr>
        <w:t xml:space="preserve">ied implementation and encourage customer participation. </w:t>
      </w:r>
      <w:r w:rsidR="007D42CB" w:rsidRPr="009B38AA">
        <w:rPr>
          <w:szCs w:val="26"/>
        </w:rPr>
        <w:t xml:space="preserve"> </w:t>
      </w:r>
      <w:r w:rsidR="0084371F" w:rsidRPr="009B38AA">
        <w:rPr>
          <w:szCs w:val="26"/>
        </w:rPr>
        <w:t xml:space="preserve">In addition, PPL </w:t>
      </w:r>
      <w:r w:rsidR="00A35064" w:rsidRPr="009B38AA">
        <w:rPr>
          <w:szCs w:val="26"/>
        </w:rPr>
        <w:t xml:space="preserve">proposes </w:t>
      </w:r>
      <w:r w:rsidR="0084371F" w:rsidRPr="009B38AA">
        <w:rPr>
          <w:szCs w:val="26"/>
        </w:rPr>
        <w:t>that this discussion be moved and labeled separately under a subsection of Section</w:t>
      </w:r>
      <w:r w:rsidR="007D42CB" w:rsidRPr="009B38AA">
        <w:rPr>
          <w:szCs w:val="26"/>
        </w:rPr>
        <w:t xml:space="preserve"> 1</w:t>
      </w:r>
      <w:r w:rsidR="0084371F" w:rsidRPr="009B38AA">
        <w:rPr>
          <w:szCs w:val="26"/>
        </w:rPr>
        <w:t xml:space="preserve"> to ensure that the use of residential measures for commercially metered spaces is fully described and identifiable in the 201</w:t>
      </w:r>
      <w:r w:rsidR="007D42CB" w:rsidRPr="009B38AA">
        <w:rPr>
          <w:szCs w:val="26"/>
        </w:rPr>
        <w:t xml:space="preserve">2 TRM. </w:t>
      </w:r>
      <w:r w:rsidR="00A35064" w:rsidRPr="009B38AA">
        <w:rPr>
          <w:szCs w:val="26"/>
        </w:rPr>
        <w:t xml:space="preserve"> </w:t>
      </w:r>
      <w:proofErr w:type="gramStart"/>
      <w:r w:rsidR="007D42CB" w:rsidRPr="009B38AA">
        <w:rPr>
          <w:szCs w:val="26"/>
        </w:rPr>
        <w:t>PPL Comments at 13</w:t>
      </w:r>
      <w:r w:rsidR="00A35064" w:rsidRPr="009B38AA">
        <w:rPr>
          <w:szCs w:val="26"/>
        </w:rPr>
        <w:t xml:space="preserve"> and </w:t>
      </w:r>
      <w:r w:rsidR="007D42CB" w:rsidRPr="009B38AA">
        <w:rPr>
          <w:szCs w:val="26"/>
        </w:rPr>
        <w:t>14</w:t>
      </w:r>
      <w:r w:rsidR="00A35064" w:rsidRPr="009B38AA">
        <w:rPr>
          <w:szCs w:val="26"/>
        </w:rPr>
        <w:t>.</w:t>
      </w:r>
      <w:proofErr w:type="gramEnd"/>
    </w:p>
    <w:p w:rsidR="00940A6F" w:rsidRPr="009B38AA" w:rsidRDefault="00940A6F" w:rsidP="0084371F">
      <w:pPr>
        <w:ind w:firstLine="720"/>
        <w:rPr>
          <w:szCs w:val="26"/>
        </w:rPr>
      </w:pPr>
    </w:p>
    <w:p w:rsidR="009A6E7A" w:rsidRPr="009B38AA" w:rsidRDefault="009A6E7A" w:rsidP="007D42CB">
      <w:pPr>
        <w:pStyle w:val="Heading3"/>
        <w:rPr>
          <w:rFonts w:cs="Times New Roman"/>
        </w:rPr>
      </w:pPr>
      <w:r w:rsidRPr="009B38AA">
        <w:rPr>
          <w:rFonts w:cs="Times New Roman"/>
        </w:rPr>
        <w:t>Disposition</w:t>
      </w:r>
    </w:p>
    <w:p w:rsidR="0084371F" w:rsidRPr="009B38AA" w:rsidRDefault="0084371F" w:rsidP="0084371F">
      <w:pPr>
        <w:rPr>
          <w:szCs w:val="26"/>
        </w:rPr>
      </w:pPr>
    </w:p>
    <w:p w:rsidR="0084371F" w:rsidRPr="009B38AA" w:rsidRDefault="0084371F" w:rsidP="0084371F">
      <w:pPr>
        <w:ind w:firstLine="720"/>
        <w:rPr>
          <w:szCs w:val="26"/>
        </w:rPr>
      </w:pPr>
      <w:r w:rsidRPr="009B38AA">
        <w:rPr>
          <w:szCs w:val="26"/>
        </w:rPr>
        <w:t xml:space="preserve">The Commission adopts the proposed language that specifies the appropriate protocol to use relative to usage characteristics. </w:t>
      </w:r>
      <w:r w:rsidR="007D42CB" w:rsidRPr="009B38AA">
        <w:rPr>
          <w:szCs w:val="26"/>
        </w:rPr>
        <w:t xml:space="preserve"> </w:t>
      </w:r>
      <w:r w:rsidRPr="009B38AA">
        <w:rPr>
          <w:szCs w:val="26"/>
        </w:rPr>
        <w:t xml:space="preserve">In addition, this section has been relabeled under </w:t>
      </w:r>
      <w:r w:rsidR="003E49AA" w:rsidRPr="009B38AA">
        <w:rPr>
          <w:szCs w:val="26"/>
        </w:rPr>
        <w:t>S</w:t>
      </w:r>
      <w:r w:rsidR="004D71BF" w:rsidRPr="009B38AA">
        <w:rPr>
          <w:szCs w:val="26"/>
        </w:rPr>
        <w:t xml:space="preserve">ection 1.17: </w:t>
      </w:r>
      <w:r w:rsidR="007B4680" w:rsidRPr="009B38AA">
        <w:rPr>
          <w:szCs w:val="26"/>
        </w:rPr>
        <w:t>Measure Applicability Based on Sector</w:t>
      </w:r>
      <w:r w:rsidRPr="009B38AA">
        <w:rPr>
          <w:szCs w:val="26"/>
        </w:rPr>
        <w:t>, per PPL’s recommendation.</w:t>
      </w:r>
      <w:r w:rsidR="003E49AA" w:rsidRPr="009B38AA">
        <w:rPr>
          <w:szCs w:val="26"/>
        </w:rPr>
        <w:t xml:space="preserve"> </w:t>
      </w:r>
      <w:r w:rsidR="004D71BF" w:rsidRPr="009B38AA">
        <w:rPr>
          <w:szCs w:val="26"/>
        </w:rPr>
        <w:t xml:space="preserve"> </w:t>
      </w:r>
      <w:r w:rsidR="003E49AA" w:rsidRPr="009B38AA">
        <w:rPr>
          <w:szCs w:val="26"/>
        </w:rPr>
        <w:t xml:space="preserve">The previous Section 1.17: Algorithms for Energy Efficient Measures has been </w:t>
      </w:r>
      <w:r w:rsidR="00A35064" w:rsidRPr="009B38AA">
        <w:rPr>
          <w:szCs w:val="26"/>
        </w:rPr>
        <w:t>renumbered</w:t>
      </w:r>
      <w:r w:rsidR="003E49AA" w:rsidRPr="009B38AA">
        <w:rPr>
          <w:szCs w:val="26"/>
        </w:rPr>
        <w:t xml:space="preserve"> Section 1.18.</w:t>
      </w:r>
    </w:p>
    <w:p w:rsidR="0084371F" w:rsidRPr="009B38AA" w:rsidRDefault="0084371F" w:rsidP="00686921">
      <w:pPr>
        <w:rPr>
          <w:szCs w:val="26"/>
        </w:rPr>
      </w:pPr>
    </w:p>
    <w:p w:rsidR="007B592F" w:rsidRPr="009B38AA" w:rsidRDefault="007B592F" w:rsidP="00940A6F">
      <w:pPr>
        <w:pStyle w:val="Heading1"/>
        <w:spacing w:line="240" w:lineRule="auto"/>
      </w:pPr>
      <w:r w:rsidRPr="009B38AA">
        <w:lastRenderedPageBreak/>
        <w:t>Improvements to Existing Residential EE&amp;C Measure Protocols and Processes</w:t>
      </w:r>
    </w:p>
    <w:p w:rsidR="007B592F" w:rsidRPr="009B38AA" w:rsidRDefault="007B592F" w:rsidP="007B592F">
      <w:pPr>
        <w:pStyle w:val="p3"/>
        <w:tabs>
          <w:tab w:val="clear" w:pos="204"/>
          <w:tab w:val="left" w:pos="720"/>
        </w:tabs>
        <w:ind w:left="360"/>
        <w:rPr>
          <w:szCs w:val="26"/>
        </w:rPr>
      </w:pPr>
    </w:p>
    <w:p w:rsidR="007B592F" w:rsidRPr="009B38AA" w:rsidRDefault="007B592F" w:rsidP="007B592F">
      <w:pPr>
        <w:pStyle w:val="p3"/>
        <w:tabs>
          <w:tab w:val="clear" w:pos="204"/>
          <w:tab w:val="left" w:pos="720"/>
        </w:tabs>
        <w:ind w:left="360"/>
        <w:rPr>
          <w:szCs w:val="26"/>
        </w:rPr>
      </w:pPr>
      <w:r w:rsidRPr="009B38AA">
        <w:rPr>
          <w:szCs w:val="26"/>
        </w:rPr>
        <w:tab/>
        <w:t>The following sections describe clarifications and modifica</w:t>
      </w:r>
      <w:r w:rsidR="007D42CB" w:rsidRPr="009B38AA">
        <w:rPr>
          <w:szCs w:val="26"/>
        </w:rPr>
        <w:t>tions to Residential prot</w:t>
      </w:r>
      <w:r w:rsidR="00B310F2" w:rsidRPr="009B38AA">
        <w:rPr>
          <w:szCs w:val="26"/>
        </w:rPr>
        <w:t>ocols:</w:t>
      </w:r>
    </w:p>
    <w:p w:rsidR="00963D7E" w:rsidRPr="009B38AA" w:rsidRDefault="00963D7E" w:rsidP="007B592F">
      <w:pPr>
        <w:pStyle w:val="p3"/>
        <w:tabs>
          <w:tab w:val="clear" w:pos="204"/>
          <w:tab w:val="left" w:pos="720"/>
        </w:tabs>
        <w:ind w:left="360"/>
        <w:rPr>
          <w:szCs w:val="26"/>
        </w:rPr>
      </w:pPr>
    </w:p>
    <w:p w:rsidR="007B592F" w:rsidRPr="009B38AA" w:rsidRDefault="007B592F" w:rsidP="00EB1FAC">
      <w:pPr>
        <w:pStyle w:val="Heading2"/>
      </w:pPr>
      <w:r w:rsidRPr="009B38AA">
        <w:t>Clarification of Electric HVAC Protocols</w:t>
      </w:r>
    </w:p>
    <w:p w:rsidR="007B592F" w:rsidRPr="009B38AA" w:rsidRDefault="007B592F" w:rsidP="004D71BF">
      <w:pPr>
        <w:rPr>
          <w:szCs w:val="26"/>
        </w:rPr>
      </w:pPr>
    </w:p>
    <w:p w:rsidR="003E49AA" w:rsidRPr="009B38AA" w:rsidRDefault="003E49AA" w:rsidP="004D71BF">
      <w:pPr>
        <w:ind w:firstLine="720"/>
        <w:rPr>
          <w:szCs w:val="26"/>
        </w:rPr>
      </w:pPr>
      <w:r w:rsidRPr="009B38AA">
        <w:rPr>
          <w:szCs w:val="26"/>
        </w:rPr>
        <w:t xml:space="preserve">This section relates to the residential electric HVAC protocols contained in Section 2.1 of the 2012 TRM. </w:t>
      </w:r>
      <w:r w:rsidR="004D71BF" w:rsidRPr="009B38AA">
        <w:rPr>
          <w:szCs w:val="26"/>
        </w:rPr>
        <w:t xml:space="preserve"> </w:t>
      </w:r>
      <w:r w:rsidRPr="009B38AA">
        <w:rPr>
          <w:szCs w:val="26"/>
        </w:rPr>
        <w:t xml:space="preserve">These protocols contain savings algorithms for a variety of HVAC measures, such as air conditioners, heat pumps, and ground source heat pumps. </w:t>
      </w:r>
    </w:p>
    <w:p w:rsidR="003E49AA" w:rsidRPr="009B38AA" w:rsidRDefault="003E49AA" w:rsidP="007B592F">
      <w:pPr>
        <w:pStyle w:val="p3"/>
        <w:tabs>
          <w:tab w:val="clear" w:pos="204"/>
          <w:tab w:val="left" w:pos="720"/>
        </w:tabs>
        <w:ind w:left="1440"/>
        <w:rPr>
          <w:b/>
          <w:szCs w:val="26"/>
        </w:rPr>
      </w:pPr>
    </w:p>
    <w:p w:rsidR="007B592F" w:rsidRPr="009B38AA" w:rsidRDefault="007B592F" w:rsidP="00EB1FAC">
      <w:pPr>
        <w:pStyle w:val="Heading3"/>
        <w:rPr>
          <w:rFonts w:cs="Times New Roman"/>
        </w:rPr>
      </w:pPr>
      <w:r w:rsidRPr="009B38AA">
        <w:rPr>
          <w:rFonts w:cs="Times New Roman"/>
        </w:rPr>
        <w:t>Heating Savings for Heat Pumps</w:t>
      </w:r>
    </w:p>
    <w:p w:rsidR="00F416D0" w:rsidRPr="009B38AA" w:rsidRDefault="00F416D0" w:rsidP="00F416D0">
      <w:pPr>
        <w:pStyle w:val="p3"/>
        <w:tabs>
          <w:tab w:val="clear" w:pos="204"/>
          <w:tab w:val="left" w:pos="0"/>
          <w:tab w:val="left" w:pos="720"/>
        </w:tabs>
        <w:rPr>
          <w:szCs w:val="26"/>
        </w:rPr>
      </w:pPr>
    </w:p>
    <w:p w:rsidR="00F416D0" w:rsidRPr="009B38AA" w:rsidRDefault="00F416D0" w:rsidP="00F416D0">
      <w:pPr>
        <w:pStyle w:val="p3"/>
        <w:tabs>
          <w:tab w:val="clear" w:pos="204"/>
          <w:tab w:val="left" w:pos="0"/>
          <w:tab w:val="left" w:pos="720"/>
        </w:tabs>
        <w:rPr>
          <w:szCs w:val="26"/>
        </w:rPr>
      </w:pPr>
      <w:r w:rsidRPr="009B38AA">
        <w:rPr>
          <w:szCs w:val="26"/>
        </w:rPr>
        <w:tab/>
        <w:t>The method for determining residential high-efficiency cooling</w:t>
      </w:r>
      <w:r w:rsidR="00A35064" w:rsidRPr="009B38AA">
        <w:rPr>
          <w:szCs w:val="26"/>
        </w:rPr>
        <w:t xml:space="preserve"> and </w:t>
      </w:r>
      <w:r w:rsidRPr="009B38AA">
        <w:rPr>
          <w:szCs w:val="26"/>
        </w:rPr>
        <w:t>heating equipment energy impact savings is based on algorithms that determine a heat pump’s cooling</w:t>
      </w:r>
      <w:r w:rsidR="00A35064" w:rsidRPr="009B38AA">
        <w:rPr>
          <w:szCs w:val="26"/>
        </w:rPr>
        <w:t xml:space="preserve"> and </w:t>
      </w:r>
      <w:r w:rsidRPr="009B38AA">
        <w:rPr>
          <w:szCs w:val="26"/>
        </w:rPr>
        <w:t xml:space="preserve">heating energy use and peak demand contribution.  Included in this protocol are algorithms for measures that provide services to maintain, service or tune-up air source heat pump (“ASHP”) units and measures that improve duct systems by reducing air leakage.  Whereas the </w:t>
      </w:r>
      <w:r w:rsidR="00E23858" w:rsidRPr="009B38AA">
        <w:rPr>
          <w:szCs w:val="26"/>
        </w:rPr>
        <w:t>2011</w:t>
      </w:r>
      <w:r w:rsidRPr="009B38AA">
        <w:rPr>
          <w:szCs w:val="26"/>
        </w:rPr>
        <w:t xml:space="preserve"> TRM only accounted for the cooling energy savings from maintenance and duct sealing, the proposed protocol </w:t>
      </w:r>
      <w:r w:rsidR="006A7018" w:rsidRPr="009B38AA">
        <w:rPr>
          <w:szCs w:val="26"/>
        </w:rPr>
        <w:t xml:space="preserve">for the 2012 TRM </w:t>
      </w:r>
      <w:r w:rsidRPr="009B38AA">
        <w:rPr>
          <w:szCs w:val="26"/>
        </w:rPr>
        <w:t>includes additional algorithms that account for the heating savings that result from implementing these measures.</w:t>
      </w:r>
    </w:p>
    <w:p w:rsidR="00F416D0" w:rsidRPr="009B38AA" w:rsidRDefault="00F416D0" w:rsidP="00F416D0">
      <w:pPr>
        <w:pStyle w:val="p3"/>
        <w:tabs>
          <w:tab w:val="clear" w:pos="204"/>
          <w:tab w:val="left" w:pos="0"/>
          <w:tab w:val="left" w:pos="720"/>
        </w:tabs>
        <w:rPr>
          <w:szCs w:val="26"/>
        </w:rPr>
      </w:pPr>
    </w:p>
    <w:p w:rsidR="009A6E7A" w:rsidRPr="009B38AA" w:rsidRDefault="009A6E7A" w:rsidP="00EB1FAC">
      <w:pPr>
        <w:pStyle w:val="Heading4"/>
        <w:rPr>
          <w:szCs w:val="26"/>
        </w:rPr>
      </w:pPr>
      <w:r w:rsidRPr="009B38AA">
        <w:rPr>
          <w:szCs w:val="26"/>
        </w:rPr>
        <w:t>Comments</w:t>
      </w:r>
    </w:p>
    <w:p w:rsidR="009A6E7A" w:rsidRPr="009B38AA" w:rsidRDefault="009A6E7A" w:rsidP="00F416D0">
      <w:pPr>
        <w:rPr>
          <w:szCs w:val="26"/>
        </w:rPr>
      </w:pPr>
    </w:p>
    <w:p w:rsidR="00F416D0" w:rsidRPr="009B38AA" w:rsidRDefault="00F416D0" w:rsidP="00F416D0">
      <w:pPr>
        <w:pStyle w:val="p3"/>
        <w:tabs>
          <w:tab w:val="clear" w:pos="204"/>
          <w:tab w:val="left" w:pos="0"/>
          <w:tab w:val="left" w:pos="720"/>
        </w:tabs>
        <w:rPr>
          <w:szCs w:val="26"/>
        </w:rPr>
      </w:pPr>
      <w:r w:rsidRPr="009B38AA">
        <w:rPr>
          <w:szCs w:val="26"/>
        </w:rPr>
        <w:tab/>
        <w:t xml:space="preserve">PPL </w:t>
      </w:r>
      <w:r w:rsidR="00A35064" w:rsidRPr="009B38AA">
        <w:rPr>
          <w:szCs w:val="26"/>
        </w:rPr>
        <w:t xml:space="preserve">agrees </w:t>
      </w:r>
      <w:r w:rsidRPr="009B38AA">
        <w:rPr>
          <w:szCs w:val="26"/>
        </w:rPr>
        <w:t>with the changes to account for heating savings from the installation of high</w:t>
      </w:r>
      <w:r w:rsidR="00B310F2" w:rsidRPr="009B38AA">
        <w:rPr>
          <w:szCs w:val="26"/>
        </w:rPr>
        <w:t>-</w:t>
      </w:r>
      <w:r w:rsidRPr="009B38AA">
        <w:rPr>
          <w:szCs w:val="26"/>
        </w:rPr>
        <w:t xml:space="preserve">efficiency heat pumps. </w:t>
      </w:r>
      <w:r w:rsidR="00A35064" w:rsidRPr="009B38AA">
        <w:rPr>
          <w:szCs w:val="26"/>
        </w:rPr>
        <w:t xml:space="preserve"> </w:t>
      </w:r>
      <w:r w:rsidRPr="009B38AA">
        <w:rPr>
          <w:szCs w:val="26"/>
        </w:rPr>
        <w:t xml:space="preserve">PPL also </w:t>
      </w:r>
      <w:r w:rsidR="00A35064" w:rsidRPr="009B38AA">
        <w:rPr>
          <w:szCs w:val="26"/>
        </w:rPr>
        <w:t xml:space="preserve">notes </w:t>
      </w:r>
      <w:r w:rsidRPr="009B38AA">
        <w:rPr>
          <w:szCs w:val="26"/>
        </w:rPr>
        <w:t xml:space="preserve">that the change to incorporate heating savings applies only to maintenance and duct sealing. </w:t>
      </w:r>
      <w:r w:rsidR="00A35064" w:rsidRPr="009B38AA">
        <w:rPr>
          <w:szCs w:val="26"/>
        </w:rPr>
        <w:t xml:space="preserve"> </w:t>
      </w:r>
      <w:proofErr w:type="gramStart"/>
      <w:r w:rsidRPr="009B38AA">
        <w:rPr>
          <w:szCs w:val="26"/>
        </w:rPr>
        <w:t>PPL Comments at 14</w:t>
      </w:r>
      <w:r w:rsidR="00A35064" w:rsidRPr="009B38AA">
        <w:rPr>
          <w:szCs w:val="26"/>
        </w:rPr>
        <w:t>.</w:t>
      </w:r>
      <w:proofErr w:type="gramEnd"/>
    </w:p>
    <w:p w:rsidR="009A6E7A" w:rsidRPr="009B38AA" w:rsidRDefault="009A6E7A" w:rsidP="00EB1FAC">
      <w:pPr>
        <w:pStyle w:val="Heading4"/>
        <w:rPr>
          <w:szCs w:val="26"/>
        </w:rPr>
      </w:pPr>
      <w:r w:rsidRPr="009B38AA">
        <w:rPr>
          <w:szCs w:val="26"/>
        </w:rPr>
        <w:lastRenderedPageBreak/>
        <w:t>Disposition</w:t>
      </w:r>
    </w:p>
    <w:p w:rsidR="00F416D0" w:rsidRPr="009B38AA" w:rsidRDefault="00F416D0" w:rsidP="00F416D0">
      <w:pPr>
        <w:pStyle w:val="p3"/>
        <w:tabs>
          <w:tab w:val="clear" w:pos="204"/>
          <w:tab w:val="left" w:pos="0"/>
          <w:tab w:val="left" w:pos="720"/>
        </w:tabs>
        <w:rPr>
          <w:szCs w:val="26"/>
        </w:rPr>
      </w:pPr>
    </w:p>
    <w:p w:rsidR="00F416D0" w:rsidRPr="009B38AA" w:rsidRDefault="00F416D0" w:rsidP="00F416D0">
      <w:pPr>
        <w:pStyle w:val="p3"/>
        <w:tabs>
          <w:tab w:val="clear" w:pos="204"/>
          <w:tab w:val="left" w:pos="0"/>
          <w:tab w:val="left" w:pos="720"/>
        </w:tabs>
        <w:rPr>
          <w:szCs w:val="26"/>
        </w:rPr>
      </w:pPr>
      <w:r w:rsidRPr="009B38AA">
        <w:rPr>
          <w:szCs w:val="26"/>
        </w:rPr>
        <w:tab/>
        <w:t xml:space="preserve">The Commission adopts </w:t>
      </w:r>
      <w:r w:rsidR="00ED3213" w:rsidRPr="009B38AA">
        <w:rPr>
          <w:szCs w:val="26"/>
        </w:rPr>
        <w:t>the</w:t>
      </w:r>
      <w:r w:rsidRPr="009B38AA">
        <w:rPr>
          <w:szCs w:val="26"/>
        </w:rPr>
        <w:t xml:space="preserve"> changes to the protocol</w:t>
      </w:r>
      <w:r w:rsidR="0096400B" w:rsidRPr="009B38AA">
        <w:rPr>
          <w:szCs w:val="26"/>
        </w:rPr>
        <w:t xml:space="preserve"> related to heating savings for heat pumps</w:t>
      </w:r>
      <w:r w:rsidRPr="009B38AA">
        <w:rPr>
          <w:szCs w:val="26"/>
        </w:rPr>
        <w:t>.</w:t>
      </w:r>
      <w:r w:rsidR="00A35064" w:rsidRPr="009B38AA">
        <w:rPr>
          <w:szCs w:val="26"/>
        </w:rPr>
        <w:t xml:space="preserve">  </w:t>
      </w:r>
      <w:proofErr w:type="gramStart"/>
      <w:r w:rsidR="005D5EF7" w:rsidRPr="009B38AA">
        <w:rPr>
          <w:szCs w:val="26"/>
        </w:rPr>
        <w:t xml:space="preserve">PPL’s </w:t>
      </w:r>
      <w:r w:rsidRPr="009B38AA">
        <w:rPr>
          <w:szCs w:val="26"/>
        </w:rPr>
        <w:t xml:space="preserve">comment </w:t>
      </w:r>
      <w:r w:rsidR="005D5EF7" w:rsidRPr="009B38AA">
        <w:rPr>
          <w:szCs w:val="26"/>
        </w:rPr>
        <w:t xml:space="preserve">that </w:t>
      </w:r>
      <w:r w:rsidRPr="009B38AA">
        <w:rPr>
          <w:szCs w:val="26"/>
        </w:rPr>
        <w:t>heating savings only applying to maintenance and duct sealing is noted by the Commission.</w:t>
      </w:r>
      <w:proofErr w:type="gramEnd"/>
      <w:r w:rsidRPr="009B38AA">
        <w:rPr>
          <w:szCs w:val="26"/>
        </w:rPr>
        <w:t xml:space="preserve">  </w:t>
      </w:r>
      <w:r w:rsidR="005D5EF7" w:rsidRPr="009B38AA">
        <w:rPr>
          <w:szCs w:val="26"/>
        </w:rPr>
        <w:t xml:space="preserve">Consistent with PPL’s comment </w:t>
      </w:r>
      <w:r w:rsidRPr="009B38AA">
        <w:rPr>
          <w:szCs w:val="26"/>
        </w:rPr>
        <w:t xml:space="preserve">“Proper sizing” and “quality installation” were removed in the proposed protocol.  </w:t>
      </w:r>
      <w:r w:rsidR="005D5EF7" w:rsidRPr="009B38AA">
        <w:rPr>
          <w:szCs w:val="26"/>
        </w:rPr>
        <w:t>As such</w:t>
      </w:r>
      <w:r w:rsidR="00ED3213" w:rsidRPr="009B38AA">
        <w:rPr>
          <w:szCs w:val="26"/>
        </w:rPr>
        <w:t>,</w:t>
      </w:r>
      <w:r w:rsidRPr="009B38AA">
        <w:rPr>
          <w:szCs w:val="26"/>
        </w:rPr>
        <w:t xml:space="preserve"> maintenance and duct sealing are the only electric HVAC system improvement measures included in the protocol to which heating savings could apply.  Any language referencing energy savings from proper sizing was removed.  </w:t>
      </w:r>
    </w:p>
    <w:p w:rsidR="0096400B" w:rsidRPr="009B38AA" w:rsidRDefault="0096400B" w:rsidP="007B592F">
      <w:pPr>
        <w:pStyle w:val="p3"/>
        <w:tabs>
          <w:tab w:val="clear" w:pos="204"/>
          <w:tab w:val="left" w:pos="720"/>
        </w:tabs>
        <w:rPr>
          <w:b/>
          <w:szCs w:val="26"/>
        </w:rPr>
      </w:pPr>
    </w:p>
    <w:p w:rsidR="007B592F" w:rsidRPr="009B38AA" w:rsidRDefault="007B592F" w:rsidP="00EB1FAC">
      <w:pPr>
        <w:pStyle w:val="Heading2"/>
      </w:pPr>
      <w:r w:rsidRPr="009B38AA">
        <w:t>Clarification of Lighting Protocols</w:t>
      </w:r>
    </w:p>
    <w:p w:rsidR="007B592F" w:rsidRPr="009B38AA" w:rsidRDefault="007B592F" w:rsidP="007B592F">
      <w:pPr>
        <w:pStyle w:val="p3"/>
        <w:tabs>
          <w:tab w:val="clear" w:pos="204"/>
          <w:tab w:val="left" w:pos="720"/>
        </w:tabs>
        <w:ind w:left="1440"/>
        <w:rPr>
          <w:b/>
          <w:szCs w:val="26"/>
        </w:rPr>
      </w:pPr>
    </w:p>
    <w:p w:rsidR="007B592F" w:rsidRPr="009B38AA" w:rsidRDefault="007B592F" w:rsidP="00EB1FAC">
      <w:pPr>
        <w:pStyle w:val="Heading3"/>
        <w:rPr>
          <w:rFonts w:cs="Times New Roman"/>
        </w:rPr>
      </w:pPr>
      <w:r w:rsidRPr="009B38AA">
        <w:rPr>
          <w:rFonts w:cs="Times New Roman"/>
        </w:rPr>
        <w:t>CFL Hours of Operation per Day</w:t>
      </w:r>
    </w:p>
    <w:p w:rsidR="00383EE7" w:rsidRPr="009B38AA" w:rsidRDefault="007B592F" w:rsidP="00383EE7">
      <w:pPr>
        <w:pStyle w:val="p3"/>
        <w:tabs>
          <w:tab w:val="clear" w:pos="204"/>
          <w:tab w:val="left" w:pos="0"/>
        </w:tabs>
        <w:ind w:firstLine="720"/>
        <w:rPr>
          <w:szCs w:val="26"/>
        </w:rPr>
      </w:pPr>
      <w:r w:rsidRPr="009B38AA">
        <w:rPr>
          <w:szCs w:val="26"/>
        </w:rPr>
        <w:tab/>
      </w:r>
    </w:p>
    <w:p w:rsidR="00383EE7" w:rsidRPr="009B38AA" w:rsidRDefault="00383EE7" w:rsidP="00383EE7">
      <w:pPr>
        <w:pStyle w:val="p3"/>
        <w:tabs>
          <w:tab w:val="clear" w:pos="204"/>
          <w:tab w:val="left" w:pos="0"/>
        </w:tabs>
        <w:ind w:firstLine="720"/>
        <w:rPr>
          <w:szCs w:val="26"/>
        </w:rPr>
      </w:pPr>
      <w:r w:rsidRPr="009B38AA">
        <w:rPr>
          <w:szCs w:val="26"/>
        </w:rPr>
        <w:t>In its 2009,</w:t>
      </w:r>
      <w:r w:rsidRPr="009B38AA">
        <w:rPr>
          <w:rStyle w:val="FootnoteReference"/>
          <w:szCs w:val="26"/>
        </w:rPr>
        <w:footnoteReference w:id="42"/>
      </w:r>
      <w:r w:rsidRPr="009B38AA">
        <w:rPr>
          <w:szCs w:val="26"/>
        </w:rPr>
        <w:t xml:space="preserve"> 2010,</w:t>
      </w:r>
      <w:r w:rsidRPr="009B38AA">
        <w:rPr>
          <w:rStyle w:val="FootnoteReference"/>
          <w:szCs w:val="26"/>
        </w:rPr>
        <w:footnoteReference w:id="43"/>
      </w:r>
      <w:r w:rsidRPr="009B38AA">
        <w:rPr>
          <w:szCs w:val="26"/>
        </w:rPr>
        <w:t xml:space="preserve"> and 2011</w:t>
      </w:r>
      <w:r w:rsidRPr="009B38AA">
        <w:rPr>
          <w:rStyle w:val="FootnoteReference"/>
          <w:szCs w:val="26"/>
        </w:rPr>
        <w:footnoteReference w:id="44"/>
      </w:r>
      <w:r w:rsidRPr="009B38AA">
        <w:rPr>
          <w:szCs w:val="26"/>
        </w:rPr>
        <w:t xml:space="preserve"> TRMs, the Commission defined an hours of usage (“HOU”) value for CFLs of 3.0.  However, during the 2011 TRM update, the Commission recognized that the 3.0 value may not be accurate for Pennsylvania and subsequently</w:t>
      </w:r>
      <w:r w:rsidR="00B310F2" w:rsidRPr="009B38AA">
        <w:rPr>
          <w:szCs w:val="26"/>
        </w:rPr>
        <w:t>,</w:t>
      </w:r>
      <w:r w:rsidRPr="009B38AA">
        <w:rPr>
          <w:szCs w:val="26"/>
        </w:rPr>
        <w:t xml:space="preserve"> directed the TWG to discuss and develop CFL HOU study proposals to be submitted to the Commission by June 1, 2011.</w:t>
      </w:r>
      <w:r w:rsidRPr="009B38AA">
        <w:rPr>
          <w:rStyle w:val="FootnoteReference"/>
          <w:szCs w:val="26"/>
        </w:rPr>
        <w:footnoteReference w:id="45"/>
      </w:r>
      <w:r w:rsidRPr="009B38AA">
        <w:rPr>
          <w:szCs w:val="26"/>
        </w:rPr>
        <w:t xml:space="preserve">  These proposals were to include a variety of factors including, but not limited to, market penetration, light metering, light logging, estimated costs and funding methodologies.  </w:t>
      </w:r>
    </w:p>
    <w:p w:rsidR="00383EE7" w:rsidRDefault="00383EE7" w:rsidP="00383EE7">
      <w:pPr>
        <w:pStyle w:val="p3"/>
        <w:tabs>
          <w:tab w:val="clear" w:pos="204"/>
          <w:tab w:val="left" w:pos="0"/>
        </w:tabs>
        <w:ind w:firstLine="720"/>
        <w:rPr>
          <w:szCs w:val="26"/>
        </w:rPr>
      </w:pPr>
    </w:p>
    <w:p w:rsidR="006D3247" w:rsidRPr="009B38AA" w:rsidRDefault="006D3247" w:rsidP="00383EE7">
      <w:pPr>
        <w:pStyle w:val="p3"/>
        <w:tabs>
          <w:tab w:val="clear" w:pos="204"/>
          <w:tab w:val="left" w:pos="0"/>
        </w:tabs>
        <w:ind w:firstLine="720"/>
        <w:rPr>
          <w:szCs w:val="26"/>
        </w:rPr>
      </w:pPr>
    </w:p>
    <w:p w:rsidR="00383EE7" w:rsidRPr="009B38AA" w:rsidRDefault="00383EE7" w:rsidP="00383EE7">
      <w:pPr>
        <w:pStyle w:val="p3"/>
        <w:tabs>
          <w:tab w:val="clear" w:pos="204"/>
          <w:tab w:val="left" w:pos="0"/>
        </w:tabs>
        <w:ind w:firstLine="720"/>
        <w:rPr>
          <w:szCs w:val="26"/>
        </w:rPr>
      </w:pPr>
      <w:r w:rsidRPr="009B38AA">
        <w:rPr>
          <w:szCs w:val="26"/>
        </w:rPr>
        <w:lastRenderedPageBreak/>
        <w:t xml:space="preserve">This direction led the SWE and Commission staff to further research CFL lighting studies conducted in other jurisdictions.  During this research, the SWE and Commission staff determined that geographic location plays a large role in the hours of usage of lighting and as such, would be a primary factor in reviewing studies.  Two studies were chosen for more thorough review by Commission staff, the SWE and the TWG.  </w:t>
      </w:r>
    </w:p>
    <w:p w:rsidR="00963D7E" w:rsidRPr="009B38AA" w:rsidRDefault="00963D7E" w:rsidP="00383EE7">
      <w:pPr>
        <w:pStyle w:val="p3"/>
        <w:tabs>
          <w:tab w:val="clear" w:pos="204"/>
          <w:tab w:val="left" w:pos="0"/>
        </w:tabs>
        <w:ind w:firstLine="720"/>
        <w:rPr>
          <w:szCs w:val="26"/>
        </w:rPr>
      </w:pPr>
    </w:p>
    <w:p w:rsidR="00383EE7" w:rsidRPr="009B38AA" w:rsidRDefault="00383EE7" w:rsidP="00383EE7">
      <w:pPr>
        <w:pStyle w:val="p3"/>
        <w:tabs>
          <w:tab w:val="clear" w:pos="204"/>
          <w:tab w:val="left" w:pos="0"/>
        </w:tabs>
        <w:ind w:firstLine="720"/>
        <w:rPr>
          <w:szCs w:val="26"/>
        </w:rPr>
      </w:pPr>
      <w:r w:rsidRPr="009B38AA">
        <w:rPr>
          <w:szCs w:val="26"/>
        </w:rPr>
        <w:t xml:space="preserve">The first study was conducted by Nexus Market Research, Inc., RLW Analytics, Inc. and GDS Associates and submitted to the Markdown and </w:t>
      </w:r>
      <w:proofErr w:type="spellStart"/>
      <w:r w:rsidRPr="009B38AA">
        <w:rPr>
          <w:szCs w:val="26"/>
        </w:rPr>
        <w:t>Buydown</w:t>
      </w:r>
      <w:proofErr w:type="spellEnd"/>
      <w:r w:rsidRPr="009B38AA">
        <w:rPr>
          <w:szCs w:val="26"/>
        </w:rPr>
        <w:t xml:space="preserve"> Program Sponsors in Connecticut, Massachusetts, Rhode Island and Vermont in 2009.  The study concluded that an average HOU value for CFLs purchased through the markdown programs in these states should be 2.97 hours of use per day for CFLs installed in kitchens, living rooms, family rooms, dining rooms and offices, and 2.05 hours of use per day for all other rooms.</w:t>
      </w:r>
      <w:r w:rsidRPr="009B38AA">
        <w:rPr>
          <w:rStyle w:val="FootnoteReference"/>
          <w:szCs w:val="26"/>
        </w:rPr>
        <w:footnoteReference w:id="46"/>
      </w:r>
    </w:p>
    <w:p w:rsidR="00383EE7" w:rsidRPr="009B38AA" w:rsidRDefault="00383EE7" w:rsidP="00383EE7">
      <w:pPr>
        <w:pStyle w:val="p3"/>
        <w:tabs>
          <w:tab w:val="clear" w:pos="204"/>
          <w:tab w:val="left" w:pos="0"/>
        </w:tabs>
        <w:ind w:firstLine="720"/>
        <w:rPr>
          <w:szCs w:val="26"/>
        </w:rPr>
      </w:pPr>
    </w:p>
    <w:p w:rsidR="00383EE7" w:rsidRPr="009B38AA" w:rsidRDefault="00383EE7" w:rsidP="00383EE7">
      <w:pPr>
        <w:pStyle w:val="p3"/>
        <w:tabs>
          <w:tab w:val="clear" w:pos="204"/>
          <w:tab w:val="left" w:pos="0"/>
        </w:tabs>
        <w:ind w:firstLine="720"/>
        <w:rPr>
          <w:szCs w:val="26"/>
        </w:rPr>
      </w:pPr>
      <w:r w:rsidRPr="009B38AA">
        <w:rPr>
          <w:szCs w:val="26"/>
        </w:rPr>
        <w:t>The second study was conducted by Navigant Consulting and presented to Baltimore Gas and Electric, Potomac Electric Power Company, Delmarva Power and Light, Southern Maryland Electric Cooperative and Allegheny Power.  This study was completed in 2011 and concluded that a “mean-annualized HOU estimate of 2.98” was an appropriate value for CFL HOU.</w:t>
      </w:r>
      <w:r w:rsidRPr="009B38AA">
        <w:rPr>
          <w:rStyle w:val="FootnoteReference"/>
          <w:szCs w:val="26"/>
        </w:rPr>
        <w:footnoteReference w:id="47"/>
      </w:r>
    </w:p>
    <w:p w:rsidR="00383EE7" w:rsidRPr="009B38AA" w:rsidRDefault="00383EE7" w:rsidP="00383EE7">
      <w:pPr>
        <w:pStyle w:val="p3"/>
        <w:tabs>
          <w:tab w:val="clear" w:pos="204"/>
          <w:tab w:val="left" w:pos="0"/>
        </w:tabs>
        <w:ind w:firstLine="720"/>
        <w:rPr>
          <w:szCs w:val="26"/>
        </w:rPr>
      </w:pPr>
    </w:p>
    <w:p w:rsidR="00383EE7" w:rsidRPr="009B38AA" w:rsidRDefault="002823DE" w:rsidP="00383EE7">
      <w:pPr>
        <w:pStyle w:val="p3"/>
        <w:tabs>
          <w:tab w:val="clear" w:pos="204"/>
          <w:tab w:val="left" w:pos="0"/>
        </w:tabs>
        <w:ind w:firstLine="720"/>
        <w:rPr>
          <w:szCs w:val="26"/>
        </w:rPr>
      </w:pPr>
      <w:r w:rsidRPr="009B38AA">
        <w:rPr>
          <w:szCs w:val="26"/>
        </w:rPr>
        <w:t xml:space="preserve">In its </w:t>
      </w:r>
      <w:r w:rsidRPr="009B38AA">
        <w:rPr>
          <w:i/>
          <w:szCs w:val="26"/>
        </w:rPr>
        <w:t>T</w:t>
      </w:r>
      <w:r w:rsidR="00383EE7" w:rsidRPr="009B38AA">
        <w:rPr>
          <w:i/>
          <w:szCs w:val="26"/>
        </w:rPr>
        <w:t xml:space="preserve">entative </w:t>
      </w:r>
      <w:r w:rsidRPr="009B38AA">
        <w:rPr>
          <w:i/>
          <w:szCs w:val="26"/>
        </w:rPr>
        <w:t>O</w:t>
      </w:r>
      <w:r w:rsidR="00383EE7" w:rsidRPr="009B38AA">
        <w:rPr>
          <w:i/>
          <w:szCs w:val="26"/>
        </w:rPr>
        <w:t>rder</w:t>
      </w:r>
      <w:r w:rsidR="00383EE7" w:rsidRPr="009B38AA">
        <w:rPr>
          <w:szCs w:val="26"/>
        </w:rPr>
        <w:t xml:space="preserve">, the Commission proposed the continued use of the 3.0 value for CFL HOU in the 2012 TRM.  The Commission stated that, as the Maryland market, geographic attributes, weather and other factors are similar to </w:t>
      </w:r>
      <w:proofErr w:type="gramStart"/>
      <w:r w:rsidR="00383EE7" w:rsidRPr="009B38AA">
        <w:rPr>
          <w:szCs w:val="26"/>
        </w:rPr>
        <w:t>Pennsylvania,</w:t>
      </w:r>
      <w:proofErr w:type="gramEnd"/>
      <w:r w:rsidR="00383EE7" w:rsidRPr="009B38AA">
        <w:rPr>
          <w:szCs w:val="26"/>
        </w:rPr>
        <w:t xml:space="preserve"> the </w:t>
      </w:r>
      <w:r w:rsidR="00383EE7" w:rsidRPr="009B38AA">
        <w:rPr>
          <w:szCs w:val="26"/>
        </w:rPr>
        <w:lastRenderedPageBreak/>
        <w:t xml:space="preserve">Commission believed the values found in the latter study, presented by Navigant Consulting in 2011, were also representative of conditions in Pennsylvania and confirm the applicability of the existing 3.0 CFL HOU value for use in the 2012 TRM.  The Commission requested comments on its proposal.    </w:t>
      </w:r>
    </w:p>
    <w:p w:rsidR="00383EE7" w:rsidRPr="009B38AA" w:rsidRDefault="00383EE7" w:rsidP="00383EE7">
      <w:pPr>
        <w:pStyle w:val="p3"/>
        <w:tabs>
          <w:tab w:val="clear" w:pos="204"/>
          <w:tab w:val="left" w:pos="0"/>
          <w:tab w:val="left" w:pos="720"/>
        </w:tabs>
        <w:ind w:left="720"/>
        <w:rPr>
          <w:i/>
          <w:szCs w:val="26"/>
        </w:rPr>
      </w:pPr>
    </w:p>
    <w:p w:rsidR="00383EE7" w:rsidRPr="009B38AA" w:rsidRDefault="00383EE7" w:rsidP="00E32B93">
      <w:pPr>
        <w:pStyle w:val="Heading4"/>
        <w:rPr>
          <w:szCs w:val="26"/>
        </w:rPr>
      </w:pPr>
      <w:r w:rsidRPr="009B38AA">
        <w:rPr>
          <w:szCs w:val="26"/>
        </w:rPr>
        <w:t>Comments</w:t>
      </w:r>
    </w:p>
    <w:p w:rsidR="00383EE7" w:rsidRPr="009B38AA" w:rsidRDefault="00383EE7" w:rsidP="00383EE7">
      <w:pPr>
        <w:pStyle w:val="p3"/>
        <w:tabs>
          <w:tab w:val="clear" w:pos="204"/>
          <w:tab w:val="left" w:pos="0"/>
          <w:tab w:val="left" w:pos="720"/>
        </w:tabs>
        <w:ind w:left="2880" w:hanging="720"/>
        <w:rPr>
          <w:b/>
          <w:szCs w:val="26"/>
        </w:rPr>
      </w:pPr>
    </w:p>
    <w:p w:rsidR="00383EE7" w:rsidRPr="009B38AA" w:rsidRDefault="00383EE7" w:rsidP="00383EE7">
      <w:pPr>
        <w:pStyle w:val="p3"/>
        <w:tabs>
          <w:tab w:val="clear" w:pos="204"/>
          <w:tab w:val="left" w:pos="0"/>
        </w:tabs>
        <w:ind w:firstLine="720"/>
        <w:rPr>
          <w:szCs w:val="26"/>
        </w:rPr>
      </w:pPr>
      <w:r w:rsidRPr="009B38AA">
        <w:rPr>
          <w:szCs w:val="26"/>
        </w:rPr>
        <w:t xml:space="preserve">PECO and PPL agree with the Commission’s proposed usage of 3.0 as the CFL HOU value. </w:t>
      </w:r>
      <w:r w:rsidR="005D5EF7" w:rsidRPr="009B38AA">
        <w:rPr>
          <w:szCs w:val="26"/>
        </w:rPr>
        <w:t xml:space="preserve"> </w:t>
      </w:r>
      <w:proofErr w:type="gramStart"/>
      <w:r w:rsidRPr="009B38AA">
        <w:rPr>
          <w:szCs w:val="26"/>
        </w:rPr>
        <w:t>PECO Comments at 3</w:t>
      </w:r>
      <w:r w:rsidR="005D5EF7" w:rsidRPr="009B38AA">
        <w:rPr>
          <w:szCs w:val="26"/>
        </w:rPr>
        <w:t xml:space="preserve"> and </w:t>
      </w:r>
      <w:r w:rsidRPr="009B38AA">
        <w:rPr>
          <w:szCs w:val="26"/>
        </w:rPr>
        <w:t>PPL Comments at 15</w:t>
      </w:r>
      <w:r w:rsidR="005D5EF7" w:rsidRPr="009B38AA">
        <w:rPr>
          <w:szCs w:val="26"/>
        </w:rPr>
        <w:t>.</w:t>
      </w:r>
      <w:proofErr w:type="gramEnd"/>
      <w:r w:rsidRPr="009B38AA">
        <w:rPr>
          <w:szCs w:val="26"/>
        </w:rPr>
        <w:t xml:space="preserve">  Additionally, PECO </w:t>
      </w:r>
      <w:r w:rsidR="005D5EF7" w:rsidRPr="009B38AA">
        <w:rPr>
          <w:szCs w:val="26"/>
        </w:rPr>
        <w:t>suggests that t</w:t>
      </w:r>
      <w:r w:rsidRPr="009B38AA">
        <w:rPr>
          <w:szCs w:val="26"/>
        </w:rPr>
        <w:t xml:space="preserve">he SWE and </w:t>
      </w:r>
      <w:r w:rsidR="005D5EF7" w:rsidRPr="009B38AA">
        <w:rPr>
          <w:szCs w:val="26"/>
        </w:rPr>
        <w:t>TWG</w:t>
      </w:r>
      <w:r w:rsidRPr="009B38AA">
        <w:rPr>
          <w:szCs w:val="26"/>
        </w:rPr>
        <w:t xml:space="preserve"> should continue to monitor and review HOU studies in relevant markets moving forward. </w:t>
      </w:r>
      <w:r w:rsidR="005D5EF7" w:rsidRPr="009B38AA">
        <w:rPr>
          <w:szCs w:val="26"/>
        </w:rPr>
        <w:t xml:space="preserve"> </w:t>
      </w:r>
      <w:proofErr w:type="gramStart"/>
      <w:r w:rsidRPr="009B38AA">
        <w:rPr>
          <w:szCs w:val="26"/>
        </w:rPr>
        <w:t>PECO Comments at 3</w:t>
      </w:r>
      <w:r w:rsidR="005D5EF7" w:rsidRPr="009B38AA">
        <w:rPr>
          <w:szCs w:val="26"/>
        </w:rPr>
        <w:t>.</w:t>
      </w:r>
      <w:proofErr w:type="gramEnd"/>
    </w:p>
    <w:p w:rsidR="00383EE7" w:rsidRPr="009B38AA" w:rsidRDefault="00383EE7" w:rsidP="00383EE7">
      <w:pPr>
        <w:pStyle w:val="p3"/>
        <w:tabs>
          <w:tab w:val="clear" w:pos="204"/>
          <w:tab w:val="left" w:pos="0"/>
          <w:tab w:val="left" w:pos="720"/>
        </w:tabs>
        <w:ind w:left="2880" w:hanging="720"/>
        <w:rPr>
          <w:b/>
          <w:szCs w:val="26"/>
        </w:rPr>
      </w:pPr>
    </w:p>
    <w:p w:rsidR="00383EE7" w:rsidRPr="009B38AA" w:rsidRDefault="00383EE7" w:rsidP="00E32B93">
      <w:pPr>
        <w:pStyle w:val="Heading4"/>
        <w:rPr>
          <w:szCs w:val="26"/>
        </w:rPr>
      </w:pPr>
      <w:r w:rsidRPr="009B38AA">
        <w:rPr>
          <w:szCs w:val="26"/>
        </w:rPr>
        <w:t>Disposition</w:t>
      </w:r>
    </w:p>
    <w:p w:rsidR="00383EE7" w:rsidRPr="009B38AA" w:rsidRDefault="00383EE7" w:rsidP="00383EE7">
      <w:pPr>
        <w:pStyle w:val="p3"/>
        <w:tabs>
          <w:tab w:val="clear" w:pos="204"/>
          <w:tab w:val="left" w:pos="0"/>
          <w:tab w:val="left" w:pos="720"/>
        </w:tabs>
        <w:rPr>
          <w:szCs w:val="26"/>
        </w:rPr>
      </w:pPr>
    </w:p>
    <w:p w:rsidR="00383EE7" w:rsidRPr="009B38AA" w:rsidRDefault="00383EE7" w:rsidP="00383EE7">
      <w:pPr>
        <w:pStyle w:val="p3"/>
        <w:tabs>
          <w:tab w:val="clear" w:pos="204"/>
          <w:tab w:val="left" w:pos="-3060"/>
          <w:tab w:val="left" w:pos="0"/>
        </w:tabs>
        <w:ind w:firstLine="720"/>
        <w:rPr>
          <w:b/>
          <w:szCs w:val="26"/>
        </w:rPr>
      </w:pPr>
      <w:r w:rsidRPr="009B38AA">
        <w:rPr>
          <w:szCs w:val="26"/>
        </w:rPr>
        <w:t xml:space="preserve">The Commission agrees with PECO that the SWE and the TWG should continue to monitor and review studies related to CFL HOU values in markets similar to Pennsylvania’s and provide recommendations for future TRM updates.  The Commission </w:t>
      </w:r>
      <w:r w:rsidR="005D5EF7" w:rsidRPr="009B38AA">
        <w:rPr>
          <w:szCs w:val="26"/>
        </w:rPr>
        <w:t xml:space="preserve">adopts </w:t>
      </w:r>
      <w:r w:rsidRPr="009B38AA">
        <w:rPr>
          <w:szCs w:val="26"/>
        </w:rPr>
        <w:t xml:space="preserve">the continued use of the 3.0 CFL HOU value.  </w:t>
      </w:r>
    </w:p>
    <w:p w:rsidR="007B592F" w:rsidRPr="009B38AA" w:rsidRDefault="007B592F" w:rsidP="00383EE7">
      <w:pPr>
        <w:pStyle w:val="p3"/>
        <w:tabs>
          <w:tab w:val="clear" w:pos="204"/>
          <w:tab w:val="left" w:pos="0"/>
          <w:tab w:val="left" w:pos="720"/>
        </w:tabs>
        <w:ind w:left="720"/>
        <w:rPr>
          <w:b/>
          <w:szCs w:val="26"/>
        </w:rPr>
      </w:pPr>
    </w:p>
    <w:p w:rsidR="007B592F" w:rsidRPr="009B38AA" w:rsidRDefault="007B592F" w:rsidP="00EB1FAC">
      <w:pPr>
        <w:pStyle w:val="Heading3"/>
        <w:rPr>
          <w:rFonts w:cs="Times New Roman"/>
        </w:rPr>
      </w:pPr>
      <w:r w:rsidRPr="009B38AA">
        <w:rPr>
          <w:rFonts w:cs="Times New Roman"/>
        </w:rPr>
        <w:t>Methodology for Determining Delta Watts for CFLs</w:t>
      </w:r>
    </w:p>
    <w:p w:rsidR="007B592F" w:rsidRPr="009B38AA" w:rsidRDefault="007B592F" w:rsidP="007B592F">
      <w:pPr>
        <w:pStyle w:val="p3"/>
        <w:tabs>
          <w:tab w:val="clear" w:pos="204"/>
          <w:tab w:val="left" w:pos="0"/>
          <w:tab w:val="left" w:pos="720"/>
        </w:tabs>
        <w:rPr>
          <w:szCs w:val="26"/>
        </w:rPr>
      </w:pPr>
      <w:r w:rsidRPr="009B38AA">
        <w:rPr>
          <w:szCs w:val="26"/>
        </w:rPr>
        <w:tab/>
      </w:r>
    </w:p>
    <w:p w:rsidR="0096400B" w:rsidRPr="009B38AA" w:rsidRDefault="0096400B" w:rsidP="0096400B">
      <w:pPr>
        <w:ind w:firstLine="720"/>
        <w:rPr>
          <w:szCs w:val="26"/>
        </w:rPr>
      </w:pPr>
      <w:r w:rsidRPr="009B38AA">
        <w:rPr>
          <w:szCs w:val="26"/>
        </w:rPr>
        <w:t>Savings from installation of screw-in ENERGY STAR CFLs, ENERGY STAR fluorescent torchieres, ENERGY STAR indoor fixtures and ENERGY STAR outdoor fixtures are based on a straightforward algorithm that calculates the difference between existing and new wattage and the average daily hours of usage for the lighting unit being replaced.  The 2012 TRM includes Table 2-43</w:t>
      </w:r>
      <w:r w:rsidR="002E5139" w:rsidRPr="009B38AA">
        <w:rPr>
          <w:szCs w:val="26"/>
        </w:rPr>
        <w:t>: Baseline Wattage by Lumen Output of CFL</w:t>
      </w:r>
      <w:r w:rsidRPr="009B38AA">
        <w:rPr>
          <w:szCs w:val="26"/>
        </w:rPr>
        <w:t>, which maps the baseline wattage of incandescen</w:t>
      </w:r>
      <w:r w:rsidR="006A7018" w:rsidRPr="009B38AA">
        <w:rPr>
          <w:szCs w:val="26"/>
        </w:rPr>
        <w:t xml:space="preserve">t bulbs by lumen output of CFLs.  </w:t>
      </w:r>
      <w:r w:rsidR="00D16852" w:rsidRPr="009B38AA">
        <w:rPr>
          <w:szCs w:val="26"/>
        </w:rPr>
        <w:t xml:space="preserve">In the </w:t>
      </w:r>
      <w:r w:rsidR="00B31134" w:rsidRPr="009B38AA">
        <w:rPr>
          <w:i/>
          <w:szCs w:val="26"/>
        </w:rPr>
        <w:t>Tentative Order</w:t>
      </w:r>
      <w:r w:rsidR="00D16852" w:rsidRPr="009B38AA">
        <w:rPr>
          <w:szCs w:val="26"/>
        </w:rPr>
        <w:t xml:space="preserve"> we</w:t>
      </w:r>
      <w:r w:rsidR="006A7018" w:rsidRPr="009B38AA">
        <w:rPr>
          <w:szCs w:val="26"/>
        </w:rPr>
        <w:t xml:space="preserve"> proposed that the delta watts be determined by calculating the </w:t>
      </w:r>
      <w:r w:rsidR="006A7018" w:rsidRPr="009B38AA">
        <w:rPr>
          <w:szCs w:val="26"/>
        </w:rPr>
        <w:lastRenderedPageBreak/>
        <w:t xml:space="preserve">difference between the CFL wattage and the equivalent incandescent bulb wattage, which is defined as the incandescent bulb with similar lumen output as the new bulb.  </w:t>
      </w:r>
      <w:r w:rsidRPr="009B38AA">
        <w:rPr>
          <w:szCs w:val="26"/>
        </w:rPr>
        <w:t xml:space="preserve"> </w:t>
      </w:r>
    </w:p>
    <w:p w:rsidR="0096400B" w:rsidRPr="009B38AA" w:rsidRDefault="0096400B" w:rsidP="0096400B">
      <w:pPr>
        <w:ind w:firstLine="720"/>
        <w:rPr>
          <w:szCs w:val="26"/>
        </w:rPr>
      </w:pPr>
    </w:p>
    <w:p w:rsidR="009A6E7A" w:rsidRPr="009B38AA" w:rsidRDefault="009A6E7A" w:rsidP="00EB1FAC">
      <w:pPr>
        <w:pStyle w:val="Heading4"/>
        <w:rPr>
          <w:szCs w:val="26"/>
        </w:rPr>
      </w:pPr>
      <w:r w:rsidRPr="009B38AA">
        <w:rPr>
          <w:szCs w:val="26"/>
        </w:rPr>
        <w:t>Comments</w:t>
      </w:r>
    </w:p>
    <w:p w:rsidR="009A6E7A" w:rsidRPr="009B38AA" w:rsidRDefault="009A6E7A" w:rsidP="0096400B">
      <w:pPr>
        <w:rPr>
          <w:szCs w:val="26"/>
        </w:rPr>
      </w:pPr>
    </w:p>
    <w:p w:rsidR="0096400B" w:rsidRPr="009B38AA" w:rsidRDefault="0096400B" w:rsidP="0096400B">
      <w:pPr>
        <w:pStyle w:val="p3"/>
        <w:tabs>
          <w:tab w:val="clear" w:pos="204"/>
          <w:tab w:val="left" w:pos="0"/>
          <w:tab w:val="left" w:pos="720"/>
        </w:tabs>
        <w:rPr>
          <w:szCs w:val="26"/>
        </w:rPr>
      </w:pPr>
      <w:r w:rsidRPr="009B38AA">
        <w:rPr>
          <w:szCs w:val="26"/>
        </w:rPr>
        <w:tab/>
        <w:t xml:space="preserve">PPL </w:t>
      </w:r>
      <w:r w:rsidR="00D16852" w:rsidRPr="009B38AA">
        <w:rPr>
          <w:szCs w:val="26"/>
        </w:rPr>
        <w:t xml:space="preserve">recommends </w:t>
      </w:r>
      <w:r w:rsidRPr="009B38AA">
        <w:rPr>
          <w:szCs w:val="26"/>
        </w:rPr>
        <w:t xml:space="preserve">that additional clarity be added to the 2012 TRM to distinguish between specialty and non-specialty </w:t>
      </w:r>
      <w:r w:rsidR="002E5139" w:rsidRPr="009B38AA">
        <w:rPr>
          <w:szCs w:val="26"/>
        </w:rPr>
        <w:t xml:space="preserve">CFL lamps. </w:t>
      </w:r>
      <w:r w:rsidR="00D16852" w:rsidRPr="009B38AA">
        <w:rPr>
          <w:szCs w:val="26"/>
        </w:rPr>
        <w:t xml:space="preserve"> PPL notes that the proposal</w:t>
      </w:r>
      <w:r w:rsidRPr="009B38AA">
        <w:rPr>
          <w:szCs w:val="26"/>
        </w:rPr>
        <w:t xml:space="preserve"> reference</w:t>
      </w:r>
      <w:r w:rsidR="002E5139" w:rsidRPr="009B38AA">
        <w:rPr>
          <w:szCs w:val="26"/>
        </w:rPr>
        <w:t>d</w:t>
      </w:r>
      <w:r w:rsidRPr="009B38AA">
        <w:rPr>
          <w:szCs w:val="26"/>
        </w:rPr>
        <w:t xml:space="preserve"> a mapping table for determining baselines for "specialty" bulbs.</w:t>
      </w:r>
      <w:r w:rsidR="002E5139" w:rsidRPr="009B38AA">
        <w:rPr>
          <w:rStyle w:val="FootnoteReference"/>
          <w:szCs w:val="26"/>
        </w:rPr>
        <w:footnoteReference w:id="48"/>
      </w:r>
      <w:r w:rsidR="002E5139" w:rsidRPr="009B38AA">
        <w:rPr>
          <w:i/>
          <w:szCs w:val="26"/>
        </w:rPr>
        <w:t xml:space="preserve"> </w:t>
      </w:r>
      <w:r w:rsidRPr="009B38AA">
        <w:rPr>
          <w:szCs w:val="26"/>
        </w:rPr>
        <w:t xml:space="preserve"> PPL requests that more information be provided on this table, as it appears to be missing from the 2012 TRM.</w:t>
      </w:r>
      <w:r w:rsidR="00D16852" w:rsidRPr="009B38AA">
        <w:rPr>
          <w:szCs w:val="26"/>
        </w:rPr>
        <w:t xml:space="preserve"> </w:t>
      </w:r>
      <w:r w:rsidRPr="009B38AA">
        <w:rPr>
          <w:szCs w:val="26"/>
        </w:rPr>
        <w:t xml:space="preserve"> </w:t>
      </w:r>
      <w:r w:rsidR="00D16852" w:rsidRPr="009B38AA">
        <w:rPr>
          <w:szCs w:val="26"/>
        </w:rPr>
        <w:t>PPL states that i</w:t>
      </w:r>
      <w:r w:rsidRPr="009B38AA">
        <w:rPr>
          <w:szCs w:val="26"/>
        </w:rPr>
        <w:t xml:space="preserve">f the Commission intended to reference Table 2-43 in the 2012 TRM for "non-specialty" bulbs, PPL recommends that the language in the </w:t>
      </w:r>
      <w:r w:rsidR="00B31134" w:rsidRPr="009B38AA">
        <w:rPr>
          <w:i/>
          <w:szCs w:val="26"/>
        </w:rPr>
        <w:t>Tentative Order</w:t>
      </w:r>
      <w:r w:rsidRPr="009B38AA">
        <w:rPr>
          <w:szCs w:val="26"/>
        </w:rPr>
        <w:t xml:space="preserve"> be revised accordingly. </w:t>
      </w:r>
      <w:r w:rsidR="00D16852" w:rsidRPr="009B38AA">
        <w:rPr>
          <w:szCs w:val="26"/>
        </w:rPr>
        <w:t xml:space="preserve"> </w:t>
      </w:r>
      <w:proofErr w:type="gramStart"/>
      <w:r w:rsidRPr="009B38AA">
        <w:rPr>
          <w:szCs w:val="26"/>
        </w:rPr>
        <w:t>PPL Comments at 15</w:t>
      </w:r>
      <w:r w:rsidR="00D16852" w:rsidRPr="009B38AA">
        <w:rPr>
          <w:szCs w:val="26"/>
        </w:rPr>
        <w:t xml:space="preserve"> and </w:t>
      </w:r>
      <w:r w:rsidRPr="009B38AA">
        <w:rPr>
          <w:szCs w:val="26"/>
        </w:rPr>
        <w:t>16</w:t>
      </w:r>
      <w:r w:rsidR="00D16852" w:rsidRPr="009B38AA">
        <w:rPr>
          <w:szCs w:val="26"/>
        </w:rPr>
        <w:t>.</w:t>
      </w:r>
      <w:proofErr w:type="gramEnd"/>
    </w:p>
    <w:p w:rsidR="0096400B" w:rsidRPr="009B38AA" w:rsidRDefault="0096400B" w:rsidP="0096400B">
      <w:pPr>
        <w:rPr>
          <w:szCs w:val="26"/>
        </w:rPr>
      </w:pPr>
    </w:p>
    <w:p w:rsidR="009A6E7A" w:rsidRPr="009B38AA" w:rsidRDefault="009A6E7A" w:rsidP="00EB1FAC">
      <w:pPr>
        <w:pStyle w:val="Heading4"/>
        <w:rPr>
          <w:szCs w:val="26"/>
        </w:rPr>
      </w:pPr>
      <w:r w:rsidRPr="009B38AA">
        <w:rPr>
          <w:szCs w:val="26"/>
        </w:rPr>
        <w:t>Disposition</w:t>
      </w:r>
    </w:p>
    <w:p w:rsidR="007B592F" w:rsidRPr="009B38AA" w:rsidRDefault="007B592F" w:rsidP="009A6E7A">
      <w:pPr>
        <w:pStyle w:val="p3"/>
        <w:tabs>
          <w:tab w:val="clear" w:pos="204"/>
          <w:tab w:val="left" w:pos="0"/>
          <w:tab w:val="left" w:pos="720"/>
        </w:tabs>
        <w:rPr>
          <w:b/>
          <w:szCs w:val="26"/>
        </w:rPr>
      </w:pPr>
    </w:p>
    <w:p w:rsidR="0096400B" w:rsidRPr="009B38AA" w:rsidRDefault="0096400B" w:rsidP="0096400B">
      <w:pPr>
        <w:pStyle w:val="p3"/>
        <w:tabs>
          <w:tab w:val="clear" w:pos="204"/>
          <w:tab w:val="left" w:pos="0"/>
          <w:tab w:val="left" w:pos="720"/>
        </w:tabs>
        <w:rPr>
          <w:szCs w:val="26"/>
        </w:rPr>
      </w:pPr>
      <w:r w:rsidRPr="009B38AA">
        <w:rPr>
          <w:szCs w:val="26"/>
        </w:rPr>
        <w:tab/>
        <w:t xml:space="preserve">The Commission agrees with PPL’s recommendation to add clarity to the definition of specialty bulbs and </w:t>
      </w:r>
      <w:r w:rsidR="002E5139" w:rsidRPr="009B38AA">
        <w:rPr>
          <w:szCs w:val="26"/>
        </w:rPr>
        <w:t>has</w:t>
      </w:r>
      <w:r w:rsidRPr="009B38AA">
        <w:rPr>
          <w:szCs w:val="26"/>
        </w:rPr>
        <w:t xml:space="preserve"> added </w:t>
      </w:r>
      <w:r w:rsidR="002E5139" w:rsidRPr="009B38AA">
        <w:rPr>
          <w:szCs w:val="26"/>
        </w:rPr>
        <w:t xml:space="preserve">language </w:t>
      </w:r>
      <w:r w:rsidRPr="009B38AA">
        <w:rPr>
          <w:szCs w:val="26"/>
        </w:rPr>
        <w:t>to the protocol in a footnote.  A non-specialty CFL is considered</w:t>
      </w:r>
      <w:r w:rsidR="002E5139" w:rsidRPr="009B38AA">
        <w:rPr>
          <w:szCs w:val="26"/>
        </w:rPr>
        <w:t xml:space="preserve"> to be</w:t>
      </w:r>
      <w:r w:rsidRPr="009B38AA">
        <w:rPr>
          <w:szCs w:val="26"/>
        </w:rPr>
        <w:t xml:space="preserve"> any lamp that does not replace one of the 22 incandescent lamps exempt from the EISA 2007 standards.  A reference to the 22 exempt incandescent lamps has been provided in the footnote.</w:t>
      </w:r>
      <w:r w:rsidR="00D16852" w:rsidRPr="009B38AA">
        <w:rPr>
          <w:szCs w:val="26"/>
        </w:rPr>
        <w:t xml:space="preserve">  </w:t>
      </w:r>
      <w:r w:rsidRPr="009B38AA">
        <w:rPr>
          <w:szCs w:val="26"/>
        </w:rPr>
        <w:t>The Commission intended to reference Table 2-43 in the 2012 TRM for “non-specialty” CFLs and has ensured that the language in the 2012 TRM is consistent with the Commission’s intent.</w:t>
      </w:r>
    </w:p>
    <w:p w:rsidR="0096400B" w:rsidRDefault="0096400B" w:rsidP="009A6E7A">
      <w:pPr>
        <w:pStyle w:val="p3"/>
        <w:tabs>
          <w:tab w:val="clear" w:pos="204"/>
          <w:tab w:val="left" w:pos="0"/>
          <w:tab w:val="left" w:pos="720"/>
        </w:tabs>
        <w:rPr>
          <w:b/>
          <w:szCs w:val="26"/>
        </w:rPr>
      </w:pPr>
    </w:p>
    <w:p w:rsidR="006D3247" w:rsidRDefault="006D3247" w:rsidP="009A6E7A">
      <w:pPr>
        <w:pStyle w:val="p3"/>
        <w:tabs>
          <w:tab w:val="clear" w:pos="204"/>
          <w:tab w:val="left" w:pos="0"/>
          <w:tab w:val="left" w:pos="720"/>
        </w:tabs>
        <w:rPr>
          <w:b/>
          <w:szCs w:val="26"/>
        </w:rPr>
      </w:pPr>
    </w:p>
    <w:p w:rsidR="006D3247" w:rsidRPr="009B38AA" w:rsidRDefault="006D3247" w:rsidP="009A6E7A">
      <w:pPr>
        <w:pStyle w:val="p3"/>
        <w:tabs>
          <w:tab w:val="clear" w:pos="204"/>
          <w:tab w:val="left" w:pos="0"/>
          <w:tab w:val="left" w:pos="720"/>
        </w:tabs>
        <w:rPr>
          <w:b/>
          <w:szCs w:val="26"/>
        </w:rPr>
      </w:pPr>
    </w:p>
    <w:p w:rsidR="007B592F" w:rsidRPr="009B38AA" w:rsidRDefault="007B592F" w:rsidP="005E7865">
      <w:pPr>
        <w:pStyle w:val="Heading3"/>
        <w:spacing w:line="240" w:lineRule="auto"/>
        <w:rPr>
          <w:rFonts w:cs="Times New Roman"/>
        </w:rPr>
      </w:pPr>
      <w:r w:rsidRPr="009B38AA">
        <w:rPr>
          <w:rFonts w:cs="Times New Roman"/>
        </w:rPr>
        <w:lastRenderedPageBreak/>
        <w:t>Implementation of Federal Legislation and Regulations Related to Residential Lighting</w:t>
      </w:r>
    </w:p>
    <w:p w:rsidR="009A6E7A" w:rsidRPr="009B38AA" w:rsidRDefault="009A6E7A" w:rsidP="00813935">
      <w:pPr>
        <w:pStyle w:val="p3"/>
        <w:tabs>
          <w:tab w:val="clear" w:pos="204"/>
          <w:tab w:val="left" w:pos="0"/>
          <w:tab w:val="left" w:pos="720"/>
        </w:tabs>
        <w:ind w:left="1800"/>
        <w:rPr>
          <w:b/>
          <w:szCs w:val="26"/>
        </w:rPr>
      </w:pPr>
    </w:p>
    <w:p w:rsidR="0096400B" w:rsidRPr="009B38AA" w:rsidRDefault="0096400B" w:rsidP="0096400B">
      <w:pPr>
        <w:ind w:firstLine="720"/>
        <w:rPr>
          <w:szCs w:val="26"/>
        </w:rPr>
      </w:pPr>
      <w:r w:rsidRPr="009B38AA">
        <w:rPr>
          <w:szCs w:val="26"/>
        </w:rPr>
        <w:t>Table 2-43</w:t>
      </w:r>
      <w:r w:rsidR="00D31F42" w:rsidRPr="009B38AA">
        <w:rPr>
          <w:szCs w:val="26"/>
        </w:rPr>
        <w:t>: Baseline Wattage by Lumen Output of CFL</w:t>
      </w:r>
      <w:r w:rsidRPr="009B38AA">
        <w:rPr>
          <w:szCs w:val="26"/>
        </w:rPr>
        <w:t xml:space="preserve"> in the </w:t>
      </w:r>
      <w:r w:rsidR="00D31F42" w:rsidRPr="009B38AA">
        <w:rPr>
          <w:szCs w:val="26"/>
        </w:rPr>
        <w:t xml:space="preserve">proposed </w:t>
      </w:r>
      <w:r w:rsidRPr="009B38AA">
        <w:rPr>
          <w:szCs w:val="26"/>
        </w:rPr>
        <w:t>2012 TRM, which determines baselines of CFL replacements, incorporates changing baselines consistent wit</w:t>
      </w:r>
      <w:r w:rsidR="00D31F42" w:rsidRPr="009B38AA">
        <w:rPr>
          <w:szCs w:val="26"/>
        </w:rPr>
        <w:t>h the EISA 2007 standards</w:t>
      </w:r>
      <w:r w:rsidRPr="009B38AA">
        <w:rPr>
          <w:szCs w:val="26"/>
        </w:rPr>
        <w:t xml:space="preserve">.  </w:t>
      </w:r>
      <w:r w:rsidR="006A7018" w:rsidRPr="009B38AA">
        <w:rPr>
          <w:szCs w:val="26"/>
        </w:rPr>
        <w:t xml:space="preserve">The Commission proposed that the baseline for CFLs be updated per the EISA 2007 standards.  This baseline change would coincide with the TRM updates. </w:t>
      </w:r>
    </w:p>
    <w:p w:rsidR="009A6E7A" w:rsidRPr="009B38AA" w:rsidRDefault="009A6E7A" w:rsidP="0096400B">
      <w:pPr>
        <w:rPr>
          <w:szCs w:val="26"/>
        </w:rPr>
      </w:pPr>
    </w:p>
    <w:p w:rsidR="009A6E7A" w:rsidRPr="009B38AA" w:rsidRDefault="009A6E7A" w:rsidP="00EB1FAC">
      <w:pPr>
        <w:pStyle w:val="Heading4"/>
        <w:rPr>
          <w:szCs w:val="26"/>
        </w:rPr>
      </w:pPr>
      <w:r w:rsidRPr="009B38AA">
        <w:rPr>
          <w:szCs w:val="26"/>
        </w:rPr>
        <w:t>Comments</w:t>
      </w:r>
    </w:p>
    <w:p w:rsidR="009A6E7A" w:rsidRPr="009B38AA" w:rsidRDefault="009A6E7A" w:rsidP="009A6E7A">
      <w:pPr>
        <w:pStyle w:val="p3"/>
        <w:tabs>
          <w:tab w:val="clear" w:pos="204"/>
          <w:tab w:val="left" w:pos="0"/>
          <w:tab w:val="left" w:pos="720"/>
        </w:tabs>
        <w:ind w:left="2880" w:hanging="720"/>
        <w:rPr>
          <w:b/>
          <w:szCs w:val="26"/>
        </w:rPr>
      </w:pPr>
    </w:p>
    <w:p w:rsidR="0096400B" w:rsidRPr="009B38AA" w:rsidRDefault="0096400B" w:rsidP="0096400B">
      <w:pPr>
        <w:pStyle w:val="p3"/>
        <w:tabs>
          <w:tab w:val="clear" w:pos="204"/>
          <w:tab w:val="left" w:pos="0"/>
          <w:tab w:val="left" w:pos="720"/>
        </w:tabs>
        <w:rPr>
          <w:szCs w:val="26"/>
        </w:rPr>
      </w:pPr>
      <w:r w:rsidRPr="009B38AA">
        <w:rPr>
          <w:szCs w:val="26"/>
        </w:rPr>
        <w:tab/>
        <w:t>PPL support</w:t>
      </w:r>
      <w:r w:rsidR="00D16852" w:rsidRPr="009B38AA">
        <w:rPr>
          <w:szCs w:val="26"/>
        </w:rPr>
        <w:t>s</w:t>
      </w:r>
      <w:r w:rsidRPr="009B38AA">
        <w:rPr>
          <w:szCs w:val="26"/>
        </w:rPr>
        <w:t xml:space="preserve"> implementing the EISA 2007 standards, but </w:t>
      </w:r>
      <w:r w:rsidR="00D16852" w:rsidRPr="009B38AA">
        <w:rPr>
          <w:szCs w:val="26"/>
        </w:rPr>
        <w:t>asserts</w:t>
      </w:r>
      <w:r w:rsidRPr="009B38AA">
        <w:rPr>
          <w:szCs w:val="26"/>
        </w:rPr>
        <w:t xml:space="preserve"> that this change should not be adopted until June 1, 2013</w:t>
      </w:r>
      <w:r w:rsidR="00D16852" w:rsidRPr="009B38AA">
        <w:rPr>
          <w:szCs w:val="26"/>
        </w:rPr>
        <w:t>,</w:t>
      </w:r>
      <w:r w:rsidRPr="009B38AA">
        <w:rPr>
          <w:szCs w:val="26"/>
        </w:rPr>
        <w:t xml:space="preserve"> because time </w:t>
      </w:r>
      <w:r w:rsidR="00D16852" w:rsidRPr="009B38AA">
        <w:rPr>
          <w:szCs w:val="26"/>
        </w:rPr>
        <w:t>must be allotted</w:t>
      </w:r>
      <w:r w:rsidRPr="009B38AA">
        <w:rPr>
          <w:szCs w:val="26"/>
        </w:rPr>
        <w:t xml:space="preserve"> to address stockpiling and reduc</w:t>
      </w:r>
      <w:r w:rsidR="00D16852" w:rsidRPr="009B38AA">
        <w:rPr>
          <w:szCs w:val="26"/>
        </w:rPr>
        <w:t>ed</w:t>
      </w:r>
      <w:r w:rsidRPr="009B38AA">
        <w:rPr>
          <w:szCs w:val="26"/>
        </w:rPr>
        <w:t xml:space="preserve"> savings in the fourth year of a four-year program</w:t>
      </w:r>
      <w:r w:rsidR="00D16852" w:rsidRPr="009B38AA">
        <w:rPr>
          <w:szCs w:val="26"/>
        </w:rPr>
        <w:t>.  PPL asserts there is</w:t>
      </w:r>
      <w:r w:rsidRPr="009B38AA">
        <w:rPr>
          <w:szCs w:val="26"/>
        </w:rPr>
        <w:t xml:space="preserve"> insufficient time to modify </w:t>
      </w:r>
      <w:r w:rsidR="00D16852" w:rsidRPr="009B38AA">
        <w:rPr>
          <w:szCs w:val="26"/>
        </w:rPr>
        <w:t xml:space="preserve">its </w:t>
      </w:r>
      <w:r w:rsidRPr="009B38AA">
        <w:rPr>
          <w:szCs w:val="26"/>
        </w:rPr>
        <w:t>plan to make-up any s</w:t>
      </w:r>
      <w:r w:rsidR="00D31F42" w:rsidRPr="009B38AA">
        <w:rPr>
          <w:szCs w:val="26"/>
        </w:rPr>
        <w:t>hortfall</w:t>
      </w:r>
      <w:r w:rsidR="00D16852" w:rsidRPr="009B38AA">
        <w:rPr>
          <w:szCs w:val="26"/>
        </w:rPr>
        <w:t xml:space="preserve"> that may occur due to this change</w:t>
      </w:r>
      <w:r w:rsidR="00D31F42" w:rsidRPr="009B38AA">
        <w:rPr>
          <w:szCs w:val="26"/>
        </w:rPr>
        <w:t>.</w:t>
      </w:r>
      <w:r w:rsidR="00D16852" w:rsidRPr="009B38AA">
        <w:rPr>
          <w:szCs w:val="26"/>
        </w:rPr>
        <w:t xml:space="preserve"> </w:t>
      </w:r>
      <w:r w:rsidR="00D31F42" w:rsidRPr="009B38AA">
        <w:rPr>
          <w:szCs w:val="26"/>
        </w:rPr>
        <w:t xml:space="preserve"> </w:t>
      </w:r>
      <w:proofErr w:type="gramStart"/>
      <w:r w:rsidR="00D31F42" w:rsidRPr="009B38AA">
        <w:rPr>
          <w:szCs w:val="26"/>
        </w:rPr>
        <w:t>PPL Comments at 16</w:t>
      </w:r>
      <w:r w:rsidR="00D16852" w:rsidRPr="009B38AA">
        <w:rPr>
          <w:szCs w:val="26"/>
        </w:rPr>
        <w:t xml:space="preserve"> and </w:t>
      </w:r>
      <w:r w:rsidRPr="009B38AA">
        <w:rPr>
          <w:szCs w:val="26"/>
        </w:rPr>
        <w:t>17</w:t>
      </w:r>
      <w:r w:rsidR="00D16852" w:rsidRPr="009B38AA">
        <w:rPr>
          <w:szCs w:val="26"/>
        </w:rPr>
        <w:t>.</w:t>
      </w:r>
      <w:proofErr w:type="gramEnd"/>
      <w:r w:rsidRPr="009B38AA">
        <w:rPr>
          <w:szCs w:val="26"/>
        </w:rPr>
        <w:t xml:space="preserve">  </w:t>
      </w:r>
    </w:p>
    <w:p w:rsidR="005E7865" w:rsidRPr="009B38AA" w:rsidRDefault="005E7865" w:rsidP="0096400B">
      <w:pPr>
        <w:pStyle w:val="p3"/>
        <w:tabs>
          <w:tab w:val="clear" w:pos="204"/>
          <w:tab w:val="left" w:pos="0"/>
          <w:tab w:val="left" w:pos="720"/>
        </w:tabs>
        <w:rPr>
          <w:b/>
          <w:szCs w:val="26"/>
        </w:rPr>
      </w:pPr>
    </w:p>
    <w:p w:rsidR="009A6E7A" w:rsidRPr="009B38AA" w:rsidRDefault="009A6E7A" w:rsidP="00EB1FAC">
      <w:pPr>
        <w:pStyle w:val="Heading4"/>
        <w:rPr>
          <w:szCs w:val="26"/>
        </w:rPr>
      </w:pPr>
      <w:r w:rsidRPr="009B38AA">
        <w:rPr>
          <w:szCs w:val="26"/>
        </w:rPr>
        <w:t>Disposition</w:t>
      </w:r>
    </w:p>
    <w:p w:rsidR="007B592F" w:rsidRPr="009B38AA" w:rsidRDefault="007B592F" w:rsidP="009A6E7A">
      <w:pPr>
        <w:pStyle w:val="p3"/>
        <w:tabs>
          <w:tab w:val="clear" w:pos="204"/>
          <w:tab w:val="left" w:pos="0"/>
          <w:tab w:val="left" w:pos="720"/>
        </w:tabs>
        <w:rPr>
          <w:b/>
          <w:szCs w:val="26"/>
        </w:rPr>
      </w:pPr>
    </w:p>
    <w:p w:rsidR="0096400B" w:rsidRPr="009B38AA" w:rsidRDefault="00EE1A02" w:rsidP="00EE1A02">
      <w:pPr>
        <w:ind w:firstLine="720"/>
        <w:rPr>
          <w:szCs w:val="26"/>
        </w:rPr>
      </w:pPr>
      <w:r w:rsidRPr="009B38AA">
        <w:rPr>
          <w:szCs w:val="26"/>
        </w:rPr>
        <w:t>The Commission adopt</w:t>
      </w:r>
      <w:r w:rsidR="002079FA" w:rsidRPr="009B38AA">
        <w:rPr>
          <w:szCs w:val="26"/>
        </w:rPr>
        <w:t>s</w:t>
      </w:r>
      <w:r w:rsidRPr="009B38AA">
        <w:rPr>
          <w:szCs w:val="26"/>
        </w:rPr>
        <w:t xml:space="preserve"> changes to the baseline</w:t>
      </w:r>
      <w:r w:rsidR="002079FA" w:rsidRPr="009B38AA">
        <w:rPr>
          <w:szCs w:val="26"/>
        </w:rPr>
        <w:t xml:space="preserve"> starting in June 1,</w:t>
      </w:r>
      <w:r w:rsidR="00D31F42" w:rsidRPr="009B38AA">
        <w:rPr>
          <w:szCs w:val="26"/>
        </w:rPr>
        <w:t xml:space="preserve"> </w:t>
      </w:r>
      <w:r w:rsidR="002079FA" w:rsidRPr="009B38AA">
        <w:rPr>
          <w:szCs w:val="26"/>
        </w:rPr>
        <w:t xml:space="preserve">2012. </w:t>
      </w:r>
      <w:r w:rsidR="00D31F42" w:rsidRPr="009B38AA">
        <w:rPr>
          <w:szCs w:val="26"/>
        </w:rPr>
        <w:t xml:space="preserve"> </w:t>
      </w:r>
      <w:r w:rsidR="002079FA" w:rsidRPr="009B38AA">
        <w:rPr>
          <w:szCs w:val="26"/>
        </w:rPr>
        <w:t xml:space="preserve">Baseline changes are implemented </w:t>
      </w:r>
      <w:r w:rsidR="00D31F42" w:rsidRPr="009B38AA">
        <w:rPr>
          <w:szCs w:val="26"/>
        </w:rPr>
        <w:t>six</w:t>
      </w:r>
      <w:r w:rsidR="002079FA" w:rsidRPr="009B38AA">
        <w:rPr>
          <w:szCs w:val="26"/>
        </w:rPr>
        <w:t xml:space="preserve"> months after the effective date of the EISA 2007 standards, accounting, to some degree, the effect of stockpiling. </w:t>
      </w:r>
      <w:r w:rsidR="008505C8" w:rsidRPr="009B38AA">
        <w:rPr>
          <w:szCs w:val="26"/>
        </w:rPr>
        <w:t xml:space="preserve"> </w:t>
      </w:r>
      <w:r w:rsidR="00DE0422" w:rsidRPr="009B38AA">
        <w:rPr>
          <w:szCs w:val="26"/>
        </w:rPr>
        <w:t xml:space="preserve">This change will account for the transformation of customer standard practice related to residential lighting due to code changes. </w:t>
      </w:r>
      <w:r w:rsidR="00EF3E93" w:rsidRPr="009B38AA">
        <w:rPr>
          <w:szCs w:val="26"/>
        </w:rPr>
        <w:t xml:space="preserve"> </w:t>
      </w:r>
      <w:r w:rsidR="00DE0422" w:rsidRPr="009B38AA">
        <w:rPr>
          <w:szCs w:val="26"/>
        </w:rPr>
        <w:t xml:space="preserve">Regarding PPL’s assertion that there is insufficient time to modify its plans, the Commission refers to Section </w:t>
      </w:r>
      <w:r w:rsidR="00DE0422" w:rsidRPr="009B38AA">
        <w:rPr>
          <w:szCs w:val="26"/>
        </w:rPr>
        <w:fldChar w:fldCharType="begin"/>
      </w:r>
      <w:r w:rsidR="00DE0422" w:rsidRPr="009B38AA">
        <w:rPr>
          <w:szCs w:val="26"/>
        </w:rPr>
        <w:instrText xml:space="preserve"> REF _Ref310863349 \w \h </w:instrText>
      </w:r>
      <w:r w:rsidR="009B38AA">
        <w:rPr>
          <w:szCs w:val="26"/>
        </w:rPr>
        <w:instrText xml:space="preserve"> \* MERGEFORMAT </w:instrText>
      </w:r>
      <w:r w:rsidR="00DE0422" w:rsidRPr="009B38AA">
        <w:rPr>
          <w:szCs w:val="26"/>
        </w:rPr>
      </w:r>
      <w:r w:rsidR="00DE0422" w:rsidRPr="009B38AA">
        <w:rPr>
          <w:szCs w:val="26"/>
        </w:rPr>
        <w:fldChar w:fldCharType="separate"/>
      </w:r>
      <w:r w:rsidR="00922AFD">
        <w:rPr>
          <w:szCs w:val="26"/>
        </w:rPr>
        <w:t>J</w:t>
      </w:r>
      <w:r w:rsidR="00DE0422" w:rsidRPr="009B38AA">
        <w:rPr>
          <w:szCs w:val="26"/>
        </w:rPr>
        <w:fldChar w:fldCharType="end"/>
      </w:r>
      <w:r w:rsidR="00DE0422" w:rsidRPr="009B38AA">
        <w:rPr>
          <w:szCs w:val="26"/>
        </w:rPr>
        <w:t xml:space="preserve"> of this Order.</w:t>
      </w:r>
      <w:r w:rsidR="008505C8" w:rsidRPr="009B38AA">
        <w:rPr>
          <w:szCs w:val="26"/>
        </w:rPr>
        <w:t xml:space="preserve"> </w:t>
      </w:r>
    </w:p>
    <w:p w:rsidR="0096400B" w:rsidRDefault="0096400B" w:rsidP="009A6E7A">
      <w:pPr>
        <w:pStyle w:val="p3"/>
        <w:tabs>
          <w:tab w:val="clear" w:pos="204"/>
          <w:tab w:val="left" w:pos="0"/>
          <w:tab w:val="left" w:pos="720"/>
        </w:tabs>
        <w:rPr>
          <w:b/>
          <w:szCs w:val="26"/>
        </w:rPr>
      </w:pPr>
    </w:p>
    <w:p w:rsidR="006D3247" w:rsidRDefault="006D3247" w:rsidP="009A6E7A">
      <w:pPr>
        <w:pStyle w:val="p3"/>
        <w:tabs>
          <w:tab w:val="clear" w:pos="204"/>
          <w:tab w:val="left" w:pos="0"/>
          <w:tab w:val="left" w:pos="720"/>
        </w:tabs>
        <w:rPr>
          <w:b/>
          <w:szCs w:val="26"/>
        </w:rPr>
      </w:pPr>
    </w:p>
    <w:p w:rsidR="006D3247" w:rsidRDefault="006D3247" w:rsidP="009A6E7A">
      <w:pPr>
        <w:pStyle w:val="p3"/>
        <w:tabs>
          <w:tab w:val="clear" w:pos="204"/>
          <w:tab w:val="left" w:pos="0"/>
          <w:tab w:val="left" w:pos="720"/>
        </w:tabs>
        <w:rPr>
          <w:b/>
          <w:szCs w:val="26"/>
        </w:rPr>
      </w:pPr>
    </w:p>
    <w:p w:rsidR="006D3247" w:rsidRPr="009B38AA" w:rsidRDefault="006D3247" w:rsidP="009A6E7A">
      <w:pPr>
        <w:pStyle w:val="p3"/>
        <w:tabs>
          <w:tab w:val="clear" w:pos="204"/>
          <w:tab w:val="left" w:pos="0"/>
          <w:tab w:val="left" w:pos="720"/>
        </w:tabs>
        <w:rPr>
          <w:b/>
          <w:szCs w:val="26"/>
        </w:rPr>
      </w:pPr>
    </w:p>
    <w:p w:rsidR="007B592F" w:rsidRPr="009B38AA" w:rsidRDefault="007B592F" w:rsidP="00EB1FAC">
      <w:pPr>
        <w:pStyle w:val="Heading2"/>
      </w:pPr>
      <w:r w:rsidRPr="009B38AA">
        <w:lastRenderedPageBreak/>
        <w:t>Refrigerator and Freezer Retirement and Recycling</w:t>
      </w:r>
    </w:p>
    <w:p w:rsidR="007B592F" w:rsidRPr="009B38AA" w:rsidRDefault="007B592F" w:rsidP="007B592F">
      <w:pPr>
        <w:pStyle w:val="p3"/>
        <w:tabs>
          <w:tab w:val="clear" w:pos="204"/>
          <w:tab w:val="left" w:pos="720"/>
        </w:tabs>
        <w:rPr>
          <w:szCs w:val="26"/>
        </w:rPr>
      </w:pPr>
    </w:p>
    <w:p w:rsidR="00383EE7" w:rsidRPr="009B38AA" w:rsidRDefault="00383EE7" w:rsidP="00383EE7">
      <w:pPr>
        <w:ind w:firstLine="720"/>
        <w:rPr>
          <w:szCs w:val="26"/>
        </w:rPr>
      </w:pPr>
      <w:r w:rsidRPr="009B38AA">
        <w:rPr>
          <w:szCs w:val="26"/>
        </w:rPr>
        <w:t xml:space="preserve">This measure </w:t>
      </w:r>
      <w:r w:rsidR="00806A7C" w:rsidRPr="009B38AA">
        <w:rPr>
          <w:szCs w:val="26"/>
        </w:rPr>
        <w:t xml:space="preserve">involves </w:t>
      </w:r>
      <w:r w:rsidRPr="009B38AA">
        <w:rPr>
          <w:szCs w:val="26"/>
        </w:rPr>
        <w:t>the recycling and replacement</w:t>
      </w:r>
      <w:r w:rsidR="00806A7C" w:rsidRPr="009B38AA">
        <w:rPr>
          <w:szCs w:val="26"/>
        </w:rPr>
        <w:t>,</w:t>
      </w:r>
      <w:r w:rsidRPr="009B38AA">
        <w:rPr>
          <w:szCs w:val="26"/>
        </w:rPr>
        <w:t xml:space="preserve"> before end of life</w:t>
      </w:r>
      <w:r w:rsidR="00806A7C" w:rsidRPr="009B38AA">
        <w:rPr>
          <w:szCs w:val="26"/>
        </w:rPr>
        <w:t>,</w:t>
      </w:r>
      <w:r w:rsidRPr="009B38AA">
        <w:rPr>
          <w:szCs w:val="26"/>
        </w:rPr>
        <w:t xml:space="preserve"> of an existing refrigerator or freezer with a new refrigerator or freezer.  This protocol quantifies savings where the replacement refrigerator or freezer is </w:t>
      </w:r>
      <w:r w:rsidR="00806A7C" w:rsidRPr="009B38AA">
        <w:rPr>
          <w:szCs w:val="26"/>
        </w:rPr>
        <w:t xml:space="preserve">either </w:t>
      </w:r>
      <w:r w:rsidRPr="009B38AA">
        <w:rPr>
          <w:szCs w:val="26"/>
        </w:rPr>
        <w:t xml:space="preserve">ENERGY STAR </w:t>
      </w:r>
      <w:r w:rsidR="00D31F42" w:rsidRPr="009B38AA">
        <w:rPr>
          <w:szCs w:val="26"/>
        </w:rPr>
        <w:t>or</w:t>
      </w:r>
      <w:r w:rsidRPr="009B38AA">
        <w:rPr>
          <w:szCs w:val="26"/>
        </w:rPr>
        <w:t xml:space="preserve"> non-ENERGY STAR qualified.</w:t>
      </w:r>
    </w:p>
    <w:p w:rsidR="00383EE7" w:rsidRPr="009B38AA" w:rsidRDefault="00383EE7" w:rsidP="00383EE7">
      <w:pPr>
        <w:rPr>
          <w:szCs w:val="26"/>
        </w:rPr>
      </w:pPr>
    </w:p>
    <w:p w:rsidR="00383EE7" w:rsidRPr="009B38AA" w:rsidRDefault="005E7865" w:rsidP="00383EE7">
      <w:pPr>
        <w:rPr>
          <w:szCs w:val="26"/>
        </w:rPr>
      </w:pPr>
      <w:r>
        <w:rPr>
          <w:szCs w:val="26"/>
        </w:rPr>
        <w:tab/>
      </w:r>
      <w:r w:rsidR="00383EE7" w:rsidRPr="009B38AA">
        <w:rPr>
          <w:szCs w:val="26"/>
        </w:rPr>
        <w:t>In previous versions of the TRM,</w:t>
      </w:r>
      <w:r w:rsidR="00383EE7" w:rsidRPr="009B38AA">
        <w:rPr>
          <w:szCs w:val="26"/>
          <w:vertAlign w:val="superscript"/>
        </w:rPr>
        <w:footnoteReference w:id="49"/>
      </w:r>
      <w:r w:rsidR="00383EE7" w:rsidRPr="009B38AA">
        <w:rPr>
          <w:szCs w:val="26"/>
        </w:rPr>
        <w:t xml:space="preserve"> the deemed energy savings values were based on estimates.  These estimates relied on averages that may or may not accurately reflect conditions in Pennsylvania.  As such, the Commission proposed that the TWG review the applicability of the California Appliance Recycling Program’s regression model (“model”), </w:t>
      </w:r>
      <w:r w:rsidR="00383EE7" w:rsidRPr="009B38AA">
        <w:rPr>
          <w:szCs w:val="26"/>
          <w:vertAlign w:val="superscript"/>
        </w:rPr>
        <w:footnoteReference w:id="50"/>
      </w:r>
      <w:r w:rsidR="00383EE7" w:rsidRPr="009B38AA">
        <w:rPr>
          <w:szCs w:val="26"/>
        </w:rPr>
        <w:t xml:space="preserve"> based on in situ metering data, to update deemed savings values every year.</w:t>
      </w:r>
      <w:r w:rsidR="00806A7C" w:rsidRPr="009B38AA">
        <w:rPr>
          <w:szCs w:val="26"/>
        </w:rPr>
        <w:t xml:space="preserve">  </w:t>
      </w:r>
      <w:r w:rsidR="00383EE7" w:rsidRPr="009B38AA">
        <w:rPr>
          <w:szCs w:val="26"/>
        </w:rPr>
        <w:t>The TWG compile</w:t>
      </w:r>
      <w:r w:rsidR="00806A7C" w:rsidRPr="009B38AA">
        <w:rPr>
          <w:szCs w:val="26"/>
        </w:rPr>
        <w:t>s</w:t>
      </w:r>
      <w:r w:rsidR="00383EE7" w:rsidRPr="009B38AA">
        <w:rPr>
          <w:szCs w:val="26"/>
        </w:rPr>
        <w:t xml:space="preserve"> appliance characteristics from each EDC and calculate</w:t>
      </w:r>
      <w:r w:rsidR="00806A7C" w:rsidRPr="009B38AA">
        <w:rPr>
          <w:szCs w:val="26"/>
        </w:rPr>
        <w:t>s</w:t>
      </w:r>
      <w:r w:rsidR="00383EE7" w:rsidRPr="009B38AA">
        <w:rPr>
          <w:szCs w:val="26"/>
        </w:rPr>
        <w:t xml:space="preserve"> statewide averages that feed into the model’s independent variable inputs.  Each year, the averages </w:t>
      </w:r>
      <w:r w:rsidR="00806A7C" w:rsidRPr="009B38AA">
        <w:rPr>
          <w:szCs w:val="26"/>
        </w:rPr>
        <w:t>are</w:t>
      </w:r>
      <w:r w:rsidR="00383EE7" w:rsidRPr="009B38AA">
        <w:rPr>
          <w:szCs w:val="26"/>
        </w:rPr>
        <w:t xml:space="preserve"> recalculated using up-to-date information collected from the EDCs.  The TWG </w:t>
      </w:r>
      <w:r w:rsidR="00806A7C" w:rsidRPr="009B38AA">
        <w:rPr>
          <w:szCs w:val="26"/>
        </w:rPr>
        <w:t xml:space="preserve">will </w:t>
      </w:r>
      <w:r w:rsidR="00383EE7" w:rsidRPr="009B38AA">
        <w:rPr>
          <w:szCs w:val="26"/>
        </w:rPr>
        <w:t xml:space="preserve">then determine if the deemed savings values, as calculated using the model, </w:t>
      </w:r>
      <w:r w:rsidR="00806A7C" w:rsidRPr="009B38AA">
        <w:rPr>
          <w:szCs w:val="26"/>
        </w:rPr>
        <w:t xml:space="preserve">are </w:t>
      </w:r>
      <w:r w:rsidR="00383EE7" w:rsidRPr="009B38AA">
        <w:rPr>
          <w:szCs w:val="26"/>
        </w:rPr>
        <w:t>more accurate and reflective of Pennsylvania.  The Commission requested recommendations regarding the use of the model to determine deemed savings values for the refrigerator</w:t>
      </w:r>
      <w:r w:rsidR="00806A7C" w:rsidRPr="009B38AA">
        <w:rPr>
          <w:szCs w:val="26"/>
        </w:rPr>
        <w:t xml:space="preserve"> and </w:t>
      </w:r>
      <w:r w:rsidR="00383EE7" w:rsidRPr="009B38AA">
        <w:rPr>
          <w:szCs w:val="26"/>
        </w:rPr>
        <w:t>freezer retirement and recycling protocols for future TRM updates.</w:t>
      </w:r>
    </w:p>
    <w:p w:rsidR="00383EE7" w:rsidRPr="009B38AA" w:rsidRDefault="00383EE7" w:rsidP="00383EE7">
      <w:pPr>
        <w:pStyle w:val="p3"/>
        <w:tabs>
          <w:tab w:val="clear" w:pos="204"/>
          <w:tab w:val="left" w:pos="720"/>
        </w:tabs>
        <w:rPr>
          <w:szCs w:val="26"/>
        </w:rPr>
      </w:pPr>
    </w:p>
    <w:p w:rsidR="00383EE7" w:rsidRPr="009B38AA" w:rsidRDefault="00383EE7" w:rsidP="00383EE7">
      <w:pPr>
        <w:pStyle w:val="Heading3"/>
        <w:rPr>
          <w:rFonts w:cs="Times New Roman"/>
        </w:rPr>
      </w:pPr>
      <w:r w:rsidRPr="009B38AA">
        <w:rPr>
          <w:rFonts w:cs="Times New Roman"/>
        </w:rPr>
        <w:t>Comments</w:t>
      </w:r>
    </w:p>
    <w:p w:rsidR="00383EE7" w:rsidRPr="009B38AA" w:rsidRDefault="00383EE7" w:rsidP="00383EE7">
      <w:pPr>
        <w:pStyle w:val="p3"/>
        <w:tabs>
          <w:tab w:val="clear" w:pos="204"/>
          <w:tab w:val="left" w:pos="-3060"/>
        </w:tabs>
        <w:ind w:firstLine="720"/>
        <w:rPr>
          <w:szCs w:val="26"/>
        </w:rPr>
      </w:pPr>
    </w:p>
    <w:p w:rsidR="00383EE7" w:rsidRPr="009B38AA" w:rsidRDefault="00383EE7" w:rsidP="00383EE7">
      <w:pPr>
        <w:ind w:firstLine="720"/>
        <w:rPr>
          <w:szCs w:val="26"/>
        </w:rPr>
      </w:pPr>
      <w:r w:rsidRPr="009B38AA">
        <w:rPr>
          <w:szCs w:val="26"/>
        </w:rPr>
        <w:t xml:space="preserve">PPL generally agrees with the idea of updating deemed savings to be more accurate.  PPL </w:t>
      </w:r>
      <w:r w:rsidR="00806A7C" w:rsidRPr="009B38AA">
        <w:rPr>
          <w:szCs w:val="26"/>
        </w:rPr>
        <w:t xml:space="preserve">asserts, however, </w:t>
      </w:r>
      <w:r w:rsidRPr="009B38AA">
        <w:rPr>
          <w:szCs w:val="26"/>
        </w:rPr>
        <w:t xml:space="preserve">that savings values should only be </w:t>
      </w:r>
      <w:proofErr w:type="gramStart"/>
      <w:r w:rsidRPr="009B38AA">
        <w:rPr>
          <w:szCs w:val="26"/>
        </w:rPr>
        <w:t>updated  if</w:t>
      </w:r>
      <w:proofErr w:type="gramEnd"/>
      <w:r w:rsidRPr="009B38AA">
        <w:rPr>
          <w:szCs w:val="26"/>
        </w:rPr>
        <w:t xml:space="preserve"> there is reason to believe the current savings </w:t>
      </w:r>
      <w:r w:rsidR="00806A7C" w:rsidRPr="009B38AA">
        <w:rPr>
          <w:szCs w:val="26"/>
        </w:rPr>
        <w:t xml:space="preserve">are </w:t>
      </w:r>
      <w:r w:rsidRPr="009B38AA">
        <w:rPr>
          <w:szCs w:val="26"/>
        </w:rPr>
        <w:t xml:space="preserve">significantly inaccurate, the measure is a </w:t>
      </w:r>
      <w:r w:rsidRPr="009B38AA">
        <w:rPr>
          <w:szCs w:val="26"/>
        </w:rPr>
        <w:lastRenderedPageBreak/>
        <w:t>significant contributor to portfolio savings, the cost to determine more accurate savings does not exceed the benefit of more-accurate information and the updated savings become effective with the beginning of an EE&amp;C planning cycle</w:t>
      </w:r>
      <w:r w:rsidR="00806A7C" w:rsidRPr="009B38AA">
        <w:rPr>
          <w:szCs w:val="26"/>
        </w:rPr>
        <w:t>.</w:t>
      </w:r>
      <w:r w:rsidRPr="009B38AA">
        <w:rPr>
          <w:szCs w:val="26"/>
        </w:rPr>
        <w:t xml:space="preserve"> </w:t>
      </w:r>
      <w:r w:rsidR="00806A7C" w:rsidRPr="009B38AA">
        <w:rPr>
          <w:szCs w:val="26"/>
        </w:rPr>
        <w:t xml:space="preserve"> </w:t>
      </w:r>
      <w:proofErr w:type="gramStart"/>
      <w:r w:rsidRPr="009B38AA">
        <w:rPr>
          <w:szCs w:val="26"/>
        </w:rPr>
        <w:t>PPL Comments at 17</w:t>
      </w:r>
      <w:r w:rsidR="00806A7C" w:rsidRPr="009B38AA">
        <w:rPr>
          <w:szCs w:val="26"/>
        </w:rPr>
        <w:t xml:space="preserve"> and </w:t>
      </w:r>
      <w:r w:rsidRPr="009B38AA">
        <w:rPr>
          <w:szCs w:val="26"/>
        </w:rPr>
        <w:t>18</w:t>
      </w:r>
      <w:r w:rsidR="00806A7C" w:rsidRPr="009B38AA">
        <w:rPr>
          <w:szCs w:val="26"/>
        </w:rPr>
        <w:t>.</w:t>
      </w:r>
      <w:proofErr w:type="gramEnd"/>
      <w:r w:rsidR="00806A7C" w:rsidRPr="009B38AA">
        <w:rPr>
          <w:szCs w:val="26"/>
        </w:rPr>
        <w:t xml:space="preserve">  </w:t>
      </w:r>
      <w:r w:rsidRPr="009B38AA">
        <w:rPr>
          <w:szCs w:val="26"/>
        </w:rPr>
        <w:t xml:space="preserve">PPL also </w:t>
      </w:r>
      <w:r w:rsidR="00806A7C" w:rsidRPr="009B38AA">
        <w:rPr>
          <w:szCs w:val="26"/>
        </w:rPr>
        <w:t xml:space="preserve">recommends </w:t>
      </w:r>
      <w:r w:rsidRPr="009B38AA">
        <w:rPr>
          <w:szCs w:val="26"/>
        </w:rPr>
        <w:t xml:space="preserve">that all recycled refrigerators and freezers have a deemed gross savings of 1,659 kWh, no matter the replacement scenario. </w:t>
      </w:r>
      <w:r w:rsidR="00806A7C" w:rsidRPr="009B38AA">
        <w:rPr>
          <w:szCs w:val="26"/>
        </w:rPr>
        <w:t xml:space="preserve"> </w:t>
      </w:r>
      <w:proofErr w:type="gramStart"/>
      <w:r w:rsidRPr="009B38AA">
        <w:rPr>
          <w:szCs w:val="26"/>
        </w:rPr>
        <w:t>PPL Comments at 6</w:t>
      </w:r>
      <w:r w:rsidR="00806A7C" w:rsidRPr="009B38AA">
        <w:rPr>
          <w:szCs w:val="26"/>
        </w:rPr>
        <w:t xml:space="preserve"> and </w:t>
      </w:r>
      <w:r w:rsidRPr="009B38AA">
        <w:rPr>
          <w:szCs w:val="26"/>
        </w:rPr>
        <w:t>7</w:t>
      </w:r>
      <w:r w:rsidR="00806A7C" w:rsidRPr="009B38AA">
        <w:rPr>
          <w:szCs w:val="26"/>
        </w:rPr>
        <w:t>.</w:t>
      </w:r>
      <w:proofErr w:type="gramEnd"/>
      <w:r w:rsidR="005E7865">
        <w:rPr>
          <w:szCs w:val="26"/>
        </w:rPr>
        <w:t xml:space="preserve">  </w:t>
      </w:r>
      <w:r w:rsidRPr="009B38AA">
        <w:rPr>
          <w:szCs w:val="26"/>
        </w:rPr>
        <w:t xml:space="preserve">FirstEnergy </w:t>
      </w:r>
      <w:r w:rsidR="00806A7C" w:rsidRPr="009B38AA">
        <w:rPr>
          <w:szCs w:val="26"/>
        </w:rPr>
        <w:t xml:space="preserve">echoes </w:t>
      </w:r>
      <w:r w:rsidRPr="009B38AA">
        <w:rPr>
          <w:szCs w:val="26"/>
        </w:rPr>
        <w:t xml:space="preserve">PPL’s comments and </w:t>
      </w:r>
      <w:r w:rsidR="00806A7C" w:rsidRPr="009B38AA">
        <w:rPr>
          <w:szCs w:val="26"/>
        </w:rPr>
        <w:t xml:space="preserve">emphasizes </w:t>
      </w:r>
      <w:r w:rsidRPr="009B38AA">
        <w:rPr>
          <w:szCs w:val="26"/>
        </w:rPr>
        <w:t xml:space="preserve">that the focus should be removal from the grid. </w:t>
      </w:r>
      <w:r w:rsidR="00806A7C" w:rsidRPr="009B38AA">
        <w:rPr>
          <w:szCs w:val="26"/>
        </w:rPr>
        <w:t xml:space="preserve"> </w:t>
      </w:r>
      <w:proofErr w:type="gramStart"/>
      <w:r w:rsidRPr="009B38AA">
        <w:rPr>
          <w:szCs w:val="26"/>
        </w:rPr>
        <w:t>FirstEnergy Reply Comments at 2</w:t>
      </w:r>
      <w:r w:rsidR="00806A7C" w:rsidRPr="009B38AA">
        <w:rPr>
          <w:szCs w:val="26"/>
        </w:rPr>
        <w:t xml:space="preserve"> and </w:t>
      </w:r>
      <w:r w:rsidRPr="009B38AA">
        <w:rPr>
          <w:szCs w:val="26"/>
        </w:rPr>
        <w:t>3</w:t>
      </w:r>
      <w:r w:rsidR="00806A7C" w:rsidRPr="009B38AA">
        <w:rPr>
          <w:szCs w:val="26"/>
        </w:rPr>
        <w:t>.</w:t>
      </w:r>
      <w:proofErr w:type="gramEnd"/>
      <w:r w:rsidRPr="009B38AA">
        <w:rPr>
          <w:szCs w:val="26"/>
        </w:rPr>
        <w:t xml:space="preserve">  </w:t>
      </w:r>
      <w:r w:rsidR="00806A7C" w:rsidRPr="009B38AA">
        <w:rPr>
          <w:szCs w:val="26"/>
        </w:rPr>
        <w:t xml:space="preserve">Finally, PPL believes that language should be included to note that these protocols apply to residential as well as non-residential sectors.  </w:t>
      </w:r>
      <w:proofErr w:type="gramStart"/>
      <w:r w:rsidR="00806A7C" w:rsidRPr="009B38AA">
        <w:rPr>
          <w:szCs w:val="26"/>
        </w:rPr>
        <w:t>PPL Comments at 6 and 7.</w:t>
      </w:r>
      <w:proofErr w:type="gramEnd"/>
    </w:p>
    <w:p w:rsidR="00383EE7" w:rsidRPr="009B38AA" w:rsidRDefault="00383EE7" w:rsidP="00383EE7">
      <w:pPr>
        <w:ind w:firstLine="720"/>
        <w:rPr>
          <w:szCs w:val="26"/>
        </w:rPr>
      </w:pPr>
    </w:p>
    <w:p w:rsidR="00383EE7" w:rsidRPr="009B38AA" w:rsidRDefault="00383EE7" w:rsidP="00383EE7">
      <w:pPr>
        <w:ind w:firstLine="720"/>
        <w:rPr>
          <w:szCs w:val="26"/>
        </w:rPr>
      </w:pPr>
      <w:r w:rsidRPr="009B38AA">
        <w:rPr>
          <w:szCs w:val="26"/>
        </w:rPr>
        <w:t xml:space="preserve">Citizen Power </w:t>
      </w:r>
      <w:r w:rsidR="00806A7C" w:rsidRPr="009B38AA">
        <w:rPr>
          <w:szCs w:val="26"/>
        </w:rPr>
        <w:t xml:space="preserve">disagrees </w:t>
      </w:r>
      <w:r w:rsidRPr="009B38AA">
        <w:rPr>
          <w:szCs w:val="26"/>
        </w:rPr>
        <w:t>with PPL, noting that a refrigerator</w:t>
      </w:r>
      <w:r w:rsidR="00806A7C" w:rsidRPr="009B38AA">
        <w:rPr>
          <w:szCs w:val="26"/>
        </w:rPr>
        <w:t xml:space="preserve"> or </w:t>
      </w:r>
      <w:r w:rsidR="0014498C" w:rsidRPr="009B38AA">
        <w:rPr>
          <w:szCs w:val="26"/>
        </w:rPr>
        <w:t>freezer</w:t>
      </w:r>
      <w:r w:rsidRPr="009B38AA">
        <w:rPr>
          <w:szCs w:val="26"/>
        </w:rPr>
        <w:t xml:space="preserve"> that is recycled and replaced with a new unit should have the usage of the new unit reflected in the savings calculations. </w:t>
      </w:r>
      <w:r w:rsidR="00806A7C" w:rsidRPr="009B38AA">
        <w:rPr>
          <w:szCs w:val="26"/>
        </w:rPr>
        <w:t xml:space="preserve"> </w:t>
      </w:r>
      <w:proofErr w:type="gramStart"/>
      <w:r w:rsidRPr="009B38AA">
        <w:rPr>
          <w:szCs w:val="26"/>
        </w:rPr>
        <w:t>Citizen Power Reply Comments at 1</w:t>
      </w:r>
      <w:r w:rsidR="00806A7C" w:rsidRPr="009B38AA">
        <w:rPr>
          <w:szCs w:val="26"/>
        </w:rPr>
        <w:t>.</w:t>
      </w:r>
      <w:proofErr w:type="gramEnd"/>
    </w:p>
    <w:p w:rsidR="00383EE7" w:rsidRPr="009B38AA" w:rsidRDefault="00383EE7" w:rsidP="00DD5961">
      <w:pPr>
        <w:pStyle w:val="p3"/>
        <w:tabs>
          <w:tab w:val="clear" w:pos="204"/>
          <w:tab w:val="left" w:pos="720"/>
        </w:tabs>
        <w:rPr>
          <w:szCs w:val="26"/>
        </w:rPr>
      </w:pPr>
      <w:r w:rsidRPr="009B38AA">
        <w:rPr>
          <w:szCs w:val="26"/>
        </w:rPr>
        <w:tab/>
      </w:r>
    </w:p>
    <w:p w:rsidR="00383EE7" w:rsidRPr="009B38AA" w:rsidRDefault="00383EE7" w:rsidP="00383EE7">
      <w:pPr>
        <w:pStyle w:val="Heading3"/>
        <w:rPr>
          <w:rFonts w:cs="Times New Roman"/>
        </w:rPr>
      </w:pPr>
      <w:r w:rsidRPr="009B38AA">
        <w:rPr>
          <w:rFonts w:cs="Times New Roman"/>
        </w:rPr>
        <w:t>Disposition</w:t>
      </w:r>
    </w:p>
    <w:p w:rsidR="00383EE7" w:rsidRPr="009B38AA" w:rsidRDefault="00383EE7" w:rsidP="00383EE7">
      <w:pPr>
        <w:pStyle w:val="p3"/>
        <w:tabs>
          <w:tab w:val="clear" w:pos="204"/>
          <w:tab w:val="left" w:pos="720"/>
        </w:tabs>
        <w:rPr>
          <w:szCs w:val="26"/>
        </w:rPr>
      </w:pPr>
    </w:p>
    <w:p w:rsidR="00383EE7" w:rsidRPr="009B38AA" w:rsidRDefault="00383EE7" w:rsidP="00383EE7">
      <w:pPr>
        <w:pStyle w:val="p3"/>
        <w:tabs>
          <w:tab w:val="clear" w:pos="204"/>
          <w:tab w:val="left" w:pos="720"/>
        </w:tabs>
        <w:rPr>
          <w:szCs w:val="26"/>
        </w:rPr>
      </w:pPr>
      <w:r w:rsidRPr="009B38AA">
        <w:rPr>
          <w:szCs w:val="26"/>
        </w:rPr>
        <w:tab/>
        <w:t xml:space="preserve">The Commission believes that there is reason to investigate this savings protocol. </w:t>
      </w:r>
      <w:r w:rsidR="0014498C" w:rsidRPr="009B38AA">
        <w:rPr>
          <w:szCs w:val="26"/>
        </w:rPr>
        <w:t xml:space="preserve"> </w:t>
      </w:r>
      <w:r w:rsidRPr="009B38AA">
        <w:rPr>
          <w:szCs w:val="26"/>
        </w:rPr>
        <w:t xml:space="preserve">Based on a review of evaluation reports </w:t>
      </w:r>
      <w:r w:rsidR="0014498C" w:rsidRPr="009B38AA">
        <w:rPr>
          <w:szCs w:val="26"/>
        </w:rPr>
        <w:t>from other jurisdictions</w:t>
      </w:r>
      <w:r w:rsidR="00806A7C" w:rsidRPr="009B38AA">
        <w:rPr>
          <w:szCs w:val="26"/>
        </w:rPr>
        <w:t>,</w:t>
      </w:r>
      <w:r w:rsidR="005004F4" w:rsidRPr="009B38AA">
        <w:rPr>
          <w:rStyle w:val="FootnoteReference"/>
          <w:szCs w:val="26"/>
        </w:rPr>
        <w:footnoteReference w:id="51"/>
      </w:r>
      <w:r w:rsidRPr="009B38AA">
        <w:rPr>
          <w:szCs w:val="26"/>
        </w:rPr>
        <w:t xml:space="preserve"> the Commission found that there is wide variation between savings claims. </w:t>
      </w:r>
      <w:r w:rsidR="0014498C" w:rsidRPr="009B38AA">
        <w:rPr>
          <w:szCs w:val="26"/>
        </w:rPr>
        <w:t xml:space="preserve"> </w:t>
      </w:r>
      <w:r w:rsidR="00AF7095" w:rsidRPr="009B38AA">
        <w:rPr>
          <w:szCs w:val="26"/>
        </w:rPr>
        <w:t xml:space="preserve">Such variation </w:t>
      </w:r>
      <w:r w:rsidRPr="009B38AA">
        <w:rPr>
          <w:szCs w:val="26"/>
        </w:rPr>
        <w:t>can be attributable to a number of factors, including program maturity (which is tied to the age of refrigerators and freezers that are likely to be recycled), type</w:t>
      </w:r>
      <w:r w:rsidR="00AF7095" w:rsidRPr="009B38AA">
        <w:rPr>
          <w:szCs w:val="26"/>
        </w:rPr>
        <w:t xml:space="preserve"> and </w:t>
      </w:r>
      <w:r w:rsidRPr="009B38AA">
        <w:rPr>
          <w:szCs w:val="26"/>
        </w:rPr>
        <w:t xml:space="preserve">configuration of refrigerators and freezers, location, demographics, and most notably, customer behavior. </w:t>
      </w:r>
    </w:p>
    <w:p w:rsidR="00383EE7" w:rsidRDefault="00383EE7" w:rsidP="00383EE7">
      <w:pPr>
        <w:pStyle w:val="p3"/>
        <w:tabs>
          <w:tab w:val="clear" w:pos="204"/>
          <w:tab w:val="left" w:pos="720"/>
        </w:tabs>
        <w:rPr>
          <w:szCs w:val="26"/>
        </w:rPr>
      </w:pPr>
    </w:p>
    <w:p w:rsidR="006D3247" w:rsidRPr="009B38AA" w:rsidRDefault="006D3247" w:rsidP="00383EE7">
      <w:pPr>
        <w:pStyle w:val="p3"/>
        <w:tabs>
          <w:tab w:val="clear" w:pos="204"/>
          <w:tab w:val="left" w:pos="720"/>
        </w:tabs>
        <w:rPr>
          <w:szCs w:val="26"/>
        </w:rPr>
      </w:pPr>
    </w:p>
    <w:p w:rsidR="00383EE7" w:rsidRPr="009B38AA" w:rsidRDefault="00383EE7" w:rsidP="00383EE7">
      <w:pPr>
        <w:pStyle w:val="p3"/>
        <w:tabs>
          <w:tab w:val="clear" w:pos="204"/>
          <w:tab w:val="left" w:pos="720"/>
        </w:tabs>
        <w:rPr>
          <w:szCs w:val="26"/>
        </w:rPr>
      </w:pPr>
      <w:r w:rsidRPr="009B38AA">
        <w:rPr>
          <w:szCs w:val="26"/>
        </w:rPr>
        <w:lastRenderedPageBreak/>
        <w:tab/>
        <w:t xml:space="preserve">Therefore, </w:t>
      </w:r>
      <w:r w:rsidR="00AF7095" w:rsidRPr="009B38AA">
        <w:rPr>
          <w:szCs w:val="26"/>
        </w:rPr>
        <w:t>we</w:t>
      </w:r>
      <w:r w:rsidRPr="009B38AA">
        <w:rPr>
          <w:szCs w:val="26"/>
        </w:rPr>
        <w:t xml:space="preserve"> direct the TWG to investigate and evaluate alternative savings protocols used in other jurisdictions to inform the possibility of a future update to the savings </w:t>
      </w:r>
      <w:r w:rsidR="00EE7348" w:rsidRPr="009B38AA">
        <w:rPr>
          <w:szCs w:val="26"/>
        </w:rPr>
        <w:t>associated with</w:t>
      </w:r>
      <w:r w:rsidRPr="009B38AA">
        <w:rPr>
          <w:szCs w:val="26"/>
        </w:rPr>
        <w:t xml:space="preserve"> this protocol.</w:t>
      </w:r>
      <w:r w:rsidR="0014498C" w:rsidRPr="009B38AA">
        <w:rPr>
          <w:szCs w:val="26"/>
        </w:rPr>
        <w:t xml:space="preserve"> </w:t>
      </w:r>
      <w:r w:rsidRPr="009B38AA">
        <w:rPr>
          <w:szCs w:val="26"/>
        </w:rPr>
        <w:t xml:space="preserve"> In particular, the Commission recognizes that the regression models developed in California for the 2004-2005 and 2006-2008</w:t>
      </w:r>
      <w:r w:rsidR="005004F4" w:rsidRPr="009B38AA">
        <w:rPr>
          <w:rStyle w:val="FootnoteReference"/>
          <w:szCs w:val="26"/>
        </w:rPr>
        <w:footnoteReference w:id="52"/>
      </w:r>
      <w:r w:rsidRPr="009B38AA">
        <w:rPr>
          <w:szCs w:val="26"/>
        </w:rPr>
        <w:t xml:space="preserve"> statewide evaluations are commonly used to determine savings in other states. </w:t>
      </w:r>
      <w:r w:rsidR="0014498C" w:rsidRPr="009B38AA">
        <w:rPr>
          <w:szCs w:val="26"/>
        </w:rPr>
        <w:t xml:space="preserve"> </w:t>
      </w:r>
      <w:r w:rsidR="00AF7095" w:rsidRPr="009B38AA">
        <w:rPr>
          <w:szCs w:val="26"/>
        </w:rPr>
        <w:t>Specifically</w:t>
      </w:r>
      <w:r w:rsidRPr="009B38AA">
        <w:rPr>
          <w:szCs w:val="26"/>
        </w:rPr>
        <w:t xml:space="preserve">, </w:t>
      </w:r>
      <w:r w:rsidR="00AF7095" w:rsidRPr="009B38AA">
        <w:rPr>
          <w:szCs w:val="26"/>
        </w:rPr>
        <w:t>we direct</w:t>
      </w:r>
      <w:r w:rsidRPr="009B38AA">
        <w:rPr>
          <w:szCs w:val="26"/>
        </w:rPr>
        <w:t xml:space="preserve"> the TWG </w:t>
      </w:r>
      <w:r w:rsidR="00AF7095" w:rsidRPr="009B38AA">
        <w:rPr>
          <w:szCs w:val="26"/>
        </w:rPr>
        <w:t>evaluate</w:t>
      </w:r>
      <w:r w:rsidRPr="009B38AA">
        <w:rPr>
          <w:szCs w:val="26"/>
        </w:rPr>
        <w:t xml:space="preserve"> the applicability of the California regression model to Pennsylvania to improve savings estimates</w:t>
      </w:r>
      <w:r w:rsidR="00AF7095" w:rsidRPr="009B38AA">
        <w:rPr>
          <w:szCs w:val="26"/>
        </w:rPr>
        <w:t xml:space="preserve"> and propose any applicable changes to this protocol in future TRM updates</w:t>
      </w:r>
      <w:r w:rsidRPr="009B38AA">
        <w:rPr>
          <w:szCs w:val="26"/>
        </w:rPr>
        <w:t>.</w:t>
      </w:r>
    </w:p>
    <w:p w:rsidR="00383EE7" w:rsidRPr="009B38AA" w:rsidRDefault="00383EE7" w:rsidP="00383EE7">
      <w:pPr>
        <w:pStyle w:val="p3"/>
        <w:tabs>
          <w:tab w:val="clear" w:pos="204"/>
          <w:tab w:val="left" w:pos="720"/>
        </w:tabs>
        <w:rPr>
          <w:szCs w:val="26"/>
        </w:rPr>
      </w:pPr>
    </w:p>
    <w:p w:rsidR="00383EE7" w:rsidRPr="009B38AA" w:rsidRDefault="00383EE7" w:rsidP="00383EE7">
      <w:pPr>
        <w:pStyle w:val="p3"/>
        <w:tabs>
          <w:tab w:val="clear" w:pos="204"/>
          <w:tab w:val="left" w:pos="720"/>
        </w:tabs>
        <w:rPr>
          <w:b/>
          <w:szCs w:val="26"/>
        </w:rPr>
      </w:pPr>
      <w:r w:rsidRPr="009B38AA">
        <w:rPr>
          <w:szCs w:val="26"/>
        </w:rPr>
        <w:tab/>
        <w:t>The Commission does not agree</w:t>
      </w:r>
      <w:r w:rsidR="00AF7095" w:rsidRPr="009B38AA">
        <w:rPr>
          <w:szCs w:val="26"/>
        </w:rPr>
        <w:t xml:space="preserve"> with PPL</w:t>
      </w:r>
      <w:r w:rsidRPr="009B38AA">
        <w:rPr>
          <w:szCs w:val="26"/>
        </w:rPr>
        <w:t xml:space="preserve"> that all recycled refrigerators and freezers should have a deemed gross savings of 1,659</w:t>
      </w:r>
      <w:r w:rsidR="00AF7095" w:rsidRPr="009B38AA">
        <w:rPr>
          <w:szCs w:val="26"/>
        </w:rPr>
        <w:t xml:space="preserve"> </w:t>
      </w:r>
      <w:proofErr w:type="gramStart"/>
      <w:r w:rsidR="00AF7095" w:rsidRPr="009B38AA">
        <w:rPr>
          <w:szCs w:val="26"/>
        </w:rPr>
        <w:t>kwh</w:t>
      </w:r>
      <w:proofErr w:type="gramEnd"/>
      <w:r w:rsidR="0014498C" w:rsidRPr="009B38AA">
        <w:rPr>
          <w:szCs w:val="26"/>
        </w:rPr>
        <w:t>, irrespective of the</w:t>
      </w:r>
      <w:r w:rsidRPr="009B38AA">
        <w:rPr>
          <w:szCs w:val="26"/>
        </w:rPr>
        <w:t xml:space="preserve"> scenario. </w:t>
      </w:r>
      <w:r w:rsidR="0014498C" w:rsidRPr="009B38AA">
        <w:rPr>
          <w:szCs w:val="26"/>
        </w:rPr>
        <w:t xml:space="preserve"> </w:t>
      </w:r>
      <w:r w:rsidRPr="009B38AA">
        <w:rPr>
          <w:szCs w:val="26"/>
        </w:rPr>
        <w:t xml:space="preserve">The Commission stated in </w:t>
      </w:r>
      <w:r w:rsidR="0014498C" w:rsidRPr="009B38AA">
        <w:rPr>
          <w:szCs w:val="26"/>
        </w:rPr>
        <w:t>its</w:t>
      </w:r>
      <w:r w:rsidRPr="009B38AA">
        <w:rPr>
          <w:szCs w:val="26"/>
        </w:rPr>
        <w:t xml:space="preserve"> 2011 TRM </w:t>
      </w:r>
      <w:r w:rsidR="0014498C" w:rsidRPr="009B38AA">
        <w:rPr>
          <w:szCs w:val="26"/>
        </w:rPr>
        <w:t>Final Order</w:t>
      </w:r>
      <w:r w:rsidRPr="009B38AA">
        <w:rPr>
          <w:szCs w:val="26"/>
        </w:rPr>
        <w:t xml:space="preserve"> that “the deemed savings value for refrigerators/freezers that are removed then replaced with new equipment must be added [to the TRM] to accurately reflect all potential scenarios</w:t>
      </w:r>
      <w:r w:rsidR="0014498C" w:rsidRPr="009B38AA">
        <w:rPr>
          <w:szCs w:val="26"/>
        </w:rPr>
        <w:t xml:space="preserve"> and the savings they produce.”</w:t>
      </w:r>
      <w:r w:rsidR="0014498C" w:rsidRPr="009B38AA">
        <w:rPr>
          <w:rStyle w:val="FootnoteReference"/>
          <w:szCs w:val="26"/>
        </w:rPr>
        <w:footnoteReference w:id="53"/>
      </w:r>
      <w:r w:rsidR="00802A55" w:rsidRPr="009B38AA">
        <w:rPr>
          <w:szCs w:val="26"/>
        </w:rPr>
        <w:t xml:space="preserve">  As such, the Commission maintain</w:t>
      </w:r>
      <w:r w:rsidR="006565C5" w:rsidRPr="009B38AA">
        <w:rPr>
          <w:szCs w:val="26"/>
        </w:rPr>
        <w:t>s</w:t>
      </w:r>
      <w:r w:rsidR="00802A55" w:rsidRPr="009B38AA">
        <w:rPr>
          <w:szCs w:val="26"/>
        </w:rPr>
        <w:t xml:space="preserve"> the values of 1,659 and 1,205 for the Refrigerator/Freezer Retirement (and Recycling) and the Refrigerator/Freezer Recycling and Replacement scenarios, respectively.</w:t>
      </w:r>
      <w:r w:rsidR="00AF7095" w:rsidRPr="009B38AA">
        <w:rPr>
          <w:szCs w:val="26"/>
        </w:rPr>
        <w:t xml:space="preserve">  </w:t>
      </w:r>
      <w:r w:rsidRPr="009B38AA">
        <w:rPr>
          <w:szCs w:val="26"/>
        </w:rPr>
        <w:t>The Commission</w:t>
      </w:r>
      <w:r w:rsidR="00AF7095" w:rsidRPr="009B38AA">
        <w:rPr>
          <w:szCs w:val="26"/>
        </w:rPr>
        <w:t>, however,</w:t>
      </w:r>
      <w:r w:rsidRPr="009B38AA">
        <w:rPr>
          <w:szCs w:val="26"/>
        </w:rPr>
        <w:t xml:space="preserve"> is in agreement with PPL’s suggestion to note that the retirement protocol applies</w:t>
      </w:r>
      <w:r w:rsidR="006565C5" w:rsidRPr="009B38AA">
        <w:rPr>
          <w:szCs w:val="26"/>
        </w:rPr>
        <w:t xml:space="preserve"> </w:t>
      </w:r>
      <w:r w:rsidR="006F4636">
        <w:rPr>
          <w:szCs w:val="26"/>
        </w:rPr>
        <w:t xml:space="preserve">to </w:t>
      </w:r>
      <w:r w:rsidR="00AF7095" w:rsidRPr="009B38AA">
        <w:rPr>
          <w:szCs w:val="26"/>
        </w:rPr>
        <w:t>both</w:t>
      </w:r>
      <w:r w:rsidRPr="009B38AA">
        <w:rPr>
          <w:szCs w:val="26"/>
        </w:rPr>
        <w:t xml:space="preserve"> residential and non-residential sectors and </w:t>
      </w:r>
      <w:r w:rsidR="00AF7095" w:rsidRPr="009B38AA">
        <w:rPr>
          <w:szCs w:val="26"/>
        </w:rPr>
        <w:t>has</w:t>
      </w:r>
      <w:r w:rsidRPr="009B38AA">
        <w:rPr>
          <w:szCs w:val="26"/>
        </w:rPr>
        <w:t xml:space="preserve"> incorporated</w:t>
      </w:r>
      <w:r w:rsidR="00AF7095" w:rsidRPr="009B38AA">
        <w:rPr>
          <w:szCs w:val="26"/>
        </w:rPr>
        <w:t xml:space="preserve"> this </w:t>
      </w:r>
      <w:r w:rsidRPr="009B38AA">
        <w:rPr>
          <w:szCs w:val="26"/>
        </w:rPr>
        <w:t>into the introductory paragraph of the retirement protocol.</w:t>
      </w:r>
    </w:p>
    <w:p w:rsidR="000D4CD7" w:rsidRPr="009B38AA" w:rsidRDefault="000D4CD7" w:rsidP="007B592F">
      <w:pPr>
        <w:pStyle w:val="p3"/>
        <w:tabs>
          <w:tab w:val="clear" w:pos="204"/>
          <w:tab w:val="left" w:pos="720"/>
        </w:tabs>
        <w:rPr>
          <w:b/>
          <w:szCs w:val="26"/>
        </w:rPr>
      </w:pPr>
    </w:p>
    <w:p w:rsidR="00963D7E" w:rsidRDefault="00963D7E" w:rsidP="007B592F">
      <w:pPr>
        <w:pStyle w:val="p3"/>
        <w:tabs>
          <w:tab w:val="clear" w:pos="204"/>
          <w:tab w:val="left" w:pos="720"/>
        </w:tabs>
        <w:rPr>
          <w:b/>
          <w:szCs w:val="26"/>
        </w:rPr>
      </w:pPr>
    </w:p>
    <w:p w:rsidR="006D3247" w:rsidRDefault="006D3247" w:rsidP="007B592F">
      <w:pPr>
        <w:pStyle w:val="p3"/>
        <w:tabs>
          <w:tab w:val="clear" w:pos="204"/>
          <w:tab w:val="left" w:pos="720"/>
        </w:tabs>
        <w:rPr>
          <w:b/>
          <w:szCs w:val="26"/>
        </w:rPr>
      </w:pPr>
    </w:p>
    <w:p w:rsidR="006D3247" w:rsidRPr="009B38AA" w:rsidRDefault="006D3247" w:rsidP="007B592F">
      <w:pPr>
        <w:pStyle w:val="p3"/>
        <w:tabs>
          <w:tab w:val="clear" w:pos="204"/>
          <w:tab w:val="left" w:pos="720"/>
        </w:tabs>
        <w:rPr>
          <w:b/>
          <w:szCs w:val="26"/>
        </w:rPr>
      </w:pPr>
    </w:p>
    <w:p w:rsidR="007B592F" w:rsidRPr="009B38AA" w:rsidRDefault="007B592F" w:rsidP="005E7865">
      <w:pPr>
        <w:pStyle w:val="Heading1"/>
        <w:spacing w:line="240" w:lineRule="auto"/>
      </w:pPr>
      <w:r w:rsidRPr="009B38AA">
        <w:lastRenderedPageBreak/>
        <w:t>Improvements to Existing Commercial and Industrial EE&amp;C Measure Protocols and Processes</w:t>
      </w:r>
    </w:p>
    <w:p w:rsidR="007B592F" w:rsidRPr="009B38AA" w:rsidRDefault="007B592F" w:rsidP="007B592F">
      <w:pPr>
        <w:pStyle w:val="p3"/>
        <w:tabs>
          <w:tab w:val="clear" w:pos="204"/>
          <w:tab w:val="left" w:pos="720"/>
        </w:tabs>
        <w:rPr>
          <w:b/>
          <w:szCs w:val="26"/>
        </w:rPr>
      </w:pPr>
    </w:p>
    <w:p w:rsidR="007B592F" w:rsidRPr="009B38AA" w:rsidRDefault="007B592F" w:rsidP="00EB1FAC">
      <w:pPr>
        <w:pStyle w:val="Heading2"/>
      </w:pPr>
      <w:r w:rsidRPr="009B38AA">
        <w:t>Clarification of Lighting Protocols</w:t>
      </w:r>
    </w:p>
    <w:p w:rsidR="007B592F" w:rsidRPr="009B38AA" w:rsidRDefault="007B592F" w:rsidP="007B592F">
      <w:pPr>
        <w:pStyle w:val="p3"/>
        <w:tabs>
          <w:tab w:val="clear" w:pos="204"/>
          <w:tab w:val="left" w:pos="720"/>
        </w:tabs>
        <w:ind w:left="1440"/>
        <w:rPr>
          <w:b/>
          <w:szCs w:val="26"/>
        </w:rPr>
      </w:pPr>
    </w:p>
    <w:p w:rsidR="007B592F" w:rsidRPr="009B38AA" w:rsidRDefault="007B592F" w:rsidP="005E7865">
      <w:pPr>
        <w:pStyle w:val="Heading3"/>
        <w:spacing w:line="240" w:lineRule="auto"/>
        <w:rPr>
          <w:rFonts w:cs="Times New Roman"/>
        </w:rPr>
      </w:pPr>
      <w:r w:rsidRPr="009B38AA">
        <w:rPr>
          <w:rFonts w:cs="Times New Roman"/>
        </w:rPr>
        <w:t>Implementation of Federal Legislation and Regulations Related to Commercial Lighting</w:t>
      </w:r>
    </w:p>
    <w:p w:rsidR="009A6E7A" w:rsidRPr="009B38AA" w:rsidRDefault="007B592F" w:rsidP="00013E5A">
      <w:pPr>
        <w:pStyle w:val="p3"/>
        <w:tabs>
          <w:tab w:val="clear" w:pos="204"/>
          <w:tab w:val="left" w:pos="0"/>
          <w:tab w:val="left" w:pos="720"/>
        </w:tabs>
        <w:rPr>
          <w:b/>
          <w:szCs w:val="26"/>
        </w:rPr>
      </w:pPr>
      <w:r w:rsidRPr="009B38AA">
        <w:rPr>
          <w:szCs w:val="26"/>
        </w:rPr>
        <w:tab/>
      </w:r>
      <w:r w:rsidRPr="009B38AA">
        <w:rPr>
          <w:szCs w:val="26"/>
        </w:rPr>
        <w:tab/>
      </w:r>
    </w:p>
    <w:p w:rsidR="009A6E7A" w:rsidRPr="009B38AA" w:rsidRDefault="009A6E7A" w:rsidP="00B775DB">
      <w:pPr>
        <w:rPr>
          <w:szCs w:val="26"/>
        </w:rPr>
      </w:pPr>
      <w:r w:rsidRPr="009B38AA">
        <w:rPr>
          <w:szCs w:val="26"/>
        </w:rPr>
        <w:tab/>
      </w:r>
      <w:r w:rsidR="00B775DB" w:rsidRPr="009B38AA">
        <w:rPr>
          <w:szCs w:val="26"/>
        </w:rPr>
        <w:t>The Energy Policy Act of 2005 (“EPACT 2005”)</w:t>
      </w:r>
      <w:r w:rsidR="00B775DB" w:rsidRPr="009B38AA">
        <w:rPr>
          <w:rStyle w:val="FootnoteReference"/>
          <w:szCs w:val="26"/>
        </w:rPr>
        <w:footnoteReference w:id="54"/>
      </w:r>
      <w:r w:rsidR="00B775DB" w:rsidRPr="009B38AA">
        <w:rPr>
          <w:szCs w:val="26"/>
        </w:rPr>
        <w:t xml:space="preserve"> and EISA 2007 standards introduced new efficacy standards for linear fluorescent bulbs and ballasts, effectively phasing out magnetic ballasts (already in place) and most T-12 bulbs starting July 14, 2012.  This induces a shift in what a participant would have purchased in the absence of the program because T-12 bulbs on magnetic ballasts are no longer viable options and therefore, adjusts the baseline assumption.  </w:t>
      </w:r>
      <w:r w:rsidR="00196E7E" w:rsidRPr="009B38AA">
        <w:rPr>
          <w:szCs w:val="26"/>
        </w:rPr>
        <w:t xml:space="preserve">In </w:t>
      </w:r>
      <w:r w:rsidR="005B4192" w:rsidRPr="009B38AA">
        <w:rPr>
          <w:szCs w:val="26"/>
        </w:rPr>
        <w:t xml:space="preserve">the </w:t>
      </w:r>
      <w:r w:rsidR="00B31134" w:rsidRPr="009B38AA">
        <w:rPr>
          <w:i/>
          <w:szCs w:val="26"/>
        </w:rPr>
        <w:t>Tentative Order</w:t>
      </w:r>
      <w:r w:rsidR="00196E7E" w:rsidRPr="009B38AA">
        <w:rPr>
          <w:szCs w:val="26"/>
        </w:rPr>
        <w:t xml:space="preserve">, </w:t>
      </w:r>
      <w:r w:rsidR="005B4192" w:rsidRPr="009B38AA">
        <w:rPr>
          <w:szCs w:val="26"/>
        </w:rPr>
        <w:t>we</w:t>
      </w:r>
      <w:r w:rsidR="00196E7E" w:rsidRPr="009B38AA">
        <w:rPr>
          <w:szCs w:val="26"/>
        </w:rPr>
        <w:t xml:space="preserve"> proposed that the TWG monitor and discuss these standards and protocols and provide recommendations for their implementation </w:t>
      </w:r>
      <w:r w:rsidR="005B4192" w:rsidRPr="009B38AA">
        <w:rPr>
          <w:szCs w:val="26"/>
        </w:rPr>
        <w:t xml:space="preserve">in </w:t>
      </w:r>
      <w:r w:rsidR="00196E7E" w:rsidRPr="009B38AA">
        <w:rPr>
          <w:szCs w:val="26"/>
        </w:rPr>
        <w:t>future TRM updates.</w:t>
      </w:r>
    </w:p>
    <w:p w:rsidR="006D3247" w:rsidRPr="009B38AA" w:rsidRDefault="006D3247" w:rsidP="00B775DB">
      <w:pPr>
        <w:rPr>
          <w:szCs w:val="26"/>
        </w:rPr>
      </w:pPr>
    </w:p>
    <w:p w:rsidR="009A6E7A" w:rsidRPr="009B38AA" w:rsidRDefault="009A6E7A" w:rsidP="00EB1FAC">
      <w:pPr>
        <w:pStyle w:val="Heading4"/>
        <w:rPr>
          <w:szCs w:val="26"/>
        </w:rPr>
      </w:pPr>
      <w:r w:rsidRPr="009B38AA">
        <w:rPr>
          <w:szCs w:val="26"/>
        </w:rPr>
        <w:t>Comments</w:t>
      </w:r>
    </w:p>
    <w:p w:rsidR="009A6E7A" w:rsidRPr="009B38AA" w:rsidRDefault="009A6E7A" w:rsidP="00B775DB">
      <w:pPr>
        <w:rPr>
          <w:szCs w:val="26"/>
        </w:rPr>
      </w:pPr>
    </w:p>
    <w:p w:rsidR="00B775DB" w:rsidRPr="009B38AA" w:rsidRDefault="00B775DB" w:rsidP="00B775DB">
      <w:pPr>
        <w:ind w:firstLine="720"/>
        <w:rPr>
          <w:szCs w:val="26"/>
        </w:rPr>
      </w:pPr>
      <w:r w:rsidRPr="009B38AA">
        <w:rPr>
          <w:szCs w:val="26"/>
        </w:rPr>
        <w:t xml:space="preserve">PPL agrees with the Commission’s recommendation that the lighting standards be monitored in the TWG and that no </w:t>
      </w:r>
      <w:r w:rsidR="00196E7E" w:rsidRPr="009B38AA">
        <w:rPr>
          <w:szCs w:val="26"/>
        </w:rPr>
        <w:t xml:space="preserve">immediate change take effect </w:t>
      </w:r>
      <w:r w:rsidRPr="009B38AA">
        <w:rPr>
          <w:szCs w:val="26"/>
        </w:rPr>
        <w:t>due to the early replacement nature of C&amp;I lighting and customer and retail stockpiles of bulbs</w:t>
      </w:r>
      <w:r w:rsidR="005B4192" w:rsidRPr="009B38AA">
        <w:rPr>
          <w:szCs w:val="26"/>
        </w:rPr>
        <w:t>.</w:t>
      </w:r>
      <w:r w:rsidRPr="009B38AA">
        <w:rPr>
          <w:szCs w:val="26"/>
        </w:rPr>
        <w:t xml:space="preserve"> </w:t>
      </w:r>
      <w:r w:rsidR="005B4192" w:rsidRPr="009B38AA">
        <w:rPr>
          <w:szCs w:val="26"/>
        </w:rPr>
        <w:t xml:space="preserve"> </w:t>
      </w:r>
      <w:proofErr w:type="gramStart"/>
      <w:r w:rsidRPr="009B38AA">
        <w:rPr>
          <w:szCs w:val="26"/>
        </w:rPr>
        <w:t>PPL Comments at 19.</w:t>
      </w:r>
      <w:proofErr w:type="gramEnd"/>
      <w:r w:rsidRPr="009B38AA">
        <w:rPr>
          <w:szCs w:val="26"/>
        </w:rPr>
        <w:t xml:space="preserve">  </w:t>
      </w:r>
    </w:p>
    <w:p w:rsidR="00B775DB" w:rsidRPr="009B38AA" w:rsidRDefault="00B775DB" w:rsidP="00B775DB">
      <w:pPr>
        <w:rPr>
          <w:szCs w:val="26"/>
        </w:rPr>
      </w:pPr>
    </w:p>
    <w:p w:rsidR="009A6E7A" w:rsidRPr="009B38AA" w:rsidRDefault="009A6E7A" w:rsidP="00EB1FAC">
      <w:pPr>
        <w:pStyle w:val="Heading4"/>
        <w:rPr>
          <w:szCs w:val="26"/>
        </w:rPr>
      </w:pPr>
      <w:r w:rsidRPr="009B38AA">
        <w:rPr>
          <w:szCs w:val="26"/>
        </w:rPr>
        <w:t>Disposition</w:t>
      </w:r>
    </w:p>
    <w:p w:rsidR="007B592F" w:rsidRPr="009B38AA" w:rsidRDefault="007B592F" w:rsidP="009A6E7A">
      <w:pPr>
        <w:pStyle w:val="p3"/>
        <w:tabs>
          <w:tab w:val="clear" w:pos="204"/>
          <w:tab w:val="left" w:pos="0"/>
          <w:tab w:val="left" w:pos="720"/>
        </w:tabs>
        <w:rPr>
          <w:b/>
          <w:szCs w:val="26"/>
        </w:rPr>
      </w:pPr>
    </w:p>
    <w:p w:rsidR="00B775DB" w:rsidRPr="009B38AA" w:rsidRDefault="00B775DB" w:rsidP="00B775DB">
      <w:pPr>
        <w:ind w:firstLine="720"/>
        <w:rPr>
          <w:szCs w:val="26"/>
        </w:rPr>
      </w:pPr>
      <w:r w:rsidRPr="009B38AA">
        <w:rPr>
          <w:szCs w:val="26"/>
        </w:rPr>
        <w:t xml:space="preserve">The Commission directs the TWG to investigate the impacts of the new lighting standards and to recommend future adjustments </w:t>
      </w:r>
      <w:r w:rsidR="005B4192" w:rsidRPr="009B38AA">
        <w:rPr>
          <w:szCs w:val="26"/>
        </w:rPr>
        <w:t xml:space="preserve">to the TRM </w:t>
      </w:r>
      <w:r w:rsidRPr="009B38AA">
        <w:rPr>
          <w:szCs w:val="26"/>
        </w:rPr>
        <w:t>when necessary.</w:t>
      </w:r>
    </w:p>
    <w:p w:rsidR="007B592F" w:rsidRPr="009B38AA" w:rsidRDefault="007B592F" w:rsidP="00EB1FAC">
      <w:pPr>
        <w:pStyle w:val="Heading3"/>
        <w:rPr>
          <w:rFonts w:cs="Times New Roman"/>
        </w:rPr>
      </w:pPr>
      <w:r w:rsidRPr="009B38AA">
        <w:rPr>
          <w:rFonts w:cs="Times New Roman"/>
        </w:rPr>
        <w:lastRenderedPageBreak/>
        <w:t>Modification of Usage Group Thresholds</w:t>
      </w:r>
    </w:p>
    <w:p w:rsidR="007A7CEE" w:rsidRPr="009B38AA" w:rsidRDefault="007A7CEE" w:rsidP="007A7CEE">
      <w:pPr>
        <w:rPr>
          <w:szCs w:val="26"/>
        </w:rPr>
      </w:pPr>
    </w:p>
    <w:p w:rsidR="007A7CEE" w:rsidRPr="009B38AA" w:rsidRDefault="007A7CEE" w:rsidP="007A7CEE">
      <w:pPr>
        <w:ind w:firstLine="720"/>
        <w:rPr>
          <w:szCs w:val="26"/>
        </w:rPr>
      </w:pPr>
      <w:r w:rsidRPr="009B38AA">
        <w:rPr>
          <w:szCs w:val="26"/>
        </w:rPr>
        <w:t>Rather than defining hours of use by the whole</w:t>
      </w:r>
      <w:r w:rsidR="00196E7E" w:rsidRPr="009B38AA">
        <w:rPr>
          <w:szCs w:val="26"/>
        </w:rPr>
        <w:t xml:space="preserve"> building, usage groups provide</w:t>
      </w:r>
      <w:r w:rsidRPr="009B38AA">
        <w:rPr>
          <w:szCs w:val="26"/>
        </w:rPr>
        <w:t xml:space="preserve"> granularity when defining hours of use by specific characteristics within a building. </w:t>
      </w:r>
      <w:r w:rsidR="00196E7E" w:rsidRPr="009B38AA">
        <w:rPr>
          <w:szCs w:val="26"/>
        </w:rPr>
        <w:t xml:space="preserve"> </w:t>
      </w:r>
      <w:r w:rsidRPr="009B38AA">
        <w:rPr>
          <w:szCs w:val="26"/>
        </w:rPr>
        <w:t xml:space="preserve">This is particularly useful in facilities where lighting schedules differ in different parts of the facility. </w:t>
      </w:r>
      <w:r w:rsidR="00196E7E" w:rsidRPr="009B38AA">
        <w:rPr>
          <w:szCs w:val="26"/>
        </w:rPr>
        <w:t xml:space="preserve"> </w:t>
      </w:r>
      <w:r w:rsidRPr="009B38AA">
        <w:rPr>
          <w:szCs w:val="26"/>
        </w:rPr>
        <w:t>Previous TRMs required usage groups for all lighting projects with savings above 50 kW in connected load</w:t>
      </w:r>
      <w:r w:rsidR="004D71BF" w:rsidRPr="009B38AA">
        <w:rPr>
          <w:szCs w:val="26"/>
        </w:rPr>
        <w:t>.</w:t>
      </w:r>
      <w:r w:rsidR="001D4C45" w:rsidRPr="009B38AA">
        <w:rPr>
          <w:rStyle w:val="FootnoteReference"/>
          <w:szCs w:val="26"/>
        </w:rPr>
        <w:footnoteReference w:id="55"/>
      </w:r>
      <w:r w:rsidR="006A7018" w:rsidRPr="009B38AA">
        <w:rPr>
          <w:szCs w:val="26"/>
        </w:rPr>
        <w:t xml:space="preserve">  </w:t>
      </w:r>
      <w:r w:rsidR="005B4192" w:rsidRPr="009B38AA">
        <w:rPr>
          <w:szCs w:val="26"/>
        </w:rPr>
        <w:t xml:space="preserve">In the </w:t>
      </w:r>
      <w:r w:rsidR="00B31134" w:rsidRPr="009B38AA">
        <w:rPr>
          <w:i/>
          <w:szCs w:val="26"/>
        </w:rPr>
        <w:t>Tentative Order</w:t>
      </w:r>
      <w:r w:rsidR="005B4192" w:rsidRPr="009B38AA">
        <w:rPr>
          <w:szCs w:val="26"/>
        </w:rPr>
        <w:t>, we</w:t>
      </w:r>
      <w:r w:rsidR="006A7018" w:rsidRPr="009B38AA">
        <w:rPr>
          <w:szCs w:val="26"/>
        </w:rPr>
        <w:t xml:space="preserve"> proposed to eliminate requirements for usage groups and that EDC implementers determine when usage groups are most appropriate for each </w:t>
      </w:r>
      <w:r w:rsidR="005B4192" w:rsidRPr="009B38AA">
        <w:rPr>
          <w:szCs w:val="26"/>
        </w:rPr>
        <w:t>participant</w:t>
      </w:r>
      <w:r w:rsidR="006A7018" w:rsidRPr="009B38AA">
        <w:rPr>
          <w:szCs w:val="26"/>
        </w:rPr>
        <w:t xml:space="preserve">.  </w:t>
      </w:r>
    </w:p>
    <w:p w:rsidR="007A7CEE" w:rsidRPr="009B38AA" w:rsidRDefault="007A7CEE" w:rsidP="007A7CEE">
      <w:pPr>
        <w:ind w:firstLine="720"/>
        <w:rPr>
          <w:szCs w:val="26"/>
        </w:rPr>
      </w:pPr>
    </w:p>
    <w:p w:rsidR="009A6E7A" w:rsidRPr="009B38AA" w:rsidRDefault="009A6E7A" w:rsidP="00EB1FAC">
      <w:pPr>
        <w:pStyle w:val="Heading4"/>
        <w:rPr>
          <w:szCs w:val="26"/>
        </w:rPr>
      </w:pPr>
      <w:r w:rsidRPr="009B38AA">
        <w:rPr>
          <w:szCs w:val="26"/>
        </w:rPr>
        <w:t>Comments</w:t>
      </w:r>
    </w:p>
    <w:p w:rsidR="007A7CEE" w:rsidRPr="009B38AA" w:rsidRDefault="007A7CEE" w:rsidP="007A7CEE">
      <w:pPr>
        <w:rPr>
          <w:szCs w:val="26"/>
        </w:rPr>
      </w:pPr>
    </w:p>
    <w:p w:rsidR="006760B1" w:rsidRPr="009B38AA" w:rsidRDefault="007A7CEE" w:rsidP="002A3149">
      <w:pPr>
        <w:ind w:firstLine="720"/>
        <w:rPr>
          <w:szCs w:val="26"/>
        </w:rPr>
      </w:pPr>
      <w:r w:rsidRPr="009B38AA">
        <w:rPr>
          <w:szCs w:val="26"/>
        </w:rPr>
        <w:t xml:space="preserve">PPL and PECO both </w:t>
      </w:r>
      <w:r w:rsidR="002A3149" w:rsidRPr="009B38AA">
        <w:rPr>
          <w:szCs w:val="26"/>
        </w:rPr>
        <w:t xml:space="preserve">support removing the requirement </w:t>
      </w:r>
      <w:r w:rsidR="005B4192" w:rsidRPr="009B38AA">
        <w:rPr>
          <w:szCs w:val="26"/>
        </w:rPr>
        <w:t xml:space="preserve">for </w:t>
      </w:r>
      <w:r w:rsidR="002A3149" w:rsidRPr="009B38AA">
        <w:rPr>
          <w:szCs w:val="26"/>
        </w:rPr>
        <w:t xml:space="preserve">having usage groups, but also indicate that additional </w:t>
      </w:r>
      <w:r w:rsidR="005B4192" w:rsidRPr="009B38AA">
        <w:rPr>
          <w:szCs w:val="26"/>
        </w:rPr>
        <w:t xml:space="preserve">changes </w:t>
      </w:r>
      <w:r w:rsidR="002A3149" w:rsidRPr="009B38AA">
        <w:rPr>
          <w:szCs w:val="26"/>
        </w:rPr>
        <w:t>may be needed to ensure that revisions are comprehensive.</w:t>
      </w:r>
      <w:r w:rsidR="00196E7E" w:rsidRPr="009B38AA">
        <w:rPr>
          <w:szCs w:val="26"/>
        </w:rPr>
        <w:t xml:space="preserve"> </w:t>
      </w:r>
      <w:r w:rsidR="002A3149" w:rsidRPr="009B38AA">
        <w:rPr>
          <w:szCs w:val="26"/>
        </w:rPr>
        <w:t xml:space="preserve"> PPL </w:t>
      </w:r>
      <w:r w:rsidR="005B4192" w:rsidRPr="009B38AA">
        <w:rPr>
          <w:szCs w:val="26"/>
        </w:rPr>
        <w:t xml:space="preserve">recommends </w:t>
      </w:r>
      <w:r w:rsidR="002A3149" w:rsidRPr="009B38AA">
        <w:rPr>
          <w:szCs w:val="26"/>
        </w:rPr>
        <w:t>that additional language be added to the TRM to clearly indicate that usage groups should be considered, but are not required</w:t>
      </w:r>
      <w:r w:rsidR="005B4192" w:rsidRPr="009B38AA">
        <w:rPr>
          <w:szCs w:val="26"/>
        </w:rPr>
        <w:t>.</w:t>
      </w:r>
      <w:r w:rsidR="002A3149" w:rsidRPr="009B38AA">
        <w:rPr>
          <w:szCs w:val="26"/>
        </w:rPr>
        <w:t xml:space="preserve"> </w:t>
      </w:r>
      <w:r w:rsidR="005B4192" w:rsidRPr="009B38AA">
        <w:rPr>
          <w:szCs w:val="26"/>
        </w:rPr>
        <w:t xml:space="preserve"> </w:t>
      </w:r>
      <w:proofErr w:type="gramStart"/>
      <w:r w:rsidR="002A3149" w:rsidRPr="009B38AA">
        <w:rPr>
          <w:szCs w:val="26"/>
        </w:rPr>
        <w:t>PPL Comments at 20.</w:t>
      </w:r>
      <w:proofErr w:type="gramEnd"/>
      <w:r w:rsidR="002A3149" w:rsidRPr="009B38AA">
        <w:rPr>
          <w:szCs w:val="26"/>
        </w:rPr>
        <w:t xml:space="preserve"> </w:t>
      </w:r>
    </w:p>
    <w:p w:rsidR="006760B1" w:rsidRPr="009B38AA" w:rsidRDefault="006760B1" w:rsidP="002A3149">
      <w:pPr>
        <w:ind w:firstLine="720"/>
        <w:rPr>
          <w:szCs w:val="26"/>
        </w:rPr>
      </w:pPr>
    </w:p>
    <w:p w:rsidR="007A7CEE" w:rsidRPr="009B38AA" w:rsidRDefault="002A3149" w:rsidP="002A3149">
      <w:pPr>
        <w:ind w:firstLine="720"/>
        <w:rPr>
          <w:szCs w:val="26"/>
        </w:rPr>
      </w:pPr>
      <w:r w:rsidRPr="009B38AA">
        <w:rPr>
          <w:szCs w:val="26"/>
        </w:rPr>
        <w:t xml:space="preserve">PECO </w:t>
      </w:r>
      <w:r w:rsidR="005B4192" w:rsidRPr="009B38AA">
        <w:rPr>
          <w:szCs w:val="26"/>
        </w:rPr>
        <w:t xml:space="preserve">recommends </w:t>
      </w:r>
      <w:r w:rsidRPr="009B38AA">
        <w:rPr>
          <w:szCs w:val="26"/>
        </w:rPr>
        <w:t>that the table of stipulated hours of use values for usage groups</w:t>
      </w:r>
      <w:r w:rsidR="00196E7E" w:rsidRPr="009B38AA">
        <w:rPr>
          <w:rStyle w:val="FootnoteReference"/>
          <w:szCs w:val="26"/>
        </w:rPr>
        <w:footnoteReference w:id="56"/>
      </w:r>
      <w:r w:rsidR="00196E7E" w:rsidRPr="009B38AA">
        <w:rPr>
          <w:szCs w:val="26"/>
        </w:rPr>
        <w:t xml:space="preserve"> </w:t>
      </w:r>
      <w:r w:rsidRPr="009B38AA">
        <w:rPr>
          <w:szCs w:val="26"/>
        </w:rPr>
        <w:t>be reinstated for use when actual HOU for usage groups cannot be readily determined by the implementer or evaluator but not require their use when more reliable values can be determined</w:t>
      </w:r>
      <w:r w:rsidR="00196E7E" w:rsidRPr="009B38AA">
        <w:rPr>
          <w:szCs w:val="26"/>
        </w:rPr>
        <w:t>.</w:t>
      </w:r>
      <w:r w:rsidRPr="009B38AA">
        <w:rPr>
          <w:szCs w:val="26"/>
        </w:rPr>
        <w:t xml:space="preserve"> </w:t>
      </w:r>
      <w:r w:rsidR="005B4192" w:rsidRPr="009B38AA">
        <w:rPr>
          <w:szCs w:val="26"/>
        </w:rPr>
        <w:t xml:space="preserve"> </w:t>
      </w:r>
      <w:proofErr w:type="gramStart"/>
      <w:r w:rsidR="00196E7E" w:rsidRPr="009B38AA">
        <w:rPr>
          <w:szCs w:val="26"/>
        </w:rPr>
        <w:t>PECO Comments Appendix at 13</w:t>
      </w:r>
      <w:r w:rsidR="005B4192" w:rsidRPr="009B38AA">
        <w:rPr>
          <w:szCs w:val="26"/>
        </w:rPr>
        <w:t>.</w:t>
      </w:r>
      <w:proofErr w:type="gramEnd"/>
    </w:p>
    <w:p w:rsidR="007A7CEE" w:rsidRDefault="007A7CEE" w:rsidP="007A7CEE">
      <w:pPr>
        <w:rPr>
          <w:szCs w:val="26"/>
        </w:rPr>
      </w:pPr>
    </w:p>
    <w:p w:rsidR="006D3247" w:rsidRPr="009B38AA" w:rsidRDefault="006D3247" w:rsidP="007A7CEE">
      <w:pPr>
        <w:rPr>
          <w:szCs w:val="26"/>
        </w:rPr>
      </w:pPr>
    </w:p>
    <w:p w:rsidR="009A6E7A" w:rsidRPr="009B38AA" w:rsidRDefault="009A6E7A" w:rsidP="00EB1FAC">
      <w:pPr>
        <w:pStyle w:val="Heading4"/>
        <w:rPr>
          <w:szCs w:val="26"/>
        </w:rPr>
      </w:pPr>
      <w:r w:rsidRPr="009B38AA">
        <w:rPr>
          <w:szCs w:val="26"/>
        </w:rPr>
        <w:lastRenderedPageBreak/>
        <w:t>Disposition</w:t>
      </w:r>
    </w:p>
    <w:p w:rsidR="007B592F" w:rsidRPr="009B38AA" w:rsidRDefault="007B592F" w:rsidP="002A3149">
      <w:pPr>
        <w:rPr>
          <w:szCs w:val="26"/>
        </w:rPr>
      </w:pPr>
    </w:p>
    <w:p w:rsidR="006760B1" w:rsidRPr="009B38AA" w:rsidRDefault="002A3149" w:rsidP="006760B1">
      <w:pPr>
        <w:ind w:firstLine="720"/>
        <w:rPr>
          <w:szCs w:val="26"/>
        </w:rPr>
      </w:pPr>
      <w:r w:rsidRPr="009B38AA">
        <w:rPr>
          <w:szCs w:val="26"/>
        </w:rPr>
        <w:t xml:space="preserve">The Commission </w:t>
      </w:r>
      <w:r w:rsidR="006760B1" w:rsidRPr="009B38AA">
        <w:rPr>
          <w:szCs w:val="26"/>
        </w:rPr>
        <w:t>agrees with PPL and PECO that removing the requirement of usage groups will improve program implementation and facilitate customer participation.</w:t>
      </w:r>
      <w:r w:rsidR="00196E7E" w:rsidRPr="009B38AA">
        <w:rPr>
          <w:szCs w:val="26"/>
        </w:rPr>
        <w:t xml:space="preserve"> </w:t>
      </w:r>
      <w:r w:rsidR="006760B1" w:rsidRPr="009B38AA">
        <w:rPr>
          <w:szCs w:val="26"/>
        </w:rPr>
        <w:t xml:space="preserve"> Any outstanding language in the TRM regarding mandatory use of usage groups </w:t>
      </w:r>
      <w:r w:rsidR="00B14294" w:rsidRPr="009B38AA">
        <w:rPr>
          <w:szCs w:val="26"/>
        </w:rPr>
        <w:t>w</w:t>
      </w:r>
      <w:r w:rsidR="006760B1" w:rsidRPr="009B38AA">
        <w:rPr>
          <w:szCs w:val="26"/>
        </w:rPr>
        <w:t xml:space="preserve">as stripped from the TRM. </w:t>
      </w:r>
      <w:r w:rsidR="00196E7E" w:rsidRPr="009B38AA">
        <w:rPr>
          <w:szCs w:val="26"/>
        </w:rPr>
        <w:t xml:space="preserve"> </w:t>
      </w:r>
      <w:r w:rsidR="006760B1" w:rsidRPr="009B38AA">
        <w:rPr>
          <w:szCs w:val="26"/>
        </w:rPr>
        <w:t>The Commission adopts PPL’s recommendation to indicate that usage groups should be considered</w:t>
      </w:r>
      <w:r w:rsidR="001D4C45" w:rsidRPr="009B38AA">
        <w:rPr>
          <w:szCs w:val="26"/>
        </w:rPr>
        <w:t xml:space="preserve"> and used at the discretion of the EDC</w:t>
      </w:r>
      <w:r w:rsidR="001704F9" w:rsidRPr="009B38AA">
        <w:rPr>
          <w:szCs w:val="26"/>
        </w:rPr>
        <w:t>s’</w:t>
      </w:r>
      <w:r w:rsidR="001D4C45" w:rsidRPr="009B38AA">
        <w:rPr>
          <w:szCs w:val="26"/>
        </w:rPr>
        <w:t xml:space="preserve"> implementation and evaluation contractors</w:t>
      </w:r>
      <w:r w:rsidR="006760B1" w:rsidRPr="009B38AA">
        <w:rPr>
          <w:szCs w:val="26"/>
        </w:rPr>
        <w:t xml:space="preserve"> but </w:t>
      </w:r>
      <w:proofErr w:type="gramStart"/>
      <w:r w:rsidR="006760B1" w:rsidRPr="009B38AA">
        <w:rPr>
          <w:szCs w:val="26"/>
        </w:rPr>
        <w:t>are</w:t>
      </w:r>
      <w:proofErr w:type="gramEnd"/>
      <w:r w:rsidR="006760B1" w:rsidRPr="009B38AA">
        <w:rPr>
          <w:szCs w:val="26"/>
        </w:rPr>
        <w:t xml:space="preserve"> not required. </w:t>
      </w:r>
    </w:p>
    <w:p w:rsidR="006760B1" w:rsidRPr="009B38AA" w:rsidRDefault="006760B1" w:rsidP="006760B1">
      <w:pPr>
        <w:ind w:firstLine="720"/>
        <w:rPr>
          <w:szCs w:val="26"/>
        </w:rPr>
      </w:pPr>
    </w:p>
    <w:p w:rsidR="002A3149" w:rsidRPr="009B38AA" w:rsidRDefault="006760B1" w:rsidP="006760B1">
      <w:pPr>
        <w:ind w:firstLine="720"/>
        <w:rPr>
          <w:szCs w:val="26"/>
        </w:rPr>
      </w:pPr>
      <w:r w:rsidRPr="009B38AA">
        <w:rPr>
          <w:szCs w:val="26"/>
        </w:rPr>
        <w:t>The Commission rejects PECO’s recommendation to keep the previous Table 3-2</w:t>
      </w:r>
      <w:r w:rsidR="00196E7E" w:rsidRPr="009B38AA">
        <w:rPr>
          <w:szCs w:val="26"/>
        </w:rPr>
        <w:t>: Hours of Use for Usage Groups,</w:t>
      </w:r>
      <w:r w:rsidRPr="009B38AA">
        <w:rPr>
          <w:szCs w:val="26"/>
        </w:rPr>
        <w:t xml:space="preserve"> because of comments received during previous TRM </w:t>
      </w:r>
      <w:r w:rsidR="005B4192" w:rsidRPr="009B38AA">
        <w:rPr>
          <w:szCs w:val="26"/>
        </w:rPr>
        <w:t>updates</w:t>
      </w:r>
      <w:r w:rsidRPr="009B38AA">
        <w:rPr>
          <w:szCs w:val="26"/>
        </w:rPr>
        <w:t xml:space="preserve"> describing apparent discrepancies between the two HOU tables. </w:t>
      </w:r>
      <w:r w:rsidR="00196E7E" w:rsidRPr="009B38AA">
        <w:rPr>
          <w:szCs w:val="26"/>
        </w:rPr>
        <w:t xml:space="preserve"> </w:t>
      </w:r>
      <w:r w:rsidRPr="009B38AA">
        <w:rPr>
          <w:szCs w:val="26"/>
        </w:rPr>
        <w:t>For example, PECO not</w:t>
      </w:r>
      <w:r w:rsidR="00196E7E" w:rsidRPr="009B38AA">
        <w:rPr>
          <w:szCs w:val="26"/>
        </w:rPr>
        <w:t>ed in its 2011 comments that “</w:t>
      </w:r>
      <w:r w:rsidRPr="009B38AA">
        <w:rPr>
          <w:szCs w:val="26"/>
        </w:rPr>
        <w:t xml:space="preserve">Table 3-2 (which provides stipulated hours of use for certain </w:t>
      </w:r>
      <w:r w:rsidR="00BD2852">
        <w:rPr>
          <w:szCs w:val="26"/>
        </w:rPr>
        <w:t>‘</w:t>
      </w:r>
      <w:r w:rsidRPr="009B38AA">
        <w:rPr>
          <w:szCs w:val="26"/>
        </w:rPr>
        <w:t>usage areas</w:t>
      </w:r>
      <w:r w:rsidR="00BD2852">
        <w:rPr>
          <w:szCs w:val="26"/>
        </w:rPr>
        <w:t xml:space="preserve">’ </w:t>
      </w:r>
      <w:r w:rsidRPr="009B38AA">
        <w:rPr>
          <w:szCs w:val="26"/>
        </w:rPr>
        <w:t>which are acceptable for projects with connected load savings of 50 kW or greater) is not comprehensive and the hours for some usage areas appear to be overly conservative</w:t>
      </w:r>
      <w:r w:rsidR="00196E7E" w:rsidRPr="009B38AA">
        <w:rPr>
          <w:szCs w:val="26"/>
        </w:rPr>
        <w:t>.</w:t>
      </w:r>
      <w:r w:rsidRPr="009B38AA">
        <w:rPr>
          <w:szCs w:val="26"/>
        </w:rPr>
        <w:t xml:space="preserve">” </w:t>
      </w:r>
      <w:r w:rsidR="005B4192" w:rsidRPr="009B38AA">
        <w:rPr>
          <w:szCs w:val="26"/>
        </w:rPr>
        <w:t xml:space="preserve"> </w:t>
      </w:r>
      <w:proofErr w:type="gramStart"/>
      <w:r w:rsidRPr="009B38AA">
        <w:rPr>
          <w:szCs w:val="26"/>
        </w:rPr>
        <w:t>PECO 20</w:t>
      </w:r>
      <w:r w:rsidR="00196E7E" w:rsidRPr="009B38AA">
        <w:rPr>
          <w:szCs w:val="26"/>
        </w:rPr>
        <w:t>11 Comments Appendix A at 6</w:t>
      </w:r>
      <w:r w:rsidR="005B4192" w:rsidRPr="009B38AA">
        <w:rPr>
          <w:szCs w:val="26"/>
        </w:rPr>
        <w:t xml:space="preserve"> and </w:t>
      </w:r>
      <w:r w:rsidR="00196E7E" w:rsidRPr="009B38AA">
        <w:rPr>
          <w:szCs w:val="26"/>
        </w:rPr>
        <w:t>7</w:t>
      </w:r>
      <w:r w:rsidR="005B4192" w:rsidRPr="009B38AA">
        <w:rPr>
          <w:szCs w:val="26"/>
        </w:rPr>
        <w:t>.</w:t>
      </w:r>
      <w:proofErr w:type="gramEnd"/>
      <w:r w:rsidR="00196E7E" w:rsidRPr="009B38AA">
        <w:rPr>
          <w:szCs w:val="26"/>
        </w:rPr>
        <w:t xml:space="preserve">  </w:t>
      </w:r>
      <w:r w:rsidRPr="009B38AA">
        <w:rPr>
          <w:szCs w:val="26"/>
        </w:rPr>
        <w:t>The Commission believes that there is sufficient flexibility in the 2012 TRM for EDCs to appropriately determine hours for usage groups without Table 3-2.</w:t>
      </w:r>
    </w:p>
    <w:p w:rsidR="002A3149" w:rsidRPr="009B38AA" w:rsidRDefault="002A3149" w:rsidP="002A3149">
      <w:pPr>
        <w:rPr>
          <w:szCs w:val="26"/>
        </w:rPr>
      </w:pPr>
    </w:p>
    <w:p w:rsidR="007B592F" w:rsidRPr="009B38AA" w:rsidRDefault="007B592F" w:rsidP="00EB1FAC">
      <w:pPr>
        <w:pStyle w:val="Heading3"/>
        <w:rPr>
          <w:rFonts w:cs="Times New Roman"/>
        </w:rPr>
      </w:pPr>
      <w:r w:rsidRPr="009B38AA">
        <w:rPr>
          <w:rFonts w:cs="Times New Roman"/>
        </w:rPr>
        <w:t>Determination of Hours of Use and Coincidence Factor</w:t>
      </w:r>
    </w:p>
    <w:p w:rsidR="00814B30" w:rsidRPr="009B38AA" w:rsidRDefault="00814B30" w:rsidP="007A7CEE">
      <w:pPr>
        <w:rPr>
          <w:szCs w:val="26"/>
        </w:rPr>
      </w:pPr>
    </w:p>
    <w:p w:rsidR="00814B30" w:rsidRPr="009B38AA" w:rsidRDefault="00814B30" w:rsidP="00814B30">
      <w:pPr>
        <w:ind w:firstLine="720"/>
        <w:rPr>
          <w:szCs w:val="26"/>
        </w:rPr>
      </w:pPr>
      <w:r w:rsidRPr="009B38AA">
        <w:rPr>
          <w:szCs w:val="26"/>
        </w:rPr>
        <w:t xml:space="preserve">The HOU value is one of the main drivers for calculating energy savings for lighting projects. </w:t>
      </w:r>
      <w:r w:rsidR="00B94BD9" w:rsidRPr="009B38AA">
        <w:rPr>
          <w:szCs w:val="26"/>
        </w:rPr>
        <w:t xml:space="preserve"> </w:t>
      </w:r>
      <w:r w:rsidRPr="009B38AA">
        <w:rPr>
          <w:szCs w:val="26"/>
        </w:rPr>
        <w:t xml:space="preserve">Since the first TRM update, major modifications </w:t>
      </w:r>
      <w:r w:rsidR="00B14294" w:rsidRPr="009B38AA">
        <w:rPr>
          <w:szCs w:val="26"/>
        </w:rPr>
        <w:t>were</w:t>
      </w:r>
      <w:r w:rsidRPr="009B38AA">
        <w:rPr>
          <w:szCs w:val="26"/>
        </w:rPr>
        <w:t xml:space="preserve"> required for the lighting protocol to ensure that proper HOU values </w:t>
      </w:r>
      <w:r w:rsidR="00E91F8F" w:rsidRPr="009B38AA">
        <w:rPr>
          <w:szCs w:val="26"/>
        </w:rPr>
        <w:t>are</w:t>
      </w:r>
      <w:r w:rsidRPr="009B38AA">
        <w:rPr>
          <w:szCs w:val="26"/>
        </w:rPr>
        <w:t xml:space="preserve"> used by EDCs when reporting and verifying lighting savings. </w:t>
      </w:r>
      <w:r w:rsidR="00B94BD9" w:rsidRPr="009B38AA">
        <w:rPr>
          <w:szCs w:val="26"/>
        </w:rPr>
        <w:t xml:space="preserve"> </w:t>
      </w:r>
      <w:r w:rsidR="00E91F8F" w:rsidRPr="009B38AA">
        <w:rPr>
          <w:szCs w:val="26"/>
        </w:rPr>
        <w:t>In addition, t</w:t>
      </w:r>
      <w:r w:rsidRPr="009B38AA">
        <w:rPr>
          <w:szCs w:val="26"/>
        </w:rPr>
        <w:t>he CF is one of the main drivers for calculating demand</w:t>
      </w:r>
      <w:r w:rsidR="006A7018" w:rsidRPr="009B38AA">
        <w:rPr>
          <w:szCs w:val="26"/>
        </w:rPr>
        <w:t xml:space="preserve"> savings for lighting projects.  </w:t>
      </w:r>
      <w:r w:rsidR="00E91F8F" w:rsidRPr="009B38AA">
        <w:rPr>
          <w:szCs w:val="26"/>
        </w:rPr>
        <w:t xml:space="preserve">In the </w:t>
      </w:r>
      <w:r w:rsidR="00B31134" w:rsidRPr="009B38AA">
        <w:rPr>
          <w:i/>
          <w:szCs w:val="26"/>
        </w:rPr>
        <w:t>Tentative Order</w:t>
      </w:r>
      <w:r w:rsidR="00E91F8F" w:rsidRPr="009B38AA">
        <w:rPr>
          <w:szCs w:val="26"/>
        </w:rPr>
        <w:t>, we</w:t>
      </w:r>
      <w:r w:rsidR="006A7018" w:rsidRPr="009B38AA">
        <w:rPr>
          <w:szCs w:val="26"/>
        </w:rPr>
        <w:t xml:space="preserve"> proposed that additional flexibility be built into the C&amp;I lighting protocol such that sufficient means of documentation could serve as an alternative source for determining hours of usage for a </w:t>
      </w:r>
      <w:r w:rsidR="006A7018" w:rsidRPr="009B38AA">
        <w:rPr>
          <w:szCs w:val="26"/>
        </w:rPr>
        <w:lastRenderedPageBreak/>
        <w:t xml:space="preserve">particular building.  Additionally, </w:t>
      </w:r>
      <w:r w:rsidR="00E91F8F" w:rsidRPr="009B38AA">
        <w:rPr>
          <w:szCs w:val="26"/>
        </w:rPr>
        <w:t>we</w:t>
      </w:r>
      <w:r w:rsidR="006A7018" w:rsidRPr="009B38AA">
        <w:rPr>
          <w:szCs w:val="26"/>
        </w:rPr>
        <w:t xml:space="preserve"> proposed that flexibility be introduced to calculate custom CFs, if hours of operation are determined for a site, using the non-weather dependent coincident peak demand calcul</w:t>
      </w:r>
      <w:r w:rsidR="008D2375" w:rsidRPr="009B38AA">
        <w:rPr>
          <w:szCs w:val="26"/>
        </w:rPr>
        <w:t xml:space="preserve">ator.  </w:t>
      </w:r>
    </w:p>
    <w:p w:rsidR="00814B30" w:rsidRPr="009B38AA" w:rsidRDefault="00814B30" w:rsidP="00814B30">
      <w:pPr>
        <w:ind w:firstLine="720"/>
        <w:rPr>
          <w:szCs w:val="26"/>
        </w:rPr>
      </w:pPr>
    </w:p>
    <w:p w:rsidR="009A6E7A" w:rsidRPr="009B38AA" w:rsidRDefault="009A6E7A" w:rsidP="00EB1FAC">
      <w:pPr>
        <w:pStyle w:val="Heading4"/>
        <w:rPr>
          <w:szCs w:val="26"/>
        </w:rPr>
      </w:pPr>
      <w:r w:rsidRPr="009B38AA">
        <w:rPr>
          <w:szCs w:val="26"/>
        </w:rPr>
        <w:t>Comments</w:t>
      </w:r>
    </w:p>
    <w:p w:rsidR="00814B30" w:rsidRPr="009B38AA" w:rsidRDefault="00814B30" w:rsidP="00814B30">
      <w:pPr>
        <w:rPr>
          <w:szCs w:val="26"/>
        </w:rPr>
      </w:pPr>
    </w:p>
    <w:p w:rsidR="00814B30" w:rsidRPr="009B38AA" w:rsidRDefault="00814B30" w:rsidP="00814B30">
      <w:pPr>
        <w:ind w:firstLine="720"/>
        <w:rPr>
          <w:szCs w:val="26"/>
        </w:rPr>
      </w:pPr>
      <w:r w:rsidRPr="009B38AA">
        <w:rPr>
          <w:szCs w:val="26"/>
        </w:rPr>
        <w:t xml:space="preserve">PPL and PECO support the Commission’s proposal to add flexibility to the lighting protocol such that alternative HOU and CF values can be used. </w:t>
      </w:r>
      <w:r w:rsidR="00B94BD9" w:rsidRPr="009B38AA">
        <w:rPr>
          <w:szCs w:val="26"/>
        </w:rPr>
        <w:t xml:space="preserve"> </w:t>
      </w:r>
      <w:r w:rsidRPr="009B38AA">
        <w:rPr>
          <w:szCs w:val="26"/>
        </w:rPr>
        <w:t>However, they note</w:t>
      </w:r>
      <w:r w:rsidR="006D54B5" w:rsidRPr="009B38AA">
        <w:rPr>
          <w:szCs w:val="26"/>
        </w:rPr>
        <w:t>d</w:t>
      </w:r>
      <w:r w:rsidRPr="009B38AA">
        <w:rPr>
          <w:szCs w:val="26"/>
        </w:rPr>
        <w:t xml:space="preserve"> that such flexibility, though </w:t>
      </w:r>
      <w:r w:rsidR="006D54B5" w:rsidRPr="009B38AA">
        <w:rPr>
          <w:szCs w:val="26"/>
        </w:rPr>
        <w:t>described</w:t>
      </w:r>
      <w:r w:rsidRPr="009B38AA">
        <w:rPr>
          <w:szCs w:val="26"/>
        </w:rPr>
        <w:t xml:space="preserve"> in the </w:t>
      </w:r>
      <w:r w:rsidR="00B31134" w:rsidRPr="009B38AA">
        <w:rPr>
          <w:i/>
          <w:szCs w:val="26"/>
        </w:rPr>
        <w:t>Tentative Order</w:t>
      </w:r>
      <w:r w:rsidRPr="009B38AA">
        <w:rPr>
          <w:szCs w:val="26"/>
        </w:rPr>
        <w:t xml:space="preserve">, was not reflected in the TRM. </w:t>
      </w:r>
      <w:r w:rsidR="00B94BD9" w:rsidRPr="009B38AA">
        <w:rPr>
          <w:szCs w:val="26"/>
        </w:rPr>
        <w:t xml:space="preserve"> </w:t>
      </w:r>
      <w:r w:rsidRPr="009B38AA">
        <w:rPr>
          <w:szCs w:val="26"/>
        </w:rPr>
        <w:t xml:space="preserve">PECO </w:t>
      </w:r>
      <w:r w:rsidR="00E91F8F" w:rsidRPr="009B38AA">
        <w:rPr>
          <w:szCs w:val="26"/>
        </w:rPr>
        <w:t xml:space="preserve">recommends that </w:t>
      </w:r>
      <w:r w:rsidRPr="009B38AA">
        <w:rPr>
          <w:szCs w:val="26"/>
        </w:rPr>
        <w:t xml:space="preserve">additional language </w:t>
      </w:r>
      <w:r w:rsidR="00E91F8F" w:rsidRPr="009B38AA">
        <w:rPr>
          <w:szCs w:val="26"/>
        </w:rPr>
        <w:t xml:space="preserve">be added </w:t>
      </w:r>
      <w:r w:rsidRPr="009B38AA">
        <w:rPr>
          <w:szCs w:val="26"/>
        </w:rPr>
        <w:t>to Section 3.2.7</w:t>
      </w:r>
      <w:r w:rsidR="00B94BD9" w:rsidRPr="009B38AA">
        <w:rPr>
          <w:szCs w:val="26"/>
        </w:rPr>
        <w:t>: Calculation Method Descriptions by Project Classification</w:t>
      </w:r>
      <w:r w:rsidRPr="009B38AA">
        <w:rPr>
          <w:szCs w:val="26"/>
        </w:rPr>
        <w:t xml:space="preserve"> of the TRM to clarify this flexibility. </w:t>
      </w:r>
      <w:r w:rsidR="00E91F8F" w:rsidRPr="009B38AA">
        <w:rPr>
          <w:szCs w:val="26"/>
        </w:rPr>
        <w:t xml:space="preserve"> </w:t>
      </w:r>
      <w:proofErr w:type="gramStart"/>
      <w:r w:rsidRPr="009B38AA">
        <w:rPr>
          <w:szCs w:val="26"/>
        </w:rPr>
        <w:t>PPL Comments at 20</w:t>
      </w:r>
      <w:r w:rsidR="00E91F8F" w:rsidRPr="009B38AA">
        <w:rPr>
          <w:szCs w:val="26"/>
        </w:rPr>
        <w:t xml:space="preserve"> and </w:t>
      </w:r>
      <w:r w:rsidRPr="009B38AA">
        <w:rPr>
          <w:szCs w:val="26"/>
        </w:rPr>
        <w:t>PECO Comments Appendix at 14</w:t>
      </w:r>
      <w:r w:rsidR="00E91F8F" w:rsidRPr="009B38AA">
        <w:rPr>
          <w:szCs w:val="26"/>
        </w:rPr>
        <w:t xml:space="preserve"> and </w:t>
      </w:r>
      <w:r w:rsidRPr="009B38AA">
        <w:rPr>
          <w:szCs w:val="26"/>
        </w:rPr>
        <w:t>15.</w:t>
      </w:r>
      <w:proofErr w:type="gramEnd"/>
    </w:p>
    <w:p w:rsidR="00963D7E" w:rsidRPr="009B38AA" w:rsidRDefault="00963D7E" w:rsidP="00814B30">
      <w:pPr>
        <w:ind w:firstLine="720"/>
        <w:rPr>
          <w:szCs w:val="26"/>
        </w:rPr>
      </w:pPr>
    </w:p>
    <w:p w:rsidR="009A6E7A" w:rsidRPr="009B38AA" w:rsidRDefault="009A6E7A" w:rsidP="00EB1FAC">
      <w:pPr>
        <w:pStyle w:val="Heading4"/>
        <w:rPr>
          <w:szCs w:val="26"/>
        </w:rPr>
      </w:pPr>
      <w:r w:rsidRPr="009B38AA">
        <w:rPr>
          <w:szCs w:val="26"/>
        </w:rPr>
        <w:t>Disposition</w:t>
      </w:r>
    </w:p>
    <w:p w:rsidR="00814B30" w:rsidRPr="009B38AA" w:rsidRDefault="00814B30" w:rsidP="00814B30">
      <w:pPr>
        <w:rPr>
          <w:szCs w:val="26"/>
        </w:rPr>
      </w:pPr>
    </w:p>
    <w:p w:rsidR="00814B30" w:rsidRPr="009B38AA" w:rsidRDefault="00814B30" w:rsidP="00814B30">
      <w:pPr>
        <w:ind w:firstLine="720"/>
        <w:rPr>
          <w:szCs w:val="26"/>
        </w:rPr>
      </w:pPr>
      <w:r w:rsidRPr="009B38AA">
        <w:rPr>
          <w:szCs w:val="26"/>
        </w:rPr>
        <w:t xml:space="preserve">The Commission </w:t>
      </w:r>
      <w:r w:rsidR="000C1727" w:rsidRPr="009B38AA">
        <w:rPr>
          <w:szCs w:val="26"/>
        </w:rPr>
        <w:t xml:space="preserve">adopts the changes </w:t>
      </w:r>
      <w:r w:rsidR="00E91F8F" w:rsidRPr="009B38AA">
        <w:rPr>
          <w:szCs w:val="26"/>
        </w:rPr>
        <w:t xml:space="preserve">proposed by PPL and PECO </w:t>
      </w:r>
      <w:r w:rsidR="000C1727" w:rsidRPr="009B38AA">
        <w:rPr>
          <w:szCs w:val="26"/>
        </w:rPr>
        <w:t xml:space="preserve">and </w:t>
      </w:r>
      <w:r w:rsidR="00B94BD9" w:rsidRPr="009B38AA">
        <w:rPr>
          <w:szCs w:val="26"/>
        </w:rPr>
        <w:t>updated the</w:t>
      </w:r>
      <w:r w:rsidR="000C1727" w:rsidRPr="009B38AA">
        <w:rPr>
          <w:szCs w:val="26"/>
        </w:rPr>
        <w:t xml:space="preserve"> TRM to add flexibility to the lighting protocol so that HOU and CF can be determined by alternate means</w:t>
      </w:r>
      <w:r w:rsidRPr="009B38AA">
        <w:rPr>
          <w:szCs w:val="26"/>
        </w:rPr>
        <w:t xml:space="preserve">. </w:t>
      </w:r>
    </w:p>
    <w:p w:rsidR="007B592F" w:rsidRPr="009B38AA" w:rsidRDefault="007B592F" w:rsidP="007B592F">
      <w:pPr>
        <w:pStyle w:val="p3"/>
        <w:tabs>
          <w:tab w:val="clear" w:pos="204"/>
          <w:tab w:val="left" w:pos="0"/>
          <w:tab w:val="left" w:pos="720"/>
        </w:tabs>
        <w:rPr>
          <w:b/>
          <w:szCs w:val="26"/>
        </w:rPr>
      </w:pPr>
    </w:p>
    <w:p w:rsidR="007B592F" w:rsidRPr="009B38AA" w:rsidRDefault="007B592F" w:rsidP="00EB1FAC">
      <w:pPr>
        <w:pStyle w:val="Heading3"/>
        <w:rPr>
          <w:rFonts w:cs="Times New Roman"/>
        </w:rPr>
      </w:pPr>
      <w:r w:rsidRPr="009B38AA">
        <w:rPr>
          <w:rFonts w:cs="Times New Roman"/>
        </w:rPr>
        <w:t>Modification of Metering Requirement for Lighting Projects</w:t>
      </w:r>
    </w:p>
    <w:p w:rsidR="000C1727" w:rsidRPr="009B38AA" w:rsidRDefault="000C1727" w:rsidP="000C1727">
      <w:pPr>
        <w:rPr>
          <w:szCs w:val="26"/>
        </w:rPr>
      </w:pPr>
    </w:p>
    <w:p w:rsidR="000C1727" w:rsidRPr="009B38AA" w:rsidRDefault="000C1727" w:rsidP="000C1727">
      <w:pPr>
        <w:pStyle w:val="p3"/>
        <w:tabs>
          <w:tab w:val="clear" w:pos="204"/>
          <w:tab w:val="left" w:pos="0"/>
          <w:tab w:val="left" w:pos="720"/>
        </w:tabs>
        <w:rPr>
          <w:szCs w:val="26"/>
        </w:rPr>
      </w:pPr>
      <w:r w:rsidRPr="009B38AA">
        <w:rPr>
          <w:szCs w:val="26"/>
        </w:rPr>
        <w:tab/>
        <w:t>Quantifying hours of usage by direct measurement, which is typically considered</w:t>
      </w:r>
      <w:r w:rsidR="00D31F6E" w:rsidRPr="009B38AA">
        <w:rPr>
          <w:szCs w:val="26"/>
        </w:rPr>
        <w:t xml:space="preserve"> to be</w:t>
      </w:r>
      <w:r w:rsidRPr="009B38AA">
        <w:rPr>
          <w:szCs w:val="26"/>
        </w:rPr>
        <w:t xml:space="preserve"> the most reliable source of data, can identify where the stipulated tables have misrepresented the hours of usage and generate more accurate estimates but also requires additional resources beyond normal verification activities.  The bulk of these direct measurement activities should target projects with high impacts and uncertainty. </w:t>
      </w:r>
      <w:r w:rsidR="00D31F6E" w:rsidRPr="009B38AA">
        <w:rPr>
          <w:szCs w:val="26"/>
        </w:rPr>
        <w:t xml:space="preserve"> The Commission proposed metering requirements for the evaluation of C&amp;I lighting projects for high impact and high uncertainty projects.  High impact projects are considered to be </w:t>
      </w:r>
      <w:r w:rsidR="00D31F6E" w:rsidRPr="009B38AA">
        <w:rPr>
          <w:szCs w:val="26"/>
        </w:rPr>
        <w:lastRenderedPageBreak/>
        <w:t>projects with connected load savings of over 200 kW.  High uncertainty projects are considered to be projects where hours are variable and/or are difficult to ascertain and can be determined at the discretion of the evaluator.</w:t>
      </w:r>
      <w:r w:rsidRPr="009B38AA">
        <w:rPr>
          <w:szCs w:val="26"/>
        </w:rPr>
        <w:t xml:space="preserve">  </w:t>
      </w:r>
    </w:p>
    <w:p w:rsidR="000C1727" w:rsidRPr="009B38AA" w:rsidRDefault="000C1727" w:rsidP="000C1727">
      <w:pPr>
        <w:rPr>
          <w:szCs w:val="26"/>
        </w:rPr>
      </w:pPr>
    </w:p>
    <w:p w:rsidR="009A6E7A" w:rsidRPr="009B38AA" w:rsidRDefault="009A6E7A" w:rsidP="00EB1FAC">
      <w:pPr>
        <w:pStyle w:val="Heading4"/>
        <w:rPr>
          <w:szCs w:val="26"/>
        </w:rPr>
      </w:pPr>
      <w:r w:rsidRPr="009B38AA">
        <w:rPr>
          <w:szCs w:val="26"/>
        </w:rPr>
        <w:t>Comments</w:t>
      </w:r>
    </w:p>
    <w:p w:rsidR="000C1727" w:rsidRPr="009B38AA" w:rsidRDefault="000C1727" w:rsidP="000C1727">
      <w:pPr>
        <w:rPr>
          <w:szCs w:val="26"/>
        </w:rPr>
      </w:pPr>
    </w:p>
    <w:p w:rsidR="000C1727" w:rsidRDefault="000C1727" w:rsidP="000C1727">
      <w:pPr>
        <w:ind w:firstLine="720"/>
        <w:rPr>
          <w:szCs w:val="26"/>
        </w:rPr>
      </w:pPr>
      <w:r w:rsidRPr="009B38AA">
        <w:rPr>
          <w:szCs w:val="26"/>
        </w:rPr>
        <w:t xml:space="preserve">PECO </w:t>
      </w:r>
      <w:r w:rsidR="007166E7" w:rsidRPr="009B38AA">
        <w:rPr>
          <w:szCs w:val="26"/>
        </w:rPr>
        <w:t xml:space="preserve">supports </w:t>
      </w:r>
      <w:r w:rsidR="007E24F4" w:rsidRPr="009B38AA">
        <w:rPr>
          <w:szCs w:val="26"/>
        </w:rPr>
        <w:t xml:space="preserve">the </w:t>
      </w:r>
      <w:r w:rsidRPr="009B38AA">
        <w:rPr>
          <w:szCs w:val="26"/>
        </w:rPr>
        <w:t xml:space="preserve">metering requirements </w:t>
      </w:r>
      <w:r w:rsidR="007E24F4" w:rsidRPr="009B38AA">
        <w:rPr>
          <w:szCs w:val="26"/>
        </w:rPr>
        <w:t xml:space="preserve">for projects with over 200 kW of connected load savings </w:t>
      </w:r>
      <w:r w:rsidRPr="009B38AA">
        <w:rPr>
          <w:szCs w:val="26"/>
        </w:rPr>
        <w:t xml:space="preserve">but </w:t>
      </w:r>
      <w:r w:rsidR="007166E7" w:rsidRPr="009B38AA">
        <w:rPr>
          <w:szCs w:val="26"/>
        </w:rPr>
        <w:t xml:space="preserve">asserts </w:t>
      </w:r>
      <w:r w:rsidRPr="009B38AA">
        <w:rPr>
          <w:szCs w:val="26"/>
        </w:rPr>
        <w:t xml:space="preserve">that there are still points of minor confusion. </w:t>
      </w:r>
      <w:r w:rsidR="00BF47AE" w:rsidRPr="009B38AA">
        <w:rPr>
          <w:szCs w:val="26"/>
        </w:rPr>
        <w:t xml:space="preserve"> </w:t>
      </w:r>
      <w:r w:rsidR="007E24F4" w:rsidRPr="009B38AA">
        <w:rPr>
          <w:szCs w:val="26"/>
        </w:rPr>
        <w:t xml:space="preserve">PECO </w:t>
      </w:r>
      <w:r w:rsidR="007166E7" w:rsidRPr="009B38AA">
        <w:rPr>
          <w:szCs w:val="26"/>
        </w:rPr>
        <w:t>requests that</w:t>
      </w:r>
      <w:r w:rsidR="007E24F4" w:rsidRPr="009B38AA">
        <w:rPr>
          <w:szCs w:val="26"/>
        </w:rPr>
        <w:t xml:space="preserve"> sampling specifications</w:t>
      </w:r>
      <w:r w:rsidR="007166E7" w:rsidRPr="009B38AA">
        <w:rPr>
          <w:szCs w:val="26"/>
        </w:rPr>
        <w:t xml:space="preserve"> be added</w:t>
      </w:r>
      <w:r w:rsidR="007E24F4" w:rsidRPr="009B38AA">
        <w:rPr>
          <w:szCs w:val="26"/>
        </w:rPr>
        <w:t xml:space="preserve">. </w:t>
      </w:r>
      <w:r w:rsidR="00BF47AE" w:rsidRPr="009B38AA">
        <w:rPr>
          <w:szCs w:val="26"/>
        </w:rPr>
        <w:t xml:space="preserve"> </w:t>
      </w:r>
      <w:r w:rsidRPr="009B38AA">
        <w:rPr>
          <w:szCs w:val="26"/>
        </w:rPr>
        <w:t xml:space="preserve">PECO </w:t>
      </w:r>
      <w:r w:rsidR="007E24F4" w:rsidRPr="009B38AA">
        <w:rPr>
          <w:szCs w:val="26"/>
        </w:rPr>
        <w:t xml:space="preserve">also </w:t>
      </w:r>
      <w:r w:rsidR="007166E7" w:rsidRPr="009B38AA">
        <w:rPr>
          <w:szCs w:val="26"/>
        </w:rPr>
        <w:t xml:space="preserve">asserts </w:t>
      </w:r>
      <w:r w:rsidR="007E24F4" w:rsidRPr="009B38AA">
        <w:rPr>
          <w:szCs w:val="26"/>
        </w:rPr>
        <w:t xml:space="preserve">that it is not clear if metering is required for reported savings or verified savings. </w:t>
      </w:r>
      <w:r w:rsidR="00BF47AE" w:rsidRPr="009B38AA">
        <w:rPr>
          <w:szCs w:val="26"/>
        </w:rPr>
        <w:t xml:space="preserve"> </w:t>
      </w:r>
      <w:r w:rsidR="007166E7" w:rsidRPr="009B38AA">
        <w:rPr>
          <w:szCs w:val="26"/>
        </w:rPr>
        <w:t>Finally</w:t>
      </w:r>
      <w:r w:rsidR="007E24F4" w:rsidRPr="009B38AA">
        <w:rPr>
          <w:szCs w:val="26"/>
        </w:rPr>
        <w:t xml:space="preserve">, PECO </w:t>
      </w:r>
      <w:r w:rsidR="00FF3982" w:rsidRPr="009B38AA">
        <w:rPr>
          <w:szCs w:val="26"/>
        </w:rPr>
        <w:t xml:space="preserve">asserts </w:t>
      </w:r>
      <w:r w:rsidR="007E24F4" w:rsidRPr="009B38AA">
        <w:rPr>
          <w:szCs w:val="26"/>
        </w:rPr>
        <w:t>that if the EDC is able to provide metering data and the EDC independent evaluator reviews the data and determines it to be reliable,</w:t>
      </w:r>
      <w:r w:rsidR="006D54B5" w:rsidRPr="009B38AA">
        <w:rPr>
          <w:szCs w:val="26"/>
        </w:rPr>
        <w:t xml:space="preserve"> that data should be sufficient</w:t>
      </w:r>
      <w:r w:rsidR="00BF47AE" w:rsidRPr="009B38AA">
        <w:rPr>
          <w:szCs w:val="26"/>
        </w:rPr>
        <w:t>.</w:t>
      </w:r>
      <w:r w:rsidR="00FF3982" w:rsidRPr="009B38AA">
        <w:rPr>
          <w:szCs w:val="26"/>
        </w:rPr>
        <w:t xml:space="preserve"> </w:t>
      </w:r>
      <w:r w:rsidR="00BF47AE" w:rsidRPr="009B38AA">
        <w:rPr>
          <w:szCs w:val="26"/>
        </w:rPr>
        <w:t xml:space="preserve"> </w:t>
      </w:r>
      <w:proofErr w:type="gramStart"/>
      <w:r w:rsidR="00BF47AE" w:rsidRPr="009B38AA">
        <w:rPr>
          <w:szCs w:val="26"/>
        </w:rPr>
        <w:t>PECO Comments at 14</w:t>
      </w:r>
      <w:r w:rsidR="00FF3982" w:rsidRPr="009B38AA">
        <w:rPr>
          <w:szCs w:val="26"/>
        </w:rPr>
        <w:t xml:space="preserve"> and </w:t>
      </w:r>
      <w:r w:rsidR="00BF47AE" w:rsidRPr="009B38AA">
        <w:rPr>
          <w:szCs w:val="26"/>
        </w:rPr>
        <w:t>15</w:t>
      </w:r>
      <w:r w:rsidR="00FF3982" w:rsidRPr="009B38AA">
        <w:rPr>
          <w:szCs w:val="26"/>
        </w:rPr>
        <w:t>.</w:t>
      </w:r>
      <w:proofErr w:type="gramEnd"/>
    </w:p>
    <w:p w:rsidR="006D3247" w:rsidRPr="009B38AA" w:rsidRDefault="006D3247" w:rsidP="000C1727">
      <w:pPr>
        <w:ind w:firstLine="720"/>
        <w:rPr>
          <w:szCs w:val="26"/>
        </w:rPr>
      </w:pPr>
    </w:p>
    <w:p w:rsidR="007E24F4" w:rsidRPr="009B38AA" w:rsidRDefault="007E24F4" w:rsidP="000C1727">
      <w:pPr>
        <w:rPr>
          <w:szCs w:val="26"/>
        </w:rPr>
      </w:pPr>
      <w:r w:rsidRPr="009B38AA">
        <w:rPr>
          <w:szCs w:val="26"/>
        </w:rPr>
        <w:tab/>
        <w:t xml:space="preserve">PPL </w:t>
      </w:r>
      <w:r w:rsidR="00FF3982" w:rsidRPr="009B38AA">
        <w:rPr>
          <w:szCs w:val="26"/>
        </w:rPr>
        <w:t xml:space="preserve">agrees </w:t>
      </w:r>
      <w:r w:rsidR="006D54B5" w:rsidRPr="009B38AA">
        <w:rPr>
          <w:szCs w:val="26"/>
        </w:rPr>
        <w:t>with limiting metering to projects with high</w:t>
      </w:r>
      <w:r w:rsidR="00B14294" w:rsidRPr="009B38AA">
        <w:rPr>
          <w:szCs w:val="26"/>
        </w:rPr>
        <w:t>-</w:t>
      </w:r>
      <w:r w:rsidR="006D54B5" w:rsidRPr="009B38AA">
        <w:rPr>
          <w:szCs w:val="26"/>
        </w:rPr>
        <w:t>savings impact or HOU that differ significantly from TRM default values given the high cost, logistical complications and the inconvenience to the customer caused by metering</w:t>
      </w:r>
      <w:r w:rsidR="00BF47AE" w:rsidRPr="009B38AA">
        <w:rPr>
          <w:szCs w:val="26"/>
        </w:rPr>
        <w:t xml:space="preserve">. </w:t>
      </w:r>
      <w:r w:rsidR="00FF3982" w:rsidRPr="009B38AA">
        <w:rPr>
          <w:szCs w:val="26"/>
        </w:rPr>
        <w:t xml:space="preserve"> </w:t>
      </w:r>
      <w:proofErr w:type="gramStart"/>
      <w:r w:rsidR="00BF47AE" w:rsidRPr="009B38AA">
        <w:rPr>
          <w:szCs w:val="26"/>
        </w:rPr>
        <w:t>PPL Comments at 21</w:t>
      </w:r>
      <w:r w:rsidR="00FF3982" w:rsidRPr="009B38AA">
        <w:rPr>
          <w:szCs w:val="26"/>
        </w:rPr>
        <w:t>.</w:t>
      </w:r>
      <w:proofErr w:type="gramEnd"/>
    </w:p>
    <w:p w:rsidR="007E24F4" w:rsidRPr="009B38AA" w:rsidRDefault="007E24F4" w:rsidP="000C1727">
      <w:pPr>
        <w:rPr>
          <w:szCs w:val="26"/>
        </w:rPr>
      </w:pPr>
    </w:p>
    <w:p w:rsidR="009A6E7A" w:rsidRPr="009B38AA" w:rsidRDefault="009A6E7A" w:rsidP="00EB1FAC">
      <w:pPr>
        <w:pStyle w:val="Heading4"/>
        <w:rPr>
          <w:szCs w:val="26"/>
        </w:rPr>
      </w:pPr>
      <w:r w:rsidRPr="009B38AA">
        <w:rPr>
          <w:szCs w:val="26"/>
        </w:rPr>
        <w:t>Disposition</w:t>
      </w:r>
    </w:p>
    <w:p w:rsidR="007B592F" w:rsidRPr="009B38AA" w:rsidRDefault="007B592F" w:rsidP="007A7CEE">
      <w:pPr>
        <w:rPr>
          <w:szCs w:val="26"/>
        </w:rPr>
      </w:pPr>
    </w:p>
    <w:p w:rsidR="007E24F4" w:rsidRPr="009B38AA" w:rsidRDefault="006D54B5" w:rsidP="00D3158F">
      <w:pPr>
        <w:ind w:firstLine="720"/>
        <w:rPr>
          <w:szCs w:val="26"/>
        </w:rPr>
      </w:pPr>
      <w:r w:rsidRPr="009B38AA">
        <w:rPr>
          <w:szCs w:val="26"/>
        </w:rPr>
        <w:t>The Commission</w:t>
      </w:r>
      <w:r w:rsidR="00D3158F" w:rsidRPr="009B38AA">
        <w:rPr>
          <w:szCs w:val="26"/>
        </w:rPr>
        <w:t xml:space="preserve"> adopts the metering requirement for projects </w:t>
      </w:r>
      <w:r w:rsidR="00AF42BE" w:rsidRPr="009B38AA">
        <w:rPr>
          <w:szCs w:val="26"/>
        </w:rPr>
        <w:t xml:space="preserve">in the verification sample that have savings </w:t>
      </w:r>
      <w:r w:rsidR="00D3158F" w:rsidRPr="009B38AA">
        <w:rPr>
          <w:szCs w:val="26"/>
        </w:rPr>
        <w:t xml:space="preserve">over 200 kW </w:t>
      </w:r>
      <w:r w:rsidR="00AF42BE" w:rsidRPr="009B38AA">
        <w:rPr>
          <w:szCs w:val="26"/>
        </w:rPr>
        <w:t xml:space="preserve">in connected load. </w:t>
      </w:r>
      <w:r w:rsidR="00BF47AE" w:rsidRPr="009B38AA">
        <w:rPr>
          <w:szCs w:val="26"/>
        </w:rPr>
        <w:t xml:space="preserve"> </w:t>
      </w:r>
      <w:r w:rsidR="00AF42BE" w:rsidRPr="009B38AA">
        <w:rPr>
          <w:szCs w:val="26"/>
        </w:rPr>
        <w:t xml:space="preserve">If available and determined reliable, the EDC independent evaluator may leverage metering data conducted by the implementation team. </w:t>
      </w:r>
      <w:r w:rsidR="00BF47AE" w:rsidRPr="009B38AA">
        <w:rPr>
          <w:szCs w:val="26"/>
        </w:rPr>
        <w:t xml:space="preserve"> </w:t>
      </w:r>
      <w:r w:rsidR="00AF42BE" w:rsidRPr="009B38AA">
        <w:rPr>
          <w:szCs w:val="26"/>
        </w:rPr>
        <w:t xml:space="preserve">In addition, projects with high uncertainty, </w:t>
      </w:r>
      <w:r w:rsidR="00AF42BE" w:rsidRPr="009B38AA">
        <w:rPr>
          <w:i/>
          <w:szCs w:val="26"/>
        </w:rPr>
        <w:t>i.e.</w:t>
      </w:r>
      <w:r w:rsidR="00AF42BE" w:rsidRPr="009B38AA">
        <w:rPr>
          <w:szCs w:val="26"/>
        </w:rPr>
        <w:t xml:space="preserve"> variable operating schedules, should receive metering. </w:t>
      </w:r>
      <w:r w:rsidR="00BF47AE" w:rsidRPr="009B38AA">
        <w:rPr>
          <w:szCs w:val="26"/>
        </w:rPr>
        <w:t xml:space="preserve"> </w:t>
      </w:r>
      <w:r w:rsidR="00AF42BE" w:rsidRPr="009B38AA">
        <w:rPr>
          <w:szCs w:val="26"/>
        </w:rPr>
        <w:t xml:space="preserve">The exact determination of “high uncertainty” will be </w:t>
      </w:r>
      <w:r w:rsidR="00BF47AE" w:rsidRPr="009B38AA">
        <w:rPr>
          <w:szCs w:val="26"/>
        </w:rPr>
        <w:t>at the discretion</w:t>
      </w:r>
      <w:r w:rsidR="00AF42BE" w:rsidRPr="009B38AA">
        <w:rPr>
          <w:szCs w:val="26"/>
        </w:rPr>
        <w:t xml:space="preserve"> of the EDC</w:t>
      </w:r>
      <w:r w:rsidR="00BF47AE" w:rsidRPr="009B38AA">
        <w:rPr>
          <w:szCs w:val="26"/>
        </w:rPr>
        <w:t>s’</w:t>
      </w:r>
      <w:r w:rsidR="00AF42BE" w:rsidRPr="009B38AA">
        <w:rPr>
          <w:szCs w:val="26"/>
        </w:rPr>
        <w:t xml:space="preserve"> independent evaluators with input from the SWE</w:t>
      </w:r>
      <w:r w:rsidR="00BF47AE" w:rsidRPr="009B38AA">
        <w:rPr>
          <w:szCs w:val="26"/>
        </w:rPr>
        <w:t>,</w:t>
      </w:r>
      <w:r w:rsidR="00AF42BE" w:rsidRPr="009B38AA">
        <w:rPr>
          <w:szCs w:val="26"/>
        </w:rPr>
        <w:t xml:space="preserve"> as necessary.</w:t>
      </w:r>
      <w:r w:rsidR="00BF47AE" w:rsidRPr="009B38AA">
        <w:rPr>
          <w:szCs w:val="26"/>
        </w:rPr>
        <w:t xml:space="preserve"> </w:t>
      </w:r>
      <w:r w:rsidR="00AF42BE" w:rsidRPr="009B38AA">
        <w:rPr>
          <w:szCs w:val="26"/>
        </w:rPr>
        <w:t xml:space="preserve"> The exact sampling methodology within a site will also be </w:t>
      </w:r>
      <w:r w:rsidR="00BF47AE" w:rsidRPr="009B38AA">
        <w:rPr>
          <w:szCs w:val="26"/>
        </w:rPr>
        <w:t>at the</w:t>
      </w:r>
      <w:r w:rsidR="00AF42BE" w:rsidRPr="009B38AA">
        <w:rPr>
          <w:szCs w:val="26"/>
        </w:rPr>
        <w:t xml:space="preserve"> discretion of </w:t>
      </w:r>
      <w:r w:rsidR="00AF42BE" w:rsidRPr="009B38AA">
        <w:rPr>
          <w:szCs w:val="26"/>
        </w:rPr>
        <w:lastRenderedPageBreak/>
        <w:t>the EDC</w:t>
      </w:r>
      <w:r w:rsidR="00BF47AE" w:rsidRPr="009B38AA">
        <w:rPr>
          <w:szCs w:val="26"/>
        </w:rPr>
        <w:t>’s</w:t>
      </w:r>
      <w:r w:rsidR="00AF42BE" w:rsidRPr="009B38AA">
        <w:rPr>
          <w:szCs w:val="26"/>
        </w:rPr>
        <w:t xml:space="preserve"> independent evaluator, based on the specific characteristics of the target facility.</w:t>
      </w:r>
    </w:p>
    <w:p w:rsidR="007E24F4" w:rsidRPr="009B38AA" w:rsidRDefault="007E24F4" w:rsidP="007A7CEE">
      <w:pPr>
        <w:rPr>
          <w:szCs w:val="26"/>
        </w:rPr>
      </w:pPr>
    </w:p>
    <w:p w:rsidR="00013E5A" w:rsidRPr="009B38AA" w:rsidRDefault="00013E5A" w:rsidP="00013E5A">
      <w:pPr>
        <w:pStyle w:val="Heading3"/>
        <w:rPr>
          <w:rFonts w:cs="Times New Roman"/>
        </w:rPr>
      </w:pPr>
      <w:r w:rsidRPr="009B38AA">
        <w:rPr>
          <w:rFonts w:cs="Times New Roman"/>
        </w:rPr>
        <w:t>Appendix C: Lighting Audit &amp; Design Tool</w:t>
      </w:r>
    </w:p>
    <w:p w:rsidR="00013E5A" w:rsidRPr="009B38AA" w:rsidRDefault="00013E5A" w:rsidP="00013E5A">
      <w:pPr>
        <w:rPr>
          <w:szCs w:val="26"/>
        </w:rPr>
      </w:pPr>
    </w:p>
    <w:p w:rsidR="00013E5A" w:rsidRPr="009B38AA" w:rsidRDefault="00013E5A" w:rsidP="00013E5A">
      <w:pPr>
        <w:ind w:firstLine="720"/>
        <w:rPr>
          <w:szCs w:val="26"/>
        </w:rPr>
      </w:pPr>
      <w:r w:rsidRPr="009B38AA">
        <w:rPr>
          <w:szCs w:val="26"/>
        </w:rPr>
        <w:t xml:space="preserve">Appendix C is a lighting inventory designed for use with Act 129 lighting programs and standardizes calculation of energy and demand savings for all lighting projects. </w:t>
      </w:r>
    </w:p>
    <w:p w:rsidR="00013E5A" w:rsidRPr="009B38AA" w:rsidRDefault="00013E5A" w:rsidP="00013E5A">
      <w:pPr>
        <w:pStyle w:val="p3"/>
        <w:tabs>
          <w:tab w:val="clear" w:pos="204"/>
          <w:tab w:val="left" w:pos="720"/>
        </w:tabs>
        <w:rPr>
          <w:szCs w:val="26"/>
        </w:rPr>
      </w:pPr>
    </w:p>
    <w:p w:rsidR="00013E5A" w:rsidRPr="009B38AA" w:rsidRDefault="00013E5A" w:rsidP="00013E5A">
      <w:pPr>
        <w:pStyle w:val="Heading4"/>
        <w:rPr>
          <w:szCs w:val="26"/>
        </w:rPr>
      </w:pPr>
      <w:r w:rsidRPr="009B38AA">
        <w:rPr>
          <w:szCs w:val="26"/>
        </w:rPr>
        <w:t>Comments</w:t>
      </w:r>
    </w:p>
    <w:p w:rsidR="00013E5A" w:rsidRPr="009B38AA" w:rsidRDefault="00013E5A" w:rsidP="00013E5A">
      <w:pPr>
        <w:rPr>
          <w:szCs w:val="26"/>
        </w:rPr>
      </w:pPr>
    </w:p>
    <w:p w:rsidR="00013E5A" w:rsidRPr="009B38AA" w:rsidRDefault="00013E5A" w:rsidP="00013E5A">
      <w:pPr>
        <w:ind w:firstLine="720"/>
        <w:rPr>
          <w:szCs w:val="26"/>
        </w:rPr>
      </w:pPr>
      <w:r w:rsidRPr="009B38AA">
        <w:rPr>
          <w:szCs w:val="26"/>
        </w:rPr>
        <w:t xml:space="preserve">PPL </w:t>
      </w:r>
      <w:r w:rsidR="00FF3982" w:rsidRPr="009B38AA">
        <w:rPr>
          <w:szCs w:val="26"/>
        </w:rPr>
        <w:t xml:space="preserve">recommends </w:t>
      </w:r>
      <w:r w:rsidRPr="009B38AA">
        <w:rPr>
          <w:szCs w:val="26"/>
        </w:rPr>
        <w:t>adding new fixture codes to the Appendix C Wattage Table for those fixtures not currently in Appendix C that are commonly submitted by contractors, stating that it can provide</w:t>
      </w:r>
      <w:r w:rsidR="00FF3982" w:rsidRPr="009B38AA">
        <w:rPr>
          <w:szCs w:val="26"/>
        </w:rPr>
        <w:t xml:space="preserve"> the </w:t>
      </w:r>
      <w:r w:rsidRPr="009B38AA">
        <w:rPr>
          <w:szCs w:val="26"/>
        </w:rPr>
        <w:t>add</w:t>
      </w:r>
      <w:r w:rsidR="008D2375" w:rsidRPr="009B38AA">
        <w:rPr>
          <w:szCs w:val="26"/>
        </w:rPr>
        <w:t xml:space="preserve">itional examples upon request. </w:t>
      </w:r>
      <w:r w:rsidR="00FF3982" w:rsidRPr="009B38AA">
        <w:rPr>
          <w:szCs w:val="26"/>
        </w:rPr>
        <w:t xml:space="preserve"> </w:t>
      </w:r>
      <w:proofErr w:type="gramStart"/>
      <w:r w:rsidR="008D2375" w:rsidRPr="009B38AA">
        <w:rPr>
          <w:szCs w:val="26"/>
        </w:rPr>
        <w:t>PPL Comments at 22</w:t>
      </w:r>
      <w:r w:rsidR="00FF3982" w:rsidRPr="009B38AA">
        <w:rPr>
          <w:szCs w:val="26"/>
        </w:rPr>
        <w:t>.</w:t>
      </w:r>
      <w:proofErr w:type="gramEnd"/>
      <w:r w:rsidR="00FF3982" w:rsidRPr="009B38AA">
        <w:rPr>
          <w:szCs w:val="26"/>
        </w:rPr>
        <w:t xml:space="preserve">  </w:t>
      </w:r>
      <w:r w:rsidRPr="009B38AA">
        <w:rPr>
          <w:szCs w:val="26"/>
        </w:rPr>
        <w:t xml:space="preserve">PPL also </w:t>
      </w:r>
      <w:r w:rsidR="00FF3982" w:rsidRPr="009B38AA">
        <w:rPr>
          <w:szCs w:val="26"/>
        </w:rPr>
        <w:t xml:space="preserve">recommends </w:t>
      </w:r>
      <w:r w:rsidRPr="009B38AA">
        <w:rPr>
          <w:szCs w:val="26"/>
        </w:rPr>
        <w:t xml:space="preserve">updating the building type list with the latest additions. </w:t>
      </w:r>
      <w:r w:rsidR="00FF3982" w:rsidRPr="009B38AA">
        <w:rPr>
          <w:szCs w:val="26"/>
        </w:rPr>
        <w:t xml:space="preserve"> </w:t>
      </w:r>
      <w:proofErr w:type="gramStart"/>
      <w:r w:rsidR="008D2375" w:rsidRPr="009B38AA">
        <w:rPr>
          <w:szCs w:val="26"/>
        </w:rPr>
        <w:t>PPL Comments at 22</w:t>
      </w:r>
      <w:r w:rsidR="00FF3982" w:rsidRPr="009B38AA">
        <w:rPr>
          <w:szCs w:val="26"/>
        </w:rPr>
        <w:t>.</w:t>
      </w:r>
      <w:proofErr w:type="gramEnd"/>
      <w:r w:rsidR="00FF3982" w:rsidRPr="009B38AA">
        <w:rPr>
          <w:szCs w:val="26"/>
        </w:rPr>
        <w:t xml:space="preserve">  Finally, </w:t>
      </w:r>
      <w:r w:rsidRPr="009B38AA">
        <w:rPr>
          <w:szCs w:val="26"/>
        </w:rPr>
        <w:t xml:space="preserve">PPL </w:t>
      </w:r>
      <w:r w:rsidR="00FF3982" w:rsidRPr="009B38AA">
        <w:rPr>
          <w:szCs w:val="26"/>
        </w:rPr>
        <w:t xml:space="preserve">recommends </w:t>
      </w:r>
      <w:r w:rsidRPr="009B38AA">
        <w:rPr>
          <w:szCs w:val="26"/>
        </w:rPr>
        <w:t>updating the language contained in Appendix C such that it is consistent with the updates of the 2012 TRM.</w:t>
      </w:r>
      <w:r w:rsidR="008D2375" w:rsidRPr="009B38AA">
        <w:rPr>
          <w:szCs w:val="26"/>
        </w:rPr>
        <w:t xml:space="preserve"> </w:t>
      </w:r>
      <w:r w:rsidR="00FF3982" w:rsidRPr="009B38AA">
        <w:rPr>
          <w:szCs w:val="26"/>
        </w:rPr>
        <w:t xml:space="preserve"> </w:t>
      </w:r>
      <w:proofErr w:type="gramStart"/>
      <w:r w:rsidR="008D2375" w:rsidRPr="009B38AA">
        <w:rPr>
          <w:szCs w:val="26"/>
        </w:rPr>
        <w:t>PPL Comments at 22</w:t>
      </w:r>
      <w:r w:rsidR="00FF3982" w:rsidRPr="009B38AA">
        <w:rPr>
          <w:szCs w:val="26"/>
        </w:rPr>
        <w:t>.</w:t>
      </w:r>
      <w:proofErr w:type="gramEnd"/>
    </w:p>
    <w:p w:rsidR="00013E5A" w:rsidRPr="009B38AA" w:rsidRDefault="00013E5A" w:rsidP="00013E5A">
      <w:pPr>
        <w:pStyle w:val="p3"/>
        <w:tabs>
          <w:tab w:val="clear" w:pos="204"/>
          <w:tab w:val="left" w:pos="720"/>
        </w:tabs>
        <w:ind w:left="2160" w:hanging="720"/>
        <w:rPr>
          <w:b/>
          <w:szCs w:val="26"/>
        </w:rPr>
      </w:pPr>
    </w:p>
    <w:p w:rsidR="00013E5A" w:rsidRPr="009B38AA" w:rsidRDefault="00013E5A" w:rsidP="00013E5A">
      <w:pPr>
        <w:pStyle w:val="Heading4"/>
        <w:rPr>
          <w:szCs w:val="26"/>
        </w:rPr>
      </w:pPr>
      <w:r w:rsidRPr="009B38AA">
        <w:rPr>
          <w:szCs w:val="26"/>
        </w:rPr>
        <w:t>Disposition</w:t>
      </w:r>
    </w:p>
    <w:p w:rsidR="00013E5A" w:rsidRPr="009B38AA" w:rsidRDefault="00013E5A" w:rsidP="007A7CEE">
      <w:pPr>
        <w:rPr>
          <w:szCs w:val="26"/>
        </w:rPr>
      </w:pPr>
    </w:p>
    <w:p w:rsidR="00013E5A" w:rsidRPr="009B38AA" w:rsidRDefault="00013E5A" w:rsidP="00A06373">
      <w:pPr>
        <w:ind w:firstLine="720"/>
        <w:rPr>
          <w:szCs w:val="26"/>
        </w:rPr>
      </w:pPr>
      <w:r w:rsidRPr="009B38AA">
        <w:rPr>
          <w:szCs w:val="26"/>
        </w:rPr>
        <w:t>The Commission agrees with PPL and adopts all editorial changes</w:t>
      </w:r>
      <w:r w:rsidR="00A06373" w:rsidRPr="009B38AA">
        <w:rPr>
          <w:szCs w:val="26"/>
        </w:rPr>
        <w:t xml:space="preserve"> related to consistency with the 2012 TRM</w:t>
      </w:r>
      <w:r w:rsidRPr="009B38AA">
        <w:rPr>
          <w:szCs w:val="26"/>
        </w:rPr>
        <w:t>.</w:t>
      </w:r>
      <w:r w:rsidR="00BF47AE" w:rsidRPr="009B38AA">
        <w:rPr>
          <w:szCs w:val="26"/>
        </w:rPr>
        <w:t xml:space="preserve"> </w:t>
      </w:r>
      <w:r w:rsidRPr="009B38AA">
        <w:rPr>
          <w:szCs w:val="26"/>
        </w:rPr>
        <w:t xml:space="preserve"> The Commission </w:t>
      </w:r>
      <w:r w:rsidR="00FF3982" w:rsidRPr="009B38AA">
        <w:rPr>
          <w:szCs w:val="26"/>
        </w:rPr>
        <w:t xml:space="preserve">directs PPL to provide to the TWG its </w:t>
      </w:r>
      <w:r w:rsidR="00A06373" w:rsidRPr="009B38AA">
        <w:rPr>
          <w:szCs w:val="26"/>
        </w:rPr>
        <w:t>additional information to inform the update of the Appendix C Wattage Table</w:t>
      </w:r>
      <w:r w:rsidR="00FF3982" w:rsidRPr="009B38AA">
        <w:rPr>
          <w:szCs w:val="26"/>
        </w:rPr>
        <w:t xml:space="preserve"> during a future TRM update</w:t>
      </w:r>
      <w:r w:rsidR="00A06373" w:rsidRPr="009B38AA">
        <w:rPr>
          <w:szCs w:val="26"/>
        </w:rPr>
        <w:t>.</w:t>
      </w:r>
    </w:p>
    <w:p w:rsidR="00013E5A" w:rsidRDefault="00013E5A" w:rsidP="007A7CEE">
      <w:pPr>
        <w:rPr>
          <w:szCs w:val="26"/>
        </w:rPr>
      </w:pPr>
    </w:p>
    <w:p w:rsidR="006D3247" w:rsidRPr="009B38AA" w:rsidRDefault="006D3247" w:rsidP="007A7CEE">
      <w:pPr>
        <w:rPr>
          <w:szCs w:val="26"/>
        </w:rPr>
      </w:pPr>
    </w:p>
    <w:p w:rsidR="007A7CEE" w:rsidRPr="009B38AA" w:rsidRDefault="007A7CEE" w:rsidP="007A7CEE">
      <w:pPr>
        <w:pStyle w:val="Heading3"/>
        <w:rPr>
          <w:rFonts w:cs="Times New Roman"/>
        </w:rPr>
      </w:pPr>
      <w:r w:rsidRPr="009B38AA">
        <w:rPr>
          <w:rFonts w:cs="Times New Roman"/>
        </w:rPr>
        <w:lastRenderedPageBreak/>
        <w:t>Other Modifications</w:t>
      </w:r>
    </w:p>
    <w:p w:rsidR="007A7CEE" w:rsidRPr="009B38AA" w:rsidRDefault="007A7CEE" w:rsidP="007A7CEE">
      <w:pPr>
        <w:rPr>
          <w:szCs w:val="26"/>
        </w:rPr>
      </w:pPr>
    </w:p>
    <w:p w:rsidR="00D3158F" w:rsidRPr="009B38AA" w:rsidRDefault="00D3158F" w:rsidP="00D3158F">
      <w:pPr>
        <w:ind w:firstLine="720"/>
        <w:rPr>
          <w:szCs w:val="26"/>
        </w:rPr>
      </w:pPr>
      <w:r w:rsidRPr="009B38AA">
        <w:rPr>
          <w:szCs w:val="26"/>
        </w:rPr>
        <w:t>Other miscellaneous changes to the lighting protocols were proposed by EDCs.</w:t>
      </w:r>
    </w:p>
    <w:p w:rsidR="00D3158F" w:rsidRPr="009B38AA" w:rsidRDefault="00D3158F" w:rsidP="007A7CEE">
      <w:pPr>
        <w:rPr>
          <w:szCs w:val="26"/>
        </w:rPr>
      </w:pPr>
    </w:p>
    <w:p w:rsidR="007A7CEE" w:rsidRPr="009B38AA" w:rsidRDefault="007A7CEE" w:rsidP="007A7CEE">
      <w:pPr>
        <w:pStyle w:val="Heading4"/>
        <w:rPr>
          <w:szCs w:val="26"/>
        </w:rPr>
      </w:pPr>
      <w:r w:rsidRPr="009B38AA">
        <w:rPr>
          <w:szCs w:val="26"/>
        </w:rPr>
        <w:t>Comments</w:t>
      </w:r>
    </w:p>
    <w:p w:rsidR="000C1727" w:rsidRPr="009B38AA" w:rsidRDefault="000C1727" w:rsidP="000C1727">
      <w:pPr>
        <w:rPr>
          <w:szCs w:val="26"/>
        </w:rPr>
      </w:pPr>
    </w:p>
    <w:p w:rsidR="00230195" w:rsidRPr="009B38AA" w:rsidRDefault="00AF42BE" w:rsidP="00AF42BE">
      <w:pPr>
        <w:ind w:firstLine="720"/>
        <w:rPr>
          <w:szCs w:val="26"/>
        </w:rPr>
      </w:pPr>
      <w:r w:rsidRPr="009B38AA">
        <w:rPr>
          <w:szCs w:val="26"/>
        </w:rPr>
        <w:t xml:space="preserve">PECO </w:t>
      </w:r>
      <w:r w:rsidR="00FF3982" w:rsidRPr="009B38AA">
        <w:rPr>
          <w:szCs w:val="26"/>
        </w:rPr>
        <w:t xml:space="preserve">recommends </w:t>
      </w:r>
      <w:r w:rsidRPr="009B38AA">
        <w:rPr>
          <w:szCs w:val="26"/>
        </w:rPr>
        <w:t xml:space="preserve">that </w:t>
      </w:r>
      <w:r w:rsidR="00BF47AE" w:rsidRPr="009B38AA">
        <w:rPr>
          <w:szCs w:val="26"/>
        </w:rPr>
        <w:t xml:space="preserve">the </w:t>
      </w:r>
      <w:r w:rsidRPr="009B38AA">
        <w:rPr>
          <w:szCs w:val="26"/>
        </w:rPr>
        <w:t>EDC</w:t>
      </w:r>
      <w:r w:rsidR="00BF47AE" w:rsidRPr="009B38AA">
        <w:rPr>
          <w:szCs w:val="26"/>
        </w:rPr>
        <w:t>s’</w:t>
      </w:r>
      <w:r w:rsidRPr="009B38AA">
        <w:rPr>
          <w:szCs w:val="26"/>
        </w:rPr>
        <w:t xml:space="preserve"> independent evaluators have the ability to modify HOU values for projects under 20 kW in connect</w:t>
      </w:r>
      <w:r w:rsidR="00FF3982" w:rsidRPr="009B38AA">
        <w:rPr>
          <w:szCs w:val="26"/>
        </w:rPr>
        <w:t>ed</w:t>
      </w:r>
      <w:r w:rsidRPr="009B38AA">
        <w:rPr>
          <w:szCs w:val="26"/>
        </w:rPr>
        <w:t xml:space="preserve"> load savings if the perceived difference is greater than 10</w:t>
      </w:r>
      <w:r w:rsidR="00A31563" w:rsidRPr="009B38AA">
        <w:rPr>
          <w:szCs w:val="26"/>
        </w:rPr>
        <w:t xml:space="preserve"> percent</w:t>
      </w:r>
      <w:r w:rsidR="00BF47AE" w:rsidRPr="009B38AA">
        <w:rPr>
          <w:szCs w:val="26"/>
        </w:rPr>
        <w:t>.</w:t>
      </w:r>
      <w:r w:rsidRPr="009B38AA">
        <w:rPr>
          <w:szCs w:val="26"/>
        </w:rPr>
        <w:t xml:space="preserve"> </w:t>
      </w:r>
      <w:r w:rsidR="00FF3982" w:rsidRPr="009B38AA">
        <w:rPr>
          <w:szCs w:val="26"/>
        </w:rPr>
        <w:t xml:space="preserve"> </w:t>
      </w:r>
      <w:proofErr w:type="gramStart"/>
      <w:r w:rsidRPr="009B38AA">
        <w:rPr>
          <w:szCs w:val="26"/>
        </w:rPr>
        <w:t>PECO Comments at 13</w:t>
      </w:r>
      <w:r w:rsidR="00FF3982" w:rsidRPr="009B38AA">
        <w:rPr>
          <w:szCs w:val="26"/>
        </w:rPr>
        <w:t>.</w:t>
      </w:r>
      <w:proofErr w:type="gramEnd"/>
      <w:r w:rsidRPr="009B38AA">
        <w:rPr>
          <w:szCs w:val="26"/>
        </w:rPr>
        <w:t xml:space="preserve"> </w:t>
      </w:r>
      <w:r w:rsidR="00BF47AE" w:rsidRPr="009B38AA">
        <w:rPr>
          <w:szCs w:val="26"/>
        </w:rPr>
        <w:t xml:space="preserve"> </w:t>
      </w:r>
      <w:r w:rsidRPr="009B38AA">
        <w:rPr>
          <w:szCs w:val="26"/>
        </w:rPr>
        <w:t xml:space="preserve">PPL </w:t>
      </w:r>
      <w:r w:rsidR="00FF3982" w:rsidRPr="009B38AA">
        <w:rPr>
          <w:szCs w:val="26"/>
        </w:rPr>
        <w:t xml:space="preserve">asserts </w:t>
      </w:r>
      <w:r w:rsidRPr="009B38AA">
        <w:rPr>
          <w:szCs w:val="26"/>
        </w:rPr>
        <w:t xml:space="preserve">that the use of verified hours </w:t>
      </w:r>
      <w:r w:rsidR="00BF47AE" w:rsidRPr="009B38AA">
        <w:rPr>
          <w:szCs w:val="26"/>
        </w:rPr>
        <w:t xml:space="preserve">should </w:t>
      </w:r>
      <w:r w:rsidRPr="009B38AA">
        <w:rPr>
          <w:szCs w:val="26"/>
        </w:rPr>
        <w:t>be an option, not a requirement</w:t>
      </w:r>
      <w:r w:rsidR="00BF47AE" w:rsidRPr="009B38AA">
        <w:rPr>
          <w:szCs w:val="26"/>
        </w:rPr>
        <w:t>.</w:t>
      </w:r>
      <w:r w:rsidRPr="009B38AA">
        <w:rPr>
          <w:szCs w:val="26"/>
        </w:rPr>
        <w:t xml:space="preserve"> </w:t>
      </w:r>
      <w:r w:rsidR="000A2B01" w:rsidRPr="009B38AA">
        <w:rPr>
          <w:szCs w:val="26"/>
        </w:rPr>
        <w:t xml:space="preserve"> </w:t>
      </w:r>
      <w:proofErr w:type="gramStart"/>
      <w:r w:rsidRPr="009B38AA">
        <w:rPr>
          <w:szCs w:val="26"/>
        </w:rPr>
        <w:t>PPL Reply Comments at 4</w:t>
      </w:r>
      <w:r w:rsidR="00FF3982" w:rsidRPr="009B38AA">
        <w:rPr>
          <w:szCs w:val="26"/>
        </w:rPr>
        <w:t>.</w:t>
      </w:r>
      <w:proofErr w:type="gramEnd"/>
      <w:r w:rsidR="00FF3982" w:rsidRPr="009B38AA">
        <w:rPr>
          <w:szCs w:val="26"/>
        </w:rPr>
        <w:t xml:space="preserve">  </w:t>
      </w:r>
      <w:r w:rsidR="00230195" w:rsidRPr="009B38AA">
        <w:rPr>
          <w:szCs w:val="26"/>
        </w:rPr>
        <w:t>Furthermore, PECO recommends the rewording of several paragraphs to add clarity to the New Construction, Prescriptive Lighting Improvements and Lighting Controls sections.  PECO also suggests revising the temperature range of the lighting interactive factors to cover freezer spaces between 0°F and 32°F.  PECO Comments at 13-15.</w:t>
      </w:r>
    </w:p>
    <w:p w:rsidR="00230195" w:rsidRPr="009B38AA" w:rsidRDefault="00230195" w:rsidP="00AF42BE">
      <w:pPr>
        <w:ind w:firstLine="720"/>
        <w:rPr>
          <w:szCs w:val="26"/>
        </w:rPr>
      </w:pPr>
    </w:p>
    <w:p w:rsidR="00AF42BE" w:rsidRPr="009B38AA" w:rsidRDefault="00FF3982" w:rsidP="00AF42BE">
      <w:pPr>
        <w:ind w:firstLine="720"/>
        <w:rPr>
          <w:szCs w:val="26"/>
        </w:rPr>
      </w:pPr>
      <w:r w:rsidRPr="009B38AA">
        <w:rPr>
          <w:szCs w:val="26"/>
        </w:rPr>
        <w:t>PPL recommends several miscellaneous changes, including the removal of outdated notes, clarifying the applicability of lighting controls, non-fluorescent fixtures, and clarifying the use of HOU and CF values for dusk-to-dawn lighting.  PPL Comments 21-23.</w:t>
      </w:r>
    </w:p>
    <w:p w:rsidR="000C1727" w:rsidRPr="009B38AA" w:rsidRDefault="000C1727" w:rsidP="000C1727">
      <w:pPr>
        <w:rPr>
          <w:szCs w:val="26"/>
        </w:rPr>
      </w:pPr>
    </w:p>
    <w:p w:rsidR="007A7CEE" w:rsidRPr="009B38AA" w:rsidRDefault="007A7CEE" w:rsidP="007A7CEE">
      <w:pPr>
        <w:pStyle w:val="Heading4"/>
        <w:rPr>
          <w:szCs w:val="26"/>
        </w:rPr>
      </w:pPr>
      <w:r w:rsidRPr="009B38AA">
        <w:rPr>
          <w:szCs w:val="26"/>
        </w:rPr>
        <w:t>Disposition</w:t>
      </w:r>
    </w:p>
    <w:p w:rsidR="00415D2B" w:rsidRPr="009B38AA" w:rsidRDefault="00415D2B" w:rsidP="00415D2B">
      <w:pPr>
        <w:rPr>
          <w:szCs w:val="26"/>
        </w:rPr>
      </w:pPr>
    </w:p>
    <w:p w:rsidR="00F26D5C" w:rsidRPr="009B38AA" w:rsidRDefault="00F26D5C" w:rsidP="00F26D5C">
      <w:pPr>
        <w:ind w:firstLine="720"/>
        <w:rPr>
          <w:szCs w:val="26"/>
        </w:rPr>
      </w:pPr>
      <w:r w:rsidRPr="009B38AA">
        <w:rPr>
          <w:szCs w:val="26"/>
        </w:rPr>
        <w:t xml:space="preserve">The Commission accepts PECO’s recommendation </w:t>
      </w:r>
      <w:r w:rsidR="00230195" w:rsidRPr="009B38AA">
        <w:rPr>
          <w:szCs w:val="26"/>
        </w:rPr>
        <w:t xml:space="preserve">to allow </w:t>
      </w:r>
      <w:r w:rsidR="00BF47AE" w:rsidRPr="009B38AA">
        <w:rPr>
          <w:szCs w:val="26"/>
        </w:rPr>
        <w:t>the</w:t>
      </w:r>
      <w:r w:rsidRPr="009B38AA">
        <w:rPr>
          <w:szCs w:val="26"/>
        </w:rPr>
        <w:t xml:space="preserve"> EDC</w:t>
      </w:r>
      <w:r w:rsidR="00BF47AE" w:rsidRPr="009B38AA">
        <w:rPr>
          <w:szCs w:val="26"/>
        </w:rPr>
        <w:t>s’</w:t>
      </w:r>
      <w:r w:rsidRPr="009B38AA">
        <w:rPr>
          <w:szCs w:val="26"/>
        </w:rPr>
        <w:t xml:space="preserve"> independent evaluators to modify verified HOU if the perceived difference is greater than 10</w:t>
      </w:r>
      <w:r w:rsidR="00A31563" w:rsidRPr="009B38AA">
        <w:rPr>
          <w:szCs w:val="26"/>
        </w:rPr>
        <w:t xml:space="preserve"> percent</w:t>
      </w:r>
      <w:r w:rsidRPr="009B38AA">
        <w:rPr>
          <w:szCs w:val="26"/>
        </w:rPr>
        <w:t xml:space="preserve">. </w:t>
      </w:r>
      <w:r w:rsidR="00BF47AE" w:rsidRPr="009B38AA">
        <w:rPr>
          <w:szCs w:val="26"/>
        </w:rPr>
        <w:t xml:space="preserve"> </w:t>
      </w:r>
      <w:r w:rsidRPr="009B38AA">
        <w:rPr>
          <w:szCs w:val="26"/>
        </w:rPr>
        <w:t xml:space="preserve">Per PPL’s </w:t>
      </w:r>
      <w:r w:rsidR="00230195" w:rsidRPr="009B38AA">
        <w:rPr>
          <w:szCs w:val="26"/>
        </w:rPr>
        <w:t>suggestion</w:t>
      </w:r>
      <w:r w:rsidRPr="009B38AA">
        <w:rPr>
          <w:szCs w:val="26"/>
        </w:rPr>
        <w:t>, this is adopted as an option, not a requirement.</w:t>
      </w:r>
    </w:p>
    <w:p w:rsidR="00F26D5C" w:rsidRPr="009B38AA" w:rsidRDefault="00F26D5C" w:rsidP="00415D2B">
      <w:pPr>
        <w:rPr>
          <w:szCs w:val="26"/>
        </w:rPr>
      </w:pPr>
    </w:p>
    <w:p w:rsidR="00415D2B" w:rsidRPr="009B38AA" w:rsidRDefault="00415D2B" w:rsidP="00415D2B">
      <w:pPr>
        <w:ind w:firstLine="720"/>
        <w:rPr>
          <w:szCs w:val="26"/>
        </w:rPr>
      </w:pPr>
      <w:r w:rsidRPr="009B38AA">
        <w:rPr>
          <w:szCs w:val="26"/>
        </w:rPr>
        <w:t xml:space="preserve">The Commission </w:t>
      </w:r>
      <w:r w:rsidR="00230195" w:rsidRPr="009B38AA">
        <w:rPr>
          <w:szCs w:val="26"/>
        </w:rPr>
        <w:t xml:space="preserve">also </w:t>
      </w:r>
      <w:r w:rsidRPr="009B38AA">
        <w:rPr>
          <w:szCs w:val="26"/>
        </w:rPr>
        <w:t xml:space="preserve">accepts PECO’s modifications to clarify the intent of the lighting protocol. </w:t>
      </w:r>
      <w:r w:rsidR="00BF47AE" w:rsidRPr="009B38AA">
        <w:rPr>
          <w:szCs w:val="26"/>
        </w:rPr>
        <w:t xml:space="preserve"> </w:t>
      </w:r>
      <w:r w:rsidR="00230195" w:rsidRPr="009B38AA">
        <w:rPr>
          <w:szCs w:val="26"/>
        </w:rPr>
        <w:t>We</w:t>
      </w:r>
      <w:r w:rsidRPr="009B38AA">
        <w:rPr>
          <w:szCs w:val="26"/>
        </w:rPr>
        <w:t xml:space="preserve"> also expanded the temperature ranges in Table 3-5</w:t>
      </w:r>
      <w:r w:rsidR="00BF47AE" w:rsidRPr="009B38AA">
        <w:rPr>
          <w:szCs w:val="26"/>
        </w:rPr>
        <w:t>:</w:t>
      </w:r>
      <w:r w:rsidR="000A2B01" w:rsidRPr="009B38AA">
        <w:rPr>
          <w:szCs w:val="26"/>
        </w:rPr>
        <w:t xml:space="preserve"> </w:t>
      </w:r>
      <w:r w:rsidR="00BF47AE" w:rsidRPr="009B38AA">
        <w:rPr>
          <w:szCs w:val="26"/>
        </w:rPr>
        <w:t xml:space="preserve"> Interactive </w:t>
      </w:r>
      <w:r w:rsidR="00BF47AE" w:rsidRPr="009B38AA">
        <w:rPr>
          <w:szCs w:val="26"/>
        </w:rPr>
        <w:lastRenderedPageBreak/>
        <w:t>Factors and Other Lighting Variables</w:t>
      </w:r>
      <w:r w:rsidRPr="009B38AA">
        <w:rPr>
          <w:szCs w:val="26"/>
        </w:rPr>
        <w:t xml:space="preserve"> to ensure that all temperatures are covered by the TRM</w:t>
      </w:r>
      <w:r w:rsidR="00230195" w:rsidRPr="009B38AA">
        <w:rPr>
          <w:szCs w:val="26"/>
        </w:rPr>
        <w:t xml:space="preserve"> as suggested by PECO</w:t>
      </w:r>
      <w:r w:rsidRPr="009B38AA">
        <w:rPr>
          <w:szCs w:val="26"/>
        </w:rPr>
        <w:t xml:space="preserve">. </w:t>
      </w:r>
    </w:p>
    <w:p w:rsidR="00D3158F" w:rsidRPr="009B38AA" w:rsidRDefault="00D3158F" w:rsidP="00415D2B">
      <w:pPr>
        <w:ind w:firstLine="720"/>
        <w:rPr>
          <w:szCs w:val="26"/>
        </w:rPr>
      </w:pPr>
    </w:p>
    <w:p w:rsidR="00D3158F" w:rsidRPr="009B38AA" w:rsidRDefault="00230195" w:rsidP="00415D2B">
      <w:pPr>
        <w:ind w:firstLine="720"/>
        <w:rPr>
          <w:szCs w:val="26"/>
        </w:rPr>
      </w:pPr>
      <w:r w:rsidRPr="009B38AA">
        <w:rPr>
          <w:szCs w:val="26"/>
        </w:rPr>
        <w:t>Specifically, we</w:t>
      </w:r>
      <w:r w:rsidR="00D3158F" w:rsidRPr="009B38AA">
        <w:rPr>
          <w:szCs w:val="26"/>
        </w:rPr>
        <w:t xml:space="preserve"> removed the outdated footnote 125</w:t>
      </w:r>
      <w:r w:rsidR="00A1062B" w:rsidRPr="009B38AA">
        <w:rPr>
          <w:szCs w:val="26"/>
        </w:rPr>
        <w:t>,</w:t>
      </w:r>
      <w:r w:rsidR="00D3158F" w:rsidRPr="009B38AA">
        <w:rPr>
          <w:szCs w:val="26"/>
        </w:rPr>
        <w:t xml:space="preserve"> </w:t>
      </w:r>
      <w:r w:rsidR="00A1062B" w:rsidRPr="009B38AA">
        <w:rPr>
          <w:szCs w:val="26"/>
        </w:rPr>
        <w:t xml:space="preserve">modified the </w:t>
      </w:r>
      <w:r w:rsidR="00D3158F" w:rsidRPr="009B38AA">
        <w:rPr>
          <w:szCs w:val="26"/>
        </w:rPr>
        <w:t>note for Table 3-4</w:t>
      </w:r>
      <w:r w:rsidR="00BF47AE" w:rsidRPr="009B38AA">
        <w:rPr>
          <w:szCs w:val="26"/>
        </w:rPr>
        <w:t>: Lighting HOU and CF by Building Type or Function</w:t>
      </w:r>
      <w:r w:rsidR="00A1062B" w:rsidRPr="009B38AA">
        <w:rPr>
          <w:szCs w:val="26"/>
        </w:rPr>
        <w:t xml:space="preserve"> to eliminate language referring to a decision made in January 2011</w:t>
      </w:r>
      <w:r w:rsidR="00D3158F" w:rsidRPr="009B38AA">
        <w:rPr>
          <w:szCs w:val="26"/>
        </w:rPr>
        <w:t>,</w:t>
      </w:r>
      <w:r w:rsidR="00BF47AE" w:rsidRPr="009B38AA">
        <w:rPr>
          <w:rStyle w:val="FootnoteReference"/>
          <w:szCs w:val="26"/>
        </w:rPr>
        <w:footnoteReference w:id="57"/>
      </w:r>
      <w:r w:rsidR="00D3158F" w:rsidRPr="009B38AA">
        <w:rPr>
          <w:szCs w:val="26"/>
        </w:rPr>
        <w:t xml:space="preserve"> </w:t>
      </w:r>
      <w:r w:rsidR="00BF47AE" w:rsidRPr="009B38AA">
        <w:rPr>
          <w:szCs w:val="26"/>
        </w:rPr>
        <w:t>removed the restriction in the Lighting C</w:t>
      </w:r>
      <w:r w:rsidR="00D3158F" w:rsidRPr="009B38AA">
        <w:rPr>
          <w:szCs w:val="26"/>
        </w:rPr>
        <w:t>ontrols section</w:t>
      </w:r>
      <w:r w:rsidR="001D4C45" w:rsidRPr="009B38AA">
        <w:rPr>
          <w:szCs w:val="26"/>
        </w:rPr>
        <w:t xml:space="preserve"> that limited controls to only fluorescent fixtures</w:t>
      </w:r>
      <w:r w:rsidR="00D3158F" w:rsidRPr="009B38AA">
        <w:rPr>
          <w:szCs w:val="26"/>
        </w:rPr>
        <w:t>, and clarified the note related to dusk-to-dawn lighting.</w:t>
      </w:r>
    </w:p>
    <w:p w:rsidR="000A2B01" w:rsidRPr="009B38AA" w:rsidRDefault="000A2B01" w:rsidP="00415D2B">
      <w:pPr>
        <w:ind w:firstLine="720"/>
        <w:rPr>
          <w:szCs w:val="26"/>
        </w:rPr>
      </w:pPr>
    </w:p>
    <w:p w:rsidR="007B592F" w:rsidRPr="009B38AA" w:rsidRDefault="007B592F" w:rsidP="00EB1FAC">
      <w:pPr>
        <w:pStyle w:val="Heading2"/>
      </w:pPr>
      <w:r w:rsidRPr="009B38AA">
        <w:t>Clarification of Motor and Variable Frequency Drive Protocols</w:t>
      </w:r>
    </w:p>
    <w:p w:rsidR="007B592F" w:rsidRPr="009B38AA" w:rsidRDefault="007B592F" w:rsidP="007B592F">
      <w:pPr>
        <w:pStyle w:val="p3"/>
        <w:tabs>
          <w:tab w:val="clear" w:pos="204"/>
          <w:tab w:val="left" w:pos="0"/>
          <w:tab w:val="left" w:pos="720"/>
        </w:tabs>
        <w:ind w:left="1440"/>
        <w:rPr>
          <w:b/>
          <w:szCs w:val="26"/>
        </w:rPr>
      </w:pPr>
    </w:p>
    <w:p w:rsidR="007B592F" w:rsidRPr="009B38AA" w:rsidRDefault="007B592F" w:rsidP="00BD2852">
      <w:pPr>
        <w:pStyle w:val="Heading3"/>
        <w:spacing w:line="240" w:lineRule="auto"/>
        <w:rPr>
          <w:rFonts w:cs="Times New Roman"/>
        </w:rPr>
      </w:pPr>
      <w:r w:rsidRPr="009B38AA">
        <w:rPr>
          <w:rFonts w:cs="Times New Roman"/>
        </w:rPr>
        <w:t>Determination of Energy Savings Factor and Demand Savings Factor Values for Baseline Conditions for Non-Constant Volume Systems</w:t>
      </w:r>
    </w:p>
    <w:p w:rsidR="007B592F" w:rsidRPr="009B38AA" w:rsidRDefault="007B592F" w:rsidP="007B592F">
      <w:pPr>
        <w:pStyle w:val="p3"/>
        <w:tabs>
          <w:tab w:val="clear" w:pos="204"/>
          <w:tab w:val="left" w:pos="0"/>
          <w:tab w:val="left" w:pos="720"/>
        </w:tabs>
        <w:rPr>
          <w:szCs w:val="26"/>
        </w:rPr>
      </w:pPr>
      <w:r w:rsidRPr="009B38AA">
        <w:rPr>
          <w:szCs w:val="26"/>
        </w:rPr>
        <w:tab/>
      </w:r>
    </w:p>
    <w:p w:rsidR="00F26D5C" w:rsidRPr="009B38AA" w:rsidRDefault="00F26D5C" w:rsidP="00F26D5C">
      <w:pPr>
        <w:pStyle w:val="p3"/>
        <w:tabs>
          <w:tab w:val="clear" w:pos="204"/>
          <w:tab w:val="left" w:pos="0"/>
          <w:tab w:val="left" w:pos="720"/>
        </w:tabs>
        <w:rPr>
          <w:szCs w:val="26"/>
        </w:rPr>
      </w:pPr>
      <w:r w:rsidRPr="009B38AA">
        <w:rPr>
          <w:szCs w:val="26"/>
        </w:rPr>
        <w:tab/>
      </w:r>
      <w:r w:rsidR="00230195" w:rsidRPr="009B38AA">
        <w:rPr>
          <w:szCs w:val="26"/>
        </w:rPr>
        <w:t>In t</w:t>
      </w:r>
      <w:r w:rsidRPr="009B38AA">
        <w:rPr>
          <w:szCs w:val="26"/>
        </w:rPr>
        <w:t xml:space="preserve">he </w:t>
      </w:r>
      <w:r w:rsidR="00B31134" w:rsidRPr="009B38AA">
        <w:rPr>
          <w:i/>
          <w:szCs w:val="26"/>
        </w:rPr>
        <w:t>Tentative Order</w:t>
      </w:r>
      <w:r w:rsidR="00230195" w:rsidRPr="009B38AA">
        <w:rPr>
          <w:szCs w:val="26"/>
        </w:rPr>
        <w:t>, we</w:t>
      </w:r>
      <w:r w:rsidRPr="009B38AA">
        <w:rPr>
          <w:szCs w:val="26"/>
        </w:rPr>
        <w:t xml:space="preserve"> expanded the VFD protocol such that savings for other baseline systems, such as inlet guide vane and discharge damper systems, could be quantified using the TRM.  In the absence of primary data collection, </w:t>
      </w:r>
      <w:r w:rsidR="00230195" w:rsidRPr="009B38AA">
        <w:rPr>
          <w:szCs w:val="26"/>
        </w:rPr>
        <w:t>we</w:t>
      </w:r>
      <w:r w:rsidRPr="009B38AA">
        <w:rPr>
          <w:szCs w:val="26"/>
        </w:rPr>
        <w:t xml:space="preserve"> proposed that the EDC research secondary sources to inform the stipulated energy and demand savings variables.</w:t>
      </w:r>
    </w:p>
    <w:p w:rsidR="00F26D5C" w:rsidRDefault="00F26D5C" w:rsidP="00F26D5C">
      <w:pPr>
        <w:pStyle w:val="p3"/>
        <w:tabs>
          <w:tab w:val="clear" w:pos="204"/>
          <w:tab w:val="left" w:pos="0"/>
          <w:tab w:val="left" w:pos="720"/>
        </w:tabs>
        <w:rPr>
          <w:szCs w:val="26"/>
        </w:rPr>
      </w:pPr>
    </w:p>
    <w:p w:rsidR="006D3247" w:rsidRDefault="006D3247" w:rsidP="00F26D5C">
      <w:pPr>
        <w:pStyle w:val="p3"/>
        <w:tabs>
          <w:tab w:val="clear" w:pos="204"/>
          <w:tab w:val="left" w:pos="0"/>
          <w:tab w:val="left" w:pos="720"/>
        </w:tabs>
        <w:rPr>
          <w:szCs w:val="26"/>
        </w:rPr>
      </w:pPr>
    </w:p>
    <w:p w:rsidR="006D3247" w:rsidRDefault="006D3247" w:rsidP="00F26D5C">
      <w:pPr>
        <w:pStyle w:val="p3"/>
        <w:tabs>
          <w:tab w:val="clear" w:pos="204"/>
          <w:tab w:val="left" w:pos="0"/>
          <w:tab w:val="left" w:pos="720"/>
        </w:tabs>
        <w:rPr>
          <w:szCs w:val="26"/>
        </w:rPr>
      </w:pPr>
    </w:p>
    <w:p w:rsidR="006D3247" w:rsidRDefault="006D3247" w:rsidP="00F26D5C">
      <w:pPr>
        <w:pStyle w:val="p3"/>
        <w:tabs>
          <w:tab w:val="clear" w:pos="204"/>
          <w:tab w:val="left" w:pos="0"/>
          <w:tab w:val="left" w:pos="720"/>
        </w:tabs>
        <w:rPr>
          <w:szCs w:val="26"/>
        </w:rPr>
      </w:pPr>
    </w:p>
    <w:p w:rsidR="006D3247" w:rsidRPr="009B38AA" w:rsidRDefault="006D3247" w:rsidP="00F26D5C">
      <w:pPr>
        <w:pStyle w:val="p3"/>
        <w:tabs>
          <w:tab w:val="clear" w:pos="204"/>
          <w:tab w:val="left" w:pos="0"/>
          <w:tab w:val="left" w:pos="720"/>
        </w:tabs>
        <w:rPr>
          <w:szCs w:val="26"/>
        </w:rPr>
      </w:pPr>
    </w:p>
    <w:p w:rsidR="009A6E7A" w:rsidRPr="009B38AA" w:rsidRDefault="009A6E7A" w:rsidP="00EB1FAC">
      <w:pPr>
        <w:pStyle w:val="Heading4"/>
        <w:rPr>
          <w:szCs w:val="26"/>
        </w:rPr>
      </w:pPr>
      <w:r w:rsidRPr="009B38AA">
        <w:rPr>
          <w:szCs w:val="26"/>
        </w:rPr>
        <w:lastRenderedPageBreak/>
        <w:t>Comments</w:t>
      </w:r>
    </w:p>
    <w:p w:rsidR="009A6E7A" w:rsidRPr="009B38AA" w:rsidRDefault="009A6E7A" w:rsidP="009A6E7A">
      <w:pPr>
        <w:pStyle w:val="p3"/>
        <w:tabs>
          <w:tab w:val="clear" w:pos="204"/>
          <w:tab w:val="left" w:pos="0"/>
          <w:tab w:val="left" w:pos="720"/>
        </w:tabs>
        <w:ind w:left="2880" w:hanging="720"/>
        <w:rPr>
          <w:b/>
          <w:szCs w:val="26"/>
        </w:rPr>
      </w:pPr>
    </w:p>
    <w:p w:rsidR="00255189" w:rsidRPr="009B38AA" w:rsidRDefault="00255189" w:rsidP="00F26D5C">
      <w:pPr>
        <w:ind w:firstLine="720"/>
        <w:rPr>
          <w:szCs w:val="26"/>
        </w:rPr>
      </w:pPr>
      <w:r w:rsidRPr="009B38AA">
        <w:rPr>
          <w:szCs w:val="26"/>
        </w:rPr>
        <w:t xml:space="preserve">PECO </w:t>
      </w:r>
      <w:r w:rsidR="00230195" w:rsidRPr="009B38AA">
        <w:rPr>
          <w:szCs w:val="26"/>
        </w:rPr>
        <w:t xml:space="preserve">notes </w:t>
      </w:r>
      <w:r w:rsidRPr="009B38AA">
        <w:rPr>
          <w:szCs w:val="26"/>
        </w:rPr>
        <w:t>that the energy savings factors and demand savings fa</w:t>
      </w:r>
      <w:r w:rsidR="006613BE" w:rsidRPr="009B38AA">
        <w:rPr>
          <w:szCs w:val="26"/>
        </w:rPr>
        <w:t>ctors adopted from the Mid-Atlantic TRM</w:t>
      </w:r>
      <w:r w:rsidR="006613BE" w:rsidRPr="009B38AA">
        <w:rPr>
          <w:rStyle w:val="FootnoteReference"/>
          <w:szCs w:val="26"/>
        </w:rPr>
        <w:footnoteReference w:id="58"/>
      </w:r>
      <w:r w:rsidR="006613BE" w:rsidRPr="009B38AA">
        <w:rPr>
          <w:szCs w:val="26"/>
        </w:rPr>
        <w:t xml:space="preserve"> </w:t>
      </w:r>
      <w:r w:rsidR="00230195" w:rsidRPr="009B38AA">
        <w:rPr>
          <w:szCs w:val="26"/>
        </w:rPr>
        <w:t xml:space="preserve">that </w:t>
      </w:r>
      <w:r w:rsidR="006613BE" w:rsidRPr="009B38AA">
        <w:rPr>
          <w:szCs w:val="26"/>
        </w:rPr>
        <w:t>references UI and CL&amp;P P</w:t>
      </w:r>
      <w:r w:rsidRPr="009B38AA">
        <w:rPr>
          <w:szCs w:val="26"/>
        </w:rPr>
        <w:t xml:space="preserve">rogram Savings Documentation for </w:t>
      </w:r>
      <w:r w:rsidR="006613BE" w:rsidRPr="009B38AA">
        <w:rPr>
          <w:szCs w:val="26"/>
        </w:rPr>
        <w:t xml:space="preserve">the </w:t>
      </w:r>
      <w:r w:rsidRPr="009B38AA">
        <w:rPr>
          <w:szCs w:val="26"/>
        </w:rPr>
        <w:t>2009 Program Year</w:t>
      </w:r>
      <w:r w:rsidR="006613BE" w:rsidRPr="009B38AA">
        <w:rPr>
          <w:szCs w:val="26"/>
        </w:rPr>
        <w:t>,</w:t>
      </w:r>
      <w:r w:rsidRPr="009B38AA">
        <w:rPr>
          <w:szCs w:val="26"/>
        </w:rPr>
        <w:t xml:space="preserve"> be confirmed to ensure that savings are </w:t>
      </w:r>
      <w:r w:rsidR="006613BE" w:rsidRPr="009B38AA">
        <w:rPr>
          <w:szCs w:val="26"/>
        </w:rPr>
        <w:t xml:space="preserve">being </w:t>
      </w:r>
      <w:r w:rsidRPr="009B38AA">
        <w:rPr>
          <w:szCs w:val="26"/>
        </w:rPr>
        <w:t>calculated appropriately.</w:t>
      </w:r>
      <w:r w:rsidR="006613BE" w:rsidRPr="009B38AA">
        <w:rPr>
          <w:szCs w:val="26"/>
        </w:rPr>
        <w:t xml:space="preserve"> </w:t>
      </w:r>
      <w:r w:rsidR="00230195" w:rsidRPr="009B38AA">
        <w:rPr>
          <w:szCs w:val="26"/>
        </w:rPr>
        <w:t xml:space="preserve"> </w:t>
      </w:r>
      <w:proofErr w:type="gramStart"/>
      <w:r w:rsidR="006613BE" w:rsidRPr="009B38AA">
        <w:rPr>
          <w:szCs w:val="26"/>
        </w:rPr>
        <w:t>PECO Comments Appendix at 16</w:t>
      </w:r>
      <w:r w:rsidR="00230195" w:rsidRPr="009B38AA">
        <w:rPr>
          <w:szCs w:val="26"/>
        </w:rPr>
        <w:t>.</w:t>
      </w:r>
      <w:proofErr w:type="gramEnd"/>
    </w:p>
    <w:p w:rsidR="00255189" w:rsidRPr="009B38AA" w:rsidRDefault="00255189" w:rsidP="00F26D5C">
      <w:pPr>
        <w:ind w:firstLine="720"/>
        <w:rPr>
          <w:szCs w:val="26"/>
        </w:rPr>
      </w:pPr>
    </w:p>
    <w:p w:rsidR="00F26D5C" w:rsidRPr="009B38AA" w:rsidRDefault="00F26D5C" w:rsidP="00F26D5C">
      <w:pPr>
        <w:ind w:firstLine="720"/>
        <w:rPr>
          <w:szCs w:val="26"/>
        </w:rPr>
      </w:pPr>
      <w:r w:rsidRPr="009B38AA">
        <w:rPr>
          <w:szCs w:val="26"/>
        </w:rPr>
        <w:t>PPL agrees with the modification and expansion of the VFD protocol to include additional baselines</w:t>
      </w:r>
      <w:r w:rsidR="006613BE" w:rsidRPr="009B38AA">
        <w:rPr>
          <w:szCs w:val="26"/>
        </w:rPr>
        <w:t xml:space="preserve">. </w:t>
      </w:r>
      <w:r w:rsidR="00230195" w:rsidRPr="009B38AA">
        <w:rPr>
          <w:szCs w:val="26"/>
        </w:rPr>
        <w:t xml:space="preserve"> </w:t>
      </w:r>
      <w:proofErr w:type="gramStart"/>
      <w:r w:rsidR="006613BE" w:rsidRPr="009B38AA">
        <w:rPr>
          <w:szCs w:val="26"/>
        </w:rPr>
        <w:t>PPL Comments at 23</w:t>
      </w:r>
      <w:r w:rsidR="00230195" w:rsidRPr="009B38AA">
        <w:rPr>
          <w:szCs w:val="26"/>
        </w:rPr>
        <w:t>.</w:t>
      </w:r>
      <w:proofErr w:type="gramEnd"/>
    </w:p>
    <w:p w:rsidR="004075FB" w:rsidRPr="009B38AA" w:rsidRDefault="004075FB" w:rsidP="009A6E7A">
      <w:pPr>
        <w:pStyle w:val="p3"/>
        <w:tabs>
          <w:tab w:val="clear" w:pos="204"/>
          <w:tab w:val="left" w:pos="0"/>
          <w:tab w:val="left" w:pos="720"/>
        </w:tabs>
        <w:ind w:left="2880" w:hanging="720"/>
        <w:rPr>
          <w:b/>
          <w:szCs w:val="26"/>
        </w:rPr>
      </w:pPr>
    </w:p>
    <w:p w:rsidR="009A6E7A" w:rsidRPr="009B38AA" w:rsidRDefault="009A6E7A" w:rsidP="00EB1FAC">
      <w:pPr>
        <w:pStyle w:val="Heading4"/>
        <w:rPr>
          <w:szCs w:val="26"/>
        </w:rPr>
      </w:pPr>
      <w:r w:rsidRPr="009B38AA">
        <w:rPr>
          <w:szCs w:val="26"/>
        </w:rPr>
        <w:t>Disposition</w:t>
      </w:r>
    </w:p>
    <w:p w:rsidR="007B592F" w:rsidRPr="009B38AA" w:rsidRDefault="007B592F" w:rsidP="009A6E7A">
      <w:pPr>
        <w:pStyle w:val="p3"/>
        <w:tabs>
          <w:tab w:val="clear" w:pos="204"/>
          <w:tab w:val="left" w:pos="0"/>
          <w:tab w:val="left" w:pos="720"/>
        </w:tabs>
        <w:rPr>
          <w:b/>
          <w:szCs w:val="26"/>
        </w:rPr>
      </w:pPr>
    </w:p>
    <w:p w:rsidR="00F26D5C" w:rsidRDefault="00F26D5C" w:rsidP="00F26D5C">
      <w:pPr>
        <w:ind w:firstLine="720"/>
        <w:rPr>
          <w:szCs w:val="26"/>
        </w:rPr>
      </w:pPr>
      <w:r w:rsidRPr="009B38AA">
        <w:rPr>
          <w:szCs w:val="26"/>
        </w:rPr>
        <w:t xml:space="preserve">The Commission </w:t>
      </w:r>
      <w:r w:rsidR="00255189" w:rsidRPr="009B38AA">
        <w:rPr>
          <w:szCs w:val="26"/>
        </w:rPr>
        <w:t xml:space="preserve">confirmed the use of constants from secondary sources and </w:t>
      </w:r>
      <w:r w:rsidRPr="009B38AA">
        <w:rPr>
          <w:szCs w:val="26"/>
        </w:rPr>
        <w:t>adopts the expanded VFD protocol to include additional baselines.</w:t>
      </w:r>
    </w:p>
    <w:p w:rsidR="006D3247" w:rsidRPr="009B38AA" w:rsidRDefault="006D3247" w:rsidP="00F26D5C">
      <w:pPr>
        <w:ind w:firstLine="720"/>
        <w:rPr>
          <w:szCs w:val="26"/>
        </w:rPr>
      </w:pPr>
    </w:p>
    <w:p w:rsidR="007B592F" w:rsidRPr="009B38AA" w:rsidRDefault="007B592F" w:rsidP="00EB1FAC">
      <w:pPr>
        <w:pStyle w:val="Heading3"/>
        <w:rPr>
          <w:rFonts w:cs="Times New Roman"/>
        </w:rPr>
      </w:pPr>
      <w:r w:rsidRPr="009B38AA">
        <w:rPr>
          <w:rFonts w:cs="Times New Roman"/>
        </w:rPr>
        <w:t>Metering Requirement for Motors and VFD Projects</w:t>
      </w:r>
    </w:p>
    <w:p w:rsidR="007B592F" w:rsidRPr="009B38AA" w:rsidRDefault="007B592F" w:rsidP="00F26D5C">
      <w:pPr>
        <w:rPr>
          <w:szCs w:val="26"/>
        </w:rPr>
      </w:pPr>
    </w:p>
    <w:p w:rsidR="00F26D5C" w:rsidRPr="009B38AA" w:rsidRDefault="00F26D5C" w:rsidP="00F26D5C">
      <w:pPr>
        <w:pStyle w:val="p3"/>
        <w:tabs>
          <w:tab w:val="clear" w:pos="204"/>
          <w:tab w:val="left" w:pos="0"/>
          <w:tab w:val="left" w:pos="720"/>
        </w:tabs>
        <w:rPr>
          <w:szCs w:val="26"/>
        </w:rPr>
      </w:pPr>
      <w:r w:rsidRPr="009B38AA">
        <w:rPr>
          <w:szCs w:val="26"/>
        </w:rPr>
        <w:tab/>
        <w:t>Usage characteristics of VFD improvement projects, which generally drive energy savings, are captured for typical motor functions in the form of stipulated equivalent full load hour</w:t>
      </w:r>
      <w:r w:rsidR="00132FF1" w:rsidRPr="009B38AA">
        <w:rPr>
          <w:szCs w:val="26"/>
        </w:rPr>
        <w:t xml:space="preserve"> (“EFLH”)</w:t>
      </w:r>
      <w:r w:rsidRPr="009B38AA">
        <w:rPr>
          <w:szCs w:val="26"/>
        </w:rPr>
        <w:t xml:space="preserve"> values.  The 2011 TRM states that all other motor functions not directly listed in the TRM are to be treated as custom measures, which limits the applicability of the TRM protocol </w:t>
      </w:r>
      <w:r w:rsidR="00230195" w:rsidRPr="009B38AA">
        <w:rPr>
          <w:szCs w:val="26"/>
        </w:rPr>
        <w:t xml:space="preserve">for </w:t>
      </w:r>
      <w:r w:rsidRPr="009B38AA">
        <w:rPr>
          <w:szCs w:val="26"/>
        </w:rPr>
        <w:t>small process motors.</w:t>
      </w:r>
      <w:r w:rsidRPr="009B38AA">
        <w:rPr>
          <w:rStyle w:val="FootnoteReference"/>
          <w:szCs w:val="26"/>
        </w:rPr>
        <w:footnoteReference w:id="59"/>
      </w:r>
      <w:r w:rsidRPr="009B38AA">
        <w:rPr>
          <w:szCs w:val="26"/>
        </w:rPr>
        <w:t xml:space="preserve">  This may have the unintended consequence of requiring metering for a plethora of projects that have relatively small contributions to the program and the overall portfolio. </w:t>
      </w:r>
    </w:p>
    <w:p w:rsidR="00F26D5C" w:rsidRPr="009B38AA" w:rsidRDefault="00F26D5C" w:rsidP="00F26D5C">
      <w:pPr>
        <w:rPr>
          <w:szCs w:val="26"/>
        </w:rPr>
      </w:pPr>
    </w:p>
    <w:p w:rsidR="00F26D5C" w:rsidRPr="009B38AA" w:rsidRDefault="00230195" w:rsidP="00F26D5C">
      <w:pPr>
        <w:ind w:firstLine="720"/>
        <w:rPr>
          <w:szCs w:val="26"/>
        </w:rPr>
      </w:pPr>
      <w:r w:rsidRPr="009B38AA">
        <w:rPr>
          <w:szCs w:val="26"/>
        </w:rPr>
        <w:lastRenderedPageBreak/>
        <w:t>In t</w:t>
      </w:r>
      <w:r w:rsidR="00F26D5C" w:rsidRPr="009B38AA">
        <w:rPr>
          <w:szCs w:val="26"/>
        </w:rPr>
        <w:t xml:space="preserve">he </w:t>
      </w:r>
      <w:r w:rsidR="00B31134" w:rsidRPr="009B38AA">
        <w:rPr>
          <w:i/>
          <w:szCs w:val="26"/>
        </w:rPr>
        <w:t>Tentative Order</w:t>
      </w:r>
      <w:r w:rsidRPr="009B38AA">
        <w:rPr>
          <w:szCs w:val="26"/>
        </w:rPr>
        <w:t>, we</w:t>
      </w:r>
      <w:r w:rsidR="00F26D5C" w:rsidRPr="009B38AA">
        <w:rPr>
          <w:szCs w:val="26"/>
        </w:rPr>
        <w:t xml:space="preserve"> proposed that all motors under a certain threshold be eligible for deemed savings according to the TRM protocols to appropriately balance cost and rigor.  An average value may serve as a reasonable and conservative value that could be corrected through the evaluation.</w:t>
      </w:r>
    </w:p>
    <w:p w:rsidR="009A6E7A" w:rsidRPr="009B38AA" w:rsidRDefault="009A6E7A" w:rsidP="00F26D5C">
      <w:pPr>
        <w:rPr>
          <w:b/>
          <w:szCs w:val="26"/>
        </w:rPr>
      </w:pPr>
    </w:p>
    <w:p w:rsidR="009A6E7A" w:rsidRPr="009B38AA" w:rsidRDefault="009A6E7A" w:rsidP="00EB1FAC">
      <w:pPr>
        <w:pStyle w:val="Heading4"/>
        <w:rPr>
          <w:szCs w:val="26"/>
        </w:rPr>
      </w:pPr>
      <w:r w:rsidRPr="009B38AA">
        <w:rPr>
          <w:szCs w:val="26"/>
        </w:rPr>
        <w:t>Comments</w:t>
      </w:r>
    </w:p>
    <w:p w:rsidR="00F26D5C" w:rsidRPr="009B38AA" w:rsidRDefault="00F26D5C" w:rsidP="00F26D5C">
      <w:pPr>
        <w:rPr>
          <w:szCs w:val="26"/>
        </w:rPr>
      </w:pPr>
    </w:p>
    <w:p w:rsidR="00255189" w:rsidRPr="009B38AA" w:rsidRDefault="00F26D5C" w:rsidP="00F26D5C">
      <w:pPr>
        <w:ind w:firstLine="720"/>
        <w:rPr>
          <w:szCs w:val="26"/>
        </w:rPr>
      </w:pPr>
      <w:r w:rsidRPr="009B38AA">
        <w:rPr>
          <w:szCs w:val="26"/>
        </w:rPr>
        <w:t xml:space="preserve">PPL </w:t>
      </w:r>
      <w:r w:rsidR="00230195" w:rsidRPr="009B38AA">
        <w:rPr>
          <w:szCs w:val="26"/>
        </w:rPr>
        <w:t xml:space="preserve">agrees </w:t>
      </w:r>
      <w:r w:rsidRPr="009B38AA">
        <w:rPr>
          <w:szCs w:val="26"/>
        </w:rPr>
        <w:t>that simplifying the metering requirement for motors and VFDs will reduce the need to process projects with small savings following a custom methodology</w:t>
      </w:r>
      <w:r w:rsidR="00230195" w:rsidRPr="009B38AA">
        <w:rPr>
          <w:szCs w:val="26"/>
        </w:rPr>
        <w:t>,</w:t>
      </w:r>
      <w:r w:rsidRPr="009B38AA">
        <w:rPr>
          <w:szCs w:val="26"/>
        </w:rPr>
        <w:t xml:space="preserve"> but believes that the metering threshold levels should be determined at the discretion of the EDC evaluator</w:t>
      </w:r>
      <w:r w:rsidR="00F10099" w:rsidRPr="009B38AA">
        <w:rPr>
          <w:szCs w:val="26"/>
        </w:rPr>
        <w:t xml:space="preserve">. </w:t>
      </w:r>
      <w:r w:rsidR="00230195" w:rsidRPr="009B38AA">
        <w:rPr>
          <w:szCs w:val="26"/>
        </w:rPr>
        <w:t xml:space="preserve"> </w:t>
      </w:r>
      <w:proofErr w:type="gramStart"/>
      <w:r w:rsidR="00F10099" w:rsidRPr="009B38AA">
        <w:rPr>
          <w:szCs w:val="26"/>
        </w:rPr>
        <w:t>PPL Comments at 23</w:t>
      </w:r>
      <w:r w:rsidR="00230195" w:rsidRPr="009B38AA">
        <w:rPr>
          <w:szCs w:val="26"/>
        </w:rPr>
        <w:t xml:space="preserve"> and </w:t>
      </w:r>
      <w:r w:rsidR="00F10099" w:rsidRPr="009B38AA">
        <w:rPr>
          <w:szCs w:val="26"/>
        </w:rPr>
        <w:t>24</w:t>
      </w:r>
      <w:r w:rsidR="00230195" w:rsidRPr="009B38AA">
        <w:rPr>
          <w:szCs w:val="26"/>
        </w:rPr>
        <w:t>.</w:t>
      </w:r>
      <w:proofErr w:type="gramEnd"/>
    </w:p>
    <w:p w:rsidR="004075FB" w:rsidRPr="009B38AA" w:rsidRDefault="004075FB" w:rsidP="00F26D5C">
      <w:pPr>
        <w:ind w:firstLine="720"/>
        <w:rPr>
          <w:szCs w:val="26"/>
        </w:rPr>
      </w:pPr>
    </w:p>
    <w:p w:rsidR="00F26D5C" w:rsidRDefault="00F26D5C" w:rsidP="00F26D5C">
      <w:pPr>
        <w:ind w:firstLine="720"/>
        <w:rPr>
          <w:szCs w:val="26"/>
        </w:rPr>
      </w:pPr>
      <w:r w:rsidRPr="009B38AA">
        <w:rPr>
          <w:szCs w:val="26"/>
        </w:rPr>
        <w:t xml:space="preserve">PECO </w:t>
      </w:r>
      <w:r w:rsidR="006405DD" w:rsidRPr="009B38AA">
        <w:rPr>
          <w:szCs w:val="26"/>
        </w:rPr>
        <w:t xml:space="preserve">offers </w:t>
      </w:r>
      <w:r w:rsidRPr="009B38AA">
        <w:rPr>
          <w:szCs w:val="26"/>
        </w:rPr>
        <w:t xml:space="preserve">a revision through a different approach, </w:t>
      </w:r>
      <w:r w:rsidR="006405DD" w:rsidRPr="009B38AA">
        <w:rPr>
          <w:szCs w:val="26"/>
        </w:rPr>
        <w:t xml:space="preserve">asserting </w:t>
      </w:r>
      <w:r w:rsidRPr="009B38AA">
        <w:rPr>
          <w:szCs w:val="26"/>
        </w:rPr>
        <w:t xml:space="preserve">that the evaluator does not need to use metering in the event that the motors in question are constant speed and hours can be easily verified through a building automation system schedule </w:t>
      </w:r>
      <w:r w:rsidR="006405DD" w:rsidRPr="009B38AA">
        <w:rPr>
          <w:szCs w:val="26"/>
        </w:rPr>
        <w:t xml:space="preserve">that </w:t>
      </w:r>
      <w:r w:rsidRPr="009B38AA">
        <w:rPr>
          <w:szCs w:val="26"/>
        </w:rPr>
        <w:t>clearly shows motor run time</w:t>
      </w:r>
      <w:r w:rsidR="00F10099" w:rsidRPr="009B38AA">
        <w:rPr>
          <w:szCs w:val="26"/>
        </w:rPr>
        <w:t>.</w:t>
      </w:r>
      <w:r w:rsidRPr="009B38AA">
        <w:rPr>
          <w:szCs w:val="26"/>
        </w:rPr>
        <w:t xml:space="preserve"> </w:t>
      </w:r>
      <w:r w:rsidR="006405DD" w:rsidRPr="009B38AA">
        <w:rPr>
          <w:szCs w:val="26"/>
        </w:rPr>
        <w:t xml:space="preserve"> </w:t>
      </w:r>
      <w:proofErr w:type="gramStart"/>
      <w:r w:rsidRPr="009B38AA">
        <w:rPr>
          <w:szCs w:val="26"/>
        </w:rPr>
        <w:t xml:space="preserve">PECO Comments Appendix </w:t>
      </w:r>
      <w:r w:rsidR="00255189" w:rsidRPr="009B38AA">
        <w:rPr>
          <w:szCs w:val="26"/>
        </w:rPr>
        <w:t>at 15</w:t>
      </w:r>
      <w:r w:rsidR="006405DD" w:rsidRPr="009B38AA">
        <w:rPr>
          <w:szCs w:val="26"/>
        </w:rPr>
        <w:t xml:space="preserve"> and </w:t>
      </w:r>
      <w:r w:rsidR="00255189" w:rsidRPr="009B38AA">
        <w:rPr>
          <w:szCs w:val="26"/>
        </w:rPr>
        <w:t>16</w:t>
      </w:r>
      <w:r w:rsidR="006405DD" w:rsidRPr="009B38AA">
        <w:rPr>
          <w:szCs w:val="26"/>
        </w:rPr>
        <w:t>.</w:t>
      </w:r>
      <w:proofErr w:type="gramEnd"/>
    </w:p>
    <w:p w:rsidR="006D3247" w:rsidRPr="009B38AA" w:rsidRDefault="006D3247" w:rsidP="00F26D5C">
      <w:pPr>
        <w:ind w:firstLine="720"/>
        <w:rPr>
          <w:szCs w:val="26"/>
        </w:rPr>
      </w:pPr>
    </w:p>
    <w:p w:rsidR="009A6E7A" w:rsidRPr="009B38AA" w:rsidRDefault="009A6E7A" w:rsidP="00EB1FAC">
      <w:pPr>
        <w:pStyle w:val="Heading4"/>
        <w:rPr>
          <w:szCs w:val="26"/>
        </w:rPr>
      </w:pPr>
      <w:r w:rsidRPr="009B38AA">
        <w:rPr>
          <w:szCs w:val="26"/>
        </w:rPr>
        <w:t>Disposition</w:t>
      </w:r>
    </w:p>
    <w:p w:rsidR="00F26D5C" w:rsidRPr="009B38AA" w:rsidRDefault="00F26D5C" w:rsidP="00F26D5C">
      <w:pPr>
        <w:rPr>
          <w:szCs w:val="26"/>
        </w:rPr>
      </w:pPr>
    </w:p>
    <w:p w:rsidR="00255189" w:rsidRPr="009B38AA" w:rsidRDefault="00255189" w:rsidP="00255189">
      <w:pPr>
        <w:ind w:firstLine="720"/>
        <w:rPr>
          <w:szCs w:val="26"/>
        </w:rPr>
      </w:pPr>
      <w:r w:rsidRPr="009B38AA">
        <w:rPr>
          <w:szCs w:val="26"/>
        </w:rPr>
        <w:t xml:space="preserve">The Commission adopts PECO’s suggestion to allow evaluators additional flexibility to use methodologies other than metering for certain situations, outlined in the TRM. </w:t>
      </w:r>
      <w:r w:rsidR="00F10099" w:rsidRPr="009B38AA">
        <w:rPr>
          <w:szCs w:val="26"/>
        </w:rPr>
        <w:t xml:space="preserve"> </w:t>
      </w:r>
      <w:r w:rsidRPr="009B38AA">
        <w:rPr>
          <w:szCs w:val="26"/>
        </w:rPr>
        <w:t>The Commission believes that this additional provision allows the evaluators the needed flexibility that PPL requested</w:t>
      </w:r>
      <w:r w:rsidR="006405DD" w:rsidRPr="009B38AA">
        <w:rPr>
          <w:szCs w:val="26"/>
        </w:rPr>
        <w:t>,</w:t>
      </w:r>
      <w:r w:rsidRPr="009B38AA">
        <w:rPr>
          <w:szCs w:val="26"/>
        </w:rPr>
        <w:t xml:space="preserve"> without modifying the metering threshold.</w:t>
      </w:r>
    </w:p>
    <w:p w:rsidR="007B592F" w:rsidRDefault="007B592F" w:rsidP="009A6E7A">
      <w:pPr>
        <w:pStyle w:val="p3"/>
        <w:tabs>
          <w:tab w:val="clear" w:pos="204"/>
          <w:tab w:val="left" w:pos="0"/>
          <w:tab w:val="left" w:pos="720"/>
        </w:tabs>
        <w:rPr>
          <w:b/>
          <w:szCs w:val="26"/>
        </w:rPr>
      </w:pPr>
    </w:p>
    <w:p w:rsidR="006D3247" w:rsidRDefault="006D3247" w:rsidP="009A6E7A">
      <w:pPr>
        <w:pStyle w:val="p3"/>
        <w:tabs>
          <w:tab w:val="clear" w:pos="204"/>
          <w:tab w:val="left" w:pos="0"/>
          <w:tab w:val="left" w:pos="720"/>
        </w:tabs>
        <w:rPr>
          <w:b/>
          <w:szCs w:val="26"/>
        </w:rPr>
      </w:pPr>
    </w:p>
    <w:p w:rsidR="006D3247" w:rsidRDefault="006D3247" w:rsidP="009A6E7A">
      <w:pPr>
        <w:pStyle w:val="p3"/>
        <w:tabs>
          <w:tab w:val="clear" w:pos="204"/>
          <w:tab w:val="left" w:pos="0"/>
          <w:tab w:val="left" w:pos="720"/>
        </w:tabs>
        <w:rPr>
          <w:b/>
          <w:szCs w:val="26"/>
        </w:rPr>
      </w:pPr>
    </w:p>
    <w:p w:rsidR="006D3247" w:rsidRDefault="006D3247" w:rsidP="009A6E7A">
      <w:pPr>
        <w:pStyle w:val="p3"/>
        <w:tabs>
          <w:tab w:val="clear" w:pos="204"/>
          <w:tab w:val="left" w:pos="0"/>
          <w:tab w:val="left" w:pos="720"/>
        </w:tabs>
        <w:rPr>
          <w:b/>
          <w:szCs w:val="26"/>
        </w:rPr>
      </w:pPr>
    </w:p>
    <w:p w:rsidR="006D3247" w:rsidRPr="009B38AA" w:rsidRDefault="006D3247" w:rsidP="009A6E7A">
      <w:pPr>
        <w:pStyle w:val="p3"/>
        <w:tabs>
          <w:tab w:val="clear" w:pos="204"/>
          <w:tab w:val="left" w:pos="0"/>
          <w:tab w:val="left" w:pos="720"/>
        </w:tabs>
        <w:rPr>
          <w:b/>
          <w:szCs w:val="26"/>
        </w:rPr>
      </w:pPr>
    </w:p>
    <w:p w:rsidR="0046034A" w:rsidRDefault="00CF2D14" w:rsidP="00CF2D14">
      <w:pPr>
        <w:pStyle w:val="Heading2"/>
      </w:pPr>
      <w:r w:rsidRPr="009B38AA">
        <w:lastRenderedPageBreak/>
        <w:t>Clarification of</w:t>
      </w:r>
      <w:r w:rsidR="0046034A" w:rsidRPr="009B38AA">
        <w:t xml:space="preserve"> HVAC </w:t>
      </w:r>
      <w:r w:rsidRPr="009B38AA">
        <w:t>Protocols</w:t>
      </w:r>
    </w:p>
    <w:p w:rsidR="006D3247" w:rsidRPr="006D3247" w:rsidRDefault="006D3247" w:rsidP="006D3247"/>
    <w:p w:rsidR="0046034A" w:rsidRPr="009B38AA" w:rsidRDefault="0046034A" w:rsidP="0046034A">
      <w:pPr>
        <w:ind w:firstLine="720"/>
        <w:rPr>
          <w:szCs w:val="26"/>
        </w:rPr>
      </w:pPr>
      <w:r w:rsidRPr="009B38AA">
        <w:rPr>
          <w:szCs w:val="26"/>
        </w:rPr>
        <w:t xml:space="preserve">Parties submitted additional comments regarding miscellaneous issues for the HVAC protocols. </w:t>
      </w:r>
      <w:r w:rsidR="00BA0EBA" w:rsidRPr="009B38AA">
        <w:rPr>
          <w:szCs w:val="26"/>
        </w:rPr>
        <w:t xml:space="preserve"> </w:t>
      </w:r>
      <w:r w:rsidRPr="009B38AA">
        <w:rPr>
          <w:szCs w:val="26"/>
        </w:rPr>
        <w:t>Specifically, this</w:t>
      </w:r>
      <w:r w:rsidR="008D2375" w:rsidRPr="009B38AA">
        <w:rPr>
          <w:szCs w:val="26"/>
        </w:rPr>
        <w:t xml:space="preserve"> section</w:t>
      </w:r>
      <w:r w:rsidRPr="009B38AA">
        <w:rPr>
          <w:szCs w:val="26"/>
        </w:rPr>
        <w:t xml:space="preserve"> addresses</w:t>
      </w:r>
      <w:r w:rsidR="008D2375" w:rsidRPr="009B38AA">
        <w:rPr>
          <w:szCs w:val="26"/>
        </w:rPr>
        <w:t xml:space="preserve"> comments regarding</w:t>
      </w:r>
      <w:r w:rsidRPr="009B38AA">
        <w:rPr>
          <w:szCs w:val="26"/>
        </w:rPr>
        <w:t xml:space="preserve"> the HVAC Systems and Geothermal He</w:t>
      </w:r>
      <w:r w:rsidR="008D2375" w:rsidRPr="009B38AA">
        <w:rPr>
          <w:szCs w:val="26"/>
        </w:rPr>
        <w:t>at Pump</w:t>
      </w:r>
      <w:r w:rsidR="00923453" w:rsidRPr="009B38AA">
        <w:rPr>
          <w:szCs w:val="26"/>
        </w:rPr>
        <w:t>s</w:t>
      </w:r>
      <w:r w:rsidR="008D2375" w:rsidRPr="009B38AA">
        <w:rPr>
          <w:szCs w:val="26"/>
        </w:rPr>
        <w:t xml:space="preserve"> sections of the proposed 2012 TRM.</w:t>
      </w:r>
    </w:p>
    <w:p w:rsidR="0046034A" w:rsidRPr="009B38AA" w:rsidRDefault="0046034A" w:rsidP="0046034A">
      <w:pPr>
        <w:rPr>
          <w:b/>
          <w:szCs w:val="26"/>
        </w:rPr>
      </w:pPr>
    </w:p>
    <w:p w:rsidR="0046034A" w:rsidRPr="009B38AA" w:rsidRDefault="0046034A" w:rsidP="0046034A">
      <w:pPr>
        <w:pStyle w:val="Heading4"/>
        <w:rPr>
          <w:szCs w:val="26"/>
        </w:rPr>
      </w:pPr>
      <w:r w:rsidRPr="009B38AA">
        <w:rPr>
          <w:szCs w:val="26"/>
        </w:rPr>
        <w:t>Comments</w:t>
      </w:r>
    </w:p>
    <w:p w:rsidR="0046034A" w:rsidRPr="009B38AA" w:rsidRDefault="0046034A" w:rsidP="0046034A">
      <w:pPr>
        <w:rPr>
          <w:b/>
          <w:szCs w:val="26"/>
        </w:rPr>
      </w:pPr>
    </w:p>
    <w:p w:rsidR="0046034A" w:rsidRPr="009B38AA" w:rsidRDefault="0046034A" w:rsidP="0046034A">
      <w:pPr>
        <w:ind w:firstLine="720"/>
        <w:rPr>
          <w:szCs w:val="26"/>
        </w:rPr>
      </w:pPr>
      <w:r w:rsidRPr="009B38AA">
        <w:rPr>
          <w:szCs w:val="26"/>
        </w:rPr>
        <w:t xml:space="preserve">FirstEnergy </w:t>
      </w:r>
      <w:r w:rsidR="006405DD" w:rsidRPr="009B38AA">
        <w:rPr>
          <w:szCs w:val="26"/>
        </w:rPr>
        <w:t xml:space="preserve">states </w:t>
      </w:r>
      <w:r w:rsidRPr="009B38AA">
        <w:rPr>
          <w:szCs w:val="26"/>
        </w:rPr>
        <w:t xml:space="preserve">that the reference to Table 3-21: Cooling EFLH for Pennsylvania Cities in Table 3-62: Geothermal Heat Pump - Values and References should be changed to a reference to Table 3-20: HVAC Baseline Efficiencies. </w:t>
      </w:r>
      <w:r w:rsidR="006405DD" w:rsidRPr="009B38AA">
        <w:rPr>
          <w:szCs w:val="26"/>
        </w:rPr>
        <w:t xml:space="preserve"> </w:t>
      </w:r>
      <w:proofErr w:type="gramStart"/>
      <w:r w:rsidRPr="009B38AA">
        <w:rPr>
          <w:szCs w:val="26"/>
        </w:rPr>
        <w:t>FirstEnergy Comments at 7</w:t>
      </w:r>
      <w:r w:rsidR="006405DD" w:rsidRPr="009B38AA">
        <w:rPr>
          <w:szCs w:val="26"/>
        </w:rPr>
        <w:t>.</w:t>
      </w:r>
      <w:proofErr w:type="gramEnd"/>
    </w:p>
    <w:p w:rsidR="0046034A" w:rsidRPr="009B38AA" w:rsidRDefault="0046034A" w:rsidP="0046034A">
      <w:pPr>
        <w:ind w:firstLine="720"/>
        <w:rPr>
          <w:szCs w:val="26"/>
        </w:rPr>
      </w:pPr>
    </w:p>
    <w:p w:rsidR="0046034A" w:rsidRPr="009B38AA" w:rsidRDefault="0046034A" w:rsidP="0046034A">
      <w:pPr>
        <w:ind w:firstLine="720"/>
        <w:rPr>
          <w:szCs w:val="26"/>
        </w:rPr>
      </w:pPr>
      <w:r w:rsidRPr="009B38AA">
        <w:rPr>
          <w:szCs w:val="26"/>
        </w:rPr>
        <w:t xml:space="preserve">PECO also suggests </w:t>
      </w:r>
      <w:r w:rsidR="006405DD" w:rsidRPr="009B38AA">
        <w:rPr>
          <w:szCs w:val="26"/>
        </w:rPr>
        <w:t xml:space="preserve">that the definition of the term </w:t>
      </w:r>
      <w:proofErr w:type="spellStart"/>
      <w:r w:rsidR="006405DD" w:rsidRPr="009B38AA">
        <w:rPr>
          <w:szCs w:val="26"/>
        </w:rPr>
        <w:t>CAPY</w:t>
      </w:r>
      <w:r w:rsidR="006405DD" w:rsidRPr="009B38AA">
        <w:rPr>
          <w:szCs w:val="26"/>
          <w:vertAlign w:val="subscript"/>
        </w:rPr>
        <w:t>cool</w:t>
      </w:r>
      <w:proofErr w:type="spellEnd"/>
      <w:r w:rsidR="006405DD" w:rsidRPr="009B38AA">
        <w:rPr>
          <w:szCs w:val="26"/>
        </w:rPr>
        <w:t xml:space="preserve"> in </w:t>
      </w:r>
      <w:r w:rsidRPr="009B38AA">
        <w:rPr>
          <w:szCs w:val="26"/>
        </w:rPr>
        <w:t xml:space="preserve">Table 3-62: Geothermal Heat Pump – Values and References be included in the Definition of Terms section of the protocol. </w:t>
      </w:r>
      <w:r w:rsidR="006405DD" w:rsidRPr="009B38AA">
        <w:rPr>
          <w:szCs w:val="26"/>
        </w:rPr>
        <w:t xml:space="preserve"> </w:t>
      </w:r>
      <w:r w:rsidRPr="009B38AA">
        <w:rPr>
          <w:szCs w:val="26"/>
        </w:rPr>
        <w:t xml:space="preserve">Additionally, PECO </w:t>
      </w:r>
      <w:r w:rsidR="00452DE1" w:rsidRPr="009B38AA">
        <w:rPr>
          <w:szCs w:val="26"/>
        </w:rPr>
        <w:t xml:space="preserve">suggests </w:t>
      </w:r>
      <w:r w:rsidRPr="009B38AA">
        <w:rPr>
          <w:szCs w:val="26"/>
        </w:rPr>
        <w:t xml:space="preserve">that the references to Table 3-20: HVAC Baseline Efficiencies and Table 3-21: Cooling EFLH for Pennsylvania Cities be changed to reference Table 3-65: Default Baseline Equipment Efficiencies. </w:t>
      </w:r>
      <w:r w:rsidR="00452DE1" w:rsidRPr="009B38AA">
        <w:rPr>
          <w:szCs w:val="26"/>
        </w:rPr>
        <w:t xml:space="preserve"> </w:t>
      </w:r>
      <w:proofErr w:type="gramStart"/>
      <w:r w:rsidRPr="009B38AA">
        <w:rPr>
          <w:szCs w:val="26"/>
        </w:rPr>
        <w:t>PECO Comments Appendix at 20</w:t>
      </w:r>
      <w:r w:rsidR="00452DE1" w:rsidRPr="009B38AA">
        <w:rPr>
          <w:szCs w:val="26"/>
        </w:rPr>
        <w:t>.</w:t>
      </w:r>
      <w:proofErr w:type="gramEnd"/>
      <w:r w:rsidR="00452DE1" w:rsidRPr="009B38AA">
        <w:rPr>
          <w:szCs w:val="26"/>
        </w:rPr>
        <w:t xml:space="preserve">  B</w:t>
      </w:r>
      <w:r w:rsidRPr="009B38AA">
        <w:rPr>
          <w:szCs w:val="26"/>
        </w:rPr>
        <w:t xml:space="preserve">oth PECO and PPL </w:t>
      </w:r>
      <w:r w:rsidR="00452DE1" w:rsidRPr="009B38AA">
        <w:rPr>
          <w:szCs w:val="26"/>
        </w:rPr>
        <w:t xml:space="preserve">assert that </w:t>
      </w:r>
      <w:r w:rsidRPr="009B38AA">
        <w:rPr>
          <w:szCs w:val="26"/>
        </w:rPr>
        <w:t xml:space="preserve">the source for the component </w:t>
      </w:r>
      <w:r w:rsidRPr="009B38AA">
        <w:rPr>
          <w:rFonts w:eastAsiaTheme="minorHAnsi"/>
          <w:szCs w:val="26"/>
        </w:rPr>
        <w:t>η</w:t>
      </w:r>
      <w:r w:rsidRPr="009B38AA">
        <w:rPr>
          <w:szCs w:val="26"/>
          <w:vertAlign w:val="subscript"/>
        </w:rPr>
        <w:t xml:space="preserve"> </w:t>
      </w:r>
      <w:proofErr w:type="spellStart"/>
      <w:r w:rsidRPr="009B38AA">
        <w:rPr>
          <w:szCs w:val="26"/>
          <w:vertAlign w:val="subscript"/>
        </w:rPr>
        <w:t>eepump</w:t>
      </w:r>
      <w:proofErr w:type="spellEnd"/>
      <w:r w:rsidR="00BA0EBA" w:rsidRPr="009B38AA">
        <w:rPr>
          <w:rStyle w:val="FootnoteReference"/>
          <w:szCs w:val="26"/>
        </w:rPr>
        <w:footnoteReference w:id="60"/>
      </w:r>
      <w:r w:rsidR="00BA0EBA" w:rsidRPr="009B38AA">
        <w:rPr>
          <w:szCs w:val="26"/>
        </w:rPr>
        <w:t xml:space="preserve"> </w:t>
      </w:r>
      <w:r w:rsidRPr="009B38AA">
        <w:rPr>
          <w:szCs w:val="26"/>
        </w:rPr>
        <w:t xml:space="preserve">be changed from “See Table 2” to “See Table 3-64.” </w:t>
      </w:r>
      <w:r w:rsidR="00452DE1" w:rsidRPr="009B38AA">
        <w:rPr>
          <w:szCs w:val="26"/>
        </w:rPr>
        <w:t xml:space="preserve"> </w:t>
      </w:r>
      <w:proofErr w:type="gramStart"/>
      <w:r w:rsidRPr="009B38AA">
        <w:rPr>
          <w:szCs w:val="26"/>
        </w:rPr>
        <w:t>PECO Comments Appendix at 20</w:t>
      </w:r>
      <w:r w:rsidR="00452DE1" w:rsidRPr="009B38AA">
        <w:rPr>
          <w:szCs w:val="26"/>
        </w:rPr>
        <w:t xml:space="preserve"> and</w:t>
      </w:r>
      <w:r w:rsidR="00013E5A" w:rsidRPr="009B38AA">
        <w:rPr>
          <w:szCs w:val="26"/>
        </w:rPr>
        <w:t xml:space="preserve"> </w:t>
      </w:r>
      <w:r w:rsidRPr="009B38AA">
        <w:rPr>
          <w:szCs w:val="26"/>
        </w:rPr>
        <w:t>PPL Comments at 26</w:t>
      </w:r>
      <w:r w:rsidR="00452DE1" w:rsidRPr="009B38AA">
        <w:rPr>
          <w:szCs w:val="26"/>
        </w:rPr>
        <w:t>.</w:t>
      </w:r>
      <w:proofErr w:type="gramEnd"/>
    </w:p>
    <w:p w:rsidR="00BA0EBA" w:rsidRPr="009B38AA" w:rsidRDefault="00BA0EBA" w:rsidP="008D2375">
      <w:pPr>
        <w:rPr>
          <w:szCs w:val="26"/>
        </w:rPr>
      </w:pPr>
    </w:p>
    <w:p w:rsidR="0046034A" w:rsidRPr="009B38AA" w:rsidRDefault="008D2375" w:rsidP="0046034A">
      <w:pPr>
        <w:ind w:firstLine="720"/>
        <w:rPr>
          <w:szCs w:val="26"/>
        </w:rPr>
      </w:pPr>
      <w:r w:rsidRPr="009B38AA">
        <w:rPr>
          <w:szCs w:val="26"/>
        </w:rPr>
        <w:t>PPL</w:t>
      </w:r>
      <w:r w:rsidR="0046034A" w:rsidRPr="009B38AA">
        <w:rPr>
          <w:szCs w:val="26"/>
        </w:rPr>
        <w:t xml:space="preserve"> </w:t>
      </w:r>
      <w:r w:rsidR="00452DE1" w:rsidRPr="009B38AA">
        <w:rPr>
          <w:szCs w:val="26"/>
        </w:rPr>
        <w:t xml:space="preserve">recommends </w:t>
      </w:r>
      <w:r w:rsidR="0046034A" w:rsidRPr="009B38AA">
        <w:rPr>
          <w:szCs w:val="26"/>
        </w:rPr>
        <w:t>that “</w:t>
      </w:r>
      <w:proofErr w:type="spellStart"/>
      <w:r w:rsidR="0046034A" w:rsidRPr="009B38AA">
        <w:rPr>
          <w:szCs w:val="26"/>
        </w:rPr>
        <w:t>CAPY</w:t>
      </w:r>
      <w:r w:rsidR="0046034A" w:rsidRPr="009B38AA">
        <w:rPr>
          <w:szCs w:val="26"/>
          <w:vertAlign w:val="subscript"/>
        </w:rPr>
        <w:t>cool</w:t>
      </w:r>
      <w:proofErr w:type="spellEnd"/>
      <w:r w:rsidR="0046034A" w:rsidRPr="009B38AA">
        <w:rPr>
          <w:szCs w:val="26"/>
        </w:rPr>
        <w:t>” be changed to “</w:t>
      </w:r>
      <w:proofErr w:type="spellStart"/>
      <w:r w:rsidR="0046034A" w:rsidRPr="009B38AA">
        <w:rPr>
          <w:szCs w:val="26"/>
        </w:rPr>
        <w:t>BtuH</w:t>
      </w:r>
      <w:r w:rsidR="0046034A" w:rsidRPr="009B38AA">
        <w:rPr>
          <w:szCs w:val="26"/>
          <w:vertAlign w:val="subscript"/>
        </w:rPr>
        <w:t>cool</w:t>
      </w:r>
      <w:proofErr w:type="spellEnd"/>
      <w:r w:rsidR="0046034A" w:rsidRPr="009B38AA">
        <w:rPr>
          <w:szCs w:val="26"/>
        </w:rPr>
        <w:t>”</w:t>
      </w:r>
      <w:r w:rsidR="00BA0EBA" w:rsidRPr="009B38AA">
        <w:rPr>
          <w:rStyle w:val="FootnoteReference"/>
          <w:szCs w:val="26"/>
        </w:rPr>
        <w:footnoteReference w:id="61"/>
      </w:r>
      <w:r w:rsidR="0046034A" w:rsidRPr="009B38AA">
        <w:rPr>
          <w:szCs w:val="26"/>
        </w:rPr>
        <w:t xml:space="preserve"> prevent confusion as “</w:t>
      </w:r>
      <w:proofErr w:type="spellStart"/>
      <w:r w:rsidR="0046034A" w:rsidRPr="009B38AA">
        <w:rPr>
          <w:szCs w:val="26"/>
        </w:rPr>
        <w:t>CAPY</w:t>
      </w:r>
      <w:r w:rsidR="0046034A" w:rsidRPr="009B38AA">
        <w:rPr>
          <w:szCs w:val="26"/>
          <w:vertAlign w:val="subscript"/>
        </w:rPr>
        <w:t>cool</w:t>
      </w:r>
      <w:proofErr w:type="spellEnd"/>
      <w:r w:rsidR="0046034A" w:rsidRPr="009B38AA">
        <w:rPr>
          <w:szCs w:val="26"/>
        </w:rPr>
        <w:t xml:space="preserve">” is not used in the measure. </w:t>
      </w:r>
      <w:r w:rsidR="00452DE1" w:rsidRPr="009B38AA">
        <w:rPr>
          <w:szCs w:val="26"/>
        </w:rPr>
        <w:t xml:space="preserve"> </w:t>
      </w:r>
      <w:proofErr w:type="gramStart"/>
      <w:r w:rsidRPr="009B38AA">
        <w:rPr>
          <w:szCs w:val="26"/>
        </w:rPr>
        <w:t xml:space="preserve">PPL </w:t>
      </w:r>
      <w:r w:rsidR="0046034A" w:rsidRPr="009B38AA">
        <w:rPr>
          <w:szCs w:val="26"/>
        </w:rPr>
        <w:t>Comments at 26</w:t>
      </w:r>
      <w:r w:rsidR="00452DE1" w:rsidRPr="009B38AA">
        <w:rPr>
          <w:szCs w:val="26"/>
        </w:rPr>
        <w:t>.</w:t>
      </w:r>
      <w:proofErr w:type="gramEnd"/>
      <w:r w:rsidR="00452DE1" w:rsidRPr="009B38AA">
        <w:rPr>
          <w:szCs w:val="26"/>
        </w:rPr>
        <w:t xml:space="preserve">  </w:t>
      </w:r>
      <w:r w:rsidR="0046034A" w:rsidRPr="009B38AA">
        <w:rPr>
          <w:szCs w:val="26"/>
        </w:rPr>
        <w:t xml:space="preserve">PPL </w:t>
      </w:r>
      <w:r w:rsidR="00452DE1" w:rsidRPr="009B38AA">
        <w:rPr>
          <w:szCs w:val="26"/>
        </w:rPr>
        <w:t xml:space="preserve">also recommends </w:t>
      </w:r>
      <w:r w:rsidR="0046034A" w:rsidRPr="009B38AA">
        <w:rPr>
          <w:szCs w:val="26"/>
        </w:rPr>
        <w:t xml:space="preserve">that the references in Table 3-62 to Table 3-21: Cooling EFLH for Pennsylvania Cities for the SEER, EER, HSPF and Coefficient of Performance (“COP”) values be changed to </w:t>
      </w:r>
      <w:r w:rsidR="0046034A" w:rsidRPr="009B38AA">
        <w:rPr>
          <w:szCs w:val="26"/>
        </w:rPr>
        <w:lastRenderedPageBreak/>
        <w:t xml:space="preserve">Table 3-20: HVAC Baseline Efficiencies. </w:t>
      </w:r>
      <w:r w:rsidR="00452DE1" w:rsidRPr="009B38AA">
        <w:rPr>
          <w:szCs w:val="26"/>
        </w:rPr>
        <w:t xml:space="preserve"> </w:t>
      </w:r>
      <w:proofErr w:type="gramStart"/>
      <w:r w:rsidR="0046034A" w:rsidRPr="009B38AA">
        <w:rPr>
          <w:szCs w:val="26"/>
        </w:rPr>
        <w:t>PPL Comments at 26</w:t>
      </w:r>
      <w:r w:rsidR="00452DE1" w:rsidRPr="009B38AA">
        <w:rPr>
          <w:szCs w:val="26"/>
        </w:rPr>
        <w:t>.</w:t>
      </w:r>
      <w:proofErr w:type="gramEnd"/>
      <w:r w:rsidR="00452DE1" w:rsidRPr="009B38AA">
        <w:rPr>
          <w:szCs w:val="26"/>
        </w:rPr>
        <w:t xml:space="preserve">  </w:t>
      </w:r>
      <w:r w:rsidR="0046034A" w:rsidRPr="009B38AA">
        <w:rPr>
          <w:szCs w:val="26"/>
        </w:rPr>
        <w:t xml:space="preserve">PPL </w:t>
      </w:r>
      <w:r w:rsidR="00452DE1" w:rsidRPr="009B38AA">
        <w:rPr>
          <w:szCs w:val="26"/>
        </w:rPr>
        <w:t xml:space="preserve">recommends </w:t>
      </w:r>
      <w:r w:rsidR="0046034A" w:rsidRPr="009B38AA">
        <w:rPr>
          <w:szCs w:val="26"/>
        </w:rPr>
        <w:t>that the default “</w:t>
      </w:r>
      <w:proofErr w:type="spellStart"/>
      <w:r w:rsidR="0046034A" w:rsidRPr="009B38AA">
        <w:rPr>
          <w:szCs w:val="26"/>
        </w:rPr>
        <w:t>HOURS</w:t>
      </w:r>
      <w:r w:rsidR="0046034A" w:rsidRPr="009B38AA">
        <w:rPr>
          <w:szCs w:val="26"/>
          <w:vertAlign w:val="subscript"/>
        </w:rPr>
        <w:t>basepump</w:t>
      </w:r>
      <w:proofErr w:type="spellEnd"/>
      <w:r w:rsidR="0046034A" w:rsidRPr="009B38AA">
        <w:rPr>
          <w:szCs w:val="26"/>
        </w:rPr>
        <w:t>” and “</w:t>
      </w:r>
      <w:proofErr w:type="spellStart"/>
      <w:r w:rsidR="0046034A" w:rsidRPr="009B38AA">
        <w:rPr>
          <w:szCs w:val="26"/>
        </w:rPr>
        <w:t>HOURS</w:t>
      </w:r>
      <w:r w:rsidR="0046034A" w:rsidRPr="009B38AA">
        <w:rPr>
          <w:szCs w:val="26"/>
          <w:vertAlign w:val="subscript"/>
        </w:rPr>
        <w:t>eepump</w:t>
      </w:r>
      <w:proofErr w:type="spellEnd"/>
      <w:r w:rsidR="0046034A" w:rsidRPr="009B38AA">
        <w:rPr>
          <w:szCs w:val="26"/>
        </w:rPr>
        <w:t>”</w:t>
      </w:r>
      <w:r w:rsidR="00BA0EBA" w:rsidRPr="009B38AA">
        <w:rPr>
          <w:rStyle w:val="FootnoteReference"/>
          <w:szCs w:val="26"/>
        </w:rPr>
        <w:footnoteReference w:id="62"/>
      </w:r>
      <w:r w:rsidR="0046034A" w:rsidRPr="009B38AA">
        <w:rPr>
          <w:szCs w:val="26"/>
        </w:rPr>
        <w:t xml:space="preserve"> values of 8,760 hours be replaced with “</w:t>
      </w:r>
      <w:proofErr w:type="spellStart"/>
      <w:r w:rsidR="0046034A" w:rsidRPr="009B38AA">
        <w:rPr>
          <w:szCs w:val="26"/>
        </w:rPr>
        <w:t>EFLH</w:t>
      </w:r>
      <w:r w:rsidR="0046034A" w:rsidRPr="009B38AA">
        <w:rPr>
          <w:szCs w:val="26"/>
          <w:vertAlign w:val="subscript"/>
        </w:rPr>
        <w:t>cool</w:t>
      </w:r>
      <w:r w:rsidR="0046034A" w:rsidRPr="009B38AA">
        <w:rPr>
          <w:szCs w:val="26"/>
        </w:rPr>
        <w:t>+EFLH</w:t>
      </w:r>
      <w:r w:rsidR="0046034A" w:rsidRPr="009B38AA">
        <w:rPr>
          <w:szCs w:val="26"/>
          <w:vertAlign w:val="subscript"/>
        </w:rPr>
        <w:t>heat</w:t>
      </w:r>
      <w:proofErr w:type="spellEnd"/>
      <w:r w:rsidR="0046034A" w:rsidRPr="009B38AA">
        <w:rPr>
          <w:szCs w:val="26"/>
        </w:rPr>
        <w:t>”</w:t>
      </w:r>
      <w:r w:rsidR="00BA0EBA" w:rsidRPr="009B38AA">
        <w:rPr>
          <w:rStyle w:val="FootnoteReference"/>
          <w:szCs w:val="26"/>
        </w:rPr>
        <w:footnoteReference w:id="63"/>
      </w:r>
      <w:r w:rsidR="0046034A" w:rsidRPr="009B38AA">
        <w:rPr>
          <w:szCs w:val="26"/>
        </w:rPr>
        <w:t xml:space="preserve"> in Table 3-62 to provide a more accurate estimate of </w:t>
      </w:r>
      <w:r w:rsidR="0046034A" w:rsidRPr="009B38AA">
        <w:rPr>
          <w:i/>
          <w:szCs w:val="26"/>
        </w:rPr>
        <w:t>ex ante</w:t>
      </w:r>
      <w:r w:rsidR="00BA0EBA" w:rsidRPr="009B38AA">
        <w:rPr>
          <w:rStyle w:val="FootnoteReference"/>
          <w:i/>
          <w:szCs w:val="26"/>
        </w:rPr>
        <w:footnoteReference w:id="64"/>
      </w:r>
      <w:r w:rsidR="0046034A" w:rsidRPr="009B38AA">
        <w:rPr>
          <w:szCs w:val="26"/>
        </w:rPr>
        <w:t xml:space="preserve"> savings.</w:t>
      </w:r>
      <w:r w:rsidRPr="009B38AA">
        <w:rPr>
          <w:szCs w:val="26"/>
        </w:rPr>
        <w:t xml:space="preserve"> </w:t>
      </w:r>
      <w:r w:rsidR="00452DE1" w:rsidRPr="009B38AA">
        <w:rPr>
          <w:szCs w:val="26"/>
        </w:rPr>
        <w:t xml:space="preserve"> </w:t>
      </w:r>
      <w:proofErr w:type="gramStart"/>
      <w:r w:rsidRPr="009B38AA">
        <w:rPr>
          <w:szCs w:val="26"/>
        </w:rPr>
        <w:t>PPL Comments at 26</w:t>
      </w:r>
      <w:r w:rsidR="00452DE1" w:rsidRPr="009B38AA">
        <w:rPr>
          <w:szCs w:val="26"/>
        </w:rPr>
        <w:t>.</w:t>
      </w:r>
      <w:proofErr w:type="gramEnd"/>
      <w:r w:rsidR="00B8173E" w:rsidRPr="009B38AA">
        <w:rPr>
          <w:szCs w:val="26"/>
        </w:rPr>
        <w:t xml:space="preserve">  PPL further recommends indicating the ASHP baseline for geothermal systems in Table 3-65: Default Baseline Equipment Efficiencies and </w:t>
      </w:r>
      <w:proofErr w:type="spellStart"/>
      <w:r w:rsidR="00B8173E" w:rsidRPr="009B38AA">
        <w:rPr>
          <w:szCs w:val="26"/>
        </w:rPr>
        <w:t>thatit</w:t>
      </w:r>
      <w:proofErr w:type="spellEnd"/>
      <w:r w:rsidR="00B8173E" w:rsidRPr="009B38AA">
        <w:rPr>
          <w:szCs w:val="26"/>
        </w:rPr>
        <w:t xml:space="preserve"> apply to all TRM sections utilizing this table.  </w:t>
      </w:r>
      <w:proofErr w:type="gramStart"/>
      <w:r w:rsidR="00B8173E" w:rsidRPr="009B38AA">
        <w:rPr>
          <w:szCs w:val="26"/>
        </w:rPr>
        <w:t>PPL Comments at 25 and 26.</w:t>
      </w:r>
      <w:proofErr w:type="gramEnd"/>
      <w:r w:rsidR="00B8173E" w:rsidRPr="009B38AA">
        <w:rPr>
          <w:szCs w:val="26"/>
        </w:rPr>
        <w:t xml:space="preserve">  Lastly, PPL suggests adding all three types of geothermal systems (ground source, groundwater source, and water source) to the definitions of EER and COP to prevent confusion.  </w:t>
      </w:r>
      <w:proofErr w:type="gramStart"/>
      <w:r w:rsidR="00B8173E" w:rsidRPr="009B38AA">
        <w:rPr>
          <w:szCs w:val="26"/>
        </w:rPr>
        <w:t>PPL Comments at 26.</w:t>
      </w:r>
      <w:proofErr w:type="gramEnd"/>
    </w:p>
    <w:p w:rsidR="0046034A" w:rsidRPr="009B38AA" w:rsidRDefault="0046034A" w:rsidP="0046034A">
      <w:pPr>
        <w:ind w:firstLine="720"/>
        <w:rPr>
          <w:szCs w:val="26"/>
        </w:rPr>
      </w:pPr>
    </w:p>
    <w:p w:rsidR="0046034A" w:rsidRPr="009B38AA" w:rsidRDefault="0046034A" w:rsidP="0046034A">
      <w:pPr>
        <w:ind w:firstLine="720"/>
        <w:rPr>
          <w:szCs w:val="26"/>
        </w:rPr>
      </w:pPr>
      <w:r w:rsidRPr="009B38AA">
        <w:rPr>
          <w:szCs w:val="26"/>
        </w:rPr>
        <w:t xml:space="preserve">PECO </w:t>
      </w:r>
      <w:r w:rsidR="00452DE1" w:rsidRPr="009B38AA">
        <w:rPr>
          <w:szCs w:val="26"/>
        </w:rPr>
        <w:t xml:space="preserve">requests </w:t>
      </w:r>
      <w:r w:rsidRPr="009B38AA">
        <w:rPr>
          <w:szCs w:val="26"/>
        </w:rPr>
        <w:t xml:space="preserve">that the summation symbol, Σ, be removed in the Algorithms section to be consistent with other measures. </w:t>
      </w:r>
      <w:r w:rsidR="00452DE1" w:rsidRPr="009B38AA">
        <w:rPr>
          <w:szCs w:val="26"/>
        </w:rPr>
        <w:t xml:space="preserve"> </w:t>
      </w:r>
      <w:r w:rsidRPr="009B38AA">
        <w:rPr>
          <w:szCs w:val="26"/>
        </w:rPr>
        <w:t xml:space="preserve">PECO </w:t>
      </w:r>
      <w:r w:rsidR="00452DE1" w:rsidRPr="009B38AA">
        <w:rPr>
          <w:szCs w:val="26"/>
        </w:rPr>
        <w:t xml:space="preserve">also recommends </w:t>
      </w:r>
      <w:r w:rsidRPr="009B38AA">
        <w:rPr>
          <w:szCs w:val="26"/>
        </w:rPr>
        <w:t xml:space="preserve">that sources be added to Table 3-63: Federal Minimum Efficiency Requirements for Motors and Table 3-64: Ground Loop Pump Efficiency. </w:t>
      </w:r>
      <w:r w:rsidR="00452DE1" w:rsidRPr="009B38AA">
        <w:rPr>
          <w:szCs w:val="26"/>
        </w:rPr>
        <w:t xml:space="preserve"> </w:t>
      </w:r>
      <w:proofErr w:type="gramStart"/>
      <w:r w:rsidRPr="009B38AA">
        <w:rPr>
          <w:szCs w:val="26"/>
        </w:rPr>
        <w:t>PECO Comments Appendix at 20</w:t>
      </w:r>
      <w:r w:rsidR="00452DE1" w:rsidRPr="009B38AA">
        <w:rPr>
          <w:szCs w:val="26"/>
        </w:rPr>
        <w:t>.</w:t>
      </w:r>
      <w:proofErr w:type="gramEnd"/>
      <w:r w:rsidR="00452DE1" w:rsidRPr="009B38AA">
        <w:rPr>
          <w:szCs w:val="26"/>
        </w:rPr>
        <w:t xml:space="preserve">  </w:t>
      </w:r>
    </w:p>
    <w:p w:rsidR="0046034A" w:rsidRPr="009B38AA" w:rsidRDefault="0046034A" w:rsidP="0046034A">
      <w:pPr>
        <w:rPr>
          <w:b/>
          <w:szCs w:val="26"/>
        </w:rPr>
      </w:pPr>
    </w:p>
    <w:p w:rsidR="0046034A" w:rsidRPr="009B38AA" w:rsidRDefault="0046034A" w:rsidP="0046034A">
      <w:pPr>
        <w:pStyle w:val="Heading4"/>
        <w:rPr>
          <w:szCs w:val="26"/>
        </w:rPr>
      </w:pPr>
      <w:r w:rsidRPr="009B38AA">
        <w:rPr>
          <w:szCs w:val="26"/>
        </w:rPr>
        <w:t>Disposition</w:t>
      </w:r>
    </w:p>
    <w:p w:rsidR="0046034A" w:rsidRPr="009B38AA" w:rsidRDefault="0046034A" w:rsidP="0046034A">
      <w:pPr>
        <w:rPr>
          <w:b/>
          <w:szCs w:val="26"/>
        </w:rPr>
      </w:pPr>
    </w:p>
    <w:p w:rsidR="0046034A" w:rsidRPr="009B38AA" w:rsidRDefault="0046034A" w:rsidP="0046034A">
      <w:pPr>
        <w:pStyle w:val="p3"/>
        <w:tabs>
          <w:tab w:val="clear" w:pos="204"/>
          <w:tab w:val="left" w:pos="720"/>
        </w:tabs>
        <w:rPr>
          <w:szCs w:val="26"/>
        </w:rPr>
      </w:pPr>
      <w:r w:rsidRPr="009B38AA">
        <w:rPr>
          <w:szCs w:val="26"/>
        </w:rPr>
        <w:tab/>
        <w:t xml:space="preserve">The Commission </w:t>
      </w:r>
      <w:r w:rsidR="00B8173E" w:rsidRPr="009B38AA">
        <w:rPr>
          <w:szCs w:val="26"/>
        </w:rPr>
        <w:t xml:space="preserve">adopts the </w:t>
      </w:r>
      <w:r w:rsidRPr="009B38AA">
        <w:rPr>
          <w:szCs w:val="26"/>
        </w:rPr>
        <w:t>editorial comments to improve readability and clarity of the protocol, including:</w:t>
      </w:r>
    </w:p>
    <w:p w:rsidR="0046034A" w:rsidRPr="009B38AA" w:rsidRDefault="0046034A" w:rsidP="0046034A">
      <w:pPr>
        <w:pStyle w:val="p3"/>
        <w:numPr>
          <w:ilvl w:val="0"/>
          <w:numId w:val="9"/>
        </w:numPr>
        <w:tabs>
          <w:tab w:val="left" w:pos="720"/>
        </w:tabs>
        <w:spacing w:before="100" w:beforeAutospacing="1" w:line="240" w:lineRule="auto"/>
        <w:rPr>
          <w:szCs w:val="26"/>
        </w:rPr>
      </w:pPr>
      <w:r w:rsidRPr="009B38AA">
        <w:rPr>
          <w:szCs w:val="26"/>
        </w:rPr>
        <w:t>Changes to clarify variable (</w:t>
      </w:r>
      <w:proofErr w:type="spellStart"/>
      <w:r w:rsidRPr="009B38AA">
        <w:rPr>
          <w:szCs w:val="26"/>
        </w:rPr>
        <w:t>BtuH</w:t>
      </w:r>
      <w:r w:rsidRPr="009B38AA">
        <w:rPr>
          <w:szCs w:val="26"/>
          <w:vertAlign w:val="subscript"/>
        </w:rPr>
        <w:t>cool</w:t>
      </w:r>
      <w:proofErr w:type="spellEnd"/>
      <w:r w:rsidRPr="009B38AA">
        <w:rPr>
          <w:szCs w:val="26"/>
        </w:rPr>
        <w:t>) in Table 3-62</w:t>
      </w:r>
      <w:r w:rsidR="00ED1C29" w:rsidRPr="009B38AA">
        <w:rPr>
          <w:szCs w:val="26"/>
        </w:rPr>
        <w:t>;</w:t>
      </w:r>
    </w:p>
    <w:p w:rsidR="0046034A" w:rsidRPr="009B38AA" w:rsidRDefault="0046034A" w:rsidP="0046034A">
      <w:pPr>
        <w:pStyle w:val="p3"/>
        <w:numPr>
          <w:ilvl w:val="0"/>
          <w:numId w:val="9"/>
        </w:numPr>
        <w:tabs>
          <w:tab w:val="left" w:pos="720"/>
        </w:tabs>
        <w:spacing w:before="100" w:beforeAutospacing="1" w:line="240" w:lineRule="auto"/>
        <w:rPr>
          <w:szCs w:val="26"/>
        </w:rPr>
      </w:pPr>
      <w:r w:rsidRPr="009B38AA">
        <w:rPr>
          <w:szCs w:val="26"/>
        </w:rPr>
        <w:t xml:space="preserve">Changes to clarify references in Table 3-62 for a variety of variables including SEER, EER, HSPF, COP and </w:t>
      </w:r>
      <w:r w:rsidRPr="009B38AA">
        <w:rPr>
          <w:rFonts w:eastAsiaTheme="minorHAnsi"/>
          <w:szCs w:val="26"/>
        </w:rPr>
        <w:t>η</w:t>
      </w:r>
      <w:r w:rsidRPr="009B38AA">
        <w:rPr>
          <w:szCs w:val="26"/>
          <w:vertAlign w:val="subscript"/>
        </w:rPr>
        <w:t xml:space="preserve"> </w:t>
      </w:r>
      <w:proofErr w:type="spellStart"/>
      <w:r w:rsidRPr="009B38AA">
        <w:rPr>
          <w:szCs w:val="26"/>
          <w:vertAlign w:val="subscript"/>
        </w:rPr>
        <w:t>eepump</w:t>
      </w:r>
      <w:proofErr w:type="spellEnd"/>
      <w:r w:rsidR="00ED1C29" w:rsidRPr="009B38AA">
        <w:rPr>
          <w:szCs w:val="26"/>
        </w:rPr>
        <w:t>;</w:t>
      </w:r>
      <w:r w:rsidRPr="009B38AA">
        <w:rPr>
          <w:szCs w:val="26"/>
          <w:vertAlign w:val="subscript"/>
        </w:rPr>
        <w:t xml:space="preserve"> </w:t>
      </w:r>
      <w:r w:rsidRPr="009B38AA">
        <w:rPr>
          <w:szCs w:val="26"/>
        </w:rPr>
        <w:t xml:space="preserve"> </w:t>
      </w:r>
    </w:p>
    <w:p w:rsidR="0046034A" w:rsidRPr="009B38AA" w:rsidRDefault="0046034A" w:rsidP="0046034A">
      <w:pPr>
        <w:pStyle w:val="p3"/>
        <w:numPr>
          <w:ilvl w:val="0"/>
          <w:numId w:val="9"/>
        </w:numPr>
        <w:tabs>
          <w:tab w:val="left" w:pos="720"/>
        </w:tabs>
        <w:spacing w:before="100" w:beforeAutospacing="1" w:line="240" w:lineRule="auto"/>
        <w:rPr>
          <w:szCs w:val="26"/>
        </w:rPr>
      </w:pPr>
      <w:r w:rsidRPr="009B38AA">
        <w:rPr>
          <w:szCs w:val="26"/>
        </w:rPr>
        <w:t>Removal of summation symbol for all equations in the Algorithms section</w:t>
      </w:r>
      <w:r w:rsidR="00ED1C29" w:rsidRPr="009B38AA">
        <w:rPr>
          <w:szCs w:val="26"/>
        </w:rPr>
        <w:t>;</w:t>
      </w:r>
    </w:p>
    <w:p w:rsidR="0046034A" w:rsidRPr="009B38AA" w:rsidRDefault="0046034A" w:rsidP="0046034A">
      <w:pPr>
        <w:pStyle w:val="p3"/>
        <w:numPr>
          <w:ilvl w:val="0"/>
          <w:numId w:val="9"/>
        </w:numPr>
        <w:tabs>
          <w:tab w:val="left" w:pos="720"/>
        </w:tabs>
        <w:spacing w:before="100" w:beforeAutospacing="1" w:line="240" w:lineRule="auto"/>
        <w:rPr>
          <w:szCs w:val="26"/>
        </w:rPr>
      </w:pPr>
      <w:r w:rsidRPr="009B38AA">
        <w:rPr>
          <w:szCs w:val="26"/>
        </w:rPr>
        <w:t>Addition of sources for Tables 3-63 and 3-64</w:t>
      </w:r>
      <w:r w:rsidR="00ED1C29" w:rsidRPr="009B38AA">
        <w:rPr>
          <w:szCs w:val="26"/>
        </w:rPr>
        <w:t>; and</w:t>
      </w:r>
    </w:p>
    <w:p w:rsidR="0046034A" w:rsidRPr="009B38AA" w:rsidRDefault="0046034A" w:rsidP="0046034A">
      <w:pPr>
        <w:pStyle w:val="p3"/>
        <w:numPr>
          <w:ilvl w:val="0"/>
          <w:numId w:val="9"/>
        </w:numPr>
        <w:tabs>
          <w:tab w:val="left" w:pos="720"/>
        </w:tabs>
        <w:spacing w:before="100" w:beforeAutospacing="1" w:line="240" w:lineRule="auto"/>
        <w:rPr>
          <w:szCs w:val="26"/>
        </w:rPr>
      </w:pPr>
      <w:r w:rsidRPr="009B38AA">
        <w:rPr>
          <w:szCs w:val="26"/>
        </w:rPr>
        <w:lastRenderedPageBreak/>
        <w:t>Addition of all types of geothermal heat pumps to definitions of EER and COP in the definition of terms section</w:t>
      </w:r>
      <w:r w:rsidR="00ED1C29" w:rsidRPr="009B38AA">
        <w:rPr>
          <w:szCs w:val="26"/>
        </w:rPr>
        <w:t>.</w:t>
      </w:r>
    </w:p>
    <w:p w:rsidR="006D3247" w:rsidRDefault="006D3247" w:rsidP="0046034A">
      <w:pPr>
        <w:ind w:firstLine="720"/>
        <w:rPr>
          <w:szCs w:val="26"/>
        </w:rPr>
      </w:pPr>
    </w:p>
    <w:p w:rsidR="0046034A" w:rsidRPr="009B38AA" w:rsidRDefault="0046034A" w:rsidP="0046034A">
      <w:pPr>
        <w:ind w:firstLine="720"/>
        <w:rPr>
          <w:szCs w:val="26"/>
        </w:rPr>
      </w:pPr>
      <w:r w:rsidRPr="009B38AA">
        <w:rPr>
          <w:szCs w:val="26"/>
        </w:rPr>
        <w:t xml:space="preserve">The Commission also </w:t>
      </w:r>
      <w:r w:rsidR="00B8173E" w:rsidRPr="009B38AA">
        <w:rPr>
          <w:szCs w:val="26"/>
        </w:rPr>
        <w:t xml:space="preserve">adopts </w:t>
      </w:r>
      <w:r w:rsidRPr="009B38AA">
        <w:rPr>
          <w:szCs w:val="26"/>
        </w:rPr>
        <w:t xml:space="preserve">PPL’s recommendation </w:t>
      </w:r>
      <w:r w:rsidR="00B8173E" w:rsidRPr="009B38AA">
        <w:rPr>
          <w:szCs w:val="26"/>
        </w:rPr>
        <w:t xml:space="preserve">to change </w:t>
      </w:r>
      <w:r w:rsidRPr="009B38AA">
        <w:rPr>
          <w:szCs w:val="26"/>
        </w:rPr>
        <w:t>the default values of 8,760 hours for components “</w:t>
      </w:r>
      <w:proofErr w:type="spellStart"/>
      <w:r w:rsidRPr="009B38AA">
        <w:rPr>
          <w:szCs w:val="26"/>
        </w:rPr>
        <w:t>HOURS</w:t>
      </w:r>
      <w:r w:rsidRPr="009B38AA">
        <w:rPr>
          <w:szCs w:val="26"/>
          <w:vertAlign w:val="subscript"/>
        </w:rPr>
        <w:t>basepump</w:t>
      </w:r>
      <w:proofErr w:type="spellEnd"/>
      <w:r w:rsidRPr="009B38AA">
        <w:rPr>
          <w:szCs w:val="26"/>
        </w:rPr>
        <w:t xml:space="preserve">” and </w:t>
      </w:r>
      <w:proofErr w:type="spellStart"/>
      <w:r w:rsidRPr="009B38AA">
        <w:rPr>
          <w:szCs w:val="26"/>
        </w:rPr>
        <w:t>HOURS</w:t>
      </w:r>
      <w:r w:rsidRPr="009B38AA">
        <w:rPr>
          <w:szCs w:val="26"/>
          <w:vertAlign w:val="subscript"/>
        </w:rPr>
        <w:t>eepump</w:t>
      </w:r>
      <w:proofErr w:type="spellEnd"/>
      <w:r w:rsidRPr="009B38AA">
        <w:rPr>
          <w:szCs w:val="26"/>
        </w:rPr>
        <w:t>” in Table 3-62 to “</w:t>
      </w:r>
      <w:proofErr w:type="spellStart"/>
      <w:r w:rsidRPr="009B38AA">
        <w:rPr>
          <w:szCs w:val="26"/>
        </w:rPr>
        <w:t>EFLH</w:t>
      </w:r>
      <w:r w:rsidRPr="009B38AA">
        <w:rPr>
          <w:szCs w:val="26"/>
          <w:vertAlign w:val="subscript"/>
        </w:rPr>
        <w:t>cool</w:t>
      </w:r>
      <w:r w:rsidR="00ED1C29" w:rsidRPr="009B38AA">
        <w:rPr>
          <w:szCs w:val="26"/>
        </w:rPr>
        <w:t>+</w:t>
      </w:r>
      <w:r w:rsidRPr="009B38AA">
        <w:rPr>
          <w:szCs w:val="26"/>
        </w:rPr>
        <w:t>EFLH</w:t>
      </w:r>
      <w:r w:rsidRPr="009B38AA">
        <w:rPr>
          <w:szCs w:val="26"/>
          <w:vertAlign w:val="subscript"/>
        </w:rPr>
        <w:t>heat</w:t>
      </w:r>
      <w:proofErr w:type="spellEnd"/>
      <w:r w:rsidRPr="009B38AA">
        <w:rPr>
          <w:szCs w:val="26"/>
        </w:rPr>
        <w:t xml:space="preserve">” to provide a better conservative estimate in the absence of logging or modeling data. </w:t>
      </w:r>
      <w:r w:rsidR="00ED1C29" w:rsidRPr="009B38AA">
        <w:rPr>
          <w:szCs w:val="26"/>
        </w:rPr>
        <w:t xml:space="preserve"> </w:t>
      </w:r>
    </w:p>
    <w:p w:rsidR="0046034A" w:rsidRPr="009B38AA" w:rsidRDefault="0046034A" w:rsidP="0046034A">
      <w:pPr>
        <w:ind w:firstLine="720"/>
        <w:rPr>
          <w:szCs w:val="26"/>
        </w:rPr>
      </w:pPr>
    </w:p>
    <w:p w:rsidR="0046034A" w:rsidRPr="009B38AA" w:rsidRDefault="0046034A" w:rsidP="00013E5A">
      <w:pPr>
        <w:ind w:firstLine="720"/>
        <w:rPr>
          <w:szCs w:val="26"/>
        </w:rPr>
      </w:pPr>
      <w:r w:rsidRPr="009B38AA">
        <w:rPr>
          <w:szCs w:val="26"/>
        </w:rPr>
        <w:t xml:space="preserve">The Commission rejects PPL’s request to add a note to indicate </w:t>
      </w:r>
      <w:r w:rsidR="00ED1C29" w:rsidRPr="009B38AA">
        <w:rPr>
          <w:szCs w:val="26"/>
        </w:rPr>
        <w:t>ASHP</w:t>
      </w:r>
      <w:r w:rsidRPr="009B38AA">
        <w:rPr>
          <w:szCs w:val="26"/>
        </w:rPr>
        <w:t xml:space="preserve"> as the baseline for geothermal systems in Table 3-65 (and other similar tables). </w:t>
      </w:r>
      <w:r w:rsidR="00ED1C29" w:rsidRPr="009B38AA">
        <w:rPr>
          <w:szCs w:val="26"/>
        </w:rPr>
        <w:t xml:space="preserve"> </w:t>
      </w:r>
      <w:r w:rsidRPr="009B38AA">
        <w:rPr>
          <w:szCs w:val="26"/>
        </w:rPr>
        <w:t>The Commission believes that the definition of baseline equipment and assumptions used for different scenarios</w:t>
      </w:r>
      <w:r w:rsidR="00ED1C29" w:rsidRPr="009B38AA">
        <w:rPr>
          <w:szCs w:val="26"/>
        </w:rPr>
        <w:t>,</w:t>
      </w:r>
      <w:r w:rsidRPr="009B38AA">
        <w:rPr>
          <w:szCs w:val="26"/>
        </w:rPr>
        <w:t xml:space="preserve"> including new construction and retrofit</w:t>
      </w:r>
      <w:r w:rsidR="00ED1C29" w:rsidRPr="009B38AA">
        <w:rPr>
          <w:szCs w:val="26"/>
        </w:rPr>
        <w:t>,</w:t>
      </w:r>
      <w:r w:rsidRPr="009B38AA">
        <w:rPr>
          <w:szCs w:val="26"/>
        </w:rPr>
        <w:t xml:space="preserve"> are clearly explained in the </w:t>
      </w:r>
      <w:r w:rsidR="00ED1C29" w:rsidRPr="009B38AA">
        <w:rPr>
          <w:szCs w:val="26"/>
        </w:rPr>
        <w:t>E</w:t>
      </w:r>
      <w:r w:rsidRPr="009B38AA">
        <w:rPr>
          <w:szCs w:val="26"/>
        </w:rPr>
        <w:t>ligibility section of the protocol.</w:t>
      </w:r>
    </w:p>
    <w:p w:rsidR="00E5404F" w:rsidRPr="009B38AA" w:rsidRDefault="00E5404F" w:rsidP="007B592F">
      <w:pPr>
        <w:pStyle w:val="ListParagraph"/>
        <w:rPr>
          <w:b/>
          <w:szCs w:val="26"/>
        </w:rPr>
      </w:pPr>
    </w:p>
    <w:p w:rsidR="000A2B01" w:rsidRPr="009B38AA" w:rsidRDefault="000A2B01" w:rsidP="007B592F">
      <w:pPr>
        <w:pStyle w:val="ListParagraph"/>
        <w:rPr>
          <w:b/>
          <w:szCs w:val="26"/>
        </w:rPr>
      </w:pPr>
    </w:p>
    <w:p w:rsidR="007B592F" w:rsidRPr="009B38AA" w:rsidRDefault="007B592F" w:rsidP="00EB1FAC">
      <w:pPr>
        <w:pStyle w:val="Heading1"/>
      </w:pPr>
      <w:r w:rsidRPr="009B38AA">
        <w:t>Demand Response</w:t>
      </w:r>
    </w:p>
    <w:p w:rsidR="00AC104D" w:rsidRPr="009B38AA" w:rsidRDefault="00AC104D" w:rsidP="009A6E7A">
      <w:pPr>
        <w:pStyle w:val="p3"/>
        <w:tabs>
          <w:tab w:val="clear" w:pos="204"/>
          <w:tab w:val="left" w:pos="720"/>
        </w:tabs>
        <w:rPr>
          <w:szCs w:val="26"/>
        </w:rPr>
      </w:pPr>
    </w:p>
    <w:p w:rsidR="000D3B2C" w:rsidRPr="009B38AA" w:rsidRDefault="000D3B2C" w:rsidP="000D3B2C">
      <w:pPr>
        <w:pStyle w:val="p3"/>
        <w:tabs>
          <w:tab w:val="clear" w:pos="204"/>
          <w:tab w:val="left" w:pos="-2610"/>
        </w:tabs>
        <w:ind w:firstLine="720"/>
        <w:rPr>
          <w:szCs w:val="26"/>
        </w:rPr>
      </w:pPr>
      <w:r w:rsidRPr="009B38AA">
        <w:rPr>
          <w:szCs w:val="26"/>
        </w:rPr>
        <w:t xml:space="preserve">In </w:t>
      </w:r>
      <w:r w:rsidR="00B8173E" w:rsidRPr="009B38AA">
        <w:rPr>
          <w:szCs w:val="26"/>
        </w:rPr>
        <w:t xml:space="preserve">the </w:t>
      </w:r>
      <w:r w:rsidR="00B31134" w:rsidRPr="009B38AA">
        <w:rPr>
          <w:i/>
          <w:szCs w:val="26"/>
        </w:rPr>
        <w:t>Tentative Order</w:t>
      </w:r>
      <w:r w:rsidRPr="009B38AA">
        <w:rPr>
          <w:szCs w:val="26"/>
        </w:rPr>
        <w:t xml:space="preserve">, </w:t>
      </w:r>
      <w:r w:rsidR="00B8173E" w:rsidRPr="009B38AA">
        <w:rPr>
          <w:szCs w:val="26"/>
        </w:rPr>
        <w:t>we</w:t>
      </w:r>
      <w:r w:rsidRPr="009B38AA">
        <w:rPr>
          <w:szCs w:val="26"/>
        </w:rPr>
        <w:t xml:space="preserve"> proposed the inclusion of a new DR or peak load reduction section in the 2012 TRM update.  This</w:t>
      </w:r>
      <w:r w:rsidR="00373998" w:rsidRPr="009B38AA">
        <w:rPr>
          <w:szCs w:val="26"/>
        </w:rPr>
        <w:t xml:space="preserve"> TRM</w:t>
      </w:r>
      <w:r w:rsidRPr="009B38AA">
        <w:rPr>
          <w:szCs w:val="26"/>
        </w:rPr>
        <w:t xml:space="preserve"> section </w:t>
      </w:r>
      <w:r w:rsidR="00373998" w:rsidRPr="009B38AA">
        <w:rPr>
          <w:szCs w:val="26"/>
        </w:rPr>
        <w:t>addressed three specific DR-related topics</w:t>
      </w:r>
      <w:r w:rsidR="00E32B93" w:rsidRPr="009B38AA">
        <w:rPr>
          <w:szCs w:val="26"/>
        </w:rPr>
        <w:t xml:space="preserve">: the determination of customer baselines, the </w:t>
      </w:r>
      <w:r w:rsidR="00373998" w:rsidRPr="009B38AA">
        <w:rPr>
          <w:szCs w:val="26"/>
        </w:rPr>
        <w:t>determination of the 100 hours of highest peak load, and PJM Business Rules</w:t>
      </w:r>
      <w:r w:rsidRPr="009B38AA">
        <w:rPr>
          <w:szCs w:val="26"/>
        </w:rPr>
        <w:t>.</w:t>
      </w:r>
      <w:r w:rsidR="00373998" w:rsidRPr="009B38AA">
        <w:rPr>
          <w:szCs w:val="26"/>
        </w:rPr>
        <w:t xml:space="preserve">  </w:t>
      </w:r>
    </w:p>
    <w:p w:rsidR="000A2B01" w:rsidRPr="009B38AA" w:rsidRDefault="000A2B01" w:rsidP="000D3B2C">
      <w:pPr>
        <w:pStyle w:val="p3"/>
        <w:tabs>
          <w:tab w:val="clear" w:pos="204"/>
          <w:tab w:val="left" w:pos="-2610"/>
        </w:tabs>
        <w:ind w:firstLine="720"/>
        <w:rPr>
          <w:szCs w:val="26"/>
        </w:rPr>
      </w:pPr>
    </w:p>
    <w:p w:rsidR="000D3B2C" w:rsidRPr="009B38AA" w:rsidRDefault="000D3B2C" w:rsidP="00E32B93">
      <w:pPr>
        <w:pStyle w:val="Heading2"/>
      </w:pPr>
      <w:r w:rsidRPr="009B38AA">
        <w:t>Determination of Customer Baselines (“CBLs”)</w:t>
      </w:r>
    </w:p>
    <w:p w:rsidR="00E32B93" w:rsidRPr="009B38AA" w:rsidRDefault="00E32B93" w:rsidP="00E32B93">
      <w:pPr>
        <w:pStyle w:val="p3"/>
        <w:tabs>
          <w:tab w:val="clear" w:pos="204"/>
          <w:tab w:val="left" w:pos="-2610"/>
        </w:tabs>
        <w:ind w:firstLine="720"/>
        <w:rPr>
          <w:szCs w:val="26"/>
        </w:rPr>
      </w:pPr>
    </w:p>
    <w:p w:rsidR="00E32B93" w:rsidRPr="009B38AA" w:rsidRDefault="00B8173E" w:rsidP="00E32B93">
      <w:pPr>
        <w:pStyle w:val="p3"/>
        <w:tabs>
          <w:tab w:val="clear" w:pos="204"/>
          <w:tab w:val="left" w:pos="-2610"/>
        </w:tabs>
        <w:ind w:firstLine="720"/>
        <w:rPr>
          <w:szCs w:val="26"/>
        </w:rPr>
      </w:pPr>
      <w:r w:rsidRPr="009B38AA">
        <w:rPr>
          <w:szCs w:val="26"/>
        </w:rPr>
        <w:t xml:space="preserve">In the </w:t>
      </w:r>
      <w:r w:rsidR="00B31134" w:rsidRPr="009B38AA">
        <w:rPr>
          <w:i/>
          <w:szCs w:val="26"/>
        </w:rPr>
        <w:t>Tentative Order</w:t>
      </w:r>
      <w:r w:rsidRPr="009B38AA">
        <w:rPr>
          <w:szCs w:val="26"/>
        </w:rPr>
        <w:t>, we</w:t>
      </w:r>
      <w:r w:rsidR="00E32B93" w:rsidRPr="009B38AA">
        <w:rPr>
          <w:szCs w:val="26"/>
        </w:rPr>
        <w:t xml:space="preserve"> proposed that total hourly Act 129 peak load reductions be a summation of peak load reductions from Load Control, Critical Peak Pricing, Direct Load Control DR Measures, and Constant Load Reductions from non-</w:t>
      </w:r>
      <w:proofErr w:type="spellStart"/>
      <w:r w:rsidR="00E32B93" w:rsidRPr="009B38AA">
        <w:rPr>
          <w:szCs w:val="26"/>
        </w:rPr>
        <w:t>dispatchable</w:t>
      </w:r>
      <w:proofErr w:type="spellEnd"/>
      <w:r w:rsidR="00E32B93" w:rsidRPr="009B38AA">
        <w:rPr>
          <w:szCs w:val="26"/>
        </w:rPr>
        <w:t xml:space="preserve"> measures.  </w:t>
      </w:r>
    </w:p>
    <w:p w:rsidR="000D3B2C" w:rsidRPr="009B38AA" w:rsidRDefault="000D3B2C" w:rsidP="000D3B2C">
      <w:pPr>
        <w:rPr>
          <w:szCs w:val="26"/>
        </w:rPr>
      </w:pPr>
    </w:p>
    <w:p w:rsidR="000D3B2C" w:rsidRPr="009B38AA" w:rsidRDefault="000D3B2C" w:rsidP="00E32B93">
      <w:pPr>
        <w:pStyle w:val="Heading3"/>
        <w:rPr>
          <w:rFonts w:cs="Times New Roman"/>
        </w:rPr>
      </w:pPr>
      <w:r w:rsidRPr="009B38AA">
        <w:rPr>
          <w:rFonts w:cs="Times New Roman"/>
        </w:rPr>
        <w:lastRenderedPageBreak/>
        <w:t>Comments</w:t>
      </w:r>
    </w:p>
    <w:p w:rsidR="009A6E7A" w:rsidRPr="009B38AA" w:rsidRDefault="009A6E7A" w:rsidP="00AC104D">
      <w:pPr>
        <w:rPr>
          <w:szCs w:val="26"/>
        </w:rPr>
      </w:pPr>
    </w:p>
    <w:p w:rsidR="008C7A5E" w:rsidRPr="009B38AA" w:rsidRDefault="00AC104D" w:rsidP="00F70127">
      <w:pPr>
        <w:rPr>
          <w:szCs w:val="26"/>
        </w:rPr>
      </w:pPr>
      <w:r w:rsidRPr="009B38AA">
        <w:rPr>
          <w:szCs w:val="26"/>
        </w:rPr>
        <w:tab/>
      </w:r>
      <w:proofErr w:type="spellStart"/>
      <w:r w:rsidRPr="009B38AA">
        <w:rPr>
          <w:szCs w:val="26"/>
        </w:rPr>
        <w:t>EnerNOC</w:t>
      </w:r>
      <w:proofErr w:type="spellEnd"/>
      <w:r w:rsidRPr="009B38AA">
        <w:rPr>
          <w:szCs w:val="26"/>
        </w:rPr>
        <w:t xml:space="preserve"> </w:t>
      </w:r>
      <w:r w:rsidR="00B8173E" w:rsidRPr="009B38AA">
        <w:rPr>
          <w:szCs w:val="26"/>
        </w:rPr>
        <w:t xml:space="preserve">requests </w:t>
      </w:r>
      <w:r w:rsidRPr="009B38AA">
        <w:rPr>
          <w:szCs w:val="26"/>
        </w:rPr>
        <w:t xml:space="preserve">additional clarity into how the CBL adjustments will be calculated under Step 1a in Section </w:t>
      </w:r>
      <w:r w:rsidR="00F70127" w:rsidRPr="009B38AA">
        <w:rPr>
          <w:szCs w:val="26"/>
        </w:rPr>
        <w:t>4</w:t>
      </w:r>
      <w:r w:rsidRPr="009B38AA">
        <w:rPr>
          <w:szCs w:val="26"/>
        </w:rPr>
        <w:t>.1</w:t>
      </w:r>
      <w:r w:rsidR="00ED1C29" w:rsidRPr="009B38AA">
        <w:rPr>
          <w:szCs w:val="26"/>
        </w:rPr>
        <w:t xml:space="preserve">: Determination of Act 129 Peak Load Reductions </w:t>
      </w:r>
      <w:r w:rsidRPr="009B38AA">
        <w:rPr>
          <w:szCs w:val="26"/>
        </w:rPr>
        <w:t>and note</w:t>
      </w:r>
      <w:r w:rsidR="00B8173E" w:rsidRPr="009B38AA">
        <w:rPr>
          <w:szCs w:val="26"/>
        </w:rPr>
        <w:t>s</w:t>
      </w:r>
      <w:r w:rsidRPr="009B38AA">
        <w:rPr>
          <w:szCs w:val="26"/>
        </w:rPr>
        <w:t xml:space="preserve"> that an issue could </w:t>
      </w:r>
      <w:r w:rsidR="00B8173E" w:rsidRPr="009B38AA">
        <w:rPr>
          <w:szCs w:val="26"/>
        </w:rPr>
        <w:t xml:space="preserve">arise </w:t>
      </w:r>
      <w:r w:rsidRPr="009B38AA">
        <w:rPr>
          <w:szCs w:val="26"/>
        </w:rPr>
        <w:t xml:space="preserve">if a customer participates in an Act 129 </w:t>
      </w:r>
      <w:r w:rsidR="00BF717D" w:rsidRPr="009B38AA">
        <w:rPr>
          <w:szCs w:val="26"/>
        </w:rPr>
        <w:t>DR</w:t>
      </w:r>
      <w:r w:rsidRPr="009B38AA">
        <w:rPr>
          <w:szCs w:val="26"/>
        </w:rPr>
        <w:t xml:space="preserve"> event and a PJM economic or emergency event on the same day.</w:t>
      </w:r>
      <w:r w:rsidR="00F70127" w:rsidRPr="009B38AA">
        <w:rPr>
          <w:szCs w:val="26"/>
        </w:rPr>
        <w:t xml:space="preserve"> </w:t>
      </w:r>
      <w:r w:rsidR="00ED1C29" w:rsidRPr="009B38AA">
        <w:rPr>
          <w:szCs w:val="26"/>
        </w:rPr>
        <w:t xml:space="preserve"> </w:t>
      </w:r>
      <w:r w:rsidR="00F70127" w:rsidRPr="009B38AA">
        <w:rPr>
          <w:szCs w:val="26"/>
        </w:rPr>
        <w:t>For example</w:t>
      </w:r>
      <w:r w:rsidRPr="009B38AA">
        <w:rPr>
          <w:szCs w:val="26"/>
        </w:rPr>
        <w:t xml:space="preserve">, </w:t>
      </w:r>
      <w:proofErr w:type="spellStart"/>
      <w:r w:rsidRPr="009B38AA">
        <w:rPr>
          <w:szCs w:val="26"/>
        </w:rPr>
        <w:t>EnerNOC</w:t>
      </w:r>
      <w:proofErr w:type="spellEnd"/>
      <w:r w:rsidRPr="009B38AA">
        <w:rPr>
          <w:szCs w:val="26"/>
        </w:rPr>
        <w:t xml:space="preserve"> </w:t>
      </w:r>
      <w:r w:rsidR="00B8173E" w:rsidRPr="009B38AA">
        <w:rPr>
          <w:szCs w:val="26"/>
        </w:rPr>
        <w:t xml:space="preserve">describes </w:t>
      </w:r>
      <w:r w:rsidRPr="009B38AA">
        <w:rPr>
          <w:szCs w:val="26"/>
        </w:rPr>
        <w:t>a scenario w</w:t>
      </w:r>
      <w:r w:rsidR="00ED1C29" w:rsidRPr="009B38AA">
        <w:rPr>
          <w:szCs w:val="26"/>
        </w:rPr>
        <w:t>here a PJM event is dispatched one</w:t>
      </w:r>
      <w:r w:rsidRPr="009B38AA">
        <w:rPr>
          <w:szCs w:val="26"/>
        </w:rPr>
        <w:t xml:space="preserve"> hour earlier than an Act 129 event</w:t>
      </w:r>
      <w:r w:rsidR="00B8173E" w:rsidRPr="009B38AA">
        <w:rPr>
          <w:szCs w:val="26"/>
        </w:rPr>
        <w:t>,</w:t>
      </w:r>
      <w:r w:rsidRPr="009B38AA">
        <w:rPr>
          <w:szCs w:val="26"/>
        </w:rPr>
        <w:t xml:space="preserve"> </w:t>
      </w:r>
      <w:r w:rsidR="00B8173E" w:rsidRPr="009B38AA">
        <w:rPr>
          <w:szCs w:val="26"/>
        </w:rPr>
        <w:t>asserting</w:t>
      </w:r>
      <w:r w:rsidRPr="009B38AA">
        <w:rPr>
          <w:szCs w:val="26"/>
        </w:rPr>
        <w:t xml:space="preserve"> that this could negatively impact the CBL and reduce the calculated load reduction.</w:t>
      </w:r>
      <w:r w:rsidR="00F70127" w:rsidRPr="009B38AA">
        <w:rPr>
          <w:szCs w:val="26"/>
        </w:rPr>
        <w:t xml:space="preserve"> </w:t>
      </w:r>
      <w:r w:rsidR="00ED1C29" w:rsidRPr="009B38AA">
        <w:rPr>
          <w:szCs w:val="26"/>
        </w:rPr>
        <w:t xml:space="preserve"> </w:t>
      </w:r>
      <w:proofErr w:type="spellStart"/>
      <w:r w:rsidR="00F70127" w:rsidRPr="009B38AA">
        <w:rPr>
          <w:szCs w:val="26"/>
        </w:rPr>
        <w:t>EnerNOC</w:t>
      </w:r>
      <w:proofErr w:type="spellEnd"/>
      <w:r w:rsidR="00F70127" w:rsidRPr="009B38AA">
        <w:rPr>
          <w:szCs w:val="26"/>
        </w:rPr>
        <w:t xml:space="preserve"> </w:t>
      </w:r>
      <w:r w:rsidR="00B8173E" w:rsidRPr="009B38AA">
        <w:rPr>
          <w:szCs w:val="26"/>
        </w:rPr>
        <w:t xml:space="preserve">proposes </w:t>
      </w:r>
      <w:r w:rsidR="00F70127" w:rsidRPr="009B38AA">
        <w:rPr>
          <w:szCs w:val="26"/>
        </w:rPr>
        <w:t xml:space="preserve">two solutions, </w:t>
      </w:r>
      <w:r w:rsidR="00B8173E" w:rsidRPr="009B38AA">
        <w:rPr>
          <w:szCs w:val="26"/>
        </w:rPr>
        <w:t xml:space="preserve">that </w:t>
      </w:r>
      <w:r w:rsidR="00F70127" w:rsidRPr="009B38AA">
        <w:rPr>
          <w:szCs w:val="26"/>
        </w:rPr>
        <w:t xml:space="preserve">the ‘start of the event’ </w:t>
      </w:r>
      <w:proofErr w:type="gramStart"/>
      <w:r w:rsidR="00F70127" w:rsidRPr="009B38AA">
        <w:rPr>
          <w:szCs w:val="26"/>
        </w:rPr>
        <w:t>be</w:t>
      </w:r>
      <w:proofErr w:type="gramEnd"/>
      <w:r w:rsidR="00F70127" w:rsidRPr="009B38AA">
        <w:rPr>
          <w:szCs w:val="26"/>
        </w:rPr>
        <w:t xml:space="preserve"> interpreted to mean the start of the earliest dispatch event on an event day, or </w:t>
      </w:r>
      <w:r w:rsidR="00B8173E" w:rsidRPr="009B38AA">
        <w:rPr>
          <w:szCs w:val="26"/>
        </w:rPr>
        <w:t xml:space="preserve">that </w:t>
      </w:r>
      <w:r w:rsidR="00F70127" w:rsidRPr="009B38AA">
        <w:rPr>
          <w:szCs w:val="26"/>
        </w:rPr>
        <w:t>the ‘day of adjustment’ be considered optional</w:t>
      </w:r>
      <w:r w:rsidR="00ED1C29" w:rsidRPr="009B38AA">
        <w:rPr>
          <w:szCs w:val="26"/>
        </w:rPr>
        <w:t xml:space="preserve">. </w:t>
      </w:r>
      <w:r w:rsidR="00B8173E" w:rsidRPr="009B38AA">
        <w:rPr>
          <w:szCs w:val="26"/>
        </w:rPr>
        <w:t xml:space="preserve"> </w:t>
      </w:r>
      <w:proofErr w:type="spellStart"/>
      <w:r w:rsidR="00ED1C29" w:rsidRPr="009B38AA">
        <w:rPr>
          <w:szCs w:val="26"/>
        </w:rPr>
        <w:t>EnerNOC</w:t>
      </w:r>
      <w:proofErr w:type="spellEnd"/>
      <w:r w:rsidR="00ED1C29" w:rsidRPr="009B38AA">
        <w:rPr>
          <w:szCs w:val="26"/>
        </w:rPr>
        <w:t xml:space="preserve"> Comments at 5</w:t>
      </w:r>
      <w:r w:rsidR="00B8173E" w:rsidRPr="009B38AA">
        <w:rPr>
          <w:szCs w:val="26"/>
        </w:rPr>
        <w:t xml:space="preserve">and </w:t>
      </w:r>
      <w:r w:rsidR="00ED1C29" w:rsidRPr="009B38AA">
        <w:rPr>
          <w:szCs w:val="26"/>
        </w:rPr>
        <w:t>6</w:t>
      </w:r>
      <w:r w:rsidR="00B8173E" w:rsidRPr="009B38AA">
        <w:rPr>
          <w:szCs w:val="26"/>
        </w:rPr>
        <w:t>.</w:t>
      </w:r>
    </w:p>
    <w:p w:rsidR="008C7A5E" w:rsidRPr="009B38AA" w:rsidRDefault="008C7A5E" w:rsidP="00F70127">
      <w:pPr>
        <w:rPr>
          <w:szCs w:val="26"/>
        </w:rPr>
      </w:pPr>
    </w:p>
    <w:p w:rsidR="00AC104D" w:rsidRPr="009B38AA" w:rsidRDefault="008C7A5E" w:rsidP="008C7A5E">
      <w:pPr>
        <w:ind w:firstLine="720"/>
        <w:rPr>
          <w:szCs w:val="26"/>
        </w:rPr>
      </w:pPr>
      <w:r w:rsidRPr="009B38AA">
        <w:rPr>
          <w:szCs w:val="26"/>
        </w:rPr>
        <w:t xml:space="preserve">Similarly, PPL </w:t>
      </w:r>
      <w:r w:rsidR="00B8173E" w:rsidRPr="009B38AA">
        <w:rPr>
          <w:szCs w:val="26"/>
        </w:rPr>
        <w:t xml:space="preserve">states </w:t>
      </w:r>
      <w:r w:rsidRPr="009B38AA">
        <w:rPr>
          <w:szCs w:val="26"/>
        </w:rPr>
        <w:t>that when PJM and Act 129 events are called on the same day, but not at the same time, steps need to be taken to assure that activation of one program in the adjustment window of the other program does not cause that program’s performance to be reduced</w:t>
      </w:r>
      <w:r w:rsidR="00ED1C29" w:rsidRPr="009B38AA">
        <w:rPr>
          <w:szCs w:val="26"/>
        </w:rPr>
        <w:t xml:space="preserve">. </w:t>
      </w:r>
      <w:r w:rsidR="00683222" w:rsidRPr="009B38AA">
        <w:rPr>
          <w:szCs w:val="26"/>
        </w:rPr>
        <w:t xml:space="preserve"> </w:t>
      </w:r>
      <w:proofErr w:type="gramStart"/>
      <w:r w:rsidR="00ED1C29" w:rsidRPr="009B38AA">
        <w:rPr>
          <w:szCs w:val="26"/>
        </w:rPr>
        <w:t>PPL Comments at 26</w:t>
      </w:r>
      <w:r w:rsidR="00683222" w:rsidRPr="009B38AA">
        <w:rPr>
          <w:szCs w:val="26"/>
        </w:rPr>
        <w:t xml:space="preserve"> and </w:t>
      </w:r>
      <w:r w:rsidR="00ED1C29" w:rsidRPr="009B38AA">
        <w:rPr>
          <w:szCs w:val="26"/>
        </w:rPr>
        <w:t>27</w:t>
      </w:r>
      <w:r w:rsidR="00683222" w:rsidRPr="009B38AA">
        <w:rPr>
          <w:szCs w:val="26"/>
        </w:rPr>
        <w:t>.</w:t>
      </w:r>
      <w:proofErr w:type="gramEnd"/>
    </w:p>
    <w:p w:rsidR="00AC104D" w:rsidRPr="009B38AA" w:rsidRDefault="00AC104D" w:rsidP="00F70127">
      <w:pPr>
        <w:rPr>
          <w:szCs w:val="26"/>
        </w:rPr>
      </w:pPr>
    </w:p>
    <w:p w:rsidR="00AC104D" w:rsidRPr="009B38AA" w:rsidRDefault="00AC104D" w:rsidP="00F70127">
      <w:pPr>
        <w:rPr>
          <w:szCs w:val="26"/>
        </w:rPr>
      </w:pPr>
      <w:r w:rsidRPr="009B38AA">
        <w:rPr>
          <w:szCs w:val="26"/>
        </w:rPr>
        <w:tab/>
      </w:r>
      <w:proofErr w:type="spellStart"/>
      <w:r w:rsidRPr="009B38AA">
        <w:rPr>
          <w:szCs w:val="26"/>
        </w:rPr>
        <w:t>EnerNOC</w:t>
      </w:r>
      <w:proofErr w:type="spellEnd"/>
      <w:r w:rsidRPr="009B38AA">
        <w:rPr>
          <w:szCs w:val="26"/>
        </w:rPr>
        <w:t xml:space="preserve"> also </w:t>
      </w:r>
      <w:r w:rsidR="00683222" w:rsidRPr="009B38AA">
        <w:rPr>
          <w:szCs w:val="26"/>
        </w:rPr>
        <w:t xml:space="preserve">notes </w:t>
      </w:r>
      <w:r w:rsidRPr="009B38AA">
        <w:rPr>
          <w:szCs w:val="26"/>
        </w:rPr>
        <w:t>that</w:t>
      </w:r>
      <w:r w:rsidR="00ED1C29" w:rsidRPr="009B38AA">
        <w:rPr>
          <w:szCs w:val="26"/>
        </w:rPr>
        <w:t>,</w:t>
      </w:r>
      <w:r w:rsidRPr="009B38AA">
        <w:rPr>
          <w:szCs w:val="26"/>
        </w:rPr>
        <w:t xml:space="preserve"> </w:t>
      </w:r>
      <w:r w:rsidR="00F70127" w:rsidRPr="009B38AA">
        <w:rPr>
          <w:szCs w:val="26"/>
        </w:rPr>
        <w:t xml:space="preserve">in order to exclude PJM events from a customer’s baseline, as described in Step 1a in Section 4.1, </w:t>
      </w:r>
      <w:r w:rsidRPr="009B38AA">
        <w:rPr>
          <w:szCs w:val="26"/>
        </w:rPr>
        <w:t xml:space="preserve">EDCs </w:t>
      </w:r>
      <w:r w:rsidR="00F70127" w:rsidRPr="009B38AA">
        <w:rPr>
          <w:szCs w:val="26"/>
        </w:rPr>
        <w:t>need to know that a customer is participating in a PJM economic or emergency event.</w:t>
      </w:r>
      <w:r w:rsidR="00ED1C29" w:rsidRPr="009B38AA">
        <w:rPr>
          <w:szCs w:val="26"/>
        </w:rPr>
        <w:t xml:space="preserve"> </w:t>
      </w:r>
      <w:r w:rsidR="00F70127" w:rsidRPr="009B38AA">
        <w:rPr>
          <w:szCs w:val="26"/>
        </w:rPr>
        <w:t xml:space="preserve"> In order to do so, EDCs </w:t>
      </w:r>
      <w:r w:rsidRPr="009B38AA">
        <w:rPr>
          <w:szCs w:val="26"/>
        </w:rPr>
        <w:t>will need to be notified by third party Curtailment Service Providers</w:t>
      </w:r>
      <w:r w:rsidR="00ED1C29" w:rsidRPr="009B38AA">
        <w:rPr>
          <w:szCs w:val="26"/>
        </w:rPr>
        <w:t xml:space="preserve"> (“DR CSP”) </w:t>
      </w:r>
      <w:r w:rsidRPr="009B38AA">
        <w:rPr>
          <w:szCs w:val="26"/>
        </w:rPr>
        <w:t xml:space="preserve">when a customer is participating in </w:t>
      </w:r>
      <w:r w:rsidR="00F70127" w:rsidRPr="009B38AA">
        <w:rPr>
          <w:szCs w:val="26"/>
        </w:rPr>
        <w:t>such an event</w:t>
      </w:r>
      <w:r w:rsidRPr="009B38AA">
        <w:rPr>
          <w:szCs w:val="26"/>
        </w:rPr>
        <w:t xml:space="preserve">. </w:t>
      </w:r>
      <w:r w:rsidR="00ED1C29" w:rsidRPr="009B38AA">
        <w:rPr>
          <w:szCs w:val="26"/>
        </w:rPr>
        <w:t xml:space="preserve"> </w:t>
      </w:r>
      <w:r w:rsidR="00F70127" w:rsidRPr="009B38AA">
        <w:rPr>
          <w:szCs w:val="26"/>
        </w:rPr>
        <w:t xml:space="preserve">To alleviate this situation, </w:t>
      </w:r>
      <w:proofErr w:type="spellStart"/>
      <w:r w:rsidRPr="009B38AA">
        <w:rPr>
          <w:szCs w:val="26"/>
        </w:rPr>
        <w:t>EnerNOC</w:t>
      </w:r>
      <w:proofErr w:type="spellEnd"/>
      <w:r w:rsidRPr="009B38AA">
        <w:rPr>
          <w:szCs w:val="26"/>
        </w:rPr>
        <w:t xml:space="preserve"> </w:t>
      </w:r>
      <w:r w:rsidR="00683222" w:rsidRPr="009B38AA">
        <w:rPr>
          <w:szCs w:val="26"/>
        </w:rPr>
        <w:t xml:space="preserve">suggests </w:t>
      </w:r>
      <w:r w:rsidR="00F70127" w:rsidRPr="009B38AA">
        <w:rPr>
          <w:szCs w:val="26"/>
        </w:rPr>
        <w:t>that the third party</w:t>
      </w:r>
      <w:r w:rsidR="00ED1C29" w:rsidRPr="009B38AA">
        <w:rPr>
          <w:szCs w:val="26"/>
        </w:rPr>
        <w:t xml:space="preserve"> DR</w:t>
      </w:r>
      <w:r w:rsidR="00F70127" w:rsidRPr="009B38AA">
        <w:rPr>
          <w:szCs w:val="26"/>
        </w:rPr>
        <w:t xml:space="preserve"> CSP provide standard reports to the EDC and/or </w:t>
      </w:r>
      <w:r w:rsidR="006F4636">
        <w:rPr>
          <w:szCs w:val="26"/>
        </w:rPr>
        <w:t>the EDC’s Act 129 DR CSP contractor</w:t>
      </w:r>
      <w:r w:rsidR="00683222" w:rsidRPr="009B38AA">
        <w:rPr>
          <w:szCs w:val="26"/>
        </w:rPr>
        <w:t>,</w:t>
      </w:r>
      <w:r w:rsidR="00F70127" w:rsidRPr="009B38AA">
        <w:rPr>
          <w:szCs w:val="26"/>
        </w:rPr>
        <w:t xml:space="preserve"> that document when a customer </w:t>
      </w:r>
      <w:r w:rsidR="00683222" w:rsidRPr="009B38AA">
        <w:rPr>
          <w:szCs w:val="26"/>
        </w:rPr>
        <w:t xml:space="preserve">participates </w:t>
      </w:r>
      <w:r w:rsidR="00F70127" w:rsidRPr="009B38AA">
        <w:rPr>
          <w:szCs w:val="26"/>
        </w:rPr>
        <w:t>in a PJM DR event</w:t>
      </w:r>
      <w:r w:rsidR="00ED1C29" w:rsidRPr="009B38AA">
        <w:rPr>
          <w:szCs w:val="26"/>
        </w:rPr>
        <w:t>.</w:t>
      </w:r>
      <w:r w:rsidR="00F70127" w:rsidRPr="009B38AA">
        <w:rPr>
          <w:szCs w:val="26"/>
        </w:rPr>
        <w:t xml:space="preserve"> </w:t>
      </w:r>
      <w:r w:rsidR="00683222" w:rsidRPr="009B38AA">
        <w:rPr>
          <w:szCs w:val="26"/>
        </w:rPr>
        <w:t xml:space="preserve"> </w:t>
      </w:r>
      <w:proofErr w:type="spellStart"/>
      <w:proofErr w:type="gramStart"/>
      <w:r w:rsidR="00F70127" w:rsidRPr="009B38AA">
        <w:rPr>
          <w:szCs w:val="26"/>
        </w:rPr>
        <w:t>EnerNOC</w:t>
      </w:r>
      <w:proofErr w:type="spellEnd"/>
      <w:r w:rsidR="00F70127" w:rsidRPr="009B38AA">
        <w:rPr>
          <w:szCs w:val="26"/>
        </w:rPr>
        <w:t xml:space="preserve"> Comments at </w:t>
      </w:r>
      <w:r w:rsidR="00C80BDF" w:rsidRPr="009B38AA">
        <w:rPr>
          <w:szCs w:val="26"/>
        </w:rPr>
        <w:t>5</w:t>
      </w:r>
      <w:r w:rsidR="00683222" w:rsidRPr="009B38AA">
        <w:rPr>
          <w:szCs w:val="26"/>
        </w:rPr>
        <w:t xml:space="preserve"> and </w:t>
      </w:r>
      <w:r w:rsidR="00C80BDF" w:rsidRPr="009B38AA">
        <w:rPr>
          <w:szCs w:val="26"/>
        </w:rPr>
        <w:t>6</w:t>
      </w:r>
      <w:r w:rsidR="00683222" w:rsidRPr="009B38AA">
        <w:rPr>
          <w:szCs w:val="26"/>
        </w:rPr>
        <w:t>.</w:t>
      </w:r>
      <w:proofErr w:type="gramEnd"/>
    </w:p>
    <w:p w:rsidR="000D3B2C" w:rsidRDefault="000D3B2C" w:rsidP="00F70127">
      <w:pPr>
        <w:rPr>
          <w:szCs w:val="26"/>
        </w:rPr>
      </w:pPr>
    </w:p>
    <w:p w:rsidR="006D3247" w:rsidRPr="009B38AA" w:rsidRDefault="006D3247" w:rsidP="00F70127">
      <w:pPr>
        <w:rPr>
          <w:szCs w:val="26"/>
        </w:rPr>
      </w:pPr>
    </w:p>
    <w:p w:rsidR="000D3B2C" w:rsidRPr="009B38AA" w:rsidRDefault="000D3B2C" w:rsidP="00E32B93">
      <w:pPr>
        <w:pStyle w:val="Heading3"/>
        <w:rPr>
          <w:rFonts w:cs="Times New Roman"/>
        </w:rPr>
      </w:pPr>
      <w:r w:rsidRPr="009B38AA">
        <w:rPr>
          <w:rFonts w:cs="Times New Roman"/>
        </w:rPr>
        <w:lastRenderedPageBreak/>
        <w:t>Disposition</w:t>
      </w:r>
    </w:p>
    <w:p w:rsidR="000D3B2C" w:rsidRPr="009B38AA" w:rsidRDefault="000D3B2C" w:rsidP="000D3B2C">
      <w:pPr>
        <w:rPr>
          <w:szCs w:val="26"/>
        </w:rPr>
      </w:pPr>
    </w:p>
    <w:p w:rsidR="000D3B2C" w:rsidRPr="009B38AA" w:rsidRDefault="000D3B2C" w:rsidP="000D3B2C">
      <w:pPr>
        <w:ind w:firstLine="720"/>
        <w:rPr>
          <w:szCs w:val="26"/>
        </w:rPr>
      </w:pPr>
      <w:r w:rsidRPr="009B38AA">
        <w:rPr>
          <w:szCs w:val="26"/>
        </w:rPr>
        <w:t xml:space="preserve">The Commission agrees with </w:t>
      </w:r>
      <w:proofErr w:type="spellStart"/>
      <w:r w:rsidRPr="009B38AA">
        <w:rPr>
          <w:szCs w:val="26"/>
        </w:rPr>
        <w:t>EnerNOC</w:t>
      </w:r>
      <w:proofErr w:type="spellEnd"/>
      <w:r w:rsidRPr="009B38AA">
        <w:rPr>
          <w:szCs w:val="26"/>
        </w:rPr>
        <w:t xml:space="preserve"> that if a customer participates in multiple events in a single day, determining CBL may become problematic. </w:t>
      </w:r>
      <w:r w:rsidR="004866DE" w:rsidRPr="009B38AA">
        <w:rPr>
          <w:szCs w:val="26"/>
        </w:rPr>
        <w:t xml:space="preserve"> </w:t>
      </w:r>
      <w:r w:rsidRPr="009B38AA">
        <w:rPr>
          <w:szCs w:val="26"/>
        </w:rPr>
        <w:t>The major issue lies in the fact that if a day-of adjustment is used to account for usage patterns on the day of the event, such a</w:t>
      </w:r>
      <w:r w:rsidR="004866DE" w:rsidRPr="009B38AA">
        <w:rPr>
          <w:szCs w:val="26"/>
        </w:rPr>
        <w:t xml:space="preserve">s symmetric additive adjustment, </w:t>
      </w:r>
      <w:r w:rsidRPr="009B38AA">
        <w:rPr>
          <w:szCs w:val="26"/>
        </w:rPr>
        <w:t xml:space="preserve">the later event will negatively adjust the baseline and reduce savings potential. </w:t>
      </w:r>
      <w:r w:rsidR="004866DE" w:rsidRPr="009B38AA">
        <w:rPr>
          <w:szCs w:val="26"/>
        </w:rPr>
        <w:t xml:space="preserve"> </w:t>
      </w:r>
      <w:r w:rsidRPr="009B38AA">
        <w:rPr>
          <w:szCs w:val="26"/>
        </w:rPr>
        <w:t xml:space="preserve">The Commission believes that any hour during which a </w:t>
      </w:r>
      <w:r w:rsidR="00BF717D" w:rsidRPr="009B38AA">
        <w:rPr>
          <w:szCs w:val="26"/>
        </w:rPr>
        <w:t>DR</w:t>
      </w:r>
      <w:r w:rsidRPr="009B38AA">
        <w:rPr>
          <w:szCs w:val="26"/>
        </w:rPr>
        <w:t xml:space="preserve"> event occurred should not be included in this adjustment because the CBL will be artificially lowered. </w:t>
      </w:r>
      <w:r w:rsidR="004866DE" w:rsidRPr="009B38AA">
        <w:rPr>
          <w:szCs w:val="26"/>
        </w:rPr>
        <w:t xml:space="preserve"> </w:t>
      </w:r>
      <w:r w:rsidRPr="009B38AA">
        <w:rPr>
          <w:szCs w:val="26"/>
        </w:rPr>
        <w:t>To account for this overlap, the Commission directs that the day-of adjustment period should be defined as the hours prior to the first event called for that customer on a</w:t>
      </w:r>
      <w:r w:rsidR="00683222" w:rsidRPr="009B38AA">
        <w:rPr>
          <w:szCs w:val="26"/>
        </w:rPr>
        <w:t>ny</w:t>
      </w:r>
      <w:r w:rsidRPr="009B38AA">
        <w:rPr>
          <w:szCs w:val="26"/>
        </w:rPr>
        <w:t xml:space="preserve"> given day.</w:t>
      </w:r>
    </w:p>
    <w:p w:rsidR="000D3B2C" w:rsidRPr="009B38AA" w:rsidRDefault="000D3B2C" w:rsidP="000D3B2C">
      <w:pPr>
        <w:rPr>
          <w:szCs w:val="26"/>
        </w:rPr>
      </w:pPr>
    </w:p>
    <w:p w:rsidR="000D3B2C" w:rsidRPr="009B38AA" w:rsidRDefault="000D3B2C" w:rsidP="000D3B2C">
      <w:pPr>
        <w:rPr>
          <w:szCs w:val="26"/>
        </w:rPr>
      </w:pPr>
      <w:r w:rsidRPr="009B38AA">
        <w:rPr>
          <w:szCs w:val="26"/>
        </w:rPr>
        <w:tab/>
        <w:t>The Commission also notes that the</w:t>
      </w:r>
      <w:r w:rsidR="004866DE" w:rsidRPr="009B38AA">
        <w:rPr>
          <w:szCs w:val="26"/>
        </w:rPr>
        <w:t xml:space="preserve"> TRM allows the EDCs to use PJM-</w:t>
      </w:r>
      <w:r w:rsidRPr="009B38AA">
        <w:rPr>
          <w:szCs w:val="26"/>
        </w:rPr>
        <w:t>approved measurement and verification protocols in CBL determination</w:t>
      </w:r>
      <w:r w:rsidR="00683222" w:rsidRPr="009B38AA">
        <w:rPr>
          <w:szCs w:val="26"/>
        </w:rPr>
        <w:t>s</w:t>
      </w:r>
      <w:r w:rsidRPr="009B38AA">
        <w:rPr>
          <w:szCs w:val="26"/>
        </w:rPr>
        <w:t xml:space="preserve">. </w:t>
      </w:r>
      <w:r w:rsidR="004866DE" w:rsidRPr="009B38AA">
        <w:rPr>
          <w:szCs w:val="26"/>
        </w:rPr>
        <w:t xml:space="preserve"> </w:t>
      </w:r>
      <w:r w:rsidRPr="009B38AA">
        <w:rPr>
          <w:szCs w:val="26"/>
        </w:rPr>
        <w:t xml:space="preserve">The Commission believes that there are enough accepted methodologies that the EDCs will be able to select an appropriate protocol should the day-of adjustment be unreliable. </w:t>
      </w:r>
    </w:p>
    <w:p w:rsidR="004075FB" w:rsidRPr="009B38AA" w:rsidRDefault="004075FB" w:rsidP="000D3B2C">
      <w:pPr>
        <w:rPr>
          <w:szCs w:val="26"/>
        </w:rPr>
      </w:pPr>
    </w:p>
    <w:p w:rsidR="000D3B2C" w:rsidRPr="009B38AA" w:rsidRDefault="000D3B2C" w:rsidP="000D3B2C">
      <w:pPr>
        <w:rPr>
          <w:szCs w:val="26"/>
        </w:rPr>
      </w:pPr>
      <w:r w:rsidRPr="009B38AA">
        <w:rPr>
          <w:szCs w:val="26"/>
        </w:rPr>
        <w:tab/>
        <w:t xml:space="preserve">The Commission agrees that EDCs must be aware of PJM events in order to exclude them. </w:t>
      </w:r>
      <w:r w:rsidR="004866DE" w:rsidRPr="009B38AA">
        <w:rPr>
          <w:szCs w:val="26"/>
        </w:rPr>
        <w:t xml:space="preserve"> </w:t>
      </w:r>
      <w:r w:rsidRPr="009B38AA">
        <w:rPr>
          <w:szCs w:val="26"/>
        </w:rPr>
        <w:t xml:space="preserve">However, the Commission does not exercise authority over third party </w:t>
      </w:r>
      <w:r w:rsidR="004866DE" w:rsidRPr="009B38AA">
        <w:rPr>
          <w:szCs w:val="26"/>
        </w:rPr>
        <w:t xml:space="preserve">DR </w:t>
      </w:r>
      <w:r w:rsidRPr="009B38AA">
        <w:rPr>
          <w:szCs w:val="26"/>
        </w:rPr>
        <w:t>CSPs and can only recommend that Act 129</w:t>
      </w:r>
      <w:r w:rsidR="004866DE" w:rsidRPr="009B38AA">
        <w:rPr>
          <w:szCs w:val="26"/>
        </w:rPr>
        <w:t xml:space="preserve"> DR</w:t>
      </w:r>
      <w:r w:rsidRPr="009B38AA">
        <w:rPr>
          <w:szCs w:val="26"/>
        </w:rPr>
        <w:t xml:space="preserve"> CSPs strategize with their customers to best identify PJM events. </w:t>
      </w:r>
      <w:r w:rsidR="004866DE" w:rsidRPr="009B38AA">
        <w:rPr>
          <w:szCs w:val="26"/>
        </w:rPr>
        <w:t xml:space="preserve"> </w:t>
      </w:r>
      <w:r w:rsidRPr="009B38AA">
        <w:rPr>
          <w:szCs w:val="26"/>
        </w:rPr>
        <w:t>In situations where it is not possible for</w:t>
      </w:r>
      <w:r w:rsidR="004866DE" w:rsidRPr="009B38AA">
        <w:rPr>
          <w:szCs w:val="26"/>
        </w:rPr>
        <w:t xml:space="preserve"> DR</w:t>
      </w:r>
      <w:r w:rsidRPr="009B38AA">
        <w:rPr>
          <w:szCs w:val="26"/>
        </w:rPr>
        <w:t xml:space="preserve"> CSPs to identify PJM events, they will be unknowingly included in the CBL. </w:t>
      </w:r>
      <w:r w:rsidR="004866DE" w:rsidRPr="009B38AA">
        <w:rPr>
          <w:szCs w:val="26"/>
        </w:rPr>
        <w:t xml:space="preserve"> This will provide a conservative estimate of savings.</w:t>
      </w:r>
    </w:p>
    <w:p w:rsidR="000A2B01" w:rsidRPr="009B38AA" w:rsidRDefault="000A2B01" w:rsidP="000D3B2C">
      <w:pPr>
        <w:rPr>
          <w:szCs w:val="26"/>
        </w:rPr>
      </w:pPr>
    </w:p>
    <w:p w:rsidR="000D3B2C" w:rsidRPr="009B38AA" w:rsidRDefault="00E32B93" w:rsidP="00E32B93">
      <w:pPr>
        <w:pStyle w:val="Heading2"/>
      </w:pPr>
      <w:r w:rsidRPr="009B38AA">
        <w:t>Determination of the 100 H</w:t>
      </w:r>
      <w:r w:rsidR="000D3B2C" w:rsidRPr="009B38AA">
        <w:t>ours of Highest Peak Load</w:t>
      </w:r>
    </w:p>
    <w:p w:rsidR="00E32B93" w:rsidRPr="009B38AA" w:rsidRDefault="00E32B93" w:rsidP="00E32B93">
      <w:pPr>
        <w:pStyle w:val="p3"/>
        <w:tabs>
          <w:tab w:val="clear" w:pos="204"/>
          <w:tab w:val="left" w:pos="-2610"/>
        </w:tabs>
        <w:ind w:firstLine="720"/>
        <w:rPr>
          <w:szCs w:val="26"/>
        </w:rPr>
      </w:pPr>
    </w:p>
    <w:p w:rsidR="00E32B93" w:rsidRPr="009B38AA" w:rsidRDefault="00683222" w:rsidP="00E32B93">
      <w:pPr>
        <w:pStyle w:val="p3"/>
        <w:tabs>
          <w:tab w:val="clear" w:pos="204"/>
          <w:tab w:val="left" w:pos="-2610"/>
        </w:tabs>
        <w:ind w:firstLine="720"/>
        <w:rPr>
          <w:szCs w:val="26"/>
        </w:rPr>
      </w:pPr>
      <w:r w:rsidRPr="009B38AA">
        <w:rPr>
          <w:szCs w:val="26"/>
        </w:rPr>
        <w:t xml:space="preserve">In the </w:t>
      </w:r>
      <w:r w:rsidR="00B31134" w:rsidRPr="009B38AA">
        <w:rPr>
          <w:i/>
          <w:szCs w:val="26"/>
        </w:rPr>
        <w:t>Tentative Order</w:t>
      </w:r>
      <w:r w:rsidRPr="009B38AA">
        <w:rPr>
          <w:szCs w:val="26"/>
        </w:rPr>
        <w:t>, we</w:t>
      </w:r>
      <w:r w:rsidR="00150B09" w:rsidRPr="009B38AA">
        <w:rPr>
          <w:szCs w:val="26"/>
        </w:rPr>
        <w:t xml:space="preserve"> </w:t>
      </w:r>
      <w:r w:rsidR="00E32B93" w:rsidRPr="009B38AA">
        <w:rPr>
          <w:szCs w:val="26"/>
        </w:rPr>
        <w:t xml:space="preserve">proposed the inclusion of guidance as to how the EDCs will determine the load curve reconstructions associated with these 100 hours of highest </w:t>
      </w:r>
      <w:r w:rsidR="00E32B93" w:rsidRPr="009B38AA">
        <w:rPr>
          <w:szCs w:val="26"/>
        </w:rPr>
        <w:lastRenderedPageBreak/>
        <w:t>peak load, as well as addressing the subject of “add-backs,” pre-cooling and snapback effects and the calculation of customer baselines.</w:t>
      </w:r>
    </w:p>
    <w:p w:rsidR="000D3B2C" w:rsidRPr="009B38AA" w:rsidRDefault="000D3B2C" w:rsidP="000D3B2C">
      <w:pPr>
        <w:rPr>
          <w:szCs w:val="26"/>
        </w:rPr>
      </w:pPr>
    </w:p>
    <w:p w:rsidR="000D3B2C" w:rsidRPr="009B38AA" w:rsidRDefault="000D3B2C" w:rsidP="00E32B93">
      <w:pPr>
        <w:pStyle w:val="Heading3"/>
        <w:rPr>
          <w:rFonts w:cs="Times New Roman"/>
        </w:rPr>
      </w:pPr>
      <w:r w:rsidRPr="009B38AA">
        <w:rPr>
          <w:rFonts w:cs="Times New Roman"/>
        </w:rPr>
        <w:t>Comments</w:t>
      </w:r>
    </w:p>
    <w:p w:rsidR="000D3B2C" w:rsidRPr="009B38AA" w:rsidRDefault="000D3B2C" w:rsidP="00F70127">
      <w:pPr>
        <w:rPr>
          <w:szCs w:val="26"/>
        </w:rPr>
      </w:pPr>
    </w:p>
    <w:p w:rsidR="00F70127" w:rsidRPr="009B38AA" w:rsidRDefault="004866DE" w:rsidP="000D3B2C">
      <w:pPr>
        <w:ind w:firstLine="720"/>
        <w:rPr>
          <w:szCs w:val="26"/>
        </w:rPr>
      </w:pPr>
      <w:r w:rsidRPr="009B38AA">
        <w:rPr>
          <w:szCs w:val="26"/>
        </w:rPr>
        <w:t xml:space="preserve">EAP </w:t>
      </w:r>
      <w:r w:rsidR="00C55B89" w:rsidRPr="009B38AA">
        <w:rPr>
          <w:szCs w:val="26"/>
        </w:rPr>
        <w:t xml:space="preserve">proposes </w:t>
      </w:r>
      <w:r w:rsidR="00F70127" w:rsidRPr="009B38AA">
        <w:rPr>
          <w:szCs w:val="26"/>
        </w:rPr>
        <w:t>additional language to Section 4.2</w:t>
      </w:r>
      <w:r w:rsidRPr="009B38AA">
        <w:rPr>
          <w:szCs w:val="26"/>
        </w:rPr>
        <w:t>: Determine the “Top 100 Hours” (100 hours of highest peak load)</w:t>
      </w:r>
      <w:r w:rsidR="00F70127" w:rsidRPr="009B38AA">
        <w:rPr>
          <w:szCs w:val="26"/>
        </w:rPr>
        <w:t xml:space="preserve"> of the TRM that would add cl</w:t>
      </w:r>
      <w:r w:rsidRPr="009B38AA">
        <w:rPr>
          <w:szCs w:val="26"/>
        </w:rPr>
        <w:t>arity to the definition of the t</w:t>
      </w:r>
      <w:r w:rsidR="00F70127" w:rsidRPr="009B38AA">
        <w:rPr>
          <w:szCs w:val="26"/>
        </w:rPr>
        <w:t>op 100 hours</w:t>
      </w:r>
      <w:r w:rsidR="00C80BDF" w:rsidRPr="009B38AA">
        <w:rPr>
          <w:szCs w:val="26"/>
        </w:rPr>
        <w:t>.</w:t>
      </w:r>
      <w:r w:rsidRPr="009B38AA">
        <w:rPr>
          <w:szCs w:val="26"/>
        </w:rPr>
        <w:t xml:space="preserve"> </w:t>
      </w:r>
      <w:r w:rsidR="00C80BDF" w:rsidRPr="009B38AA">
        <w:rPr>
          <w:szCs w:val="26"/>
        </w:rPr>
        <w:t xml:space="preserve"> Specifically, </w:t>
      </w:r>
      <w:r w:rsidR="000A2B01" w:rsidRPr="009B38AA">
        <w:rPr>
          <w:szCs w:val="26"/>
        </w:rPr>
        <w:t>EAP suggests</w:t>
      </w:r>
      <w:r w:rsidR="00C80BDF" w:rsidRPr="009B38AA">
        <w:rPr>
          <w:szCs w:val="26"/>
        </w:rPr>
        <w:t xml:space="preserve"> language </w:t>
      </w:r>
      <w:r w:rsidR="00C55B89" w:rsidRPr="009B38AA">
        <w:rPr>
          <w:szCs w:val="26"/>
        </w:rPr>
        <w:t xml:space="preserve">that </w:t>
      </w:r>
      <w:r w:rsidR="00C80BDF" w:rsidRPr="009B38AA">
        <w:rPr>
          <w:szCs w:val="26"/>
        </w:rPr>
        <w:t>would closely mirror the PJM definition and exclude weekends, holidays, and all hours outside of the on-peak period defined in Section 1</w:t>
      </w:r>
      <w:r w:rsidRPr="009B38AA">
        <w:rPr>
          <w:szCs w:val="26"/>
        </w:rPr>
        <w:t>: Introduction</w:t>
      </w:r>
      <w:r w:rsidR="00C80BDF" w:rsidRPr="009B38AA">
        <w:rPr>
          <w:szCs w:val="26"/>
        </w:rPr>
        <w:t xml:space="preserve"> of the TRM</w:t>
      </w:r>
      <w:r w:rsidRPr="009B38AA">
        <w:rPr>
          <w:szCs w:val="26"/>
        </w:rPr>
        <w:t xml:space="preserve">. </w:t>
      </w:r>
      <w:r w:rsidR="00C55B89" w:rsidRPr="009B38AA">
        <w:rPr>
          <w:szCs w:val="26"/>
        </w:rPr>
        <w:t xml:space="preserve"> </w:t>
      </w:r>
      <w:proofErr w:type="gramStart"/>
      <w:r w:rsidR="00C80BDF" w:rsidRPr="009B38AA">
        <w:rPr>
          <w:szCs w:val="26"/>
        </w:rPr>
        <w:t>EAP Comments at 2</w:t>
      </w:r>
      <w:r w:rsidR="00C55B89" w:rsidRPr="009B38AA">
        <w:rPr>
          <w:szCs w:val="26"/>
        </w:rPr>
        <w:t xml:space="preserve"> and </w:t>
      </w:r>
      <w:r w:rsidR="00C80BDF" w:rsidRPr="009B38AA">
        <w:rPr>
          <w:szCs w:val="26"/>
        </w:rPr>
        <w:t>3</w:t>
      </w:r>
      <w:r w:rsidR="00C55B89" w:rsidRPr="009B38AA">
        <w:rPr>
          <w:szCs w:val="26"/>
        </w:rPr>
        <w:t>.</w:t>
      </w:r>
      <w:proofErr w:type="gramEnd"/>
      <w:r w:rsidR="006760B1" w:rsidRPr="009B38AA">
        <w:rPr>
          <w:szCs w:val="26"/>
        </w:rPr>
        <w:t xml:space="preserve"> </w:t>
      </w:r>
      <w:r w:rsidRPr="009B38AA">
        <w:rPr>
          <w:szCs w:val="26"/>
        </w:rPr>
        <w:t xml:space="preserve"> </w:t>
      </w:r>
      <w:r w:rsidR="006760B1" w:rsidRPr="009B38AA">
        <w:rPr>
          <w:szCs w:val="26"/>
        </w:rPr>
        <w:t>FirstEnergy and PPL support EAP’s recommendation</w:t>
      </w:r>
      <w:r w:rsidRPr="009B38AA">
        <w:rPr>
          <w:szCs w:val="26"/>
        </w:rPr>
        <w:t>.</w:t>
      </w:r>
      <w:r w:rsidR="006760B1" w:rsidRPr="009B38AA">
        <w:rPr>
          <w:szCs w:val="26"/>
        </w:rPr>
        <w:t xml:space="preserve"> </w:t>
      </w:r>
      <w:r w:rsidR="00C55B89" w:rsidRPr="009B38AA">
        <w:rPr>
          <w:szCs w:val="26"/>
        </w:rPr>
        <w:t xml:space="preserve"> </w:t>
      </w:r>
      <w:proofErr w:type="gramStart"/>
      <w:r w:rsidR="006760B1" w:rsidRPr="009B38AA">
        <w:rPr>
          <w:szCs w:val="26"/>
        </w:rPr>
        <w:t>F</w:t>
      </w:r>
      <w:r w:rsidR="00C55B89" w:rsidRPr="009B38AA">
        <w:rPr>
          <w:szCs w:val="26"/>
        </w:rPr>
        <w:t>irst</w:t>
      </w:r>
      <w:r w:rsidR="006760B1" w:rsidRPr="009B38AA">
        <w:rPr>
          <w:szCs w:val="26"/>
        </w:rPr>
        <w:t>E</w:t>
      </w:r>
      <w:r w:rsidR="00C55B89" w:rsidRPr="009B38AA">
        <w:rPr>
          <w:szCs w:val="26"/>
        </w:rPr>
        <w:t>nergy</w:t>
      </w:r>
      <w:r w:rsidR="006760B1" w:rsidRPr="009B38AA">
        <w:rPr>
          <w:szCs w:val="26"/>
        </w:rPr>
        <w:t xml:space="preserve"> Com</w:t>
      </w:r>
      <w:r w:rsidRPr="009B38AA">
        <w:rPr>
          <w:szCs w:val="26"/>
        </w:rPr>
        <w:t>ments at 4</w:t>
      </w:r>
      <w:r w:rsidR="00C55B89" w:rsidRPr="009B38AA">
        <w:rPr>
          <w:szCs w:val="26"/>
        </w:rPr>
        <w:t xml:space="preserve"> and</w:t>
      </w:r>
      <w:r w:rsidRPr="009B38AA">
        <w:rPr>
          <w:szCs w:val="26"/>
        </w:rPr>
        <w:t xml:space="preserve"> PPL Comments at 27</w:t>
      </w:r>
      <w:r w:rsidR="00C55B89" w:rsidRPr="009B38AA">
        <w:rPr>
          <w:szCs w:val="26"/>
        </w:rPr>
        <w:t>.</w:t>
      </w:r>
      <w:proofErr w:type="gramEnd"/>
    </w:p>
    <w:p w:rsidR="000D3B2C" w:rsidRPr="009B38AA" w:rsidRDefault="000D3B2C" w:rsidP="000D3B2C">
      <w:pPr>
        <w:ind w:firstLine="720"/>
        <w:rPr>
          <w:szCs w:val="26"/>
        </w:rPr>
      </w:pPr>
    </w:p>
    <w:p w:rsidR="000D3B2C" w:rsidRPr="009B38AA" w:rsidRDefault="000D3B2C" w:rsidP="00E32B93">
      <w:pPr>
        <w:pStyle w:val="Heading3"/>
        <w:rPr>
          <w:rFonts w:cs="Times New Roman"/>
        </w:rPr>
      </w:pPr>
      <w:r w:rsidRPr="009B38AA">
        <w:rPr>
          <w:rFonts w:cs="Times New Roman"/>
        </w:rPr>
        <w:t>Disposition</w:t>
      </w:r>
    </w:p>
    <w:p w:rsidR="000D3B2C" w:rsidRPr="009B38AA" w:rsidRDefault="000D3B2C" w:rsidP="000D3B2C">
      <w:pPr>
        <w:rPr>
          <w:szCs w:val="26"/>
        </w:rPr>
      </w:pPr>
    </w:p>
    <w:p w:rsidR="000D3B2C" w:rsidRPr="009B38AA" w:rsidRDefault="000D3B2C" w:rsidP="000D3B2C">
      <w:pPr>
        <w:ind w:firstLine="720"/>
        <w:rPr>
          <w:szCs w:val="26"/>
        </w:rPr>
      </w:pPr>
      <w:r w:rsidRPr="009B38AA">
        <w:rPr>
          <w:szCs w:val="26"/>
        </w:rPr>
        <w:t>The Commission rejects EAP’s suggestion to revise the definition of the top 100 hours.</w:t>
      </w:r>
      <w:r w:rsidR="004866DE" w:rsidRPr="009B38AA">
        <w:rPr>
          <w:szCs w:val="26"/>
        </w:rPr>
        <w:t xml:space="preserve"> </w:t>
      </w:r>
      <w:r w:rsidRPr="009B38AA">
        <w:rPr>
          <w:szCs w:val="26"/>
        </w:rPr>
        <w:t xml:space="preserve"> Demand reduction goals set by the Commission were based on the top 100 summer peak hours, not excluding holidays, weekends and hours outside of the on-peak window and therefore</w:t>
      </w:r>
      <w:r w:rsidR="00E211AC" w:rsidRPr="009B38AA">
        <w:rPr>
          <w:szCs w:val="26"/>
        </w:rPr>
        <w:t>,</w:t>
      </w:r>
      <w:r w:rsidRPr="009B38AA">
        <w:rPr>
          <w:szCs w:val="26"/>
        </w:rPr>
        <w:t xml:space="preserve"> should not be excluded from the top 100 hours.</w:t>
      </w:r>
    </w:p>
    <w:p w:rsidR="000A2B01" w:rsidRPr="009B38AA" w:rsidRDefault="000A2B01" w:rsidP="00AC104D">
      <w:pPr>
        <w:rPr>
          <w:szCs w:val="26"/>
        </w:rPr>
      </w:pPr>
    </w:p>
    <w:p w:rsidR="000D3B2C" w:rsidRPr="009B38AA" w:rsidRDefault="000D3B2C" w:rsidP="00E32B93">
      <w:pPr>
        <w:pStyle w:val="Heading2"/>
      </w:pPr>
      <w:r w:rsidRPr="009B38AA">
        <w:t>PJM Business Rules</w:t>
      </w:r>
      <w:r w:rsidR="008C7A5E" w:rsidRPr="009B38AA">
        <w:tab/>
      </w:r>
    </w:p>
    <w:p w:rsidR="00E32B93" w:rsidRPr="009B38AA" w:rsidRDefault="00E32B93" w:rsidP="00E32B93">
      <w:pPr>
        <w:pStyle w:val="p3"/>
        <w:tabs>
          <w:tab w:val="clear" w:pos="204"/>
          <w:tab w:val="left" w:pos="-2610"/>
        </w:tabs>
        <w:ind w:firstLine="720"/>
        <w:rPr>
          <w:szCs w:val="26"/>
        </w:rPr>
      </w:pPr>
    </w:p>
    <w:p w:rsidR="000D3B2C" w:rsidRDefault="00C55B89" w:rsidP="00E32B93">
      <w:pPr>
        <w:ind w:firstLine="720"/>
        <w:rPr>
          <w:szCs w:val="26"/>
        </w:rPr>
      </w:pPr>
      <w:r w:rsidRPr="009B38AA">
        <w:rPr>
          <w:szCs w:val="26"/>
        </w:rPr>
        <w:t xml:space="preserve">In the </w:t>
      </w:r>
      <w:r w:rsidR="00B31134" w:rsidRPr="009B38AA">
        <w:rPr>
          <w:i/>
          <w:szCs w:val="26"/>
        </w:rPr>
        <w:t>Tentative Order</w:t>
      </w:r>
      <w:r w:rsidRPr="009B38AA">
        <w:rPr>
          <w:szCs w:val="26"/>
        </w:rPr>
        <w:t>, we</w:t>
      </w:r>
      <w:r w:rsidR="00E32B93" w:rsidRPr="009B38AA">
        <w:rPr>
          <w:szCs w:val="26"/>
        </w:rPr>
        <w:t xml:space="preserve"> proposed guidance </w:t>
      </w:r>
      <w:r w:rsidRPr="009B38AA">
        <w:rPr>
          <w:szCs w:val="26"/>
        </w:rPr>
        <w:t xml:space="preserve">providing </w:t>
      </w:r>
      <w:r w:rsidR="00E32B93" w:rsidRPr="009B38AA">
        <w:rPr>
          <w:szCs w:val="26"/>
        </w:rPr>
        <w:t xml:space="preserve">the EDCs with the calculation procedure necessary to determine the average peak load reduction.   </w:t>
      </w:r>
    </w:p>
    <w:p w:rsidR="00BD2852" w:rsidRDefault="00BD2852" w:rsidP="00E32B93">
      <w:pPr>
        <w:ind w:firstLine="720"/>
        <w:rPr>
          <w:szCs w:val="26"/>
        </w:rPr>
      </w:pPr>
    </w:p>
    <w:p w:rsidR="006D3247" w:rsidRDefault="006D3247" w:rsidP="00E32B93">
      <w:pPr>
        <w:ind w:firstLine="720"/>
        <w:rPr>
          <w:szCs w:val="26"/>
        </w:rPr>
      </w:pPr>
    </w:p>
    <w:p w:rsidR="006D3247" w:rsidRPr="009B38AA" w:rsidRDefault="006D3247" w:rsidP="00E32B93">
      <w:pPr>
        <w:ind w:firstLine="720"/>
        <w:rPr>
          <w:szCs w:val="26"/>
        </w:rPr>
      </w:pPr>
    </w:p>
    <w:p w:rsidR="000D3B2C" w:rsidRPr="009B38AA" w:rsidRDefault="000D3B2C" w:rsidP="00E32B93">
      <w:pPr>
        <w:pStyle w:val="Heading3"/>
        <w:rPr>
          <w:rFonts w:cs="Times New Roman"/>
        </w:rPr>
      </w:pPr>
      <w:r w:rsidRPr="009B38AA">
        <w:rPr>
          <w:rFonts w:cs="Times New Roman"/>
        </w:rPr>
        <w:lastRenderedPageBreak/>
        <w:t>Comments</w:t>
      </w:r>
    </w:p>
    <w:p w:rsidR="000D3B2C" w:rsidRPr="009B38AA" w:rsidRDefault="000D3B2C" w:rsidP="00AC104D">
      <w:pPr>
        <w:rPr>
          <w:szCs w:val="26"/>
        </w:rPr>
      </w:pPr>
    </w:p>
    <w:p w:rsidR="008C7A5E" w:rsidRPr="009B38AA" w:rsidRDefault="008C7A5E" w:rsidP="00E7531D">
      <w:pPr>
        <w:ind w:firstLine="720"/>
        <w:rPr>
          <w:szCs w:val="26"/>
        </w:rPr>
      </w:pPr>
      <w:r w:rsidRPr="009B38AA">
        <w:rPr>
          <w:szCs w:val="26"/>
        </w:rPr>
        <w:t xml:space="preserve">FirstEnergy </w:t>
      </w:r>
      <w:r w:rsidR="00C55B89" w:rsidRPr="009B38AA">
        <w:rPr>
          <w:szCs w:val="26"/>
        </w:rPr>
        <w:t xml:space="preserve">suggests </w:t>
      </w:r>
      <w:r w:rsidRPr="009B38AA">
        <w:rPr>
          <w:szCs w:val="26"/>
        </w:rPr>
        <w:t xml:space="preserve">the addition of a footnote to clarify that the reference to “PJM Business Rules” is intended to address use and review of protocols for calculation of customer baselines and hourly load impacts during Act 129 events. </w:t>
      </w:r>
      <w:r w:rsidR="00C55B89" w:rsidRPr="009B38AA">
        <w:rPr>
          <w:szCs w:val="26"/>
        </w:rPr>
        <w:t xml:space="preserve"> </w:t>
      </w:r>
      <w:proofErr w:type="gramStart"/>
      <w:r w:rsidRPr="009B38AA">
        <w:rPr>
          <w:szCs w:val="26"/>
        </w:rPr>
        <w:t>F</w:t>
      </w:r>
      <w:r w:rsidR="00E7531D" w:rsidRPr="009B38AA">
        <w:rPr>
          <w:szCs w:val="26"/>
        </w:rPr>
        <w:t>irst</w:t>
      </w:r>
      <w:r w:rsidRPr="009B38AA">
        <w:rPr>
          <w:szCs w:val="26"/>
        </w:rPr>
        <w:t>E</w:t>
      </w:r>
      <w:r w:rsidR="00E7531D" w:rsidRPr="009B38AA">
        <w:rPr>
          <w:szCs w:val="26"/>
        </w:rPr>
        <w:t>nergy</w:t>
      </w:r>
      <w:r w:rsidRPr="009B38AA">
        <w:rPr>
          <w:szCs w:val="26"/>
        </w:rPr>
        <w:t xml:space="preserve"> Comments at 4</w:t>
      </w:r>
      <w:r w:rsidR="00C55B89" w:rsidRPr="009B38AA">
        <w:rPr>
          <w:szCs w:val="26"/>
        </w:rPr>
        <w:t xml:space="preserve"> and </w:t>
      </w:r>
      <w:r w:rsidRPr="009B38AA">
        <w:rPr>
          <w:szCs w:val="26"/>
        </w:rPr>
        <w:t>5</w:t>
      </w:r>
      <w:r w:rsidR="00C55B89" w:rsidRPr="009B38AA">
        <w:rPr>
          <w:szCs w:val="26"/>
        </w:rPr>
        <w:t>.</w:t>
      </w:r>
      <w:proofErr w:type="gramEnd"/>
    </w:p>
    <w:p w:rsidR="008C7A5E" w:rsidRPr="009B38AA" w:rsidRDefault="008C7A5E" w:rsidP="00AC104D">
      <w:pPr>
        <w:rPr>
          <w:szCs w:val="26"/>
        </w:rPr>
      </w:pPr>
    </w:p>
    <w:p w:rsidR="00211C0B" w:rsidRPr="009B38AA" w:rsidRDefault="000D3B2C" w:rsidP="00E32B93">
      <w:pPr>
        <w:pStyle w:val="Heading3"/>
        <w:rPr>
          <w:rFonts w:cs="Times New Roman"/>
        </w:rPr>
      </w:pPr>
      <w:r w:rsidRPr="009B38AA">
        <w:rPr>
          <w:rFonts w:cs="Times New Roman"/>
        </w:rPr>
        <w:t>Disposition</w:t>
      </w:r>
      <w:r w:rsidR="00AB052F" w:rsidRPr="009B38AA">
        <w:rPr>
          <w:rFonts w:cs="Times New Roman"/>
        </w:rPr>
        <w:t xml:space="preserve"> </w:t>
      </w:r>
    </w:p>
    <w:p w:rsidR="008C7A5E" w:rsidRPr="009B38AA" w:rsidRDefault="008C7A5E" w:rsidP="00AB052F">
      <w:pPr>
        <w:ind w:firstLine="720"/>
        <w:rPr>
          <w:szCs w:val="26"/>
        </w:rPr>
      </w:pPr>
    </w:p>
    <w:p w:rsidR="008C7A5E" w:rsidRPr="009B38AA" w:rsidRDefault="008C7A5E" w:rsidP="00AB052F">
      <w:pPr>
        <w:ind w:firstLine="720"/>
        <w:rPr>
          <w:szCs w:val="26"/>
        </w:rPr>
      </w:pPr>
      <w:r w:rsidRPr="009B38AA">
        <w:rPr>
          <w:szCs w:val="26"/>
        </w:rPr>
        <w:t>The Commission agrees with FirstEnergy and accepts the footnote addition to clarify the purpose of referencing PJM Business Rules.</w:t>
      </w:r>
      <w:r w:rsidR="00E7531D" w:rsidRPr="009B38AA">
        <w:rPr>
          <w:szCs w:val="26"/>
        </w:rPr>
        <w:t xml:space="preserve">    </w:t>
      </w:r>
    </w:p>
    <w:p w:rsidR="00211C0B" w:rsidRPr="009B38AA" w:rsidRDefault="00211C0B" w:rsidP="00813935">
      <w:pPr>
        <w:pStyle w:val="p3"/>
        <w:tabs>
          <w:tab w:val="clear" w:pos="204"/>
          <w:tab w:val="left" w:pos="720"/>
        </w:tabs>
        <w:ind w:left="2160"/>
        <w:rPr>
          <w:b/>
          <w:szCs w:val="26"/>
        </w:rPr>
      </w:pPr>
    </w:p>
    <w:p w:rsidR="000A2B01" w:rsidRPr="009B38AA" w:rsidRDefault="000A2B01" w:rsidP="00813935">
      <w:pPr>
        <w:pStyle w:val="p3"/>
        <w:tabs>
          <w:tab w:val="clear" w:pos="204"/>
          <w:tab w:val="left" w:pos="720"/>
        </w:tabs>
        <w:ind w:left="2160"/>
        <w:rPr>
          <w:b/>
          <w:szCs w:val="26"/>
        </w:rPr>
      </w:pPr>
    </w:p>
    <w:p w:rsidR="001B181B" w:rsidRPr="009B38AA" w:rsidRDefault="00686921" w:rsidP="00EB1FAC">
      <w:pPr>
        <w:pStyle w:val="Heading1"/>
      </w:pPr>
      <w:r w:rsidRPr="009B38AA">
        <w:t xml:space="preserve">Verified Gross </w:t>
      </w:r>
      <w:r w:rsidR="001B181B" w:rsidRPr="009B38AA">
        <w:t>Adjustments</w:t>
      </w:r>
    </w:p>
    <w:p w:rsidR="007B7CBC" w:rsidRPr="009B38AA" w:rsidRDefault="007B7CBC" w:rsidP="007B7CBC">
      <w:pPr>
        <w:rPr>
          <w:szCs w:val="26"/>
        </w:rPr>
      </w:pPr>
    </w:p>
    <w:p w:rsidR="007B7CBC" w:rsidRPr="009B38AA" w:rsidRDefault="007B7CBC" w:rsidP="007B7CBC">
      <w:pPr>
        <w:ind w:firstLine="720"/>
        <w:rPr>
          <w:szCs w:val="26"/>
        </w:rPr>
      </w:pPr>
      <w:r w:rsidRPr="009B38AA">
        <w:rPr>
          <w:szCs w:val="26"/>
        </w:rPr>
        <w:t>The Commission acknowledges that</w:t>
      </w:r>
      <w:r w:rsidR="00E7531D" w:rsidRPr="009B38AA">
        <w:rPr>
          <w:szCs w:val="26"/>
        </w:rPr>
        <w:t>,</w:t>
      </w:r>
      <w:r w:rsidRPr="009B38AA">
        <w:rPr>
          <w:szCs w:val="26"/>
        </w:rPr>
        <w:t xml:space="preserve"> in some cases, the number of </w:t>
      </w:r>
      <w:r w:rsidR="006F4636">
        <w:rPr>
          <w:szCs w:val="26"/>
        </w:rPr>
        <w:t>EE&amp;C measures</w:t>
      </w:r>
      <w:r w:rsidRPr="009B38AA">
        <w:rPr>
          <w:szCs w:val="26"/>
        </w:rPr>
        <w:t xml:space="preserve"> found on-site during an evaluation may differ from the number stated on the incentive application. </w:t>
      </w:r>
      <w:r w:rsidR="00E7531D" w:rsidRPr="009B38AA">
        <w:rPr>
          <w:szCs w:val="26"/>
        </w:rPr>
        <w:t xml:space="preserve"> </w:t>
      </w:r>
      <w:r w:rsidR="00C55B89" w:rsidRPr="009B38AA">
        <w:rPr>
          <w:szCs w:val="26"/>
        </w:rPr>
        <w:t xml:space="preserve">In the </w:t>
      </w:r>
      <w:r w:rsidR="00B31134" w:rsidRPr="009B38AA">
        <w:rPr>
          <w:i/>
          <w:szCs w:val="26"/>
        </w:rPr>
        <w:t>Tentative Order</w:t>
      </w:r>
      <w:r w:rsidRPr="009B38AA">
        <w:rPr>
          <w:szCs w:val="26"/>
        </w:rPr>
        <w:t>,</w:t>
      </w:r>
      <w:r w:rsidR="00C55B89" w:rsidRPr="009B38AA">
        <w:rPr>
          <w:szCs w:val="26"/>
        </w:rPr>
        <w:t xml:space="preserve"> we</w:t>
      </w:r>
      <w:r w:rsidRPr="009B38AA">
        <w:rPr>
          <w:szCs w:val="26"/>
        </w:rPr>
        <w:t xml:space="preserve"> proposed </w:t>
      </w:r>
      <w:r w:rsidR="00C55B89" w:rsidRPr="009B38AA">
        <w:rPr>
          <w:szCs w:val="26"/>
        </w:rPr>
        <w:t xml:space="preserve">to adjust savings downward </w:t>
      </w:r>
      <w:r w:rsidRPr="009B38AA">
        <w:rPr>
          <w:szCs w:val="26"/>
        </w:rPr>
        <w:t>when the number of widgets found on-site is less than what is stated on the application</w:t>
      </w:r>
      <w:r w:rsidR="00C55B89" w:rsidRPr="009B38AA">
        <w:rPr>
          <w:szCs w:val="26"/>
        </w:rPr>
        <w:t>.</w:t>
      </w:r>
      <w:r w:rsidRPr="009B38AA">
        <w:rPr>
          <w:szCs w:val="26"/>
        </w:rPr>
        <w:t xml:space="preserve"> </w:t>
      </w:r>
      <w:r w:rsidR="00E7531D" w:rsidRPr="009B38AA">
        <w:rPr>
          <w:szCs w:val="26"/>
        </w:rPr>
        <w:t xml:space="preserve"> </w:t>
      </w:r>
      <w:r w:rsidR="00C55B89" w:rsidRPr="009B38AA">
        <w:rPr>
          <w:szCs w:val="26"/>
        </w:rPr>
        <w:t xml:space="preserve">If, however, </w:t>
      </w:r>
      <w:r w:rsidRPr="009B38AA">
        <w:rPr>
          <w:szCs w:val="26"/>
        </w:rPr>
        <w:t xml:space="preserve">the number of widgets found on-site is greater than </w:t>
      </w:r>
      <w:r w:rsidR="00172555" w:rsidRPr="009B38AA">
        <w:rPr>
          <w:szCs w:val="26"/>
        </w:rPr>
        <w:t xml:space="preserve">what is </w:t>
      </w:r>
      <w:r w:rsidRPr="009B38AA">
        <w:rPr>
          <w:szCs w:val="26"/>
        </w:rPr>
        <w:t xml:space="preserve">stated on the application, the savings will </w:t>
      </w:r>
      <w:r w:rsidR="00C55B89" w:rsidRPr="009B38AA">
        <w:rPr>
          <w:szCs w:val="26"/>
        </w:rPr>
        <w:t xml:space="preserve">be based on what is stated on the application and </w:t>
      </w:r>
      <w:r w:rsidRPr="009B38AA">
        <w:rPr>
          <w:szCs w:val="26"/>
        </w:rPr>
        <w:t xml:space="preserve">not be adjusted upward. </w:t>
      </w:r>
    </w:p>
    <w:p w:rsidR="009D2884" w:rsidRPr="009B38AA" w:rsidRDefault="009D2884" w:rsidP="007B7CBC">
      <w:pPr>
        <w:ind w:firstLine="720"/>
        <w:rPr>
          <w:szCs w:val="26"/>
        </w:rPr>
      </w:pPr>
    </w:p>
    <w:p w:rsidR="001B181B" w:rsidRPr="009B38AA" w:rsidRDefault="001B181B" w:rsidP="00EB1FAC">
      <w:pPr>
        <w:pStyle w:val="Heading3"/>
        <w:rPr>
          <w:rFonts w:cs="Times New Roman"/>
        </w:rPr>
      </w:pPr>
      <w:r w:rsidRPr="009B38AA">
        <w:rPr>
          <w:rFonts w:cs="Times New Roman"/>
        </w:rPr>
        <w:t>Comments</w:t>
      </w:r>
    </w:p>
    <w:p w:rsidR="00686921" w:rsidRPr="009B38AA" w:rsidRDefault="00686921" w:rsidP="00686921">
      <w:pPr>
        <w:rPr>
          <w:szCs w:val="26"/>
        </w:rPr>
      </w:pPr>
    </w:p>
    <w:p w:rsidR="00691244" w:rsidRPr="009B38AA" w:rsidRDefault="00691244" w:rsidP="00691244">
      <w:pPr>
        <w:rPr>
          <w:szCs w:val="26"/>
        </w:rPr>
      </w:pPr>
      <w:r w:rsidRPr="009B38AA">
        <w:rPr>
          <w:szCs w:val="26"/>
        </w:rPr>
        <w:tab/>
        <w:t xml:space="preserve">PECO </w:t>
      </w:r>
      <w:r w:rsidR="00C55B89" w:rsidRPr="009B38AA">
        <w:rPr>
          <w:szCs w:val="26"/>
        </w:rPr>
        <w:t xml:space="preserve">states </w:t>
      </w:r>
      <w:r w:rsidRPr="009B38AA">
        <w:rPr>
          <w:szCs w:val="26"/>
        </w:rPr>
        <w:t xml:space="preserve">that </w:t>
      </w:r>
      <w:r w:rsidR="004436DD" w:rsidRPr="009B38AA">
        <w:rPr>
          <w:szCs w:val="26"/>
        </w:rPr>
        <w:t xml:space="preserve">in the context of projects with a high volume of measures, </w:t>
      </w:r>
      <w:r w:rsidRPr="009B38AA">
        <w:rPr>
          <w:szCs w:val="26"/>
        </w:rPr>
        <w:t>savings should be adjusted to reflect the actual, onsite measure count – whether that count is above or below the number on the incentive application</w:t>
      </w:r>
      <w:r w:rsidR="00C55B89" w:rsidRPr="009B38AA">
        <w:rPr>
          <w:szCs w:val="26"/>
        </w:rPr>
        <w:t>,</w:t>
      </w:r>
      <w:r w:rsidRPr="009B38AA">
        <w:rPr>
          <w:szCs w:val="26"/>
        </w:rPr>
        <w:t xml:space="preserve"> </w:t>
      </w:r>
      <w:r w:rsidR="00C55B89" w:rsidRPr="009B38AA">
        <w:rPr>
          <w:szCs w:val="26"/>
        </w:rPr>
        <w:t>as</w:t>
      </w:r>
      <w:r w:rsidR="004436DD" w:rsidRPr="009B38AA">
        <w:rPr>
          <w:szCs w:val="26"/>
        </w:rPr>
        <w:t xml:space="preserve"> installation decisions </w:t>
      </w:r>
      <w:r w:rsidR="004436DD" w:rsidRPr="009B38AA">
        <w:rPr>
          <w:szCs w:val="26"/>
        </w:rPr>
        <w:lastRenderedPageBreak/>
        <w:t>are typically made at a project level, not a fixture or widget level</w:t>
      </w:r>
      <w:r w:rsidR="00E7531D" w:rsidRPr="009B38AA">
        <w:rPr>
          <w:szCs w:val="26"/>
        </w:rPr>
        <w:t>.</w:t>
      </w:r>
      <w:r w:rsidR="004436DD" w:rsidRPr="009B38AA">
        <w:rPr>
          <w:szCs w:val="26"/>
        </w:rPr>
        <w:t xml:space="preserve"> </w:t>
      </w:r>
      <w:r w:rsidR="00C55B89" w:rsidRPr="009B38AA">
        <w:rPr>
          <w:szCs w:val="26"/>
        </w:rPr>
        <w:t xml:space="preserve"> </w:t>
      </w:r>
      <w:proofErr w:type="gramStart"/>
      <w:r w:rsidR="00E7531D" w:rsidRPr="009B38AA">
        <w:rPr>
          <w:szCs w:val="26"/>
        </w:rPr>
        <w:t>PECO Comments at 2</w:t>
      </w:r>
      <w:r w:rsidR="00C55B89" w:rsidRPr="009B38AA">
        <w:rPr>
          <w:szCs w:val="26"/>
        </w:rPr>
        <w:t>.</w:t>
      </w:r>
      <w:proofErr w:type="gramEnd"/>
      <w:r w:rsidRPr="009B38AA">
        <w:rPr>
          <w:szCs w:val="26"/>
        </w:rPr>
        <w:t xml:space="preserve"> </w:t>
      </w:r>
      <w:r w:rsidR="00E7531D" w:rsidRPr="009B38AA">
        <w:rPr>
          <w:szCs w:val="26"/>
        </w:rPr>
        <w:t xml:space="preserve"> </w:t>
      </w:r>
      <w:r w:rsidRPr="009B38AA">
        <w:rPr>
          <w:szCs w:val="26"/>
        </w:rPr>
        <w:t xml:space="preserve">PPL </w:t>
      </w:r>
      <w:r w:rsidR="00C55B89" w:rsidRPr="009B38AA">
        <w:rPr>
          <w:szCs w:val="26"/>
        </w:rPr>
        <w:t>agrees with PECO</w:t>
      </w:r>
      <w:r w:rsidRPr="009B38AA">
        <w:rPr>
          <w:szCs w:val="26"/>
        </w:rPr>
        <w:t>, stating</w:t>
      </w:r>
      <w:r w:rsidR="00C55B89" w:rsidRPr="009B38AA">
        <w:rPr>
          <w:szCs w:val="26"/>
        </w:rPr>
        <w:t xml:space="preserve"> that </w:t>
      </w:r>
      <w:r w:rsidR="00E65D6C" w:rsidRPr="009B38AA">
        <w:rPr>
          <w:szCs w:val="26"/>
        </w:rPr>
        <w:t>the savings should be adjusted to reflect the actual, on</w:t>
      </w:r>
      <w:r w:rsidR="00E211AC" w:rsidRPr="009B38AA">
        <w:rPr>
          <w:szCs w:val="26"/>
        </w:rPr>
        <w:t>-</w:t>
      </w:r>
      <w:r w:rsidR="00E65D6C" w:rsidRPr="009B38AA">
        <w:rPr>
          <w:szCs w:val="26"/>
        </w:rPr>
        <w:t xml:space="preserve">site measure count, regardless of whether that count is </w:t>
      </w:r>
      <w:r w:rsidR="00E65D6C" w:rsidRPr="009B38AA">
        <w:rPr>
          <w:i/>
          <w:szCs w:val="26"/>
        </w:rPr>
        <w:t>above</w:t>
      </w:r>
      <w:r w:rsidR="00E65D6C" w:rsidRPr="009B38AA">
        <w:rPr>
          <w:szCs w:val="26"/>
        </w:rPr>
        <w:t xml:space="preserve"> or </w:t>
      </w:r>
      <w:r w:rsidR="00E65D6C" w:rsidRPr="009B38AA">
        <w:rPr>
          <w:i/>
          <w:szCs w:val="26"/>
        </w:rPr>
        <w:t>below</w:t>
      </w:r>
      <w:r w:rsidR="00E65D6C" w:rsidRPr="009B38AA">
        <w:rPr>
          <w:szCs w:val="26"/>
        </w:rPr>
        <w:t xml:space="preserve"> the number on the incentive application</w:t>
      </w:r>
      <w:r w:rsidR="00E7531D" w:rsidRPr="009B38AA">
        <w:rPr>
          <w:szCs w:val="26"/>
        </w:rPr>
        <w:t>.</w:t>
      </w:r>
      <w:r w:rsidR="004436DD" w:rsidRPr="009B38AA">
        <w:rPr>
          <w:szCs w:val="26"/>
        </w:rPr>
        <w:t xml:space="preserve"> </w:t>
      </w:r>
      <w:r w:rsidR="002F0D4D" w:rsidRPr="009B38AA">
        <w:rPr>
          <w:szCs w:val="26"/>
        </w:rPr>
        <w:t xml:space="preserve"> </w:t>
      </w:r>
      <w:proofErr w:type="gramStart"/>
      <w:r w:rsidR="004436DD" w:rsidRPr="009B38AA">
        <w:rPr>
          <w:szCs w:val="26"/>
        </w:rPr>
        <w:t>PPL Reply Comments at 2</w:t>
      </w:r>
      <w:r w:rsidR="002F0D4D" w:rsidRPr="009B38AA">
        <w:rPr>
          <w:szCs w:val="26"/>
        </w:rPr>
        <w:t xml:space="preserve"> and </w:t>
      </w:r>
      <w:r w:rsidR="004436DD" w:rsidRPr="009B38AA">
        <w:rPr>
          <w:szCs w:val="26"/>
        </w:rPr>
        <w:t>3</w:t>
      </w:r>
      <w:r w:rsidR="002F0D4D" w:rsidRPr="009B38AA">
        <w:rPr>
          <w:szCs w:val="26"/>
        </w:rPr>
        <w:t>.</w:t>
      </w:r>
      <w:proofErr w:type="gramEnd"/>
      <w:r w:rsidR="00DC65F4" w:rsidRPr="009B38AA">
        <w:rPr>
          <w:szCs w:val="26"/>
        </w:rPr>
        <w:t xml:space="preserve"> </w:t>
      </w:r>
      <w:r w:rsidR="00E7531D" w:rsidRPr="009B38AA">
        <w:rPr>
          <w:szCs w:val="26"/>
        </w:rPr>
        <w:t xml:space="preserve"> </w:t>
      </w:r>
      <w:r w:rsidR="00DC65F4" w:rsidRPr="009B38AA">
        <w:rPr>
          <w:szCs w:val="26"/>
        </w:rPr>
        <w:t xml:space="preserve">PECO </w:t>
      </w:r>
      <w:r w:rsidR="002F0D4D" w:rsidRPr="009B38AA">
        <w:rPr>
          <w:szCs w:val="26"/>
        </w:rPr>
        <w:t xml:space="preserve">agrees </w:t>
      </w:r>
      <w:r w:rsidR="00DC65F4" w:rsidRPr="009B38AA">
        <w:rPr>
          <w:szCs w:val="26"/>
        </w:rPr>
        <w:t>with the Commission</w:t>
      </w:r>
      <w:r w:rsidR="002F0D4D" w:rsidRPr="009B38AA">
        <w:rPr>
          <w:szCs w:val="26"/>
        </w:rPr>
        <w:t>, however,</w:t>
      </w:r>
      <w:r w:rsidR="00DC65F4" w:rsidRPr="009B38AA">
        <w:rPr>
          <w:szCs w:val="26"/>
        </w:rPr>
        <w:t xml:space="preserve"> that measure numbers that are within 5% of the application number do not require savings adjustments</w:t>
      </w:r>
      <w:r w:rsidR="00E7531D" w:rsidRPr="009B38AA">
        <w:rPr>
          <w:szCs w:val="26"/>
        </w:rPr>
        <w:t xml:space="preserve">. </w:t>
      </w:r>
      <w:r w:rsidR="002F0D4D" w:rsidRPr="009B38AA">
        <w:rPr>
          <w:szCs w:val="26"/>
        </w:rPr>
        <w:t xml:space="preserve"> </w:t>
      </w:r>
      <w:proofErr w:type="gramStart"/>
      <w:r w:rsidR="00E7531D" w:rsidRPr="009B38AA">
        <w:rPr>
          <w:szCs w:val="26"/>
        </w:rPr>
        <w:t>PECO Comments at 2</w:t>
      </w:r>
      <w:r w:rsidR="002F0D4D" w:rsidRPr="009B38AA">
        <w:rPr>
          <w:szCs w:val="26"/>
        </w:rPr>
        <w:t>.</w:t>
      </w:r>
      <w:proofErr w:type="gramEnd"/>
    </w:p>
    <w:p w:rsidR="00691244" w:rsidRPr="009B38AA" w:rsidRDefault="00691244" w:rsidP="00691244">
      <w:pPr>
        <w:rPr>
          <w:szCs w:val="26"/>
        </w:rPr>
      </w:pPr>
    </w:p>
    <w:p w:rsidR="00DC65F4" w:rsidRPr="009B38AA" w:rsidRDefault="00DC65F4" w:rsidP="004436DD">
      <w:pPr>
        <w:ind w:firstLine="720"/>
        <w:rPr>
          <w:szCs w:val="26"/>
        </w:rPr>
      </w:pPr>
      <w:r w:rsidRPr="009B38AA">
        <w:rPr>
          <w:szCs w:val="26"/>
        </w:rPr>
        <w:t xml:space="preserve">PECO </w:t>
      </w:r>
      <w:r w:rsidR="004436DD" w:rsidRPr="009B38AA">
        <w:rPr>
          <w:szCs w:val="26"/>
        </w:rPr>
        <w:t xml:space="preserve">also </w:t>
      </w:r>
      <w:r w:rsidR="002F0D4D" w:rsidRPr="009B38AA">
        <w:rPr>
          <w:szCs w:val="26"/>
        </w:rPr>
        <w:t xml:space="preserve">states </w:t>
      </w:r>
      <w:r w:rsidR="004436DD" w:rsidRPr="009B38AA">
        <w:rPr>
          <w:szCs w:val="26"/>
        </w:rPr>
        <w:t>that the SWE should have discretion to make savings adjustments when appropriate, e.g. a systematic error identified at all instances of a measure type</w:t>
      </w:r>
      <w:r w:rsidR="00E7531D" w:rsidRPr="009B38AA">
        <w:rPr>
          <w:szCs w:val="26"/>
        </w:rPr>
        <w:t>.</w:t>
      </w:r>
      <w:r w:rsidR="004436DD" w:rsidRPr="009B38AA">
        <w:rPr>
          <w:szCs w:val="26"/>
        </w:rPr>
        <w:t xml:space="preserve"> </w:t>
      </w:r>
      <w:r w:rsidR="002F0D4D" w:rsidRPr="009B38AA">
        <w:rPr>
          <w:szCs w:val="26"/>
        </w:rPr>
        <w:t xml:space="preserve"> </w:t>
      </w:r>
      <w:proofErr w:type="gramStart"/>
      <w:r w:rsidR="004436DD" w:rsidRPr="009B38AA">
        <w:rPr>
          <w:szCs w:val="26"/>
        </w:rPr>
        <w:t>PECO Comments at 2</w:t>
      </w:r>
      <w:r w:rsidR="002F0D4D" w:rsidRPr="009B38AA">
        <w:rPr>
          <w:szCs w:val="26"/>
        </w:rPr>
        <w:t>.</w:t>
      </w:r>
      <w:proofErr w:type="gramEnd"/>
      <w:r w:rsidR="004436DD" w:rsidRPr="009B38AA">
        <w:rPr>
          <w:szCs w:val="26"/>
        </w:rPr>
        <w:t xml:space="preserve"> </w:t>
      </w:r>
      <w:r w:rsidR="00E7531D" w:rsidRPr="009B38AA">
        <w:rPr>
          <w:szCs w:val="26"/>
        </w:rPr>
        <w:t xml:space="preserve"> </w:t>
      </w:r>
      <w:r w:rsidR="004436DD" w:rsidRPr="009B38AA">
        <w:rPr>
          <w:szCs w:val="26"/>
        </w:rPr>
        <w:t xml:space="preserve">PPL </w:t>
      </w:r>
      <w:r w:rsidR="002F0D4D" w:rsidRPr="009B38AA">
        <w:rPr>
          <w:szCs w:val="26"/>
        </w:rPr>
        <w:t xml:space="preserve">agrees with PECO </w:t>
      </w:r>
      <w:r w:rsidR="004436DD" w:rsidRPr="009B38AA">
        <w:rPr>
          <w:szCs w:val="26"/>
        </w:rPr>
        <w:t>that the SWE, as a part of its standard review process, should have the ability to evaluate any adjustment</w:t>
      </w:r>
      <w:r w:rsidR="00E7531D" w:rsidRPr="009B38AA">
        <w:rPr>
          <w:szCs w:val="26"/>
        </w:rPr>
        <w:t xml:space="preserve">. </w:t>
      </w:r>
      <w:r w:rsidR="002F0D4D" w:rsidRPr="009B38AA">
        <w:rPr>
          <w:szCs w:val="26"/>
        </w:rPr>
        <w:t xml:space="preserve"> </w:t>
      </w:r>
      <w:proofErr w:type="gramStart"/>
      <w:r w:rsidR="00E7531D" w:rsidRPr="009B38AA">
        <w:rPr>
          <w:szCs w:val="26"/>
        </w:rPr>
        <w:t>PPL Reply Comments at 2</w:t>
      </w:r>
      <w:r w:rsidR="002F0D4D" w:rsidRPr="009B38AA">
        <w:rPr>
          <w:szCs w:val="26"/>
        </w:rPr>
        <w:t xml:space="preserve"> and </w:t>
      </w:r>
      <w:r w:rsidR="00E7531D" w:rsidRPr="009B38AA">
        <w:rPr>
          <w:szCs w:val="26"/>
        </w:rPr>
        <w:t>3.</w:t>
      </w:r>
      <w:proofErr w:type="gramEnd"/>
      <w:r w:rsidR="00E7531D" w:rsidRPr="009B38AA">
        <w:rPr>
          <w:szCs w:val="26"/>
        </w:rPr>
        <w:t xml:space="preserve">  PPL </w:t>
      </w:r>
      <w:r w:rsidR="004436DD" w:rsidRPr="009B38AA">
        <w:rPr>
          <w:szCs w:val="26"/>
        </w:rPr>
        <w:t xml:space="preserve">similarly </w:t>
      </w:r>
      <w:r w:rsidR="000A2B01" w:rsidRPr="009B38AA">
        <w:rPr>
          <w:szCs w:val="26"/>
        </w:rPr>
        <w:t>suggests</w:t>
      </w:r>
      <w:r w:rsidR="002F0D4D" w:rsidRPr="009B38AA">
        <w:rPr>
          <w:szCs w:val="26"/>
        </w:rPr>
        <w:t xml:space="preserve"> </w:t>
      </w:r>
      <w:r w:rsidR="004436DD" w:rsidRPr="009B38AA">
        <w:rPr>
          <w:szCs w:val="26"/>
        </w:rPr>
        <w:t>that discretion al</w:t>
      </w:r>
      <w:r w:rsidR="00E211AC" w:rsidRPr="009B38AA">
        <w:rPr>
          <w:szCs w:val="26"/>
        </w:rPr>
        <w:t xml:space="preserve">so be given to the EDCs’ </w:t>
      </w:r>
      <w:r w:rsidR="004436DD" w:rsidRPr="009B38AA">
        <w:rPr>
          <w:szCs w:val="26"/>
        </w:rPr>
        <w:t>independent evaluators to determine if the excess quantity is due to spillover (which</w:t>
      </w:r>
      <w:r w:rsidR="004436DD" w:rsidRPr="009B38AA">
        <w:rPr>
          <w:rFonts w:eastAsiaTheme="minorHAnsi"/>
          <w:szCs w:val="26"/>
        </w:rPr>
        <w:t xml:space="preserve"> </w:t>
      </w:r>
      <w:r w:rsidR="004436DD" w:rsidRPr="009B38AA">
        <w:rPr>
          <w:szCs w:val="26"/>
        </w:rPr>
        <w:t>would be handled via the net-to-gross analysis) or if it is due to customer error in filling out the rebate application</w:t>
      </w:r>
      <w:r w:rsidR="00E7531D" w:rsidRPr="009B38AA">
        <w:rPr>
          <w:szCs w:val="26"/>
        </w:rPr>
        <w:t xml:space="preserve">. </w:t>
      </w:r>
      <w:r w:rsidR="002F0D4D" w:rsidRPr="009B38AA">
        <w:rPr>
          <w:szCs w:val="26"/>
        </w:rPr>
        <w:t xml:space="preserve"> </w:t>
      </w:r>
      <w:proofErr w:type="gramStart"/>
      <w:r w:rsidR="00E7531D" w:rsidRPr="009B38AA">
        <w:rPr>
          <w:szCs w:val="26"/>
        </w:rPr>
        <w:t>PPL Comments at 27</w:t>
      </w:r>
      <w:r w:rsidR="002F0D4D" w:rsidRPr="009B38AA">
        <w:rPr>
          <w:szCs w:val="26"/>
        </w:rPr>
        <w:t xml:space="preserve"> and </w:t>
      </w:r>
      <w:r w:rsidR="00E7531D" w:rsidRPr="009B38AA">
        <w:rPr>
          <w:szCs w:val="26"/>
        </w:rPr>
        <w:t>28</w:t>
      </w:r>
      <w:r w:rsidR="002F0D4D" w:rsidRPr="009B38AA">
        <w:rPr>
          <w:szCs w:val="26"/>
        </w:rPr>
        <w:t>.</w:t>
      </w:r>
      <w:proofErr w:type="gramEnd"/>
      <w:r w:rsidR="002F0D4D" w:rsidRPr="009B38AA">
        <w:rPr>
          <w:szCs w:val="26"/>
        </w:rPr>
        <w:t xml:space="preserve">  </w:t>
      </w:r>
      <w:r w:rsidRPr="009B38AA">
        <w:rPr>
          <w:szCs w:val="26"/>
        </w:rPr>
        <w:t xml:space="preserve">Lastly, PPL </w:t>
      </w:r>
      <w:r w:rsidR="002F0D4D" w:rsidRPr="009B38AA">
        <w:rPr>
          <w:szCs w:val="26"/>
        </w:rPr>
        <w:t xml:space="preserve">states </w:t>
      </w:r>
      <w:r w:rsidRPr="009B38AA">
        <w:rPr>
          <w:szCs w:val="26"/>
        </w:rPr>
        <w:t xml:space="preserve">that it would be more appropriate to place this discussion in the Audit Plan </w:t>
      </w:r>
      <w:r w:rsidR="002F0D4D" w:rsidRPr="009B38AA">
        <w:rPr>
          <w:szCs w:val="26"/>
        </w:rPr>
        <w:t>as</w:t>
      </w:r>
      <w:r w:rsidRPr="009B38AA">
        <w:rPr>
          <w:szCs w:val="26"/>
        </w:rPr>
        <w:t xml:space="preserve"> estimation of verified gross adjustments is primarily an impact evaluation issue</w:t>
      </w:r>
      <w:r w:rsidR="00E7531D" w:rsidRPr="009B38AA">
        <w:rPr>
          <w:szCs w:val="26"/>
        </w:rPr>
        <w:t xml:space="preserve">. </w:t>
      </w:r>
      <w:r w:rsidR="002F0D4D" w:rsidRPr="009B38AA">
        <w:rPr>
          <w:szCs w:val="26"/>
        </w:rPr>
        <w:t xml:space="preserve"> </w:t>
      </w:r>
      <w:proofErr w:type="gramStart"/>
      <w:r w:rsidR="00E7531D" w:rsidRPr="009B38AA">
        <w:rPr>
          <w:szCs w:val="26"/>
        </w:rPr>
        <w:t>PPL Reply Comments at 2</w:t>
      </w:r>
      <w:r w:rsidR="002F0D4D" w:rsidRPr="009B38AA">
        <w:rPr>
          <w:szCs w:val="26"/>
        </w:rPr>
        <w:t xml:space="preserve"> and </w:t>
      </w:r>
      <w:r w:rsidR="00E7531D" w:rsidRPr="009B38AA">
        <w:rPr>
          <w:szCs w:val="26"/>
        </w:rPr>
        <w:t>3</w:t>
      </w:r>
      <w:r w:rsidR="002F0D4D" w:rsidRPr="009B38AA">
        <w:rPr>
          <w:szCs w:val="26"/>
        </w:rPr>
        <w:t>.</w:t>
      </w:r>
      <w:proofErr w:type="gramEnd"/>
    </w:p>
    <w:p w:rsidR="00691244" w:rsidRPr="009B38AA" w:rsidRDefault="00691244" w:rsidP="001B181B">
      <w:pPr>
        <w:pStyle w:val="p3"/>
        <w:tabs>
          <w:tab w:val="clear" w:pos="204"/>
          <w:tab w:val="left" w:pos="720"/>
        </w:tabs>
        <w:ind w:left="2160" w:hanging="720"/>
        <w:rPr>
          <w:b/>
          <w:szCs w:val="26"/>
        </w:rPr>
      </w:pPr>
    </w:p>
    <w:p w:rsidR="001B181B" w:rsidRPr="009B38AA" w:rsidRDefault="001B181B" w:rsidP="00EB1FAC">
      <w:pPr>
        <w:pStyle w:val="Heading3"/>
        <w:rPr>
          <w:rFonts w:cs="Times New Roman"/>
        </w:rPr>
      </w:pPr>
      <w:r w:rsidRPr="009B38AA">
        <w:rPr>
          <w:rFonts w:cs="Times New Roman"/>
        </w:rPr>
        <w:t>Disposition</w:t>
      </w:r>
    </w:p>
    <w:p w:rsidR="001B181B" w:rsidRPr="009B38AA" w:rsidRDefault="001B181B" w:rsidP="00DC65F4">
      <w:pPr>
        <w:pStyle w:val="p3"/>
        <w:tabs>
          <w:tab w:val="clear" w:pos="204"/>
          <w:tab w:val="left" w:pos="720"/>
        </w:tabs>
        <w:rPr>
          <w:b/>
          <w:szCs w:val="26"/>
        </w:rPr>
      </w:pPr>
    </w:p>
    <w:p w:rsidR="00E93C92" w:rsidRPr="009B38AA" w:rsidRDefault="00E93C92" w:rsidP="00E93C92">
      <w:pPr>
        <w:ind w:firstLine="720"/>
        <w:rPr>
          <w:szCs w:val="26"/>
        </w:rPr>
      </w:pPr>
      <w:r w:rsidRPr="009B38AA">
        <w:rPr>
          <w:szCs w:val="26"/>
        </w:rPr>
        <w:t xml:space="preserve">The Commission does not agree with PECO and PPL that savings should be adjusted based on actual on-site measure counts if those measures were not incented through the program.  Our disposition requires a downward adjustment of savings if incentives were paid for measures that did not get installed and requires that there not be an upward adjustment of savings if incentives were not paid for measures that a customer installed.  </w:t>
      </w:r>
    </w:p>
    <w:p w:rsidR="000A2B01" w:rsidRPr="009B38AA" w:rsidRDefault="000A2B01" w:rsidP="00E93C92">
      <w:pPr>
        <w:ind w:firstLine="720"/>
        <w:rPr>
          <w:szCs w:val="26"/>
        </w:rPr>
      </w:pPr>
    </w:p>
    <w:p w:rsidR="00E93C92" w:rsidRPr="009B38AA" w:rsidRDefault="00E93C92" w:rsidP="00E93C92">
      <w:pPr>
        <w:ind w:firstLine="720"/>
        <w:rPr>
          <w:szCs w:val="26"/>
        </w:rPr>
      </w:pPr>
      <w:r w:rsidRPr="009B38AA">
        <w:rPr>
          <w:szCs w:val="26"/>
        </w:rPr>
        <w:lastRenderedPageBreak/>
        <w:t>The Commission and PPL</w:t>
      </w:r>
      <w:r w:rsidR="002F0D4D" w:rsidRPr="009B38AA">
        <w:rPr>
          <w:rStyle w:val="FootnoteReference"/>
          <w:szCs w:val="26"/>
        </w:rPr>
        <w:footnoteReference w:id="65"/>
      </w:r>
      <w:r w:rsidRPr="009B38AA">
        <w:rPr>
          <w:szCs w:val="26"/>
        </w:rPr>
        <w:t xml:space="preserve"> recognize that installation of energy efficient measures above the amount for which incentives are paid is considered “spillover,” and a net-to-gross issue.  The Commission decided, in its 2011 TRC </w:t>
      </w:r>
      <w:proofErr w:type="gramStart"/>
      <w:r w:rsidRPr="009B38AA">
        <w:rPr>
          <w:szCs w:val="26"/>
        </w:rPr>
        <w:t>Order,</w:t>
      </w:r>
      <w:r w:rsidR="003103DA" w:rsidRPr="009B38AA">
        <w:rPr>
          <w:rStyle w:val="FootnoteReference"/>
          <w:szCs w:val="26"/>
        </w:rPr>
        <w:footnoteReference w:id="66"/>
      </w:r>
      <w:r w:rsidRPr="009B38AA">
        <w:rPr>
          <w:szCs w:val="26"/>
        </w:rPr>
        <w:t xml:space="preserve"> that</w:t>
      </w:r>
      <w:proofErr w:type="gramEnd"/>
      <w:r w:rsidRPr="009B38AA">
        <w:rPr>
          <w:szCs w:val="26"/>
        </w:rPr>
        <w:t xml:space="preserve"> it will not consider net-to-gross issues when determining energy savings relating to compliance.  </w:t>
      </w:r>
      <w:r w:rsidR="00586F24" w:rsidRPr="009B38AA">
        <w:rPr>
          <w:szCs w:val="26"/>
        </w:rPr>
        <w:t>Because</w:t>
      </w:r>
      <w:r w:rsidRPr="009B38AA">
        <w:rPr>
          <w:szCs w:val="26"/>
        </w:rPr>
        <w:t xml:space="preserve"> the Commission is not considering “free-riders,” also a net-to-gross issue, when determining compliance, it will not credit installation of measures resulting from spillover either.  However, the Commission recognizes there may be data reporting errors and directs the SWE to consider reporting errors when calculating realization rates.  However, the measure counts credited for compliance may not exceed the number</w:t>
      </w:r>
      <w:r w:rsidR="002F0D4D" w:rsidRPr="009B38AA">
        <w:rPr>
          <w:szCs w:val="26"/>
        </w:rPr>
        <w:t xml:space="preserve"> of measures</w:t>
      </w:r>
      <w:r w:rsidRPr="009B38AA">
        <w:rPr>
          <w:szCs w:val="26"/>
        </w:rPr>
        <w:t xml:space="preserve"> </w:t>
      </w:r>
      <w:r w:rsidR="002F0D4D" w:rsidRPr="009B38AA">
        <w:rPr>
          <w:szCs w:val="26"/>
        </w:rPr>
        <w:t xml:space="preserve">for which </w:t>
      </w:r>
      <w:r w:rsidRPr="009B38AA">
        <w:rPr>
          <w:szCs w:val="26"/>
        </w:rPr>
        <w:t>incentives</w:t>
      </w:r>
      <w:r w:rsidR="002F0D4D" w:rsidRPr="009B38AA">
        <w:rPr>
          <w:szCs w:val="26"/>
        </w:rPr>
        <w:t xml:space="preserve"> were</w:t>
      </w:r>
      <w:r w:rsidRPr="009B38AA">
        <w:rPr>
          <w:szCs w:val="26"/>
        </w:rPr>
        <w:t xml:space="preserve"> paid.</w:t>
      </w:r>
      <w:r w:rsidR="002F0D4D" w:rsidRPr="009B38AA">
        <w:rPr>
          <w:szCs w:val="26"/>
        </w:rPr>
        <w:t xml:space="preserve">  </w:t>
      </w:r>
      <w:r w:rsidRPr="009B38AA">
        <w:rPr>
          <w:szCs w:val="26"/>
        </w:rPr>
        <w:t>The Commission maintains that situations where on-site measure counts differ by five percent or less are within reasonable error ranges and do not require adjusting.</w:t>
      </w:r>
      <w:r w:rsidR="001704F9" w:rsidRPr="009B38AA">
        <w:rPr>
          <w:szCs w:val="26"/>
        </w:rPr>
        <w:t xml:space="preserve"> </w:t>
      </w:r>
      <w:r w:rsidR="00FB0D25" w:rsidRPr="009B38AA">
        <w:rPr>
          <w:szCs w:val="26"/>
        </w:rPr>
        <w:t xml:space="preserve"> However, as stated above, this does not allow additional savings to be credited above what was paid.</w:t>
      </w:r>
    </w:p>
    <w:p w:rsidR="00E93C92" w:rsidRPr="009B38AA" w:rsidRDefault="00E93C92" w:rsidP="00E93C92">
      <w:pPr>
        <w:rPr>
          <w:szCs w:val="26"/>
        </w:rPr>
      </w:pPr>
    </w:p>
    <w:p w:rsidR="003103DA" w:rsidRPr="009B38AA" w:rsidRDefault="002F0D4D" w:rsidP="003103DA">
      <w:pPr>
        <w:ind w:firstLine="720"/>
        <w:rPr>
          <w:szCs w:val="26"/>
        </w:rPr>
      </w:pPr>
      <w:r w:rsidRPr="009B38AA">
        <w:rPr>
          <w:szCs w:val="26"/>
        </w:rPr>
        <w:t>Finally, t</w:t>
      </w:r>
      <w:r w:rsidR="00E93C92" w:rsidRPr="009B38AA">
        <w:rPr>
          <w:szCs w:val="26"/>
        </w:rPr>
        <w:t>he Commission disagrees with PPL that the section on “Verified Gross Adjustment” in Section 1.11 of the 2012 TRM b</w:t>
      </w:r>
      <w:r w:rsidR="003103DA" w:rsidRPr="009B38AA">
        <w:rPr>
          <w:szCs w:val="26"/>
        </w:rPr>
        <w:t xml:space="preserve">e moved to the SWE’s Audit Plan, as the TRM is used to determine both reported gross and verified gross savings for Act 129.  It is, therefore, appropriate to include this discussion in the TRM and </w:t>
      </w:r>
      <w:r w:rsidR="009B6168" w:rsidRPr="009B38AA">
        <w:rPr>
          <w:szCs w:val="26"/>
        </w:rPr>
        <w:t>w</w:t>
      </w:r>
      <w:r w:rsidR="003103DA" w:rsidRPr="009B38AA">
        <w:rPr>
          <w:szCs w:val="26"/>
        </w:rPr>
        <w:t xml:space="preserve">as included in the 2012 update. </w:t>
      </w:r>
    </w:p>
    <w:p w:rsidR="001B181B" w:rsidRPr="009B38AA" w:rsidRDefault="001B181B" w:rsidP="00813935">
      <w:pPr>
        <w:pStyle w:val="p3"/>
        <w:tabs>
          <w:tab w:val="clear" w:pos="204"/>
          <w:tab w:val="left" w:pos="720"/>
        </w:tabs>
        <w:ind w:left="720"/>
        <w:rPr>
          <w:b/>
          <w:szCs w:val="26"/>
        </w:rPr>
      </w:pPr>
    </w:p>
    <w:p w:rsidR="000A2B01" w:rsidRPr="009B38AA" w:rsidRDefault="000A2B01" w:rsidP="00813935">
      <w:pPr>
        <w:pStyle w:val="p3"/>
        <w:tabs>
          <w:tab w:val="clear" w:pos="204"/>
          <w:tab w:val="left" w:pos="720"/>
        </w:tabs>
        <w:ind w:left="720"/>
        <w:rPr>
          <w:b/>
          <w:szCs w:val="26"/>
        </w:rPr>
      </w:pPr>
    </w:p>
    <w:p w:rsidR="001B181B" w:rsidRPr="009B38AA" w:rsidRDefault="001B181B" w:rsidP="00EB1FAC">
      <w:pPr>
        <w:pStyle w:val="Heading1"/>
      </w:pPr>
      <w:r w:rsidRPr="009B38AA">
        <w:t>Transmission and Distribution System Losses</w:t>
      </w:r>
    </w:p>
    <w:p w:rsidR="00461AB9" w:rsidRPr="009B38AA" w:rsidRDefault="00461AB9" w:rsidP="00461AB9">
      <w:pPr>
        <w:rPr>
          <w:szCs w:val="26"/>
        </w:rPr>
      </w:pPr>
    </w:p>
    <w:p w:rsidR="001B181B" w:rsidRPr="009B38AA" w:rsidRDefault="00461AB9" w:rsidP="00461AB9">
      <w:pPr>
        <w:ind w:firstLine="720"/>
        <w:rPr>
          <w:szCs w:val="26"/>
        </w:rPr>
      </w:pPr>
      <w:r w:rsidRPr="009B38AA">
        <w:rPr>
          <w:szCs w:val="26"/>
        </w:rPr>
        <w:t xml:space="preserve">Consistent with the manner in which energy and demand savings goals were established, energy savings are reported at the meter level and demand savings are reported at the system level. </w:t>
      </w:r>
      <w:r w:rsidR="00E7531D" w:rsidRPr="009B38AA">
        <w:rPr>
          <w:szCs w:val="26"/>
        </w:rPr>
        <w:t xml:space="preserve"> </w:t>
      </w:r>
      <w:r w:rsidRPr="009B38AA">
        <w:rPr>
          <w:szCs w:val="26"/>
        </w:rPr>
        <w:t xml:space="preserve">The TRM provides estimates of energy and demand savings </w:t>
      </w:r>
      <w:r w:rsidR="007503D2" w:rsidRPr="009B38AA">
        <w:rPr>
          <w:szCs w:val="26"/>
        </w:rPr>
        <w:lastRenderedPageBreak/>
        <w:t xml:space="preserve">only at </w:t>
      </w:r>
      <w:r w:rsidRPr="009B38AA">
        <w:rPr>
          <w:szCs w:val="26"/>
        </w:rPr>
        <w:t xml:space="preserve">the meter level. </w:t>
      </w:r>
      <w:r w:rsidR="00E7531D" w:rsidRPr="009B38AA">
        <w:rPr>
          <w:szCs w:val="26"/>
        </w:rPr>
        <w:t xml:space="preserve"> </w:t>
      </w:r>
      <w:r w:rsidRPr="009B38AA">
        <w:rPr>
          <w:szCs w:val="26"/>
        </w:rPr>
        <w:t xml:space="preserve">Therefore, demand savings resulting from </w:t>
      </w:r>
      <w:r w:rsidR="00085B29" w:rsidRPr="009B38AA">
        <w:rPr>
          <w:szCs w:val="26"/>
        </w:rPr>
        <w:t>EE</w:t>
      </w:r>
      <w:r w:rsidRPr="009B38AA">
        <w:rPr>
          <w:szCs w:val="26"/>
        </w:rPr>
        <w:t xml:space="preserve"> measures per </w:t>
      </w:r>
      <w:r w:rsidR="007503D2" w:rsidRPr="009B38AA">
        <w:rPr>
          <w:szCs w:val="26"/>
        </w:rPr>
        <w:t xml:space="preserve">TRM </w:t>
      </w:r>
      <w:r w:rsidRPr="009B38AA">
        <w:rPr>
          <w:szCs w:val="26"/>
        </w:rPr>
        <w:t xml:space="preserve">protocols must be </w:t>
      </w:r>
      <w:r w:rsidR="007503D2" w:rsidRPr="009B38AA">
        <w:rPr>
          <w:szCs w:val="26"/>
        </w:rPr>
        <w:t>grossed up</w:t>
      </w:r>
      <w:r w:rsidRPr="009B38AA">
        <w:rPr>
          <w:szCs w:val="26"/>
        </w:rPr>
        <w:t xml:space="preserve"> to appropriately </w:t>
      </w:r>
      <w:r w:rsidR="007503D2" w:rsidRPr="009B38AA">
        <w:rPr>
          <w:szCs w:val="26"/>
        </w:rPr>
        <w:t>represent system level savings, which can be achieved by multiplying total demand savings by transmission and distribution system losses, also called system line losses.</w:t>
      </w:r>
    </w:p>
    <w:p w:rsidR="00461AB9" w:rsidRPr="009B38AA" w:rsidRDefault="00461AB9" w:rsidP="001B181B">
      <w:pPr>
        <w:pStyle w:val="p3"/>
        <w:tabs>
          <w:tab w:val="clear" w:pos="204"/>
          <w:tab w:val="left" w:pos="720"/>
        </w:tabs>
        <w:rPr>
          <w:szCs w:val="26"/>
        </w:rPr>
      </w:pPr>
    </w:p>
    <w:p w:rsidR="001B181B" w:rsidRPr="009B38AA" w:rsidRDefault="001B181B" w:rsidP="00EB1FAC">
      <w:pPr>
        <w:pStyle w:val="Heading3"/>
        <w:rPr>
          <w:rFonts w:cs="Times New Roman"/>
        </w:rPr>
      </w:pPr>
      <w:r w:rsidRPr="009B38AA">
        <w:rPr>
          <w:rFonts w:cs="Times New Roman"/>
        </w:rPr>
        <w:t>Comments</w:t>
      </w:r>
    </w:p>
    <w:p w:rsidR="001B181B" w:rsidRPr="009B38AA" w:rsidRDefault="001B181B" w:rsidP="007503D2">
      <w:pPr>
        <w:rPr>
          <w:szCs w:val="26"/>
        </w:rPr>
      </w:pPr>
    </w:p>
    <w:p w:rsidR="001B181B" w:rsidRPr="009B38AA" w:rsidRDefault="007503D2" w:rsidP="007503D2">
      <w:pPr>
        <w:ind w:firstLine="720"/>
        <w:rPr>
          <w:szCs w:val="26"/>
        </w:rPr>
      </w:pPr>
      <w:r w:rsidRPr="009B38AA">
        <w:rPr>
          <w:szCs w:val="26"/>
        </w:rPr>
        <w:t xml:space="preserve">PECO notes that in the compliance context, the electric line loss factor applied to demand savings should be specific to the reporting EDC and not the statewide value of 1.11. </w:t>
      </w:r>
      <w:r w:rsidR="00645AA5" w:rsidRPr="009B38AA">
        <w:rPr>
          <w:szCs w:val="26"/>
        </w:rPr>
        <w:t xml:space="preserve"> </w:t>
      </w:r>
      <w:proofErr w:type="gramStart"/>
      <w:r w:rsidR="00E7531D" w:rsidRPr="009B38AA">
        <w:rPr>
          <w:szCs w:val="26"/>
        </w:rPr>
        <w:t>PECO Comments at 3</w:t>
      </w:r>
      <w:r w:rsidR="00645AA5" w:rsidRPr="009B38AA">
        <w:rPr>
          <w:szCs w:val="26"/>
        </w:rPr>
        <w:t>.</w:t>
      </w:r>
      <w:proofErr w:type="gramEnd"/>
    </w:p>
    <w:p w:rsidR="007503D2" w:rsidRPr="009B38AA" w:rsidRDefault="007503D2" w:rsidP="007503D2">
      <w:pPr>
        <w:ind w:firstLine="720"/>
        <w:rPr>
          <w:b/>
          <w:szCs w:val="26"/>
        </w:rPr>
      </w:pPr>
    </w:p>
    <w:p w:rsidR="001B181B" w:rsidRPr="009B38AA" w:rsidRDefault="001B181B" w:rsidP="00EB1FAC">
      <w:pPr>
        <w:pStyle w:val="Heading3"/>
        <w:rPr>
          <w:rFonts w:cs="Times New Roman"/>
        </w:rPr>
      </w:pPr>
      <w:r w:rsidRPr="009B38AA">
        <w:rPr>
          <w:rFonts w:cs="Times New Roman"/>
        </w:rPr>
        <w:t>Disposition</w:t>
      </w:r>
    </w:p>
    <w:p w:rsidR="001B181B" w:rsidRPr="009B38AA" w:rsidRDefault="001B181B" w:rsidP="00813935">
      <w:pPr>
        <w:pStyle w:val="p3"/>
        <w:tabs>
          <w:tab w:val="clear" w:pos="204"/>
          <w:tab w:val="left" w:pos="720"/>
        </w:tabs>
        <w:ind w:left="720"/>
        <w:rPr>
          <w:b/>
          <w:szCs w:val="26"/>
        </w:rPr>
      </w:pPr>
    </w:p>
    <w:p w:rsidR="007503D2" w:rsidRPr="009B38AA" w:rsidRDefault="007503D2" w:rsidP="007503D2">
      <w:pPr>
        <w:pStyle w:val="p3"/>
        <w:tabs>
          <w:tab w:val="clear" w:pos="204"/>
          <w:tab w:val="left" w:pos="720"/>
        </w:tabs>
        <w:rPr>
          <w:szCs w:val="26"/>
        </w:rPr>
      </w:pPr>
      <w:r w:rsidRPr="009B38AA">
        <w:rPr>
          <w:szCs w:val="26"/>
        </w:rPr>
        <w:tab/>
        <w:t>The Commission agrees with PECO that EDC-specific electric line loss factors should be applied to gross</w:t>
      </w:r>
      <w:r w:rsidR="009B6168" w:rsidRPr="009B38AA">
        <w:rPr>
          <w:szCs w:val="26"/>
        </w:rPr>
        <w:t>-</w:t>
      </w:r>
      <w:r w:rsidRPr="009B38AA">
        <w:rPr>
          <w:szCs w:val="26"/>
        </w:rPr>
        <w:t xml:space="preserve">up demand savings rather than the statewide value of 1.11. </w:t>
      </w:r>
      <w:r w:rsidR="00E7531D" w:rsidRPr="009B38AA">
        <w:rPr>
          <w:szCs w:val="26"/>
        </w:rPr>
        <w:t xml:space="preserve"> </w:t>
      </w:r>
      <w:r w:rsidRPr="009B38AA">
        <w:rPr>
          <w:szCs w:val="26"/>
        </w:rPr>
        <w:t>The 1.11 value in the TRM was not intended for Act 129 but rather for AEPS and therefore</w:t>
      </w:r>
      <w:r w:rsidR="00E7531D" w:rsidRPr="009B38AA">
        <w:rPr>
          <w:szCs w:val="26"/>
        </w:rPr>
        <w:t>,</w:t>
      </w:r>
      <w:r w:rsidRPr="009B38AA">
        <w:rPr>
          <w:szCs w:val="26"/>
        </w:rPr>
        <w:t xml:space="preserve"> should be ignored</w:t>
      </w:r>
      <w:r w:rsidR="00E7531D" w:rsidRPr="009B38AA">
        <w:rPr>
          <w:szCs w:val="26"/>
        </w:rPr>
        <w:t xml:space="preserve"> for </w:t>
      </w:r>
      <w:r w:rsidR="00645AA5" w:rsidRPr="009B38AA">
        <w:rPr>
          <w:szCs w:val="26"/>
        </w:rPr>
        <w:t>Act 129</w:t>
      </w:r>
      <w:r w:rsidR="00E7531D" w:rsidRPr="009B38AA">
        <w:rPr>
          <w:szCs w:val="26"/>
        </w:rPr>
        <w:t xml:space="preserve"> purposes</w:t>
      </w:r>
      <w:r w:rsidRPr="009B38AA">
        <w:rPr>
          <w:szCs w:val="26"/>
        </w:rPr>
        <w:t xml:space="preserve">. </w:t>
      </w:r>
      <w:r w:rsidR="00E7531D" w:rsidRPr="009B38AA">
        <w:rPr>
          <w:szCs w:val="26"/>
        </w:rPr>
        <w:t xml:space="preserve"> </w:t>
      </w:r>
      <w:r w:rsidRPr="009B38AA">
        <w:rPr>
          <w:szCs w:val="26"/>
        </w:rPr>
        <w:t xml:space="preserve">EDC demand reduction goals were set based on each EDC’s system peak, which factors in each of the EDC’s own electric line loss factors, not the statewide average. </w:t>
      </w:r>
      <w:r w:rsidR="00E7531D" w:rsidRPr="009B38AA">
        <w:rPr>
          <w:szCs w:val="26"/>
        </w:rPr>
        <w:t xml:space="preserve"> </w:t>
      </w:r>
      <w:r w:rsidRPr="009B38AA">
        <w:rPr>
          <w:szCs w:val="26"/>
        </w:rPr>
        <w:t>The Commission directs the SWE to develop guidance</w:t>
      </w:r>
      <w:r w:rsidR="00E7531D" w:rsidRPr="009B38AA">
        <w:rPr>
          <w:szCs w:val="26"/>
        </w:rPr>
        <w:t>,</w:t>
      </w:r>
      <w:r w:rsidRPr="009B38AA">
        <w:rPr>
          <w:szCs w:val="26"/>
        </w:rPr>
        <w:t xml:space="preserve"> in collaboration with the TWG</w:t>
      </w:r>
      <w:r w:rsidR="00E7531D" w:rsidRPr="009B38AA">
        <w:rPr>
          <w:szCs w:val="26"/>
        </w:rPr>
        <w:t>,</w:t>
      </w:r>
      <w:r w:rsidRPr="009B38AA">
        <w:rPr>
          <w:szCs w:val="26"/>
        </w:rPr>
        <w:t xml:space="preserve"> to determine the appropriate system line loss factor to apply for each EDC. </w:t>
      </w:r>
      <w:r w:rsidR="00E7531D" w:rsidRPr="009B38AA">
        <w:rPr>
          <w:szCs w:val="26"/>
        </w:rPr>
        <w:t xml:space="preserve"> </w:t>
      </w:r>
      <w:r w:rsidRPr="009B38AA">
        <w:rPr>
          <w:szCs w:val="26"/>
        </w:rPr>
        <w:t xml:space="preserve">As a default, the Commission directs EDCs to use the line loss factor filed in </w:t>
      </w:r>
      <w:r w:rsidR="00E7531D" w:rsidRPr="009B38AA">
        <w:rPr>
          <w:szCs w:val="26"/>
        </w:rPr>
        <w:t>its Commission-approved EE&amp;C plan</w:t>
      </w:r>
      <w:r w:rsidRPr="009B38AA">
        <w:rPr>
          <w:szCs w:val="26"/>
        </w:rPr>
        <w:t xml:space="preserve"> until further guidance is issued.</w:t>
      </w:r>
    </w:p>
    <w:p w:rsidR="001B181B" w:rsidRDefault="001B181B" w:rsidP="00813935">
      <w:pPr>
        <w:pStyle w:val="p3"/>
        <w:tabs>
          <w:tab w:val="clear" w:pos="204"/>
          <w:tab w:val="left" w:pos="720"/>
        </w:tabs>
        <w:ind w:left="1440"/>
        <w:rPr>
          <w:b/>
          <w:szCs w:val="26"/>
        </w:rPr>
      </w:pPr>
    </w:p>
    <w:p w:rsidR="006D3247" w:rsidRDefault="006D3247" w:rsidP="00813935">
      <w:pPr>
        <w:pStyle w:val="p3"/>
        <w:tabs>
          <w:tab w:val="clear" w:pos="204"/>
          <w:tab w:val="left" w:pos="720"/>
        </w:tabs>
        <w:ind w:left="1440"/>
        <w:rPr>
          <w:b/>
          <w:szCs w:val="26"/>
        </w:rPr>
      </w:pPr>
    </w:p>
    <w:p w:rsidR="006D3247" w:rsidRDefault="006D3247" w:rsidP="00813935">
      <w:pPr>
        <w:pStyle w:val="p3"/>
        <w:tabs>
          <w:tab w:val="clear" w:pos="204"/>
          <w:tab w:val="left" w:pos="720"/>
        </w:tabs>
        <w:ind w:left="1440"/>
        <w:rPr>
          <w:b/>
          <w:szCs w:val="26"/>
        </w:rPr>
      </w:pPr>
    </w:p>
    <w:p w:rsidR="006D3247" w:rsidRDefault="006D3247" w:rsidP="00813935">
      <w:pPr>
        <w:pStyle w:val="p3"/>
        <w:tabs>
          <w:tab w:val="clear" w:pos="204"/>
          <w:tab w:val="left" w:pos="720"/>
        </w:tabs>
        <w:ind w:left="1440"/>
        <w:rPr>
          <w:b/>
          <w:szCs w:val="26"/>
        </w:rPr>
      </w:pPr>
    </w:p>
    <w:p w:rsidR="006D3247" w:rsidRDefault="006D3247" w:rsidP="00813935">
      <w:pPr>
        <w:pStyle w:val="p3"/>
        <w:tabs>
          <w:tab w:val="clear" w:pos="204"/>
          <w:tab w:val="left" w:pos="720"/>
        </w:tabs>
        <w:ind w:left="1440"/>
        <w:rPr>
          <w:b/>
          <w:szCs w:val="26"/>
        </w:rPr>
      </w:pPr>
    </w:p>
    <w:p w:rsidR="006D3247" w:rsidRPr="009B38AA" w:rsidRDefault="006D3247" w:rsidP="00813935">
      <w:pPr>
        <w:pStyle w:val="p3"/>
        <w:tabs>
          <w:tab w:val="clear" w:pos="204"/>
          <w:tab w:val="left" w:pos="720"/>
        </w:tabs>
        <w:ind w:left="1440"/>
        <w:rPr>
          <w:b/>
          <w:szCs w:val="26"/>
        </w:rPr>
      </w:pPr>
    </w:p>
    <w:p w:rsidR="00A32805" w:rsidRPr="009B38AA" w:rsidRDefault="00A32805" w:rsidP="00A32805">
      <w:pPr>
        <w:pStyle w:val="Heading1"/>
      </w:pPr>
      <w:r w:rsidRPr="009B38AA">
        <w:lastRenderedPageBreak/>
        <w:t>High</w:t>
      </w:r>
      <w:r w:rsidR="009B6168" w:rsidRPr="009B38AA">
        <w:t>-</w:t>
      </w:r>
      <w:r w:rsidRPr="009B38AA">
        <w:t>Efficiency Snowmaking Equipment</w:t>
      </w:r>
    </w:p>
    <w:p w:rsidR="00A32805" w:rsidRPr="009B38AA" w:rsidRDefault="00A32805" w:rsidP="00A32805">
      <w:pPr>
        <w:ind w:left="720"/>
        <w:rPr>
          <w:szCs w:val="26"/>
        </w:rPr>
      </w:pPr>
    </w:p>
    <w:p w:rsidR="00A32805" w:rsidRPr="009B38AA" w:rsidRDefault="00A32805" w:rsidP="00A32805">
      <w:pPr>
        <w:pStyle w:val="Heading3"/>
        <w:rPr>
          <w:rFonts w:cs="Times New Roman"/>
        </w:rPr>
      </w:pPr>
      <w:r w:rsidRPr="009B38AA">
        <w:rPr>
          <w:rFonts w:cs="Times New Roman"/>
        </w:rPr>
        <w:t>Comments</w:t>
      </w:r>
    </w:p>
    <w:p w:rsidR="00A32805" w:rsidRPr="009B38AA" w:rsidRDefault="00A32805" w:rsidP="00A32805">
      <w:pPr>
        <w:rPr>
          <w:szCs w:val="26"/>
        </w:rPr>
      </w:pPr>
    </w:p>
    <w:p w:rsidR="00A32805" w:rsidRPr="009B38AA" w:rsidRDefault="000A2B01" w:rsidP="00A32805">
      <w:pPr>
        <w:ind w:firstLine="720"/>
        <w:rPr>
          <w:szCs w:val="26"/>
        </w:rPr>
      </w:pPr>
      <w:r w:rsidRPr="009B38AA">
        <w:rPr>
          <w:szCs w:val="26"/>
        </w:rPr>
        <w:t>In its</w:t>
      </w:r>
      <w:r w:rsidR="00A32805" w:rsidRPr="009B38AA">
        <w:rPr>
          <w:szCs w:val="26"/>
        </w:rPr>
        <w:t xml:space="preserve"> </w:t>
      </w:r>
      <w:r w:rsidR="00BD2852" w:rsidRPr="009B38AA">
        <w:rPr>
          <w:szCs w:val="26"/>
        </w:rPr>
        <w:t>comments,</w:t>
      </w:r>
      <w:r w:rsidR="00A32805" w:rsidRPr="009B38AA">
        <w:rPr>
          <w:szCs w:val="26"/>
        </w:rPr>
        <w:t xml:space="preserve"> PSAA </w:t>
      </w:r>
      <w:r w:rsidR="00645AA5" w:rsidRPr="009B38AA">
        <w:rPr>
          <w:szCs w:val="26"/>
        </w:rPr>
        <w:t xml:space="preserve">proposes </w:t>
      </w:r>
      <w:r w:rsidR="00A32805" w:rsidRPr="009B38AA">
        <w:rPr>
          <w:szCs w:val="26"/>
        </w:rPr>
        <w:t>the inclusion of high</w:t>
      </w:r>
      <w:r w:rsidR="009B6168" w:rsidRPr="009B38AA">
        <w:rPr>
          <w:szCs w:val="26"/>
        </w:rPr>
        <w:t>-</w:t>
      </w:r>
      <w:r w:rsidR="00A32805" w:rsidRPr="009B38AA">
        <w:rPr>
          <w:szCs w:val="26"/>
        </w:rPr>
        <w:t xml:space="preserve">efficiency snowmaking equipment in the 2012 TRM update.  PSAA </w:t>
      </w:r>
      <w:r w:rsidR="00645AA5" w:rsidRPr="009B38AA">
        <w:rPr>
          <w:szCs w:val="26"/>
        </w:rPr>
        <w:t>suggests a</w:t>
      </w:r>
      <w:r w:rsidR="00A32805" w:rsidRPr="009B38AA">
        <w:rPr>
          <w:szCs w:val="26"/>
        </w:rPr>
        <w:t xml:space="preserve"> protocol with the associated energy savings algorithms.  PSAA </w:t>
      </w:r>
      <w:r w:rsidR="00645AA5" w:rsidRPr="009B38AA">
        <w:rPr>
          <w:szCs w:val="26"/>
        </w:rPr>
        <w:t>asserts that</w:t>
      </w:r>
      <w:r w:rsidR="00A32805" w:rsidRPr="009B38AA">
        <w:rPr>
          <w:szCs w:val="26"/>
        </w:rPr>
        <w:t xml:space="preserve"> </w:t>
      </w:r>
      <w:r w:rsidR="00645AA5" w:rsidRPr="009B38AA">
        <w:rPr>
          <w:szCs w:val="26"/>
        </w:rPr>
        <w:t>e</w:t>
      </w:r>
      <w:r w:rsidR="00A32805" w:rsidRPr="009B38AA">
        <w:rPr>
          <w:szCs w:val="26"/>
        </w:rPr>
        <w:t xml:space="preserve">fficient snow guns use less compressed air than conventional models, resulting in electric savings at the air compressor motors.  PSAA also </w:t>
      </w:r>
      <w:r w:rsidR="00645AA5" w:rsidRPr="009B38AA">
        <w:rPr>
          <w:szCs w:val="26"/>
        </w:rPr>
        <w:t>asserts that</w:t>
      </w:r>
      <w:r w:rsidR="00A32805" w:rsidRPr="009B38AA">
        <w:rPr>
          <w:szCs w:val="26"/>
        </w:rPr>
        <w:t xml:space="preserve"> </w:t>
      </w:r>
      <w:r w:rsidR="00645AA5" w:rsidRPr="009B38AA">
        <w:rPr>
          <w:szCs w:val="26"/>
        </w:rPr>
        <w:t>t</w:t>
      </w:r>
      <w:r w:rsidR="00A32805" w:rsidRPr="009B38AA">
        <w:rPr>
          <w:szCs w:val="26"/>
        </w:rPr>
        <w:t xml:space="preserve">he savings can be verified using snowmaking unit testing, seasonal water pump flow data, compressor hours and correlation of the compressor plant with electric meter data.  </w:t>
      </w:r>
      <w:proofErr w:type="gramStart"/>
      <w:r w:rsidR="00A32805" w:rsidRPr="009B38AA">
        <w:rPr>
          <w:szCs w:val="26"/>
        </w:rPr>
        <w:t>PSAA Comments at 3</w:t>
      </w:r>
      <w:r w:rsidR="00645AA5" w:rsidRPr="009B38AA">
        <w:rPr>
          <w:szCs w:val="26"/>
        </w:rPr>
        <w:t>.</w:t>
      </w:r>
      <w:proofErr w:type="gramEnd"/>
      <w:r w:rsidR="00A32805" w:rsidRPr="009B38AA">
        <w:rPr>
          <w:szCs w:val="26"/>
        </w:rPr>
        <w:t xml:space="preserve">  </w:t>
      </w:r>
    </w:p>
    <w:p w:rsidR="009D2884" w:rsidRPr="009B38AA" w:rsidRDefault="009D2884" w:rsidP="00A32805">
      <w:pPr>
        <w:ind w:firstLine="720"/>
        <w:rPr>
          <w:szCs w:val="26"/>
        </w:rPr>
      </w:pPr>
    </w:p>
    <w:p w:rsidR="00A32805" w:rsidRPr="009B38AA" w:rsidRDefault="00A32805" w:rsidP="00A32805">
      <w:pPr>
        <w:ind w:firstLine="720"/>
        <w:rPr>
          <w:szCs w:val="26"/>
        </w:rPr>
      </w:pPr>
      <w:r w:rsidRPr="009B38AA">
        <w:rPr>
          <w:szCs w:val="26"/>
        </w:rPr>
        <w:t xml:space="preserve">FirstEnergy </w:t>
      </w:r>
      <w:r w:rsidR="00645AA5" w:rsidRPr="009B38AA">
        <w:rPr>
          <w:szCs w:val="26"/>
        </w:rPr>
        <w:t xml:space="preserve">states </w:t>
      </w:r>
      <w:r w:rsidRPr="009B38AA">
        <w:rPr>
          <w:szCs w:val="26"/>
        </w:rPr>
        <w:t xml:space="preserve">that PSAA’s proposed protocol seems to be reasonable and would be consistent with custom measures.  Additionally, FirstEnergy </w:t>
      </w:r>
      <w:r w:rsidR="00645AA5" w:rsidRPr="009B38AA">
        <w:rPr>
          <w:szCs w:val="26"/>
        </w:rPr>
        <w:t xml:space="preserve">states </w:t>
      </w:r>
      <w:r w:rsidRPr="009B38AA">
        <w:rPr>
          <w:szCs w:val="26"/>
        </w:rPr>
        <w:t xml:space="preserve">it would be willing to work through the details within the protocol with any customers who apply with such a project. </w:t>
      </w:r>
      <w:r w:rsidR="00645AA5" w:rsidRPr="009B38AA">
        <w:rPr>
          <w:szCs w:val="26"/>
        </w:rPr>
        <w:t xml:space="preserve"> </w:t>
      </w:r>
      <w:proofErr w:type="gramStart"/>
      <w:r w:rsidRPr="009B38AA">
        <w:rPr>
          <w:szCs w:val="26"/>
        </w:rPr>
        <w:t>FirstEnergy Reply Comments at 1</w:t>
      </w:r>
      <w:r w:rsidR="00645AA5" w:rsidRPr="009B38AA">
        <w:rPr>
          <w:szCs w:val="26"/>
        </w:rPr>
        <w:t xml:space="preserve"> and </w:t>
      </w:r>
      <w:r w:rsidRPr="009B38AA">
        <w:rPr>
          <w:szCs w:val="26"/>
        </w:rPr>
        <w:t>2</w:t>
      </w:r>
      <w:r w:rsidR="00645AA5" w:rsidRPr="009B38AA">
        <w:rPr>
          <w:szCs w:val="26"/>
        </w:rPr>
        <w:t>.</w:t>
      </w:r>
      <w:proofErr w:type="gramEnd"/>
    </w:p>
    <w:p w:rsidR="00A32805" w:rsidRPr="009B38AA" w:rsidRDefault="00A32805" w:rsidP="00A32805">
      <w:pPr>
        <w:ind w:firstLine="720"/>
        <w:rPr>
          <w:szCs w:val="26"/>
        </w:rPr>
      </w:pPr>
    </w:p>
    <w:p w:rsidR="00A32805" w:rsidRPr="009B38AA" w:rsidRDefault="00A32805" w:rsidP="00A32805">
      <w:pPr>
        <w:ind w:firstLine="720"/>
        <w:rPr>
          <w:szCs w:val="26"/>
        </w:rPr>
      </w:pPr>
      <w:r w:rsidRPr="009B38AA">
        <w:rPr>
          <w:szCs w:val="26"/>
        </w:rPr>
        <w:t xml:space="preserve">PPL comments </w:t>
      </w:r>
      <w:r w:rsidR="00645AA5" w:rsidRPr="009B38AA">
        <w:rPr>
          <w:szCs w:val="26"/>
        </w:rPr>
        <w:t>similar to</w:t>
      </w:r>
      <w:r w:rsidRPr="009B38AA">
        <w:rPr>
          <w:szCs w:val="26"/>
        </w:rPr>
        <w:t xml:space="preserve"> FirstEnergy </w:t>
      </w:r>
      <w:r w:rsidR="00645AA5" w:rsidRPr="009B38AA">
        <w:rPr>
          <w:szCs w:val="26"/>
        </w:rPr>
        <w:t xml:space="preserve">by noting that </w:t>
      </w:r>
      <w:r w:rsidRPr="009B38AA">
        <w:rPr>
          <w:szCs w:val="26"/>
        </w:rPr>
        <w:t xml:space="preserve">due to the site-specific nature of the proposed measure, </w:t>
      </w:r>
      <w:r w:rsidR="00645AA5" w:rsidRPr="009B38AA">
        <w:rPr>
          <w:szCs w:val="26"/>
        </w:rPr>
        <w:t>it</w:t>
      </w:r>
      <w:r w:rsidRPr="009B38AA">
        <w:rPr>
          <w:szCs w:val="26"/>
        </w:rPr>
        <w:t xml:space="preserve"> should be treated as a custom measure and not included in the TRM. </w:t>
      </w:r>
      <w:r w:rsidR="00645AA5" w:rsidRPr="009B38AA">
        <w:rPr>
          <w:szCs w:val="26"/>
        </w:rPr>
        <w:t xml:space="preserve"> </w:t>
      </w:r>
      <w:proofErr w:type="gramStart"/>
      <w:r w:rsidRPr="009B38AA">
        <w:rPr>
          <w:szCs w:val="26"/>
        </w:rPr>
        <w:t>PPL Reply Comments at 5</w:t>
      </w:r>
      <w:r w:rsidR="00645AA5" w:rsidRPr="009B38AA">
        <w:rPr>
          <w:szCs w:val="26"/>
        </w:rPr>
        <w:t>.</w:t>
      </w:r>
      <w:proofErr w:type="gramEnd"/>
    </w:p>
    <w:p w:rsidR="00A32805" w:rsidRPr="009B38AA" w:rsidRDefault="00A32805" w:rsidP="00A32805">
      <w:pPr>
        <w:rPr>
          <w:szCs w:val="26"/>
        </w:rPr>
      </w:pPr>
      <w:r w:rsidRPr="009B38AA">
        <w:rPr>
          <w:szCs w:val="26"/>
        </w:rPr>
        <w:t xml:space="preserve"> </w:t>
      </w:r>
    </w:p>
    <w:p w:rsidR="00A32805" w:rsidRPr="009B38AA" w:rsidRDefault="00A32805" w:rsidP="00A32805">
      <w:pPr>
        <w:pStyle w:val="Heading3"/>
        <w:rPr>
          <w:rFonts w:cs="Times New Roman"/>
        </w:rPr>
      </w:pPr>
      <w:r w:rsidRPr="009B38AA">
        <w:rPr>
          <w:rFonts w:cs="Times New Roman"/>
        </w:rPr>
        <w:t>Disposition</w:t>
      </w:r>
    </w:p>
    <w:p w:rsidR="00A32805" w:rsidRPr="009B38AA" w:rsidRDefault="00A32805" w:rsidP="00A32805">
      <w:pPr>
        <w:ind w:left="720"/>
        <w:rPr>
          <w:szCs w:val="26"/>
        </w:rPr>
      </w:pPr>
    </w:p>
    <w:p w:rsidR="00A32805" w:rsidRPr="009B38AA" w:rsidRDefault="00A32805" w:rsidP="00A32805">
      <w:pPr>
        <w:ind w:firstLine="720"/>
        <w:rPr>
          <w:szCs w:val="26"/>
        </w:rPr>
      </w:pPr>
      <w:r w:rsidRPr="009B38AA">
        <w:rPr>
          <w:szCs w:val="26"/>
        </w:rPr>
        <w:t>The Commission agrees with FirstEnergy and PPL that this protocol would be more appropriately used as a custom measure, as opposed to a measure included in the 2012 TRM.  Energy efficiency organizations, such as the Efficiency Maine Trust and Efficiency Vermont, also treat high</w:t>
      </w:r>
      <w:r w:rsidR="009B6168" w:rsidRPr="009B38AA">
        <w:rPr>
          <w:szCs w:val="26"/>
        </w:rPr>
        <w:t>-</w:t>
      </w:r>
      <w:r w:rsidRPr="009B38AA">
        <w:rPr>
          <w:szCs w:val="26"/>
        </w:rPr>
        <w:t xml:space="preserve">efficiency snowmaking equipment as a custom </w:t>
      </w:r>
      <w:r w:rsidRPr="009B38AA">
        <w:rPr>
          <w:szCs w:val="26"/>
        </w:rPr>
        <w:lastRenderedPageBreak/>
        <w:t>measure.</w:t>
      </w:r>
      <w:r w:rsidR="009B3302" w:rsidRPr="009B38AA">
        <w:rPr>
          <w:rStyle w:val="FootnoteReference"/>
          <w:szCs w:val="26"/>
        </w:rPr>
        <w:footnoteReference w:id="67"/>
      </w:r>
      <w:r w:rsidRPr="009B38AA">
        <w:rPr>
          <w:szCs w:val="26"/>
        </w:rPr>
        <w:t xml:space="preserve">  As such, the Commission directs the TWG to review PSAA’s proposed high efficiency snowmaking equipment protocol to confirm the methodologies.  This protocol will then be available, should a</w:t>
      </w:r>
      <w:r w:rsidR="00645AA5" w:rsidRPr="009B38AA">
        <w:rPr>
          <w:szCs w:val="26"/>
        </w:rPr>
        <w:t>n</w:t>
      </w:r>
      <w:r w:rsidRPr="009B38AA">
        <w:rPr>
          <w:szCs w:val="26"/>
        </w:rPr>
        <w:t xml:space="preserve"> </w:t>
      </w:r>
      <w:r w:rsidR="00645AA5" w:rsidRPr="009B38AA">
        <w:rPr>
          <w:szCs w:val="26"/>
        </w:rPr>
        <w:t xml:space="preserve">EDC </w:t>
      </w:r>
      <w:r w:rsidRPr="009B38AA">
        <w:rPr>
          <w:szCs w:val="26"/>
        </w:rPr>
        <w:t xml:space="preserve">wish to </w:t>
      </w:r>
      <w:r w:rsidR="00645AA5" w:rsidRPr="009B38AA">
        <w:rPr>
          <w:szCs w:val="26"/>
        </w:rPr>
        <w:t>include such a measure in its EE&amp;C Plan</w:t>
      </w:r>
      <w:r w:rsidRPr="009B38AA">
        <w:rPr>
          <w:szCs w:val="26"/>
        </w:rPr>
        <w:t xml:space="preserve">.  </w:t>
      </w:r>
    </w:p>
    <w:p w:rsidR="00A32805" w:rsidRPr="009B38AA" w:rsidRDefault="00A32805" w:rsidP="00A32805">
      <w:pPr>
        <w:ind w:firstLine="720"/>
        <w:rPr>
          <w:szCs w:val="26"/>
        </w:rPr>
      </w:pPr>
    </w:p>
    <w:p w:rsidR="000A2B01" w:rsidRPr="009B38AA" w:rsidRDefault="000A2B01" w:rsidP="00A32805">
      <w:pPr>
        <w:ind w:firstLine="720"/>
        <w:rPr>
          <w:szCs w:val="26"/>
        </w:rPr>
      </w:pPr>
    </w:p>
    <w:p w:rsidR="001B181B" w:rsidRPr="009B38AA" w:rsidRDefault="001B181B" w:rsidP="00EB1FAC">
      <w:pPr>
        <w:pStyle w:val="Heading1"/>
      </w:pPr>
      <w:bookmarkStart w:id="2" w:name="_Ref310863349"/>
      <w:r w:rsidRPr="009B38AA">
        <w:t>Application of the TRM</w:t>
      </w:r>
      <w:bookmarkEnd w:id="2"/>
    </w:p>
    <w:p w:rsidR="00DD5961" w:rsidRPr="009B38AA" w:rsidRDefault="00DD5961" w:rsidP="00DD5961"/>
    <w:p w:rsidR="00BD2852" w:rsidRDefault="00166D9E" w:rsidP="00EB1FAC">
      <w:pPr>
        <w:pStyle w:val="p3"/>
        <w:tabs>
          <w:tab w:val="clear" w:pos="204"/>
          <w:tab w:val="left" w:pos="720"/>
        </w:tabs>
        <w:rPr>
          <w:szCs w:val="26"/>
        </w:rPr>
      </w:pPr>
      <w:r w:rsidRPr="009B38AA">
        <w:rPr>
          <w:szCs w:val="26"/>
        </w:rPr>
        <w:tab/>
        <w:t xml:space="preserve">As we have previously stated, the Commission will continue to update the TRM, after providing a notice and comment opportunity, on an annual basis, </w:t>
      </w:r>
      <w:r w:rsidR="00891099" w:rsidRPr="009B38AA">
        <w:rPr>
          <w:szCs w:val="26"/>
        </w:rPr>
        <w:t>“</w:t>
      </w:r>
      <w:r w:rsidRPr="009B38AA">
        <w:rPr>
          <w:szCs w:val="26"/>
        </w:rPr>
        <w:t>based on sound, accurate and credible studies and data and apply these new and updated TRM values at the beginning of each subsequent AEPS Act and EE&amp;C Program compliance years.</w:t>
      </w:r>
      <w:r w:rsidR="00891099" w:rsidRPr="009B38AA">
        <w:rPr>
          <w:szCs w:val="26"/>
        </w:rPr>
        <w:t>”</w:t>
      </w:r>
      <w:r w:rsidRPr="009B38AA">
        <w:rPr>
          <w:rStyle w:val="FootnoteReference"/>
          <w:szCs w:val="26"/>
        </w:rPr>
        <w:footnoteReference w:id="68"/>
      </w:r>
      <w:r w:rsidRPr="009B38AA">
        <w:rPr>
          <w:szCs w:val="26"/>
        </w:rPr>
        <w:t xml:space="preserve">  The Commission performs this update on an annual basis as part of its efforts to fulfill its obligation under Act 129 </w:t>
      </w:r>
      <w:r w:rsidR="005F16EE" w:rsidRPr="009B38AA">
        <w:rPr>
          <w:szCs w:val="26"/>
        </w:rPr>
        <w:t>“</w:t>
      </w:r>
      <w:r w:rsidRPr="009B38AA">
        <w:rPr>
          <w:szCs w:val="26"/>
        </w:rPr>
        <w:t xml:space="preserve">to </w:t>
      </w:r>
      <w:r w:rsidR="00322325" w:rsidRPr="009B38AA">
        <w:rPr>
          <w:szCs w:val="26"/>
        </w:rPr>
        <w:t>establish an evaluation process that monitors and verifies data collection, quality assurance and the results of each EDC’s EE&amp;C plan and the EE&amp;C program as a whole, throughout the entirety of the program.</w:t>
      </w:r>
      <w:r w:rsidR="005F16EE" w:rsidRPr="009B38AA">
        <w:rPr>
          <w:szCs w:val="26"/>
        </w:rPr>
        <w:t>”</w:t>
      </w:r>
      <w:r w:rsidR="00322325" w:rsidRPr="009B38AA">
        <w:rPr>
          <w:szCs w:val="26"/>
          <w:vertAlign w:val="superscript"/>
        </w:rPr>
        <w:footnoteReference w:id="69"/>
      </w:r>
      <w:r w:rsidR="00322325" w:rsidRPr="009B38AA">
        <w:rPr>
          <w:szCs w:val="26"/>
        </w:rPr>
        <w:t xml:space="preserve">  In fact, as we stated previously, </w:t>
      </w:r>
      <w:r w:rsidR="00891099" w:rsidRPr="009B38AA">
        <w:rPr>
          <w:szCs w:val="26"/>
        </w:rPr>
        <w:t>“</w:t>
      </w:r>
      <w:r w:rsidR="00322325" w:rsidRPr="009B38AA">
        <w:rPr>
          <w:szCs w:val="26"/>
        </w:rPr>
        <w:t>Act 129 requires the Commission to conduct this evaluation process every year, as each EDC is to submit an annual report documenting the effectiveness of its plan, the energy savings measurement and verification, an evaluation of the cost-effectiveness of expenditures and any other information the Commission requires.</w:t>
      </w:r>
      <w:r w:rsidR="00891099" w:rsidRPr="009B38AA">
        <w:rPr>
          <w:szCs w:val="26"/>
        </w:rPr>
        <w:t>”</w:t>
      </w:r>
      <w:r w:rsidR="00322325" w:rsidRPr="009B38AA">
        <w:rPr>
          <w:szCs w:val="26"/>
          <w:vertAlign w:val="superscript"/>
        </w:rPr>
        <w:footnoteReference w:id="70"/>
      </w:r>
      <w:r w:rsidR="00322325" w:rsidRPr="009B38AA">
        <w:rPr>
          <w:szCs w:val="26"/>
        </w:rPr>
        <w:t xml:space="preserve">  With the </w:t>
      </w:r>
      <w:r w:rsidR="00B31134" w:rsidRPr="009B38AA">
        <w:rPr>
          <w:i/>
          <w:szCs w:val="26"/>
        </w:rPr>
        <w:t>Tentative Order</w:t>
      </w:r>
      <w:r w:rsidR="00322325" w:rsidRPr="009B38AA">
        <w:rPr>
          <w:szCs w:val="26"/>
        </w:rPr>
        <w:t xml:space="preserve">, we again embarked on this annual requirement by releasing proposed changes </w:t>
      </w:r>
      <w:r w:rsidR="00891099" w:rsidRPr="009B38AA">
        <w:rPr>
          <w:szCs w:val="26"/>
        </w:rPr>
        <w:t xml:space="preserve">to the TRM </w:t>
      </w:r>
      <w:r w:rsidR="00322325" w:rsidRPr="009B38AA">
        <w:rPr>
          <w:szCs w:val="26"/>
        </w:rPr>
        <w:t xml:space="preserve">with supporting data and documentation or cites to such </w:t>
      </w:r>
    </w:p>
    <w:p w:rsidR="00BD2852" w:rsidRDefault="00BD2852" w:rsidP="00EB1FAC">
      <w:pPr>
        <w:pStyle w:val="p3"/>
        <w:tabs>
          <w:tab w:val="clear" w:pos="204"/>
          <w:tab w:val="left" w:pos="720"/>
        </w:tabs>
        <w:rPr>
          <w:szCs w:val="26"/>
        </w:rPr>
      </w:pPr>
    </w:p>
    <w:p w:rsidR="00EB1FAC" w:rsidRPr="009B38AA" w:rsidRDefault="00322325" w:rsidP="00EB1FAC">
      <w:pPr>
        <w:pStyle w:val="p3"/>
        <w:tabs>
          <w:tab w:val="clear" w:pos="204"/>
          <w:tab w:val="left" w:pos="720"/>
        </w:tabs>
        <w:rPr>
          <w:szCs w:val="26"/>
        </w:rPr>
      </w:pPr>
      <w:proofErr w:type="gramStart"/>
      <w:r w:rsidRPr="009B38AA">
        <w:rPr>
          <w:szCs w:val="26"/>
        </w:rPr>
        <w:lastRenderedPageBreak/>
        <w:t>data</w:t>
      </w:r>
      <w:proofErr w:type="gramEnd"/>
      <w:r w:rsidRPr="009B38AA">
        <w:rPr>
          <w:szCs w:val="26"/>
        </w:rPr>
        <w:t xml:space="preserve"> and documentation, and allowing any interested party, to include the EDCs, to comment on the correctness, credibility and validity of such proposals.  </w:t>
      </w:r>
    </w:p>
    <w:p w:rsidR="00322325" w:rsidRPr="009B38AA" w:rsidRDefault="00322325" w:rsidP="00EB1FAC">
      <w:pPr>
        <w:pStyle w:val="p3"/>
        <w:tabs>
          <w:tab w:val="clear" w:pos="204"/>
          <w:tab w:val="left" w:pos="720"/>
        </w:tabs>
        <w:rPr>
          <w:szCs w:val="26"/>
        </w:rPr>
      </w:pPr>
    </w:p>
    <w:p w:rsidR="00EB1FAC" w:rsidRPr="009B38AA" w:rsidRDefault="00EB1FAC" w:rsidP="00EB1FAC">
      <w:pPr>
        <w:pStyle w:val="Heading3"/>
        <w:rPr>
          <w:rFonts w:cs="Times New Roman"/>
        </w:rPr>
      </w:pPr>
      <w:r w:rsidRPr="009B38AA">
        <w:rPr>
          <w:rFonts w:cs="Times New Roman"/>
        </w:rPr>
        <w:t>Comments</w:t>
      </w:r>
    </w:p>
    <w:p w:rsidR="00EB1FAC" w:rsidRPr="009B38AA" w:rsidRDefault="00EB1FAC" w:rsidP="00EB1FAC">
      <w:pPr>
        <w:pStyle w:val="p3"/>
        <w:tabs>
          <w:tab w:val="clear" w:pos="204"/>
          <w:tab w:val="left" w:pos="720"/>
        </w:tabs>
        <w:ind w:left="2160" w:hanging="720"/>
        <w:rPr>
          <w:b/>
          <w:szCs w:val="26"/>
        </w:rPr>
      </w:pPr>
    </w:p>
    <w:p w:rsidR="00AB3D7D" w:rsidRPr="009B38AA" w:rsidRDefault="00322325" w:rsidP="00DD5961">
      <w:pPr>
        <w:pStyle w:val="p3"/>
        <w:tabs>
          <w:tab w:val="clear" w:pos="204"/>
          <w:tab w:val="left" w:pos="720"/>
        </w:tabs>
        <w:ind w:firstLine="720"/>
        <w:rPr>
          <w:szCs w:val="26"/>
        </w:rPr>
      </w:pPr>
      <w:r w:rsidRPr="009B38AA">
        <w:rPr>
          <w:szCs w:val="26"/>
        </w:rPr>
        <w:t>PPL comments that while it generally supports the proposed changes included in the 2012 TRM, it maintains its previously presented legal arguments relative to the use of the TRM process to modify PPL’s approved EE&amp;C Plan and the potential adverse effect that the TRM process could have on an EDC’s compliance with Act 129.</w:t>
      </w:r>
      <w:r w:rsidR="001C201B" w:rsidRPr="009B38AA">
        <w:rPr>
          <w:szCs w:val="26"/>
        </w:rPr>
        <w:t xml:space="preserve">  PPL incorporates by reference its legal arguments on this issue previously asserted in its December 27, 2010 Comments and Petition for Review of the 2011 TRM Update Order.  PPL asserts that the Commission may not require that subsequent revisions to the TRM be applied to previously approved EE&amp;C Plans without following established procedures, particular</w:t>
      </w:r>
      <w:r w:rsidR="00DE0422" w:rsidRPr="009B38AA">
        <w:rPr>
          <w:szCs w:val="26"/>
        </w:rPr>
        <w:t>l</w:t>
      </w:r>
      <w:r w:rsidR="001C201B" w:rsidRPr="009B38AA">
        <w:rPr>
          <w:szCs w:val="26"/>
        </w:rPr>
        <w:t xml:space="preserve">y where any proposed revision would jeopardize an EDC’s ability to comply with Act 129.  </w:t>
      </w:r>
      <w:proofErr w:type="gramStart"/>
      <w:r w:rsidRPr="009B38AA">
        <w:rPr>
          <w:szCs w:val="26"/>
        </w:rPr>
        <w:t>PPL Comments at 28.</w:t>
      </w:r>
      <w:proofErr w:type="gramEnd"/>
    </w:p>
    <w:p w:rsidR="00AB3D7D" w:rsidRPr="009B38AA" w:rsidRDefault="00AB3D7D" w:rsidP="00DD5961">
      <w:pPr>
        <w:pStyle w:val="p3"/>
        <w:tabs>
          <w:tab w:val="clear" w:pos="204"/>
          <w:tab w:val="left" w:pos="720"/>
        </w:tabs>
        <w:ind w:firstLine="720"/>
        <w:rPr>
          <w:szCs w:val="26"/>
        </w:rPr>
      </w:pPr>
    </w:p>
    <w:p w:rsidR="00EB1FAC" w:rsidRPr="009B38AA" w:rsidRDefault="00EB1FAC" w:rsidP="00EB1FAC">
      <w:pPr>
        <w:pStyle w:val="Heading3"/>
        <w:rPr>
          <w:rFonts w:cs="Times New Roman"/>
        </w:rPr>
      </w:pPr>
      <w:r w:rsidRPr="009B38AA">
        <w:rPr>
          <w:rFonts w:cs="Times New Roman"/>
        </w:rPr>
        <w:t>Disposition</w:t>
      </w:r>
    </w:p>
    <w:p w:rsidR="00AB3D7D" w:rsidRPr="009B38AA" w:rsidRDefault="00AB3D7D" w:rsidP="00DD5961">
      <w:pPr>
        <w:ind w:firstLine="720"/>
        <w:rPr>
          <w:szCs w:val="26"/>
        </w:rPr>
      </w:pPr>
    </w:p>
    <w:p w:rsidR="00AB3D7D" w:rsidRPr="009B38AA" w:rsidRDefault="00140ABA" w:rsidP="00DD5961">
      <w:pPr>
        <w:ind w:firstLine="720"/>
        <w:rPr>
          <w:szCs w:val="26"/>
        </w:rPr>
      </w:pPr>
      <w:r w:rsidRPr="009B38AA">
        <w:rPr>
          <w:szCs w:val="26"/>
        </w:rPr>
        <w:t xml:space="preserve">The Commission previously addressed the issues raised by PPL in the </w:t>
      </w:r>
      <w:r w:rsidR="00B31134" w:rsidRPr="009B38AA">
        <w:rPr>
          <w:i/>
          <w:szCs w:val="26"/>
        </w:rPr>
        <w:t>2011 TRM Update Order</w:t>
      </w:r>
      <w:r w:rsidRPr="009B38AA">
        <w:rPr>
          <w:szCs w:val="26"/>
        </w:rPr>
        <w:t>,</w:t>
      </w:r>
      <w:r w:rsidRPr="009B38AA">
        <w:rPr>
          <w:rStyle w:val="FootnoteReference"/>
          <w:szCs w:val="26"/>
        </w:rPr>
        <w:footnoteReference w:id="71"/>
      </w:r>
      <w:r w:rsidRPr="009B38AA">
        <w:rPr>
          <w:szCs w:val="26"/>
        </w:rPr>
        <w:t xml:space="preserve"> which we again adopt and will reiterate key points here.  To begin with, we reiterate that the EDCs’ original plans were based on many estimates and assumptions, to include the amount of savings each measure would obtain, based on the TRM values, custom EM&amp;V protocols, custom measurement, the potential customer participation rates, the proper incentives, and the costs to implement each measure.  The EDC savings estimates based on custom EM&amp;V and custom measurement will change, and have likely changed, over time due to incorrect assumptions about existing equipment technology or changes in available technology.  In changing the TRM to </w:t>
      </w:r>
      <w:r w:rsidRPr="009B38AA">
        <w:rPr>
          <w:szCs w:val="26"/>
        </w:rPr>
        <w:lastRenderedPageBreak/>
        <w:t xml:space="preserve">reflect credible and accurate energy savings, the Commission is not changing any EDC plan; just one of the many assumptions the EDC relied upon in developing its plan.  All of these changes or miscalculations in assumptions and estimates affect the results of the EDCs’ plans and will likely require EDCs to adjust their plans.  We stress though that assumptions used to develop an EE&amp;C plan cannot determine the results of a plan.  </w:t>
      </w:r>
    </w:p>
    <w:p w:rsidR="00AB3D7D" w:rsidRPr="009B38AA" w:rsidRDefault="00AB3D7D" w:rsidP="00DD5961">
      <w:pPr>
        <w:ind w:firstLine="720"/>
        <w:rPr>
          <w:szCs w:val="26"/>
        </w:rPr>
      </w:pPr>
    </w:p>
    <w:p w:rsidR="00AB3D7D" w:rsidRPr="009B38AA" w:rsidRDefault="00140ABA" w:rsidP="00DD5961">
      <w:pPr>
        <w:ind w:firstLine="720"/>
        <w:rPr>
          <w:szCs w:val="26"/>
        </w:rPr>
      </w:pPr>
      <w:r w:rsidRPr="009B38AA">
        <w:rPr>
          <w:szCs w:val="26"/>
        </w:rPr>
        <w:t xml:space="preserve">As we stated in the </w:t>
      </w:r>
      <w:r w:rsidR="00B31134" w:rsidRPr="009B38AA">
        <w:rPr>
          <w:i/>
          <w:szCs w:val="26"/>
        </w:rPr>
        <w:t>2011 TRM Update Order</w:t>
      </w:r>
      <w:r w:rsidRPr="009B38AA">
        <w:rPr>
          <w:szCs w:val="26"/>
        </w:rPr>
        <w:t>,</w:t>
      </w:r>
      <w:r w:rsidR="00FE67D4" w:rsidRPr="009B38AA">
        <w:rPr>
          <w:szCs w:val="26"/>
        </w:rPr>
        <w:t xml:space="preserve"> </w:t>
      </w:r>
      <w:r w:rsidR="0030025E" w:rsidRPr="009B38AA">
        <w:rPr>
          <w:szCs w:val="26"/>
        </w:rPr>
        <w:t>“</w:t>
      </w:r>
      <w:r w:rsidR="00FE67D4" w:rsidRPr="009B38AA">
        <w:rPr>
          <w:szCs w:val="26"/>
        </w:rPr>
        <w:t>the TRM is merely guidance or a statement of policy that is not binding regulation.</w:t>
      </w:r>
      <w:r w:rsidR="0030025E" w:rsidRPr="009B38AA">
        <w:rPr>
          <w:szCs w:val="26"/>
        </w:rPr>
        <w:t>”</w:t>
      </w:r>
      <w:r w:rsidR="0030025E" w:rsidRPr="009B38AA">
        <w:rPr>
          <w:rStyle w:val="FootnoteReference"/>
          <w:szCs w:val="26"/>
        </w:rPr>
        <w:footnoteReference w:id="72"/>
      </w:r>
      <w:r w:rsidR="0030025E" w:rsidRPr="009B38AA">
        <w:rPr>
          <w:szCs w:val="26"/>
        </w:rPr>
        <w:t xml:space="preserve">  We continued by stating that</w:t>
      </w:r>
    </w:p>
    <w:p w:rsidR="004075FB" w:rsidRPr="009B38AA" w:rsidRDefault="004075FB" w:rsidP="00DD5961">
      <w:pPr>
        <w:ind w:firstLine="720"/>
        <w:rPr>
          <w:szCs w:val="26"/>
        </w:rPr>
      </w:pPr>
    </w:p>
    <w:p w:rsidR="00AB3D7D" w:rsidRPr="009B38AA" w:rsidRDefault="0030025E" w:rsidP="00DD5961">
      <w:pPr>
        <w:spacing w:line="240" w:lineRule="auto"/>
        <w:ind w:left="720" w:right="720"/>
        <w:rPr>
          <w:szCs w:val="26"/>
        </w:rPr>
      </w:pPr>
      <w:proofErr w:type="gramStart"/>
      <w:r w:rsidRPr="009B38AA">
        <w:rPr>
          <w:szCs w:val="26"/>
        </w:rPr>
        <w:t>a</w:t>
      </w:r>
      <w:proofErr w:type="gramEnd"/>
      <w:r w:rsidR="00140ABA" w:rsidRPr="009B38AA">
        <w:rPr>
          <w:szCs w:val="26"/>
        </w:rPr>
        <w:t xml:space="preserve"> final determination of an EDC’s EE&amp;C Plan’s energy savings will be determined in an adjudicatory proceeding where the EDC will be afforded the opportunity to present evidence demonstrating what energy savings its plan obtained and the credibility of that evidence.  An EDC is free to use any method to determine the energy savings produced by its plan, in place of the TRM, provided it can support such determinations with substantial credible evidence, if necessary.  Furthermore, </w:t>
      </w:r>
      <w:r w:rsidRPr="009B38AA">
        <w:rPr>
          <w:szCs w:val="26"/>
        </w:rPr>
        <w:t xml:space="preserve">by </w:t>
      </w:r>
      <w:r w:rsidR="00140ABA" w:rsidRPr="009B38AA">
        <w:rPr>
          <w:szCs w:val="26"/>
        </w:rPr>
        <w:t>updating the TRM methods and values based on the most recent credible and accurate data and facts, as they become known, is likely to reduce challenges to the credibility of the energy savings attributable to the EDCs’ Plans in any future proceeding.</w:t>
      </w:r>
      <w:r w:rsidRPr="009B38AA">
        <w:rPr>
          <w:rStyle w:val="FootnoteReference"/>
          <w:szCs w:val="26"/>
        </w:rPr>
        <w:footnoteReference w:id="73"/>
      </w:r>
      <w:r w:rsidR="00FE67D4" w:rsidRPr="009B38AA">
        <w:rPr>
          <w:szCs w:val="26"/>
        </w:rPr>
        <w:t xml:space="preserve">  </w:t>
      </w:r>
    </w:p>
    <w:p w:rsidR="00AB3D7D" w:rsidRPr="009B38AA" w:rsidRDefault="00AB3D7D" w:rsidP="00DD5961">
      <w:pPr>
        <w:ind w:firstLine="720"/>
        <w:rPr>
          <w:szCs w:val="26"/>
        </w:rPr>
      </w:pPr>
    </w:p>
    <w:p w:rsidR="00BD2852" w:rsidRDefault="00FE67D4" w:rsidP="00DD5961">
      <w:pPr>
        <w:ind w:firstLine="720"/>
        <w:rPr>
          <w:szCs w:val="26"/>
        </w:rPr>
      </w:pPr>
      <w:r w:rsidRPr="009B38AA">
        <w:rPr>
          <w:szCs w:val="26"/>
        </w:rPr>
        <w:t>We stress that while the TRM is a tool EDCs can use to estimate the amount of energy savings a program offering can potentially provide</w:t>
      </w:r>
      <w:r w:rsidR="00560F9F" w:rsidRPr="009B38AA">
        <w:rPr>
          <w:szCs w:val="26"/>
        </w:rPr>
        <w:t xml:space="preserve"> </w:t>
      </w:r>
      <w:r w:rsidR="0030025E" w:rsidRPr="009B38AA">
        <w:rPr>
          <w:szCs w:val="26"/>
        </w:rPr>
        <w:t>to</w:t>
      </w:r>
      <w:r w:rsidR="00560F9F" w:rsidRPr="009B38AA">
        <w:rPr>
          <w:szCs w:val="26"/>
        </w:rPr>
        <w:t xml:space="preserve"> its plan as a whole</w:t>
      </w:r>
      <w:r w:rsidRPr="009B38AA">
        <w:rPr>
          <w:szCs w:val="26"/>
        </w:rPr>
        <w:t xml:space="preserve">, the TRM is first and foremost a measurement tool used to determine, in a reasonably cost-effective way, the actual energy savings achieved by specific measures after they have been installed or implemented.  </w:t>
      </w:r>
      <w:r w:rsidR="00560F9F" w:rsidRPr="009B38AA">
        <w:rPr>
          <w:szCs w:val="26"/>
        </w:rPr>
        <w:t xml:space="preserve">To be credible, these energy savings measurements must </w:t>
      </w:r>
    </w:p>
    <w:p w:rsidR="00BD2852" w:rsidRDefault="00BD2852" w:rsidP="00DD5961">
      <w:pPr>
        <w:ind w:firstLine="720"/>
        <w:rPr>
          <w:szCs w:val="26"/>
        </w:rPr>
      </w:pPr>
    </w:p>
    <w:p w:rsidR="00BD2852" w:rsidRDefault="00BD2852" w:rsidP="00DD5961">
      <w:pPr>
        <w:ind w:firstLine="720"/>
        <w:rPr>
          <w:szCs w:val="26"/>
        </w:rPr>
      </w:pPr>
    </w:p>
    <w:p w:rsidR="00BD2852" w:rsidRDefault="00BD2852" w:rsidP="00DD5961">
      <w:pPr>
        <w:ind w:firstLine="720"/>
        <w:rPr>
          <w:szCs w:val="26"/>
        </w:rPr>
      </w:pPr>
    </w:p>
    <w:p w:rsidR="00AB3D7D" w:rsidRPr="009B38AA" w:rsidRDefault="00560F9F" w:rsidP="00BD2852">
      <w:pPr>
        <w:rPr>
          <w:szCs w:val="26"/>
        </w:rPr>
      </w:pPr>
      <w:proofErr w:type="gramStart"/>
      <w:r w:rsidRPr="009B38AA">
        <w:rPr>
          <w:szCs w:val="26"/>
        </w:rPr>
        <w:lastRenderedPageBreak/>
        <w:t>be</w:t>
      </w:r>
      <w:proofErr w:type="gramEnd"/>
      <w:r w:rsidRPr="009B38AA">
        <w:rPr>
          <w:szCs w:val="26"/>
        </w:rPr>
        <w:t xml:space="preserve"> based on current, reliable and accurate data, not pre-program implementation estimates.  Again, as we noted in the </w:t>
      </w:r>
      <w:r w:rsidR="00B31134" w:rsidRPr="009B38AA">
        <w:rPr>
          <w:i/>
          <w:szCs w:val="26"/>
        </w:rPr>
        <w:t>2011 TRM Update Order</w:t>
      </w:r>
      <w:r w:rsidRPr="009B38AA">
        <w:rPr>
          <w:szCs w:val="26"/>
        </w:rPr>
        <w:t xml:space="preserve">, </w:t>
      </w:r>
    </w:p>
    <w:p w:rsidR="00AB3D7D" w:rsidRPr="009B38AA" w:rsidRDefault="0030025E" w:rsidP="00DD5961">
      <w:pPr>
        <w:spacing w:line="240" w:lineRule="auto"/>
        <w:ind w:left="720" w:right="720"/>
        <w:rPr>
          <w:szCs w:val="26"/>
        </w:rPr>
      </w:pPr>
      <w:r w:rsidRPr="009B38AA">
        <w:rPr>
          <w:szCs w:val="26"/>
        </w:rPr>
        <w:t>[t]</w:t>
      </w:r>
      <w:r w:rsidR="00560F9F" w:rsidRPr="009B38AA">
        <w:rPr>
          <w:szCs w:val="26"/>
        </w:rPr>
        <w:t>he original TRM was established based on the best available studies and data at that time.  These studies and data, however, will become less reliable as the science and energy efficient equipment technology advances, and that technology gets deployed.  As such, in order to remain credible and relevant, the TRM must continually be updated to reflect the changing energy conservation science and technology, and the level of deployment of that science and technology.  Indeed, it would be unreasonable for the Commission to ignore more up-to-date and accurate information regarding the energy efficiency values of various programs, appliances and equipment.  As such, after providing a notice and comment opportunity, the Commission will continue to update the TRM on an annual basis, based on sound, accurate and credible studies and data and apply these TRM values at the beginning of each subsequent AEPS Act and EE&amp;C Program compliance years.</w:t>
      </w:r>
      <w:r w:rsidR="00560F9F" w:rsidRPr="009B38AA">
        <w:rPr>
          <w:rStyle w:val="FootnoteReference"/>
          <w:szCs w:val="26"/>
        </w:rPr>
        <w:footnoteReference w:id="74"/>
      </w:r>
    </w:p>
    <w:p w:rsidR="00BD2852" w:rsidRDefault="00BD2852">
      <w:pPr>
        <w:overflowPunct/>
        <w:autoSpaceDE/>
        <w:autoSpaceDN/>
        <w:adjustRightInd/>
        <w:spacing w:after="200" w:line="276" w:lineRule="auto"/>
        <w:textAlignment w:val="auto"/>
        <w:rPr>
          <w:b/>
          <w:szCs w:val="26"/>
        </w:rPr>
      </w:pPr>
      <w:r>
        <w:rPr>
          <w:b/>
          <w:szCs w:val="26"/>
        </w:rPr>
        <w:br w:type="page"/>
      </w:r>
    </w:p>
    <w:p w:rsidR="006B5753" w:rsidRPr="009B38AA" w:rsidRDefault="00755D49" w:rsidP="006B5753">
      <w:pPr>
        <w:jc w:val="center"/>
        <w:rPr>
          <w:szCs w:val="26"/>
        </w:rPr>
      </w:pPr>
      <w:r w:rsidRPr="009B38AA">
        <w:rPr>
          <w:b/>
          <w:szCs w:val="26"/>
        </w:rPr>
        <w:lastRenderedPageBreak/>
        <w:t>CONCLUSION</w:t>
      </w:r>
    </w:p>
    <w:p w:rsidR="006B5753" w:rsidRPr="009B38AA" w:rsidRDefault="006B5753" w:rsidP="006B5753">
      <w:pPr>
        <w:jc w:val="center"/>
        <w:rPr>
          <w:szCs w:val="26"/>
        </w:rPr>
      </w:pPr>
    </w:p>
    <w:p w:rsidR="006B5753" w:rsidRPr="009B38AA" w:rsidRDefault="006B5753" w:rsidP="004D5216">
      <w:pPr>
        <w:rPr>
          <w:szCs w:val="26"/>
        </w:rPr>
      </w:pPr>
      <w:r w:rsidRPr="009B38AA">
        <w:rPr>
          <w:szCs w:val="26"/>
        </w:rPr>
        <w:tab/>
        <w:t>This Order represents the Commission’s continuing efforts to establish a comprehensive TRM that supports the purposes of the AEPS Act and the EE&amp;C program established by Act 129.  We extend our thanks to all who provided comments.</w:t>
      </w:r>
      <w:r w:rsidR="004D5216" w:rsidRPr="009B38AA">
        <w:rPr>
          <w:szCs w:val="26"/>
        </w:rPr>
        <w:t xml:space="preserve">  </w:t>
      </w:r>
      <w:r w:rsidRPr="009B38AA">
        <w:rPr>
          <w:b/>
          <w:szCs w:val="26"/>
        </w:rPr>
        <w:t>THEREFORE,</w:t>
      </w:r>
    </w:p>
    <w:p w:rsidR="006B5753" w:rsidRPr="009B38AA" w:rsidRDefault="006B5753" w:rsidP="006B5753">
      <w:pPr>
        <w:tabs>
          <w:tab w:val="left" w:pos="742"/>
        </w:tabs>
        <w:rPr>
          <w:szCs w:val="26"/>
        </w:rPr>
      </w:pPr>
    </w:p>
    <w:p w:rsidR="006B5753" w:rsidRPr="009B38AA" w:rsidRDefault="006B5753" w:rsidP="006B5753">
      <w:pPr>
        <w:rPr>
          <w:b/>
          <w:bCs/>
          <w:szCs w:val="26"/>
        </w:rPr>
      </w:pPr>
      <w:r w:rsidRPr="009B38AA">
        <w:rPr>
          <w:b/>
          <w:bCs/>
          <w:szCs w:val="26"/>
        </w:rPr>
        <w:tab/>
        <w:t>IT IS ORDERED:</w:t>
      </w:r>
    </w:p>
    <w:p w:rsidR="009F1B07" w:rsidRPr="009B38AA" w:rsidRDefault="009F1B07" w:rsidP="009F1B07">
      <w:pPr>
        <w:rPr>
          <w:bCs/>
          <w:szCs w:val="26"/>
        </w:rPr>
      </w:pPr>
    </w:p>
    <w:p w:rsidR="00336588" w:rsidRPr="009B38AA" w:rsidRDefault="00BE0C2C" w:rsidP="009B38AA">
      <w:pPr>
        <w:pStyle w:val="ListParagraph"/>
        <w:numPr>
          <w:ilvl w:val="2"/>
          <w:numId w:val="5"/>
        </w:numPr>
        <w:tabs>
          <w:tab w:val="clear" w:pos="2160"/>
          <w:tab w:val="num" w:pos="-2610"/>
        </w:tabs>
        <w:ind w:left="0" w:firstLine="720"/>
        <w:rPr>
          <w:bCs/>
          <w:szCs w:val="26"/>
        </w:rPr>
      </w:pPr>
      <w:r w:rsidRPr="009B38AA">
        <w:rPr>
          <w:bCs/>
          <w:szCs w:val="26"/>
        </w:rPr>
        <w:t>That the 201</w:t>
      </w:r>
      <w:r w:rsidR="007B592F" w:rsidRPr="009B38AA">
        <w:rPr>
          <w:bCs/>
          <w:szCs w:val="26"/>
        </w:rPr>
        <w:t>2</w:t>
      </w:r>
      <w:r w:rsidRPr="009B38AA">
        <w:rPr>
          <w:bCs/>
          <w:szCs w:val="26"/>
        </w:rPr>
        <w:t xml:space="preserve"> Technical Reference Manual update</w:t>
      </w:r>
      <w:r w:rsidR="00891099" w:rsidRPr="009B38AA">
        <w:rPr>
          <w:bCs/>
          <w:szCs w:val="26"/>
        </w:rPr>
        <w:t>,</w:t>
      </w:r>
      <w:r w:rsidRPr="009B38AA">
        <w:rPr>
          <w:bCs/>
          <w:szCs w:val="26"/>
        </w:rPr>
        <w:t xml:space="preserve"> as modified by this Order</w:t>
      </w:r>
      <w:r w:rsidR="00891099" w:rsidRPr="009B38AA">
        <w:rPr>
          <w:bCs/>
          <w:szCs w:val="26"/>
        </w:rPr>
        <w:t>,</w:t>
      </w:r>
      <w:r w:rsidRPr="009B38AA">
        <w:rPr>
          <w:bCs/>
          <w:szCs w:val="26"/>
        </w:rPr>
        <w:t xml:space="preserve"> is adopted and replaces all prior versions of the Technical Reference Manual as of June 1, 201</w:t>
      </w:r>
      <w:r w:rsidR="007B592F" w:rsidRPr="009B38AA">
        <w:rPr>
          <w:bCs/>
          <w:szCs w:val="26"/>
        </w:rPr>
        <w:t>2</w:t>
      </w:r>
      <w:r w:rsidRPr="009B38AA">
        <w:rPr>
          <w:bCs/>
          <w:szCs w:val="26"/>
        </w:rPr>
        <w:t>.</w:t>
      </w:r>
      <w:r w:rsidR="00336588" w:rsidRPr="009B38AA">
        <w:rPr>
          <w:bCs/>
          <w:szCs w:val="26"/>
        </w:rPr>
        <w:t xml:space="preserve">  </w:t>
      </w:r>
    </w:p>
    <w:p w:rsidR="009F1B07" w:rsidRPr="009B38AA" w:rsidRDefault="009F1B07" w:rsidP="00EF37D7">
      <w:pPr>
        <w:rPr>
          <w:bCs/>
          <w:szCs w:val="26"/>
        </w:rPr>
      </w:pPr>
    </w:p>
    <w:p w:rsidR="000C4FC8" w:rsidRPr="009B38AA" w:rsidRDefault="00042A0B" w:rsidP="009B38AA">
      <w:pPr>
        <w:tabs>
          <w:tab w:val="num" w:pos="-1800"/>
        </w:tabs>
        <w:ind w:firstLine="720"/>
        <w:rPr>
          <w:bCs/>
          <w:szCs w:val="26"/>
        </w:rPr>
      </w:pPr>
      <w:r w:rsidRPr="009B38AA">
        <w:rPr>
          <w:bCs/>
          <w:szCs w:val="26"/>
        </w:rPr>
        <w:t>2.</w:t>
      </w:r>
      <w:r w:rsidRPr="009B38AA">
        <w:rPr>
          <w:bCs/>
          <w:szCs w:val="26"/>
        </w:rPr>
        <w:tab/>
      </w:r>
      <w:r w:rsidR="000C4FC8" w:rsidRPr="009B38AA">
        <w:rPr>
          <w:bCs/>
          <w:szCs w:val="26"/>
        </w:rPr>
        <w:t xml:space="preserve">That </w:t>
      </w:r>
      <w:r w:rsidRPr="009B38AA">
        <w:rPr>
          <w:bCs/>
          <w:szCs w:val="26"/>
        </w:rPr>
        <w:t xml:space="preserve">any change to the Technical Reference Manual suggested by a Commenter that was not adopted </w:t>
      </w:r>
      <w:r w:rsidR="004D5216" w:rsidRPr="009B38AA">
        <w:rPr>
          <w:bCs/>
          <w:szCs w:val="26"/>
        </w:rPr>
        <w:t xml:space="preserve">or expressly rejected </w:t>
      </w:r>
      <w:r w:rsidRPr="009B38AA">
        <w:rPr>
          <w:bCs/>
          <w:szCs w:val="26"/>
        </w:rPr>
        <w:t>in the 201</w:t>
      </w:r>
      <w:r w:rsidR="007B592F" w:rsidRPr="009B38AA">
        <w:rPr>
          <w:bCs/>
          <w:szCs w:val="26"/>
        </w:rPr>
        <w:t>2</w:t>
      </w:r>
      <w:r w:rsidRPr="009B38AA">
        <w:rPr>
          <w:bCs/>
          <w:szCs w:val="26"/>
        </w:rPr>
        <w:t xml:space="preserve"> Technical Reference Manual update </w:t>
      </w:r>
      <w:r w:rsidR="00B350C2" w:rsidRPr="009B38AA">
        <w:rPr>
          <w:bCs/>
          <w:szCs w:val="26"/>
        </w:rPr>
        <w:t xml:space="preserve">be referred to </w:t>
      </w:r>
      <w:r w:rsidR="000C4FC8" w:rsidRPr="009B38AA">
        <w:rPr>
          <w:bCs/>
          <w:szCs w:val="26"/>
        </w:rPr>
        <w:t xml:space="preserve">the Technical Working Group </w:t>
      </w:r>
      <w:r w:rsidR="00B350C2" w:rsidRPr="009B38AA">
        <w:rPr>
          <w:bCs/>
          <w:szCs w:val="26"/>
        </w:rPr>
        <w:t xml:space="preserve">for further </w:t>
      </w:r>
      <w:r w:rsidRPr="009B38AA">
        <w:rPr>
          <w:bCs/>
          <w:szCs w:val="26"/>
        </w:rPr>
        <w:t>review</w:t>
      </w:r>
      <w:r w:rsidR="00B350C2" w:rsidRPr="009B38AA">
        <w:rPr>
          <w:bCs/>
          <w:szCs w:val="26"/>
        </w:rPr>
        <w:t xml:space="preserve"> and </w:t>
      </w:r>
      <w:r w:rsidR="000C4FC8" w:rsidRPr="009B38AA">
        <w:rPr>
          <w:bCs/>
          <w:szCs w:val="26"/>
        </w:rPr>
        <w:t>discuss</w:t>
      </w:r>
      <w:r w:rsidR="00B350C2" w:rsidRPr="009B38AA">
        <w:rPr>
          <w:bCs/>
          <w:szCs w:val="26"/>
        </w:rPr>
        <w:t>ion for inclusion in future Technical Reference Manual updates</w:t>
      </w:r>
      <w:r w:rsidR="000C4FC8" w:rsidRPr="009B38AA">
        <w:rPr>
          <w:bCs/>
          <w:szCs w:val="26"/>
        </w:rPr>
        <w:t>.</w:t>
      </w:r>
    </w:p>
    <w:p w:rsidR="00941214" w:rsidRPr="009B38AA" w:rsidRDefault="00941214" w:rsidP="00042A0B">
      <w:pPr>
        <w:tabs>
          <w:tab w:val="num" w:pos="-1800"/>
        </w:tabs>
        <w:rPr>
          <w:bCs/>
          <w:szCs w:val="26"/>
        </w:rPr>
      </w:pPr>
    </w:p>
    <w:p w:rsidR="00941214" w:rsidRPr="009B38AA" w:rsidRDefault="00941214" w:rsidP="009B38AA">
      <w:pPr>
        <w:tabs>
          <w:tab w:val="num" w:pos="-1800"/>
        </w:tabs>
        <w:ind w:firstLine="720"/>
        <w:rPr>
          <w:bCs/>
          <w:szCs w:val="26"/>
        </w:rPr>
      </w:pPr>
      <w:r w:rsidRPr="009B38AA">
        <w:rPr>
          <w:bCs/>
          <w:szCs w:val="26"/>
        </w:rPr>
        <w:t>3.</w:t>
      </w:r>
      <w:r w:rsidRPr="009B38AA">
        <w:rPr>
          <w:bCs/>
          <w:szCs w:val="26"/>
        </w:rPr>
        <w:tab/>
        <w:t>That the Technical Working Group to investigate the impacts of the new lighting standards and to recommend future adjustments to the Technical Reference Manual when necessary.</w:t>
      </w:r>
    </w:p>
    <w:p w:rsidR="00941214" w:rsidRPr="009B38AA" w:rsidRDefault="00941214" w:rsidP="00042A0B">
      <w:pPr>
        <w:tabs>
          <w:tab w:val="num" w:pos="-1800"/>
        </w:tabs>
        <w:rPr>
          <w:bCs/>
          <w:szCs w:val="26"/>
        </w:rPr>
      </w:pPr>
    </w:p>
    <w:p w:rsidR="00941214" w:rsidRPr="009B38AA" w:rsidRDefault="00941214" w:rsidP="009B38AA">
      <w:pPr>
        <w:tabs>
          <w:tab w:val="num" w:pos="-1800"/>
        </w:tabs>
        <w:ind w:firstLine="720"/>
        <w:rPr>
          <w:bCs/>
          <w:szCs w:val="26"/>
        </w:rPr>
      </w:pPr>
      <w:r w:rsidRPr="009B38AA">
        <w:rPr>
          <w:bCs/>
          <w:szCs w:val="26"/>
        </w:rPr>
        <w:t>4.</w:t>
      </w:r>
      <w:r w:rsidRPr="009B38AA">
        <w:rPr>
          <w:bCs/>
          <w:szCs w:val="26"/>
        </w:rPr>
        <w:tab/>
        <w:t>That PPL Electric Utilities Corporation to provide to the Technical Working Group additional information to inform changes to the Appendix C Wattage Table during a future Technical Reference Manual update.</w:t>
      </w:r>
    </w:p>
    <w:p w:rsidR="004D5216" w:rsidRPr="009B38AA" w:rsidRDefault="004D5216" w:rsidP="00042A0B">
      <w:pPr>
        <w:tabs>
          <w:tab w:val="num" w:pos="-1800"/>
        </w:tabs>
        <w:rPr>
          <w:bCs/>
          <w:szCs w:val="26"/>
        </w:rPr>
      </w:pPr>
    </w:p>
    <w:p w:rsidR="004D5216" w:rsidRPr="009B38AA" w:rsidRDefault="00941214" w:rsidP="009B38AA">
      <w:pPr>
        <w:tabs>
          <w:tab w:val="num" w:pos="-1800"/>
        </w:tabs>
        <w:ind w:firstLine="720"/>
        <w:rPr>
          <w:bCs/>
          <w:szCs w:val="26"/>
        </w:rPr>
      </w:pPr>
      <w:r w:rsidRPr="009B38AA">
        <w:rPr>
          <w:bCs/>
          <w:szCs w:val="26"/>
        </w:rPr>
        <w:lastRenderedPageBreak/>
        <w:t>5</w:t>
      </w:r>
      <w:r w:rsidR="004D5216" w:rsidRPr="009B38AA">
        <w:rPr>
          <w:bCs/>
          <w:szCs w:val="26"/>
        </w:rPr>
        <w:t>.</w:t>
      </w:r>
      <w:r w:rsidR="004D5216" w:rsidRPr="009B38AA">
        <w:rPr>
          <w:bCs/>
          <w:szCs w:val="26"/>
        </w:rPr>
        <w:tab/>
        <w:t>That the Statewide Evaluator develop guidance, in collaboration with the Technical Working Group, to determine the appropriate system line loss factor to apply for each electric distribution company.</w:t>
      </w:r>
    </w:p>
    <w:p w:rsidR="006B5753" w:rsidRPr="009B38AA" w:rsidRDefault="006B5753" w:rsidP="00EF37D7">
      <w:pPr>
        <w:rPr>
          <w:bCs/>
          <w:szCs w:val="26"/>
        </w:rPr>
      </w:pPr>
    </w:p>
    <w:p w:rsidR="006B5753" w:rsidRPr="009B38AA" w:rsidRDefault="00941214" w:rsidP="009B38AA">
      <w:pPr>
        <w:tabs>
          <w:tab w:val="num" w:pos="-2970"/>
        </w:tabs>
        <w:ind w:firstLine="720"/>
        <w:rPr>
          <w:bCs/>
          <w:szCs w:val="26"/>
        </w:rPr>
      </w:pPr>
      <w:r w:rsidRPr="009B38AA">
        <w:rPr>
          <w:bCs/>
          <w:szCs w:val="26"/>
        </w:rPr>
        <w:t>6</w:t>
      </w:r>
      <w:r w:rsidR="000D4441" w:rsidRPr="009B38AA">
        <w:rPr>
          <w:bCs/>
          <w:szCs w:val="26"/>
        </w:rPr>
        <w:t>.</w:t>
      </w:r>
      <w:r w:rsidR="000D4441" w:rsidRPr="009B38AA">
        <w:rPr>
          <w:bCs/>
          <w:szCs w:val="26"/>
        </w:rPr>
        <w:tab/>
      </w:r>
      <w:r w:rsidR="006B5753" w:rsidRPr="009B38AA">
        <w:rPr>
          <w:bCs/>
          <w:szCs w:val="26"/>
        </w:rPr>
        <w:t xml:space="preserve">That a copy of this Order shall be served upon the Office of Consumer Advocate, the Office of Small Business Advocate, </w:t>
      </w:r>
      <w:r w:rsidR="007B592F" w:rsidRPr="009B38AA">
        <w:rPr>
          <w:bCs/>
          <w:szCs w:val="26"/>
        </w:rPr>
        <w:t>the Bureau of Investigation and Enforcement</w:t>
      </w:r>
      <w:r w:rsidR="006B5753" w:rsidRPr="009B38AA">
        <w:rPr>
          <w:bCs/>
          <w:szCs w:val="26"/>
        </w:rPr>
        <w:t>, all jurisdictional electric distribution companies, the Pennsylvania Department of Environmental Protection</w:t>
      </w:r>
      <w:r w:rsidR="003D1FBA" w:rsidRPr="009B38AA">
        <w:rPr>
          <w:bCs/>
          <w:szCs w:val="26"/>
        </w:rPr>
        <w:t xml:space="preserve"> and al</w:t>
      </w:r>
      <w:r w:rsidR="00DE59EA" w:rsidRPr="009B38AA">
        <w:rPr>
          <w:bCs/>
          <w:szCs w:val="26"/>
        </w:rPr>
        <w:t>l parties who filed comments</w:t>
      </w:r>
      <w:r w:rsidR="006B5753" w:rsidRPr="009B38AA">
        <w:rPr>
          <w:bCs/>
          <w:szCs w:val="26"/>
        </w:rPr>
        <w:t>.</w:t>
      </w:r>
    </w:p>
    <w:p w:rsidR="006B5753" w:rsidRPr="009B38AA" w:rsidRDefault="006B5753" w:rsidP="009B38AA">
      <w:pPr>
        <w:ind w:firstLine="720"/>
        <w:rPr>
          <w:bCs/>
          <w:szCs w:val="26"/>
        </w:rPr>
      </w:pPr>
    </w:p>
    <w:p w:rsidR="006B5753" w:rsidRDefault="00941214" w:rsidP="009B38AA">
      <w:pPr>
        <w:tabs>
          <w:tab w:val="num" w:pos="-1620"/>
        </w:tabs>
        <w:ind w:firstLine="720"/>
        <w:rPr>
          <w:bCs/>
          <w:szCs w:val="26"/>
        </w:rPr>
      </w:pPr>
      <w:r w:rsidRPr="009B38AA">
        <w:rPr>
          <w:bCs/>
          <w:szCs w:val="26"/>
        </w:rPr>
        <w:t>7</w:t>
      </w:r>
      <w:r w:rsidR="000D4441" w:rsidRPr="009B38AA">
        <w:rPr>
          <w:bCs/>
          <w:szCs w:val="26"/>
        </w:rPr>
        <w:t>.</w:t>
      </w:r>
      <w:r w:rsidR="000D4441" w:rsidRPr="009B38AA">
        <w:rPr>
          <w:bCs/>
          <w:szCs w:val="26"/>
        </w:rPr>
        <w:tab/>
      </w:r>
      <w:r w:rsidR="006B5753" w:rsidRPr="009B38AA">
        <w:rPr>
          <w:bCs/>
          <w:szCs w:val="26"/>
        </w:rPr>
        <w:t xml:space="preserve">That the Secretary shall deposit a notice of this Order and </w:t>
      </w:r>
      <w:r w:rsidR="003D1FBA" w:rsidRPr="009B38AA">
        <w:rPr>
          <w:bCs/>
          <w:szCs w:val="26"/>
        </w:rPr>
        <w:t>the 201</w:t>
      </w:r>
      <w:r w:rsidR="007B592F" w:rsidRPr="009B38AA">
        <w:rPr>
          <w:bCs/>
          <w:szCs w:val="26"/>
        </w:rPr>
        <w:t>2</w:t>
      </w:r>
      <w:r w:rsidR="003D1FBA" w:rsidRPr="009B38AA">
        <w:rPr>
          <w:bCs/>
          <w:szCs w:val="26"/>
        </w:rPr>
        <w:t xml:space="preserve"> Technical Reference Manual</w:t>
      </w:r>
      <w:r w:rsidR="006B5753" w:rsidRPr="009B38AA">
        <w:rPr>
          <w:bCs/>
          <w:szCs w:val="26"/>
        </w:rPr>
        <w:t xml:space="preserve"> </w:t>
      </w:r>
      <w:r w:rsidR="00DE59EA" w:rsidRPr="009B38AA">
        <w:rPr>
          <w:bCs/>
          <w:szCs w:val="26"/>
        </w:rPr>
        <w:t xml:space="preserve">update </w:t>
      </w:r>
      <w:r w:rsidR="006B5753" w:rsidRPr="009B38AA">
        <w:rPr>
          <w:bCs/>
          <w:szCs w:val="26"/>
        </w:rPr>
        <w:t xml:space="preserve">with the Legislative Reference Bureau for publication in the </w:t>
      </w:r>
      <w:r w:rsidR="006B5753" w:rsidRPr="009B38AA">
        <w:rPr>
          <w:bCs/>
          <w:i/>
          <w:szCs w:val="26"/>
        </w:rPr>
        <w:t>Pennsylvania Bulletin</w:t>
      </w:r>
      <w:r w:rsidR="006B5753" w:rsidRPr="009B38AA">
        <w:rPr>
          <w:bCs/>
          <w:szCs w:val="26"/>
        </w:rPr>
        <w:t>.</w:t>
      </w:r>
    </w:p>
    <w:p w:rsidR="009F1B07" w:rsidRPr="009B38AA" w:rsidRDefault="009F1B07" w:rsidP="00EF37D7">
      <w:pPr>
        <w:rPr>
          <w:bCs/>
          <w:szCs w:val="26"/>
        </w:rPr>
      </w:pPr>
    </w:p>
    <w:p w:rsidR="006B5753" w:rsidRPr="009B38AA" w:rsidRDefault="00941214" w:rsidP="009B38AA">
      <w:pPr>
        <w:tabs>
          <w:tab w:val="num" w:pos="-1800"/>
        </w:tabs>
        <w:ind w:firstLine="720"/>
        <w:rPr>
          <w:bCs/>
          <w:szCs w:val="26"/>
        </w:rPr>
      </w:pPr>
      <w:r w:rsidRPr="009B38AA">
        <w:rPr>
          <w:bCs/>
          <w:szCs w:val="26"/>
        </w:rPr>
        <w:t>8</w:t>
      </w:r>
      <w:r w:rsidR="000D4441" w:rsidRPr="009B38AA">
        <w:rPr>
          <w:bCs/>
          <w:szCs w:val="26"/>
        </w:rPr>
        <w:t>.</w:t>
      </w:r>
      <w:r w:rsidR="000D4441" w:rsidRPr="009B38AA">
        <w:rPr>
          <w:bCs/>
          <w:szCs w:val="26"/>
        </w:rPr>
        <w:tab/>
      </w:r>
      <w:r w:rsidR="006B5753" w:rsidRPr="009B38AA">
        <w:rPr>
          <w:bCs/>
          <w:szCs w:val="26"/>
        </w:rPr>
        <w:t xml:space="preserve">That this Order and </w:t>
      </w:r>
      <w:r w:rsidR="003D1FBA" w:rsidRPr="009B38AA">
        <w:rPr>
          <w:bCs/>
          <w:szCs w:val="26"/>
        </w:rPr>
        <w:t>the 201</w:t>
      </w:r>
      <w:r w:rsidR="007B592F" w:rsidRPr="009B38AA">
        <w:rPr>
          <w:bCs/>
          <w:szCs w:val="26"/>
        </w:rPr>
        <w:t>2</w:t>
      </w:r>
      <w:r w:rsidR="003D1FBA" w:rsidRPr="009B38AA">
        <w:rPr>
          <w:bCs/>
          <w:szCs w:val="26"/>
        </w:rPr>
        <w:t xml:space="preserve"> Technical Reference Manual</w:t>
      </w:r>
      <w:r w:rsidR="00DE59EA" w:rsidRPr="009B38AA">
        <w:rPr>
          <w:bCs/>
          <w:szCs w:val="26"/>
        </w:rPr>
        <w:t xml:space="preserve"> update</w:t>
      </w:r>
      <w:r w:rsidR="006B5753" w:rsidRPr="009B38AA">
        <w:rPr>
          <w:bCs/>
          <w:szCs w:val="26"/>
        </w:rPr>
        <w:t>, as well as supporting data be published on the Commission’s website.</w:t>
      </w:r>
    </w:p>
    <w:p w:rsidR="006B5753" w:rsidRPr="009B38AA" w:rsidRDefault="00922AFD" w:rsidP="006B5753">
      <w:pPr>
        <w:tabs>
          <w:tab w:val="left" w:pos="742"/>
        </w:tabs>
        <w:rPr>
          <w:szCs w:val="26"/>
        </w:rPr>
      </w:pPr>
      <w:bookmarkStart w:id="3" w:name="_GoBack"/>
      <w:r>
        <w:rPr>
          <w:noProof/>
        </w:rPr>
        <w:drawing>
          <wp:anchor distT="0" distB="0" distL="114300" distR="114300" simplePos="0" relativeHeight="251659264" behindDoc="1" locked="0" layoutInCell="1" allowOverlap="1" wp14:anchorId="24EB25B7" wp14:editId="6C12B658">
            <wp:simplePos x="0" y="0"/>
            <wp:positionH relativeFrom="column">
              <wp:posOffset>2800985</wp:posOffset>
            </wp:positionH>
            <wp:positionV relativeFrom="paragraph">
              <wp:posOffset>213360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p>
    <w:p w:rsidR="006B5753" w:rsidRPr="009B38AA" w:rsidRDefault="009F34FE" w:rsidP="006B5753">
      <w:pPr>
        <w:pStyle w:val="p17"/>
        <w:ind w:left="5057"/>
        <w:rPr>
          <w:b/>
          <w:bCs/>
          <w:szCs w:val="26"/>
        </w:rPr>
      </w:pPr>
      <w:r w:rsidRPr="009B38AA">
        <w:rPr>
          <w:b/>
          <w:bCs/>
          <w:szCs w:val="26"/>
        </w:rPr>
        <w:t>BY THE COMMISSION</w:t>
      </w:r>
    </w:p>
    <w:p w:rsidR="006B5753" w:rsidRPr="009B38AA" w:rsidRDefault="006B5753" w:rsidP="006B5753">
      <w:pPr>
        <w:tabs>
          <w:tab w:val="left" w:pos="5057"/>
        </w:tabs>
        <w:rPr>
          <w:bCs/>
          <w:szCs w:val="26"/>
        </w:rPr>
      </w:pPr>
    </w:p>
    <w:p w:rsidR="006B5753" w:rsidRPr="009B38AA" w:rsidRDefault="006B5753" w:rsidP="006B5753">
      <w:pPr>
        <w:tabs>
          <w:tab w:val="left" w:pos="5057"/>
        </w:tabs>
        <w:rPr>
          <w:b/>
          <w:bCs/>
          <w:szCs w:val="26"/>
        </w:rPr>
      </w:pPr>
    </w:p>
    <w:p w:rsidR="006B5753" w:rsidRPr="009B38AA" w:rsidRDefault="009F34FE" w:rsidP="006B5753">
      <w:pPr>
        <w:pStyle w:val="p18"/>
        <w:ind w:left="5062"/>
        <w:rPr>
          <w:szCs w:val="26"/>
        </w:rPr>
      </w:pPr>
      <w:r w:rsidRPr="009B38AA">
        <w:rPr>
          <w:szCs w:val="26"/>
        </w:rPr>
        <w:t>Rosemary Chiavetta</w:t>
      </w:r>
    </w:p>
    <w:p w:rsidR="006B5753" w:rsidRPr="009B38AA" w:rsidRDefault="009F34FE" w:rsidP="006B5753">
      <w:pPr>
        <w:pStyle w:val="p18"/>
        <w:ind w:left="5062"/>
        <w:rPr>
          <w:szCs w:val="26"/>
        </w:rPr>
      </w:pPr>
      <w:r w:rsidRPr="009B38AA">
        <w:rPr>
          <w:szCs w:val="26"/>
        </w:rPr>
        <w:t>Secretary</w:t>
      </w:r>
    </w:p>
    <w:p w:rsidR="009B38AA" w:rsidRPr="009B38AA" w:rsidRDefault="009B38AA" w:rsidP="006B5753">
      <w:pPr>
        <w:tabs>
          <w:tab w:val="left" w:pos="5062"/>
        </w:tabs>
        <w:rPr>
          <w:szCs w:val="26"/>
        </w:rPr>
      </w:pPr>
    </w:p>
    <w:p w:rsidR="006B5753" w:rsidRPr="009B38AA" w:rsidRDefault="009F34FE" w:rsidP="006B5753">
      <w:pPr>
        <w:pStyle w:val="p14"/>
        <w:rPr>
          <w:szCs w:val="26"/>
        </w:rPr>
      </w:pPr>
      <w:r w:rsidRPr="009B38AA">
        <w:rPr>
          <w:szCs w:val="26"/>
        </w:rPr>
        <w:t>(SEAL)</w:t>
      </w:r>
    </w:p>
    <w:p w:rsidR="006B5753" w:rsidRPr="009B38AA" w:rsidRDefault="006B5753" w:rsidP="006B5753">
      <w:pPr>
        <w:tabs>
          <w:tab w:val="left" w:pos="204"/>
        </w:tabs>
        <w:rPr>
          <w:szCs w:val="26"/>
        </w:rPr>
      </w:pPr>
    </w:p>
    <w:p w:rsidR="006B5753" w:rsidRPr="009B38AA" w:rsidRDefault="009F34FE" w:rsidP="006B5753">
      <w:pPr>
        <w:pStyle w:val="p14"/>
        <w:rPr>
          <w:szCs w:val="26"/>
        </w:rPr>
      </w:pPr>
      <w:r w:rsidRPr="009B38AA">
        <w:rPr>
          <w:szCs w:val="26"/>
        </w:rPr>
        <w:t xml:space="preserve">ORDER ADOPTED:  </w:t>
      </w:r>
      <w:r w:rsidR="00803B13" w:rsidRPr="009B38AA">
        <w:rPr>
          <w:szCs w:val="26"/>
        </w:rPr>
        <w:t>December 15, 2011</w:t>
      </w:r>
    </w:p>
    <w:p w:rsidR="006B5753" w:rsidRPr="009B38AA" w:rsidRDefault="006B5753" w:rsidP="006B5753">
      <w:pPr>
        <w:pStyle w:val="p14"/>
        <w:rPr>
          <w:szCs w:val="26"/>
        </w:rPr>
      </w:pPr>
    </w:p>
    <w:p w:rsidR="006B5753" w:rsidRPr="009B38AA" w:rsidRDefault="006B5753" w:rsidP="006B5753">
      <w:pPr>
        <w:pStyle w:val="p14"/>
        <w:rPr>
          <w:szCs w:val="26"/>
        </w:rPr>
      </w:pPr>
      <w:r w:rsidRPr="009B38AA">
        <w:rPr>
          <w:szCs w:val="26"/>
        </w:rPr>
        <w:t xml:space="preserve">ORDER ENTERED:  </w:t>
      </w:r>
      <w:r w:rsidR="00922AFD">
        <w:rPr>
          <w:szCs w:val="26"/>
        </w:rPr>
        <w:t xml:space="preserve"> December 16, 2011</w:t>
      </w:r>
    </w:p>
    <w:p w:rsidR="002712BF" w:rsidRPr="009B38AA" w:rsidRDefault="002712BF" w:rsidP="00274B50">
      <w:pPr>
        <w:overflowPunct/>
        <w:autoSpaceDE/>
        <w:autoSpaceDN/>
        <w:adjustRightInd/>
        <w:spacing w:after="200" w:line="276" w:lineRule="auto"/>
        <w:jc w:val="center"/>
        <w:textAlignment w:val="auto"/>
        <w:rPr>
          <w:szCs w:val="26"/>
        </w:rPr>
      </w:pPr>
    </w:p>
    <w:sectPr w:rsidR="002712BF" w:rsidRPr="009B38AA" w:rsidSect="00734685">
      <w:footerReference w:type="default" r:id="rId17"/>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FFE" w:rsidRDefault="00943FFE" w:rsidP="006B5753">
      <w:r>
        <w:separator/>
      </w:r>
    </w:p>
  </w:endnote>
  <w:endnote w:type="continuationSeparator" w:id="0">
    <w:p w:rsidR="00943FFE" w:rsidRDefault="00943FFE" w:rsidP="006B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5E" w:rsidRDefault="0057365E">
    <w:pPr>
      <w:pStyle w:val="Footer"/>
      <w:jc w:val="center"/>
    </w:pPr>
  </w:p>
  <w:p w:rsidR="0057365E" w:rsidRDefault="00573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199819"/>
      <w:docPartObj>
        <w:docPartGallery w:val="Page Numbers (Bottom of Page)"/>
        <w:docPartUnique/>
      </w:docPartObj>
    </w:sdtPr>
    <w:sdtEndPr>
      <w:rPr>
        <w:noProof/>
      </w:rPr>
    </w:sdtEndPr>
    <w:sdtContent>
      <w:p w:rsidR="0057365E" w:rsidRDefault="0057365E">
        <w:pPr>
          <w:pStyle w:val="Footer"/>
          <w:jc w:val="center"/>
        </w:pPr>
        <w:r>
          <w:fldChar w:fldCharType="begin"/>
        </w:r>
        <w:r>
          <w:instrText xml:space="preserve"> PAGE   \* MERGEFORMAT </w:instrText>
        </w:r>
        <w:r>
          <w:fldChar w:fldCharType="separate"/>
        </w:r>
        <w:r w:rsidR="00922AFD">
          <w:rPr>
            <w:noProof/>
          </w:rPr>
          <w:t>ii</w:t>
        </w:r>
        <w:r>
          <w:rPr>
            <w:noProof/>
          </w:rPr>
          <w:fldChar w:fldCharType="end"/>
        </w:r>
      </w:p>
    </w:sdtContent>
  </w:sdt>
  <w:p w:rsidR="0057365E" w:rsidRDefault="00573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5E" w:rsidRDefault="0057365E">
    <w:pPr>
      <w:pStyle w:val="Footer"/>
      <w:jc w:val="center"/>
    </w:pPr>
  </w:p>
  <w:p w:rsidR="0057365E" w:rsidRDefault="005736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148215"/>
      <w:docPartObj>
        <w:docPartGallery w:val="Page Numbers (Bottom of Page)"/>
        <w:docPartUnique/>
      </w:docPartObj>
    </w:sdtPr>
    <w:sdtEndPr>
      <w:rPr>
        <w:noProof/>
      </w:rPr>
    </w:sdtEndPr>
    <w:sdtContent>
      <w:p w:rsidR="0057365E" w:rsidRDefault="0057365E">
        <w:pPr>
          <w:pStyle w:val="Footer"/>
          <w:jc w:val="center"/>
        </w:pPr>
        <w:r>
          <w:fldChar w:fldCharType="begin"/>
        </w:r>
        <w:r>
          <w:instrText xml:space="preserve"> PAGE   \* MERGEFORMAT </w:instrText>
        </w:r>
        <w:r>
          <w:fldChar w:fldCharType="separate"/>
        </w:r>
        <w:r w:rsidR="00922AFD">
          <w:rPr>
            <w:noProof/>
          </w:rPr>
          <w:t>75</w:t>
        </w:r>
        <w:r>
          <w:rPr>
            <w:noProof/>
          </w:rPr>
          <w:fldChar w:fldCharType="end"/>
        </w:r>
      </w:p>
    </w:sdtContent>
  </w:sdt>
  <w:p w:rsidR="0057365E" w:rsidRDefault="0057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FFE" w:rsidRDefault="00943FFE" w:rsidP="006B5753">
      <w:r>
        <w:separator/>
      </w:r>
    </w:p>
  </w:footnote>
  <w:footnote w:type="continuationSeparator" w:id="0">
    <w:p w:rsidR="00943FFE" w:rsidRDefault="00943FFE" w:rsidP="006B5753">
      <w:r>
        <w:continuationSeparator/>
      </w:r>
    </w:p>
  </w:footnote>
  <w:footnote w:id="1">
    <w:p w:rsidR="0057365E" w:rsidRPr="00D813C7" w:rsidRDefault="0057365E" w:rsidP="001109F6">
      <w:pPr>
        <w:pStyle w:val="FootnoteText"/>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w:t>
      </w:r>
      <w:r w:rsidRPr="00D813C7">
        <w:rPr>
          <w:sz w:val="22"/>
          <w:szCs w:val="22"/>
        </w:rPr>
        <w:t xml:space="preserve"> 73 P.S. §§ 1648.1-1648.8 and 66 Pa. C.S. § 2814.</w:t>
      </w:r>
    </w:p>
  </w:footnote>
  <w:footnote w:id="2">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Order entered on October 3, 2005, under the above-referenced caption and Docket Number.</w:t>
      </w:r>
    </w:p>
  </w:footnote>
  <w:footnote w:id="3">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As of August 11, 2011, the Bureau of CEEP was eliminated and its functions and staff transferred to the newly created Bureau of Technical Utility Services.  </w:t>
      </w:r>
      <w:r w:rsidRPr="00D813C7">
        <w:rPr>
          <w:i/>
          <w:sz w:val="22"/>
          <w:szCs w:val="22"/>
        </w:rPr>
        <w:t>See Implementation of Act 129 of 2008; Organization of Bureaus and Offices</w:t>
      </w:r>
      <w:r w:rsidRPr="00D813C7">
        <w:rPr>
          <w:sz w:val="22"/>
          <w:szCs w:val="22"/>
        </w:rPr>
        <w:t xml:space="preserve">, Final Procedural Order, entered August 11, 2011, at Docket No. </w:t>
      </w:r>
      <w:proofErr w:type="gramStart"/>
      <w:r w:rsidRPr="00D813C7">
        <w:rPr>
          <w:sz w:val="22"/>
          <w:szCs w:val="22"/>
        </w:rPr>
        <w:t>M-2008-2071852, at page 4.</w:t>
      </w:r>
      <w:proofErr w:type="gramEnd"/>
      <w:r w:rsidRPr="00D813C7">
        <w:rPr>
          <w:sz w:val="22"/>
          <w:szCs w:val="22"/>
        </w:rPr>
        <w:t xml:space="preserve"> </w:t>
      </w:r>
    </w:p>
  </w:footnote>
  <w:footnote w:id="4">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191977">
        <w:rPr>
          <w:i/>
          <w:sz w:val="22"/>
          <w:szCs w:val="22"/>
        </w:rPr>
        <w:t>See</w:t>
      </w:r>
      <w:r w:rsidRPr="00D813C7">
        <w:rPr>
          <w:sz w:val="22"/>
          <w:szCs w:val="22"/>
        </w:rPr>
        <w:t xml:space="preserve"> Order entered on October 3, 2005, under the above-referenced caption and Docket Number</w:t>
      </w:r>
      <w:r>
        <w:rPr>
          <w:sz w:val="22"/>
          <w:szCs w:val="22"/>
        </w:rPr>
        <w:t xml:space="preserve"> at </w:t>
      </w:r>
      <w:r w:rsidRPr="00191977">
        <w:rPr>
          <w:sz w:val="22"/>
          <w:szCs w:val="22"/>
        </w:rPr>
        <w:t>page 13</w:t>
      </w:r>
      <w:r w:rsidRPr="00D813C7">
        <w:rPr>
          <w:sz w:val="22"/>
          <w:szCs w:val="22"/>
        </w:rPr>
        <w:t>.</w:t>
      </w:r>
    </w:p>
  </w:footnote>
  <w:footnote w:id="5">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191977">
        <w:rPr>
          <w:i/>
          <w:sz w:val="22"/>
          <w:szCs w:val="22"/>
        </w:rPr>
        <w:t>See</w:t>
      </w:r>
      <w:r>
        <w:rPr>
          <w:sz w:val="22"/>
          <w:szCs w:val="22"/>
        </w:rPr>
        <w:t xml:space="preserve"> </w:t>
      </w:r>
      <w:r w:rsidRPr="00D813C7">
        <w:rPr>
          <w:sz w:val="22"/>
          <w:szCs w:val="22"/>
        </w:rPr>
        <w:t xml:space="preserve">Order entered on January 16, 2009, at Docket No. </w:t>
      </w:r>
      <w:proofErr w:type="gramStart"/>
      <w:r w:rsidRPr="00D813C7">
        <w:rPr>
          <w:sz w:val="22"/>
          <w:szCs w:val="22"/>
        </w:rPr>
        <w:t>M</w:t>
      </w:r>
      <w:r w:rsidRPr="00D813C7">
        <w:rPr>
          <w:sz w:val="22"/>
          <w:szCs w:val="22"/>
        </w:rPr>
        <w:noBreakHyphen/>
        <w:t>2008</w:t>
      </w:r>
      <w:r w:rsidRPr="00D813C7">
        <w:rPr>
          <w:sz w:val="22"/>
          <w:szCs w:val="22"/>
        </w:rPr>
        <w:noBreakHyphen/>
        <w:t>2069887, at page 13 (</w:t>
      </w:r>
      <w:r w:rsidRPr="00D813C7">
        <w:rPr>
          <w:i/>
          <w:sz w:val="22"/>
          <w:szCs w:val="22"/>
        </w:rPr>
        <w:t>Implementation Order</w:t>
      </w:r>
      <w:r w:rsidRPr="00D813C7">
        <w:rPr>
          <w:sz w:val="22"/>
          <w:szCs w:val="22"/>
        </w:rPr>
        <w:t>).</w:t>
      </w:r>
      <w:proofErr w:type="gramEnd"/>
    </w:p>
  </w:footnote>
  <w:footnote w:id="6">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Implementation Order</w:t>
      </w:r>
      <w:r w:rsidRPr="00D813C7">
        <w:rPr>
          <w:sz w:val="22"/>
          <w:szCs w:val="22"/>
        </w:rPr>
        <w:t xml:space="preserve"> at page 13.</w:t>
      </w:r>
    </w:p>
  </w:footnote>
  <w:footnote w:id="7">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Implementation of the Alternative Energy Portfolio Standards Act of 2004:  Standards for the Participation of Demand Side Management Resources – Technical Reference Manual Update</w:t>
      </w:r>
      <w:r w:rsidRPr="00D813C7">
        <w:rPr>
          <w:sz w:val="22"/>
          <w:szCs w:val="22"/>
        </w:rPr>
        <w:t xml:space="preserve"> Order at Docket No. M</w:t>
      </w:r>
      <w:r w:rsidRPr="00D813C7">
        <w:rPr>
          <w:sz w:val="22"/>
          <w:szCs w:val="22"/>
        </w:rPr>
        <w:noBreakHyphen/>
        <w:t>00051865, entered June 1, 2009.</w:t>
      </w:r>
    </w:p>
  </w:footnote>
  <w:footnote w:id="8">
    <w:p w:rsidR="0057365E" w:rsidRPr="00D813C7" w:rsidRDefault="0057365E" w:rsidP="001109F6">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gramStart"/>
      <w:r w:rsidRPr="00D813C7">
        <w:rPr>
          <w:i/>
          <w:sz w:val="22"/>
          <w:szCs w:val="22"/>
        </w:rPr>
        <w:t>Id</w:t>
      </w:r>
      <w:r w:rsidRPr="00D813C7">
        <w:rPr>
          <w:sz w:val="22"/>
          <w:szCs w:val="22"/>
        </w:rPr>
        <w:t>. at pages 17 and 18.</w:t>
      </w:r>
      <w:proofErr w:type="gramEnd"/>
    </w:p>
  </w:footnote>
  <w:footnote w:id="9">
    <w:p w:rsidR="0057365E" w:rsidRPr="00D813C7" w:rsidRDefault="0057365E" w:rsidP="00191977">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w:t>
      </w:r>
      <w:r w:rsidRPr="00D813C7">
        <w:rPr>
          <w:sz w:val="22"/>
          <w:szCs w:val="22"/>
        </w:rPr>
        <w:t xml:space="preserve"> 66 Pa. C.S. § 2806.1(a</w:t>
      </w:r>
      <w:proofErr w:type="gramStart"/>
      <w:r w:rsidRPr="00D813C7">
        <w:rPr>
          <w:sz w:val="22"/>
          <w:szCs w:val="22"/>
        </w:rPr>
        <w:t>)(</w:t>
      </w:r>
      <w:proofErr w:type="gramEnd"/>
      <w:r w:rsidRPr="00D813C7">
        <w:rPr>
          <w:sz w:val="22"/>
          <w:szCs w:val="22"/>
        </w:rPr>
        <w:t>2).</w:t>
      </w:r>
    </w:p>
  </w:footnote>
  <w:footnote w:id="10">
    <w:p w:rsidR="0057365E" w:rsidRPr="00D813C7" w:rsidRDefault="0057365E" w:rsidP="00191977">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TWG is chaired by the SWE and is comprised of representatives from the EDCs, Commission staff and other interested parties for the purpose of encouraging discussion of the technical issues related to the evaluation, measurement and verification of savings programs to be implemented pursuant to Act 129.</w:t>
      </w:r>
    </w:p>
  </w:footnote>
  <w:footnote w:id="11">
    <w:p w:rsidR="0057365E" w:rsidRPr="00D813C7" w:rsidRDefault="0057365E" w:rsidP="00191977">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191977">
        <w:rPr>
          <w:i/>
          <w:sz w:val="22"/>
          <w:szCs w:val="22"/>
        </w:rPr>
        <w:t>See</w:t>
      </w:r>
      <w:r w:rsidRPr="00D813C7">
        <w:rPr>
          <w:sz w:val="22"/>
          <w:szCs w:val="22"/>
        </w:rPr>
        <w:t xml:space="preserve"> </w:t>
      </w:r>
      <w:r>
        <w:rPr>
          <w:i/>
          <w:sz w:val="22"/>
          <w:szCs w:val="22"/>
        </w:rPr>
        <w:t xml:space="preserve">Implementation of the Alternative Energy Portfolio Standards Act of 2004:  Standards for the Participation of Demand Side Management Resources – Technical Reference Manual 2012 </w:t>
      </w:r>
      <w:r w:rsidRPr="00191977">
        <w:rPr>
          <w:i/>
          <w:sz w:val="22"/>
          <w:szCs w:val="22"/>
        </w:rPr>
        <w:t>Update</w:t>
      </w:r>
      <w:r>
        <w:rPr>
          <w:sz w:val="22"/>
          <w:szCs w:val="22"/>
        </w:rPr>
        <w:t>,</w:t>
      </w:r>
      <w:r>
        <w:rPr>
          <w:i/>
          <w:sz w:val="22"/>
          <w:szCs w:val="22"/>
        </w:rPr>
        <w:t xml:space="preserve"> </w:t>
      </w:r>
      <w:r w:rsidRPr="00191977">
        <w:rPr>
          <w:sz w:val="22"/>
          <w:szCs w:val="22"/>
        </w:rPr>
        <w:t>Tentative Order</w:t>
      </w:r>
      <w:r w:rsidRPr="00D813C7">
        <w:rPr>
          <w:sz w:val="22"/>
          <w:szCs w:val="22"/>
        </w:rPr>
        <w:t xml:space="preserve"> ente</w:t>
      </w:r>
      <w:r>
        <w:rPr>
          <w:sz w:val="22"/>
          <w:szCs w:val="22"/>
        </w:rPr>
        <w:t xml:space="preserve">red on September 23, 2011, at Docket No. </w:t>
      </w:r>
      <w:proofErr w:type="gramStart"/>
      <w:r>
        <w:rPr>
          <w:sz w:val="22"/>
          <w:szCs w:val="22"/>
        </w:rPr>
        <w:t>M-00051865 (“</w:t>
      </w:r>
      <w:r w:rsidRPr="00191977">
        <w:rPr>
          <w:i/>
          <w:sz w:val="22"/>
          <w:szCs w:val="22"/>
        </w:rPr>
        <w:t>Tentative Order</w:t>
      </w:r>
      <w:r>
        <w:rPr>
          <w:sz w:val="22"/>
          <w:szCs w:val="22"/>
        </w:rPr>
        <w:t>”)</w:t>
      </w:r>
      <w:r w:rsidRPr="00D813C7">
        <w:rPr>
          <w:sz w:val="22"/>
          <w:szCs w:val="22"/>
        </w:rPr>
        <w:t>.</w:t>
      </w:r>
      <w:proofErr w:type="gramEnd"/>
    </w:p>
  </w:footnote>
  <w:footnote w:id="12">
    <w:p w:rsidR="0057365E" w:rsidRPr="00D813C7" w:rsidRDefault="0057365E" w:rsidP="00191977">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hyperlink r:id="rId1" w:history="1">
        <w:r w:rsidRPr="00D813C7">
          <w:rPr>
            <w:rStyle w:val="Hyperlink"/>
            <w:sz w:val="22"/>
            <w:szCs w:val="22"/>
          </w:rPr>
          <w:t>http://www.pabulletin.com/secure/data/vol41/41-41/1749.html</w:t>
        </w:r>
      </w:hyperlink>
      <w:r w:rsidRPr="00D813C7">
        <w:rPr>
          <w:sz w:val="22"/>
          <w:szCs w:val="22"/>
        </w:rPr>
        <w:t xml:space="preserve"> </w:t>
      </w:r>
    </w:p>
  </w:footnote>
  <w:footnote w:id="13">
    <w:p w:rsidR="0057365E" w:rsidRPr="00D813C7" w:rsidRDefault="0057365E" w:rsidP="0002628C">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Commission has amended the protocol titles from the </w:t>
      </w:r>
      <w:r w:rsidRPr="0002628C">
        <w:rPr>
          <w:i/>
          <w:sz w:val="22"/>
          <w:szCs w:val="22"/>
        </w:rPr>
        <w:t>Tentative Order</w:t>
      </w:r>
      <w:r w:rsidRPr="00D813C7">
        <w:rPr>
          <w:sz w:val="22"/>
          <w:szCs w:val="22"/>
        </w:rPr>
        <w:t xml:space="preserve"> to accurately reflect the titles used in the TRM.  The titles used in the </w:t>
      </w:r>
      <w:r w:rsidRPr="0002628C">
        <w:rPr>
          <w:i/>
          <w:sz w:val="22"/>
          <w:szCs w:val="22"/>
        </w:rPr>
        <w:t>Tentative Order</w:t>
      </w:r>
      <w:r w:rsidRPr="00D813C7">
        <w:rPr>
          <w:sz w:val="22"/>
          <w:szCs w:val="22"/>
        </w:rPr>
        <w:t xml:space="preserve"> are located in brackets []. </w:t>
      </w:r>
    </w:p>
  </w:footnote>
  <w:footnote w:id="14">
    <w:p w:rsidR="0057365E" w:rsidRPr="00D813C7" w:rsidRDefault="0057365E" w:rsidP="0002628C">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seven adopted protocols are as follows: Residential Occupancy Sensors, Appliance Recycling and Replacement with non-ENERGY STAR Refrigerators, Low-Income Lighting, Pool Pump with VFD Motor, High Efficiency Two-Speed Pool Pump, Water Heater Tank Wrap and ENERGY STAR Office Equipment.</w:t>
      </w:r>
    </w:p>
  </w:footnote>
  <w:footnote w:id="15">
    <w:p w:rsidR="0057365E" w:rsidRPr="00D813C7" w:rsidRDefault="0057365E" w:rsidP="0002628C">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Energy Independence and Security Act of 2007 can be found at </w:t>
      </w:r>
      <w:hyperlink r:id="rId2" w:history="1">
        <w:r w:rsidRPr="00D813C7">
          <w:rPr>
            <w:rStyle w:val="Hyperlink"/>
            <w:sz w:val="22"/>
            <w:szCs w:val="22"/>
          </w:rPr>
          <w:t>http://www1.eere.energy.gov/femp/regulations/eisa.html</w:t>
        </w:r>
      </w:hyperlink>
      <w:r w:rsidRPr="00D813C7">
        <w:rPr>
          <w:sz w:val="22"/>
          <w:szCs w:val="22"/>
        </w:rPr>
        <w:t xml:space="preserve">. </w:t>
      </w:r>
    </w:p>
  </w:footnote>
  <w:footnote w:id="16">
    <w:p w:rsidR="0057365E" w:rsidRPr="00D813C7" w:rsidRDefault="0057365E" w:rsidP="0002628C">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02628C">
        <w:rPr>
          <w:i/>
          <w:sz w:val="22"/>
          <w:szCs w:val="22"/>
        </w:rPr>
        <w:t>See</w:t>
      </w:r>
      <w:r w:rsidRPr="00D813C7">
        <w:rPr>
          <w:sz w:val="22"/>
          <w:szCs w:val="22"/>
        </w:rPr>
        <w:t xml:space="preserve"> Section 2.32: ENERGY STAR LEDs, pp. 123-127, of the proposed 2012 </w:t>
      </w:r>
      <w:r>
        <w:rPr>
          <w:sz w:val="22"/>
          <w:szCs w:val="22"/>
        </w:rPr>
        <w:t>TRM Update</w:t>
      </w:r>
      <w:r w:rsidRPr="00D813C7">
        <w:rPr>
          <w:sz w:val="22"/>
          <w:szCs w:val="22"/>
        </w:rPr>
        <w:t>.</w:t>
      </w:r>
    </w:p>
  </w:footnote>
  <w:footnote w:id="17">
    <w:p w:rsidR="0057365E" w:rsidRPr="00D813C7" w:rsidRDefault="0057365E">
      <w:pPr>
        <w:pStyle w:val="FootnoteText"/>
        <w:rPr>
          <w:sz w:val="22"/>
          <w:szCs w:val="22"/>
        </w:rPr>
      </w:pPr>
      <w:r w:rsidRPr="00D813C7">
        <w:rPr>
          <w:rStyle w:val="FootnoteReference"/>
          <w:sz w:val="22"/>
          <w:szCs w:val="22"/>
        </w:rPr>
        <w:footnoteRef/>
      </w:r>
      <w:r w:rsidRPr="00D813C7">
        <w:rPr>
          <w:sz w:val="22"/>
          <w:szCs w:val="22"/>
        </w:rPr>
        <w:t xml:space="preserve"> </w:t>
      </w:r>
      <w:r w:rsidRPr="00E92A32">
        <w:rPr>
          <w:i/>
          <w:sz w:val="22"/>
          <w:szCs w:val="22"/>
        </w:rPr>
        <w:t>See</w:t>
      </w:r>
      <w:r w:rsidRPr="00D813C7">
        <w:rPr>
          <w:sz w:val="22"/>
          <w:szCs w:val="22"/>
        </w:rPr>
        <w:t xml:space="preserve"> Section 2.34: Holiday Lights, pp. 129-131, of the proposed 2012 </w:t>
      </w:r>
      <w:r>
        <w:rPr>
          <w:sz w:val="22"/>
          <w:szCs w:val="22"/>
        </w:rPr>
        <w:t>TRM update.</w:t>
      </w:r>
    </w:p>
  </w:footnote>
  <w:footnote w:id="18">
    <w:p w:rsidR="0057365E" w:rsidRPr="00D813C7" w:rsidRDefault="0057365E">
      <w:pPr>
        <w:pStyle w:val="FootnoteText"/>
        <w:rPr>
          <w:sz w:val="22"/>
          <w:szCs w:val="22"/>
        </w:rPr>
      </w:pPr>
      <w:r w:rsidRPr="00D813C7">
        <w:rPr>
          <w:rStyle w:val="FootnoteReference"/>
          <w:sz w:val="22"/>
          <w:szCs w:val="22"/>
        </w:rPr>
        <w:footnoteRef/>
      </w:r>
      <w:r w:rsidRPr="00D813C7">
        <w:rPr>
          <w:sz w:val="22"/>
          <w:szCs w:val="22"/>
        </w:rPr>
        <w:t xml:space="preserve"> </w:t>
      </w:r>
      <w:proofErr w:type="gramStart"/>
      <w:r w:rsidRPr="00D813C7">
        <w:rPr>
          <w:i/>
          <w:sz w:val="22"/>
          <w:szCs w:val="22"/>
        </w:rPr>
        <w:t>Id.</w:t>
      </w:r>
      <w:r w:rsidRPr="00D813C7">
        <w:rPr>
          <w:sz w:val="22"/>
          <w:szCs w:val="22"/>
        </w:rPr>
        <w:t xml:space="preserve"> at page 130.</w:t>
      </w:r>
      <w:proofErr w:type="gramEnd"/>
      <w:r w:rsidRPr="00D813C7">
        <w:rPr>
          <w:sz w:val="22"/>
          <w:szCs w:val="22"/>
        </w:rPr>
        <w:t xml:space="preserve"> </w:t>
      </w:r>
    </w:p>
  </w:footnote>
  <w:footnote w:id="19">
    <w:p w:rsidR="0057365E" w:rsidRPr="00D813C7" w:rsidRDefault="0057365E">
      <w:pPr>
        <w:pStyle w:val="FootnoteText"/>
        <w:rPr>
          <w:sz w:val="22"/>
          <w:szCs w:val="22"/>
        </w:rPr>
      </w:pPr>
      <w:r w:rsidRPr="00D813C7">
        <w:rPr>
          <w:rStyle w:val="FootnoteReference"/>
          <w:sz w:val="22"/>
          <w:szCs w:val="22"/>
        </w:rPr>
        <w:footnoteRef/>
      </w:r>
      <w:r w:rsidRPr="00D813C7">
        <w:rPr>
          <w:sz w:val="22"/>
          <w:szCs w:val="22"/>
        </w:rPr>
        <w:t xml:space="preserve"> </w:t>
      </w:r>
      <w:proofErr w:type="gramStart"/>
      <w:r w:rsidRPr="00D813C7">
        <w:rPr>
          <w:i/>
          <w:sz w:val="22"/>
          <w:szCs w:val="22"/>
        </w:rPr>
        <w:t>Id.</w:t>
      </w:r>
      <w:r w:rsidRPr="00D813C7">
        <w:rPr>
          <w:sz w:val="22"/>
          <w:szCs w:val="22"/>
        </w:rPr>
        <w:t xml:space="preserve"> at page 130.</w:t>
      </w:r>
      <w:proofErr w:type="gramEnd"/>
    </w:p>
  </w:footnote>
  <w:footnote w:id="20">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CF</w:t>
      </w:r>
      <w:r w:rsidRPr="00D813C7">
        <w:rPr>
          <w:sz w:val="22"/>
          <w:szCs w:val="22"/>
          <w:vertAlign w:val="subscript"/>
        </w:rPr>
        <w:t>pre</w:t>
      </w:r>
      <w:proofErr w:type="spellEnd"/>
      <w:r w:rsidRPr="00D813C7">
        <w:rPr>
          <w:sz w:val="22"/>
          <w:szCs w:val="22"/>
        </w:rPr>
        <w:t xml:space="preserve"> is the peak coincident factor of a single speed pump from noon to 8PM in a summer weekday prior to pump rescheduling.  This quantity should be inferred from the timer settings.</w:t>
      </w:r>
    </w:p>
  </w:footnote>
  <w:footnote w:id="21">
    <w:p w:rsidR="0057365E" w:rsidRPr="004C44A2"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E92A32">
        <w:rPr>
          <w:i/>
          <w:sz w:val="22"/>
          <w:szCs w:val="22"/>
        </w:rPr>
        <w:t>See</w:t>
      </w:r>
      <w:r w:rsidRPr="00D813C7">
        <w:rPr>
          <w:sz w:val="22"/>
          <w:szCs w:val="22"/>
        </w:rPr>
        <w:t xml:space="preserve">  </w:t>
      </w:r>
      <w:hyperlink r:id="rId3" w:history="1">
        <w:r w:rsidRPr="004C44A2">
          <w:rPr>
            <w:rStyle w:val="Hyperlink"/>
            <w:sz w:val="22"/>
            <w:szCs w:val="22"/>
          </w:rPr>
          <w:t>http://neep.org/uploads/EMV%20Forum/EMV%20Products/Mid%20Atlantic%20TRM_V1d_FINAL.pdf</w:t>
        </w:r>
      </w:hyperlink>
      <w:r w:rsidRPr="004C44A2">
        <w:rPr>
          <w:sz w:val="22"/>
          <w:szCs w:val="22"/>
        </w:rPr>
        <w:t xml:space="preserve"> </w:t>
      </w:r>
    </w:p>
  </w:footnote>
  <w:footnote w:id="22">
    <w:p w:rsidR="0057365E" w:rsidRDefault="0057365E" w:rsidP="009D2884">
      <w:pPr>
        <w:pStyle w:val="FootnoteText"/>
        <w:spacing w:line="240" w:lineRule="auto"/>
      </w:pPr>
      <w:r w:rsidRPr="004C44A2">
        <w:rPr>
          <w:rStyle w:val="FootnoteReference"/>
          <w:sz w:val="22"/>
          <w:szCs w:val="22"/>
        </w:rPr>
        <w:footnoteRef/>
      </w:r>
      <w:r w:rsidRPr="004C44A2">
        <w:rPr>
          <w:sz w:val="22"/>
          <w:szCs w:val="22"/>
        </w:rPr>
        <w:t xml:space="preserve"> </w:t>
      </w:r>
      <w:r w:rsidRPr="00E92A32">
        <w:rPr>
          <w:i/>
          <w:sz w:val="22"/>
          <w:szCs w:val="22"/>
        </w:rPr>
        <w:t>See</w:t>
      </w:r>
      <w:r w:rsidRPr="004C44A2">
        <w:rPr>
          <w:sz w:val="22"/>
          <w:szCs w:val="22"/>
        </w:rPr>
        <w:t xml:space="preserve"> </w:t>
      </w:r>
      <w:hyperlink r:id="rId4" w:history="1">
        <w:r w:rsidRPr="004C44A2">
          <w:rPr>
            <w:rStyle w:val="Hyperlink"/>
            <w:sz w:val="22"/>
            <w:szCs w:val="22"/>
          </w:rPr>
          <w:t>https://sp.gdsassociates.com/sites/39701/Documents/Evaluation%20Compliance%20and%20Guidelines%20Documents/Guidance%20Memos/</w:t>
        </w:r>
      </w:hyperlink>
      <w:r>
        <w:t>.</w:t>
      </w:r>
    </w:p>
  </w:footnote>
  <w:footnote w:id="23">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Commission has amended the protocol titles from the </w:t>
      </w:r>
      <w:r w:rsidRPr="009D2884">
        <w:rPr>
          <w:i/>
          <w:sz w:val="22"/>
          <w:szCs w:val="22"/>
        </w:rPr>
        <w:t>Tentative Order</w:t>
      </w:r>
      <w:r w:rsidRPr="00D813C7">
        <w:rPr>
          <w:sz w:val="22"/>
          <w:szCs w:val="22"/>
        </w:rPr>
        <w:t xml:space="preserve"> to accurately reflect the titles used in the TRM.  The titles used in the </w:t>
      </w:r>
      <w:r w:rsidRPr="009D2884">
        <w:rPr>
          <w:i/>
          <w:sz w:val="22"/>
          <w:szCs w:val="22"/>
        </w:rPr>
        <w:t>Tentative Order</w:t>
      </w:r>
      <w:r w:rsidRPr="00D813C7">
        <w:rPr>
          <w:sz w:val="22"/>
          <w:szCs w:val="22"/>
        </w:rPr>
        <w:t xml:space="preserve"> are located in brackets []. </w:t>
      </w:r>
    </w:p>
  </w:footnote>
  <w:footnote w:id="24">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w:t>
      </w:r>
      <w:r>
        <w:rPr>
          <w:sz w:val="22"/>
          <w:szCs w:val="22"/>
        </w:rPr>
        <w:t>two</w:t>
      </w:r>
      <w:r w:rsidRPr="00D813C7">
        <w:rPr>
          <w:sz w:val="22"/>
          <w:szCs w:val="22"/>
        </w:rPr>
        <w:t xml:space="preserve"> adopted protocols are </w:t>
      </w:r>
      <w:r>
        <w:rPr>
          <w:sz w:val="22"/>
          <w:szCs w:val="22"/>
        </w:rPr>
        <w:t>the</w:t>
      </w:r>
      <w:r w:rsidRPr="00D813C7">
        <w:rPr>
          <w:sz w:val="22"/>
          <w:szCs w:val="22"/>
        </w:rPr>
        <w:t xml:space="preserve"> Exterior Lighting for New Construction and ENERGY STAR Room Air Conditioner.</w:t>
      </w:r>
    </w:p>
  </w:footnote>
  <w:footnote w:id="25">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E92A32">
        <w:rPr>
          <w:i/>
          <w:sz w:val="22"/>
          <w:szCs w:val="22"/>
        </w:rPr>
        <w:t>See</w:t>
      </w:r>
      <w:r w:rsidRPr="00D813C7">
        <w:rPr>
          <w:sz w:val="22"/>
          <w:szCs w:val="22"/>
        </w:rPr>
        <w:t xml:space="preserve"> Section 3.17: </w:t>
      </w:r>
      <w:bookmarkStart w:id="0" w:name="_Toc303691769"/>
      <w:r w:rsidRPr="00D813C7">
        <w:rPr>
          <w:sz w:val="22"/>
          <w:szCs w:val="22"/>
        </w:rPr>
        <w:t>Strip Curtains for Walk-In Freezers and Coolers</w:t>
      </w:r>
      <w:bookmarkEnd w:id="0"/>
      <w:r w:rsidRPr="00D813C7">
        <w:rPr>
          <w:sz w:val="22"/>
          <w:szCs w:val="22"/>
        </w:rPr>
        <w:t>, pp. 227, of the proposed 2012</w:t>
      </w:r>
      <w:r>
        <w:rPr>
          <w:sz w:val="22"/>
          <w:szCs w:val="22"/>
        </w:rPr>
        <w:t xml:space="preserve"> TRM update.</w:t>
      </w:r>
    </w:p>
  </w:footnote>
  <w:footnote w:id="26">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E92A32">
        <w:rPr>
          <w:i/>
          <w:sz w:val="22"/>
          <w:szCs w:val="22"/>
        </w:rPr>
        <w:t>See</w:t>
      </w:r>
      <w:r w:rsidRPr="00D813C7">
        <w:rPr>
          <w:sz w:val="22"/>
          <w:szCs w:val="22"/>
        </w:rPr>
        <w:t xml:space="preserve"> Section 3.25: Refrigeration – Suction Pipe Insulation, pp. 261-262, of the proposed 2012 </w:t>
      </w:r>
      <w:r>
        <w:rPr>
          <w:sz w:val="22"/>
          <w:szCs w:val="22"/>
        </w:rPr>
        <w:t xml:space="preserve">TRM </w:t>
      </w:r>
      <w:r w:rsidRPr="00D813C7">
        <w:rPr>
          <w:sz w:val="22"/>
          <w:szCs w:val="22"/>
        </w:rPr>
        <w:t>update</w:t>
      </w:r>
      <w:r>
        <w:rPr>
          <w:sz w:val="22"/>
          <w:szCs w:val="22"/>
        </w:rPr>
        <w:t>.</w:t>
      </w:r>
    </w:p>
  </w:footnote>
  <w:footnote w:id="27">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E92A32">
        <w:rPr>
          <w:i/>
          <w:sz w:val="22"/>
          <w:szCs w:val="22"/>
        </w:rPr>
        <w:t>See</w:t>
      </w:r>
      <w:r w:rsidRPr="00D813C7">
        <w:rPr>
          <w:sz w:val="22"/>
          <w:szCs w:val="22"/>
        </w:rPr>
        <w:t xml:space="preserve"> Section 3.26: Refrigeration – Evaporator Fan Controllers, pp. 264-265, of the proposed 2012 </w:t>
      </w:r>
      <w:r>
        <w:rPr>
          <w:sz w:val="22"/>
          <w:szCs w:val="22"/>
        </w:rPr>
        <w:t xml:space="preserve">TRM </w:t>
      </w:r>
      <w:r w:rsidRPr="00D813C7">
        <w:rPr>
          <w:sz w:val="22"/>
          <w:szCs w:val="22"/>
        </w:rPr>
        <w:t>update</w:t>
      </w:r>
      <w:r>
        <w:rPr>
          <w:sz w:val="22"/>
          <w:szCs w:val="22"/>
        </w:rPr>
        <w:t>.</w:t>
      </w:r>
      <w:r w:rsidRPr="00D813C7">
        <w:rPr>
          <w:sz w:val="22"/>
          <w:szCs w:val="22"/>
        </w:rPr>
        <w:t xml:space="preserve"> </w:t>
      </w:r>
    </w:p>
  </w:footnote>
  <w:footnote w:id="28">
    <w:p w:rsidR="0057365E" w:rsidRPr="00D813C7" w:rsidRDefault="0057365E" w:rsidP="00E92A32">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proofErr w:type="gramStart"/>
      <w:r w:rsidRPr="00D813C7">
        <w:rPr>
          <w:sz w:val="22"/>
          <w:szCs w:val="22"/>
        </w:rPr>
        <w:t>kW</w:t>
      </w:r>
      <w:r w:rsidRPr="00D813C7">
        <w:rPr>
          <w:sz w:val="22"/>
          <w:szCs w:val="22"/>
          <w:vertAlign w:val="subscript"/>
        </w:rPr>
        <w:t>fan</w:t>
      </w:r>
      <w:proofErr w:type="spellEnd"/>
      <w:proofErr w:type="gramEnd"/>
      <w:r w:rsidRPr="00D813C7">
        <w:rPr>
          <w:sz w:val="22"/>
          <w:szCs w:val="22"/>
        </w:rPr>
        <w:t xml:space="preserve"> refers to the power demand of the evaporator fan calculated from equipment nameplate data and estimated power factor/adjustment.  </w:t>
      </w:r>
      <w:proofErr w:type="spellStart"/>
      <w:proofErr w:type="gramStart"/>
      <w:r w:rsidRPr="00D813C7">
        <w:rPr>
          <w:sz w:val="22"/>
          <w:szCs w:val="22"/>
        </w:rPr>
        <w:t>kW</w:t>
      </w:r>
      <w:r w:rsidRPr="00D813C7">
        <w:rPr>
          <w:sz w:val="22"/>
          <w:szCs w:val="22"/>
          <w:vertAlign w:val="subscript"/>
        </w:rPr>
        <w:t>CP</w:t>
      </w:r>
      <w:proofErr w:type="spellEnd"/>
      <w:proofErr w:type="gramEnd"/>
      <w:r w:rsidRPr="00D813C7">
        <w:rPr>
          <w:sz w:val="22"/>
          <w:szCs w:val="22"/>
        </w:rPr>
        <w:t xml:space="preserve"> refers to the total power demand of a compressor motor and condenser fan calculated from nameplate data and estimated power factor.</w:t>
      </w:r>
    </w:p>
  </w:footnote>
  <w:footnote w:id="29">
    <w:p w:rsidR="0057365E" w:rsidRPr="00D813C7" w:rsidRDefault="0057365E" w:rsidP="002079FA">
      <w:pPr>
        <w:pStyle w:val="FootnoteText"/>
        <w:rPr>
          <w:sz w:val="22"/>
          <w:szCs w:val="22"/>
        </w:rPr>
      </w:pPr>
      <w:r w:rsidRPr="00D813C7">
        <w:rPr>
          <w:rStyle w:val="FootnoteReference"/>
          <w:sz w:val="22"/>
          <w:szCs w:val="22"/>
        </w:rPr>
        <w:footnoteRef/>
      </w:r>
      <w:r w:rsidRPr="00D813C7">
        <w:rPr>
          <w:sz w:val="22"/>
          <w:szCs w:val="22"/>
        </w:rPr>
        <w:t xml:space="preserve"> Consortium for Energy Efficiency: </w:t>
      </w:r>
      <w:hyperlink r:id="rId5" w:history="1">
        <w:r w:rsidRPr="00D813C7">
          <w:rPr>
            <w:rStyle w:val="Hyperlink"/>
            <w:sz w:val="22"/>
            <w:szCs w:val="22"/>
          </w:rPr>
          <w:t>http://www.cee1.org/resid/seha/rwsh/reswash_specs.pdf</w:t>
        </w:r>
      </w:hyperlink>
      <w:r>
        <w:rPr>
          <w:sz w:val="22"/>
          <w:szCs w:val="22"/>
        </w:rPr>
        <w:t>.</w:t>
      </w:r>
    </w:p>
  </w:footnote>
  <w:footnote w:id="30">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DEER = Database for Energy Efficient Resources available at </w:t>
      </w:r>
      <w:hyperlink r:id="rId6" w:history="1">
        <w:r w:rsidRPr="00D813C7">
          <w:rPr>
            <w:rStyle w:val="Hyperlink"/>
            <w:sz w:val="22"/>
            <w:szCs w:val="22"/>
          </w:rPr>
          <w:t>http://www.deeresources.com/</w:t>
        </w:r>
      </w:hyperlink>
      <w:r w:rsidRPr="00D813C7">
        <w:rPr>
          <w:sz w:val="22"/>
          <w:szCs w:val="22"/>
        </w:rPr>
        <w:t xml:space="preserve">. </w:t>
      </w:r>
    </w:p>
  </w:footnote>
  <w:footnote w:id="31">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EF</w:t>
      </w:r>
      <w:r w:rsidRPr="00D813C7">
        <w:rPr>
          <w:sz w:val="22"/>
          <w:szCs w:val="22"/>
          <w:vertAlign w:val="subscript"/>
        </w:rPr>
        <w:t>base</w:t>
      </w:r>
      <w:proofErr w:type="spellEnd"/>
      <w:r w:rsidRPr="00D813C7">
        <w:rPr>
          <w:sz w:val="22"/>
          <w:szCs w:val="22"/>
          <w:vertAlign w:val="subscript"/>
        </w:rPr>
        <w:t xml:space="preserve"> </w:t>
      </w:r>
      <w:r w:rsidRPr="00D813C7">
        <w:rPr>
          <w:sz w:val="22"/>
          <w:szCs w:val="22"/>
        </w:rPr>
        <w:t>is the Energy Factor of a baseline water heater.</w:t>
      </w:r>
    </w:p>
  </w:footnote>
  <w:footnote w:id="32">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resistive heating discount factor attempts to account for possible increased reliance on back-up resistive heating elements during peak usage conditions. </w:t>
      </w:r>
    </w:p>
  </w:footnote>
  <w:footnote w:id="33">
    <w:p w:rsidR="0057365E" w:rsidRPr="00D813C7" w:rsidRDefault="0057365E" w:rsidP="007416C3">
      <w:pPr>
        <w:pStyle w:val="source1"/>
        <w:numPr>
          <w:ilvl w:val="0"/>
          <w:numId w:val="0"/>
        </w:numPr>
        <w:spacing w:line="240" w:lineRule="auto"/>
        <w:rPr>
          <w:rFonts w:ascii="Times New Roman" w:hAnsi="Times New Roman" w:cs="Times New Roman"/>
          <w:sz w:val="22"/>
          <w:szCs w:val="22"/>
        </w:rPr>
      </w:pPr>
      <w:r w:rsidRPr="00D813C7">
        <w:rPr>
          <w:rStyle w:val="FootnoteReference"/>
          <w:rFonts w:ascii="Times New Roman" w:hAnsi="Times New Roman"/>
          <w:sz w:val="22"/>
          <w:szCs w:val="22"/>
        </w:rPr>
        <w:footnoteRef/>
      </w:r>
      <w:r w:rsidRPr="00D813C7">
        <w:rPr>
          <w:rFonts w:ascii="Times New Roman" w:hAnsi="Times New Roman" w:cs="Times New Roman"/>
          <w:sz w:val="22"/>
          <w:szCs w:val="22"/>
        </w:rPr>
        <w:t xml:space="preserve"> Federal Standards are 0.67 -0.0019 x Rated Storage in Gallons.  For a 40-gallon tank this is 0.594.  “Energy Conservation Program: Energy Conservation Standards for Residential Water Heaters, Direct Heating Equipment, and Pool Heaters” US Department of Energy Docket Number: EE–2006–BT-STD–0129, p. 30</w:t>
      </w:r>
      <w:r>
        <w:rPr>
          <w:rFonts w:ascii="Times New Roman" w:hAnsi="Times New Roman" w:cs="Times New Roman"/>
          <w:sz w:val="22"/>
          <w:szCs w:val="22"/>
        </w:rPr>
        <w:t>.</w:t>
      </w:r>
    </w:p>
  </w:footnote>
  <w:footnote w:id="34">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Federal Standards are 0.67 -0.0019 x Rated Storage in Gallons. For a 40-gallon tank this is 0.594. “Energy Conservation Program: Energy Conservation Standards for Residential Water Heaters, Direct Heating Equipment, and Pool Heaters” US Dep</w:t>
      </w:r>
      <w:r>
        <w:rPr>
          <w:sz w:val="22"/>
          <w:szCs w:val="22"/>
        </w:rPr>
        <w:t>artment</w:t>
      </w:r>
      <w:r w:rsidRPr="00D813C7">
        <w:rPr>
          <w:sz w:val="22"/>
          <w:szCs w:val="22"/>
        </w:rPr>
        <w:t xml:space="preserve"> of Energy Docket Number: EE–2006–BT-STD–0129, p. 30</w:t>
      </w:r>
      <w:r>
        <w:rPr>
          <w:sz w:val="22"/>
          <w:szCs w:val="22"/>
        </w:rPr>
        <w:t>.</w:t>
      </w:r>
    </w:p>
  </w:footnote>
  <w:footnote w:id="35">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T</w:t>
      </w:r>
      <w:r w:rsidRPr="00D813C7">
        <w:rPr>
          <w:sz w:val="22"/>
          <w:szCs w:val="22"/>
          <w:vertAlign w:val="subscript"/>
        </w:rPr>
        <w:t>c</w:t>
      </w:r>
      <w:proofErr w:type="spellEnd"/>
      <w:r w:rsidRPr="00D813C7">
        <w:rPr>
          <w:sz w:val="22"/>
          <w:szCs w:val="22"/>
        </w:rPr>
        <w:t xml:space="preserve"> represents the cold water temperature for non-grocery applications.</w:t>
      </w:r>
    </w:p>
  </w:footnote>
  <w:footnote w:id="36">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7416C3">
        <w:rPr>
          <w:i/>
          <w:sz w:val="22"/>
          <w:szCs w:val="22"/>
        </w:rPr>
        <w:t>See</w:t>
      </w:r>
      <w:r w:rsidRPr="00D813C7">
        <w:rPr>
          <w:sz w:val="22"/>
          <w:szCs w:val="22"/>
        </w:rPr>
        <w:t xml:space="preserve"> </w:t>
      </w:r>
      <w:bookmarkStart w:id="1" w:name="_Toc303691783"/>
      <w:r w:rsidRPr="00D813C7">
        <w:rPr>
          <w:sz w:val="22"/>
          <w:szCs w:val="22"/>
        </w:rPr>
        <w:t>Section 3-31: Low Flow Pre-Rinse Sprayers</w:t>
      </w:r>
      <w:bookmarkEnd w:id="1"/>
      <w:r w:rsidRPr="00D813C7">
        <w:rPr>
          <w:sz w:val="22"/>
          <w:szCs w:val="22"/>
        </w:rPr>
        <w:t xml:space="preserve">, pp. 288, of the proposed 2012 </w:t>
      </w:r>
      <w:r>
        <w:rPr>
          <w:sz w:val="22"/>
          <w:szCs w:val="22"/>
        </w:rPr>
        <w:t xml:space="preserve">TRM </w:t>
      </w:r>
      <w:r w:rsidRPr="00D813C7">
        <w:rPr>
          <w:sz w:val="22"/>
          <w:szCs w:val="22"/>
        </w:rPr>
        <w:t>update</w:t>
      </w:r>
      <w:r>
        <w:rPr>
          <w:sz w:val="22"/>
          <w:szCs w:val="22"/>
        </w:rPr>
        <w:t>.</w:t>
      </w:r>
      <w:r w:rsidRPr="00D813C7">
        <w:rPr>
          <w:sz w:val="22"/>
          <w:szCs w:val="22"/>
        </w:rPr>
        <w:t xml:space="preserve"> </w:t>
      </w:r>
    </w:p>
  </w:footnote>
  <w:footnote w:id="37">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Measures 3-27, 3-28, 3-29, and 3-31 are ENERGY STAR Clothes Washer (Electric Water Heater, Electric Dryer), Electric Resistance Water Heaters, Heat Pump Water Heaters, and Low Flow Pre-Rinse Sprayers, respectively.  </w:t>
      </w:r>
    </w:p>
  </w:footnote>
  <w:footnote w:id="38">
    <w:p w:rsidR="0057365E" w:rsidRPr="00D813C7" w:rsidRDefault="0057365E" w:rsidP="007416C3">
      <w:pPr>
        <w:pStyle w:val="FootnoteText"/>
        <w:spacing w:line="240" w:lineRule="auto"/>
        <w:rPr>
          <w:i/>
          <w:sz w:val="22"/>
          <w:szCs w:val="22"/>
        </w:rPr>
      </w:pPr>
      <w:r w:rsidRPr="00D813C7">
        <w:rPr>
          <w:rStyle w:val="FootnoteReference"/>
          <w:sz w:val="22"/>
          <w:szCs w:val="22"/>
        </w:rPr>
        <w:footnoteRef/>
      </w:r>
      <w:r w:rsidRPr="00D813C7">
        <w:rPr>
          <w:sz w:val="22"/>
          <w:szCs w:val="22"/>
        </w:rPr>
        <w:t xml:space="preserve"> </w:t>
      </w:r>
      <w:r w:rsidRPr="00D813C7">
        <w:rPr>
          <w:i/>
          <w:sz w:val="22"/>
          <w:szCs w:val="22"/>
        </w:rPr>
        <w:t xml:space="preserve">See, e.g., Petition of West Penn Power Company d/b/a Allegheny Power for Approval of its Energy Efficiency and Conservation Plan, Approval of Recovery of its Costs through a Reconcilable Adjustment Clause and Approval of Matters Relating to the Energy Efficiency and Conservation Plan, Opinion and Order </w:t>
      </w:r>
      <w:r w:rsidRPr="00D813C7">
        <w:rPr>
          <w:sz w:val="22"/>
          <w:szCs w:val="22"/>
        </w:rPr>
        <w:t>at Docket No. M-2009-2093218 (entered October 23, 2009) at 51, 52 and 104; and</w:t>
      </w:r>
      <w:r w:rsidRPr="00D813C7">
        <w:rPr>
          <w:i/>
          <w:sz w:val="22"/>
          <w:szCs w:val="22"/>
        </w:rPr>
        <w:t xml:space="preserve"> Petition of PPL Electric Utilities Corporation for Approval of its Energy Efficiency and Conservation Plan, Opinion and Order </w:t>
      </w:r>
      <w:r w:rsidRPr="00D813C7">
        <w:rPr>
          <w:sz w:val="22"/>
          <w:szCs w:val="22"/>
        </w:rPr>
        <w:t xml:space="preserve">at Docket No. </w:t>
      </w:r>
      <w:proofErr w:type="gramStart"/>
      <w:r w:rsidRPr="00D813C7">
        <w:rPr>
          <w:sz w:val="22"/>
          <w:szCs w:val="22"/>
        </w:rPr>
        <w:t>M-2009-2093216 (entered October 26, 2009) at 90.</w:t>
      </w:r>
      <w:proofErr w:type="gramEnd"/>
    </w:p>
  </w:footnote>
  <w:footnote w:id="39">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Implementation of Act 129 of 2008 – Total Resource Cost (TRC) Test - 2011 Revisions</w:t>
      </w:r>
      <w:r>
        <w:rPr>
          <w:sz w:val="22"/>
          <w:szCs w:val="22"/>
        </w:rPr>
        <w:t>,</w:t>
      </w:r>
      <w:r w:rsidRPr="00D813C7">
        <w:rPr>
          <w:sz w:val="22"/>
          <w:szCs w:val="22"/>
        </w:rPr>
        <w:t xml:space="preserve"> Final Order at Docket No. M 2009-2108601, entered August 2, 2011.</w:t>
      </w:r>
    </w:p>
  </w:footnote>
  <w:footnote w:id="40">
    <w:p w:rsidR="0057365E" w:rsidRDefault="0057365E" w:rsidP="007416C3">
      <w:pPr>
        <w:pStyle w:val="FootnoteText"/>
        <w:spacing w:line="240" w:lineRule="auto"/>
      </w:pPr>
      <w:r>
        <w:rPr>
          <w:rStyle w:val="FootnoteReference"/>
        </w:rPr>
        <w:footnoteRef/>
      </w:r>
      <w:r>
        <w:t xml:space="preserve"> </w:t>
      </w:r>
      <w:proofErr w:type="gramStart"/>
      <w:r w:rsidRPr="00DD5961">
        <w:rPr>
          <w:i/>
        </w:rPr>
        <w:t>Id</w:t>
      </w:r>
      <w:r>
        <w:t>. at 28.</w:t>
      </w:r>
      <w:proofErr w:type="gramEnd"/>
    </w:p>
  </w:footnote>
  <w:footnote w:id="41">
    <w:p w:rsidR="0057365E" w:rsidRDefault="0057365E" w:rsidP="007416C3">
      <w:pPr>
        <w:pStyle w:val="FootnoteText"/>
        <w:spacing w:line="240" w:lineRule="auto"/>
      </w:pPr>
      <w:r>
        <w:rPr>
          <w:rStyle w:val="FootnoteReference"/>
        </w:rPr>
        <w:footnoteRef/>
      </w:r>
      <w:r>
        <w:t xml:space="preserve"> </w:t>
      </w:r>
      <w:proofErr w:type="gramStart"/>
      <w:r w:rsidRPr="00DD5961">
        <w:rPr>
          <w:i/>
        </w:rPr>
        <w:t>Id</w:t>
      </w:r>
      <w:r>
        <w:t>. at 40.</w:t>
      </w:r>
      <w:proofErr w:type="gramEnd"/>
    </w:p>
  </w:footnote>
  <w:footnote w:id="42">
    <w:p w:rsidR="0057365E" w:rsidRPr="00D813C7" w:rsidRDefault="0057365E" w:rsidP="007416C3">
      <w:pPr>
        <w:pStyle w:val="FootnoteText"/>
        <w:spacing w:line="240" w:lineRule="auto"/>
        <w:rPr>
          <w:i/>
          <w:sz w:val="22"/>
          <w:szCs w:val="22"/>
        </w:rPr>
      </w:pPr>
      <w:r w:rsidRPr="00D813C7">
        <w:rPr>
          <w:rStyle w:val="FootnoteReference"/>
          <w:sz w:val="22"/>
          <w:szCs w:val="22"/>
        </w:rPr>
        <w:footnoteRef/>
      </w:r>
      <w:r w:rsidRPr="00D813C7">
        <w:rPr>
          <w:sz w:val="22"/>
          <w:szCs w:val="22"/>
        </w:rPr>
        <w:t xml:space="preserve"> </w:t>
      </w:r>
      <w:r w:rsidRPr="007416C3">
        <w:rPr>
          <w:i/>
          <w:sz w:val="22"/>
          <w:szCs w:val="22"/>
        </w:rPr>
        <w:t>See</w:t>
      </w:r>
      <w:r w:rsidRPr="00D813C7">
        <w:rPr>
          <w:sz w:val="22"/>
          <w:szCs w:val="22"/>
        </w:rPr>
        <w:t xml:space="preserve"> Residential ENERGY STAR Lighting, pages 24-26, of the </w:t>
      </w:r>
      <w:r w:rsidRPr="00D813C7">
        <w:rPr>
          <w:i/>
          <w:sz w:val="22"/>
          <w:szCs w:val="22"/>
        </w:rPr>
        <w:t>2009 Technical Reference Manual.</w:t>
      </w:r>
    </w:p>
  </w:footnote>
  <w:footnote w:id="43">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7416C3">
        <w:rPr>
          <w:i/>
          <w:sz w:val="22"/>
          <w:szCs w:val="22"/>
        </w:rPr>
        <w:t>See</w:t>
      </w:r>
      <w:r w:rsidRPr="00D813C7">
        <w:rPr>
          <w:sz w:val="22"/>
          <w:szCs w:val="22"/>
        </w:rPr>
        <w:t xml:space="preserve"> Section 4.2: Residential ENERGY STAR Lighting, pages 24-26, of the </w:t>
      </w:r>
      <w:r w:rsidRPr="00D813C7">
        <w:rPr>
          <w:i/>
          <w:sz w:val="22"/>
          <w:szCs w:val="22"/>
        </w:rPr>
        <w:t>2010 Technical Reference Manual.</w:t>
      </w:r>
    </w:p>
  </w:footnote>
  <w:footnote w:id="44">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7416C3">
        <w:rPr>
          <w:i/>
          <w:sz w:val="22"/>
          <w:szCs w:val="22"/>
        </w:rPr>
        <w:t>See</w:t>
      </w:r>
      <w:r w:rsidRPr="00D813C7">
        <w:rPr>
          <w:sz w:val="22"/>
          <w:szCs w:val="22"/>
        </w:rPr>
        <w:t xml:space="preserve"> Section. 2.26: ENERGY STAR Lighting, pages 106-108, of the </w:t>
      </w:r>
      <w:r w:rsidRPr="00D813C7">
        <w:rPr>
          <w:i/>
          <w:sz w:val="22"/>
          <w:szCs w:val="22"/>
        </w:rPr>
        <w:t>2011 Technical Reference Manual.</w:t>
      </w:r>
    </w:p>
  </w:footnote>
  <w:footnote w:id="45">
    <w:p w:rsidR="0057365E" w:rsidRPr="00D813C7" w:rsidRDefault="0057365E" w:rsidP="007416C3">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Implementation of the Alternative Energy Portfolio Standards Act of 2004:  Standards for the Participation of Demand Side Management Resources – Technical Reference Manual Update Order</w:t>
      </w:r>
      <w:r w:rsidRPr="00D813C7">
        <w:rPr>
          <w:sz w:val="22"/>
          <w:szCs w:val="22"/>
        </w:rPr>
        <w:t xml:space="preserve"> at Docket No. M 00051865, entered February 28, 2011, at page 36.</w:t>
      </w:r>
    </w:p>
  </w:footnote>
  <w:footnote w:id="46">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gramStart"/>
      <w:r w:rsidRPr="00D813C7">
        <w:rPr>
          <w:sz w:val="22"/>
          <w:szCs w:val="22"/>
        </w:rPr>
        <w:t>“Residential Lighting Markdown Impact Evaluation” by Nexus Market Research, Inc., RLW Analytics, Inc., and GDS Associates.</w:t>
      </w:r>
      <w:proofErr w:type="gramEnd"/>
      <w:r w:rsidRPr="00D813C7">
        <w:rPr>
          <w:sz w:val="22"/>
          <w:szCs w:val="22"/>
        </w:rPr>
        <w:t xml:space="preserve">  </w:t>
      </w:r>
      <w:proofErr w:type="gramStart"/>
      <w:r w:rsidRPr="00D813C7">
        <w:rPr>
          <w:sz w:val="22"/>
          <w:szCs w:val="22"/>
        </w:rPr>
        <w:t xml:space="preserve">Submitted to the Markdown and </w:t>
      </w:r>
      <w:proofErr w:type="spellStart"/>
      <w:r w:rsidRPr="00D813C7">
        <w:rPr>
          <w:sz w:val="22"/>
          <w:szCs w:val="22"/>
        </w:rPr>
        <w:t>Buydown</w:t>
      </w:r>
      <w:proofErr w:type="spellEnd"/>
      <w:r w:rsidRPr="00D813C7">
        <w:rPr>
          <w:sz w:val="22"/>
          <w:szCs w:val="22"/>
        </w:rPr>
        <w:t xml:space="preserve"> Program Sponsors in Connecticut, Massachusetts, Rhode Island and Vermont on January 20, 2009.</w:t>
      </w:r>
      <w:proofErr w:type="gramEnd"/>
    </w:p>
  </w:footnote>
  <w:footnote w:id="47">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EmPOWER</w:t>
      </w:r>
      <w:proofErr w:type="spellEnd"/>
      <w:r w:rsidRPr="00D813C7">
        <w:rPr>
          <w:sz w:val="22"/>
          <w:szCs w:val="22"/>
        </w:rPr>
        <w:t xml:space="preserve"> Maryland 2010 Interim Evaluation Report – Chapter 5: Lighting and Appliances” by Navigant Consulting.  </w:t>
      </w:r>
      <w:proofErr w:type="gramStart"/>
      <w:r w:rsidRPr="00D813C7">
        <w:rPr>
          <w:sz w:val="22"/>
          <w:szCs w:val="22"/>
        </w:rPr>
        <w:t>Presented to Baltimore Gas and Electric, Potomac Electric Power Company, Delmarva Power and Light, Southern Maryland Electric Cooperative, and Allegheny Power.</w:t>
      </w:r>
      <w:proofErr w:type="gramEnd"/>
      <w:r w:rsidRPr="00D813C7">
        <w:rPr>
          <w:sz w:val="22"/>
          <w:szCs w:val="22"/>
        </w:rPr>
        <w:t xml:space="preserve">  Originally submitted January 15, 2011, and updated March 9, 2011.</w:t>
      </w:r>
    </w:p>
  </w:footnote>
  <w:footnote w:id="48">
    <w:p w:rsidR="0057365E" w:rsidRPr="00D813C7" w:rsidRDefault="0057365E">
      <w:pPr>
        <w:pStyle w:val="FootnoteText"/>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Tentative Order</w:t>
      </w:r>
      <w:r w:rsidRPr="00D813C7">
        <w:rPr>
          <w:sz w:val="22"/>
          <w:szCs w:val="22"/>
        </w:rPr>
        <w:t xml:space="preserve"> at page 18.</w:t>
      </w:r>
    </w:p>
  </w:footnote>
  <w:footnote w:id="49">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EE7348">
        <w:rPr>
          <w:i/>
          <w:sz w:val="22"/>
          <w:szCs w:val="22"/>
        </w:rPr>
        <w:t>See</w:t>
      </w:r>
      <w:r w:rsidRPr="00D813C7">
        <w:rPr>
          <w:sz w:val="22"/>
          <w:szCs w:val="22"/>
        </w:rPr>
        <w:t xml:space="preserve"> Section 4.5: Refrigerator/Freezer Retirement, pages 29 and 30, of the 2010 </w:t>
      </w:r>
      <w:r w:rsidRPr="00D813C7">
        <w:rPr>
          <w:i/>
          <w:sz w:val="22"/>
          <w:szCs w:val="22"/>
        </w:rPr>
        <w:t>Technical Reference Manual</w:t>
      </w:r>
      <w:r w:rsidRPr="00D813C7">
        <w:rPr>
          <w:sz w:val="22"/>
          <w:szCs w:val="22"/>
        </w:rPr>
        <w:t xml:space="preserve">.  </w:t>
      </w:r>
      <w:r w:rsidRPr="00EE7348">
        <w:rPr>
          <w:i/>
          <w:sz w:val="22"/>
          <w:szCs w:val="22"/>
        </w:rPr>
        <w:t>See also</w:t>
      </w:r>
      <w:r w:rsidRPr="00D813C7">
        <w:rPr>
          <w:sz w:val="22"/>
          <w:szCs w:val="22"/>
        </w:rPr>
        <w:t xml:space="preserve"> Section 2.23: Refrigerator/Freezer Retirement (and Recycling), pages 94 and 95, of the 2011 </w:t>
      </w:r>
      <w:r w:rsidRPr="00D813C7">
        <w:rPr>
          <w:i/>
          <w:sz w:val="22"/>
          <w:szCs w:val="22"/>
        </w:rPr>
        <w:t>Technical Reference Manual</w:t>
      </w:r>
      <w:r w:rsidRPr="00D813C7">
        <w:rPr>
          <w:sz w:val="22"/>
          <w:szCs w:val="22"/>
        </w:rPr>
        <w:t>.</w:t>
      </w:r>
    </w:p>
  </w:footnote>
  <w:footnote w:id="50">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See </w:t>
      </w:r>
      <w:hyperlink r:id="rId7" w:history="1">
        <w:r w:rsidRPr="00D813C7">
          <w:rPr>
            <w:rStyle w:val="Hyperlink"/>
            <w:sz w:val="22"/>
            <w:szCs w:val="22"/>
          </w:rPr>
          <w:t>http://calmac.org/publications/FinalResidentialRetroEvaluationReport_11.pdf</w:t>
        </w:r>
      </w:hyperlink>
      <w:r w:rsidRPr="00D813C7">
        <w:rPr>
          <w:sz w:val="22"/>
          <w:szCs w:val="22"/>
        </w:rPr>
        <w:t>, page 138.</w:t>
      </w:r>
    </w:p>
  </w:footnote>
  <w:footnote w:id="51">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Including studies from the CPUC Evaluation Study of the 2004-05 Statewide Residential Appliance Recycling Program, CPUC 2006-08 Residential Retrofit High Impact Measure Evaluation Report, OPA 2008 and 2009 Great Refrigerator Roundup Program, AEP Ohio Appliance Recycling Program Evaluation Report (PY1), </w:t>
      </w:r>
      <w:proofErr w:type="spellStart"/>
      <w:r w:rsidRPr="00D813C7">
        <w:rPr>
          <w:sz w:val="22"/>
          <w:szCs w:val="22"/>
        </w:rPr>
        <w:t>ComEd</w:t>
      </w:r>
      <w:proofErr w:type="spellEnd"/>
      <w:r w:rsidRPr="00D813C7">
        <w:rPr>
          <w:sz w:val="22"/>
          <w:szCs w:val="22"/>
        </w:rPr>
        <w:t xml:space="preserve"> Evaluation Report: Residential Appliance Recycling for PY1 and PY2, Rocky Mountain Power Utah Refrigerator and Freezer Recycling Program 2006-2008 and Rocky Mountain Power Idaho Refrigerator and Freezer Recycling Program 2006-2008.</w:t>
      </w:r>
    </w:p>
  </w:footnote>
  <w:footnote w:id="52">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CA 2004-05 and 2006-08 regression models can be found within their respective evaluation reports at www.calmac.org. </w:t>
      </w:r>
    </w:p>
  </w:footnote>
  <w:footnote w:id="53">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Implementation of the Alternative Energy Portfolio Standards Act of 2004:  Standards for the Participation of Demand Side Management Resources – Technical Reference Manual Update Order</w:t>
      </w:r>
      <w:r w:rsidRPr="00D813C7">
        <w:rPr>
          <w:sz w:val="22"/>
          <w:szCs w:val="22"/>
        </w:rPr>
        <w:t xml:space="preserve"> at Docket No. M 00051865, entered February 28, 2011, at page 39.</w:t>
      </w:r>
    </w:p>
  </w:footnote>
  <w:footnote w:id="54">
    <w:p w:rsidR="0057365E" w:rsidRPr="00D813C7" w:rsidRDefault="0057365E" w:rsidP="00EE7348">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w:t>
      </w:r>
      <w:r w:rsidRPr="00D813C7">
        <w:rPr>
          <w:sz w:val="22"/>
          <w:szCs w:val="22"/>
        </w:rPr>
        <w:t xml:space="preserve"> 42 U.S.C.A. § 6295(g</w:t>
      </w:r>
      <w:proofErr w:type="gramStart"/>
      <w:r w:rsidRPr="00D813C7">
        <w:rPr>
          <w:sz w:val="22"/>
          <w:szCs w:val="22"/>
        </w:rPr>
        <w:t>)(</w:t>
      </w:r>
      <w:proofErr w:type="gramEnd"/>
      <w:r w:rsidRPr="00D813C7">
        <w:rPr>
          <w:sz w:val="22"/>
          <w:szCs w:val="22"/>
        </w:rPr>
        <w:t>8) (West Supp. 2011)</w:t>
      </w:r>
      <w:r>
        <w:rPr>
          <w:sz w:val="22"/>
          <w:szCs w:val="22"/>
        </w:rPr>
        <w:t>.</w:t>
      </w:r>
      <w:r w:rsidRPr="00D813C7">
        <w:rPr>
          <w:sz w:val="22"/>
          <w:szCs w:val="22"/>
        </w:rPr>
        <w:t xml:space="preserve"> </w:t>
      </w:r>
    </w:p>
  </w:footnote>
  <w:footnote w:id="55">
    <w:p w:rsidR="0057365E" w:rsidRPr="00D813C7" w:rsidRDefault="0057365E" w:rsidP="005E7865">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 xml:space="preserve">See </w:t>
      </w:r>
      <w:r w:rsidRPr="00EE7348">
        <w:rPr>
          <w:sz w:val="22"/>
          <w:szCs w:val="22"/>
        </w:rPr>
        <w:t>Section 3.2.6: Quantifying Annual Hours of Operation</w:t>
      </w:r>
      <w:r>
        <w:rPr>
          <w:sz w:val="22"/>
          <w:szCs w:val="22"/>
        </w:rPr>
        <w:t xml:space="preserve">, page 28, of the </w:t>
      </w:r>
      <w:r w:rsidRPr="00EE7348">
        <w:rPr>
          <w:i/>
          <w:sz w:val="22"/>
          <w:szCs w:val="22"/>
        </w:rPr>
        <w:t>2011</w:t>
      </w:r>
      <w:r>
        <w:rPr>
          <w:sz w:val="22"/>
          <w:szCs w:val="22"/>
        </w:rPr>
        <w:t xml:space="preserve"> </w:t>
      </w:r>
      <w:r w:rsidRPr="00D813C7">
        <w:rPr>
          <w:i/>
          <w:sz w:val="22"/>
          <w:szCs w:val="22"/>
        </w:rPr>
        <w:t>Technical Reference Manual</w:t>
      </w:r>
      <w:r>
        <w:rPr>
          <w:sz w:val="22"/>
          <w:szCs w:val="22"/>
        </w:rPr>
        <w:t>.</w:t>
      </w:r>
    </w:p>
  </w:footnote>
  <w:footnote w:id="56">
    <w:p w:rsidR="0057365E" w:rsidRPr="00EE7348" w:rsidRDefault="0057365E">
      <w:pPr>
        <w:pStyle w:val="FootnoteText"/>
        <w:rPr>
          <w:sz w:val="22"/>
          <w:szCs w:val="22"/>
        </w:rPr>
      </w:pPr>
      <w:r w:rsidRPr="00D813C7">
        <w:rPr>
          <w:rStyle w:val="FootnoteReference"/>
          <w:sz w:val="22"/>
          <w:szCs w:val="22"/>
        </w:rPr>
        <w:footnoteRef/>
      </w:r>
      <w:r w:rsidRPr="00D813C7">
        <w:rPr>
          <w:sz w:val="22"/>
          <w:szCs w:val="22"/>
        </w:rPr>
        <w:t xml:space="preserve"> </w:t>
      </w:r>
      <w:r w:rsidRPr="00D813C7">
        <w:rPr>
          <w:i/>
          <w:sz w:val="22"/>
          <w:szCs w:val="22"/>
        </w:rPr>
        <w:t xml:space="preserve">See </w:t>
      </w:r>
      <w:r w:rsidRPr="00EE7348">
        <w:rPr>
          <w:sz w:val="22"/>
          <w:szCs w:val="22"/>
        </w:rPr>
        <w:t>Table 3-2: Hours of Use for Usage Groups</w:t>
      </w:r>
      <w:r>
        <w:rPr>
          <w:sz w:val="22"/>
          <w:szCs w:val="22"/>
        </w:rPr>
        <w:t xml:space="preserve">, page 29, of the </w:t>
      </w:r>
      <w:r w:rsidRPr="00EE7348">
        <w:rPr>
          <w:i/>
          <w:sz w:val="22"/>
          <w:szCs w:val="22"/>
        </w:rPr>
        <w:t xml:space="preserve">2011 </w:t>
      </w:r>
      <w:r w:rsidRPr="00D813C7">
        <w:rPr>
          <w:i/>
          <w:sz w:val="22"/>
          <w:szCs w:val="22"/>
        </w:rPr>
        <w:t>Technical Reference Manual</w:t>
      </w:r>
      <w:r>
        <w:rPr>
          <w:sz w:val="22"/>
          <w:szCs w:val="22"/>
        </w:rPr>
        <w:t>.</w:t>
      </w:r>
    </w:p>
  </w:footnote>
  <w:footnote w:id="57">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Footnote 125 stated “This value was agreed upon by the Technical Working Group convened to discuss updates to the TRM. This value is subject to adjustment for the 2012 Update based on implementation feedback during PY2 and PY3.”  The note for Table 3-4 stated “Coincidence Factors were not agreed upon prior to release of this document in January 2011. 0.77 represents the simple average of all existing coincidence factors (16.19 divided by 21).”</w:t>
      </w:r>
    </w:p>
  </w:footnote>
  <w:footnote w:id="58">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Massachusetts Statewide Technical Reference Manual for Estimating Savings from Energy Efficiency Measures</w:t>
      </w:r>
      <w:r w:rsidRPr="00D813C7">
        <w:rPr>
          <w:sz w:val="22"/>
          <w:szCs w:val="22"/>
        </w:rPr>
        <w:t xml:space="preserve">, Version 1.0, at </w:t>
      </w:r>
      <w:hyperlink r:id="rId8" w:history="1">
        <w:r w:rsidRPr="00D813C7">
          <w:rPr>
            <w:rStyle w:val="Hyperlink"/>
            <w:sz w:val="22"/>
            <w:szCs w:val="22"/>
          </w:rPr>
          <w:t>http://www.ma-eeac.org/docs/MA%20TRM_2011%20PLAN%20VERSION.PDF</w:t>
        </w:r>
      </w:hyperlink>
      <w:r w:rsidRPr="00D813C7">
        <w:rPr>
          <w:sz w:val="22"/>
          <w:szCs w:val="22"/>
        </w:rPr>
        <w:t xml:space="preserve">.   </w:t>
      </w:r>
    </w:p>
  </w:footnote>
  <w:footnote w:id="59">
    <w:p w:rsidR="0057365E" w:rsidRPr="004075FB" w:rsidRDefault="0057365E" w:rsidP="00F26D5C">
      <w:pPr>
        <w:pStyle w:val="FootnoteText"/>
        <w:rPr>
          <w:sz w:val="22"/>
          <w:szCs w:val="22"/>
        </w:rPr>
      </w:pPr>
      <w:r w:rsidRPr="00D813C7">
        <w:rPr>
          <w:rStyle w:val="FootnoteReference"/>
          <w:sz w:val="22"/>
          <w:szCs w:val="22"/>
        </w:rPr>
        <w:footnoteRef/>
      </w:r>
      <w:r w:rsidRPr="00D813C7">
        <w:rPr>
          <w:i/>
          <w:sz w:val="22"/>
          <w:szCs w:val="22"/>
        </w:rPr>
        <w:t xml:space="preserve">See </w:t>
      </w:r>
      <w:r w:rsidRPr="004075FB">
        <w:rPr>
          <w:sz w:val="22"/>
          <w:szCs w:val="22"/>
        </w:rPr>
        <w:t>Section 3.3: Premium Efficiency Motors</w:t>
      </w:r>
      <w:r>
        <w:rPr>
          <w:sz w:val="22"/>
          <w:szCs w:val="22"/>
        </w:rPr>
        <w:t xml:space="preserve">, pages 144-150, of the 2011 </w:t>
      </w:r>
      <w:r w:rsidRPr="00D813C7">
        <w:rPr>
          <w:i/>
          <w:sz w:val="22"/>
          <w:szCs w:val="22"/>
        </w:rPr>
        <w:t>Technical Reference Manual</w:t>
      </w:r>
      <w:r>
        <w:rPr>
          <w:sz w:val="22"/>
          <w:szCs w:val="22"/>
        </w:rPr>
        <w:t>.</w:t>
      </w:r>
    </w:p>
  </w:footnote>
  <w:footnote w:id="60">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gramStart"/>
      <w:r w:rsidRPr="00D813C7">
        <w:rPr>
          <w:rFonts w:eastAsiaTheme="minorHAnsi"/>
          <w:sz w:val="22"/>
          <w:szCs w:val="22"/>
        </w:rPr>
        <w:t>η</w:t>
      </w:r>
      <w:proofErr w:type="gramEnd"/>
      <w:r w:rsidRPr="00D813C7">
        <w:rPr>
          <w:sz w:val="22"/>
          <w:szCs w:val="22"/>
          <w:vertAlign w:val="subscript"/>
        </w:rPr>
        <w:t xml:space="preserve"> </w:t>
      </w:r>
      <w:proofErr w:type="spellStart"/>
      <w:r w:rsidRPr="00D813C7">
        <w:rPr>
          <w:sz w:val="22"/>
          <w:szCs w:val="22"/>
          <w:vertAlign w:val="subscript"/>
        </w:rPr>
        <w:t>eepump</w:t>
      </w:r>
      <w:proofErr w:type="spellEnd"/>
      <w:r w:rsidRPr="00D813C7">
        <w:rPr>
          <w:sz w:val="22"/>
          <w:szCs w:val="22"/>
          <w:vertAlign w:val="subscript"/>
        </w:rPr>
        <w:t xml:space="preserve"> </w:t>
      </w:r>
      <w:r w:rsidRPr="00D813C7">
        <w:rPr>
          <w:sz w:val="22"/>
          <w:szCs w:val="22"/>
        </w:rPr>
        <w:t xml:space="preserve">refers to the </w:t>
      </w:r>
      <w:r w:rsidRPr="00D813C7">
        <w:rPr>
          <w:noProof/>
          <w:sz w:val="22"/>
          <w:szCs w:val="22"/>
        </w:rPr>
        <w:t>efficiency of retrofit case ground loop pumps</w:t>
      </w:r>
      <w:r w:rsidRPr="00D813C7">
        <w:rPr>
          <w:sz w:val="22"/>
          <w:szCs w:val="22"/>
        </w:rPr>
        <w:t xml:space="preserve"> at design point.</w:t>
      </w:r>
    </w:p>
  </w:footnote>
  <w:footnote w:id="61">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BtuH</w:t>
      </w:r>
      <w:r w:rsidRPr="00D813C7">
        <w:rPr>
          <w:sz w:val="22"/>
          <w:szCs w:val="22"/>
          <w:vertAlign w:val="subscript"/>
        </w:rPr>
        <w:t>cool</w:t>
      </w:r>
      <w:proofErr w:type="spellEnd"/>
      <w:r w:rsidRPr="00D813C7">
        <w:rPr>
          <w:sz w:val="22"/>
          <w:szCs w:val="22"/>
        </w:rPr>
        <w:t xml:space="preserve"> refers to the rated cooling capacity of the energy efficient unit in </w:t>
      </w:r>
      <w:proofErr w:type="spellStart"/>
      <w:r w:rsidRPr="00D813C7">
        <w:rPr>
          <w:sz w:val="22"/>
          <w:szCs w:val="22"/>
        </w:rPr>
        <w:t>BtuH</w:t>
      </w:r>
      <w:r w:rsidRPr="00D813C7">
        <w:rPr>
          <w:sz w:val="22"/>
          <w:szCs w:val="22"/>
          <w:vertAlign w:val="subscript"/>
        </w:rPr>
        <w:t>cool</w:t>
      </w:r>
      <w:proofErr w:type="spellEnd"/>
      <w:r w:rsidRPr="00D813C7">
        <w:rPr>
          <w:sz w:val="22"/>
          <w:szCs w:val="22"/>
        </w:rPr>
        <w:t xml:space="preserve"> /hour.</w:t>
      </w:r>
    </w:p>
  </w:footnote>
  <w:footnote w:id="62">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HOURS</w:t>
      </w:r>
      <w:r w:rsidRPr="00D813C7">
        <w:rPr>
          <w:sz w:val="22"/>
          <w:szCs w:val="22"/>
          <w:vertAlign w:val="subscript"/>
        </w:rPr>
        <w:t>basepump</w:t>
      </w:r>
      <w:proofErr w:type="spellEnd"/>
      <w:r w:rsidRPr="00D813C7">
        <w:rPr>
          <w:sz w:val="22"/>
          <w:szCs w:val="22"/>
        </w:rPr>
        <w:t xml:space="preserve"> and </w:t>
      </w:r>
      <w:proofErr w:type="spellStart"/>
      <w:r w:rsidRPr="00D813C7">
        <w:rPr>
          <w:sz w:val="22"/>
          <w:szCs w:val="22"/>
        </w:rPr>
        <w:t>HOURS</w:t>
      </w:r>
      <w:r w:rsidRPr="00D813C7">
        <w:rPr>
          <w:sz w:val="22"/>
          <w:szCs w:val="22"/>
          <w:vertAlign w:val="subscript"/>
        </w:rPr>
        <w:t>eepump</w:t>
      </w:r>
      <w:proofErr w:type="spellEnd"/>
      <w:r w:rsidRPr="00D813C7">
        <w:rPr>
          <w:sz w:val="22"/>
          <w:szCs w:val="22"/>
        </w:rPr>
        <w:t xml:space="preserve"> refer to the r</w:t>
      </w:r>
      <w:r w:rsidRPr="00D813C7">
        <w:rPr>
          <w:noProof/>
          <w:sz w:val="22"/>
          <w:szCs w:val="22"/>
        </w:rPr>
        <w:t xml:space="preserve">un hours of base case ground loop pump motors and the run hours of retrofit case ground loop pump motors, respectively. </w:t>
      </w:r>
    </w:p>
  </w:footnote>
  <w:footnote w:id="63">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proofErr w:type="spellStart"/>
      <w:r w:rsidRPr="00D813C7">
        <w:rPr>
          <w:sz w:val="22"/>
          <w:szCs w:val="22"/>
        </w:rPr>
        <w:t>EFLH</w:t>
      </w:r>
      <w:r w:rsidRPr="00D813C7">
        <w:rPr>
          <w:sz w:val="22"/>
          <w:szCs w:val="22"/>
          <w:vertAlign w:val="subscript"/>
        </w:rPr>
        <w:t>cool</w:t>
      </w:r>
      <w:proofErr w:type="spellEnd"/>
      <w:r w:rsidRPr="00D813C7">
        <w:rPr>
          <w:sz w:val="22"/>
          <w:szCs w:val="22"/>
          <w:vertAlign w:val="subscript"/>
        </w:rPr>
        <w:t xml:space="preserve"> </w:t>
      </w:r>
      <w:r w:rsidRPr="00D813C7">
        <w:rPr>
          <w:sz w:val="22"/>
          <w:szCs w:val="22"/>
        </w:rPr>
        <w:t xml:space="preserve">and </w:t>
      </w:r>
      <w:proofErr w:type="spellStart"/>
      <w:r w:rsidRPr="00D813C7">
        <w:rPr>
          <w:sz w:val="22"/>
          <w:szCs w:val="22"/>
        </w:rPr>
        <w:t>EFLH</w:t>
      </w:r>
      <w:r w:rsidRPr="00D813C7">
        <w:rPr>
          <w:sz w:val="22"/>
          <w:szCs w:val="22"/>
          <w:vertAlign w:val="subscript"/>
        </w:rPr>
        <w:t>heat</w:t>
      </w:r>
      <w:proofErr w:type="spellEnd"/>
      <w:r w:rsidRPr="00D813C7">
        <w:rPr>
          <w:sz w:val="22"/>
          <w:szCs w:val="22"/>
        </w:rPr>
        <w:t xml:space="preserve"> represent the cooling and heating annual equivalent full load hours for commercial HVAC for different occupancies, respectively.</w:t>
      </w:r>
    </w:p>
  </w:footnote>
  <w:footnote w:id="64">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Ex ante</w:t>
      </w:r>
      <w:r w:rsidRPr="00D813C7">
        <w:rPr>
          <w:sz w:val="22"/>
          <w:szCs w:val="22"/>
        </w:rPr>
        <w:t xml:space="preserve"> savings are also known as “claimed savings” and result directly from completed program-related actions taken by participants.  </w:t>
      </w:r>
      <w:r w:rsidRPr="00D813C7">
        <w:rPr>
          <w:i/>
          <w:sz w:val="22"/>
          <w:szCs w:val="22"/>
        </w:rPr>
        <w:t>Ex post</w:t>
      </w:r>
      <w:r w:rsidRPr="00D813C7">
        <w:rPr>
          <w:sz w:val="22"/>
          <w:szCs w:val="22"/>
        </w:rPr>
        <w:t xml:space="preserve"> savings are also known as “verified savings” and are based on an independent assessment of the reliability of the </w:t>
      </w:r>
      <w:r w:rsidRPr="00D813C7">
        <w:rPr>
          <w:i/>
          <w:sz w:val="22"/>
          <w:szCs w:val="22"/>
        </w:rPr>
        <w:t>ex-ante</w:t>
      </w:r>
      <w:r w:rsidRPr="00D813C7">
        <w:rPr>
          <w:sz w:val="22"/>
          <w:szCs w:val="22"/>
        </w:rPr>
        <w:t xml:space="preserve"> savings.</w:t>
      </w:r>
    </w:p>
  </w:footnote>
  <w:footnote w:id="65">
    <w:p w:rsidR="0057365E" w:rsidRPr="00DD5961" w:rsidRDefault="0057365E" w:rsidP="004075FB">
      <w:pPr>
        <w:pStyle w:val="FootnoteText"/>
        <w:spacing w:line="240" w:lineRule="auto"/>
        <w:rPr>
          <w:sz w:val="22"/>
          <w:szCs w:val="22"/>
        </w:rPr>
      </w:pPr>
      <w:r w:rsidRPr="00DD5961">
        <w:rPr>
          <w:rStyle w:val="FootnoteReference"/>
          <w:sz w:val="22"/>
          <w:szCs w:val="22"/>
        </w:rPr>
        <w:footnoteRef/>
      </w:r>
      <w:r w:rsidRPr="00DD5961">
        <w:rPr>
          <w:sz w:val="22"/>
          <w:szCs w:val="22"/>
        </w:rPr>
        <w:t xml:space="preserve"> </w:t>
      </w:r>
      <w:r w:rsidRPr="00DD5961">
        <w:rPr>
          <w:i/>
          <w:sz w:val="22"/>
          <w:szCs w:val="22"/>
        </w:rPr>
        <w:t>See</w:t>
      </w:r>
      <w:r w:rsidRPr="00DD5961">
        <w:rPr>
          <w:sz w:val="22"/>
          <w:szCs w:val="22"/>
        </w:rPr>
        <w:t xml:space="preserve"> PPL Comments at 27 and 28.</w:t>
      </w:r>
    </w:p>
  </w:footnote>
  <w:footnote w:id="66">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w:t>
      </w:r>
      <w:r w:rsidRPr="00D813C7">
        <w:rPr>
          <w:i/>
          <w:sz w:val="22"/>
          <w:szCs w:val="22"/>
        </w:rPr>
        <w:t>See Implementation of Act 129 of 2008 – Total Resource Cost (TRC) Test - 2011 Revisions</w:t>
      </w:r>
      <w:r>
        <w:rPr>
          <w:sz w:val="22"/>
          <w:szCs w:val="22"/>
        </w:rPr>
        <w:t>,</w:t>
      </w:r>
      <w:r w:rsidRPr="00D813C7">
        <w:rPr>
          <w:sz w:val="22"/>
          <w:szCs w:val="22"/>
        </w:rPr>
        <w:t xml:space="preserve"> Final Order, at Docket No. M 2009-2108601, entered August 2, 2011</w:t>
      </w:r>
      <w:r w:rsidRPr="004075FB">
        <w:rPr>
          <w:sz w:val="22"/>
          <w:szCs w:val="22"/>
        </w:rPr>
        <w:t>, page 26</w:t>
      </w:r>
      <w:r w:rsidRPr="00D813C7">
        <w:rPr>
          <w:sz w:val="22"/>
          <w:szCs w:val="22"/>
        </w:rPr>
        <w:t>.</w:t>
      </w:r>
    </w:p>
  </w:footnote>
  <w:footnote w:id="67">
    <w:p w:rsidR="0057365E" w:rsidRPr="00D813C7" w:rsidRDefault="0057365E" w:rsidP="004075FB">
      <w:pPr>
        <w:pStyle w:val="FootnoteText"/>
        <w:spacing w:line="240" w:lineRule="auto"/>
        <w:rPr>
          <w:sz w:val="22"/>
          <w:szCs w:val="22"/>
        </w:rPr>
      </w:pPr>
      <w:r w:rsidRPr="00D813C7">
        <w:rPr>
          <w:rStyle w:val="FootnoteReference"/>
          <w:sz w:val="22"/>
          <w:szCs w:val="22"/>
        </w:rPr>
        <w:footnoteRef/>
      </w:r>
      <w:r w:rsidRPr="00D813C7">
        <w:rPr>
          <w:sz w:val="22"/>
          <w:szCs w:val="22"/>
        </w:rPr>
        <w:t xml:space="preserve"> The high efficiency snow-making equipment information from Efficiency Maine was obtained via a phone interview on November 21, 2011 with Timothy Clark, Field Staff Director for the Efficiency Maine Business Program (phone: 207-622-6887, ext. 2701).  Similar information for Efficiency Vermont was obtained from the Efficiency Vermont web site at </w:t>
      </w:r>
      <w:hyperlink r:id="rId9" w:history="1">
        <w:r w:rsidRPr="00D813C7">
          <w:rPr>
            <w:rStyle w:val="Hyperlink"/>
            <w:sz w:val="22"/>
            <w:szCs w:val="22"/>
          </w:rPr>
          <w:t>www.efficiencyvermont.com</w:t>
        </w:r>
      </w:hyperlink>
      <w:r w:rsidRPr="00D813C7">
        <w:rPr>
          <w:sz w:val="22"/>
          <w:szCs w:val="22"/>
        </w:rPr>
        <w:t xml:space="preserve">. </w:t>
      </w:r>
    </w:p>
  </w:footnote>
  <w:footnote w:id="68">
    <w:p w:rsidR="0057365E" w:rsidRDefault="0057365E" w:rsidP="004075FB">
      <w:pPr>
        <w:pStyle w:val="FootnoteText"/>
        <w:spacing w:line="240" w:lineRule="auto"/>
      </w:pPr>
      <w:r>
        <w:rPr>
          <w:rStyle w:val="FootnoteReference"/>
        </w:rPr>
        <w:footnoteRef/>
      </w:r>
      <w:r>
        <w:t xml:space="preserve"> </w:t>
      </w:r>
      <w:r w:rsidRPr="00DD5961">
        <w:rPr>
          <w:i/>
        </w:rPr>
        <w:t>See Implementation of the Alternative Energy Portfolio Standards Act of 2004:  Standards for the Participation of Demand Side Management Resources – Technical Reference Manual 2011 Update</w:t>
      </w:r>
      <w:r>
        <w:t>, TRM Annual Update Order (</w:t>
      </w:r>
      <w:r w:rsidRPr="00DD5961">
        <w:rPr>
          <w:i/>
        </w:rPr>
        <w:t xml:space="preserve">2011 </w:t>
      </w:r>
      <w:r>
        <w:rPr>
          <w:i/>
        </w:rPr>
        <w:t xml:space="preserve">TRM </w:t>
      </w:r>
      <w:r w:rsidRPr="00DD5961">
        <w:rPr>
          <w:i/>
        </w:rPr>
        <w:t>Update Order</w:t>
      </w:r>
      <w:r>
        <w:t>), at Docket No. M-00051865, entered February 28, 2011, at 47.</w:t>
      </w:r>
    </w:p>
  </w:footnote>
  <w:footnote w:id="69">
    <w:p w:rsidR="0057365E" w:rsidRPr="001138BE" w:rsidRDefault="0057365E" w:rsidP="004075FB">
      <w:pPr>
        <w:pStyle w:val="FootnoteText"/>
        <w:spacing w:line="240" w:lineRule="auto"/>
        <w:rPr>
          <w:sz w:val="22"/>
          <w:szCs w:val="22"/>
        </w:rPr>
      </w:pPr>
      <w:r w:rsidRPr="001138BE">
        <w:rPr>
          <w:rStyle w:val="FootnoteReference"/>
          <w:sz w:val="22"/>
          <w:szCs w:val="22"/>
        </w:rPr>
        <w:footnoteRef/>
      </w:r>
      <w:r w:rsidRPr="001138BE">
        <w:rPr>
          <w:sz w:val="22"/>
          <w:szCs w:val="22"/>
        </w:rPr>
        <w:t xml:space="preserve"> </w:t>
      </w:r>
      <w:r w:rsidRPr="001138BE">
        <w:rPr>
          <w:i/>
          <w:sz w:val="22"/>
          <w:szCs w:val="22"/>
        </w:rPr>
        <w:t>See</w:t>
      </w:r>
      <w:r w:rsidRPr="001138BE">
        <w:rPr>
          <w:sz w:val="22"/>
          <w:szCs w:val="22"/>
        </w:rPr>
        <w:t xml:space="preserve"> </w:t>
      </w:r>
      <w:r w:rsidRPr="00DD5961">
        <w:rPr>
          <w:i/>
          <w:sz w:val="22"/>
          <w:szCs w:val="22"/>
        </w:rPr>
        <w:t>Id</w:t>
      </w:r>
      <w:r>
        <w:rPr>
          <w:sz w:val="22"/>
          <w:szCs w:val="22"/>
        </w:rPr>
        <w:t xml:space="preserve">. at 46, citing </w:t>
      </w:r>
      <w:r w:rsidRPr="001138BE">
        <w:rPr>
          <w:sz w:val="22"/>
          <w:szCs w:val="22"/>
        </w:rPr>
        <w:t>66 Pa. C.S. § 2806.1(a</w:t>
      </w:r>
      <w:proofErr w:type="gramStart"/>
      <w:r w:rsidRPr="001138BE">
        <w:rPr>
          <w:sz w:val="22"/>
          <w:szCs w:val="22"/>
        </w:rPr>
        <w:t>)(</w:t>
      </w:r>
      <w:proofErr w:type="gramEnd"/>
      <w:r w:rsidRPr="001138BE">
        <w:rPr>
          <w:sz w:val="22"/>
          <w:szCs w:val="22"/>
        </w:rPr>
        <w:t>2).</w:t>
      </w:r>
    </w:p>
  </w:footnote>
  <w:footnote w:id="70">
    <w:p w:rsidR="0057365E" w:rsidRDefault="0057365E" w:rsidP="004075FB">
      <w:pPr>
        <w:pStyle w:val="FootnoteText"/>
        <w:spacing w:line="240" w:lineRule="auto"/>
      </w:pPr>
      <w:r w:rsidRPr="00B34AC5">
        <w:rPr>
          <w:rStyle w:val="FootnoteReference"/>
          <w:sz w:val="22"/>
          <w:szCs w:val="22"/>
        </w:rPr>
        <w:footnoteRef/>
      </w:r>
      <w:r w:rsidRPr="00B34AC5">
        <w:rPr>
          <w:sz w:val="22"/>
          <w:szCs w:val="22"/>
        </w:rPr>
        <w:t xml:space="preserve"> </w:t>
      </w:r>
      <w:r w:rsidRPr="00B34AC5">
        <w:rPr>
          <w:i/>
          <w:sz w:val="22"/>
          <w:szCs w:val="22"/>
        </w:rPr>
        <w:t>See</w:t>
      </w:r>
      <w:r w:rsidRPr="001138BE">
        <w:rPr>
          <w:sz w:val="22"/>
          <w:szCs w:val="22"/>
        </w:rPr>
        <w:t xml:space="preserve"> </w:t>
      </w:r>
      <w:r w:rsidRPr="00DD5961">
        <w:rPr>
          <w:i/>
          <w:sz w:val="22"/>
          <w:szCs w:val="22"/>
        </w:rPr>
        <w:t>Id</w:t>
      </w:r>
      <w:r>
        <w:rPr>
          <w:sz w:val="22"/>
          <w:szCs w:val="22"/>
        </w:rPr>
        <w:t xml:space="preserve">. at 46, citing </w:t>
      </w:r>
      <w:r w:rsidRPr="001138BE">
        <w:rPr>
          <w:sz w:val="22"/>
          <w:szCs w:val="22"/>
        </w:rPr>
        <w:t>66 Pa. C.S. § 2806.1(</w:t>
      </w:r>
      <w:r>
        <w:rPr>
          <w:sz w:val="22"/>
          <w:szCs w:val="22"/>
        </w:rPr>
        <w:t>i</w:t>
      </w:r>
      <w:proofErr w:type="gramStart"/>
      <w:r w:rsidRPr="001138BE">
        <w:rPr>
          <w:sz w:val="22"/>
          <w:szCs w:val="22"/>
        </w:rPr>
        <w:t>)(</w:t>
      </w:r>
      <w:proofErr w:type="gramEnd"/>
      <w:r>
        <w:rPr>
          <w:sz w:val="22"/>
          <w:szCs w:val="22"/>
        </w:rPr>
        <w:t>1</w:t>
      </w:r>
      <w:r w:rsidRPr="001138BE">
        <w:rPr>
          <w:sz w:val="22"/>
          <w:szCs w:val="22"/>
        </w:rPr>
        <w:t>).</w:t>
      </w:r>
    </w:p>
  </w:footnote>
  <w:footnote w:id="71">
    <w:p w:rsidR="0057365E" w:rsidRPr="00140ABA" w:rsidRDefault="0057365E" w:rsidP="004075FB">
      <w:pPr>
        <w:pStyle w:val="FootnoteText"/>
        <w:spacing w:line="240" w:lineRule="auto"/>
      </w:pPr>
      <w:r>
        <w:rPr>
          <w:rStyle w:val="FootnoteReference"/>
        </w:rPr>
        <w:footnoteRef/>
      </w:r>
      <w:r>
        <w:t xml:space="preserve"> </w:t>
      </w:r>
      <w:r>
        <w:rPr>
          <w:i/>
        </w:rPr>
        <w:t>2011 TRM Update Order</w:t>
      </w:r>
      <w:r>
        <w:t xml:space="preserve"> at 46-50.</w:t>
      </w:r>
    </w:p>
  </w:footnote>
  <w:footnote w:id="72">
    <w:p w:rsidR="0057365E" w:rsidRDefault="0057365E" w:rsidP="004075FB">
      <w:pPr>
        <w:pStyle w:val="FootnoteText"/>
        <w:spacing w:line="240" w:lineRule="auto"/>
      </w:pPr>
      <w:r>
        <w:rPr>
          <w:rStyle w:val="FootnoteReference"/>
        </w:rPr>
        <w:footnoteRef/>
      </w:r>
      <w:r>
        <w:t xml:space="preserve"> </w:t>
      </w:r>
      <w:proofErr w:type="gramStart"/>
      <w:r w:rsidRPr="00DD5961">
        <w:rPr>
          <w:i/>
        </w:rPr>
        <w:t>Id</w:t>
      </w:r>
      <w:r>
        <w:t>. at 49.</w:t>
      </w:r>
      <w:proofErr w:type="gramEnd"/>
    </w:p>
  </w:footnote>
  <w:footnote w:id="73">
    <w:p w:rsidR="0057365E" w:rsidRDefault="0057365E" w:rsidP="004075FB">
      <w:pPr>
        <w:pStyle w:val="FootnoteText"/>
        <w:spacing w:line="240" w:lineRule="auto"/>
      </w:pPr>
      <w:r>
        <w:rPr>
          <w:rStyle w:val="FootnoteReference"/>
        </w:rPr>
        <w:footnoteRef/>
      </w:r>
      <w:r>
        <w:t xml:space="preserve"> </w:t>
      </w:r>
      <w:proofErr w:type="gramStart"/>
      <w:r w:rsidRPr="00DD5961">
        <w:rPr>
          <w:i/>
        </w:rPr>
        <w:t>Id</w:t>
      </w:r>
      <w:r>
        <w:t>. at 49 and 50.</w:t>
      </w:r>
      <w:proofErr w:type="gramEnd"/>
    </w:p>
  </w:footnote>
  <w:footnote w:id="74">
    <w:p w:rsidR="0057365E" w:rsidRDefault="0057365E" w:rsidP="004075FB">
      <w:pPr>
        <w:pStyle w:val="FootnoteText"/>
        <w:spacing w:line="240" w:lineRule="auto"/>
      </w:pPr>
      <w:r>
        <w:rPr>
          <w:rStyle w:val="FootnoteReference"/>
        </w:rPr>
        <w:footnoteRef/>
      </w:r>
      <w:r>
        <w:t xml:space="preserve"> </w:t>
      </w:r>
      <w:proofErr w:type="gramStart"/>
      <w:r w:rsidRPr="00DD5961">
        <w:rPr>
          <w:i/>
        </w:rPr>
        <w:t>2011 TRM Update Order</w:t>
      </w:r>
      <w:r>
        <w:t xml:space="preserve"> at 47.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0A1D"/>
    <w:multiLevelType w:val="hybridMultilevel"/>
    <w:tmpl w:val="C2D876FE"/>
    <w:lvl w:ilvl="0" w:tplc="04090001">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FF2E10"/>
    <w:multiLevelType w:val="hybridMultilevel"/>
    <w:tmpl w:val="B0264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9E3BD6"/>
    <w:multiLevelType w:val="hybridMultilevel"/>
    <w:tmpl w:val="006805FC"/>
    <w:lvl w:ilvl="0" w:tplc="004A8A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011741"/>
    <w:multiLevelType w:val="hybridMultilevel"/>
    <w:tmpl w:val="42005F42"/>
    <w:lvl w:ilvl="0" w:tplc="F0BCF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F1DF5"/>
    <w:multiLevelType w:val="hybridMultilevel"/>
    <w:tmpl w:val="B4C464A8"/>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B">
      <w:start w:val="1"/>
      <w:numFmt w:val="lowerRoman"/>
      <w:lvlText w:val="%5."/>
      <w:lvlJc w:val="right"/>
      <w:pPr>
        <w:ind w:left="27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670D5"/>
    <w:multiLevelType w:val="multilevel"/>
    <w:tmpl w:val="BCAE0264"/>
    <w:lvl w:ilvl="0">
      <w:start w:val="1"/>
      <w:numFmt w:val="decimal"/>
      <w:pStyle w:val="source1"/>
      <w:lvlText w:val="%1."/>
      <w:lvlJc w:val="left"/>
      <w:pPr>
        <w:tabs>
          <w:tab w:val="num" w:pos="810"/>
        </w:tabs>
        <w:ind w:left="81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3A5A4CE9"/>
    <w:multiLevelType w:val="multilevel"/>
    <w:tmpl w:val="C5607396"/>
    <w:lvl w:ilvl="0">
      <w:start w:val="1"/>
      <w:numFmt w:val="upperLetter"/>
      <w:pStyle w:val="Heading1"/>
      <w:lvlText w:val="%1."/>
      <w:lvlJc w:val="left"/>
      <w:pPr>
        <w:ind w:left="720" w:hanging="720"/>
      </w:pPr>
      <w:rPr>
        <w:rFonts w:ascii="Times New Roman" w:hAnsi="Times New Roman" w:hint="default"/>
        <w:b/>
        <w:i w:val="0"/>
        <w:caps w:val="0"/>
        <w:strike w:val="0"/>
        <w:dstrike w:val="0"/>
        <w:vanish w:val="0"/>
        <w:color w:val="000000"/>
        <w:sz w:val="26"/>
        <w:vertAlign w:val="baseline"/>
      </w:rPr>
    </w:lvl>
    <w:lvl w:ilvl="1">
      <w:start w:val="1"/>
      <w:numFmt w:val="decimal"/>
      <w:pStyle w:val="Heading2"/>
      <w:lvlText w:val="%2."/>
      <w:lvlJc w:val="left"/>
      <w:pPr>
        <w:ind w:left="1440" w:hanging="720"/>
      </w:pPr>
      <w:rPr>
        <w:rFonts w:ascii="Times New Roman" w:hAnsi="Times New Roman" w:hint="default"/>
        <w:b w:val="0"/>
        <w:i w:val="0"/>
        <w:caps w:val="0"/>
        <w:strike w:val="0"/>
        <w:dstrike w:val="0"/>
        <w:vanish w:val="0"/>
        <w:color w:val="auto"/>
        <w:sz w:val="26"/>
        <w:vertAlign w:val="baseline"/>
      </w:rPr>
    </w:lvl>
    <w:lvl w:ilvl="2">
      <w:start w:val="1"/>
      <w:numFmt w:val="lowerLetter"/>
      <w:pStyle w:val="Heading3"/>
      <w:lvlText w:val="%3."/>
      <w:lvlJc w:val="left"/>
      <w:pPr>
        <w:ind w:left="2160" w:hanging="720"/>
      </w:pPr>
      <w:rPr>
        <w:rFonts w:ascii="Times New Roman" w:hAnsi="Times New Roman" w:hint="default"/>
        <w:b/>
        <w:i w:val="0"/>
        <w:caps w:val="0"/>
        <w:strike w:val="0"/>
        <w:dstrike w:val="0"/>
        <w:vanish w:val="0"/>
        <w:color w:val="000000"/>
        <w:sz w:val="26"/>
        <w:vertAlign w:val="baseline"/>
      </w:rPr>
    </w:lvl>
    <w:lvl w:ilvl="3">
      <w:start w:val="1"/>
      <w:numFmt w:val="lowerRoman"/>
      <w:pStyle w:val="Heading4"/>
      <w:lvlText w:val="%4."/>
      <w:lvlJc w:val="left"/>
      <w:pPr>
        <w:ind w:left="2880" w:hanging="720"/>
      </w:pPr>
      <w:rPr>
        <w:rFonts w:ascii="Times New Roman" w:hAnsi="Times New Roman" w:hint="default"/>
        <w:b/>
        <w:i w:val="0"/>
        <w:caps w:val="0"/>
        <w:strike w:val="0"/>
        <w:dstrike w:val="0"/>
        <w:vanish w:val="0"/>
        <w:color w:val="000000"/>
        <w:sz w:val="26"/>
        <w:vertAlign w:val="base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BF03470"/>
    <w:multiLevelType w:val="hybridMultilevel"/>
    <w:tmpl w:val="3CA863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364177C"/>
    <w:multiLevelType w:val="hybridMultilevel"/>
    <w:tmpl w:val="79C6FB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D76729"/>
    <w:multiLevelType w:val="hybridMultilevel"/>
    <w:tmpl w:val="78781E40"/>
    <w:lvl w:ilvl="0" w:tplc="9B020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A6C24"/>
    <w:multiLevelType w:val="hybridMultilevel"/>
    <w:tmpl w:val="D8A4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9A5700"/>
    <w:multiLevelType w:val="hybridMultilevel"/>
    <w:tmpl w:val="92FE8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145E5"/>
    <w:multiLevelType w:val="hybridMultilevel"/>
    <w:tmpl w:val="5B680E3E"/>
    <w:lvl w:ilvl="0" w:tplc="B95C6F1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3401B7"/>
    <w:multiLevelType w:val="hybridMultilevel"/>
    <w:tmpl w:val="E9DC4CFA"/>
    <w:lvl w:ilvl="0" w:tplc="04090001">
      <w:start w:val="1"/>
      <w:numFmt w:val="bullet"/>
      <w:lvlText w:val=""/>
      <w:lvlJc w:val="left"/>
      <w:pPr>
        <w:ind w:left="1440" w:hanging="360"/>
      </w:pPr>
      <w:rPr>
        <w:rFonts w:ascii="Symbol" w:hAnsi="Symbol" w:hint="default"/>
      </w:rPr>
    </w:lvl>
    <w:lvl w:ilvl="1" w:tplc="8ADA4D9C">
      <w:start w:val="1"/>
      <w:numFmt w:val="decimal"/>
      <w:lvlText w:val="%2."/>
      <w:lvlJc w:val="left"/>
      <w:pPr>
        <w:tabs>
          <w:tab w:val="num" w:pos="450"/>
        </w:tabs>
        <w:ind w:left="450" w:hanging="360"/>
      </w:pPr>
    </w:lvl>
    <w:lvl w:ilvl="2" w:tplc="F2AA1DDE">
      <w:start w:val="1"/>
      <w:numFmt w:val="decimal"/>
      <w:lvlText w:val="%3."/>
      <w:lvlJc w:val="left"/>
      <w:pPr>
        <w:tabs>
          <w:tab w:val="num" w:pos="2160"/>
        </w:tabs>
        <w:ind w:left="2160" w:hanging="360"/>
      </w:pPr>
    </w:lvl>
    <w:lvl w:ilvl="3" w:tplc="334692D8">
      <w:start w:val="1"/>
      <w:numFmt w:val="decimal"/>
      <w:lvlText w:val="%4."/>
      <w:lvlJc w:val="left"/>
      <w:pPr>
        <w:tabs>
          <w:tab w:val="num" w:pos="2880"/>
        </w:tabs>
        <w:ind w:left="2880" w:hanging="360"/>
      </w:pPr>
    </w:lvl>
    <w:lvl w:ilvl="4" w:tplc="D02CE21A">
      <w:start w:val="1"/>
      <w:numFmt w:val="decimal"/>
      <w:lvlText w:val="%5."/>
      <w:lvlJc w:val="left"/>
      <w:pPr>
        <w:tabs>
          <w:tab w:val="num" w:pos="3600"/>
        </w:tabs>
        <w:ind w:left="3600" w:hanging="360"/>
      </w:pPr>
    </w:lvl>
    <w:lvl w:ilvl="5" w:tplc="992E0652">
      <w:start w:val="1"/>
      <w:numFmt w:val="decimal"/>
      <w:lvlText w:val="%6."/>
      <w:lvlJc w:val="left"/>
      <w:pPr>
        <w:tabs>
          <w:tab w:val="num" w:pos="4320"/>
        </w:tabs>
        <w:ind w:left="4320" w:hanging="360"/>
      </w:pPr>
    </w:lvl>
    <w:lvl w:ilvl="6" w:tplc="EB2A565E">
      <w:start w:val="1"/>
      <w:numFmt w:val="decimal"/>
      <w:lvlText w:val="%7."/>
      <w:lvlJc w:val="left"/>
      <w:pPr>
        <w:tabs>
          <w:tab w:val="num" w:pos="5040"/>
        </w:tabs>
        <w:ind w:left="5040" w:hanging="360"/>
      </w:pPr>
    </w:lvl>
    <w:lvl w:ilvl="7" w:tplc="CB9A5B62">
      <w:start w:val="1"/>
      <w:numFmt w:val="decimal"/>
      <w:lvlText w:val="%8."/>
      <w:lvlJc w:val="left"/>
      <w:pPr>
        <w:tabs>
          <w:tab w:val="num" w:pos="5760"/>
        </w:tabs>
        <w:ind w:left="5760" w:hanging="360"/>
      </w:pPr>
    </w:lvl>
    <w:lvl w:ilvl="8" w:tplc="46020F12">
      <w:start w:val="1"/>
      <w:numFmt w:val="decimal"/>
      <w:lvlText w:val="%9."/>
      <w:lvlJc w:val="left"/>
      <w:pPr>
        <w:tabs>
          <w:tab w:val="num" w:pos="6480"/>
        </w:tabs>
        <w:ind w:left="6480" w:hanging="360"/>
      </w:pPr>
    </w:lvl>
  </w:abstractNum>
  <w:abstractNum w:abstractNumId="14">
    <w:nsid w:val="7BDD224D"/>
    <w:multiLevelType w:val="hybridMultilevel"/>
    <w:tmpl w:val="AB44E8E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9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6"/>
  </w:num>
  <w:num w:numId="12">
    <w:abstractNumId w:val="1"/>
  </w:num>
  <w:num w:numId="13">
    <w:abstractNumId w:val="14"/>
  </w:num>
  <w:num w:numId="14">
    <w:abstractNumId w:val="12"/>
  </w:num>
  <w:num w:numId="15">
    <w:abstractNumId w:val="9"/>
  </w:num>
  <w:num w:numId="16">
    <w:abstractNumId w:val="2"/>
  </w:num>
  <w:num w:numId="17">
    <w:abstractNumId w:val="3"/>
  </w:num>
  <w:num w:numId="18">
    <w:abstractNumId w:val="11"/>
  </w:num>
  <w:num w:numId="19">
    <w:abstractNumId w:val="6"/>
    <w:lvlOverride w:ilvl="0">
      <w:startOverride w:val="1"/>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53"/>
    <w:rsid w:val="000003A1"/>
    <w:rsid w:val="000009D0"/>
    <w:rsid w:val="00000E3C"/>
    <w:rsid w:val="00001056"/>
    <w:rsid w:val="0000244D"/>
    <w:rsid w:val="00002B78"/>
    <w:rsid w:val="00003352"/>
    <w:rsid w:val="0000422F"/>
    <w:rsid w:val="0000451D"/>
    <w:rsid w:val="00005C89"/>
    <w:rsid w:val="00005D31"/>
    <w:rsid w:val="000066CC"/>
    <w:rsid w:val="0000730B"/>
    <w:rsid w:val="000075B4"/>
    <w:rsid w:val="0000775F"/>
    <w:rsid w:val="00007E23"/>
    <w:rsid w:val="000106A3"/>
    <w:rsid w:val="000117B7"/>
    <w:rsid w:val="00012362"/>
    <w:rsid w:val="00012378"/>
    <w:rsid w:val="00012868"/>
    <w:rsid w:val="00012DEF"/>
    <w:rsid w:val="00013E5A"/>
    <w:rsid w:val="00013F71"/>
    <w:rsid w:val="0001588C"/>
    <w:rsid w:val="00016E7F"/>
    <w:rsid w:val="00017B07"/>
    <w:rsid w:val="00017F6D"/>
    <w:rsid w:val="00017F84"/>
    <w:rsid w:val="0002243A"/>
    <w:rsid w:val="00022A9E"/>
    <w:rsid w:val="000236A8"/>
    <w:rsid w:val="00024537"/>
    <w:rsid w:val="000245F7"/>
    <w:rsid w:val="00024625"/>
    <w:rsid w:val="00024AAD"/>
    <w:rsid w:val="0002521E"/>
    <w:rsid w:val="0002628C"/>
    <w:rsid w:val="000262D4"/>
    <w:rsid w:val="000269E3"/>
    <w:rsid w:val="00026E99"/>
    <w:rsid w:val="0002727B"/>
    <w:rsid w:val="00027709"/>
    <w:rsid w:val="00027B00"/>
    <w:rsid w:val="00030861"/>
    <w:rsid w:val="00030918"/>
    <w:rsid w:val="0003261A"/>
    <w:rsid w:val="00033196"/>
    <w:rsid w:val="00033497"/>
    <w:rsid w:val="000336B9"/>
    <w:rsid w:val="00033AA9"/>
    <w:rsid w:val="00033D1E"/>
    <w:rsid w:val="00033FF3"/>
    <w:rsid w:val="000355A5"/>
    <w:rsid w:val="00035939"/>
    <w:rsid w:val="0003622C"/>
    <w:rsid w:val="0003753C"/>
    <w:rsid w:val="00037E3F"/>
    <w:rsid w:val="000403D9"/>
    <w:rsid w:val="0004064E"/>
    <w:rsid w:val="00040AB0"/>
    <w:rsid w:val="00040B20"/>
    <w:rsid w:val="000410C3"/>
    <w:rsid w:val="000418B1"/>
    <w:rsid w:val="000419F3"/>
    <w:rsid w:val="00041D08"/>
    <w:rsid w:val="000420B9"/>
    <w:rsid w:val="00042A0B"/>
    <w:rsid w:val="00042C4E"/>
    <w:rsid w:val="0004312F"/>
    <w:rsid w:val="00043377"/>
    <w:rsid w:val="000437E2"/>
    <w:rsid w:val="00043CCC"/>
    <w:rsid w:val="00045145"/>
    <w:rsid w:val="000451FF"/>
    <w:rsid w:val="00045323"/>
    <w:rsid w:val="000460C4"/>
    <w:rsid w:val="000463C0"/>
    <w:rsid w:val="00046826"/>
    <w:rsid w:val="00046F08"/>
    <w:rsid w:val="00047474"/>
    <w:rsid w:val="0004773F"/>
    <w:rsid w:val="000477F7"/>
    <w:rsid w:val="00047D14"/>
    <w:rsid w:val="00047E99"/>
    <w:rsid w:val="00050744"/>
    <w:rsid w:val="00052B12"/>
    <w:rsid w:val="00053591"/>
    <w:rsid w:val="000535F7"/>
    <w:rsid w:val="00053E9D"/>
    <w:rsid w:val="000543DE"/>
    <w:rsid w:val="0005522E"/>
    <w:rsid w:val="00056370"/>
    <w:rsid w:val="0005679D"/>
    <w:rsid w:val="00057250"/>
    <w:rsid w:val="000572F4"/>
    <w:rsid w:val="00057A2C"/>
    <w:rsid w:val="00057E0E"/>
    <w:rsid w:val="0006016A"/>
    <w:rsid w:val="00060298"/>
    <w:rsid w:val="0006085D"/>
    <w:rsid w:val="000609A6"/>
    <w:rsid w:val="00060C09"/>
    <w:rsid w:val="00060D1A"/>
    <w:rsid w:val="00061BA5"/>
    <w:rsid w:val="000622C0"/>
    <w:rsid w:val="000623B4"/>
    <w:rsid w:val="00062D0E"/>
    <w:rsid w:val="000632E8"/>
    <w:rsid w:val="00063D83"/>
    <w:rsid w:val="00063FAE"/>
    <w:rsid w:val="00064682"/>
    <w:rsid w:val="000650CD"/>
    <w:rsid w:val="00066121"/>
    <w:rsid w:val="00066294"/>
    <w:rsid w:val="00066A20"/>
    <w:rsid w:val="000671F7"/>
    <w:rsid w:val="00067945"/>
    <w:rsid w:val="000703F4"/>
    <w:rsid w:val="00070EC6"/>
    <w:rsid w:val="00071080"/>
    <w:rsid w:val="00071710"/>
    <w:rsid w:val="00071FF3"/>
    <w:rsid w:val="00072F35"/>
    <w:rsid w:val="00072F38"/>
    <w:rsid w:val="000730C6"/>
    <w:rsid w:val="00073322"/>
    <w:rsid w:val="0007359F"/>
    <w:rsid w:val="00073700"/>
    <w:rsid w:val="000746BC"/>
    <w:rsid w:val="00074CE8"/>
    <w:rsid w:val="00075CA3"/>
    <w:rsid w:val="00075F81"/>
    <w:rsid w:val="00076ADC"/>
    <w:rsid w:val="00077FFC"/>
    <w:rsid w:val="000800C3"/>
    <w:rsid w:val="00080619"/>
    <w:rsid w:val="0008092E"/>
    <w:rsid w:val="00080C00"/>
    <w:rsid w:val="00082382"/>
    <w:rsid w:val="00082551"/>
    <w:rsid w:val="0008272E"/>
    <w:rsid w:val="00082781"/>
    <w:rsid w:val="0008385A"/>
    <w:rsid w:val="00084CCE"/>
    <w:rsid w:val="00085B29"/>
    <w:rsid w:val="00085EDD"/>
    <w:rsid w:val="000865CE"/>
    <w:rsid w:val="00086B68"/>
    <w:rsid w:val="00086B9C"/>
    <w:rsid w:val="00087065"/>
    <w:rsid w:val="00087A71"/>
    <w:rsid w:val="000906CE"/>
    <w:rsid w:val="00090C85"/>
    <w:rsid w:val="0009155E"/>
    <w:rsid w:val="000918D4"/>
    <w:rsid w:val="00091AA5"/>
    <w:rsid w:val="0009220B"/>
    <w:rsid w:val="000929EA"/>
    <w:rsid w:val="00092C03"/>
    <w:rsid w:val="000933C1"/>
    <w:rsid w:val="0009359D"/>
    <w:rsid w:val="00093EC4"/>
    <w:rsid w:val="00094345"/>
    <w:rsid w:val="00094AD8"/>
    <w:rsid w:val="000950B7"/>
    <w:rsid w:val="000953A1"/>
    <w:rsid w:val="0009556F"/>
    <w:rsid w:val="00095AB4"/>
    <w:rsid w:val="00095C0D"/>
    <w:rsid w:val="00096510"/>
    <w:rsid w:val="00096D52"/>
    <w:rsid w:val="00097863"/>
    <w:rsid w:val="0009793A"/>
    <w:rsid w:val="00097BEC"/>
    <w:rsid w:val="000A0487"/>
    <w:rsid w:val="000A05DE"/>
    <w:rsid w:val="000A0771"/>
    <w:rsid w:val="000A0B0B"/>
    <w:rsid w:val="000A0F63"/>
    <w:rsid w:val="000A17FF"/>
    <w:rsid w:val="000A1841"/>
    <w:rsid w:val="000A1BFF"/>
    <w:rsid w:val="000A1D68"/>
    <w:rsid w:val="000A2B01"/>
    <w:rsid w:val="000A2C78"/>
    <w:rsid w:val="000A2DB7"/>
    <w:rsid w:val="000A31E5"/>
    <w:rsid w:val="000A3277"/>
    <w:rsid w:val="000A3FFB"/>
    <w:rsid w:val="000A410C"/>
    <w:rsid w:val="000A453A"/>
    <w:rsid w:val="000A4597"/>
    <w:rsid w:val="000A4BFD"/>
    <w:rsid w:val="000A4DAC"/>
    <w:rsid w:val="000A54A7"/>
    <w:rsid w:val="000A63D9"/>
    <w:rsid w:val="000A6FF8"/>
    <w:rsid w:val="000A7246"/>
    <w:rsid w:val="000A78F5"/>
    <w:rsid w:val="000B094D"/>
    <w:rsid w:val="000B22DF"/>
    <w:rsid w:val="000B296E"/>
    <w:rsid w:val="000B2BAC"/>
    <w:rsid w:val="000B3CBE"/>
    <w:rsid w:val="000B504D"/>
    <w:rsid w:val="000B52E1"/>
    <w:rsid w:val="000B5778"/>
    <w:rsid w:val="000B5BC8"/>
    <w:rsid w:val="000B71C3"/>
    <w:rsid w:val="000C051A"/>
    <w:rsid w:val="000C142A"/>
    <w:rsid w:val="000C1727"/>
    <w:rsid w:val="000C1C2A"/>
    <w:rsid w:val="000C1EBB"/>
    <w:rsid w:val="000C202E"/>
    <w:rsid w:val="000C2153"/>
    <w:rsid w:val="000C21C1"/>
    <w:rsid w:val="000C230F"/>
    <w:rsid w:val="000C263B"/>
    <w:rsid w:val="000C343D"/>
    <w:rsid w:val="000C35B3"/>
    <w:rsid w:val="000C3C79"/>
    <w:rsid w:val="000C3CC8"/>
    <w:rsid w:val="000C4055"/>
    <w:rsid w:val="000C4304"/>
    <w:rsid w:val="000C445F"/>
    <w:rsid w:val="000C45E2"/>
    <w:rsid w:val="000C4FC8"/>
    <w:rsid w:val="000C5224"/>
    <w:rsid w:val="000C52C3"/>
    <w:rsid w:val="000C5402"/>
    <w:rsid w:val="000C672E"/>
    <w:rsid w:val="000C695A"/>
    <w:rsid w:val="000C6A7D"/>
    <w:rsid w:val="000C7B2E"/>
    <w:rsid w:val="000C7E63"/>
    <w:rsid w:val="000D050F"/>
    <w:rsid w:val="000D227A"/>
    <w:rsid w:val="000D2C53"/>
    <w:rsid w:val="000D35C7"/>
    <w:rsid w:val="000D36F3"/>
    <w:rsid w:val="000D3B2C"/>
    <w:rsid w:val="000D3F68"/>
    <w:rsid w:val="000D4441"/>
    <w:rsid w:val="000D451B"/>
    <w:rsid w:val="000D4CD7"/>
    <w:rsid w:val="000D54CC"/>
    <w:rsid w:val="000D5522"/>
    <w:rsid w:val="000D607F"/>
    <w:rsid w:val="000D725D"/>
    <w:rsid w:val="000D7928"/>
    <w:rsid w:val="000D7E26"/>
    <w:rsid w:val="000E000F"/>
    <w:rsid w:val="000E0320"/>
    <w:rsid w:val="000E0562"/>
    <w:rsid w:val="000E0BE9"/>
    <w:rsid w:val="000E15DD"/>
    <w:rsid w:val="000E1D3C"/>
    <w:rsid w:val="000E1F78"/>
    <w:rsid w:val="000E1FB1"/>
    <w:rsid w:val="000E1FBE"/>
    <w:rsid w:val="000E23F0"/>
    <w:rsid w:val="000E2551"/>
    <w:rsid w:val="000E3D23"/>
    <w:rsid w:val="000E4483"/>
    <w:rsid w:val="000E4844"/>
    <w:rsid w:val="000E537D"/>
    <w:rsid w:val="000E5796"/>
    <w:rsid w:val="000E5A08"/>
    <w:rsid w:val="000E5A63"/>
    <w:rsid w:val="000E6284"/>
    <w:rsid w:val="000E6300"/>
    <w:rsid w:val="000E63EB"/>
    <w:rsid w:val="000E65F0"/>
    <w:rsid w:val="000E7142"/>
    <w:rsid w:val="000E7643"/>
    <w:rsid w:val="000E79FE"/>
    <w:rsid w:val="000F00D3"/>
    <w:rsid w:val="000F0B94"/>
    <w:rsid w:val="000F1A35"/>
    <w:rsid w:val="000F1A4A"/>
    <w:rsid w:val="000F1A55"/>
    <w:rsid w:val="000F1F64"/>
    <w:rsid w:val="000F2305"/>
    <w:rsid w:val="000F2321"/>
    <w:rsid w:val="000F23DA"/>
    <w:rsid w:val="000F267F"/>
    <w:rsid w:val="000F2D58"/>
    <w:rsid w:val="000F2DC8"/>
    <w:rsid w:val="000F2F1D"/>
    <w:rsid w:val="000F3B83"/>
    <w:rsid w:val="000F3C87"/>
    <w:rsid w:val="000F3E18"/>
    <w:rsid w:val="000F3FE0"/>
    <w:rsid w:val="000F42E6"/>
    <w:rsid w:val="000F4ADF"/>
    <w:rsid w:val="000F5561"/>
    <w:rsid w:val="000F5737"/>
    <w:rsid w:val="000F69E6"/>
    <w:rsid w:val="000F6CDE"/>
    <w:rsid w:val="000F7A5D"/>
    <w:rsid w:val="00100A00"/>
    <w:rsid w:val="00101130"/>
    <w:rsid w:val="00101215"/>
    <w:rsid w:val="001012A4"/>
    <w:rsid w:val="001014EC"/>
    <w:rsid w:val="0010150D"/>
    <w:rsid w:val="0010161A"/>
    <w:rsid w:val="001019C1"/>
    <w:rsid w:val="00101A37"/>
    <w:rsid w:val="00102735"/>
    <w:rsid w:val="0010293A"/>
    <w:rsid w:val="00102C02"/>
    <w:rsid w:val="00103329"/>
    <w:rsid w:val="001038EE"/>
    <w:rsid w:val="00104B10"/>
    <w:rsid w:val="00104B8A"/>
    <w:rsid w:val="00105149"/>
    <w:rsid w:val="001061B1"/>
    <w:rsid w:val="00106291"/>
    <w:rsid w:val="00106803"/>
    <w:rsid w:val="00107A5F"/>
    <w:rsid w:val="00107F60"/>
    <w:rsid w:val="00110385"/>
    <w:rsid w:val="001107E8"/>
    <w:rsid w:val="001109F6"/>
    <w:rsid w:val="00110CF5"/>
    <w:rsid w:val="00111639"/>
    <w:rsid w:val="00112AFA"/>
    <w:rsid w:val="00113789"/>
    <w:rsid w:val="001138BE"/>
    <w:rsid w:val="001143E9"/>
    <w:rsid w:val="001144D3"/>
    <w:rsid w:val="00114BF8"/>
    <w:rsid w:val="001151C0"/>
    <w:rsid w:val="00115834"/>
    <w:rsid w:val="00115FE9"/>
    <w:rsid w:val="00117167"/>
    <w:rsid w:val="00117699"/>
    <w:rsid w:val="00117B17"/>
    <w:rsid w:val="00120272"/>
    <w:rsid w:val="001206AB"/>
    <w:rsid w:val="00120E83"/>
    <w:rsid w:val="00121023"/>
    <w:rsid w:val="001213CB"/>
    <w:rsid w:val="00121B67"/>
    <w:rsid w:val="00121FDB"/>
    <w:rsid w:val="00122F7C"/>
    <w:rsid w:val="0012379B"/>
    <w:rsid w:val="00123FAC"/>
    <w:rsid w:val="00125012"/>
    <w:rsid w:val="00125BF3"/>
    <w:rsid w:val="00125E36"/>
    <w:rsid w:val="0012695E"/>
    <w:rsid w:val="001272A8"/>
    <w:rsid w:val="0012772D"/>
    <w:rsid w:val="0012792E"/>
    <w:rsid w:val="00130092"/>
    <w:rsid w:val="00130218"/>
    <w:rsid w:val="00130CA7"/>
    <w:rsid w:val="00131388"/>
    <w:rsid w:val="00131994"/>
    <w:rsid w:val="00131B58"/>
    <w:rsid w:val="00131D1A"/>
    <w:rsid w:val="001321FB"/>
    <w:rsid w:val="00132AC0"/>
    <w:rsid w:val="00132D5B"/>
    <w:rsid w:val="00132FF1"/>
    <w:rsid w:val="00133238"/>
    <w:rsid w:val="00134158"/>
    <w:rsid w:val="001346C4"/>
    <w:rsid w:val="0013526D"/>
    <w:rsid w:val="00135AB2"/>
    <w:rsid w:val="00136083"/>
    <w:rsid w:val="00137905"/>
    <w:rsid w:val="0013799E"/>
    <w:rsid w:val="00137D77"/>
    <w:rsid w:val="001407AF"/>
    <w:rsid w:val="00140977"/>
    <w:rsid w:val="00140ABA"/>
    <w:rsid w:val="00140D7B"/>
    <w:rsid w:val="00140E8A"/>
    <w:rsid w:val="0014108F"/>
    <w:rsid w:val="00141830"/>
    <w:rsid w:val="001421FE"/>
    <w:rsid w:val="0014257B"/>
    <w:rsid w:val="00142C5A"/>
    <w:rsid w:val="001436F3"/>
    <w:rsid w:val="00144501"/>
    <w:rsid w:val="0014498C"/>
    <w:rsid w:val="00144B02"/>
    <w:rsid w:val="00144B45"/>
    <w:rsid w:val="00145548"/>
    <w:rsid w:val="00145670"/>
    <w:rsid w:val="00145829"/>
    <w:rsid w:val="00145A45"/>
    <w:rsid w:val="00145CD8"/>
    <w:rsid w:val="0014640B"/>
    <w:rsid w:val="00146D48"/>
    <w:rsid w:val="0014758B"/>
    <w:rsid w:val="00147B65"/>
    <w:rsid w:val="001506CD"/>
    <w:rsid w:val="00150821"/>
    <w:rsid w:val="00150B09"/>
    <w:rsid w:val="0015153E"/>
    <w:rsid w:val="00153102"/>
    <w:rsid w:val="00153827"/>
    <w:rsid w:val="00153E6E"/>
    <w:rsid w:val="00154470"/>
    <w:rsid w:val="0015476D"/>
    <w:rsid w:val="001548DA"/>
    <w:rsid w:val="00156341"/>
    <w:rsid w:val="0015634E"/>
    <w:rsid w:val="00157039"/>
    <w:rsid w:val="001607BA"/>
    <w:rsid w:val="0016326C"/>
    <w:rsid w:val="001632C7"/>
    <w:rsid w:val="00163458"/>
    <w:rsid w:val="0016377F"/>
    <w:rsid w:val="0016382B"/>
    <w:rsid w:val="00163EB8"/>
    <w:rsid w:val="001641A0"/>
    <w:rsid w:val="0016461E"/>
    <w:rsid w:val="00164784"/>
    <w:rsid w:val="00164D56"/>
    <w:rsid w:val="00164F40"/>
    <w:rsid w:val="00165EA7"/>
    <w:rsid w:val="00165F87"/>
    <w:rsid w:val="00166A24"/>
    <w:rsid w:val="00166D9E"/>
    <w:rsid w:val="00166FE6"/>
    <w:rsid w:val="0016736F"/>
    <w:rsid w:val="001674DB"/>
    <w:rsid w:val="001674DC"/>
    <w:rsid w:val="00167A35"/>
    <w:rsid w:val="00167F90"/>
    <w:rsid w:val="001704F9"/>
    <w:rsid w:val="001708C3"/>
    <w:rsid w:val="00170A79"/>
    <w:rsid w:val="00170B1D"/>
    <w:rsid w:val="00171050"/>
    <w:rsid w:val="001713BF"/>
    <w:rsid w:val="00171612"/>
    <w:rsid w:val="00171654"/>
    <w:rsid w:val="00171972"/>
    <w:rsid w:val="00171EDF"/>
    <w:rsid w:val="0017210F"/>
    <w:rsid w:val="00172555"/>
    <w:rsid w:val="00172FC5"/>
    <w:rsid w:val="00173ABE"/>
    <w:rsid w:val="00174968"/>
    <w:rsid w:val="00174F6C"/>
    <w:rsid w:val="0017563E"/>
    <w:rsid w:val="0017588A"/>
    <w:rsid w:val="0017597B"/>
    <w:rsid w:val="001759AE"/>
    <w:rsid w:val="001762D0"/>
    <w:rsid w:val="00176643"/>
    <w:rsid w:val="00176E7D"/>
    <w:rsid w:val="001777A3"/>
    <w:rsid w:val="00177A5E"/>
    <w:rsid w:val="00181136"/>
    <w:rsid w:val="001822C0"/>
    <w:rsid w:val="001827A6"/>
    <w:rsid w:val="001835D6"/>
    <w:rsid w:val="00184B51"/>
    <w:rsid w:val="00185B14"/>
    <w:rsid w:val="00185B27"/>
    <w:rsid w:val="001862F4"/>
    <w:rsid w:val="0018664B"/>
    <w:rsid w:val="0018680A"/>
    <w:rsid w:val="00186878"/>
    <w:rsid w:val="00186BFD"/>
    <w:rsid w:val="001879C3"/>
    <w:rsid w:val="00187B29"/>
    <w:rsid w:val="001906BD"/>
    <w:rsid w:val="00190981"/>
    <w:rsid w:val="00190E11"/>
    <w:rsid w:val="00191977"/>
    <w:rsid w:val="0019232E"/>
    <w:rsid w:val="001927B5"/>
    <w:rsid w:val="0019288D"/>
    <w:rsid w:val="00192BD2"/>
    <w:rsid w:val="00192DF0"/>
    <w:rsid w:val="00193B46"/>
    <w:rsid w:val="00193EAD"/>
    <w:rsid w:val="00194110"/>
    <w:rsid w:val="001947FC"/>
    <w:rsid w:val="00195717"/>
    <w:rsid w:val="00196BE0"/>
    <w:rsid w:val="00196E7E"/>
    <w:rsid w:val="00196EFF"/>
    <w:rsid w:val="00197158"/>
    <w:rsid w:val="001A015C"/>
    <w:rsid w:val="001A0FA4"/>
    <w:rsid w:val="001A182C"/>
    <w:rsid w:val="001A1FFE"/>
    <w:rsid w:val="001A2235"/>
    <w:rsid w:val="001A2941"/>
    <w:rsid w:val="001A30C8"/>
    <w:rsid w:val="001A316E"/>
    <w:rsid w:val="001A343F"/>
    <w:rsid w:val="001A42CD"/>
    <w:rsid w:val="001A4838"/>
    <w:rsid w:val="001A4989"/>
    <w:rsid w:val="001A5349"/>
    <w:rsid w:val="001A58A9"/>
    <w:rsid w:val="001A7031"/>
    <w:rsid w:val="001B04F8"/>
    <w:rsid w:val="001B05EA"/>
    <w:rsid w:val="001B0976"/>
    <w:rsid w:val="001B181B"/>
    <w:rsid w:val="001B1875"/>
    <w:rsid w:val="001B1EED"/>
    <w:rsid w:val="001B202D"/>
    <w:rsid w:val="001B2A0B"/>
    <w:rsid w:val="001B301F"/>
    <w:rsid w:val="001B3039"/>
    <w:rsid w:val="001B31F5"/>
    <w:rsid w:val="001B3462"/>
    <w:rsid w:val="001B353E"/>
    <w:rsid w:val="001B48FE"/>
    <w:rsid w:val="001B4EA2"/>
    <w:rsid w:val="001B5752"/>
    <w:rsid w:val="001B5AE4"/>
    <w:rsid w:val="001B6E9B"/>
    <w:rsid w:val="001B7A2B"/>
    <w:rsid w:val="001B7D44"/>
    <w:rsid w:val="001C0291"/>
    <w:rsid w:val="001C03A0"/>
    <w:rsid w:val="001C080D"/>
    <w:rsid w:val="001C0DB4"/>
    <w:rsid w:val="001C14E7"/>
    <w:rsid w:val="001C1D10"/>
    <w:rsid w:val="001C201B"/>
    <w:rsid w:val="001C32CA"/>
    <w:rsid w:val="001C3339"/>
    <w:rsid w:val="001C340A"/>
    <w:rsid w:val="001C3ACC"/>
    <w:rsid w:val="001C49F3"/>
    <w:rsid w:val="001C4B5E"/>
    <w:rsid w:val="001C58AD"/>
    <w:rsid w:val="001C58C9"/>
    <w:rsid w:val="001C5BEF"/>
    <w:rsid w:val="001C62A9"/>
    <w:rsid w:val="001C6B5A"/>
    <w:rsid w:val="001C7227"/>
    <w:rsid w:val="001C7D64"/>
    <w:rsid w:val="001C7F6C"/>
    <w:rsid w:val="001D0AFC"/>
    <w:rsid w:val="001D0C3E"/>
    <w:rsid w:val="001D0FC6"/>
    <w:rsid w:val="001D18A6"/>
    <w:rsid w:val="001D1B37"/>
    <w:rsid w:val="001D1DE8"/>
    <w:rsid w:val="001D2037"/>
    <w:rsid w:val="001D229E"/>
    <w:rsid w:val="001D2EE9"/>
    <w:rsid w:val="001D39F8"/>
    <w:rsid w:val="001D42B1"/>
    <w:rsid w:val="001D42BB"/>
    <w:rsid w:val="001D4A8B"/>
    <w:rsid w:val="001D4B8A"/>
    <w:rsid w:val="001D4C45"/>
    <w:rsid w:val="001D5428"/>
    <w:rsid w:val="001D6663"/>
    <w:rsid w:val="001D690B"/>
    <w:rsid w:val="001D6A15"/>
    <w:rsid w:val="001D6F00"/>
    <w:rsid w:val="001E027E"/>
    <w:rsid w:val="001E0E36"/>
    <w:rsid w:val="001E10AD"/>
    <w:rsid w:val="001E16B0"/>
    <w:rsid w:val="001E17AC"/>
    <w:rsid w:val="001E17E4"/>
    <w:rsid w:val="001E1C62"/>
    <w:rsid w:val="001E32EA"/>
    <w:rsid w:val="001E3434"/>
    <w:rsid w:val="001E3529"/>
    <w:rsid w:val="001E40F5"/>
    <w:rsid w:val="001E4155"/>
    <w:rsid w:val="001E41F9"/>
    <w:rsid w:val="001E4B2A"/>
    <w:rsid w:val="001E4DC0"/>
    <w:rsid w:val="001E6C8A"/>
    <w:rsid w:val="001E6D69"/>
    <w:rsid w:val="001E70F1"/>
    <w:rsid w:val="001E7435"/>
    <w:rsid w:val="001E74A3"/>
    <w:rsid w:val="001E78B6"/>
    <w:rsid w:val="001E7D5D"/>
    <w:rsid w:val="001F01D3"/>
    <w:rsid w:val="001F0E1B"/>
    <w:rsid w:val="001F190B"/>
    <w:rsid w:val="001F1A44"/>
    <w:rsid w:val="001F1E69"/>
    <w:rsid w:val="001F491D"/>
    <w:rsid w:val="001F4C03"/>
    <w:rsid w:val="001F4E85"/>
    <w:rsid w:val="001F6402"/>
    <w:rsid w:val="001F6804"/>
    <w:rsid w:val="001F6FAF"/>
    <w:rsid w:val="001F7CF9"/>
    <w:rsid w:val="002004C3"/>
    <w:rsid w:val="0020084C"/>
    <w:rsid w:val="00200FDE"/>
    <w:rsid w:val="0020111E"/>
    <w:rsid w:val="00201206"/>
    <w:rsid w:val="00201EFB"/>
    <w:rsid w:val="00202320"/>
    <w:rsid w:val="0020233B"/>
    <w:rsid w:val="00202586"/>
    <w:rsid w:val="002029EB"/>
    <w:rsid w:val="002030D2"/>
    <w:rsid w:val="00203302"/>
    <w:rsid w:val="00203881"/>
    <w:rsid w:val="00203C37"/>
    <w:rsid w:val="00203E79"/>
    <w:rsid w:val="00203FD9"/>
    <w:rsid w:val="0020434A"/>
    <w:rsid w:val="00204AEF"/>
    <w:rsid w:val="00204B46"/>
    <w:rsid w:val="0020502E"/>
    <w:rsid w:val="0020518C"/>
    <w:rsid w:val="0020647F"/>
    <w:rsid w:val="00206885"/>
    <w:rsid w:val="00206B4D"/>
    <w:rsid w:val="00207831"/>
    <w:rsid w:val="002078D2"/>
    <w:rsid w:val="002079FA"/>
    <w:rsid w:val="00207AC5"/>
    <w:rsid w:val="00207ED6"/>
    <w:rsid w:val="002100E6"/>
    <w:rsid w:val="00210EB1"/>
    <w:rsid w:val="00210F20"/>
    <w:rsid w:val="00211330"/>
    <w:rsid w:val="00211C0B"/>
    <w:rsid w:val="00211CC5"/>
    <w:rsid w:val="00211EDF"/>
    <w:rsid w:val="00212A5A"/>
    <w:rsid w:val="00212CBC"/>
    <w:rsid w:val="00212FBD"/>
    <w:rsid w:val="002137CC"/>
    <w:rsid w:val="002138FE"/>
    <w:rsid w:val="0021464A"/>
    <w:rsid w:val="0021471C"/>
    <w:rsid w:val="0021663E"/>
    <w:rsid w:val="00216BA7"/>
    <w:rsid w:val="00216E3A"/>
    <w:rsid w:val="0021785A"/>
    <w:rsid w:val="00217B99"/>
    <w:rsid w:val="00217BE8"/>
    <w:rsid w:val="00217DAC"/>
    <w:rsid w:val="002207FC"/>
    <w:rsid w:val="00220C27"/>
    <w:rsid w:val="00221A96"/>
    <w:rsid w:val="00221FD8"/>
    <w:rsid w:val="002229FA"/>
    <w:rsid w:val="00222A09"/>
    <w:rsid w:val="00222AEB"/>
    <w:rsid w:val="00223092"/>
    <w:rsid w:val="0022313B"/>
    <w:rsid w:val="00223D03"/>
    <w:rsid w:val="002246F9"/>
    <w:rsid w:val="00224D85"/>
    <w:rsid w:val="00224E82"/>
    <w:rsid w:val="002257B8"/>
    <w:rsid w:val="00226641"/>
    <w:rsid w:val="00227A8E"/>
    <w:rsid w:val="00230195"/>
    <w:rsid w:val="0023042E"/>
    <w:rsid w:val="00230D39"/>
    <w:rsid w:val="00230F73"/>
    <w:rsid w:val="0023101D"/>
    <w:rsid w:val="00232361"/>
    <w:rsid w:val="002327B3"/>
    <w:rsid w:val="0023307C"/>
    <w:rsid w:val="00234132"/>
    <w:rsid w:val="00234685"/>
    <w:rsid w:val="00234794"/>
    <w:rsid w:val="00234A0A"/>
    <w:rsid w:val="002351AF"/>
    <w:rsid w:val="00235BAB"/>
    <w:rsid w:val="00235BE0"/>
    <w:rsid w:val="00235ED9"/>
    <w:rsid w:val="00235F45"/>
    <w:rsid w:val="00237134"/>
    <w:rsid w:val="00237EFE"/>
    <w:rsid w:val="00237F4C"/>
    <w:rsid w:val="0024032A"/>
    <w:rsid w:val="0024046D"/>
    <w:rsid w:val="00240F58"/>
    <w:rsid w:val="002410B4"/>
    <w:rsid w:val="00241899"/>
    <w:rsid w:val="00241A45"/>
    <w:rsid w:val="0024206A"/>
    <w:rsid w:val="00242E98"/>
    <w:rsid w:val="00243963"/>
    <w:rsid w:val="00244256"/>
    <w:rsid w:val="00244BCE"/>
    <w:rsid w:val="00244C13"/>
    <w:rsid w:val="00244DF4"/>
    <w:rsid w:val="00246099"/>
    <w:rsid w:val="00246997"/>
    <w:rsid w:val="00246BF5"/>
    <w:rsid w:val="00247BED"/>
    <w:rsid w:val="002501DE"/>
    <w:rsid w:val="00250BF4"/>
    <w:rsid w:val="00251D24"/>
    <w:rsid w:val="00252316"/>
    <w:rsid w:val="00252378"/>
    <w:rsid w:val="00252862"/>
    <w:rsid w:val="00252BC7"/>
    <w:rsid w:val="00253131"/>
    <w:rsid w:val="00253E84"/>
    <w:rsid w:val="00254E1B"/>
    <w:rsid w:val="00255103"/>
    <w:rsid w:val="00255189"/>
    <w:rsid w:val="0025567C"/>
    <w:rsid w:val="0025638F"/>
    <w:rsid w:val="00256550"/>
    <w:rsid w:val="00257626"/>
    <w:rsid w:val="00257C72"/>
    <w:rsid w:val="002600B1"/>
    <w:rsid w:val="0026103E"/>
    <w:rsid w:val="00261059"/>
    <w:rsid w:val="0026126E"/>
    <w:rsid w:val="00262391"/>
    <w:rsid w:val="002641AE"/>
    <w:rsid w:val="00265BF1"/>
    <w:rsid w:val="0026624B"/>
    <w:rsid w:val="00266A87"/>
    <w:rsid w:val="002673DE"/>
    <w:rsid w:val="002711BF"/>
    <w:rsid w:val="002712BF"/>
    <w:rsid w:val="00271E9F"/>
    <w:rsid w:val="00273004"/>
    <w:rsid w:val="002734C5"/>
    <w:rsid w:val="00273696"/>
    <w:rsid w:val="002737C0"/>
    <w:rsid w:val="00273900"/>
    <w:rsid w:val="00273A5A"/>
    <w:rsid w:val="00273B24"/>
    <w:rsid w:val="002743E8"/>
    <w:rsid w:val="00274B50"/>
    <w:rsid w:val="002753FB"/>
    <w:rsid w:val="00275886"/>
    <w:rsid w:val="00276236"/>
    <w:rsid w:val="002762B0"/>
    <w:rsid w:val="0027671E"/>
    <w:rsid w:val="002768B5"/>
    <w:rsid w:val="002778DE"/>
    <w:rsid w:val="00277D9B"/>
    <w:rsid w:val="00280D6A"/>
    <w:rsid w:val="00281437"/>
    <w:rsid w:val="00281490"/>
    <w:rsid w:val="00281B9B"/>
    <w:rsid w:val="0028218B"/>
    <w:rsid w:val="002823DE"/>
    <w:rsid w:val="00282C15"/>
    <w:rsid w:val="002830E3"/>
    <w:rsid w:val="00283507"/>
    <w:rsid w:val="00284B22"/>
    <w:rsid w:val="00284EF0"/>
    <w:rsid w:val="002850B6"/>
    <w:rsid w:val="0028562E"/>
    <w:rsid w:val="0028589A"/>
    <w:rsid w:val="0028620F"/>
    <w:rsid w:val="0028655D"/>
    <w:rsid w:val="00286CE4"/>
    <w:rsid w:val="00287D57"/>
    <w:rsid w:val="00290300"/>
    <w:rsid w:val="002910BF"/>
    <w:rsid w:val="002913CB"/>
    <w:rsid w:val="00291A5E"/>
    <w:rsid w:val="00292671"/>
    <w:rsid w:val="002929F6"/>
    <w:rsid w:val="00292CFF"/>
    <w:rsid w:val="00292DA5"/>
    <w:rsid w:val="00293B90"/>
    <w:rsid w:val="0029473E"/>
    <w:rsid w:val="00294875"/>
    <w:rsid w:val="00294BB5"/>
    <w:rsid w:val="00295730"/>
    <w:rsid w:val="00295831"/>
    <w:rsid w:val="0029600F"/>
    <w:rsid w:val="0029694B"/>
    <w:rsid w:val="00296EA3"/>
    <w:rsid w:val="002972BF"/>
    <w:rsid w:val="00297E7B"/>
    <w:rsid w:val="002A04A2"/>
    <w:rsid w:val="002A0C1E"/>
    <w:rsid w:val="002A14AC"/>
    <w:rsid w:val="002A230B"/>
    <w:rsid w:val="002A2F16"/>
    <w:rsid w:val="002A3149"/>
    <w:rsid w:val="002A3A5B"/>
    <w:rsid w:val="002A4BBB"/>
    <w:rsid w:val="002A5CD1"/>
    <w:rsid w:val="002A6815"/>
    <w:rsid w:val="002A6DD1"/>
    <w:rsid w:val="002A6E6F"/>
    <w:rsid w:val="002A7C53"/>
    <w:rsid w:val="002A7CCE"/>
    <w:rsid w:val="002A7D69"/>
    <w:rsid w:val="002A7E21"/>
    <w:rsid w:val="002B1AE3"/>
    <w:rsid w:val="002B1B33"/>
    <w:rsid w:val="002B22A4"/>
    <w:rsid w:val="002B2D24"/>
    <w:rsid w:val="002B315A"/>
    <w:rsid w:val="002B3708"/>
    <w:rsid w:val="002B37B5"/>
    <w:rsid w:val="002B3D5F"/>
    <w:rsid w:val="002B45D8"/>
    <w:rsid w:val="002B56F6"/>
    <w:rsid w:val="002B587C"/>
    <w:rsid w:val="002B5E83"/>
    <w:rsid w:val="002B61B4"/>
    <w:rsid w:val="002B6855"/>
    <w:rsid w:val="002B6A11"/>
    <w:rsid w:val="002B6EDE"/>
    <w:rsid w:val="002B793C"/>
    <w:rsid w:val="002B7E2D"/>
    <w:rsid w:val="002C0212"/>
    <w:rsid w:val="002C09C1"/>
    <w:rsid w:val="002C0F7C"/>
    <w:rsid w:val="002C1354"/>
    <w:rsid w:val="002C1424"/>
    <w:rsid w:val="002C226E"/>
    <w:rsid w:val="002C29D3"/>
    <w:rsid w:val="002C34E5"/>
    <w:rsid w:val="002C45E5"/>
    <w:rsid w:val="002C4776"/>
    <w:rsid w:val="002C4F8E"/>
    <w:rsid w:val="002C4FB1"/>
    <w:rsid w:val="002C52C0"/>
    <w:rsid w:val="002C5AFD"/>
    <w:rsid w:val="002C5CA9"/>
    <w:rsid w:val="002C6590"/>
    <w:rsid w:val="002C734E"/>
    <w:rsid w:val="002C75B3"/>
    <w:rsid w:val="002C7E7A"/>
    <w:rsid w:val="002D0102"/>
    <w:rsid w:val="002D1ACC"/>
    <w:rsid w:val="002D2078"/>
    <w:rsid w:val="002D26B0"/>
    <w:rsid w:val="002D2A1E"/>
    <w:rsid w:val="002D3DF2"/>
    <w:rsid w:val="002D43CB"/>
    <w:rsid w:val="002D48B3"/>
    <w:rsid w:val="002D5670"/>
    <w:rsid w:val="002D6FF5"/>
    <w:rsid w:val="002D701F"/>
    <w:rsid w:val="002D7341"/>
    <w:rsid w:val="002D7437"/>
    <w:rsid w:val="002D7902"/>
    <w:rsid w:val="002D796A"/>
    <w:rsid w:val="002D7983"/>
    <w:rsid w:val="002E02D9"/>
    <w:rsid w:val="002E0BC5"/>
    <w:rsid w:val="002E0CCB"/>
    <w:rsid w:val="002E0F2A"/>
    <w:rsid w:val="002E0FFF"/>
    <w:rsid w:val="002E1F07"/>
    <w:rsid w:val="002E2265"/>
    <w:rsid w:val="002E2828"/>
    <w:rsid w:val="002E5139"/>
    <w:rsid w:val="002E5770"/>
    <w:rsid w:val="002E5A5D"/>
    <w:rsid w:val="002E62E4"/>
    <w:rsid w:val="002E6BB9"/>
    <w:rsid w:val="002E71EB"/>
    <w:rsid w:val="002E72F3"/>
    <w:rsid w:val="002E75D6"/>
    <w:rsid w:val="002E7812"/>
    <w:rsid w:val="002F0C5E"/>
    <w:rsid w:val="002F0D4D"/>
    <w:rsid w:val="002F0D66"/>
    <w:rsid w:val="002F1234"/>
    <w:rsid w:val="002F16C6"/>
    <w:rsid w:val="002F1A53"/>
    <w:rsid w:val="002F1CC4"/>
    <w:rsid w:val="002F2002"/>
    <w:rsid w:val="002F26C6"/>
    <w:rsid w:val="002F2B13"/>
    <w:rsid w:val="002F2C63"/>
    <w:rsid w:val="002F2CA2"/>
    <w:rsid w:val="002F350A"/>
    <w:rsid w:val="002F3909"/>
    <w:rsid w:val="002F4063"/>
    <w:rsid w:val="002F40DA"/>
    <w:rsid w:val="002F41A1"/>
    <w:rsid w:val="002F4F56"/>
    <w:rsid w:val="002F5479"/>
    <w:rsid w:val="002F5C72"/>
    <w:rsid w:val="002F6049"/>
    <w:rsid w:val="002F6060"/>
    <w:rsid w:val="002F6360"/>
    <w:rsid w:val="002F6382"/>
    <w:rsid w:val="002F6AA3"/>
    <w:rsid w:val="002F771C"/>
    <w:rsid w:val="0030025E"/>
    <w:rsid w:val="00300C34"/>
    <w:rsid w:val="00301147"/>
    <w:rsid w:val="00301433"/>
    <w:rsid w:val="003017E7"/>
    <w:rsid w:val="0030197A"/>
    <w:rsid w:val="00301CC8"/>
    <w:rsid w:val="00302EA3"/>
    <w:rsid w:val="0030326D"/>
    <w:rsid w:val="003042F6"/>
    <w:rsid w:val="00304AC0"/>
    <w:rsid w:val="00304FA3"/>
    <w:rsid w:val="0030779D"/>
    <w:rsid w:val="003103DA"/>
    <w:rsid w:val="00310533"/>
    <w:rsid w:val="0031279C"/>
    <w:rsid w:val="00312E1B"/>
    <w:rsid w:val="0031354B"/>
    <w:rsid w:val="00313ABB"/>
    <w:rsid w:val="00313F97"/>
    <w:rsid w:val="0031463C"/>
    <w:rsid w:val="00316326"/>
    <w:rsid w:val="00316C04"/>
    <w:rsid w:val="0032090D"/>
    <w:rsid w:val="00320D1F"/>
    <w:rsid w:val="00321598"/>
    <w:rsid w:val="0032171E"/>
    <w:rsid w:val="00322325"/>
    <w:rsid w:val="00322803"/>
    <w:rsid w:val="0032315F"/>
    <w:rsid w:val="0032338E"/>
    <w:rsid w:val="003238A5"/>
    <w:rsid w:val="00324458"/>
    <w:rsid w:val="003245A1"/>
    <w:rsid w:val="00324785"/>
    <w:rsid w:val="00324C80"/>
    <w:rsid w:val="00324F14"/>
    <w:rsid w:val="00325B10"/>
    <w:rsid w:val="00325E20"/>
    <w:rsid w:val="0032614B"/>
    <w:rsid w:val="0032674F"/>
    <w:rsid w:val="00330169"/>
    <w:rsid w:val="003321DD"/>
    <w:rsid w:val="00332453"/>
    <w:rsid w:val="003325FF"/>
    <w:rsid w:val="00332FD4"/>
    <w:rsid w:val="00333298"/>
    <w:rsid w:val="00333C41"/>
    <w:rsid w:val="00334080"/>
    <w:rsid w:val="0033427E"/>
    <w:rsid w:val="00334427"/>
    <w:rsid w:val="0033443F"/>
    <w:rsid w:val="00334DCE"/>
    <w:rsid w:val="0033554F"/>
    <w:rsid w:val="00336588"/>
    <w:rsid w:val="003365A0"/>
    <w:rsid w:val="00336694"/>
    <w:rsid w:val="00337490"/>
    <w:rsid w:val="00337ADF"/>
    <w:rsid w:val="00337D05"/>
    <w:rsid w:val="003403DD"/>
    <w:rsid w:val="00341867"/>
    <w:rsid w:val="00341CA5"/>
    <w:rsid w:val="0034231F"/>
    <w:rsid w:val="00342751"/>
    <w:rsid w:val="00342B4E"/>
    <w:rsid w:val="00343197"/>
    <w:rsid w:val="00343C39"/>
    <w:rsid w:val="00343C59"/>
    <w:rsid w:val="003448AF"/>
    <w:rsid w:val="003473A4"/>
    <w:rsid w:val="00350607"/>
    <w:rsid w:val="00350CA4"/>
    <w:rsid w:val="00351970"/>
    <w:rsid w:val="00351D3D"/>
    <w:rsid w:val="00352D91"/>
    <w:rsid w:val="0035322D"/>
    <w:rsid w:val="003535F2"/>
    <w:rsid w:val="003536F0"/>
    <w:rsid w:val="00353A06"/>
    <w:rsid w:val="00354AE8"/>
    <w:rsid w:val="00354B78"/>
    <w:rsid w:val="00354D1A"/>
    <w:rsid w:val="003564AD"/>
    <w:rsid w:val="00356642"/>
    <w:rsid w:val="003567F7"/>
    <w:rsid w:val="003570F4"/>
    <w:rsid w:val="00360104"/>
    <w:rsid w:val="003612D2"/>
    <w:rsid w:val="00361EC6"/>
    <w:rsid w:val="00362DAF"/>
    <w:rsid w:val="00363BD4"/>
    <w:rsid w:val="003641D9"/>
    <w:rsid w:val="003643B5"/>
    <w:rsid w:val="003649CD"/>
    <w:rsid w:val="003659A1"/>
    <w:rsid w:val="00366977"/>
    <w:rsid w:val="00366AEE"/>
    <w:rsid w:val="0036764F"/>
    <w:rsid w:val="00367F4C"/>
    <w:rsid w:val="00370007"/>
    <w:rsid w:val="00370CDA"/>
    <w:rsid w:val="00370EDD"/>
    <w:rsid w:val="00371CA9"/>
    <w:rsid w:val="00371D68"/>
    <w:rsid w:val="00371FBC"/>
    <w:rsid w:val="00372132"/>
    <w:rsid w:val="003725ED"/>
    <w:rsid w:val="0037290E"/>
    <w:rsid w:val="00373998"/>
    <w:rsid w:val="00373FDD"/>
    <w:rsid w:val="00374705"/>
    <w:rsid w:val="00374790"/>
    <w:rsid w:val="00375153"/>
    <w:rsid w:val="00375AB9"/>
    <w:rsid w:val="00376CC9"/>
    <w:rsid w:val="00376FED"/>
    <w:rsid w:val="003771BD"/>
    <w:rsid w:val="003772F1"/>
    <w:rsid w:val="00377872"/>
    <w:rsid w:val="0037791B"/>
    <w:rsid w:val="003805DD"/>
    <w:rsid w:val="00380C99"/>
    <w:rsid w:val="00380CC7"/>
    <w:rsid w:val="003819A4"/>
    <w:rsid w:val="00381D0D"/>
    <w:rsid w:val="00381DF0"/>
    <w:rsid w:val="0038264D"/>
    <w:rsid w:val="003830DA"/>
    <w:rsid w:val="00383264"/>
    <w:rsid w:val="00383349"/>
    <w:rsid w:val="00383637"/>
    <w:rsid w:val="00383E18"/>
    <w:rsid w:val="00383EE7"/>
    <w:rsid w:val="00383FAA"/>
    <w:rsid w:val="003844AA"/>
    <w:rsid w:val="0038497A"/>
    <w:rsid w:val="00385260"/>
    <w:rsid w:val="003867D3"/>
    <w:rsid w:val="0038748E"/>
    <w:rsid w:val="0038789A"/>
    <w:rsid w:val="003878C0"/>
    <w:rsid w:val="00387D6C"/>
    <w:rsid w:val="003908A2"/>
    <w:rsid w:val="0039143A"/>
    <w:rsid w:val="003914A2"/>
    <w:rsid w:val="00391D40"/>
    <w:rsid w:val="003922E7"/>
    <w:rsid w:val="0039252B"/>
    <w:rsid w:val="0039271A"/>
    <w:rsid w:val="00392AA9"/>
    <w:rsid w:val="00392F5A"/>
    <w:rsid w:val="00394049"/>
    <w:rsid w:val="0039529D"/>
    <w:rsid w:val="00395363"/>
    <w:rsid w:val="00395BD4"/>
    <w:rsid w:val="0039647F"/>
    <w:rsid w:val="0039778C"/>
    <w:rsid w:val="00397C58"/>
    <w:rsid w:val="00397CBE"/>
    <w:rsid w:val="003A0162"/>
    <w:rsid w:val="003A0239"/>
    <w:rsid w:val="003A22FB"/>
    <w:rsid w:val="003A2F4E"/>
    <w:rsid w:val="003A33F4"/>
    <w:rsid w:val="003A3A00"/>
    <w:rsid w:val="003A3C1E"/>
    <w:rsid w:val="003A48AE"/>
    <w:rsid w:val="003A4D78"/>
    <w:rsid w:val="003A5245"/>
    <w:rsid w:val="003A556C"/>
    <w:rsid w:val="003A59F3"/>
    <w:rsid w:val="003A6180"/>
    <w:rsid w:val="003A687D"/>
    <w:rsid w:val="003A6EBF"/>
    <w:rsid w:val="003A7561"/>
    <w:rsid w:val="003A7B18"/>
    <w:rsid w:val="003B0132"/>
    <w:rsid w:val="003B07AF"/>
    <w:rsid w:val="003B0CA6"/>
    <w:rsid w:val="003B0D0E"/>
    <w:rsid w:val="003B13F9"/>
    <w:rsid w:val="003B16EC"/>
    <w:rsid w:val="003B203E"/>
    <w:rsid w:val="003B2751"/>
    <w:rsid w:val="003B2B36"/>
    <w:rsid w:val="003B3243"/>
    <w:rsid w:val="003B374B"/>
    <w:rsid w:val="003B376C"/>
    <w:rsid w:val="003B3AFC"/>
    <w:rsid w:val="003B3D8F"/>
    <w:rsid w:val="003B4323"/>
    <w:rsid w:val="003B499C"/>
    <w:rsid w:val="003B52CF"/>
    <w:rsid w:val="003B5CF0"/>
    <w:rsid w:val="003B5F3F"/>
    <w:rsid w:val="003B63AB"/>
    <w:rsid w:val="003B68EC"/>
    <w:rsid w:val="003C0695"/>
    <w:rsid w:val="003C196F"/>
    <w:rsid w:val="003C1B2A"/>
    <w:rsid w:val="003C272A"/>
    <w:rsid w:val="003C3972"/>
    <w:rsid w:val="003C3D28"/>
    <w:rsid w:val="003C3FC6"/>
    <w:rsid w:val="003C4357"/>
    <w:rsid w:val="003C4476"/>
    <w:rsid w:val="003C4575"/>
    <w:rsid w:val="003C482D"/>
    <w:rsid w:val="003C4B63"/>
    <w:rsid w:val="003C51F6"/>
    <w:rsid w:val="003C756E"/>
    <w:rsid w:val="003C75F7"/>
    <w:rsid w:val="003D03F5"/>
    <w:rsid w:val="003D0652"/>
    <w:rsid w:val="003D0EBF"/>
    <w:rsid w:val="003D111A"/>
    <w:rsid w:val="003D1BB3"/>
    <w:rsid w:val="003D1DF0"/>
    <w:rsid w:val="003D1FBA"/>
    <w:rsid w:val="003D2570"/>
    <w:rsid w:val="003D26B3"/>
    <w:rsid w:val="003D2717"/>
    <w:rsid w:val="003D32E0"/>
    <w:rsid w:val="003D35A9"/>
    <w:rsid w:val="003D3C77"/>
    <w:rsid w:val="003D47B0"/>
    <w:rsid w:val="003D4810"/>
    <w:rsid w:val="003D552D"/>
    <w:rsid w:val="003D5C27"/>
    <w:rsid w:val="003D6A34"/>
    <w:rsid w:val="003D6DDC"/>
    <w:rsid w:val="003D7132"/>
    <w:rsid w:val="003D7773"/>
    <w:rsid w:val="003D7C6C"/>
    <w:rsid w:val="003E0302"/>
    <w:rsid w:val="003E063A"/>
    <w:rsid w:val="003E0B93"/>
    <w:rsid w:val="003E121D"/>
    <w:rsid w:val="003E1320"/>
    <w:rsid w:val="003E1D42"/>
    <w:rsid w:val="003E390B"/>
    <w:rsid w:val="003E404D"/>
    <w:rsid w:val="003E412B"/>
    <w:rsid w:val="003E49AA"/>
    <w:rsid w:val="003E49D9"/>
    <w:rsid w:val="003E4CE6"/>
    <w:rsid w:val="003E6112"/>
    <w:rsid w:val="003E6149"/>
    <w:rsid w:val="003E63A5"/>
    <w:rsid w:val="003E6599"/>
    <w:rsid w:val="003E6704"/>
    <w:rsid w:val="003E6E19"/>
    <w:rsid w:val="003E7427"/>
    <w:rsid w:val="003E7537"/>
    <w:rsid w:val="003E7981"/>
    <w:rsid w:val="003F0F3E"/>
    <w:rsid w:val="003F25DB"/>
    <w:rsid w:val="003F29B3"/>
    <w:rsid w:val="003F29D0"/>
    <w:rsid w:val="003F3F24"/>
    <w:rsid w:val="003F48AE"/>
    <w:rsid w:val="003F4A55"/>
    <w:rsid w:val="003F5230"/>
    <w:rsid w:val="003F5372"/>
    <w:rsid w:val="003F55EB"/>
    <w:rsid w:val="003F5B14"/>
    <w:rsid w:val="003F6231"/>
    <w:rsid w:val="003F664E"/>
    <w:rsid w:val="003F66A2"/>
    <w:rsid w:val="003F69B9"/>
    <w:rsid w:val="003F6DE7"/>
    <w:rsid w:val="003F6DFC"/>
    <w:rsid w:val="003F6FB9"/>
    <w:rsid w:val="003F7331"/>
    <w:rsid w:val="003F7E38"/>
    <w:rsid w:val="003F7F1C"/>
    <w:rsid w:val="00400071"/>
    <w:rsid w:val="0040023C"/>
    <w:rsid w:val="00400DDA"/>
    <w:rsid w:val="00401686"/>
    <w:rsid w:val="0040266E"/>
    <w:rsid w:val="00402A53"/>
    <w:rsid w:val="00402D93"/>
    <w:rsid w:val="00402E78"/>
    <w:rsid w:val="00404673"/>
    <w:rsid w:val="004048F7"/>
    <w:rsid w:val="004052EF"/>
    <w:rsid w:val="00406A1F"/>
    <w:rsid w:val="00406FA4"/>
    <w:rsid w:val="004075FB"/>
    <w:rsid w:val="00407732"/>
    <w:rsid w:val="00407FAA"/>
    <w:rsid w:val="004100CA"/>
    <w:rsid w:val="00410400"/>
    <w:rsid w:val="0041100B"/>
    <w:rsid w:val="004110A8"/>
    <w:rsid w:val="004116D9"/>
    <w:rsid w:val="0041268E"/>
    <w:rsid w:val="00412A28"/>
    <w:rsid w:val="00412A49"/>
    <w:rsid w:val="0041306B"/>
    <w:rsid w:val="00413440"/>
    <w:rsid w:val="004144F2"/>
    <w:rsid w:val="004156FF"/>
    <w:rsid w:val="00415D08"/>
    <w:rsid w:val="00415D2B"/>
    <w:rsid w:val="00416ADC"/>
    <w:rsid w:val="00417C34"/>
    <w:rsid w:val="00417D7E"/>
    <w:rsid w:val="00420731"/>
    <w:rsid w:val="00420A91"/>
    <w:rsid w:val="0042130B"/>
    <w:rsid w:val="004218E1"/>
    <w:rsid w:val="00422042"/>
    <w:rsid w:val="00422D1C"/>
    <w:rsid w:val="00424484"/>
    <w:rsid w:val="004245EE"/>
    <w:rsid w:val="00425674"/>
    <w:rsid w:val="00425B50"/>
    <w:rsid w:val="00426D4D"/>
    <w:rsid w:val="00427159"/>
    <w:rsid w:val="00427269"/>
    <w:rsid w:val="0043014F"/>
    <w:rsid w:val="00431C6F"/>
    <w:rsid w:val="00432403"/>
    <w:rsid w:val="004326A2"/>
    <w:rsid w:val="0043274D"/>
    <w:rsid w:val="004331A4"/>
    <w:rsid w:val="00433D7E"/>
    <w:rsid w:val="00434077"/>
    <w:rsid w:val="004340FD"/>
    <w:rsid w:val="00434F4E"/>
    <w:rsid w:val="00434F95"/>
    <w:rsid w:val="004355FA"/>
    <w:rsid w:val="004356E1"/>
    <w:rsid w:val="00435758"/>
    <w:rsid w:val="00435BF6"/>
    <w:rsid w:val="00435C88"/>
    <w:rsid w:val="00435D85"/>
    <w:rsid w:val="004363A9"/>
    <w:rsid w:val="00436700"/>
    <w:rsid w:val="0043681B"/>
    <w:rsid w:val="00436E7E"/>
    <w:rsid w:val="00437079"/>
    <w:rsid w:val="004401E1"/>
    <w:rsid w:val="00440C2E"/>
    <w:rsid w:val="004410E0"/>
    <w:rsid w:val="004418A6"/>
    <w:rsid w:val="00441C22"/>
    <w:rsid w:val="00441C26"/>
    <w:rsid w:val="00442A1F"/>
    <w:rsid w:val="0044328A"/>
    <w:rsid w:val="004436DD"/>
    <w:rsid w:val="00443E09"/>
    <w:rsid w:val="00444625"/>
    <w:rsid w:val="004448D3"/>
    <w:rsid w:val="0044637A"/>
    <w:rsid w:val="00446F60"/>
    <w:rsid w:val="004476D3"/>
    <w:rsid w:val="00447B52"/>
    <w:rsid w:val="004501F9"/>
    <w:rsid w:val="00450983"/>
    <w:rsid w:val="00450D3B"/>
    <w:rsid w:val="00451BD9"/>
    <w:rsid w:val="00452DE1"/>
    <w:rsid w:val="00453AF3"/>
    <w:rsid w:val="00453B76"/>
    <w:rsid w:val="00453C62"/>
    <w:rsid w:val="00453D3F"/>
    <w:rsid w:val="00453FD0"/>
    <w:rsid w:val="00454327"/>
    <w:rsid w:val="0045481B"/>
    <w:rsid w:val="00454ED1"/>
    <w:rsid w:val="00455019"/>
    <w:rsid w:val="00455E81"/>
    <w:rsid w:val="00455FFF"/>
    <w:rsid w:val="004561CE"/>
    <w:rsid w:val="004561D2"/>
    <w:rsid w:val="0045648F"/>
    <w:rsid w:val="00456B27"/>
    <w:rsid w:val="00457B88"/>
    <w:rsid w:val="0046034A"/>
    <w:rsid w:val="0046044A"/>
    <w:rsid w:val="0046079A"/>
    <w:rsid w:val="00461AB9"/>
    <w:rsid w:val="00462002"/>
    <w:rsid w:val="004621DE"/>
    <w:rsid w:val="004639EB"/>
    <w:rsid w:val="00463CFE"/>
    <w:rsid w:val="0046422F"/>
    <w:rsid w:val="00464284"/>
    <w:rsid w:val="004648CE"/>
    <w:rsid w:val="00464A7D"/>
    <w:rsid w:val="00464D5C"/>
    <w:rsid w:val="004652AC"/>
    <w:rsid w:val="0046584E"/>
    <w:rsid w:val="0046667C"/>
    <w:rsid w:val="00466C40"/>
    <w:rsid w:val="00466D4D"/>
    <w:rsid w:val="004675D0"/>
    <w:rsid w:val="00472096"/>
    <w:rsid w:val="00472EA5"/>
    <w:rsid w:val="00473244"/>
    <w:rsid w:val="004759A8"/>
    <w:rsid w:val="00475F3B"/>
    <w:rsid w:val="00475F9F"/>
    <w:rsid w:val="004760C7"/>
    <w:rsid w:val="00476DF2"/>
    <w:rsid w:val="00476EBD"/>
    <w:rsid w:val="00476FEA"/>
    <w:rsid w:val="004770B8"/>
    <w:rsid w:val="00477165"/>
    <w:rsid w:val="004774FD"/>
    <w:rsid w:val="0047794F"/>
    <w:rsid w:val="00480320"/>
    <w:rsid w:val="004803DB"/>
    <w:rsid w:val="00480FEA"/>
    <w:rsid w:val="0048119E"/>
    <w:rsid w:val="004817C8"/>
    <w:rsid w:val="0048235F"/>
    <w:rsid w:val="00482C42"/>
    <w:rsid w:val="004833D5"/>
    <w:rsid w:val="00485CF9"/>
    <w:rsid w:val="00485F71"/>
    <w:rsid w:val="0048651B"/>
    <w:rsid w:val="004866DE"/>
    <w:rsid w:val="00486CF7"/>
    <w:rsid w:val="0048714F"/>
    <w:rsid w:val="00487812"/>
    <w:rsid w:val="00487B7A"/>
    <w:rsid w:val="00490391"/>
    <w:rsid w:val="004910BE"/>
    <w:rsid w:val="00491216"/>
    <w:rsid w:val="004915F5"/>
    <w:rsid w:val="004916EF"/>
    <w:rsid w:val="00492641"/>
    <w:rsid w:val="004927C5"/>
    <w:rsid w:val="004931FF"/>
    <w:rsid w:val="00493688"/>
    <w:rsid w:val="00493841"/>
    <w:rsid w:val="00493971"/>
    <w:rsid w:val="00493B0B"/>
    <w:rsid w:val="00493FC6"/>
    <w:rsid w:val="004943E1"/>
    <w:rsid w:val="00494F5F"/>
    <w:rsid w:val="004955A3"/>
    <w:rsid w:val="004956B1"/>
    <w:rsid w:val="00495B77"/>
    <w:rsid w:val="00495F24"/>
    <w:rsid w:val="00496263"/>
    <w:rsid w:val="00496318"/>
    <w:rsid w:val="004A0042"/>
    <w:rsid w:val="004A0FD9"/>
    <w:rsid w:val="004A1466"/>
    <w:rsid w:val="004A1D3A"/>
    <w:rsid w:val="004A1F7C"/>
    <w:rsid w:val="004A20D6"/>
    <w:rsid w:val="004A2A95"/>
    <w:rsid w:val="004A39EE"/>
    <w:rsid w:val="004A41BF"/>
    <w:rsid w:val="004A4218"/>
    <w:rsid w:val="004A4EF1"/>
    <w:rsid w:val="004A4F43"/>
    <w:rsid w:val="004A58D2"/>
    <w:rsid w:val="004A60B1"/>
    <w:rsid w:val="004A6ADE"/>
    <w:rsid w:val="004A6C86"/>
    <w:rsid w:val="004A7238"/>
    <w:rsid w:val="004A756F"/>
    <w:rsid w:val="004B0670"/>
    <w:rsid w:val="004B0811"/>
    <w:rsid w:val="004B0985"/>
    <w:rsid w:val="004B0A21"/>
    <w:rsid w:val="004B1532"/>
    <w:rsid w:val="004B2C29"/>
    <w:rsid w:val="004B31A6"/>
    <w:rsid w:val="004B33DB"/>
    <w:rsid w:val="004B34FF"/>
    <w:rsid w:val="004B3772"/>
    <w:rsid w:val="004B40E1"/>
    <w:rsid w:val="004B4124"/>
    <w:rsid w:val="004B4C9F"/>
    <w:rsid w:val="004B52B1"/>
    <w:rsid w:val="004B5D62"/>
    <w:rsid w:val="004B7077"/>
    <w:rsid w:val="004B718E"/>
    <w:rsid w:val="004B7202"/>
    <w:rsid w:val="004B74F5"/>
    <w:rsid w:val="004B7597"/>
    <w:rsid w:val="004B7D93"/>
    <w:rsid w:val="004C021A"/>
    <w:rsid w:val="004C02D9"/>
    <w:rsid w:val="004C03BF"/>
    <w:rsid w:val="004C0E0D"/>
    <w:rsid w:val="004C0E8F"/>
    <w:rsid w:val="004C0EB8"/>
    <w:rsid w:val="004C0FAE"/>
    <w:rsid w:val="004C1D40"/>
    <w:rsid w:val="004C1D51"/>
    <w:rsid w:val="004C2494"/>
    <w:rsid w:val="004C3332"/>
    <w:rsid w:val="004C3753"/>
    <w:rsid w:val="004C44A2"/>
    <w:rsid w:val="004C4653"/>
    <w:rsid w:val="004C53A1"/>
    <w:rsid w:val="004C5BBE"/>
    <w:rsid w:val="004C5D86"/>
    <w:rsid w:val="004C6003"/>
    <w:rsid w:val="004C6B45"/>
    <w:rsid w:val="004C71EF"/>
    <w:rsid w:val="004C72FA"/>
    <w:rsid w:val="004C7E1B"/>
    <w:rsid w:val="004C7F00"/>
    <w:rsid w:val="004D015A"/>
    <w:rsid w:val="004D0D10"/>
    <w:rsid w:val="004D0EEB"/>
    <w:rsid w:val="004D1246"/>
    <w:rsid w:val="004D1B2B"/>
    <w:rsid w:val="004D2518"/>
    <w:rsid w:val="004D30A9"/>
    <w:rsid w:val="004D4060"/>
    <w:rsid w:val="004D4FC6"/>
    <w:rsid w:val="004D5216"/>
    <w:rsid w:val="004D563B"/>
    <w:rsid w:val="004D5B27"/>
    <w:rsid w:val="004D6997"/>
    <w:rsid w:val="004D71BF"/>
    <w:rsid w:val="004D7FE7"/>
    <w:rsid w:val="004E0525"/>
    <w:rsid w:val="004E14F9"/>
    <w:rsid w:val="004E17AD"/>
    <w:rsid w:val="004E3AAE"/>
    <w:rsid w:val="004E42A0"/>
    <w:rsid w:val="004E42E4"/>
    <w:rsid w:val="004E5439"/>
    <w:rsid w:val="004E5562"/>
    <w:rsid w:val="004E635F"/>
    <w:rsid w:val="004E760C"/>
    <w:rsid w:val="004E7786"/>
    <w:rsid w:val="004F0112"/>
    <w:rsid w:val="004F220F"/>
    <w:rsid w:val="004F255D"/>
    <w:rsid w:val="004F3590"/>
    <w:rsid w:val="004F3ECF"/>
    <w:rsid w:val="004F402A"/>
    <w:rsid w:val="004F40D8"/>
    <w:rsid w:val="004F4D34"/>
    <w:rsid w:val="004F5106"/>
    <w:rsid w:val="004F586C"/>
    <w:rsid w:val="004F6359"/>
    <w:rsid w:val="004F70AD"/>
    <w:rsid w:val="004F7C83"/>
    <w:rsid w:val="005004F4"/>
    <w:rsid w:val="00500522"/>
    <w:rsid w:val="00501163"/>
    <w:rsid w:val="00501DF2"/>
    <w:rsid w:val="0050210D"/>
    <w:rsid w:val="00502161"/>
    <w:rsid w:val="00502995"/>
    <w:rsid w:val="0050361A"/>
    <w:rsid w:val="00503836"/>
    <w:rsid w:val="00505452"/>
    <w:rsid w:val="00505809"/>
    <w:rsid w:val="0050651F"/>
    <w:rsid w:val="00506A3E"/>
    <w:rsid w:val="005075A3"/>
    <w:rsid w:val="00510AA4"/>
    <w:rsid w:val="00510BA6"/>
    <w:rsid w:val="00512257"/>
    <w:rsid w:val="00512C39"/>
    <w:rsid w:val="00512CBA"/>
    <w:rsid w:val="00514427"/>
    <w:rsid w:val="005144DE"/>
    <w:rsid w:val="00515608"/>
    <w:rsid w:val="00515B18"/>
    <w:rsid w:val="0051647A"/>
    <w:rsid w:val="00517737"/>
    <w:rsid w:val="00517FBB"/>
    <w:rsid w:val="005204AD"/>
    <w:rsid w:val="00520BDF"/>
    <w:rsid w:val="0052168B"/>
    <w:rsid w:val="00521EFB"/>
    <w:rsid w:val="005220ED"/>
    <w:rsid w:val="00522EFD"/>
    <w:rsid w:val="0052304A"/>
    <w:rsid w:val="005237F5"/>
    <w:rsid w:val="00524A5C"/>
    <w:rsid w:val="00524C27"/>
    <w:rsid w:val="0052550D"/>
    <w:rsid w:val="00525B05"/>
    <w:rsid w:val="00526696"/>
    <w:rsid w:val="00526A82"/>
    <w:rsid w:val="00526AD1"/>
    <w:rsid w:val="00526C27"/>
    <w:rsid w:val="00527757"/>
    <w:rsid w:val="00527AA0"/>
    <w:rsid w:val="005301CA"/>
    <w:rsid w:val="00530208"/>
    <w:rsid w:val="00530C6F"/>
    <w:rsid w:val="00530CC2"/>
    <w:rsid w:val="005311E2"/>
    <w:rsid w:val="0053120B"/>
    <w:rsid w:val="005317CB"/>
    <w:rsid w:val="005319EA"/>
    <w:rsid w:val="00532888"/>
    <w:rsid w:val="00532A55"/>
    <w:rsid w:val="005338FC"/>
    <w:rsid w:val="00533D22"/>
    <w:rsid w:val="00535698"/>
    <w:rsid w:val="00535EB6"/>
    <w:rsid w:val="00536C22"/>
    <w:rsid w:val="00536C29"/>
    <w:rsid w:val="00536CCA"/>
    <w:rsid w:val="00536CD5"/>
    <w:rsid w:val="005408DC"/>
    <w:rsid w:val="00540AE0"/>
    <w:rsid w:val="00540CF2"/>
    <w:rsid w:val="0054129A"/>
    <w:rsid w:val="00541527"/>
    <w:rsid w:val="0054157B"/>
    <w:rsid w:val="0054192E"/>
    <w:rsid w:val="00541936"/>
    <w:rsid w:val="00542232"/>
    <w:rsid w:val="00542C46"/>
    <w:rsid w:val="00542C60"/>
    <w:rsid w:val="00543075"/>
    <w:rsid w:val="00543E42"/>
    <w:rsid w:val="00544043"/>
    <w:rsid w:val="00544945"/>
    <w:rsid w:val="00544A26"/>
    <w:rsid w:val="00545E65"/>
    <w:rsid w:val="00545E8A"/>
    <w:rsid w:val="005477DD"/>
    <w:rsid w:val="00547C82"/>
    <w:rsid w:val="00551792"/>
    <w:rsid w:val="005522C3"/>
    <w:rsid w:val="00553516"/>
    <w:rsid w:val="00553D3C"/>
    <w:rsid w:val="0055417D"/>
    <w:rsid w:val="005551A7"/>
    <w:rsid w:val="005553C3"/>
    <w:rsid w:val="0055566F"/>
    <w:rsid w:val="00555C80"/>
    <w:rsid w:val="005573AE"/>
    <w:rsid w:val="00557471"/>
    <w:rsid w:val="00560054"/>
    <w:rsid w:val="00560914"/>
    <w:rsid w:val="0056096E"/>
    <w:rsid w:val="00560A67"/>
    <w:rsid w:val="00560B77"/>
    <w:rsid w:val="00560F9F"/>
    <w:rsid w:val="00561011"/>
    <w:rsid w:val="00561768"/>
    <w:rsid w:val="0056192E"/>
    <w:rsid w:val="005619C4"/>
    <w:rsid w:val="0056238E"/>
    <w:rsid w:val="00562664"/>
    <w:rsid w:val="005632DA"/>
    <w:rsid w:val="00563EB5"/>
    <w:rsid w:val="00564279"/>
    <w:rsid w:val="00564964"/>
    <w:rsid w:val="00565C3D"/>
    <w:rsid w:val="00565F2A"/>
    <w:rsid w:val="005664E8"/>
    <w:rsid w:val="00566507"/>
    <w:rsid w:val="00566FA2"/>
    <w:rsid w:val="0056755B"/>
    <w:rsid w:val="00567F0B"/>
    <w:rsid w:val="00570582"/>
    <w:rsid w:val="00570689"/>
    <w:rsid w:val="00571664"/>
    <w:rsid w:val="0057220D"/>
    <w:rsid w:val="00572AC5"/>
    <w:rsid w:val="0057336C"/>
    <w:rsid w:val="0057365E"/>
    <w:rsid w:val="0057399C"/>
    <w:rsid w:val="00573F44"/>
    <w:rsid w:val="00574130"/>
    <w:rsid w:val="00574A24"/>
    <w:rsid w:val="00575640"/>
    <w:rsid w:val="00575EAD"/>
    <w:rsid w:val="0057608C"/>
    <w:rsid w:val="00576CE3"/>
    <w:rsid w:val="0058128F"/>
    <w:rsid w:val="00581386"/>
    <w:rsid w:val="005813CF"/>
    <w:rsid w:val="00581FBE"/>
    <w:rsid w:val="00582077"/>
    <w:rsid w:val="00582D0D"/>
    <w:rsid w:val="00582ECA"/>
    <w:rsid w:val="0058326A"/>
    <w:rsid w:val="005842DF"/>
    <w:rsid w:val="0058486A"/>
    <w:rsid w:val="00585AC4"/>
    <w:rsid w:val="00585DCF"/>
    <w:rsid w:val="0058669A"/>
    <w:rsid w:val="00586F24"/>
    <w:rsid w:val="0058707A"/>
    <w:rsid w:val="005871E1"/>
    <w:rsid w:val="005906C1"/>
    <w:rsid w:val="00590737"/>
    <w:rsid w:val="00590C30"/>
    <w:rsid w:val="005912AD"/>
    <w:rsid w:val="00591559"/>
    <w:rsid w:val="00591990"/>
    <w:rsid w:val="0059260A"/>
    <w:rsid w:val="00592836"/>
    <w:rsid w:val="005929BE"/>
    <w:rsid w:val="00592C6D"/>
    <w:rsid w:val="00592E84"/>
    <w:rsid w:val="00593785"/>
    <w:rsid w:val="00594802"/>
    <w:rsid w:val="00594E7F"/>
    <w:rsid w:val="00595969"/>
    <w:rsid w:val="00595EBC"/>
    <w:rsid w:val="0059610C"/>
    <w:rsid w:val="00596284"/>
    <w:rsid w:val="0059649C"/>
    <w:rsid w:val="00596576"/>
    <w:rsid w:val="00596A50"/>
    <w:rsid w:val="00596B2E"/>
    <w:rsid w:val="00596DAE"/>
    <w:rsid w:val="00597CA9"/>
    <w:rsid w:val="005A04DE"/>
    <w:rsid w:val="005A0ED6"/>
    <w:rsid w:val="005A150D"/>
    <w:rsid w:val="005A1664"/>
    <w:rsid w:val="005A17B0"/>
    <w:rsid w:val="005A1BEB"/>
    <w:rsid w:val="005A1C33"/>
    <w:rsid w:val="005A1CFB"/>
    <w:rsid w:val="005A2205"/>
    <w:rsid w:val="005A2A50"/>
    <w:rsid w:val="005A30A1"/>
    <w:rsid w:val="005A3D83"/>
    <w:rsid w:val="005A430D"/>
    <w:rsid w:val="005A5D55"/>
    <w:rsid w:val="005A6333"/>
    <w:rsid w:val="005A6872"/>
    <w:rsid w:val="005A7507"/>
    <w:rsid w:val="005A754A"/>
    <w:rsid w:val="005B018F"/>
    <w:rsid w:val="005B068D"/>
    <w:rsid w:val="005B1F75"/>
    <w:rsid w:val="005B2048"/>
    <w:rsid w:val="005B21B0"/>
    <w:rsid w:val="005B2369"/>
    <w:rsid w:val="005B4192"/>
    <w:rsid w:val="005B477A"/>
    <w:rsid w:val="005B591A"/>
    <w:rsid w:val="005B5E0B"/>
    <w:rsid w:val="005B6377"/>
    <w:rsid w:val="005B6532"/>
    <w:rsid w:val="005B655E"/>
    <w:rsid w:val="005B6560"/>
    <w:rsid w:val="005B71BB"/>
    <w:rsid w:val="005C0AA4"/>
    <w:rsid w:val="005C0D72"/>
    <w:rsid w:val="005C114F"/>
    <w:rsid w:val="005C16BA"/>
    <w:rsid w:val="005C1C63"/>
    <w:rsid w:val="005C2236"/>
    <w:rsid w:val="005C27E9"/>
    <w:rsid w:val="005C2A80"/>
    <w:rsid w:val="005C2B23"/>
    <w:rsid w:val="005C3262"/>
    <w:rsid w:val="005C32A8"/>
    <w:rsid w:val="005C3738"/>
    <w:rsid w:val="005C3B54"/>
    <w:rsid w:val="005C3E80"/>
    <w:rsid w:val="005C4179"/>
    <w:rsid w:val="005C4B48"/>
    <w:rsid w:val="005C50A5"/>
    <w:rsid w:val="005C60B5"/>
    <w:rsid w:val="005C61F0"/>
    <w:rsid w:val="005C68D8"/>
    <w:rsid w:val="005C6D5B"/>
    <w:rsid w:val="005C718B"/>
    <w:rsid w:val="005C7278"/>
    <w:rsid w:val="005D023B"/>
    <w:rsid w:val="005D0624"/>
    <w:rsid w:val="005D092A"/>
    <w:rsid w:val="005D0E16"/>
    <w:rsid w:val="005D0E69"/>
    <w:rsid w:val="005D16CC"/>
    <w:rsid w:val="005D16E1"/>
    <w:rsid w:val="005D1FCC"/>
    <w:rsid w:val="005D34C6"/>
    <w:rsid w:val="005D3835"/>
    <w:rsid w:val="005D582E"/>
    <w:rsid w:val="005D58F3"/>
    <w:rsid w:val="005D5A9C"/>
    <w:rsid w:val="005D5B1F"/>
    <w:rsid w:val="005D5EF7"/>
    <w:rsid w:val="005D6616"/>
    <w:rsid w:val="005D6A68"/>
    <w:rsid w:val="005D6F17"/>
    <w:rsid w:val="005D7520"/>
    <w:rsid w:val="005D776C"/>
    <w:rsid w:val="005D7CB6"/>
    <w:rsid w:val="005E04B7"/>
    <w:rsid w:val="005E123F"/>
    <w:rsid w:val="005E2728"/>
    <w:rsid w:val="005E2F2F"/>
    <w:rsid w:val="005E42B0"/>
    <w:rsid w:val="005E4424"/>
    <w:rsid w:val="005E45A1"/>
    <w:rsid w:val="005E479B"/>
    <w:rsid w:val="005E4873"/>
    <w:rsid w:val="005E4AB1"/>
    <w:rsid w:val="005E4AE2"/>
    <w:rsid w:val="005E5AEE"/>
    <w:rsid w:val="005E6173"/>
    <w:rsid w:val="005E6335"/>
    <w:rsid w:val="005E6BD6"/>
    <w:rsid w:val="005E7218"/>
    <w:rsid w:val="005E7558"/>
    <w:rsid w:val="005E7865"/>
    <w:rsid w:val="005F06C0"/>
    <w:rsid w:val="005F0DC2"/>
    <w:rsid w:val="005F16EE"/>
    <w:rsid w:val="005F189A"/>
    <w:rsid w:val="005F18E9"/>
    <w:rsid w:val="005F2F94"/>
    <w:rsid w:val="005F39F2"/>
    <w:rsid w:val="005F4C61"/>
    <w:rsid w:val="005F64EA"/>
    <w:rsid w:val="005F6F3A"/>
    <w:rsid w:val="005F78E8"/>
    <w:rsid w:val="005F7920"/>
    <w:rsid w:val="005F7A58"/>
    <w:rsid w:val="005F7B95"/>
    <w:rsid w:val="00600C76"/>
    <w:rsid w:val="0060168C"/>
    <w:rsid w:val="00602768"/>
    <w:rsid w:val="00603E71"/>
    <w:rsid w:val="0060433D"/>
    <w:rsid w:val="00604582"/>
    <w:rsid w:val="006047F6"/>
    <w:rsid w:val="006052A5"/>
    <w:rsid w:val="00605C72"/>
    <w:rsid w:val="00606654"/>
    <w:rsid w:val="00606745"/>
    <w:rsid w:val="00606A78"/>
    <w:rsid w:val="00606E32"/>
    <w:rsid w:val="00607F94"/>
    <w:rsid w:val="006103DD"/>
    <w:rsid w:val="00610855"/>
    <w:rsid w:val="006108DF"/>
    <w:rsid w:val="00610E56"/>
    <w:rsid w:val="00611197"/>
    <w:rsid w:val="00611393"/>
    <w:rsid w:val="006119FD"/>
    <w:rsid w:val="00611A59"/>
    <w:rsid w:val="00611AE1"/>
    <w:rsid w:val="0061225E"/>
    <w:rsid w:val="006123B1"/>
    <w:rsid w:val="00612AEC"/>
    <w:rsid w:val="00612C5E"/>
    <w:rsid w:val="00613CAF"/>
    <w:rsid w:val="00613FC0"/>
    <w:rsid w:val="0061429B"/>
    <w:rsid w:val="00614428"/>
    <w:rsid w:val="00614BD0"/>
    <w:rsid w:val="006153E8"/>
    <w:rsid w:val="006153F8"/>
    <w:rsid w:val="006161C2"/>
    <w:rsid w:val="006165DB"/>
    <w:rsid w:val="00616F99"/>
    <w:rsid w:val="00620522"/>
    <w:rsid w:val="00621447"/>
    <w:rsid w:val="00622A99"/>
    <w:rsid w:val="00622C5E"/>
    <w:rsid w:val="006234B7"/>
    <w:rsid w:val="006235A1"/>
    <w:rsid w:val="00623B58"/>
    <w:rsid w:val="00624734"/>
    <w:rsid w:val="006251DE"/>
    <w:rsid w:val="0062536B"/>
    <w:rsid w:val="006262C1"/>
    <w:rsid w:val="006264C5"/>
    <w:rsid w:val="006264CB"/>
    <w:rsid w:val="00626A6F"/>
    <w:rsid w:val="00627240"/>
    <w:rsid w:val="006300A9"/>
    <w:rsid w:val="00630DB8"/>
    <w:rsid w:val="0063105D"/>
    <w:rsid w:val="006311B7"/>
    <w:rsid w:val="0063127A"/>
    <w:rsid w:val="006314D7"/>
    <w:rsid w:val="006319C8"/>
    <w:rsid w:val="00631B9C"/>
    <w:rsid w:val="00632914"/>
    <w:rsid w:val="00632FFD"/>
    <w:rsid w:val="00633D15"/>
    <w:rsid w:val="006346D8"/>
    <w:rsid w:val="006349EC"/>
    <w:rsid w:val="00637259"/>
    <w:rsid w:val="00637B9A"/>
    <w:rsid w:val="00637C1F"/>
    <w:rsid w:val="00640213"/>
    <w:rsid w:val="006405DD"/>
    <w:rsid w:val="0064064A"/>
    <w:rsid w:val="00641AFA"/>
    <w:rsid w:val="00643A2A"/>
    <w:rsid w:val="00643B2C"/>
    <w:rsid w:val="00643D04"/>
    <w:rsid w:val="00643EC8"/>
    <w:rsid w:val="00643FC1"/>
    <w:rsid w:val="00644527"/>
    <w:rsid w:val="00644916"/>
    <w:rsid w:val="00644C60"/>
    <w:rsid w:val="00644EDD"/>
    <w:rsid w:val="00645528"/>
    <w:rsid w:val="006457D1"/>
    <w:rsid w:val="00645AA5"/>
    <w:rsid w:val="00645D91"/>
    <w:rsid w:val="00646065"/>
    <w:rsid w:val="00646394"/>
    <w:rsid w:val="0064647B"/>
    <w:rsid w:val="006467F2"/>
    <w:rsid w:val="00646E80"/>
    <w:rsid w:val="006479AC"/>
    <w:rsid w:val="006500E9"/>
    <w:rsid w:val="00650CAA"/>
    <w:rsid w:val="006513F9"/>
    <w:rsid w:val="0065160F"/>
    <w:rsid w:val="0065163F"/>
    <w:rsid w:val="00651DE1"/>
    <w:rsid w:val="00651E24"/>
    <w:rsid w:val="00651F27"/>
    <w:rsid w:val="006520C1"/>
    <w:rsid w:val="0065283F"/>
    <w:rsid w:val="00652D81"/>
    <w:rsid w:val="00652E3C"/>
    <w:rsid w:val="00653BB8"/>
    <w:rsid w:val="00653D09"/>
    <w:rsid w:val="00654939"/>
    <w:rsid w:val="00655FC0"/>
    <w:rsid w:val="006565C5"/>
    <w:rsid w:val="006571DF"/>
    <w:rsid w:val="00657242"/>
    <w:rsid w:val="006577E7"/>
    <w:rsid w:val="006608A7"/>
    <w:rsid w:val="006613BE"/>
    <w:rsid w:val="006614C2"/>
    <w:rsid w:val="0066190A"/>
    <w:rsid w:val="00661BC9"/>
    <w:rsid w:val="00661C97"/>
    <w:rsid w:val="00662242"/>
    <w:rsid w:val="0066224D"/>
    <w:rsid w:val="00662727"/>
    <w:rsid w:val="00662C72"/>
    <w:rsid w:val="00662E85"/>
    <w:rsid w:val="006633A4"/>
    <w:rsid w:val="0066351D"/>
    <w:rsid w:val="006648B4"/>
    <w:rsid w:val="00664CA6"/>
    <w:rsid w:val="006655C8"/>
    <w:rsid w:val="006661E3"/>
    <w:rsid w:val="0066770E"/>
    <w:rsid w:val="00667835"/>
    <w:rsid w:val="00667F19"/>
    <w:rsid w:val="00667F94"/>
    <w:rsid w:val="006715C9"/>
    <w:rsid w:val="0067187A"/>
    <w:rsid w:val="00671CDC"/>
    <w:rsid w:val="006727E4"/>
    <w:rsid w:val="00673771"/>
    <w:rsid w:val="006737DC"/>
    <w:rsid w:val="006745E2"/>
    <w:rsid w:val="00674635"/>
    <w:rsid w:val="006749C8"/>
    <w:rsid w:val="0067516E"/>
    <w:rsid w:val="006760B1"/>
    <w:rsid w:val="00676A69"/>
    <w:rsid w:val="00676A76"/>
    <w:rsid w:val="00676CCB"/>
    <w:rsid w:val="00677773"/>
    <w:rsid w:val="006809E4"/>
    <w:rsid w:val="00680D39"/>
    <w:rsid w:val="00680EAE"/>
    <w:rsid w:val="0068128C"/>
    <w:rsid w:val="006818DA"/>
    <w:rsid w:val="00681EB9"/>
    <w:rsid w:val="006820DB"/>
    <w:rsid w:val="00683080"/>
    <w:rsid w:val="00683222"/>
    <w:rsid w:val="00683541"/>
    <w:rsid w:val="00684A47"/>
    <w:rsid w:val="00684EEE"/>
    <w:rsid w:val="006856FC"/>
    <w:rsid w:val="006858C0"/>
    <w:rsid w:val="00685C02"/>
    <w:rsid w:val="006861D9"/>
    <w:rsid w:val="006862EE"/>
    <w:rsid w:val="00686315"/>
    <w:rsid w:val="00686921"/>
    <w:rsid w:val="006869FD"/>
    <w:rsid w:val="006870E0"/>
    <w:rsid w:val="00687F3E"/>
    <w:rsid w:val="006903A3"/>
    <w:rsid w:val="0069062F"/>
    <w:rsid w:val="00690C1B"/>
    <w:rsid w:val="00691119"/>
    <w:rsid w:val="00691244"/>
    <w:rsid w:val="0069185C"/>
    <w:rsid w:val="006925D1"/>
    <w:rsid w:val="00692A27"/>
    <w:rsid w:val="00692AAE"/>
    <w:rsid w:val="00692D6F"/>
    <w:rsid w:val="00692E1B"/>
    <w:rsid w:val="00692E59"/>
    <w:rsid w:val="006932CF"/>
    <w:rsid w:val="00693851"/>
    <w:rsid w:val="00693DA9"/>
    <w:rsid w:val="006941ED"/>
    <w:rsid w:val="006945DD"/>
    <w:rsid w:val="00694A65"/>
    <w:rsid w:val="00694B98"/>
    <w:rsid w:val="00695425"/>
    <w:rsid w:val="00695C4C"/>
    <w:rsid w:val="0069611F"/>
    <w:rsid w:val="006961AB"/>
    <w:rsid w:val="0069742B"/>
    <w:rsid w:val="00697DBA"/>
    <w:rsid w:val="00697DE5"/>
    <w:rsid w:val="006A0814"/>
    <w:rsid w:val="006A0F6C"/>
    <w:rsid w:val="006A112F"/>
    <w:rsid w:val="006A1215"/>
    <w:rsid w:val="006A1F61"/>
    <w:rsid w:val="006A2D32"/>
    <w:rsid w:val="006A31D1"/>
    <w:rsid w:val="006A32E9"/>
    <w:rsid w:val="006A3EDD"/>
    <w:rsid w:val="006A4158"/>
    <w:rsid w:val="006A4605"/>
    <w:rsid w:val="006A4D44"/>
    <w:rsid w:val="006A51A7"/>
    <w:rsid w:val="006A5915"/>
    <w:rsid w:val="006A5C34"/>
    <w:rsid w:val="006A6451"/>
    <w:rsid w:val="006A7018"/>
    <w:rsid w:val="006A721E"/>
    <w:rsid w:val="006A7988"/>
    <w:rsid w:val="006B0217"/>
    <w:rsid w:val="006B02E9"/>
    <w:rsid w:val="006B089F"/>
    <w:rsid w:val="006B106A"/>
    <w:rsid w:val="006B1EA7"/>
    <w:rsid w:val="006B1EAD"/>
    <w:rsid w:val="006B2719"/>
    <w:rsid w:val="006B2A84"/>
    <w:rsid w:val="006B3259"/>
    <w:rsid w:val="006B4490"/>
    <w:rsid w:val="006B44DA"/>
    <w:rsid w:val="006B4DB1"/>
    <w:rsid w:val="006B5753"/>
    <w:rsid w:val="006B5DFF"/>
    <w:rsid w:val="006B71E6"/>
    <w:rsid w:val="006B7618"/>
    <w:rsid w:val="006B7995"/>
    <w:rsid w:val="006B7EFF"/>
    <w:rsid w:val="006C0217"/>
    <w:rsid w:val="006C02D8"/>
    <w:rsid w:val="006C0594"/>
    <w:rsid w:val="006C10CF"/>
    <w:rsid w:val="006C11E3"/>
    <w:rsid w:val="006C16B9"/>
    <w:rsid w:val="006C2876"/>
    <w:rsid w:val="006C2998"/>
    <w:rsid w:val="006C34DA"/>
    <w:rsid w:val="006C3598"/>
    <w:rsid w:val="006C368E"/>
    <w:rsid w:val="006C4451"/>
    <w:rsid w:val="006C48F3"/>
    <w:rsid w:val="006C4A33"/>
    <w:rsid w:val="006C4F7A"/>
    <w:rsid w:val="006C67A3"/>
    <w:rsid w:val="006C730D"/>
    <w:rsid w:val="006C79ED"/>
    <w:rsid w:val="006D00EE"/>
    <w:rsid w:val="006D0730"/>
    <w:rsid w:val="006D0F43"/>
    <w:rsid w:val="006D19FF"/>
    <w:rsid w:val="006D1E96"/>
    <w:rsid w:val="006D27CA"/>
    <w:rsid w:val="006D3247"/>
    <w:rsid w:val="006D3588"/>
    <w:rsid w:val="006D3D81"/>
    <w:rsid w:val="006D47A5"/>
    <w:rsid w:val="006D489E"/>
    <w:rsid w:val="006D4B6F"/>
    <w:rsid w:val="006D4BD4"/>
    <w:rsid w:val="006D5100"/>
    <w:rsid w:val="006D51C1"/>
    <w:rsid w:val="006D54B5"/>
    <w:rsid w:val="006D55B5"/>
    <w:rsid w:val="006D5B88"/>
    <w:rsid w:val="006D5C14"/>
    <w:rsid w:val="006D6371"/>
    <w:rsid w:val="006D6E06"/>
    <w:rsid w:val="006D7348"/>
    <w:rsid w:val="006D794D"/>
    <w:rsid w:val="006D7C9E"/>
    <w:rsid w:val="006E0328"/>
    <w:rsid w:val="006E071F"/>
    <w:rsid w:val="006E07EE"/>
    <w:rsid w:val="006E09E1"/>
    <w:rsid w:val="006E09EE"/>
    <w:rsid w:val="006E110C"/>
    <w:rsid w:val="006E12B9"/>
    <w:rsid w:val="006E19EA"/>
    <w:rsid w:val="006E1D32"/>
    <w:rsid w:val="006E22CF"/>
    <w:rsid w:val="006E3C62"/>
    <w:rsid w:val="006E440E"/>
    <w:rsid w:val="006E52A2"/>
    <w:rsid w:val="006E6080"/>
    <w:rsid w:val="006E68C2"/>
    <w:rsid w:val="006E6B6C"/>
    <w:rsid w:val="006F022C"/>
    <w:rsid w:val="006F0452"/>
    <w:rsid w:val="006F0E01"/>
    <w:rsid w:val="006F1CCF"/>
    <w:rsid w:val="006F1ED0"/>
    <w:rsid w:val="006F22E3"/>
    <w:rsid w:val="006F2572"/>
    <w:rsid w:val="006F262E"/>
    <w:rsid w:val="006F2665"/>
    <w:rsid w:val="006F2E43"/>
    <w:rsid w:val="006F3D2F"/>
    <w:rsid w:val="006F43DE"/>
    <w:rsid w:val="006F4636"/>
    <w:rsid w:val="006F4C50"/>
    <w:rsid w:val="006F534B"/>
    <w:rsid w:val="006F55ED"/>
    <w:rsid w:val="006F56DA"/>
    <w:rsid w:val="006F72AB"/>
    <w:rsid w:val="006F7A28"/>
    <w:rsid w:val="006F7E60"/>
    <w:rsid w:val="006F7EE7"/>
    <w:rsid w:val="00700233"/>
    <w:rsid w:val="007007AF"/>
    <w:rsid w:val="007009EC"/>
    <w:rsid w:val="00701948"/>
    <w:rsid w:val="00701AC6"/>
    <w:rsid w:val="00701B5F"/>
    <w:rsid w:val="00701D96"/>
    <w:rsid w:val="00701E26"/>
    <w:rsid w:val="00703207"/>
    <w:rsid w:val="0070337B"/>
    <w:rsid w:val="00703511"/>
    <w:rsid w:val="00703AB0"/>
    <w:rsid w:val="00703ACE"/>
    <w:rsid w:val="00703D4A"/>
    <w:rsid w:val="007068C6"/>
    <w:rsid w:val="00706E8B"/>
    <w:rsid w:val="00707A32"/>
    <w:rsid w:val="00710F1B"/>
    <w:rsid w:val="00711E3F"/>
    <w:rsid w:val="007125FE"/>
    <w:rsid w:val="00712A3A"/>
    <w:rsid w:val="007132DC"/>
    <w:rsid w:val="00713636"/>
    <w:rsid w:val="00713F61"/>
    <w:rsid w:val="00713FEA"/>
    <w:rsid w:val="00714902"/>
    <w:rsid w:val="007149EF"/>
    <w:rsid w:val="00715335"/>
    <w:rsid w:val="00715758"/>
    <w:rsid w:val="00715D5B"/>
    <w:rsid w:val="00715EE2"/>
    <w:rsid w:val="00716502"/>
    <w:rsid w:val="007166E7"/>
    <w:rsid w:val="00717293"/>
    <w:rsid w:val="007172A4"/>
    <w:rsid w:val="007172DC"/>
    <w:rsid w:val="00717F25"/>
    <w:rsid w:val="00721E2B"/>
    <w:rsid w:val="0072279A"/>
    <w:rsid w:val="00722995"/>
    <w:rsid w:val="00723241"/>
    <w:rsid w:val="00723DA2"/>
    <w:rsid w:val="00723E9C"/>
    <w:rsid w:val="00723FC4"/>
    <w:rsid w:val="00724215"/>
    <w:rsid w:val="007243F9"/>
    <w:rsid w:val="00725124"/>
    <w:rsid w:val="007256A8"/>
    <w:rsid w:val="0072573C"/>
    <w:rsid w:val="00726401"/>
    <w:rsid w:val="00726F41"/>
    <w:rsid w:val="0072712B"/>
    <w:rsid w:val="007275DA"/>
    <w:rsid w:val="0073133D"/>
    <w:rsid w:val="007316E9"/>
    <w:rsid w:val="00731A17"/>
    <w:rsid w:val="00732073"/>
    <w:rsid w:val="00732824"/>
    <w:rsid w:val="00732C4D"/>
    <w:rsid w:val="0073338F"/>
    <w:rsid w:val="0073346C"/>
    <w:rsid w:val="00733972"/>
    <w:rsid w:val="00734403"/>
    <w:rsid w:val="00734685"/>
    <w:rsid w:val="00734729"/>
    <w:rsid w:val="00734740"/>
    <w:rsid w:val="00736162"/>
    <w:rsid w:val="0073652B"/>
    <w:rsid w:val="00736549"/>
    <w:rsid w:val="00737170"/>
    <w:rsid w:val="007373F8"/>
    <w:rsid w:val="00737473"/>
    <w:rsid w:val="00737A11"/>
    <w:rsid w:val="00737C97"/>
    <w:rsid w:val="00740118"/>
    <w:rsid w:val="0074019A"/>
    <w:rsid w:val="007411FC"/>
    <w:rsid w:val="007414E8"/>
    <w:rsid w:val="00741624"/>
    <w:rsid w:val="00741698"/>
    <w:rsid w:val="007416C3"/>
    <w:rsid w:val="0074207A"/>
    <w:rsid w:val="0074259A"/>
    <w:rsid w:val="00742D2E"/>
    <w:rsid w:val="00743A30"/>
    <w:rsid w:val="00744BE7"/>
    <w:rsid w:val="0074549F"/>
    <w:rsid w:val="007455C5"/>
    <w:rsid w:val="00746587"/>
    <w:rsid w:val="0074680F"/>
    <w:rsid w:val="00747156"/>
    <w:rsid w:val="007473B4"/>
    <w:rsid w:val="00747708"/>
    <w:rsid w:val="00747A18"/>
    <w:rsid w:val="00747DB9"/>
    <w:rsid w:val="00750022"/>
    <w:rsid w:val="007503D2"/>
    <w:rsid w:val="007508D8"/>
    <w:rsid w:val="00753386"/>
    <w:rsid w:val="00754224"/>
    <w:rsid w:val="00754AD1"/>
    <w:rsid w:val="00754DDF"/>
    <w:rsid w:val="00754F77"/>
    <w:rsid w:val="00755D49"/>
    <w:rsid w:val="00756A3B"/>
    <w:rsid w:val="00756A6C"/>
    <w:rsid w:val="00756DF6"/>
    <w:rsid w:val="007577A9"/>
    <w:rsid w:val="007577C0"/>
    <w:rsid w:val="007622AE"/>
    <w:rsid w:val="00762C80"/>
    <w:rsid w:val="00763C7C"/>
    <w:rsid w:val="00764564"/>
    <w:rsid w:val="007647CB"/>
    <w:rsid w:val="00764E9B"/>
    <w:rsid w:val="00765423"/>
    <w:rsid w:val="00765D29"/>
    <w:rsid w:val="00765DD6"/>
    <w:rsid w:val="00766830"/>
    <w:rsid w:val="007673F2"/>
    <w:rsid w:val="00767D3A"/>
    <w:rsid w:val="00770407"/>
    <w:rsid w:val="00770B39"/>
    <w:rsid w:val="007712A9"/>
    <w:rsid w:val="0077379C"/>
    <w:rsid w:val="00773909"/>
    <w:rsid w:val="0077437D"/>
    <w:rsid w:val="007745CB"/>
    <w:rsid w:val="00774A16"/>
    <w:rsid w:val="00774B8B"/>
    <w:rsid w:val="00774D45"/>
    <w:rsid w:val="007754E7"/>
    <w:rsid w:val="00775B37"/>
    <w:rsid w:val="00775E54"/>
    <w:rsid w:val="00776D1E"/>
    <w:rsid w:val="00776FAB"/>
    <w:rsid w:val="0077787E"/>
    <w:rsid w:val="00777BE8"/>
    <w:rsid w:val="00780397"/>
    <w:rsid w:val="00780CF2"/>
    <w:rsid w:val="00781211"/>
    <w:rsid w:val="00781283"/>
    <w:rsid w:val="00781471"/>
    <w:rsid w:val="00781627"/>
    <w:rsid w:val="007818EA"/>
    <w:rsid w:val="00781AD6"/>
    <w:rsid w:val="0078288E"/>
    <w:rsid w:val="007829BC"/>
    <w:rsid w:val="00782C35"/>
    <w:rsid w:val="0078443E"/>
    <w:rsid w:val="00784A0F"/>
    <w:rsid w:val="00784D35"/>
    <w:rsid w:val="00784E8D"/>
    <w:rsid w:val="00785323"/>
    <w:rsid w:val="007856A5"/>
    <w:rsid w:val="0078601C"/>
    <w:rsid w:val="0078646A"/>
    <w:rsid w:val="00786503"/>
    <w:rsid w:val="00786910"/>
    <w:rsid w:val="0078694D"/>
    <w:rsid w:val="0078777A"/>
    <w:rsid w:val="007904B5"/>
    <w:rsid w:val="00790626"/>
    <w:rsid w:val="00790F4B"/>
    <w:rsid w:val="00791181"/>
    <w:rsid w:val="0079123C"/>
    <w:rsid w:val="00791AE9"/>
    <w:rsid w:val="00792001"/>
    <w:rsid w:val="007920C8"/>
    <w:rsid w:val="0079265D"/>
    <w:rsid w:val="007928F9"/>
    <w:rsid w:val="007932B0"/>
    <w:rsid w:val="0079345C"/>
    <w:rsid w:val="00793578"/>
    <w:rsid w:val="00793A15"/>
    <w:rsid w:val="00793EFB"/>
    <w:rsid w:val="00794142"/>
    <w:rsid w:val="00794999"/>
    <w:rsid w:val="00795BE7"/>
    <w:rsid w:val="00795E72"/>
    <w:rsid w:val="007960C5"/>
    <w:rsid w:val="007963C9"/>
    <w:rsid w:val="00796F01"/>
    <w:rsid w:val="0079716C"/>
    <w:rsid w:val="00797995"/>
    <w:rsid w:val="00797F3A"/>
    <w:rsid w:val="00797FDE"/>
    <w:rsid w:val="007A06E5"/>
    <w:rsid w:val="007A08DF"/>
    <w:rsid w:val="007A1066"/>
    <w:rsid w:val="007A10F6"/>
    <w:rsid w:val="007A1609"/>
    <w:rsid w:val="007A2920"/>
    <w:rsid w:val="007A38F2"/>
    <w:rsid w:val="007A41DB"/>
    <w:rsid w:val="007A45AF"/>
    <w:rsid w:val="007A45EC"/>
    <w:rsid w:val="007A50FF"/>
    <w:rsid w:val="007A6BFD"/>
    <w:rsid w:val="007A7C6D"/>
    <w:rsid w:val="007A7CEE"/>
    <w:rsid w:val="007A7DED"/>
    <w:rsid w:val="007B1660"/>
    <w:rsid w:val="007B34CC"/>
    <w:rsid w:val="007B4680"/>
    <w:rsid w:val="007B4800"/>
    <w:rsid w:val="007B482F"/>
    <w:rsid w:val="007B4F2C"/>
    <w:rsid w:val="007B4F9B"/>
    <w:rsid w:val="007B52E2"/>
    <w:rsid w:val="007B592F"/>
    <w:rsid w:val="007B63C7"/>
    <w:rsid w:val="007B7CBC"/>
    <w:rsid w:val="007C04A0"/>
    <w:rsid w:val="007C0921"/>
    <w:rsid w:val="007C1EE2"/>
    <w:rsid w:val="007C246A"/>
    <w:rsid w:val="007C30E6"/>
    <w:rsid w:val="007C31B3"/>
    <w:rsid w:val="007C320A"/>
    <w:rsid w:val="007C4547"/>
    <w:rsid w:val="007C46B1"/>
    <w:rsid w:val="007C4C36"/>
    <w:rsid w:val="007C4E24"/>
    <w:rsid w:val="007C5326"/>
    <w:rsid w:val="007C57B6"/>
    <w:rsid w:val="007C5914"/>
    <w:rsid w:val="007C660C"/>
    <w:rsid w:val="007C76F4"/>
    <w:rsid w:val="007C784B"/>
    <w:rsid w:val="007C7AA8"/>
    <w:rsid w:val="007D02DF"/>
    <w:rsid w:val="007D0321"/>
    <w:rsid w:val="007D099B"/>
    <w:rsid w:val="007D0EBE"/>
    <w:rsid w:val="007D0F30"/>
    <w:rsid w:val="007D1072"/>
    <w:rsid w:val="007D115F"/>
    <w:rsid w:val="007D13FC"/>
    <w:rsid w:val="007D1DB8"/>
    <w:rsid w:val="007D2422"/>
    <w:rsid w:val="007D24A2"/>
    <w:rsid w:val="007D24EB"/>
    <w:rsid w:val="007D317A"/>
    <w:rsid w:val="007D32FE"/>
    <w:rsid w:val="007D3783"/>
    <w:rsid w:val="007D42CB"/>
    <w:rsid w:val="007D4974"/>
    <w:rsid w:val="007D4CF8"/>
    <w:rsid w:val="007D51B6"/>
    <w:rsid w:val="007D6E19"/>
    <w:rsid w:val="007D730A"/>
    <w:rsid w:val="007D7C91"/>
    <w:rsid w:val="007E0548"/>
    <w:rsid w:val="007E0B5A"/>
    <w:rsid w:val="007E1AF0"/>
    <w:rsid w:val="007E20E3"/>
    <w:rsid w:val="007E2110"/>
    <w:rsid w:val="007E24F4"/>
    <w:rsid w:val="007E267B"/>
    <w:rsid w:val="007E271F"/>
    <w:rsid w:val="007E3832"/>
    <w:rsid w:val="007E45A9"/>
    <w:rsid w:val="007E45BE"/>
    <w:rsid w:val="007E4619"/>
    <w:rsid w:val="007E4B25"/>
    <w:rsid w:val="007E61D7"/>
    <w:rsid w:val="007E6E0D"/>
    <w:rsid w:val="007E724D"/>
    <w:rsid w:val="007E740F"/>
    <w:rsid w:val="007E7794"/>
    <w:rsid w:val="007E787F"/>
    <w:rsid w:val="007E7C1B"/>
    <w:rsid w:val="007F0779"/>
    <w:rsid w:val="007F147B"/>
    <w:rsid w:val="007F2749"/>
    <w:rsid w:val="007F2778"/>
    <w:rsid w:val="007F2CFE"/>
    <w:rsid w:val="007F364E"/>
    <w:rsid w:val="007F4CEE"/>
    <w:rsid w:val="007F500F"/>
    <w:rsid w:val="007F567E"/>
    <w:rsid w:val="007F5B06"/>
    <w:rsid w:val="007F6856"/>
    <w:rsid w:val="007F6AAD"/>
    <w:rsid w:val="007F7678"/>
    <w:rsid w:val="007F7B7B"/>
    <w:rsid w:val="008003C8"/>
    <w:rsid w:val="00800525"/>
    <w:rsid w:val="00800A02"/>
    <w:rsid w:val="00801965"/>
    <w:rsid w:val="00801A93"/>
    <w:rsid w:val="00801C08"/>
    <w:rsid w:val="00802003"/>
    <w:rsid w:val="008020AB"/>
    <w:rsid w:val="00802A55"/>
    <w:rsid w:val="00802B69"/>
    <w:rsid w:val="00802E22"/>
    <w:rsid w:val="00803B13"/>
    <w:rsid w:val="00804274"/>
    <w:rsid w:val="0080447C"/>
    <w:rsid w:val="0080480E"/>
    <w:rsid w:val="0080517A"/>
    <w:rsid w:val="008056B8"/>
    <w:rsid w:val="00805B79"/>
    <w:rsid w:val="0080608D"/>
    <w:rsid w:val="0080675D"/>
    <w:rsid w:val="00806982"/>
    <w:rsid w:val="00806A7C"/>
    <w:rsid w:val="00806BCC"/>
    <w:rsid w:val="0080703F"/>
    <w:rsid w:val="0080706B"/>
    <w:rsid w:val="00807A67"/>
    <w:rsid w:val="00807CF0"/>
    <w:rsid w:val="00810815"/>
    <w:rsid w:val="00810AF2"/>
    <w:rsid w:val="00810ED3"/>
    <w:rsid w:val="00810F68"/>
    <w:rsid w:val="00811B36"/>
    <w:rsid w:val="0081219D"/>
    <w:rsid w:val="00812C49"/>
    <w:rsid w:val="00812D54"/>
    <w:rsid w:val="00813410"/>
    <w:rsid w:val="008135E1"/>
    <w:rsid w:val="00813935"/>
    <w:rsid w:val="00814225"/>
    <w:rsid w:val="008143E9"/>
    <w:rsid w:val="00814B30"/>
    <w:rsid w:val="008156A9"/>
    <w:rsid w:val="00815718"/>
    <w:rsid w:val="008158F6"/>
    <w:rsid w:val="00815D69"/>
    <w:rsid w:val="00815ED9"/>
    <w:rsid w:val="00815F7C"/>
    <w:rsid w:val="008161A3"/>
    <w:rsid w:val="008164C4"/>
    <w:rsid w:val="008204A5"/>
    <w:rsid w:val="00821016"/>
    <w:rsid w:val="00821A21"/>
    <w:rsid w:val="00821D28"/>
    <w:rsid w:val="00822396"/>
    <w:rsid w:val="008227A8"/>
    <w:rsid w:val="00822A97"/>
    <w:rsid w:val="00823908"/>
    <w:rsid w:val="008248A1"/>
    <w:rsid w:val="0082495C"/>
    <w:rsid w:val="00826DFB"/>
    <w:rsid w:val="008270CF"/>
    <w:rsid w:val="008278EF"/>
    <w:rsid w:val="00827916"/>
    <w:rsid w:val="00830B2F"/>
    <w:rsid w:val="00830CE3"/>
    <w:rsid w:val="00831633"/>
    <w:rsid w:val="00831641"/>
    <w:rsid w:val="008318AA"/>
    <w:rsid w:val="00831D98"/>
    <w:rsid w:val="00831DC0"/>
    <w:rsid w:val="0083240A"/>
    <w:rsid w:val="008327BD"/>
    <w:rsid w:val="008329B1"/>
    <w:rsid w:val="00832D1A"/>
    <w:rsid w:val="0083318F"/>
    <w:rsid w:val="00833BB6"/>
    <w:rsid w:val="00833BEE"/>
    <w:rsid w:val="00834038"/>
    <w:rsid w:val="0083540F"/>
    <w:rsid w:val="00835439"/>
    <w:rsid w:val="00835A75"/>
    <w:rsid w:val="00837820"/>
    <w:rsid w:val="00840C0A"/>
    <w:rsid w:val="00841E58"/>
    <w:rsid w:val="0084223F"/>
    <w:rsid w:val="008424FA"/>
    <w:rsid w:val="008432C0"/>
    <w:rsid w:val="0084353D"/>
    <w:rsid w:val="0084371F"/>
    <w:rsid w:val="00843E12"/>
    <w:rsid w:val="00844100"/>
    <w:rsid w:val="008446E6"/>
    <w:rsid w:val="0084553D"/>
    <w:rsid w:val="00845637"/>
    <w:rsid w:val="00845A1E"/>
    <w:rsid w:val="0084695E"/>
    <w:rsid w:val="008470E0"/>
    <w:rsid w:val="00847AD6"/>
    <w:rsid w:val="00847AE6"/>
    <w:rsid w:val="0085012F"/>
    <w:rsid w:val="008505C8"/>
    <w:rsid w:val="00850E64"/>
    <w:rsid w:val="008518C3"/>
    <w:rsid w:val="008518F3"/>
    <w:rsid w:val="00852C5C"/>
    <w:rsid w:val="00853957"/>
    <w:rsid w:val="008547FF"/>
    <w:rsid w:val="00854A0B"/>
    <w:rsid w:val="00854FE4"/>
    <w:rsid w:val="00855E28"/>
    <w:rsid w:val="0085608F"/>
    <w:rsid w:val="008560A3"/>
    <w:rsid w:val="00856C26"/>
    <w:rsid w:val="00857611"/>
    <w:rsid w:val="00857F48"/>
    <w:rsid w:val="0086042D"/>
    <w:rsid w:val="00860688"/>
    <w:rsid w:val="00860D50"/>
    <w:rsid w:val="008624F7"/>
    <w:rsid w:val="008625B4"/>
    <w:rsid w:val="00862748"/>
    <w:rsid w:val="0086475C"/>
    <w:rsid w:val="008649FD"/>
    <w:rsid w:val="0086672B"/>
    <w:rsid w:val="00866CA4"/>
    <w:rsid w:val="00866EA1"/>
    <w:rsid w:val="00867123"/>
    <w:rsid w:val="00867233"/>
    <w:rsid w:val="008677A3"/>
    <w:rsid w:val="00867C2E"/>
    <w:rsid w:val="00867CA0"/>
    <w:rsid w:val="00870A07"/>
    <w:rsid w:val="00870F85"/>
    <w:rsid w:val="00871B2B"/>
    <w:rsid w:val="008724F8"/>
    <w:rsid w:val="00872E81"/>
    <w:rsid w:val="008736A5"/>
    <w:rsid w:val="00873FC4"/>
    <w:rsid w:val="008744C6"/>
    <w:rsid w:val="00874D5F"/>
    <w:rsid w:val="00875478"/>
    <w:rsid w:val="008757F8"/>
    <w:rsid w:val="00875C09"/>
    <w:rsid w:val="00875E9E"/>
    <w:rsid w:val="00876177"/>
    <w:rsid w:val="0087648B"/>
    <w:rsid w:val="00876522"/>
    <w:rsid w:val="00876539"/>
    <w:rsid w:val="00876E64"/>
    <w:rsid w:val="00877188"/>
    <w:rsid w:val="0087736F"/>
    <w:rsid w:val="0088042D"/>
    <w:rsid w:val="00880BBE"/>
    <w:rsid w:val="00881380"/>
    <w:rsid w:val="008818B1"/>
    <w:rsid w:val="00881CA8"/>
    <w:rsid w:val="00881D3A"/>
    <w:rsid w:val="008821E4"/>
    <w:rsid w:val="008828CC"/>
    <w:rsid w:val="00883402"/>
    <w:rsid w:val="00884249"/>
    <w:rsid w:val="008849F4"/>
    <w:rsid w:val="00884D86"/>
    <w:rsid w:val="00884F4B"/>
    <w:rsid w:val="008851BA"/>
    <w:rsid w:val="008851C2"/>
    <w:rsid w:val="00886800"/>
    <w:rsid w:val="00886D33"/>
    <w:rsid w:val="008870A1"/>
    <w:rsid w:val="00887A54"/>
    <w:rsid w:val="008902B4"/>
    <w:rsid w:val="00890496"/>
    <w:rsid w:val="008907D5"/>
    <w:rsid w:val="00890BD6"/>
    <w:rsid w:val="00890FA6"/>
    <w:rsid w:val="00891099"/>
    <w:rsid w:val="008927AA"/>
    <w:rsid w:val="00893150"/>
    <w:rsid w:val="0089335D"/>
    <w:rsid w:val="008934B2"/>
    <w:rsid w:val="00894935"/>
    <w:rsid w:val="00894940"/>
    <w:rsid w:val="008976BC"/>
    <w:rsid w:val="00897AED"/>
    <w:rsid w:val="00897E84"/>
    <w:rsid w:val="008A069F"/>
    <w:rsid w:val="008A0C94"/>
    <w:rsid w:val="008A1017"/>
    <w:rsid w:val="008A1031"/>
    <w:rsid w:val="008A23FF"/>
    <w:rsid w:val="008A3172"/>
    <w:rsid w:val="008A3185"/>
    <w:rsid w:val="008A3394"/>
    <w:rsid w:val="008A35A6"/>
    <w:rsid w:val="008A36ED"/>
    <w:rsid w:val="008A3B9E"/>
    <w:rsid w:val="008A3C50"/>
    <w:rsid w:val="008A4662"/>
    <w:rsid w:val="008A4D72"/>
    <w:rsid w:val="008A66C7"/>
    <w:rsid w:val="008A69EA"/>
    <w:rsid w:val="008A6AC1"/>
    <w:rsid w:val="008A6DC4"/>
    <w:rsid w:val="008A74B4"/>
    <w:rsid w:val="008A781D"/>
    <w:rsid w:val="008A7964"/>
    <w:rsid w:val="008A7AEE"/>
    <w:rsid w:val="008A7C2F"/>
    <w:rsid w:val="008B0860"/>
    <w:rsid w:val="008B0980"/>
    <w:rsid w:val="008B09B0"/>
    <w:rsid w:val="008B1348"/>
    <w:rsid w:val="008B1A15"/>
    <w:rsid w:val="008B1B39"/>
    <w:rsid w:val="008B1B7A"/>
    <w:rsid w:val="008B2564"/>
    <w:rsid w:val="008B276B"/>
    <w:rsid w:val="008B2E0F"/>
    <w:rsid w:val="008B38E2"/>
    <w:rsid w:val="008B3C5B"/>
    <w:rsid w:val="008B445A"/>
    <w:rsid w:val="008B45C3"/>
    <w:rsid w:val="008B4843"/>
    <w:rsid w:val="008B4C4E"/>
    <w:rsid w:val="008B522E"/>
    <w:rsid w:val="008B5555"/>
    <w:rsid w:val="008B564B"/>
    <w:rsid w:val="008B5BEE"/>
    <w:rsid w:val="008B6993"/>
    <w:rsid w:val="008B6D0B"/>
    <w:rsid w:val="008B6FD7"/>
    <w:rsid w:val="008B716F"/>
    <w:rsid w:val="008C0782"/>
    <w:rsid w:val="008C0C0A"/>
    <w:rsid w:val="008C2008"/>
    <w:rsid w:val="008C248D"/>
    <w:rsid w:val="008C2578"/>
    <w:rsid w:val="008C2CF6"/>
    <w:rsid w:val="008C2E0D"/>
    <w:rsid w:val="008C4E74"/>
    <w:rsid w:val="008C578D"/>
    <w:rsid w:val="008C6664"/>
    <w:rsid w:val="008C66A6"/>
    <w:rsid w:val="008C66C0"/>
    <w:rsid w:val="008C76A3"/>
    <w:rsid w:val="008C7A0C"/>
    <w:rsid w:val="008C7A5E"/>
    <w:rsid w:val="008C7D8A"/>
    <w:rsid w:val="008C7FCC"/>
    <w:rsid w:val="008D02AF"/>
    <w:rsid w:val="008D047E"/>
    <w:rsid w:val="008D0683"/>
    <w:rsid w:val="008D0DB4"/>
    <w:rsid w:val="008D155C"/>
    <w:rsid w:val="008D1772"/>
    <w:rsid w:val="008D1AF7"/>
    <w:rsid w:val="008D2375"/>
    <w:rsid w:val="008D255E"/>
    <w:rsid w:val="008D2860"/>
    <w:rsid w:val="008D2B60"/>
    <w:rsid w:val="008D2BCD"/>
    <w:rsid w:val="008D3101"/>
    <w:rsid w:val="008D3287"/>
    <w:rsid w:val="008D3A0F"/>
    <w:rsid w:val="008D55CC"/>
    <w:rsid w:val="008D7377"/>
    <w:rsid w:val="008D7865"/>
    <w:rsid w:val="008D7885"/>
    <w:rsid w:val="008D7CB6"/>
    <w:rsid w:val="008E08C0"/>
    <w:rsid w:val="008E27DB"/>
    <w:rsid w:val="008E2AD7"/>
    <w:rsid w:val="008E324D"/>
    <w:rsid w:val="008E3DFA"/>
    <w:rsid w:val="008E43B5"/>
    <w:rsid w:val="008E464F"/>
    <w:rsid w:val="008E48A2"/>
    <w:rsid w:val="008E4A4C"/>
    <w:rsid w:val="008E5141"/>
    <w:rsid w:val="008E5A8E"/>
    <w:rsid w:val="008E5ABC"/>
    <w:rsid w:val="008F07DE"/>
    <w:rsid w:val="008F106A"/>
    <w:rsid w:val="008F1A9A"/>
    <w:rsid w:val="008F1D6A"/>
    <w:rsid w:val="008F3125"/>
    <w:rsid w:val="008F338F"/>
    <w:rsid w:val="008F3B87"/>
    <w:rsid w:val="008F4645"/>
    <w:rsid w:val="008F4FE2"/>
    <w:rsid w:val="008F6498"/>
    <w:rsid w:val="008F65DD"/>
    <w:rsid w:val="008F7489"/>
    <w:rsid w:val="008F7955"/>
    <w:rsid w:val="008F7B05"/>
    <w:rsid w:val="009000B8"/>
    <w:rsid w:val="00900485"/>
    <w:rsid w:val="00900D71"/>
    <w:rsid w:val="009014F7"/>
    <w:rsid w:val="0090218E"/>
    <w:rsid w:val="00902A60"/>
    <w:rsid w:val="00902F2B"/>
    <w:rsid w:val="00903029"/>
    <w:rsid w:val="00903496"/>
    <w:rsid w:val="00903683"/>
    <w:rsid w:val="009037CE"/>
    <w:rsid w:val="00903B8B"/>
    <w:rsid w:val="009042BD"/>
    <w:rsid w:val="009047F0"/>
    <w:rsid w:val="00904DCA"/>
    <w:rsid w:val="009055D6"/>
    <w:rsid w:val="00905AE7"/>
    <w:rsid w:val="00906D98"/>
    <w:rsid w:val="00907C4E"/>
    <w:rsid w:val="00911114"/>
    <w:rsid w:val="009112B1"/>
    <w:rsid w:val="00913495"/>
    <w:rsid w:val="00913694"/>
    <w:rsid w:val="00913B87"/>
    <w:rsid w:val="00913E9E"/>
    <w:rsid w:val="00913FE4"/>
    <w:rsid w:val="00914539"/>
    <w:rsid w:val="009157B8"/>
    <w:rsid w:val="009178B6"/>
    <w:rsid w:val="00917CC3"/>
    <w:rsid w:val="009200D7"/>
    <w:rsid w:val="0092078A"/>
    <w:rsid w:val="009208F0"/>
    <w:rsid w:val="00921C2F"/>
    <w:rsid w:val="00921E16"/>
    <w:rsid w:val="00922408"/>
    <w:rsid w:val="00922617"/>
    <w:rsid w:val="0092272B"/>
    <w:rsid w:val="00922A15"/>
    <w:rsid w:val="00922AFD"/>
    <w:rsid w:val="009230F9"/>
    <w:rsid w:val="00923453"/>
    <w:rsid w:val="009244C1"/>
    <w:rsid w:val="009247C3"/>
    <w:rsid w:val="0092489F"/>
    <w:rsid w:val="00924F5A"/>
    <w:rsid w:val="00925041"/>
    <w:rsid w:val="0092534F"/>
    <w:rsid w:val="009253C7"/>
    <w:rsid w:val="0092598E"/>
    <w:rsid w:val="00925BEB"/>
    <w:rsid w:val="009262D3"/>
    <w:rsid w:val="00926BD5"/>
    <w:rsid w:val="00927136"/>
    <w:rsid w:val="00930003"/>
    <w:rsid w:val="009301B6"/>
    <w:rsid w:val="009301D3"/>
    <w:rsid w:val="009310AF"/>
    <w:rsid w:val="00931608"/>
    <w:rsid w:val="0093289F"/>
    <w:rsid w:val="00932A52"/>
    <w:rsid w:val="00932B30"/>
    <w:rsid w:val="00933979"/>
    <w:rsid w:val="00933C2B"/>
    <w:rsid w:val="00933E2B"/>
    <w:rsid w:val="00935653"/>
    <w:rsid w:val="0093664C"/>
    <w:rsid w:val="0093711E"/>
    <w:rsid w:val="00940A6F"/>
    <w:rsid w:val="00941214"/>
    <w:rsid w:val="00941A46"/>
    <w:rsid w:val="009420AE"/>
    <w:rsid w:val="00942393"/>
    <w:rsid w:val="0094343B"/>
    <w:rsid w:val="0094349B"/>
    <w:rsid w:val="00943602"/>
    <w:rsid w:val="00943C2F"/>
    <w:rsid w:val="00943FFE"/>
    <w:rsid w:val="009447CD"/>
    <w:rsid w:val="00944FC2"/>
    <w:rsid w:val="00945866"/>
    <w:rsid w:val="00945D26"/>
    <w:rsid w:val="00946DE3"/>
    <w:rsid w:val="00946EED"/>
    <w:rsid w:val="00947500"/>
    <w:rsid w:val="009502AA"/>
    <w:rsid w:val="009507A2"/>
    <w:rsid w:val="009515FB"/>
    <w:rsid w:val="00951A44"/>
    <w:rsid w:val="00951B77"/>
    <w:rsid w:val="00951DB7"/>
    <w:rsid w:val="00951F0C"/>
    <w:rsid w:val="00952308"/>
    <w:rsid w:val="00952701"/>
    <w:rsid w:val="00952AE6"/>
    <w:rsid w:val="00952EAB"/>
    <w:rsid w:val="00953E4F"/>
    <w:rsid w:val="00954F3D"/>
    <w:rsid w:val="00956062"/>
    <w:rsid w:val="0095673C"/>
    <w:rsid w:val="00956B21"/>
    <w:rsid w:val="009579EC"/>
    <w:rsid w:val="00960174"/>
    <w:rsid w:val="0096082C"/>
    <w:rsid w:val="00960B4E"/>
    <w:rsid w:val="0096172B"/>
    <w:rsid w:val="00961E38"/>
    <w:rsid w:val="0096221B"/>
    <w:rsid w:val="0096266E"/>
    <w:rsid w:val="00962B84"/>
    <w:rsid w:val="00963810"/>
    <w:rsid w:val="00963D7E"/>
    <w:rsid w:val="0096400B"/>
    <w:rsid w:val="00964046"/>
    <w:rsid w:val="009646B4"/>
    <w:rsid w:val="009652B0"/>
    <w:rsid w:val="009654D5"/>
    <w:rsid w:val="009663F9"/>
    <w:rsid w:val="00966CAA"/>
    <w:rsid w:val="00967B96"/>
    <w:rsid w:val="00970054"/>
    <w:rsid w:val="009715E0"/>
    <w:rsid w:val="00971CC1"/>
    <w:rsid w:val="00971E54"/>
    <w:rsid w:val="009724C6"/>
    <w:rsid w:val="009725E0"/>
    <w:rsid w:val="009726EA"/>
    <w:rsid w:val="00972CB3"/>
    <w:rsid w:val="00972EBF"/>
    <w:rsid w:val="00973145"/>
    <w:rsid w:val="00973718"/>
    <w:rsid w:val="00974E26"/>
    <w:rsid w:val="00974F26"/>
    <w:rsid w:val="0097534D"/>
    <w:rsid w:val="00975653"/>
    <w:rsid w:val="009760BA"/>
    <w:rsid w:val="00976DC9"/>
    <w:rsid w:val="0097772F"/>
    <w:rsid w:val="0098099D"/>
    <w:rsid w:val="009810BE"/>
    <w:rsid w:val="00982051"/>
    <w:rsid w:val="00982298"/>
    <w:rsid w:val="00982A81"/>
    <w:rsid w:val="00983D12"/>
    <w:rsid w:val="00984056"/>
    <w:rsid w:val="0098418C"/>
    <w:rsid w:val="009844D3"/>
    <w:rsid w:val="009853A2"/>
    <w:rsid w:val="00985789"/>
    <w:rsid w:val="009858CF"/>
    <w:rsid w:val="00986837"/>
    <w:rsid w:val="009874D9"/>
    <w:rsid w:val="00987D09"/>
    <w:rsid w:val="00987E31"/>
    <w:rsid w:val="00990025"/>
    <w:rsid w:val="0099011E"/>
    <w:rsid w:val="00990804"/>
    <w:rsid w:val="009909B3"/>
    <w:rsid w:val="0099168F"/>
    <w:rsid w:val="00993AD8"/>
    <w:rsid w:val="009943D2"/>
    <w:rsid w:val="00994472"/>
    <w:rsid w:val="00994CDE"/>
    <w:rsid w:val="00995931"/>
    <w:rsid w:val="0099635B"/>
    <w:rsid w:val="009966B3"/>
    <w:rsid w:val="009968AF"/>
    <w:rsid w:val="00996900"/>
    <w:rsid w:val="00996AC5"/>
    <w:rsid w:val="0099717C"/>
    <w:rsid w:val="009A0290"/>
    <w:rsid w:val="009A139D"/>
    <w:rsid w:val="009A1B60"/>
    <w:rsid w:val="009A256C"/>
    <w:rsid w:val="009A2CC2"/>
    <w:rsid w:val="009A39AC"/>
    <w:rsid w:val="009A3B83"/>
    <w:rsid w:val="009A3CF5"/>
    <w:rsid w:val="009A48E1"/>
    <w:rsid w:val="009A504E"/>
    <w:rsid w:val="009A63E0"/>
    <w:rsid w:val="009A64F0"/>
    <w:rsid w:val="009A6B36"/>
    <w:rsid w:val="009A6E7A"/>
    <w:rsid w:val="009A71DF"/>
    <w:rsid w:val="009A7551"/>
    <w:rsid w:val="009A7684"/>
    <w:rsid w:val="009A7E33"/>
    <w:rsid w:val="009B00DC"/>
    <w:rsid w:val="009B0B41"/>
    <w:rsid w:val="009B153F"/>
    <w:rsid w:val="009B1637"/>
    <w:rsid w:val="009B169A"/>
    <w:rsid w:val="009B1CE4"/>
    <w:rsid w:val="009B3302"/>
    <w:rsid w:val="009B35A6"/>
    <w:rsid w:val="009B38AA"/>
    <w:rsid w:val="009B450E"/>
    <w:rsid w:val="009B4899"/>
    <w:rsid w:val="009B4B38"/>
    <w:rsid w:val="009B4CCE"/>
    <w:rsid w:val="009B4F8B"/>
    <w:rsid w:val="009B6168"/>
    <w:rsid w:val="009B664E"/>
    <w:rsid w:val="009B664F"/>
    <w:rsid w:val="009B6A9A"/>
    <w:rsid w:val="009B70F1"/>
    <w:rsid w:val="009B74D5"/>
    <w:rsid w:val="009C036D"/>
    <w:rsid w:val="009C0413"/>
    <w:rsid w:val="009C1826"/>
    <w:rsid w:val="009C23E7"/>
    <w:rsid w:val="009C2E25"/>
    <w:rsid w:val="009C2FEA"/>
    <w:rsid w:val="009C3154"/>
    <w:rsid w:val="009C3186"/>
    <w:rsid w:val="009C31B3"/>
    <w:rsid w:val="009C3314"/>
    <w:rsid w:val="009C35F3"/>
    <w:rsid w:val="009C47E3"/>
    <w:rsid w:val="009C4C35"/>
    <w:rsid w:val="009C4E3C"/>
    <w:rsid w:val="009C54BA"/>
    <w:rsid w:val="009C5838"/>
    <w:rsid w:val="009C5D8D"/>
    <w:rsid w:val="009C677C"/>
    <w:rsid w:val="009C74BA"/>
    <w:rsid w:val="009D016C"/>
    <w:rsid w:val="009D0863"/>
    <w:rsid w:val="009D0DF4"/>
    <w:rsid w:val="009D1289"/>
    <w:rsid w:val="009D24FC"/>
    <w:rsid w:val="009D2624"/>
    <w:rsid w:val="009D2884"/>
    <w:rsid w:val="009D3A7B"/>
    <w:rsid w:val="009D3BA2"/>
    <w:rsid w:val="009D43A2"/>
    <w:rsid w:val="009D4F4E"/>
    <w:rsid w:val="009D4FD1"/>
    <w:rsid w:val="009D7F12"/>
    <w:rsid w:val="009D7F7F"/>
    <w:rsid w:val="009E04CA"/>
    <w:rsid w:val="009E0A76"/>
    <w:rsid w:val="009E0C2D"/>
    <w:rsid w:val="009E0C8F"/>
    <w:rsid w:val="009E0F71"/>
    <w:rsid w:val="009E0F90"/>
    <w:rsid w:val="009E24F9"/>
    <w:rsid w:val="009E2726"/>
    <w:rsid w:val="009E303D"/>
    <w:rsid w:val="009E34A8"/>
    <w:rsid w:val="009E380C"/>
    <w:rsid w:val="009E3CFF"/>
    <w:rsid w:val="009E3F64"/>
    <w:rsid w:val="009E447A"/>
    <w:rsid w:val="009E45FF"/>
    <w:rsid w:val="009E56CB"/>
    <w:rsid w:val="009E5A0D"/>
    <w:rsid w:val="009E5BF3"/>
    <w:rsid w:val="009E64A8"/>
    <w:rsid w:val="009E771E"/>
    <w:rsid w:val="009E7FEB"/>
    <w:rsid w:val="009F03C3"/>
    <w:rsid w:val="009F090F"/>
    <w:rsid w:val="009F11F6"/>
    <w:rsid w:val="009F19B1"/>
    <w:rsid w:val="009F1B07"/>
    <w:rsid w:val="009F34DC"/>
    <w:rsid w:val="009F34FE"/>
    <w:rsid w:val="009F3734"/>
    <w:rsid w:val="009F4DEB"/>
    <w:rsid w:val="009F4FB2"/>
    <w:rsid w:val="009F51E6"/>
    <w:rsid w:val="009F5640"/>
    <w:rsid w:val="009F5749"/>
    <w:rsid w:val="009F611C"/>
    <w:rsid w:val="00A003A0"/>
    <w:rsid w:val="00A0053A"/>
    <w:rsid w:val="00A00CBE"/>
    <w:rsid w:val="00A01325"/>
    <w:rsid w:val="00A01C5A"/>
    <w:rsid w:val="00A022B3"/>
    <w:rsid w:val="00A03128"/>
    <w:rsid w:val="00A03E3E"/>
    <w:rsid w:val="00A050B4"/>
    <w:rsid w:val="00A05340"/>
    <w:rsid w:val="00A059DD"/>
    <w:rsid w:val="00A05C25"/>
    <w:rsid w:val="00A06373"/>
    <w:rsid w:val="00A066D5"/>
    <w:rsid w:val="00A066F7"/>
    <w:rsid w:val="00A07943"/>
    <w:rsid w:val="00A07B25"/>
    <w:rsid w:val="00A1062B"/>
    <w:rsid w:val="00A106C8"/>
    <w:rsid w:val="00A10A88"/>
    <w:rsid w:val="00A10F5D"/>
    <w:rsid w:val="00A11169"/>
    <w:rsid w:val="00A1145D"/>
    <w:rsid w:val="00A120D4"/>
    <w:rsid w:val="00A12417"/>
    <w:rsid w:val="00A12CD7"/>
    <w:rsid w:val="00A130A1"/>
    <w:rsid w:val="00A13305"/>
    <w:rsid w:val="00A1374A"/>
    <w:rsid w:val="00A144B0"/>
    <w:rsid w:val="00A15D82"/>
    <w:rsid w:val="00A16096"/>
    <w:rsid w:val="00A1688C"/>
    <w:rsid w:val="00A16B74"/>
    <w:rsid w:val="00A16F68"/>
    <w:rsid w:val="00A17947"/>
    <w:rsid w:val="00A205B0"/>
    <w:rsid w:val="00A21745"/>
    <w:rsid w:val="00A21CD5"/>
    <w:rsid w:val="00A2201A"/>
    <w:rsid w:val="00A2284F"/>
    <w:rsid w:val="00A22B7C"/>
    <w:rsid w:val="00A237F7"/>
    <w:rsid w:val="00A23831"/>
    <w:rsid w:val="00A24951"/>
    <w:rsid w:val="00A24C3D"/>
    <w:rsid w:val="00A24D46"/>
    <w:rsid w:val="00A24EAA"/>
    <w:rsid w:val="00A25240"/>
    <w:rsid w:val="00A25AD3"/>
    <w:rsid w:val="00A26EB7"/>
    <w:rsid w:val="00A27E86"/>
    <w:rsid w:val="00A30887"/>
    <w:rsid w:val="00A30D6C"/>
    <w:rsid w:val="00A31563"/>
    <w:rsid w:val="00A31BD6"/>
    <w:rsid w:val="00A3241A"/>
    <w:rsid w:val="00A32805"/>
    <w:rsid w:val="00A32CF3"/>
    <w:rsid w:val="00A3399B"/>
    <w:rsid w:val="00A3475D"/>
    <w:rsid w:val="00A349FC"/>
    <w:rsid w:val="00A34DCF"/>
    <w:rsid w:val="00A35064"/>
    <w:rsid w:val="00A351BF"/>
    <w:rsid w:val="00A37277"/>
    <w:rsid w:val="00A37C09"/>
    <w:rsid w:val="00A40048"/>
    <w:rsid w:val="00A404DB"/>
    <w:rsid w:val="00A4056B"/>
    <w:rsid w:val="00A40BE1"/>
    <w:rsid w:val="00A41488"/>
    <w:rsid w:val="00A42C7C"/>
    <w:rsid w:val="00A42C88"/>
    <w:rsid w:val="00A433F4"/>
    <w:rsid w:val="00A434D8"/>
    <w:rsid w:val="00A43511"/>
    <w:rsid w:val="00A43687"/>
    <w:rsid w:val="00A43DE1"/>
    <w:rsid w:val="00A44206"/>
    <w:rsid w:val="00A44530"/>
    <w:rsid w:val="00A44CDF"/>
    <w:rsid w:val="00A44E0A"/>
    <w:rsid w:val="00A45387"/>
    <w:rsid w:val="00A45BCA"/>
    <w:rsid w:val="00A4605A"/>
    <w:rsid w:val="00A47D71"/>
    <w:rsid w:val="00A50648"/>
    <w:rsid w:val="00A50A94"/>
    <w:rsid w:val="00A513E1"/>
    <w:rsid w:val="00A51AE1"/>
    <w:rsid w:val="00A51F24"/>
    <w:rsid w:val="00A529FE"/>
    <w:rsid w:val="00A52E27"/>
    <w:rsid w:val="00A5307C"/>
    <w:rsid w:val="00A53767"/>
    <w:rsid w:val="00A53C55"/>
    <w:rsid w:val="00A5463B"/>
    <w:rsid w:val="00A54DC8"/>
    <w:rsid w:val="00A554A1"/>
    <w:rsid w:val="00A554A8"/>
    <w:rsid w:val="00A5607A"/>
    <w:rsid w:val="00A5638B"/>
    <w:rsid w:val="00A56A87"/>
    <w:rsid w:val="00A56AAB"/>
    <w:rsid w:val="00A56CDE"/>
    <w:rsid w:val="00A57BD9"/>
    <w:rsid w:val="00A57D7B"/>
    <w:rsid w:val="00A6081D"/>
    <w:rsid w:val="00A608AF"/>
    <w:rsid w:val="00A60A05"/>
    <w:rsid w:val="00A611EC"/>
    <w:rsid w:val="00A62BA3"/>
    <w:rsid w:val="00A62EEA"/>
    <w:rsid w:val="00A63236"/>
    <w:rsid w:val="00A64372"/>
    <w:rsid w:val="00A64B92"/>
    <w:rsid w:val="00A64DB0"/>
    <w:rsid w:val="00A65737"/>
    <w:rsid w:val="00A66C4A"/>
    <w:rsid w:val="00A6757B"/>
    <w:rsid w:val="00A704AA"/>
    <w:rsid w:val="00A705C4"/>
    <w:rsid w:val="00A70773"/>
    <w:rsid w:val="00A71B1B"/>
    <w:rsid w:val="00A71F6C"/>
    <w:rsid w:val="00A72F02"/>
    <w:rsid w:val="00A73B5A"/>
    <w:rsid w:val="00A73DE0"/>
    <w:rsid w:val="00A74D0D"/>
    <w:rsid w:val="00A75BCB"/>
    <w:rsid w:val="00A75D5E"/>
    <w:rsid w:val="00A76163"/>
    <w:rsid w:val="00A76B41"/>
    <w:rsid w:val="00A77561"/>
    <w:rsid w:val="00A8068A"/>
    <w:rsid w:val="00A80709"/>
    <w:rsid w:val="00A80946"/>
    <w:rsid w:val="00A8152A"/>
    <w:rsid w:val="00A816B7"/>
    <w:rsid w:val="00A81D9F"/>
    <w:rsid w:val="00A8203B"/>
    <w:rsid w:val="00A826CE"/>
    <w:rsid w:val="00A834F2"/>
    <w:rsid w:val="00A8383E"/>
    <w:rsid w:val="00A83BB6"/>
    <w:rsid w:val="00A83D10"/>
    <w:rsid w:val="00A840FD"/>
    <w:rsid w:val="00A845B9"/>
    <w:rsid w:val="00A846A9"/>
    <w:rsid w:val="00A847D5"/>
    <w:rsid w:val="00A84D34"/>
    <w:rsid w:val="00A851E5"/>
    <w:rsid w:val="00A8558C"/>
    <w:rsid w:val="00A85A90"/>
    <w:rsid w:val="00A8617D"/>
    <w:rsid w:val="00A8622A"/>
    <w:rsid w:val="00A87FA8"/>
    <w:rsid w:val="00A9027C"/>
    <w:rsid w:val="00A915E6"/>
    <w:rsid w:val="00A918CB"/>
    <w:rsid w:val="00A918ED"/>
    <w:rsid w:val="00A9221A"/>
    <w:rsid w:val="00A9445F"/>
    <w:rsid w:val="00A959FC"/>
    <w:rsid w:val="00A95A1B"/>
    <w:rsid w:val="00A95FC7"/>
    <w:rsid w:val="00A976AB"/>
    <w:rsid w:val="00A9782B"/>
    <w:rsid w:val="00AA1029"/>
    <w:rsid w:val="00AA15A4"/>
    <w:rsid w:val="00AA18B3"/>
    <w:rsid w:val="00AA1FCD"/>
    <w:rsid w:val="00AA22E9"/>
    <w:rsid w:val="00AA2B2E"/>
    <w:rsid w:val="00AA2EE1"/>
    <w:rsid w:val="00AA3A3F"/>
    <w:rsid w:val="00AA4405"/>
    <w:rsid w:val="00AA5153"/>
    <w:rsid w:val="00AA6021"/>
    <w:rsid w:val="00AA69B9"/>
    <w:rsid w:val="00AA6C96"/>
    <w:rsid w:val="00AA6DEA"/>
    <w:rsid w:val="00AA7212"/>
    <w:rsid w:val="00AA7536"/>
    <w:rsid w:val="00AB01A3"/>
    <w:rsid w:val="00AB052F"/>
    <w:rsid w:val="00AB1314"/>
    <w:rsid w:val="00AB1940"/>
    <w:rsid w:val="00AB21E5"/>
    <w:rsid w:val="00AB222E"/>
    <w:rsid w:val="00AB2B4E"/>
    <w:rsid w:val="00AB2FCF"/>
    <w:rsid w:val="00AB351C"/>
    <w:rsid w:val="00AB3729"/>
    <w:rsid w:val="00AB3D7D"/>
    <w:rsid w:val="00AB432D"/>
    <w:rsid w:val="00AB43B5"/>
    <w:rsid w:val="00AB475F"/>
    <w:rsid w:val="00AB4ED0"/>
    <w:rsid w:val="00AB5185"/>
    <w:rsid w:val="00AB540A"/>
    <w:rsid w:val="00AB5CB7"/>
    <w:rsid w:val="00AB778D"/>
    <w:rsid w:val="00AB7964"/>
    <w:rsid w:val="00AB7D0A"/>
    <w:rsid w:val="00AC0832"/>
    <w:rsid w:val="00AC0A8A"/>
    <w:rsid w:val="00AC104D"/>
    <w:rsid w:val="00AC1103"/>
    <w:rsid w:val="00AC12E8"/>
    <w:rsid w:val="00AC18A1"/>
    <w:rsid w:val="00AC1B65"/>
    <w:rsid w:val="00AC221D"/>
    <w:rsid w:val="00AC2E3F"/>
    <w:rsid w:val="00AC2F2E"/>
    <w:rsid w:val="00AC350C"/>
    <w:rsid w:val="00AC4399"/>
    <w:rsid w:val="00AC45D6"/>
    <w:rsid w:val="00AC4690"/>
    <w:rsid w:val="00AC47BB"/>
    <w:rsid w:val="00AC505D"/>
    <w:rsid w:val="00AC5842"/>
    <w:rsid w:val="00AC584E"/>
    <w:rsid w:val="00AC6275"/>
    <w:rsid w:val="00AC63CC"/>
    <w:rsid w:val="00AC7527"/>
    <w:rsid w:val="00AC7A37"/>
    <w:rsid w:val="00AD03A4"/>
    <w:rsid w:val="00AD07F8"/>
    <w:rsid w:val="00AD0B3E"/>
    <w:rsid w:val="00AD0BB9"/>
    <w:rsid w:val="00AD0CD4"/>
    <w:rsid w:val="00AD0DD4"/>
    <w:rsid w:val="00AD1F69"/>
    <w:rsid w:val="00AD2218"/>
    <w:rsid w:val="00AD228F"/>
    <w:rsid w:val="00AD25B9"/>
    <w:rsid w:val="00AD28F0"/>
    <w:rsid w:val="00AD3885"/>
    <w:rsid w:val="00AD3996"/>
    <w:rsid w:val="00AD3A0D"/>
    <w:rsid w:val="00AD4456"/>
    <w:rsid w:val="00AD56DB"/>
    <w:rsid w:val="00AD6FFA"/>
    <w:rsid w:val="00AD72B2"/>
    <w:rsid w:val="00AD74DE"/>
    <w:rsid w:val="00AD7720"/>
    <w:rsid w:val="00AD7948"/>
    <w:rsid w:val="00AD7DB8"/>
    <w:rsid w:val="00AE064B"/>
    <w:rsid w:val="00AE08AA"/>
    <w:rsid w:val="00AE0F93"/>
    <w:rsid w:val="00AE1F3C"/>
    <w:rsid w:val="00AE219B"/>
    <w:rsid w:val="00AE2B84"/>
    <w:rsid w:val="00AE2E1D"/>
    <w:rsid w:val="00AE3F66"/>
    <w:rsid w:val="00AE5502"/>
    <w:rsid w:val="00AE5A0E"/>
    <w:rsid w:val="00AE5DEA"/>
    <w:rsid w:val="00AE6357"/>
    <w:rsid w:val="00AE63BE"/>
    <w:rsid w:val="00AE69B2"/>
    <w:rsid w:val="00AE6F95"/>
    <w:rsid w:val="00AE73B9"/>
    <w:rsid w:val="00AF0232"/>
    <w:rsid w:val="00AF06B1"/>
    <w:rsid w:val="00AF0A9D"/>
    <w:rsid w:val="00AF0B2F"/>
    <w:rsid w:val="00AF0DBA"/>
    <w:rsid w:val="00AF2434"/>
    <w:rsid w:val="00AF2757"/>
    <w:rsid w:val="00AF2CE1"/>
    <w:rsid w:val="00AF4260"/>
    <w:rsid w:val="00AF42BE"/>
    <w:rsid w:val="00AF60A3"/>
    <w:rsid w:val="00AF6A51"/>
    <w:rsid w:val="00AF7095"/>
    <w:rsid w:val="00AF7FC6"/>
    <w:rsid w:val="00AF7FF4"/>
    <w:rsid w:val="00B002FB"/>
    <w:rsid w:val="00B009BE"/>
    <w:rsid w:val="00B01F6C"/>
    <w:rsid w:val="00B01F95"/>
    <w:rsid w:val="00B02EB2"/>
    <w:rsid w:val="00B03988"/>
    <w:rsid w:val="00B03C7F"/>
    <w:rsid w:val="00B04446"/>
    <w:rsid w:val="00B05625"/>
    <w:rsid w:val="00B06489"/>
    <w:rsid w:val="00B06A97"/>
    <w:rsid w:val="00B0751F"/>
    <w:rsid w:val="00B07A2E"/>
    <w:rsid w:val="00B07BF6"/>
    <w:rsid w:val="00B07BFA"/>
    <w:rsid w:val="00B10014"/>
    <w:rsid w:val="00B106E2"/>
    <w:rsid w:val="00B107FA"/>
    <w:rsid w:val="00B113EC"/>
    <w:rsid w:val="00B1203F"/>
    <w:rsid w:val="00B1226F"/>
    <w:rsid w:val="00B122D7"/>
    <w:rsid w:val="00B1235B"/>
    <w:rsid w:val="00B12B0E"/>
    <w:rsid w:val="00B12BB5"/>
    <w:rsid w:val="00B12F18"/>
    <w:rsid w:val="00B12F4D"/>
    <w:rsid w:val="00B13A02"/>
    <w:rsid w:val="00B13A24"/>
    <w:rsid w:val="00B14294"/>
    <w:rsid w:val="00B14807"/>
    <w:rsid w:val="00B14C6F"/>
    <w:rsid w:val="00B1522C"/>
    <w:rsid w:val="00B1532E"/>
    <w:rsid w:val="00B15843"/>
    <w:rsid w:val="00B159FD"/>
    <w:rsid w:val="00B167D6"/>
    <w:rsid w:val="00B16A75"/>
    <w:rsid w:val="00B16FEF"/>
    <w:rsid w:val="00B174A0"/>
    <w:rsid w:val="00B211C3"/>
    <w:rsid w:val="00B215F7"/>
    <w:rsid w:val="00B2279C"/>
    <w:rsid w:val="00B22B21"/>
    <w:rsid w:val="00B230AD"/>
    <w:rsid w:val="00B23A63"/>
    <w:rsid w:val="00B23C45"/>
    <w:rsid w:val="00B23EA8"/>
    <w:rsid w:val="00B247FB"/>
    <w:rsid w:val="00B25131"/>
    <w:rsid w:val="00B265C2"/>
    <w:rsid w:val="00B26724"/>
    <w:rsid w:val="00B26799"/>
    <w:rsid w:val="00B27463"/>
    <w:rsid w:val="00B276D1"/>
    <w:rsid w:val="00B30877"/>
    <w:rsid w:val="00B310F2"/>
    <w:rsid w:val="00B31134"/>
    <w:rsid w:val="00B31167"/>
    <w:rsid w:val="00B311B3"/>
    <w:rsid w:val="00B31A94"/>
    <w:rsid w:val="00B32B8A"/>
    <w:rsid w:val="00B3306F"/>
    <w:rsid w:val="00B3356E"/>
    <w:rsid w:val="00B338AF"/>
    <w:rsid w:val="00B33ACE"/>
    <w:rsid w:val="00B33DD3"/>
    <w:rsid w:val="00B3442B"/>
    <w:rsid w:val="00B34AC5"/>
    <w:rsid w:val="00B350C2"/>
    <w:rsid w:val="00B35339"/>
    <w:rsid w:val="00B35CE8"/>
    <w:rsid w:val="00B35D39"/>
    <w:rsid w:val="00B35FC6"/>
    <w:rsid w:val="00B36164"/>
    <w:rsid w:val="00B367DB"/>
    <w:rsid w:val="00B37CEB"/>
    <w:rsid w:val="00B37EE2"/>
    <w:rsid w:val="00B407B2"/>
    <w:rsid w:val="00B40AA4"/>
    <w:rsid w:val="00B41441"/>
    <w:rsid w:val="00B42769"/>
    <w:rsid w:val="00B42FC2"/>
    <w:rsid w:val="00B430E6"/>
    <w:rsid w:val="00B43764"/>
    <w:rsid w:val="00B43BB7"/>
    <w:rsid w:val="00B44FA7"/>
    <w:rsid w:val="00B4514A"/>
    <w:rsid w:val="00B45574"/>
    <w:rsid w:val="00B45677"/>
    <w:rsid w:val="00B45DD2"/>
    <w:rsid w:val="00B46BF3"/>
    <w:rsid w:val="00B46D24"/>
    <w:rsid w:val="00B46F74"/>
    <w:rsid w:val="00B4716C"/>
    <w:rsid w:val="00B478AC"/>
    <w:rsid w:val="00B50D2D"/>
    <w:rsid w:val="00B51102"/>
    <w:rsid w:val="00B52296"/>
    <w:rsid w:val="00B52DA5"/>
    <w:rsid w:val="00B52F8D"/>
    <w:rsid w:val="00B53E3A"/>
    <w:rsid w:val="00B54EAD"/>
    <w:rsid w:val="00B54FAC"/>
    <w:rsid w:val="00B558D3"/>
    <w:rsid w:val="00B56515"/>
    <w:rsid w:val="00B56690"/>
    <w:rsid w:val="00B569FC"/>
    <w:rsid w:val="00B578A9"/>
    <w:rsid w:val="00B57A82"/>
    <w:rsid w:val="00B600B6"/>
    <w:rsid w:val="00B6089A"/>
    <w:rsid w:val="00B60D18"/>
    <w:rsid w:val="00B60FF8"/>
    <w:rsid w:val="00B6119D"/>
    <w:rsid w:val="00B616C2"/>
    <w:rsid w:val="00B61753"/>
    <w:rsid w:val="00B61F5C"/>
    <w:rsid w:val="00B62C3C"/>
    <w:rsid w:val="00B62E0B"/>
    <w:rsid w:val="00B63360"/>
    <w:rsid w:val="00B637E8"/>
    <w:rsid w:val="00B63AC2"/>
    <w:rsid w:val="00B63D13"/>
    <w:rsid w:val="00B6447A"/>
    <w:rsid w:val="00B64B06"/>
    <w:rsid w:val="00B65499"/>
    <w:rsid w:val="00B6575B"/>
    <w:rsid w:val="00B6589A"/>
    <w:rsid w:val="00B65C32"/>
    <w:rsid w:val="00B65F23"/>
    <w:rsid w:val="00B665EC"/>
    <w:rsid w:val="00B67464"/>
    <w:rsid w:val="00B676A8"/>
    <w:rsid w:val="00B67929"/>
    <w:rsid w:val="00B67BD6"/>
    <w:rsid w:val="00B702F2"/>
    <w:rsid w:val="00B70D20"/>
    <w:rsid w:val="00B71835"/>
    <w:rsid w:val="00B71B71"/>
    <w:rsid w:val="00B72497"/>
    <w:rsid w:val="00B73139"/>
    <w:rsid w:val="00B73371"/>
    <w:rsid w:val="00B73767"/>
    <w:rsid w:val="00B74613"/>
    <w:rsid w:val="00B7464A"/>
    <w:rsid w:val="00B7553E"/>
    <w:rsid w:val="00B768F8"/>
    <w:rsid w:val="00B76B10"/>
    <w:rsid w:val="00B775DB"/>
    <w:rsid w:val="00B80577"/>
    <w:rsid w:val="00B814D2"/>
    <w:rsid w:val="00B8158F"/>
    <w:rsid w:val="00B8162B"/>
    <w:rsid w:val="00B8173E"/>
    <w:rsid w:val="00B81B32"/>
    <w:rsid w:val="00B834C1"/>
    <w:rsid w:val="00B83D07"/>
    <w:rsid w:val="00B84277"/>
    <w:rsid w:val="00B84C34"/>
    <w:rsid w:val="00B85972"/>
    <w:rsid w:val="00B867B7"/>
    <w:rsid w:val="00B867DD"/>
    <w:rsid w:val="00B86C69"/>
    <w:rsid w:val="00B86F8A"/>
    <w:rsid w:val="00B8753E"/>
    <w:rsid w:val="00B87A42"/>
    <w:rsid w:val="00B90A7E"/>
    <w:rsid w:val="00B911BB"/>
    <w:rsid w:val="00B9232E"/>
    <w:rsid w:val="00B92843"/>
    <w:rsid w:val="00B93DBF"/>
    <w:rsid w:val="00B9409C"/>
    <w:rsid w:val="00B94466"/>
    <w:rsid w:val="00B94BD9"/>
    <w:rsid w:val="00B94CEC"/>
    <w:rsid w:val="00B95380"/>
    <w:rsid w:val="00B959C9"/>
    <w:rsid w:val="00B967CF"/>
    <w:rsid w:val="00B9681D"/>
    <w:rsid w:val="00BA02A1"/>
    <w:rsid w:val="00BA03CE"/>
    <w:rsid w:val="00BA0EBA"/>
    <w:rsid w:val="00BA0F52"/>
    <w:rsid w:val="00BA1102"/>
    <w:rsid w:val="00BA17C7"/>
    <w:rsid w:val="00BA1D43"/>
    <w:rsid w:val="00BA1FFF"/>
    <w:rsid w:val="00BA22A4"/>
    <w:rsid w:val="00BA2F00"/>
    <w:rsid w:val="00BA3012"/>
    <w:rsid w:val="00BA41E8"/>
    <w:rsid w:val="00BA4554"/>
    <w:rsid w:val="00BA4735"/>
    <w:rsid w:val="00BA4E6F"/>
    <w:rsid w:val="00BA5F2A"/>
    <w:rsid w:val="00BA6628"/>
    <w:rsid w:val="00BA6E05"/>
    <w:rsid w:val="00BA7563"/>
    <w:rsid w:val="00BA7606"/>
    <w:rsid w:val="00BA7892"/>
    <w:rsid w:val="00BA7A83"/>
    <w:rsid w:val="00BB0F3A"/>
    <w:rsid w:val="00BB175C"/>
    <w:rsid w:val="00BB185E"/>
    <w:rsid w:val="00BB2587"/>
    <w:rsid w:val="00BB336A"/>
    <w:rsid w:val="00BB3799"/>
    <w:rsid w:val="00BB4246"/>
    <w:rsid w:val="00BB44C1"/>
    <w:rsid w:val="00BB5923"/>
    <w:rsid w:val="00BB5BD2"/>
    <w:rsid w:val="00BB5C5F"/>
    <w:rsid w:val="00BB6017"/>
    <w:rsid w:val="00BB68A4"/>
    <w:rsid w:val="00BB7ADC"/>
    <w:rsid w:val="00BB7CBB"/>
    <w:rsid w:val="00BC0035"/>
    <w:rsid w:val="00BC0754"/>
    <w:rsid w:val="00BC0A27"/>
    <w:rsid w:val="00BC0D4F"/>
    <w:rsid w:val="00BC0F40"/>
    <w:rsid w:val="00BC1192"/>
    <w:rsid w:val="00BC178E"/>
    <w:rsid w:val="00BC1A66"/>
    <w:rsid w:val="00BC1BFA"/>
    <w:rsid w:val="00BC21C0"/>
    <w:rsid w:val="00BC2604"/>
    <w:rsid w:val="00BC2714"/>
    <w:rsid w:val="00BC2D62"/>
    <w:rsid w:val="00BC2F65"/>
    <w:rsid w:val="00BC3BEB"/>
    <w:rsid w:val="00BC4813"/>
    <w:rsid w:val="00BC4D33"/>
    <w:rsid w:val="00BC52AA"/>
    <w:rsid w:val="00BC6071"/>
    <w:rsid w:val="00BC690A"/>
    <w:rsid w:val="00BC6F33"/>
    <w:rsid w:val="00BC7FBC"/>
    <w:rsid w:val="00BD030D"/>
    <w:rsid w:val="00BD0489"/>
    <w:rsid w:val="00BD0E76"/>
    <w:rsid w:val="00BD0F87"/>
    <w:rsid w:val="00BD155F"/>
    <w:rsid w:val="00BD1864"/>
    <w:rsid w:val="00BD214E"/>
    <w:rsid w:val="00BD2852"/>
    <w:rsid w:val="00BD2C0A"/>
    <w:rsid w:val="00BD3697"/>
    <w:rsid w:val="00BD3D86"/>
    <w:rsid w:val="00BD3FE0"/>
    <w:rsid w:val="00BD466D"/>
    <w:rsid w:val="00BD5342"/>
    <w:rsid w:val="00BD546B"/>
    <w:rsid w:val="00BD613D"/>
    <w:rsid w:val="00BD7190"/>
    <w:rsid w:val="00BE08CF"/>
    <w:rsid w:val="00BE0B45"/>
    <w:rsid w:val="00BE0C2C"/>
    <w:rsid w:val="00BE19CE"/>
    <w:rsid w:val="00BE1C8A"/>
    <w:rsid w:val="00BE2C2F"/>
    <w:rsid w:val="00BE2EB1"/>
    <w:rsid w:val="00BE2EF8"/>
    <w:rsid w:val="00BE2F2E"/>
    <w:rsid w:val="00BE3255"/>
    <w:rsid w:val="00BE3452"/>
    <w:rsid w:val="00BE3667"/>
    <w:rsid w:val="00BE39C8"/>
    <w:rsid w:val="00BE4A66"/>
    <w:rsid w:val="00BE4C1D"/>
    <w:rsid w:val="00BE5019"/>
    <w:rsid w:val="00BE51F0"/>
    <w:rsid w:val="00BE5401"/>
    <w:rsid w:val="00BE54AE"/>
    <w:rsid w:val="00BE5D06"/>
    <w:rsid w:val="00BE6281"/>
    <w:rsid w:val="00BE68AF"/>
    <w:rsid w:val="00BE6D8C"/>
    <w:rsid w:val="00BE739A"/>
    <w:rsid w:val="00BE7550"/>
    <w:rsid w:val="00BF0BBF"/>
    <w:rsid w:val="00BF14AF"/>
    <w:rsid w:val="00BF1A5E"/>
    <w:rsid w:val="00BF2AAA"/>
    <w:rsid w:val="00BF2AAB"/>
    <w:rsid w:val="00BF304B"/>
    <w:rsid w:val="00BF342C"/>
    <w:rsid w:val="00BF446D"/>
    <w:rsid w:val="00BF473A"/>
    <w:rsid w:val="00BF47AE"/>
    <w:rsid w:val="00BF4875"/>
    <w:rsid w:val="00BF4BB0"/>
    <w:rsid w:val="00BF52AB"/>
    <w:rsid w:val="00BF575F"/>
    <w:rsid w:val="00BF5B5C"/>
    <w:rsid w:val="00BF6100"/>
    <w:rsid w:val="00BF65C2"/>
    <w:rsid w:val="00BF66F0"/>
    <w:rsid w:val="00BF6FAF"/>
    <w:rsid w:val="00BF717D"/>
    <w:rsid w:val="00BF7498"/>
    <w:rsid w:val="00BF7823"/>
    <w:rsid w:val="00BF7C7C"/>
    <w:rsid w:val="00BF7CBC"/>
    <w:rsid w:val="00C01354"/>
    <w:rsid w:val="00C0182C"/>
    <w:rsid w:val="00C02014"/>
    <w:rsid w:val="00C020DF"/>
    <w:rsid w:val="00C02580"/>
    <w:rsid w:val="00C02942"/>
    <w:rsid w:val="00C029F2"/>
    <w:rsid w:val="00C03029"/>
    <w:rsid w:val="00C030A6"/>
    <w:rsid w:val="00C03662"/>
    <w:rsid w:val="00C0449E"/>
    <w:rsid w:val="00C04A6C"/>
    <w:rsid w:val="00C05493"/>
    <w:rsid w:val="00C05765"/>
    <w:rsid w:val="00C05997"/>
    <w:rsid w:val="00C06262"/>
    <w:rsid w:val="00C06549"/>
    <w:rsid w:val="00C066A5"/>
    <w:rsid w:val="00C066B5"/>
    <w:rsid w:val="00C07089"/>
    <w:rsid w:val="00C0750B"/>
    <w:rsid w:val="00C077D0"/>
    <w:rsid w:val="00C102EE"/>
    <w:rsid w:val="00C104E5"/>
    <w:rsid w:val="00C1275F"/>
    <w:rsid w:val="00C13258"/>
    <w:rsid w:val="00C13EB4"/>
    <w:rsid w:val="00C145B0"/>
    <w:rsid w:val="00C147CC"/>
    <w:rsid w:val="00C15D7B"/>
    <w:rsid w:val="00C1654C"/>
    <w:rsid w:val="00C16727"/>
    <w:rsid w:val="00C1701D"/>
    <w:rsid w:val="00C17559"/>
    <w:rsid w:val="00C20A83"/>
    <w:rsid w:val="00C20ED9"/>
    <w:rsid w:val="00C21A0B"/>
    <w:rsid w:val="00C21A5B"/>
    <w:rsid w:val="00C21DAA"/>
    <w:rsid w:val="00C21F21"/>
    <w:rsid w:val="00C223E5"/>
    <w:rsid w:val="00C22BFE"/>
    <w:rsid w:val="00C22D07"/>
    <w:rsid w:val="00C2359A"/>
    <w:rsid w:val="00C23DF1"/>
    <w:rsid w:val="00C243A4"/>
    <w:rsid w:val="00C246EC"/>
    <w:rsid w:val="00C24D02"/>
    <w:rsid w:val="00C2663E"/>
    <w:rsid w:val="00C27898"/>
    <w:rsid w:val="00C27929"/>
    <w:rsid w:val="00C30BD6"/>
    <w:rsid w:val="00C310C8"/>
    <w:rsid w:val="00C316E8"/>
    <w:rsid w:val="00C31723"/>
    <w:rsid w:val="00C325AE"/>
    <w:rsid w:val="00C326C4"/>
    <w:rsid w:val="00C328F3"/>
    <w:rsid w:val="00C329AB"/>
    <w:rsid w:val="00C32DB7"/>
    <w:rsid w:val="00C33382"/>
    <w:rsid w:val="00C339F2"/>
    <w:rsid w:val="00C33EC6"/>
    <w:rsid w:val="00C34FFB"/>
    <w:rsid w:val="00C35749"/>
    <w:rsid w:val="00C36350"/>
    <w:rsid w:val="00C36659"/>
    <w:rsid w:val="00C375D5"/>
    <w:rsid w:val="00C3764F"/>
    <w:rsid w:val="00C376B8"/>
    <w:rsid w:val="00C40E07"/>
    <w:rsid w:val="00C40FAF"/>
    <w:rsid w:val="00C41499"/>
    <w:rsid w:val="00C414A7"/>
    <w:rsid w:val="00C415C9"/>
    <w:rsid w:val="00C41E96"/>
    <w:rsid w:val="00C422D7"/>
    <w:rsid w:val="00C42F31"/>
    <w:rsid w:val="00C449B0"/>
    <w:rsid w:val="00C45032"/>
    <w:rsid w:val="00C452DA"/>
    <w:rsid w:val="00C453FF"/>
    <w:rsid w:val="00C45808"/>
    <w:rsid w:val="00C46BBE"/>
    <w:rsid w:val="00C46DCB"/>
    <w:rsid w:val="00C46EF2"/>
    <w:rsid w:val="00C472D3"/>
    <w:rsid w:val="00C47F56"/>
    <w:rsid w:val="00C50888"/>
    <w:rsid w:val="00C51083"/>
    <w:rsid w:val="00C51559"/>
    <w:rsid w:val="00C51B8E"/>
    <w:rsid w:val="00C52823"/>
    <w:rsid w:val="00C52D14"/>
    <w:rsid w:val="00C52E46"/>
    <w:rsid w:val="00C52F5F"/>
    <w:rsid w:val="00C53EFC"/>
    <w:rsid w:val="00C54047"/>
    <w:rsid w:val="00C541D7"/>
    <w:rsid w:val="00C54B3C"/>
    <w:rsid w:val="00C55B89"/>
    <w:rsid w:val="00C55C1F"/>
    <w:rsid w:val="00C55F2E"/>
    <w:rsid w:val="00C578B5"/>
    <w:rsid w:val="00C605DF"/>
    <w:rsid w:val="00C61644"/>
    <w:rsid w:val="00C6206D"/>
    <w:rsid w:val="00C6252C"/>
    <w:rsid w:val="00C6319D"/>
    <w:rsid w:val="00C63740"/>
    <w:rsid w:val="00C640FF"/>
    <w:rsid w:val="00C643C6"/>
    <w:rsid w:val="00C64488"/>
    <w:rsid w:val="00C644D4"/>
    <w:rsid w:val="00C647C8"/>
    <w:rsid w:val="00C64F9B"/>
    <w:rsid w:val="00C65438"/>
    <w:rsid w:val="00C672AD"/>
    <w:rsid w:val="00C67456"/>
    <w:rsid w:val="00C677EB"/>
    <w:rsid w:val="00C67AFC"/>
    <w:rsid w:val="00C70428"/>
    <w:rsid w:val="00C70D17"/>
    <w:rsid w:val="00C71D33"/>
    <w:rsid w:val="00C72B63"/>
    <w:rsid w:val="00C72E63"/>
    <w:rsid w:val="00C73715"/>
    <w:rsid w:val="00C74A47"/>
    <w:rsid w:val="00C74D00"/>
    <w:rsid w:val="00C75146"/>
    <w:rsid w:val="00C75F6A"/>
    <w:rsid w:val="00C7671E"/>
    <w:rsid w:val="00C770C0"/>
    <w:rsid w:val="00C7765A"/>
    <w:rsid w:val="00C80BDF"/>
    <w:rsid w:val="00C81026"/>
    <w:rsid w:val="00C81541"/>
    <w:rsid w:val="00C81DDA"/>
    <w:rsid w:val="00C821C9"/>
    <w:rsid w:val="00C822C5"/>
    <w:rsid w:val="00C82769"/>
    <w:rsid w:val="00C82A7D"/>
    <w:rsid w:val="00C82D7F"/>
    <w:rsid w:val="00C84088"/>
    <w:rsid w:val="00C867A1"/>
    <w:rsid w:val="00C86916"/>
    <w:rsid w:val="00C879D3"/>
    <w:rsid w:val="00C87F40"/>
    <w:rsid w:val="00C904C1"/>
    <w:rsid w:val="00C90B00"/>
    <w:rsid w:val="00C92116"/>
    <w:rsid w:val="00C92622"/>
    <w:rsid w:val="00C92F9A"/>
    <w:rsid w:val="00C933D4"/>
    <w:rsid w:val="00C93745"/>
    <w:rsid w:val="00C93858"/>
    <w:rsid w:val="00C9385A"/>
    <w:rsid w:val="00C93AB5"/>
    <w:rsid w:val="00C93FB5"/>
    <w:rsid w:val="00C9539E"/>
    <w:rsid w:val="00C95C03"/>
    <w:rsid w:val="00C96812"/>
    <w:rsid w:val="00CA3501"/>
    <w:rsid w:val="00CA43C4"/>
    <w:rsid w:val="00CA4693"/>
    <w:rsid w:val="00CA46E8"/>
    <w:rsid w:val="00CA4824"/>
    <w:rsid w:val="00CA4DD1"/>
    <w:rsid w:val="00CA50FD"/>
    <w:rsid w:val="00CA548D"/>
    <w:rsid w:val="00CA5726"/>
    <w:rsid w:val="00CA5CAF"/>
    <w:rsid w:val="00CA64C3"/>
    <w:rsid w:val="00CA6EA2"/>
    <w:rsid w:val="00CA7724"/>
    <w:rsid w:val="00CA7897"/>
    <w:rsid w:val="00CB0830"/>
    <w:rsid w:val="00CB0B79"/>
    <w:rsid w:val="00CB0F27"/>
    <w:rsid w:val="00CB15C0"/>
    <w:rsid w:val="00CB17FB"/>
    <w:rsid w:val="00CB1C0D"/>
    <w:rsid w:val="00CB1FAD"/>
    <w:rsid w:val="00CB3CA1"/>
    <w:rsid w:val="00CB40B7"/>
    <w:rsid w:val="00CB48C8"/>
    <w:rsid w:val="00CB4A6C"/>
    <w:rsid w:val="00CB4ED6"/>
    <w:rsid w:val="00CB5158"/>
    <w:rsid w:val="00CB630C"/>
    <w:rsid w:val="00CB7218"/>
    <w:rsid w:val="00CB78DE"/>
    <w:rsid w:val="00CB7A00"/>
    <w:rsid w:val="00CC013D"/>
    <w:rsid w:val="00CC044B"/>
    <w:rsid w:val="00CC124B"/>
    <w:rsid w:val="00CC1293"/>
    <w:rsid w:val="00CC228C"/>
    <w:rsid w:val="00CC286C"/>
    <w:rsid w:val="00CC2E9A"/>
    <w:rsid w:val="00CC3480"/>
    <w:rsid w:val="00CC395A"/>
    <w:rsid w:val="00CC3969"/>
    <w:rsid w:val="00CC3A72"/>
    <w:rsid w:val="00CC45A0"/>
    <w:rsid w:val="00CC4A0C"/>
    <w:rsid w:val="00CC4E0C"/>
    <w:rsid w:val="00CC4F2E"/>
    <w:rsid w:val="00CC52AD"/>
    <w:rsid w:val="00CC5312"/>
    <w:rsid w:val="00CC53B3"/>
    <w:rsid w:val="00CC552D"/>
    <w:rsid w:val="00CC558E"/>
    <w:rsid w:val="00CC5948"/>
    <w:rsid w:val="00CC67CA"/>
    <w:rsid w:val="00CC6962"/>
    <w:rsid w:val="00CC769C"/>
    <w:rsid w:val="00CC772B"/>
    <w:rsid w:val="00CC7AF4"/>
    <w:rsid w:val="00CD094D"/>
    <w:rsid w:val="00CD0B28"/>
    <w:rsid w:val="00CD1393"/>
    <w:rsid w:val="00CD1AC2"/>
    <w:rsid w:val="00CD20BE"/>
    <w:rsid w:val="00CD3E55"/>
    <w:rsid w:val="00CD44A0"/>
    <w:rsid w:val="00CD48D6"/>
    <w:rsid w:val="00CD5F0E"/>
    <w:rsid w:val="00CD6616"/>
    <w:rsid w:val="00CD6B9B"/>
    <w:rsid w:val="00CD77D3"/>
    <w:rsid w:val="00CD7F46"/>
    <w:rsid w:val="00CE0D0D"/>
    <w:rsid w:val="00CE1DE4"/>
    <w:rsid w:val="00CE2B8B"/>
    <w:rsid w:val="00CE2D07"/>
    <w:rsid w:val="00CE3C59"/>
    <w:rsid w:val="00CE4305"/>
    <w:rsid w:val="00CE44D8"/>
    <w:rsid w:val="00CE50BD"/>
    <w:rsid w:val="00CE5B78"/>
    <w:rsid w:val="00CE64AE"/>
    <w:rsid w:val="00CE665C"/>
    <w:rsid w:val="00CE67D2"/>
    <w:rsid w:val="00CE68B9"/>
    <w:rsid w:val="00CE6BE9"/>
    <w:rsid w:val="00CF015A"/>
    <w:rsid w:val="00CF0227"/>
    <w:rsid w:val="00CF166A"/>
    <w:rsid w:val="00CF1953"/>
    <w:rsid w:val="00CF1B2B"/>
    <w:rsid w:val="00CF2390"/>
    <w:rsid w:val="00CF23EF"/>
    <w:rsid w:val="00CF2D14"/>
    <w:rsid w:val="00CF3432"/>
    <w:rsid w:val="00CF3CFB"/>
    <w:rsid w:val="00CF3F45"/>
    <w:rsid w:val="00CF4ED2"/>
    <w:rsid w:val="00CF545C"/>
    <w:rsid w:val="00CF5928"/>
    <w:rsid w:val="00CF6368"/>
    <w:rsid w:val="00CF6420"/>
    <w:rsid w:val="00CF67D3"/>
    <w:rsid w:val="00CF73FA"/>
    <w:rsid w:val="00CF7767"/>
    <w:rsid w:val="00D00180"/>
    <w:rsid w:val="00D00D4C"/>
    <w:rsid w:val="00D00FEC"/>
    <w:rsid w:val="00D0133D"/>
    <w:rsid w:val="00D01361"/>
    <w:rsid w:val="00D013B7"/>
    <w:rsid w:val="00D019D6"/>
    <w:rsid w:val="00D01D2B"/>
    <w:rsid w:val="00D01D32"/>
    <w:rsid w:val="00D01EC1"/>
    <w:rsid w:val="00D02507"/>
    <w:rsid w:val="00D0269C"/>
    <w:rsid w:val="00D028F6"/>
    <w:rsid w:val="00D02D65"/>
    <w:rsid w:val="00D02E57"/>
    <w:rsid w:val="00D03846"/>
    <w:rsid w:val="00D03A5B"/>
    <w:rsid w:val="00D044DA"/>
    <w:rsid w:val="00D04EB1"/>
    <w:rsid w:val="00D05A2E"/>
    <w:rsid w:val="00D05CEC"/>
    <w:rsid w:val="00D0608C"/>
    <w:rsid w:val="00D063A0"/>
    <w:rsid w:val="00D0681F"/>
    <w:rsid w:val="00D07DB9"/>
    <w:rsid w:val="00D104E1"/>
    <w:rsid w:val="00D1163E"/>
    <w:rsid w:val="00D1201A"/>
    <w:rsid w:val="00D12DF3"/>
    <w:rsid w:val="00D13813"/>
    <w:rsid w:val="00D138E4"/>
    <w:rsid w:val="00D14355"/>
    <w:rsid w:val="00D146AF"/>
    <w:rsid w:val="00D15C05"/>
    <w:rsid w:val="00D15CE1"/>
    <w:rsid w:val="00D16042"/>
    <w:rsid w:val="00D16852"/>
    <w:rsid w:val="00D172D4"/>
    <w:rsid w:val="00D1797F"/>
    <w:rsid w:val="00D17982"/>
    <w:rsid w:val="00D17E63"/>
    <w:rsid w:val="00D20191"/>
    <w:rsid w:val="00D20488"/>
    <w:rsid w:val="00D206DA"/>
    <w:rsid w:val="00D20C0D"/>
    <w:rsid w:val="00D218DF"/>
    <w:rsid w:val="00D2192A"/>
    <w:rsid w:val="00D21E9C"/>
    <w:rsid w:val="00D224FC"/>
    <w:rsid w:val="00D22E2B"/>
    <w:rsid w:val="00D22E88"/>
    <w:rsid w:val="00D242CA"/>
    <w:rsid w:val="00D24332"/>
    <w:rsid w:val="00D2562D"/>
    <w:rsid w:val="00D27846"/>
    <w:rsid w:val="00D30276"/>
    <w:rsid w:val="00D30CA0"/>
    <w:rsid w:val="00D3158F"/>
    <w:rsid w:val="00D31E9B"/>
    <w:rsid w:val="00D31F42"/>
    <w:rsid w:val="00D31F6E"/>
    <w:rsid w:val="00D320CA"/>
    <w:rsid w:val="00D32E30"/>
    <w:rsid w:val="00D339D1"/>
    <w:rsid w:val="00D34D16"/>
    <w:rsid w:val="00D3501B"/>
    <w:rsid w:val="00D36A88"/>
    <w:rsid w:val="00D37835"/>
    <w:rsid w:val="00D378A6"/>
    <w:rsid w:val="00D37A8E"/>
    <w:rsid w:val="00D401F3"/>
    <w:rsid w:val="00D40411"/>
    <w:rsid w:val="00D425F6"/>
    <w:rsid w:val="00D446FE"/>
    <w:rsid w:val="00D449C0"/>
    <w:rsid w:val="00D44A82"/>
    <w:rsid w:val="00D44D1B"/>
    <w:rsid w:val="00D4512E"/>
    <w:rsid w:val="00D45375"/>
    <w:rsid w:val="00D46374"/>
    <w:rsid w:val="00D4642B"/>
    <w:rsid w:val="00D464B8"/>
    <w:rsid w:val="00D4680E"/>
    <w:rsid w:val="00D46821"/>
    <w:rsid w:val="00D46BC1"/>
    <w:rsid w:val="00D47096"/>
    <w:rsid w:val="00D47548"/>
    <w:rsid w:val="00D47A6A"/>
    <w:rsid w:val="00D50F85"/>
    <w:rsid w:val="00D5100A"/>
    <w:rsid w:val="00D51535"/>
    <w:rsid w:val="00D51FED"/>
    <w:rsid w:val="00D52ACE"/>
    <w:rsid w:val="00D52EDD"/>
    <w:rsid w:val="00D54175"/>
    <w:rsid w:val="00D55032"/>
    <w:rsid w:val="00D566EF"/>
    <w:rsid w:val="00D56B73"/>
    <w:rsid w:val="00D56BB9"/>
    <w:rsid w:val="00D56D08"/>
    <w:rsid w:val="00D56FD5"/>
    <w:rsid w:val="00D578A8"/>
    <w:rsid w:val="00D612ED"/>
    <w:rsid w:val="00D61641"/>
    <w:rsid w:val="00D64450"/>
    <w:rsid w:val="00D644D4"/>
    <w:rsid w:val="00D64D49"/>
    <w:rsid w:val="00D66700"/>
    <w:rsid w:val="00D66A7E"/>
    <w:rsid w:val="00D67B71"/>
    <w:rsid w:val="00D70027"/>
    <w:rsid w:val="00D719A8"/>
    <w:rsid w:val="00D71BBA"/>
    <w:rsid w:val="00D726C2"/>
    <w:rsid w:val="00D728C6"/>
    <w:rsid w:val="00D7292C"/>
    <w:rsid w:val="00D7305D"/>
    <w:rsid w:val="00D73CD4"/>
    <w:rsid w:val="00D74562"/>
    <w:rsid w:val="00D748D3"/>
    <w:rsid w:val="00D7698E"/>
    <w:rsid w:val="00D77791"/>
    <w:rsid w:val="00D80061"/>
    <w:rsid w:val="00D813C7"/>
    <w:rsid w:val="00D81606"/>
    <w:rsid w:val="00D8253B"/>
    <w:rsid w:val="00D835E2"/>
    <w:rsid w:val="00D8413F"/>
    <w:rsid w:val="00D844CB"/>
    <w:rsid w:val="00D84C38"/>
    <w:rsid w:val="00D85600"/>
    <w:rsid w:val="00D858D9"/>
    <w:rsid w:val="00D866F2"/>
    <w:rsid w:val="00D870B2"/>
    <w:rsid w:val="00D875C7"/>
    <w:rsid w:val="00D8775D"/>
    <w:rsid w:val="00D877BB"/>
    <w:rsid w:val="00D87E95"/>
    <w:rsid w:val="00D90086"/>
    <w:rsid w:val="00D902BD"/>
    <w:rsid w:val="00D90BA3"/>
    <w:rsid w:val="00D913B9"/>
    <w:rsid w:val="00D91B67"/>
    <w:rsid w:val="00D927E3"/>
    <w:rsid w:val="00D92918"/>
    <w:rsid w:val="00D93636"/>
    <w:rsid w:val="00D942AB"/>
    <w:rsid w:val="00D945D1"/>
    <w:rsid w:val="00D94889"/>
    <w:rsid w:val="00D95F65"/>
    <w:rsid w:val="00D961A3"/>
    <w:rsid w:val="00D96608"/>
    <w:rsid w:val="00DA05DF"/>
    <w:rsid w:val="00DA064A"/>
    <w:rsid w:val="00DA0DDB"/>
    <w:rsid w:val="00DA16B7"/>
    <w:rsid w:val="00DA227E"/>
    <w:rsid w:val="00DA277B"/>
    <w:rsid w:val="00DA27DF"/>
    <w:rsid w:val="00DA2EE1"/>
    <w:rsid w:val="00DA3139"/>
    <w:rsid w:val="00DA31DD"/>
    <w:rsid w:val="00DA36DB"/>
    <w:rsid w:val="00DA3B9F"/>
    <w:rsid w:val="00DA477A"/>
    <w:rsid w:val="00DA4BA2"/>
    <w:rsid w:val="00DA4BEB"/>
    <w:rsid w:val="00DA54DE"/>
    <w:rsid w:val="00DA565E"/>
    <w:rsid w:val="00DA56FD"/>
    <w:rsid w:val="00DA5892"/>
    <w:rsid w:val="00DA5E88"/>
    <w:rsid w:val="00DA7752"/>
    <w:rsid w:val="00DA7AEA"/>
    <w:rsid w:val="00DB0FDF"/>
    <w:rsid w:val="00DB1273"/>
    <w:rsid w:val="00DB202E"/>
    <w:rsid w:val="00DB2455"/>
    <w:rsid w:val="00DB2DE6"/>
    <w:rsid w:val="00DB37D9"/>
    <w:rsid w:val="00DB4023"/>
    <w:rsid w:val="00DB42A9"/>
    <w:rsid w:val="00DB4B86"/>
    <w:rsid w:val="00DB60ED"/>
    <w:rsid w:val="00DB7FA8"/>
    <w:rsid w:val="00DC00B2"/>
    <w:rsid w:val="00DC0749"/>
    <w:rsid w:val="00DC13F8"/>
    <w:rsid w:val="00DC2BD4"/>
    <w:rsid w:val="00DC2C7E"/>
    <w:rsid w:val="00DC2D86"/>
    <w:rsid w:val="00DC305C"/>
    <w:rsid w:val="00DC39D3"/>
    <w:rsid w:val="00DC423E"/>
    <w:rsid w:val="00DC45A0"/>
    <w:rsid w:val="00DC46E6"/>
    <w:rsid w:val="00DC4DAB"/>
    <w:rsid w:val="00DC4DEF"/>
    <w:rsid w:val="00DC558A"/>
    <w:rsid w:val="00DC5D45"/>
    <w:rsid w:val="00DC64EF"/>
    <w:rsid w:val="00DC65F4"/>
    <w:rsid w:val="00DC6B5A"/>
    <w:rsid w:val="00DC6BA2"/>
    <w:rsid w:val="00DC708D"/>
    <w:rsid w:val="00DC753D"/>
    <w:rsid w:val="00DC7A7D"/>
    <w:rsid w:val="00DC7E10"/>
    <w:rsid w:val="00DD015E"/>
    <w:rsid w:val="00DD0BCE"/>
    <w:rsid w:val="00DD116E"/>
    <w:rsid w:val="00DD1E5F"/>
    <w:rsid w:val="00DD3687"/>
    <w:rsid w:val="00DD46EA"/>
    <w:rsid w:val="00DD4A42"/>
    <w:rsid w:val="00DD54B0"/>
    <w:rsid w:val="00DD5961"/>
    <w:rsid w:val="00DD68C3"/>
    <w:rsid w:val="00DD7044"/>
    <w:rsid w:val="00DD71B4"/>
    <w:rsid w:val="00DD76DA"/>
    <w:rsid w:val="00DE01A6"/>
    <w:rsid w:val="00DE0422"/>
    <w:rsid w:val="00DE0E04"/>
    <w:rsid w:val="00DE0FB9"/>
    <w:rsid w:val="00DE1E76"/>
    <w:rsid w:val="00DE214A"/>
    <w:rsid w:val="00DE240B"/>
    <w:rsid w:val="00DE28E4"/>
    <w:rsid w:val="00DE2A1D"/>
    <w:rsid w:val="00DE31FE"/>
    <w:rsid w:val="00DE49AB"/>
    <w:rsid w:val="00DE4B3C"/>
    <w:rsid w:val="00DE4C21"/>
    <w:rsid w:val="00DE4FC1"/>
    <w:rsid w:val="00DE5428"/>
    <w:rsid w:val="00DE59EA"/>
    <w:rsid w:val="00DE627B"/>
    <w:rsid w:val="00DE6C08"/>
    <w:rsid w:val="00DE6F8E"/>
    <w:rsid w:val="00DE745C"/>
    <w:rsid w:val="00DE79AF"/>
    <w:rsid w:val="00DE7A7C"/>
    <w:rsid w:val="00DE7EC9"/>
    <w:rsid w:val="00DF00C0"/>
    <w:rsid w:val="00DF0C8D"/>
    <w:rsid w:val="00DF113C"/>
    <w:rsid w:val="00DF178C"/>
    <w:rsid w:val="00DF1A5C"/>
    <w:rsid w:val="00DF253F"/>
    <w:rsid w:val="00DF2DD0"/>
    <w:rsid w:val="00DF2F68"/>
    <w:rsid w:val="00DF3614"/>
    <w:rsid w:val="00DF38BA"/>
    <w:rsid w:val="00DF3B2E"/>
    <w:rsid w:val="00DF3D1E"/>
    <w:rsid w:val="00DF4913"/>
    <w:rsid w:val="00DF4A22"/>
    <w:rsid w:val="00DF5AF8"/>
    <w:rsid w:val="00DF6168"/>
    <w:rsid w:val="00DF6257"/>
    <w:rsid w:val="00DF727E"/>
    <w:rsid w:val="00DF7288"/>
    <w:rsid w:val="00DF73A4"/>
    <w:rsid w:val="00DF764E"/>
    <w:rsid w:val="00DF7F11"/>
    <w:rsid w:val="00DF7FA8"/>
    <w:rsid w:val="00E0005D"/>
    <w:rsid w:val="00E0042C"/>
    <w:rsid w:val="00E00C5A"/>
    <w:rsid w:val="00E017C4"/>
    <w:rsid w:val="00E017FD"/>
    <w:rsid w:val="00E01AF2"/>
    <w:rsid w:val="00E02109"/>
    <w:rsid w:val="00E02831"/>
    <w:rsid w:val="00E02EEC"/>
    <w:rsid w:val="00E03A66"/>
    <w:rsid w:val="00E043EF"/>
    <w:rsid w:val="00E0445E"/>
    <w:rsid w:val="00E047E5"/>
    <w:rsid w:val="00E04DDD"/>
    <w:rsid w:val="00E05FB8"/>
    <w:rsid w:val="00E06682"/>
    <w:rsid w:val="00E06F0B"/>
    <w:rsid w:val="00E06F55"/>
    <w:rsid w:val="00E07C37"/>
    <w:rsid w:val="00E10149"/>
    <w:rsid w:val="00E10241"/>
    <w:rsid w:val="00E10DC1"/>
    <w:rsid w:val="00E110CC"/>
    <w:rsid w:val="00E11D93"/>
    <w:rsid w:val="00E120A2"/>
    <w:rsid w:val="00E1239A"/>
    <w:rsid w:val="00E12EC5"/>
    <w:rsid w:val="00E13166"/>
    <w:rsid w:val="00E135C1"/>
    <w:rsid w:val="00E1401C"/>
    <w:rsid w:val="00E14317"/>
    <w:rsid w:val="00E14786"/>
    <w:rsid w:val="00E1491F"/>
    <w:rsid w:val="00E14E62"/>
    <w:rsid w:val="00E165F4"/>
    <w:rsid w:val="00E17827"/>
    <w:rsid w:val="00E178DD"/>
    <w:rsid w:val="00E17F42"/>
    <w:rsid w:val="00E20DBD"/>
    <w:rsid w:val="00E21006"/>
    <w:rsid w:val="00E210B4"/>
    <w:rsid w:val="00E211AC"/>
    <w:rsid w:val="00E2120A"/>
    <w:rsid w:val="00E2223D"/>
    <w:rsid w:val="00E22800"/>
    <w:rsid w:val="00E23057"/>
    <w:rsid w:val="00E23858"/>
    <w:rsid w:val="00E23AED"/>
    <w:rsid w:val="00E24576"/>
    <w:rsid w:val="00E24940"/>
    <w:rsid w:val="00E25037"/>
    <w:rsid w:val="00E2559B"/>
    <w:rsid w:val="00E25981"/>
    <w:rsid w:val="00E25BF2"/>
    <w:rsid w:val="00E25D2F"/>
    <w:rsid w:val="00E26029"/>
    <w:rsid w:val="00E26728"/>
    <w:rsid w:val="00E26BDB"/>
    <w:rsid w:val="00E26F45"/>
    <w:rsid w:val="00E2726C"/>
    <w:rsid w:val="00E27506"/>
    <w:rsid w:val="00E302CF"/>
    <w:rsid w:val="00E305F4"/>
    <w:rsid w:val="00E30789"/>
    <w:rsid w:val="00E31815"/>
    <w:rsid w:val="00E31E14"/>
    <w:rsid w:val="00E322C1"/>
    <w:rsid w:val="00E32451"/>
    <w:rsid w:val="00E32B93"/>
    <w:rsid w:val="00E32C6E"/>
    <w:rsid w:val="00E32EBB"/>
    <w:rsid w:val="00E34763"/>
    <w:rsid w:val="00E34AB1"/>
    <w:rsid w:val="00E34EF9"/>
    <w:rsid w:val="00E34F38"/>
    <w:rsid w:val="00E3559F"/>
    <w:rsid w:val="00E355E3"/>
    <w:rsid w:val="00E35803"/>
    <w:rsid w:val="00E35997"/>
    <w:rsid w:val="00E35AB1"/>
    <w:rsid w:val="00E35CA1"/>
    <w:rsid w:val="00E3622A"/>
    <w:rsid w:val="00E372E9"/>
    <w:rsid w:val="00E375A9"/>
    <w:rsid w:val="00E37840"/>
    <w:rsid w:val="00E4091B"/>
    <w:rsid w:val="00E40A81"/>
    <w:rsid w:val="00E40C54"/>
    <w:rsid w:val="00E41216"/>
    <w:rsid w:val="00E41A16"/>
    <w:rsid w:val="00E420AB"/>
    <w:rsid w:val="00E446BD"/>
    <w:rsid w:val="00E44D8A"/>
    <w:rsid w:val="00E4581F"/>
    <w:rsid w:val="00E46A6E"/>
    <w:rsid w:val="00E47694"/>
    <w:rsid w:val="00E476BE"/>
    <w:rsid w:val="00E476DB"/>
    <w:rsid w:val="00E47941"/>
    <w:rsid w:val="00E47A7C"/>
    <w:rsid w:val="00E504B5"/>
    <w:rsid w:val="00E5066A"/>
    <w:rsid w:val="00E50B01"/>
    <w:rsid w:val="00E51C8F"/>
    <w:rsid w:val="00E51DE3"/>
    <w:rsid w:val="00E52E4C"/>
    <w:rsid w:val="00E532D9"/>
    <w:rsid w:val="00E53C8F"/>
    <w:rsid w:val="00E5404F"/>
    <w:rsid w:val="00E54E65"/>
    <w:rsid w:val="00E5602C"/>
    <w:rsid w:val="00E56296"/>
    <w:rsid w:val="00E56445"/>
    <w:rsid w:val="00E56618"/>
    <w:rsid w:val="00E57008"/>
    <w:rsid w:val="00E574E1"/>
    <w:rsid w:val="00E579BE"/>
    <w:rsid w:val="00E579DF"/>
    <w:rsid w:val="00E600FC"/>
    <w:rsid w:val="00E60566"/>
    <w:rsid w:val="00E60F31"/>
    <w:rsid w:val="00E61900"/>
    <w:rsid w:val="00E61F2E"/>
    <w:rsid w:val="00E62ED8"/>
    <w:rsid w:val="00E638B2"/>
    <w:rsid w:val="00E64500"/>
    <w:rsid w:val="00E64591"/>
    <w:rsid w:val="00E64E90"/>
    <w:rsid w:val="00E64EAE"/>
    <w:rsid w:val="00E65161"/>
    <w:rsid w:val="00E65C65"/>
    <w:rsid w:val="00E65D6C"/>
    <w:rsid w:val="00E66098"/>
    <w:rsid w:val="00E6671C"/>
    <w:rsid w:val="00E66DC1"/>
    <w:rsid w:val="00E6729C"/>
    <w:rsid w:val="00E67874"/>
    <w:rsid w:val="00E67AF7"/>
    <w:rsid w:val="00E67DCE"/>
    <w:rsid w:val="00E70068"/>
    <w:rsid w:val="00E7168B"/>
    <w:rsid w:val="00E71F4A"/>
    <w:rsid w:val="00E7309E"/>
    <w:rsid w:val="00E732E0"/>
    <w:rsid w:val="00E7385D"/>
    <w:rsid w:val="00E73B77"/>
    <w:rsid w:val="00E748A1"/>
    <w:rsid w:val="00E74E89"/>
    <w:rsid w:val="00E7531D"/>
    <w:rsid w:val="00E75A78"/>
    <w:rsid w:val="00E75F01"/>
    <w:rsid w:val="00E768AB"/>
    <w:rsid w:val="00E77EA9"/>
    <w:rsid w:val="00E8263E"/>
    <w:rsid w:val="00E82FF5"/>
    <w:rsid w:val="00E83613"/>
    <w:rsid w:val="00E841E5"/>
    <w:rsid w:val="00E85331"/>
    <w:rsid w:val="00E868E6"/>
    <w:rsid w:val="00E906A1"/>
    <w:rsid w:val="00E90806"/>
    <w:rsid w:val="00E90D97"/>
    <w:rsid w:val="00E91057"/>
    <w:rsid w:val="00E9158C"/>
    <w:rsid w:val="00E91F8F"/>
    <w:rsid w:val="00E923FA"/>
    <w:rsid w:val="00E925B2"/>
    <w:rsid w:val="00E92A32"/>
    <w:rsid w:val="00E932BB"/>
    <w:rsid w:val="00E933F5"/>
    <w:rsid w:val="00E93C92"/>
    <w:rsid w:val="00E93FB6"/>
    <w:rsid w:val="00E94220"/>
    <w:rsid w:val="00E94837"/>
    <w:rsid w:val="00E948FB"/>
    <w:rsid w:val="00E9516F"/>
    <w:rsid w:val="00E95F99"/>
    <w:rsid w:val="00E9637B"/>
    <w:rsid w:val="00E9677A"/>
    <w:rsid w:val="00E96D1B"/>
    <w:rsid w:val="00E97346"/>
    <w:rsid w:val="00EA0553"/>
    <w:rsid w:val="00EA0ACD"/>
    <w:rsid w:val="00EA1000"/>
    <w:rsid w:val="00EA16B1"/>
    <w:rsid w:val="00EA20F4"/>
    <w:rsid w:val="00EA214B"/>
    <w:rsid w:val="00EA21C4"/>
    <w:rsid w:val="00EA2308"/>
    <w:rsid w:val="00EA2AF5"/>
    <w:rsid w:val="00EA304E"/>
    <w:rsid w:val="00EA3B95"/>
    <w:rsid w:val="00EA3CB6"/>
    <w:rsid w:val="00EA420E"/>
    <w:rsid w:val="00EA45C4"/>
    <w:rsid w:val="00EA50ED"/>
    <w:rsid w:val="00EA5B73"/>
    <w:rsid w:val="00EA64F3"/>
    <w:rsid w:val="00EA68B7"/>
    <w:rsid w:val="00EA7603"/>
    <w:rsid w:val="00EA7A82"/>
    <w:rsid w:val="00EB04F8"/>
    <w:rsid w:val="00EB0840"/>
    <w:rsid w:val="00EB0C8F"/>
    <w:rsid w:val="00EB0E14"/>
    <w:rsid w:val="00EB1FAC"/>
    <w:rsid w:val="00EB2E5F"/>
    <w:rsid w:val="00EB3CA8"/>
    <w:rsid w:val="00EB3F80"/>
    <w:rsid w:val="00EB44B8"/>
    <w:rsid w:val="00EB4F90"/>
    <w:rsid w:val="00EB537A"/>
    <w:rsid w:val="00EB6353"/>
    <w:rsid w:val="00EB6A2E"/>
    <w:rsid w:val="00EB7237"/>
    <w:rsid w:val="00EC01C8"/>
    <w:rsid w:val="00EC042F"/>
    <w:rsid w:val="00EC0C87"/>
    <w:rsid w:val="00EC123E"/>
    <w:rsid w:val="00EC1F64"/>
    <w:rsid w:val="00EC2137"/>
    <w:rsid w:val="00EC2208"/>
    <w:rsid w:val="00EC23B3"/>
    <w:rsid w:val="00EC272C"/>
    <w:rsid w:val="00EC299C"/>
    <w:rsid w:val="00EC30F0"/>
    <w:rsid w:val="00EC31B0"/>
    <w:rsid w:val="00EC3506"/>
    <w:rsid w:val="00EC362A"/>
    <w:rsid w:val="00EC4086"/>
    <w:rsid w:val="00EC40C6"/>
    <w:rsid w:val="00EC474B"/>
    <w:rsid w:val="00EC57D4"/>
    <w:rsid w:val="00EC5D4E"/>
    <w:rsid w:val="00EC6711"/>
    <w:rsid w:val="00EC67D1"/>
    <w:rsid w:val="00EC729D"/>
    <w:rsid w:val="00EC7389"/>
    <w:rsid w:val="00ED03B3"/>
    <w:rsid w:val="00ED1180"/>
    <w:rsid w:val="00ED1840"/>
    <w:rsid w:val="00ED1C29"/>
    <w:rsid w:val="00ED22A1"/>
    <w:rsid w:val="00ED28A6"/>
    <w:rsid w:val="00ED2BFB"/>
    <w:rsid w:val="00ED2F13"/>
    <w:rsid w:val="00ED3213"/>
    <w:rsid w:val="00ED332E"/>
    <w:rsid w:val="00ED3AE6"/>
    <w:rsid w:val="00ED3D32"/>
    <w:rsid w:val="00ED41FF"/>
    <w:rsid w:val="00ED6A70"/>
    <w:rsid w:val="00ED6FE6"/>
    <w:rsid w:val="00ED73A5"/>
    <w:rsid w:val="00ED7D52"/>
    <w:rsid w:val="00ED7F5B"/>
    <w:rsid w:val="00EE03CE"/>
    <w:rsid w:val="00EE065E"/>
    <w:rsid w:val="00EE17B8"/>
    <w:rsid w:val="00EE1A02"/>
    <w:rsid w:val="00EE1AE2"/>
    <w:rsid w:val="00EE1E7F"/>
    <w:rsid w:val="00EE2AAF"/>
    <w:rsid w:val="00EE3EEA"/>
    <w:rsid w:val="00EE40F1"/>
    <w:rsid w:val="00EE427B"/>
    <w:rsid w:val="00EE481C"/>
    <w:rsid w:val="00EE4E6C"/>
    <w:rsid w:val="00EE52D8"/>
    <w:rsid w:val="00EE52DA"/>
    <w:rsid w:val="00EE55DB"/>
    <w:rsid w:val="00EE5A5B"/>
    <w:rsid w:val="00EE6004"/>
    <w:rsid w:val="00EE66AA"/>
    <w:rsid w:val="00EE677B"/>
    <w:rsid w:val="00EE7348"/>
    <w:rsid w:val="00EE7438"/>
    <w:rsid w:val="00EE7E13"/>
    <w:rsid w:val="00EE7F0C"/>
    <w:rsid w:val="00EF04B9"/>
    <w:rsid w:val="00EF0B37"/>
    <w:rsid w:val="00EF2A70"/>
    <w:rsid w:val="00EF37D7"/>
    <w:rsid w:val="00EF3E93"/>
    <w:rsid w:val="00EF42FE"/>
    <w:rsid w:val="00EF572B"/>
    <w:rsid w:val="00EF5AFB"/>
    <w:rsid w:val="00EF5B1C"/>
    <w:rsid w:val="00EF6825"/>
    <w:rsid w:val="00EF68E7"/>
    <w:rsid w:val="00EF7499"/>
    <w:rsid w:val="00F00377"/>
    <w:rsid w:val="00F0066B"/>
    <w:rsid w:val="00F00DC0"/>
    <w:rsid w:val="00F00DE2"/>
    <w:rsid w:val="00F01EF1"/>
    <w:rsid w:val="00F021D3"/>
    <w:rsid w:val="00F023DB"/>
    <w:rsid w:val="00F02CD8"/>
    <w:rsid w:val="00F0442C"/>
    <w:rsid w:val="00F04ADC"/>
    <w:rsid w:val="00F05130"/>
    <w:rsid w:val="00F05F7D"/>
    <w:rsid w:val="00F065E3"/>
    <w:rsid w:val="00F06987"/>
    <w:rsid w:val="00F0712C"/>
    <w:rsid w:val="00F07673"/>
    <w:rsid w:val="00F07719"/>
    <w:rsid w:val="00F10099"/>
    <w:rsid w:val="00F1014F"/>
    <w:rsid w:val="00F1075B"/>
    <w:rsid w:val="00F10ACC"/>
    <w:rsid w:val="00F10D96"/>
    <w:rsid w:val="00F10EAF"/>
    <w:rsid w:val="00F1269B"/>
    <w:rsid w:val="00F1272A"/>
    <w:rsid w:val="00F1313D"/>
    <w:rsid w:val="00F13B8F"/>
    <w:rsid w:val="00F13D69"/>
    <w:rsid w:val="00F13F89"/>
    <w:rsid w:val="00F1413A"/>
    <w:rsid w:val="00F142C1"/>
    <w:rsid w:val="00F14C01"/>
    <w:rsid w:val="00F16DDA"/>
    <w:rsid w:val="00F16F97"/>
    <w:rsid w:val="00F17345"/>
    <w:rsid w:val="00F17389"/>
    <w:rsid w:val="00F175EF"/>
    <w:rsid w:val="00F1772F"/>
    <w:rsid w:val="00F20BA3"/>
    <w:rsid w:val="00F215DF"/>
    <w:rsid w:val="00F21A08"/>
    <w:rsid w:val="00F21C01"/>
    <w:rsid w:val="00F21DFA"/>
    <w:rsid w:val="00F21F64"/>
    <w:rsid w:val="00F2203F"/>
    <w:rsid w:val="00F2204A"/>
    <w:rsid w:val="00F2220B"/>
    <w:rsid w:val="00F22477"/>
    <w:rsid w:val="00F22573"/>
    <w:rsid w:val="00F22A53"/>
    <w:rsid w:val="00F2337B"/>
    <w:rsid w:val="00F257C2"/>
    <w:rsid w:val="00F25F15"/>
    <w:rsid w:val="00F2632A"/>
    <w:rsid w:val="00F2686E"/>
    <w:rsid w:val="00F26D16"/>
    <w:rsid w:val="00F26D5C"/>
    <w:rsid w:val="00F270B6"/>
    <w:rsid w:val="00F27495"/>
    <w:rsid w:val="00F27B31"/>
    <w:rsid w:val="00F309B9"/>
    <w:rsid w:val="00F31542"/>
    <w:rsid w:val="00F31CF5"/>
    <w:rsid w:val="00F31D79"/>
    <w:rsid w:val="00F325F6"/>
    <w:rsid w:val="00F33EDA"/>
    <w:rsid w:val="00F34A6C"/>
    <w:rsid w:val="00F352C0"/>
    <w:rsid w:val="00F35C05"/>
    <w:rsid w:val="00F36837"/>
    <w:rsid w:val="00F37A26"/>
    <w:rsid w:val="00F37D3E"/>
    <w:rsid w:val="00F401BE"/>
    <w:rsid w:val="00F406C5"/>
    <w:rsid w:val="00F40CCB"/>
    <w:rsid w:val="00F40F41"/>
    <w:rsid w:val="00F416D0"/>
    <w:rsid w:val="00F4173A"/>
    <w:rsid w:val="00F41996"/>
    <w:rsid w:val="00F424E4"/>
    <w:rsid w:val="00F42A9A"/>
    <w:rsid w:val="00F438DD"/>
    <w:rsid w:val="00F439CD"/>
    <w:rsid w:val="00F43A95"/>
    <w:rsid w:val="00F445F7"/>
    <w:rsid w:val="00F44B9C"/>
    <w:rsid w:val="00F45234"/>
    <w:rsid w:val="00F45F99"/>
    <w:rsid w:val="00F4726E"/>
    <w:rsid w:val="00F47721"/>
    <w:rsid w:val="00F4788D"/>
    <w:rsid w:val="00F505FA"/>
    <w:rsid w:val="00F51497"/>
    <w:rsid w:val="00F51E97"/>
    <w:rsid w:val="00F51F2B"/>
    <w:rsid w:val="00F5280F"/>
    <w:rsid w:val="00F52B01"/>
    <w:rsid w:val="00F52FFC"/>
    <w:rsid w:val="00F533CB"/>
    <w:rsid w:val="00F5352B"/>
    <w:rsid w:val="00F5357B"/>
    <w:rsid w:val="00F537C5"/>
    <w:rsid w:val="00F540EA"/>
    <w:rsid w:val="00F54A2F"/>
    <w:rsid w:val="00F5545D"/>
    <w:rsid w:val="00F5606D"/>
    <w:rsid w:val="00F562BE"/>
    <w:rsid w:val="00F5674A"/>
    <w:rsid w:val="00F57431"/>
    <w:rsid w:val="00F579B3"/>
    <w:rsid w:val="00F57B9C"/>
    <w:rsid w:val="00F57EAF"/>
    <w:rsid w:val="00F57FA8"/>
    <w:rsid w:val="00F60FE5"/>
    <w:rsid w:val="00F617C6"/>
    <w:rsid w:val="00F6285E"/>
    <w:rsid w:val="00F62C1F"/>
    <w:rsid w:val="00F62DC7"/>
    <w:rsid w:val="00F646E1"/>
    <w:rsid w:val="00F64F8E"/>
    <w:rsid w:val="00F65BE1"/>
    <w:rsid w:val="00F65D62"/>
    <w:rsid w:val="00F6647B"/>
    <w:rsid w:val="00F66790"/>
    <w:rsid w:val="00F66CDB"/>
    <w:rsid w:val="00F6764C"/>
    <w:rsid w:val="00F67998"/>
    <w:rsid w:val="00F67A97"/>
    <w:rsid w:val="00F70127"/>
    <w:rsid w:val="00F70430"/>
    <w:rsid w:val="00F7051B"/>
    <w:rsid w:val="00F70737"/>
    <w:rsid w:val="00F7107D"/>
    <w:rsid w:val="00F7119F"/>
    <w:rsid w:val="00F71323"/>
    <w:rsid w:val="00F72641"/>
    <w:rsid w:val="00F733A4"/>
    <w:rsid w:val="00F73545"/>
    <w:rsid w:val="00F73BCF"/>
    <w:rsid w:val="00F749B9"/>
    <w:rsid w:val="00F750E0"/>
    <w:rsid w:val="00F759D6"/>
    <w:rsid w:val="00F765B0"/>
    <w:rsid w:val="00F77359"/>
    <w:rsid w:val="00F7767B"/>
    <w:rsid w:val="00F77EE7"/>
    <w:rsid w:val="00F80EC3"/>
    <w:rsid w:val="00F819AE"/>
    <w:rsid w:val="00F82469"/>
    <w:rsid w:val="00F82DA9"/>
    <w:rsid w:val="00F83479"/>
    <w:rsid w:val="00F83D05"/>
    <w:rsid w:val="00F83EAF"/>
    <w:rsid w:val="00F845FD"/>
    <w:rsid w:val="00F84B98"/>
    <w:rsid w:val="00F84DAB"/>
    <w:rsid w:val="00F85BAE"/>
    <w:rsid w:val="00F864FE"/>
    <w:rsid w:val="00F86B92"/>
    <w:rsid w:val="00F87F3C"/>
    <w:rsid w:val="00F9037C"/>
    <w:rsid w:val="00F90623"/>
    <w:rsid w:val="00F91662"/>
    <w:rsid w:val="00F9172B"/>
    <w:rsid w:val="00F919E7"/>
    <w:rsid w:val="00F93A16"/>
    <w:rsid w:val="00F94ABC"/>
    <w:rsid w:val="00F9588B"/>
    <w:rsid w:val="00F95950"/>
    <w:rsid w:val="00F95A01"/>
    <w:rsid w:val="00F95D17"/>
    <w:rsid w:val="00F96050"/>
    <w:rsid w:val="00F96247"/>
    <w:rsid w:val="00F96255"/>
    <w:rsid w:val="00F9681E"/>
    <w:rsid w:val="00F979F7"/>
    <w:rsid w:val="00FA0252"/>
    <w:rsid w:val="00FA02BD"/>
    <w:rsid w:val="00FA0F32"/>
    <w:rsid w:val="00FA15A7"/>
    <w:rsid w:val="00FA2980"/>
    <w:rsid w:val="00FA32C4"/>
    <w:rsid w:val="00FA3876"/>
    <w:rsid w:val="00FA38F8"/>
    <w:rsid w:val="00FA3C2D"/>
    <w:rsid w:val="00FA42C8"/>
    <w:rsid w:val="00FA47F0"/>
    <w:rsid w:val="00FA4A0C"/>
    <w:rsid w:val="00FA549D"/>
    <w:rsid w:val="00FA5B36"/>
    <w:rsid w:val="00FA6C36"/>
    <w:rsid w:val="00FA7CFC"/>
    <w:rsid w:val="00FB06EC"/>
    <w:rsid w:val="00FB0821"/>
    <w:rsid w:val="00FB0B8D"/>
    <w:rsid w:val="00FB0D25"/>
    <w:rsid w:val="00FB0D46"/>
    <w:rsid w:val="00FB157E"/>
    <w:rsid w:val="00FB180D"/>
    <w:rsid w:val="00FB2068"/>
    <w:rsid w:val="00FB2931"/>
    <w:rsid w:val="00FB38D1"/>
    <w:rsid w:val="00FB3B42"/>
    <w:rsid w:val="00FB405F"/>
    <w:rsid w:val="00FB4252"/>
    <w:rsid w:val="00FB43B0"/>
    <w:rsid w:val="00FB4708"/>
    <w:rsid w:val="00FB47BA"/>
    <w:rsid w:val="00FB4A6B"/>
    <w:rsid w:val="00FB4CF8"/>
    <w:rsid w:val="00FB64F6"/>
    <w:rsid w:val="00FB658D"/>
    <w:rsid w:val="00FB7CD4"/>
    <w:rsid w:val="00FC10C5"/>
    <w:rsid w:val="00FC140E"/>
    <w:rsid w:val="00FC2705"/>
    <w:rsid w:val="00FC2795"/>
    <w:rsid w:val="00FC2AF1"/>
    <w:rsid w:val="00FC37FD"/>
    <w:rsid w:val="00FC3DC3"/>
    <w:rsid w:val="00FC4062"/>
    <w:rsid w:val="00FC4A29"/>
    <w:rsid w:val="00FC4DA4"/>
    <w:rsid w:val="00FC537C"/>
    <w:rsid w:val="00FC5929"/>
    <w:rsid w:val="00FC65FF"/>
    <w:rsid w:val="00FC79CA"/>
    <w:rsid w:val="00FC7B7D"/>
    <w:rsid w:val="00FC7E2F"/>
    <w:rsid w:val="00FD02A5"/>
    <w:rsid w:val="00FD0415"/>
    <w:rsid w:val="00FD05E9"/>
    <w:rsid w:val="00FD070D"/>
    <w:rsid w:val="00FD0E83"/>
    <w:rsid w:val="00FD123E"/>
    <w:rsid w:val="00FD1B59"/>
    <w:rsid w:val="00FD2B3C"/>
    <w:rsid w:val="00FD3827"/>
    <w:rsid w:val="00FD3883"/>
    <w:rsid w:val="00FD45DC"/>
    <w:rsid w:val="00FD45EA"/>
    <w:rsid w:val="00FD4D5D"/>
    <w:rsid w:val="00FD54A3"/>
    <w:rsid w:val="00FD60DC"/>
    <w:rsid w:val="00FD672D"/>
    <w:rsid w:val="00FD6A08"/>
    <w:rsid w:val="00FD79B4"/>
    <w:rsid w:val="00FD79E4"/>
    <w:rsid w:val="00FE000C"/>
    <w:rsid w:val="00FE0394"/>
    <w:rsid w:val="00FE03EA"/>
    <w:rsid w:val="00FE188F"/>
    <w:rsid w:val="00FE29F3"/>
    <w:rsid w:val="00FE2DE8"/>
    <w:rsid w:val="00FE3693"/>
    <w:rsid w:val="00FE42BE"/>
    <w:rsid w:val="00FE4330"/>
    <w:rsid w:val="00FE4397"/>
    <w:rsid w:val="00FE4568"/>
    <w:rsid w:val="00FE45DE"/>
    <w:rsid w:val="00FE4D0A"/>
    <w:rsid w:val="00FE566C"/>
    <w:rsid w:val="00FE5807"/>
    <w:rsid w:val="00FE62FC"/>
    <w:rsid w:val="00FE63E6"/>
    <w:rsid w:val="00FE6431"/>
    <w:rsid w:val="00FE67D4"/>
    <w:rsid w:val="00FE754B"/>
    <w:rsid w:val="00FE7890"/>
    <w:rsid w:val="00FE792A"/>
    <w:rsid w:val="00FE7A89"/>
    <w:rsid w:val="00FF03F5"/>
    <w:rsid w:val="00FF083D"/>
    <w:rsid w:val="00FF10AF"/>
    <w:rsid w:val="00FF19C6"/>
    <w:rsid w:val="00FF28C9"/>
    <w:rsid w:val="00FF31A9"/>
    <w:rsid w:val="00FF3982"/>
    <w:rsid w:val="00FF4945"/>
    <w:rsid w:val="00FF588B"/>
    <w:rsid w:val="00FF5BFA"/>
    <w:rsid w:val="00FF6994"/>
    <w:rsid w:val="00FF699E"/>
    <w:rsid w:val="00FF7677"/>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DC"/>
    <w:pPr>
      <w:overflowPunct w:val="0"/>
      <w:autoSpaceDE w:val="0"/>
      <w:autoSpaceDN w:val="0"/>
      <w:adjustRightInd w:val="0"/>
      <w:spacing w:after="0" w:line="360" w:lineRule="auto"/>
      <w:textAlignment w:val="baseline"/>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B1FAC"/>
    <w:pPr>
      <w:numPr>
        <w:numId w:val="1"/>
      </w:numPr>
      <w:outlineLvl w:val="0"/>
    </w:pPr>
    <w:rPr>
      <w:b/>
      <w:szCs w:val="26"/>
    </w:rPr>
  </w:style>
  <w:style w:type="paragraph" w:styleId="Heading2">
    <w:name w:val="heading 2"/>
    <w:basedOn w:val="Normal"/>
    <w:next w:val="Normal"/>
    <w:link w:val="Heading2Char"/>
    <w:qFormat/>
    <w:rsid w:val="00EB1FAC"/>
    <w:pPr>
      <w:numPr>
        <w:ilvl w:val="1"/>
        <w:numId w:val="1"/>
      </w:numPr>
      <w:outlineLvl w:val="1"/>
    </w:pPr>
    <w:rPr>
      <w:b/>
      <w:szCs w:val="26"/>
    </w:rPr>
  </w:style>
  <w:style w:type="paragraph" w:styleId="Heading3">
    <w:name w:val="heading 3"/>
    <w:basedOn w:val="Normal"/>
    <w:next w:val="Normal"/>
    <w:link w:val="Heading3Char"/>
    <w:qFormat/>
    <w:rsid w:val="00EB1FAC"/>
    <w:pPr>
      <w:keepNext/>
      <w:numPr>
        <w:ilvl w:val="2"/>
        <w:numId w:val="1"/>
      </w:numPr>
      <w:outlineLvl w:val="2"/>
    </w:pPr>
    <w:rPr>
      <w:rFonts w:cs="Arial"/>
      <w:b/>
      <w:bCs/>
      <w:szCs w:val="26"/>
    </w:rPr>
  </w:style>
  <w:style w:type="paragraph" w:styleId="Heading4">
    <w:name w:val="heading 4"/>
    <w:basedOn w:val="Normal"/>
    <w:next w:val="Normal"/>
    <w:link w:val="Heading4Char"/>
    <w:qFormat/>
    <w:rsid w:val="00EB1FAC"/>
    <w:pPr>
      <w:keepNext/>
      <w:numPr>
        <w:ilvl w:val="3"/>
        <w:numId w:val="1"/>
      </w:numPr>
      <w:outlineLvl w:val="3"/>
    </w:pPr>
    <w:rPr>
      <w:b/>
      <w:bCs/>
      <w:szCs w:val="28"/>
    </w:rPr>
  </w:style>
  <w:style w:type="paragraph" w:styleId="Heading5">
    <w:name w:val="heading 5"/>
    <w:basedOn w:val="Normal"/>
    <w:next w:val="Normal"/>
    <w:link w:val="Heading5Char"/>
    <w:uiPriority w:val="99"/>
    <w:qFormat/>
    <w:rsid w:val="006B5753"/>
    <w:pPr>
      <w:keepNext/>
      <w:spacing w:line="480" w:lineRule="auto"/>
      <w:ind w:right="-180"/>
      <w:jc w:val="center"/>
      <w:outlineLvl w:val="4"/>
    </w:pPr>
    <w:rPr>
      <w:rFonts w:ascii="Arial" w:hAnsi="Arial"/>
    </w:rPr>
  </w:style>
  <w:style w:type="paragraph" w:styleId="Heading6">
    <w:name w:val="heading 6"/>
    <w:basedOn w:val="Normal"/>
    <w:next w:val="Normal"/>
    <w:link w:val="Heading6Char"/>
    <w:uiPriority w:val="99"/>
    <w:qFormat/>
    <w:rsid w:val="006B5753"/>
    <w:pPr>
      <w:keepNext/>
      <w:spacing w:line="480" w:lineRule="auto"/>
      <w:ind w:right="-180"/>
      <w:jc w:val="center"/>
      <w:outlineLvl w:val="5"/>
    </w:pPr>
    <w:rPr>
      <w:rFonts w:ascii="Arial" w:hAnsi="Arial"/>
      <w:i/>
    </w:rPr>
  </w:style>
  <w:style w:type="paragraph" w:styleId="Heading7">
    <w:name w:val="heading 7"/>
    <w:basedOn w:val="Normal"/>
    <w:next w:val="Normal"/>
    <w:link w:val="Heading7Char"/>
    <w:uiPriority w:val="99"/>
    <w:qFormat/>
    <w:rsid w:val="006B5753"/>
    <w:pPr>
      <w:keepNext/>
      <w:ind w:right="-187"/>
      <w:jc w:val="center"/>
      <w:outlineLvl w:val="6"/>
    </w:pPr>
    <w:rPr>
      <w:b/>
    </w:rPr>
  </w:style>
  <w:style w:type="paragraph" w:styleId="Heading8">
    <w:name w:val="heading 8"/>
    <w:basedOn w:val="Normal"/>
    <w:next w:val="Normal"/>
    <w:link w:val="Heading8Char"/>
    <w:uiPriority w:val="99"/>
    <w:qFormat/>
    <w:rsid w:val="006B5753"/>
    <w:pPr>
      <w:keepNext/>
      <w:spacing w:line="480" w:lineRule="auto"/>
      <w:ind w:right="-187"/>
      <w:jc w:val="center"/>
      <w:outlineLvl w:val="7"/>
    </w:pPr>
    <w:rPr>
      <w:rFonts w:ascii="Arial" w:hAnsi="Arial"/>
    </w:rPr>
  </w:style>
  <w:style w:type="paragraph" w:styleId="Heading9">
    <w:name w:val="heading 9"/>
    <w:basedOn w:val="Normal"/>
    <w:next w:val="Normal"/>
    <w:link w:val="Heading9Char"/>
    <w:uiPriority w:val="99"/>
    <w:qFormat/>
    <w:rsid w:val="006B5753"/>
    <w:pPr>
      <w:keepNext/>
      <w:spacing w:line="480" w:lineRule="auto"/>
      <w:ind w:right="-187"/>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FAC"/>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EB1FAC"/>
    <w:rPr>
      <w:rFonts w:ascii="Times New Roman" w:eastAsia="Times New Roman" w:hAnsi="Times New Roman" w:cs="Times New Roman"/>
      <w:b/>
      <w:sz w:val="26"/>
      <w:szCs w:val="26"/>
    </w:rPr>
  </w:style>
  <w:style w:type="character" w:customStyle="1" w:styleId="Heading3Char">
    <w:name w:val="Heading 3 Char"/>
    <w:basedOn w:val="DefaultParagraphFont"/>
    <w:link w:val="Heading3"/>
    <w:rsid w:val="00EB1FAC"/>
    <w:rPr>
      <w:rFonts w:ascii="Times New Roman" w:eastAsia="Times New Roman" w:hAnsi="Times New Roman" w:cs="Arial"/>
      <w:b/>
      <w:bCs/>
      <w:sz w:val="26"/>
      <w:szCs w:val="26"/>
    </w:rPr>
  </w:style>
  <w:style w:type="character" w:customStyle="1" w:styleId="Heading4Char">
    <w:name w:val="Heading 4 Char"/>
    <w:basedOn w:val="DefaultParagraphFont"/>
    <w:link w:val="Heading4"/>
    <w:rsid w:val="00EB1FAC"/>
    <w:rPr>
      <w:rFonts w:ascii="Times New Roman" w:eastAsia="Times New Roman" w:hAnsi="Times New Roman" w:cs="Times New Roman"/>
      <w:b/>
      <w:bCs/>
      <w:sz w:val="26"/>
      <w:szCs w:val="28"/>
    </w:rPr>
  </w:style>
  <w:style w:type="character" w:customStyle="1" w:styleId="Heading5Char">
    <w:name w:val="Heading 5 Char"/>
    <w:basedOn w:val="DefaultParagraphFont"/>
    <w:link w:val="Heading5"/>
    <w:uiPriority w:val="99"/>
    <w:rsid w:val="006B5753"/>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6B5753"/>
    <w:rPr>
      <w:rFonts w:ascii="Arial" w:eastAsia="Times New Roman" w:hAnsi="Arial" w:cs="Times New Roman"/>
      <w:i/>
      <w:sz w:val="24"/>
      <w:szCs w:val="20"/>
    </w:rPr>
  </w:style>
  <w:style w:type="character" w:customStyle="1" w:styleId="Heading7Char">
    <w:name w:val="Heading 7 Char"/>
    <w:basedOn w:val="DefaultParagraphFont"/>
    <w:link w:val="Heading7"/>
    <w:uiPriority w:val="99"/>
    <w:rsid w:val="006B575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9"/>
    <w:rsid w:val="006B5753"/>
    <w:rPr>
      <w:rFonts w:ascii="Arial" w:eastAsia="Times New Roman" w:hAnsi="Arial" w:cs="Times New Roman"/>
      <w:sz w:val="24"/>
      <w:szCs w:val="20"/>
    </w:rPr>
  </w:style>
  <w:style w:type="character" w:customStyle="1" w:styleId="Heading9Char">
    <w:name w:val="Heading 9 Char"/>
    <w:basedOn w:val="DefaultParagraphFont"/>
    <w:link w:val="Heading9"/>
    <w:uiPriority w:val="99"/>
    <w:rsid w:val="006B5753"/>
    <w:rPr>
      <w:rFonts w:ascii="Arial" w:eastAsia="Times New Roman" w:hAnsi="Arial" w:cs="Times New Roman"/>
      <w:i/>
      <w:sz w:val="24"/>
      <w:szCs w:val="20"/>
    </w:rPr>
  </w:style>
  <w:style w:type="paragraph" w:styleId="BalloonText">
    <w:name w:val="Balloon Text"/>
    <w:basedOn w:val="Normal"/>
    <w:link w:val="BalloonTextChar"/>
    <w:uiPriority w:val="99"/>
    <w:semiHidden/>
    <w:rsid w:val="006B5753"/>
    <w:rPr>
      <w:rFonts w:ascii="Tahoma" w:hAnsi="Tahoma" w:cs="Tahoma"/>
      <w:sz w:val="16"/>
      <w:szCs w:val="16"/>
    </w:rPr>
  </w:style>
  <w:style w:type="character" w:customStyle="1" w:styleId="BalloonTextChar">
    <w:name w:val="Balloon Text Char"/>
    <w:basedOn w:val="DefaultParagraphFont"/>
    <w:link w:val="BalloonText"/>
    <w:uiPriority w:val="99"/>
    <w:semiHidden/>
    <w:rsid w:val="006B5753"/>
    <w:rPr>
      <w:rFonts w:ascii="Tahoma" w:eastAsia="Times New Roman" w:hAnsi="Tahoma" w:cs="Tahoma"/>
      <w:sz w:val="16"/>
      <w:szCs w:val="16"/>
    </w:rPr>
  </w:style>
  <w:style w:type="paragraph" w:styleId="FootnoteText">
    <w:name w:val="footnote text"/>
    <w:basedOn w:val="Normal"/>
    <w:link w:val="FootnoteTextChar"/>
    <w:uiPriority w:val="99"/>
    <w:rsid w:val="006B5753"/>
    <w:rPr>
      <w:sz w:val="20"/>
    </w:rPr>
  </w:style>
  <w:style w:type="character" w:customStyle="1" w:styleId="FootnoteTextChar">
    <w:name w:val="Footnote Text Char"/>
    <w:basedOn w:val="DefaultParagraphFont"/>
    <w:link w:val="FootnoteText"/>
    <w:uiPriority w:val="99"/>
    <w:rsid w:val="007D24E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B5753"/>
    <w:rPr>
      <w:rFonts w:cs="Times New Roman"/>
      <w:vertAlign w:val="superscript"/>
    </w:rPr>
  </w:style>
  <w:style w:type="paragraph" w:customStyle="1" w:styleId="p3">
    <w:name w:val="p3"/>
    <w:basedOn w:val="Normal"/>
    <w:uiPriority w:val="99"/>
    <w:rsid w:val="006B5753"/>
    <w:pPr>
      <w:widowControl w:val="0"/>
      <w:tabs>
        <w:tab w:val="left" w:pos="204"/>
      </w:tabs>
      <w:overflowPunct/>
      <w:textAlignment w:val="auto"/>
    </w:pPr>
    <w:rPr>
      <w:szCs w:val="24"/>
    </w:rPr>
  </w:style>
  <w:style w:type="paragraph" w:customStyle="1" w:styleId="p14">
    <w:name w:val="p14"/>
    <w:basedOn w:val="Normal"/>
    <w:uiPriority w:val="99"/>
    <w:rsid w:val="006B5753"/>
    <w:pPr>
      <w:widowControl w:val="0"/>
      <w:tabs>
        <w:tab w:val="left" w:pos="204"/>
      </w:tabs>
      <w:overflowPunct/>
      <w:textAlignment w:val="auto"/>
    </w:pPr>
    <w:rPr>
      <w:szCs w:val="24"/>
    </w:rPr>
  </w:style>
  <w:style w:type="paragraph" w:customStyle="1" w:styleId="p17">
    <w:name w:val="p17"/>
    <w:basedOn w:val="Normal"/>
    <w:uiPriority w:val="99"/>
    <w:rsid w:val="006B5753"/>
    <w:pPr>
      <w:widowControl w:val="0"/>
      <w:tabs>
        <w:tab w:val="left" w:pos="5057"/>
      </w:tabs>
      <w:overflowPunct/>
      <w:ind w:left="3617"/>
      <w:textAlignment w:val="auto"/>
    </w:pPr>
    <w:rPr>
      <w:szCs w:val="24"/>
    </w:rPr>
  </w:style>
  <w:style w:type="paragraph" w:customStyle="1" w:styleId="p18">
    <w:name w:val="p18"/>
    <w:basedOn w:val="Normal"/>
    <w:uiPriority w:val="99"/>
    <w:rsid w:val="006B5753"/>
    <w:pPr>
      <w:widowControl w:val="0"/>
      <w:tabs>
        <w:tab w:val="left" w:pos="5062"/>
      </w:tabs>
      <w:overflowPunct/>
      <w:ind w:left="3622"/>
      <w:textAlignment w:val="auto"/>
    </w:pPr>
    <w:rPr>
      <w:szCs w:val="24"/>
    </w:rPr>
  </w:style>
  <w:style w:type="paragraph" w:customStyle="1" w:styleId="StyleCentered">
    <w:name w:val="Style Centered"/>
    <w:basedOn w:val="Normal"/>
    <w:uiPriority w:val="99"/>
    <w:rsid w:val="006B5753"/>
    <w:pPr>
      <w:jc w:val="center"/>
    </w:pPr>
  </w:style>
  <w:style w:type="character" w:styleId="Hyperlink">
    <w:name w:val="Hyperlink"/>
    <w:basedOn w:val="DefaultParagraphFont"/>
    <w:uiPriority w:val="99"/>
    <w:rsid w:val="006B5753"/>
    <w:rPr>
      <w:rFonts w:cs="Times New Roman"/>
      <w:color w:val="0000FF"/>
      <w:u w:val="single"/>
    </w:rPr>
  </w:style>
  <w:style w:type="character" w:styleId="CommentReference">
    <w:name w:val="annotation reference"/>
    <w:basedOn w:val="DefaultParagraphFont"/>
    <w:uiPriority w:val="99"/>
    <w:rsid w:val="006B5753"/>
    <w:rPr>
      <w:rFonts w:cs="Times New Roman"/>
      <w:sz w:val="16"/>
      <w:szCs w:val="16"/>
    </w:rPr>
  </w:style>
  <w:style w:type="paragraph" w:styleId="CommentText">
    <w:name w:val="annotation text"/>
    <w:basedOn w:val="Normal"/>
    <w:link w:val="CommentTextChar"/>
    <w:uiPriority w:val="99"/>
    <w:rsid w:val="006B5753"/>
    <w:rPr>
      <w:sz w:val="20"/>
    </w:rPr>
  </w:style>
  <w:style w:type="character" w:customStyle="1" w:styleId="CommentTextChar">
    <w:name w:val="Comment Text Char"/>
    <w:basedOn w:val="DefaultParagraphFont"/>
    <w:link w:val="CommentText"/>
    <w:uiPriority w:val="99"/>
    <w:rsid w:val="006B5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B5753"/>
    <w:rPr>
      <w:b/>
      <w:bCs/>
    </w:rPr>
  </w:style>
  <w:style w:type="character" w:customStyle="1" w:styleId="CommentSubjectChar">
    <w:name w:val="Comment Subject Char"/>
    <w:basedOn w:val="CommentTextChar"/>
    <w:link w:val="CommentSubject"/>
    <w:uiPriority w:val="99"/>
    <w:rsid w:val="006B5753"/>
    <w:rPr>
      <w:rFonts w:ascii="Times New Roman" w:eastAsia="Times New Roman" w:hAnsi="Times New Roman" w:cs="Times New Roman"/>
      <w:b/>
      <w:bCs/>
      <w:sz w:val="20"/>
      <w:szCs w:val="20"/>
    </w:rPr>
  </w:style>
  <w:style w:type="paragraph" w:styleId="ListParagraph">
    <w:name w:val="List Paragraph"/>
    <w:basedOn w:val="Normal"/>
    <w:uiPriority w:val="34"/>
    <w:qFormat/>
    <w:rsid w:val="006B5753"/>
    <w:pPr>
      <w:ind w:left="720"/>
      <w:contextualSpacing/>
    </w:pPr>
  </w:style>
  <w:style w:type="paragraph" w:styleId="Header">
    <w:name w:val="header"/>
    <w:basedOn w:val="Normal"/>
    <w:link w:val="HeaderChar"/>
    <w:uiPriority w:val="99"/>
    <w:unhideWhenUsed/>
    <w:rsid w:val="006B5753"/>
    <w:pPr>
      <w:tabs>
        <w:tab w:val="center" w:pos="4680"/>
        <w:tab w:val="right" w:pos="9360"/>
      </w:tabs>
    </w:pPr>
  </w:style>
  <w:style w:type="character" w:customStyle="1" w:styleId="HeaderChar">
    <w:name w:val="Header Char"/>
    <w:basedOn w:val="DefaultParagraphFont"/>
    <w:link w:val="Header"/>
    <w:uiPriority w:val="99"/>
    <w:rsid w:val="006B57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B5753"/>
    <w:pPr>
      <w:tabs>
        <w:tab w:val="center" w:pos="4680"/>
        <w:tab w:val="right" w:pos="9360"/>
      </w:tabs>
    </w:pPr>
  </w:style>
  <w:style w:type="character" w:customStyle="1" w:styleId="FooterChar">
    <w:name w:val="Footer Char"/>
    <w:basedOn w:val="DefaultParagraphFont"/>
    <w:link w:val="Footer"/>
    <w:uiPriority w:val="99"/>
    <w:rsid w:val="006B5753"/>
    <w:rPr>
      <w:rFonts w:ascii="Times New Roman" w:eastAsia="Times New Roman" w:hAnsi="Times New Roman" w:cs="Times New Roman"/>
      <w:sz w:val="24"/>
      <w:szCs w:val="20"/>
    </w:rPr>
  </w:style>
  <w:style w:type="character" w:styleId="PageNumber">
    <w:name w:val="page number"/>
    <w:basedOn w:val="DefaultParagraphFont"/>
    <w:uiPriority w:val="99"/>
    <w:rsid w:val="006B5753"/>
    <w:rPr>
      <w:rFonts w:cs="Times New Roman"/>
    </w:rPr>
  </w:style>
  <w:style w:type="paragraph" w:customStyle="1" w:styleId="c1">
    <w:name w:val="c1"/>
    <w:basedOn w:val="Normal"/>
    <w:uiPriority w:val="99"/>
    <w:rsid w:val="006B5753"/>
    <w:pPr>
      <w:widowControl w:val="0"/>
      <w:overflowPunct/>
      <w:jc w:val="center"/>
      <w:textAlignment w:val="auto"/>
    </w:pPr>
    <w:rPr>
      <w:szCs w:val="24"/>
    </w:rPr>
  </w:style>
  <w:style w:type="paragraph" w:customStyle="1" w:styleId="p6">
    <w:name w:val="p6"/>
    <w:basedOn w:val="Normal"/>
    <w:uiPriority w:val="99"/>
    <w:rsid w:val="006B5753"/>
    <w:pPr>
      <w:widowControl w:val="0"/>
      <w:overflowPunct/>
      <w:ind w:firstLine="742"/>
      <w:textAlignment w:val="auto"/>
    </w:pPr>
    <w:rPr>
      <w:szCs w:val="24"/>
    </w:rPr>
  </w:style>
  <w:style w:type="paragraph" w:customStyle="1" w:styleId="p8">
    <w:name w:val="p8"/>
    <w:basedOn w:val="Normal"/>
    <w:uiPriority w:val="99"/>
    <w:rsid w:val="006B5753"/>
    <w:pPr>
      <w:widowControl w:val="0"/>
      <w:tabs>
        <w:tab w:val="left" w:pos="204"/>
      </w:tabs>
      <w:overflowPunct/>
      <w:textAlignment w:val="auto"/>
    </w:pPr>
    <w:rPr>
      <w:szCs w:val="24"/>
    </w:rPr>
  </w:style>
  <w:style w:type="paragraph" w:customStyle="1" w:styleId="c9">
    <w:name w:val="c9"/>
    <w:basedOn w:val="Normal"/>
    <w:uiPriority w:val="99"/>
    <w:rsid w:val="006B5753"/>
    <w:pPr>
      <w:widowControl w:val="0"/>
      <w:overflowPunct/>
      <w:jc w:val="center"/>
      <w:textAlignment w:val="auto"/>
    </w:pPr>
    <w:rPr>
      <w:szCs w:val="24"/>
    </w:rPr>
  </w:style>
  <w:style w:type="paragraph" w:customStyle="1" w:styleId="c10">
    <w:name w:val="c10"/>
    <w:basedOn w:val="Normal"/>
    <w:uiPriority w:val="99"/>
    <w:rsid w:val="006B5753"/>
    <w:pPr>
      <w:widowControl w:val="0"/>
      <w:overflowPunct/>
      <w:jc w:val="center"/>
      <w:textAlignment w:val="auto"/>
    </w:pPr>
    <w:rPr>
      <w:szCs w:val="24"/>
    </w:rPr>
  </w:style>
  <w:style w:type="paragraph" w:customStyle="1" w:styleId="p13">
    <w:name w:val="p13"/>
    <w:basedOn w:val="Normal"/>
    <w:uiPriority w:val="99"/>
    <w:rsid w:val="006B5753"/>
    <w:pPr>
      <w:widowControl w:val="0"/>
      <w:tabs>
        <w:tab w:val="left" w:pos="742"/>
        <w:tab w:val="left" w:pos="1451"/>
      </w:tabs>
      <w:overflowPunct/>
      <w:ind w:left="742" w:firstLine="709"/>
      <w:textAlignment w:val="auto"/>
    </w:pPr>
    <w:rPr>
      <w:szCs w:val="24"/>
    </w:rPr>
  </w:style>
  <w:style w:type="paragraph" w:customStyle="1" w:styleId="p15">
    <w:name w:val="p15"/>
    <w:basedOn w:val="Normal"/>
    <w:uiPriority w:val="99"/>
    <w:rsid w:val="006B5753"/>
    <w:pPr>
      <w:widowControl w:val="0"/>
      <w:tabs>
        <w:tab w:val="left" w:pos="204"/>
      </w:tabs>
      <w:overflowPunct/>
      <w:textAlignment w:val="auto"/>
    </w:pPr>
    <w:rPr>
      <w:szCs w:val="24"/>
    </w:rPr>
  </w:style>
  <w:style w:type="paragraph" w:styleId="TOC1">
    <w:name w:val="toc 1"/>
    <w:basedOn w:val="Normal"/>
    <w:next w:val="Normal"/>
    <w:uiPriority w:val="39"/>
    <w:rsid w:val="006B5753"/>
    <w:rPr>
      <w:b/>
    </w:rPr>
  </w:style>
  <w:style w:type="paragraph" w:styleId="TOC2">
    <w:name w:val="toc 2"/>
    <w:basedOn w:val="Normal"/>
    <w:next w:val="Normal"/>
    <w:uiPriority w:val="39"/>
    <w:rsid w:val="006B5753"/>
    <w:pPr>
      <w:ind w:left="240"/>
    </w:pPr>
    <w:rPr>
      <w:sz w:val="22"/>
    </w:rPr>
  </w:style>
  <w:style w:type="paragraph" w:styleId="TOC3">
    <w:name w:val="toc 3"/>
    <w:basedOn w:val="Normal"/>
    <w:next w:val="Normal"/>
    <w:uiPriority w:val="39"/>
    <w:rsid w:val="006B5753"/>
    <w:pPr>
      <w:ind w:left="480"/>
    </w:pPr>
    <w:rPr>
      <w:i/>
      <w:sz w:val="22"/>
    </w:rPr>
  </w:style>
  <w:style w:type="paragraph" w:styleId="TOC4">
    <w:name w:val="toc 4"/>
    <w:basedOn w:val="Normal"/>
    <w:next w:val="Normal"/>
    <w:uiPriority w:val="39"/>
    <w:rsid w:val="006B5753"/>
    <w:pPr>
      <w:ind w:left="720"/>
    </w:pPr>
  </w:style>
  <w:style w:type="paragraph" w:styleId="BodyText2">
    <w:name w:val="Body Text 2"/>
    <w:basedOn w:val="Normal"/>
    <w:link w:val="BodyText2Char"/>
    <w:uiPriority w:val="99"/>
    <w:rsid w:val="006B5753"/>
  </w:style>
  <w:style w:type="character" w:customStyle="1" w:styleId="BodyText2Char">
    <w:name w:val="Body Text 2 Char"/>
    <w:basedOn w:val="DefaultParagraphFont"/>
    <w:link w:val="BodyText2"/>
    <w:uiPriority w:val="99"/>
    <w:rsid w:val="006B5753"/>
    <w:rPr>
      <w:rFonts w:ascii="Times New Roman" w:eastAsia="Times New Roman" w:hAnsi="Times New Roman" w:cs="Times New Roman"/>
      <w:sz w:val="24"/>
      <w:szCs w:val="20"/>
    </w:rPr>
  </w:style>
  <w:style w:type="paragraph" w:styleId="BodyText3">
    <w:name w:val="Body Text 3"/>
    <w:basedOn w:val="Normal"/>
    <w:link w:val="BodyText3Char"/>
    <w:uiPriority w:val="99"/>
    <w:rsid w:val="006B5753"/>
    <w:pPr>
      <w:spacing w:after="120"/>
    </w:pPr>
  </w:style>
  <w:style w:type="character" w:customStyle="1" w:styleId="BodyText3Char">
    <w:name w:val="Body Text 3 Char"/>
    <w:basedOn w:val="DefaultParagraphFont"/>
    <w:link w:val="BodyText3"/>
    <w:uiPriority w:val="99"/>
    <w:rsid w:val="006B5753"/>
    <w:rPr>
      <w:rFonts w:ascii="Times New Roman" w:eastAsia="Times New Roman" w:hAnsi="Times New Roman" w:cs="Times New Roman"/>
      <w:sz w:val="24"/>
      <w:szCs w:val="20"/>
    </w:rPr>
  </w:style>
  <w:style w:type="paragraph" w:styleId="BodyText">
    <w:name w:val="Body Text"/>
    <w:basedOn w:val="Normal"/>
    <w:link w:val="BodyTextChar"/>
    <w:uiPriority w:val="99"/>
    <w:rsid w:val="006B5753"/>
    <w:pPr>
      <w:spacing w:line="480" w:lineRule="auto"/>
    </w:pPr>
    <w:rPr>
      <w:rFonts w:ascii="Arial" w:hAnsi="Arial"/>
    </w:rPr>
  </w:style>
  <w:style w:type="character" w:customStyle="1" w:styleId="BodyTextChar">
    <w:name w:val="Body Text Char"/>
    <w:basedOn w:val="DefaultParagraphFont"/>
    <w:link w:val="BodyText"/>
    <w:uiPriority w:val="99"/>
    <w:rsid w:val="006B5753"/>
    <w:rPr>
      <w:rFonts w:ascii="Arial" w:eastAsia="Times New Roman" w:hAnsi="Arial" w:cs="Times New Roman"/>
      <w:sz w:val="24"/>
      <w:szCs w:val="20"/>
    </w:rPr>
  </w:style>
  <w:style w:type="character" w:styleId="FollowedHyperlink">
    <w:name w:val="FollowedHyperlink"/>
    <w:basedOn w:val="DefaultParagraphFont"/>
    <w:uiPriority w:val="99"/>
    <w:rsid w:val="006B5753"/>
    <w:rPr>
      <w:rFonts w:cs="Times New Roman"/>
      <w:color w:val="800080"/>
      <w:u w:val="single"/>
    </w:rPr>
  </w:style>
  <w:style w:type="character" w:styleId="Strong">
    <w:name w:val="Strong"/>
    <w:basedOn w:val="DefaultParagraphFont"/>
    <w:uiPriority w:val="99"/>
    <w:qFormat/>
    <w:rsid w:val="006B5753"/>
    <w:rPr>
      <w:rFonts w:cs="Times New Roman"/>
      <w:b/>
      <w:bCs/>
    </w:rPr>
  </w:style>
  <w:style w:type="paragraph" w:styleId="BodyTextIndent">
    <w:name w:val="Body Text Indent"/>
    <w:basedOn w:val="Normal"/>
    <w:link w:val="BodyTextIndentChar"/>
    <w:uiPriority w:val="99"/>
    <w:rsid w:val="006B5753"/>
    <w:pPr>
      <w:overflowPunct/>
      <w:autoSpaceDE/>
      <w:autoSpaceDN/>
      <w:adjustRightInd/>
      <w:ind w:left="1440" w:firstLine="60"/>
      <w:textAlignment w:val="auto"/>
    </w:pPr>
    <w:rPr>
      <w:szCs w:val="24"/>
    </w:rPr>
  </w:style>
  <w:style w:type="character" w:customStyle="1" w:styleId="BodyTextIndentChar">
    <w:name w:val="Body Text Indent Char"/>
    <w:basedOn w:val="DefaultParagraphFont"/>
    <w:link w:val="BodyTextIndent"/>
    <w:uiPriority w:val="99"/>
    <w:rsid w:val="006B5753"/>
    <w:rPr>
      <w:rFonts w:ascii="Times New Roman" w:eastAsia="Times New Roman" w:hAnsi="Times New Roman" w:cs="Times New Roman"/>
      <w:sz w:val="24"/>
      <w:szCs w:val="24"/>
    </w:rPr>
  </w:style>
  <w:style w:type="paragraph" w:styleId="Title">
    <w:name w:val="Title"/>
    <w:basedOn w:val="Normal"/>
    <w:link w:val="TitleChar"/>
    <w:uiPriority w:val="99"/>
    <w:qFormat/>
    <w:rsid w:val="006B5753"/>
    <w:pPr>
      <w:overflowPunct/>
      <w:autoSpaceDE/>
      <w:autoSpaceDN/>
      <w:adjustRightInd/>
      <w:jc w:val="center"/>
      <w:textAlignment w:val="auto"/>
    </w:pPr>
    <w:rPr>
      <w:b/>
    </w:rPr>
  </w:style>
  <w:style w:type="character" w:customStyle="1" w:styleId="TitleChar">
    <w:name w:val="Title Char"/>
    <w:basedOn w:val="DefaultParagraphFont"/>
    <w:link w:val="Title"/>
    <w:uiPriority w:val="99"/>
    <w:rsid w:val="006B575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6B5753"/>
    <w:pPr>
      <w:ind w:left="720"/>
    </w:pPr>
    <w:rPr>
      <w:color w:val="FF0000"/>
    </w:rPr>
  </w:style>
  <w:style w:type="character" w:customStyle="1" w:styleId="BodyTextIndent2Char">
    <w:name w:val="Body Text Indent 2 Char"/>
    <w:basedOn w:val="DefaultParagraphFont"/>
    <w:link w:val="BodyTextIndent2"/>
    <w:uiPriority w:val="99"/>
    <w:rsid w:val="006B5753"/>
    <w:rPr>
      <w:rFonts w:ascii="Times New Roman" w:eastAsia="Times New Roman" w:hAnsi="Times New Roman" w:cs="Times New Roman"/>
      <w:color w:val="FF0000"/>
      <w:sz w:val="24"/>
      <w:szCs w:val="20"/>
    </w:rPr>
  </w:style>
  <w:style w:type="paragraph" w:customStyle="1" w:styleId="font0">
    <w:name w:val="font0"/>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5">
    <w:name w:val="font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20"/>
    </w:rPr>
  </w:style>
  <w:style w:type="paragraph" w:customStyle="1" w:styleId="font6">
    <w:name w:val="font6"/>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7">
    <w:name w:val="font7"/>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i/>
      <w:iCs/>
      <w:sz w:val="20"/>
    </w:rPr>
  </w:style>
  <w:style w:type="paragraph" w:customStyle="1" w:styleId="font8">
    <w:name w:val="font8"/>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16"/>
      <w:szCs w:val="16"/>
    </w:rPr>
  </w:style>
  <w:style w:type="paragraph" w:customStyle="1" w:styleId="xl24">
    <w:name w:val="xl24"/>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5">
    <w:name w:val="xl2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6">
    <w:name w:val="xl26"/>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7">
    <w:name w:val="xl27"/>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28">
    <w:name w:val="xl28"/>
    <w:basedOn w:val="Normal"/>
    <w:uiPriority w:val="99"/>
    <w:rsid w:val="006B5753"/>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9">
    <w:name w:val="xl29"/>
    <w:basedOn w:val="Normal"/>
    <w:uiPriority w:val="99"/>
    <w:rsid w:val="006B5753"/>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0">
    <w:name w:val="xl30"/>
    <w:basedOn w:val="Normal"/>
    <w:uiPriority w:val="99"/>
    <w:rsid w:val="006B5753"/>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3">
    <w:name w:val="xl33"/>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34">
    <w:name w:val="xl34"/>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35">
    <w:name w:val="xl35"/>
    <w:basedOn w:val="Normal"/>
    <w:uiPriority w:val="99"/>
    <w:rsid w:val="006B5753"/>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6B5753"/>
    <w:pPr>
      <w:pBdr>
        <w:top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8">
    <w:name w:val="xl38"/>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6B5753"/>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0">
    <w:name w:val="xl40"/>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2">
    <w:name w:val="xl42"/>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43">
    <w:name w:val="xl43"/>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44">
    <w:name w:val="xl44"/>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6B5753"/>
    <w:pPr>
      <w:overflowPunct/>
      <w:autoSpaceDE/>
      <w:autoSpaceDN/>
      <w:adjustRightInd/>
      <w:spacing w:before="100" w:beforeAutospacing="1" w:after="100" w:afterAutospacing="1"/>
      <w:jc w:val="right"/>
      <w:textAlignment w:val="auto"/>
    </w:pPr>
    <w:rPr>
      <w:rFonts w:ascii="Arial" w:eastAsia="Arial Unicode MS" w:hAnsi="Arial" w:cs="Arial"/>
      <w:b/>
      <w:bCs/>
      <w:szCs w:val="24"/>
    </w:rPr>
  </w:style>
  <w:style w:type="paragraph" w:customStyle="1" w:styleId="xl46">
    <w:name w:val="xl4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7">
    <w:name w:val="xl47"/>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8">
    <w:name w:val="xl48"/>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9">
    <w:name w:val="xl49"/>
    <w:basedOn w:val="Normal"/>
    <w:uiPriority w:val="99"/>
    <w:rsid w:val="006B5753"/>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0">
    <w:name w:val="xl50"/>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1">
    <w:name w:val="xl51"/>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6B5753"/>
    <w:pPr>
      <w:ind w:left="720"/>
    </w:pPr>
  </w:style>
  <w:style w:type="character" w:customStyle="1" w:styleId="BodyTextIndent3Char">
    <w:name w:val="Body Text Indent 3 Char"/>
    <w:basedOn w:val="DefaultParagraphFont"/>
    <w:link w:val="BodyTextIndent3"/>
    <w:uiPriority w:val="99"/>
    <w:rsid w:val="006B5753"/>
    <w:rPr>
      <w:rFonts w:ascii="Times New Roman" w:eastAsia="Times New Roman" w:hAnsi="Times New Roman" w:cs="Times New Roman"/>
      <w:sz w:val="24"/>
      <w:szCs w:val="20"/>
    </w:rPr>
  </w:style>
  <w:style w:type="character" w:styleId="LineNumber">
    <w:name w:val="line number"/>
    <w:basedOn w:val="DefaultParagraphFont"/>
    <w:uiPriority w:val="99"/>
    <w:rsid w:val="006B5753"/>
    <w:rPr>
      <w:rFonts w:cs="Times New Roman"/>
    </w:rPr>
  </w:style>
  <w:style w:type="character" w:customStyle="1" w:styleId="EmailStyle1101">
    <w:name w:val="EmailStyle1101"/>
    <w:basedOn w:val="DefaultParagraphFont"/>
    <w:uiPriority w:val="99"/>
    <w:rsid w:val="006B5753"/>
    <w:rPr>
      <w:rFonts w:ascii="Arial" w:hAnsi="Arial" w:cs="Arial"/>
      <w:color w:val="000000"/>
      <w:sz w:val="20"/>
    </w:rPr>
  </w:style>
  <w:style w:type="paragraph" w:styleId="ListBullet">
    <w:name w:val="List Bullet"/>
    <w:basedOn w:val="Normal"/>
    <w:uiPriority w:val="99"/>
    <w:rsid w:val="006B5753"/>
    <w:pPr>
      <w:tabs>
        <w:tab w:val="num" w:pos="360"/>
      </w:tabs>
      <w:ind w:left="360" w:hanging="360"/>
    </w:pPr>
  </w:style>
  <w:style w:type="paragraph" w:styleId="MacroText">
    <w:name w:val="macro"/>
    <w:link w:val="MacroTextChar"/>
    <w:uiPriority w:val="99"/>
    <w:semiHidden/>
    <w:rsid w:val="006B575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6B5753"/>
    <w:rPr>
      <w:rFonts w:ascii="Arial" w:eastAsia="Times New Roman" w:hAnsi="Arial" w:cs="Times New Roman"/>
      <w:sz w:val="20"/>
      <w:szCs w:val="20"/>
    </w:rPr>
  </w:style>
  <w:style w:type="paragraph" w:styleId="Caption">
    <w:name w:val="caption"/>
    <w:basedOn w:val="Normal"/>
    <w:next w:val="Normal"/>
    <w:uiPriority w:val="99"/>
    <w:qFormat/>
    <w:rsid w:val="006B5753"/>
    <w:pPr>
      <w:spacing w:before="120" w:after="120"/>
    </w:pPr>
    <w:rPr>
      <w:b/>
      <w:bCs/>
      <w:sz w:val="20"/>
    </w:rPr>
  </w:style>
  <w:style w:type="paragraph" w:styleId="TOC5">
    <w:name w:val="toc 5"/>
    <w:basedOn w:val="Normal"/>
    <w:next w:val="Normal"/>
    <w:uiPriority w:val="39"/>
    <w:rsid w:val="006B5753"/>
    <w:pPr>
      <w:ind w:left="960"/>
    </w:pPr>
  </w:style>
  <w:style w:type="paragraph" w:styleId="TOC6">
    <w:name w:val="toc 6"/>
    <w:basedOn w:val="Normal"/>
    <w:next w:val="Normal"/>
    <w:uiPriority w:val="39"/>
    <w:rsid w:val="006B5753"/>
    <w:pPr>
      <w:ind w:left="1200"/>
    </w:pPr>
  </w:style>
  <w:style w:type="paragraph" w:styleId="TOC7">
    <w:name w:val="toc 7"/>
    <w:basedOn w:val="Normal"/>
    <w:next w:val="Normal"/>
    <w:uiPriority w:val="39"/>
    <w:rsid w:val="006B5753"/>
    <w:pPr>
      <w:ind w:left="1440"/>
    </w:pPr>
  </w:style>
  <w:style w:type="paragraph" w:styleId="TOC8">
    <w:name w:val="toc 8"/>
    <w:basedOn w:val="Normal"/>
    <w:next w:val="Normal"/>
    <w:uiPriority w:val="39"/>
    <w:rsid w:val="006B5753"/>
    <w:pPr>
      <w:ind w:left="1680"/>
    </w:pPr>
  </w:style>
  <w:style w:type="paragraph" w:styleId="TOC9">
    <w:name w:val="toc 9"/>
    <w:basedOn w:val="Normal"/>
    <w:next w:val="Normal"/>
    <w:uiPriority w:val="39"/>
    <w:rsid w:val="006B5753"/>
    <w:pPr>
      <w:ind w:left="1920"/>
    </w:pPr>
  </w:style>
  <w:style w:type="character" w:customStyle="1" w:styleId="EmailStyle1201">
    <w:name w:val="EmailStyle1201"/>
    <w:basedOn w:val="DefaultParagraphFont"/>
    <w:uiPriority w:val="99"/>
    <w:rsid w:val="006B5753"/>
    <w:rPr>
      <w:rFonts w:ascii="Arial" w:hAnsi="Arial" w:cs="Arial"/>
      <w:color w:val="000000"/>
      <w:sz w:val="20"/>
    </w:rPr>
  </w:style>
  <w:style w:type="paragraph" w:customStyle="1" w:styleId="TableCell">
    <w:name w:val="TableCell"/>
    <w:link w:val="TableCellChar"/>
    <w:uiPriority w:val="99"/>
    <w:rsid w:val="006B5753"/>
    <w:pPr>
      <w:spacing w:before="60" w:after="60" w:line="240" w:lineRule="auto"/>
    </w:pPr>
    <w:rPr>
      <w:rFonts w:ascii="Arial" w:eastAsia="Times New Roman" w:hAnsi="Arial" w:cs="Times New Roman"/>
      <w:noProof/>
      <w:sz w:val="18"/>
      <w:szCs w:val="20"/>
    </w:rPr>
  </w:style>
  <w:style w:type="character" w:customStyle="1" w:styleId="TableCellChar">
    <w:name w:val="TableCell Char"/>
    <w:basedOn w:val="DefaultParagraphFont"/>
    <w:link w:val="TableCell"/>
    <w:uiPriority w:val="99"/>
    <w:locked/>
    <w:rsid w:val="006B5753"/>
    <w:rPr>
      <w:rFonts w:ascii="Arial" w:eastAsia="Times New Roman" w:hAnsi="Arial" w:cs="Times New Roman"/>
      <w:noProof/>
      <w:sz w:val="18"/>
      <w:szCs w:val="20"/>
    </w:rPr>
  </w:style>
  <w:style w:type="paragraph" w:styleId="NoSpacing">
    <w:name w:val="No Spacing"/>
    <w:uiPriority w:val="1"/>
    <w:qFormat/>
    <w:rsid w:val="00046826"/>
    <w:pPr>
      <w:spacing w:after="0" w:line="240" w:lineRule="auto"/>
    </w:pPr>
  </w:style>
  <w:style w:type="paragraph" w:styleId="Revision">
    <w:name w:val="Revision"/>
    <w:hidden/>
    <w:uiPriority w:val="99"/>
    <w:semiHidden/>
    <w:rsid w:val="00C1701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CC52AD"/>
    <w:rPr>
      <w:sz w:val="20"/>
    </w:rPr>
  </w:style>
  <w:style w:type="character" w:customStyle="1" w:styleId="EndnoteTextChar">
    <w:name w:val="Endnote Text Char"/>
    <w:basedOn w:val="DefaultParagraphFont"/>
    <w:link w:val="EndnoteText"/>
    <w:uiPriority w:val="99"/>
    <w:semiHidden/>
    <w:rsid w:val="00CC52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52AD"/>
    <w:rPr>
      <w:vertAlign w:val="superscript"/>
    </w:rPr>
  </w:style>
  <w:style w:type="paragraph" w:customStyle="1" w:styleId="source1">
    <w:name w:val="source 1"/>
    <w:basedOn w:val="ListParagraph"/>
    <w:qFormat/>
    <w:rsid w:val="002079FA"/>
    <w:pPr>
      <w:numPr>
        <w:numId w:val="10"/>
      </w:numPr>
      <w:adjustRightInd/>
      <w:spacing w:after="100" w:line="288" w:lineRule="auto"/>
      <w:contextualSpacing w:val="0"/>
    </w:pPr>
    <w:rPr>
      <w:rFonts w:ascii="Arial" w:hAnsi="Arial" w:cs="Arial"/>
      <w:sz w:val="20"/>
    </w:rPr>
  </w:style>
  <w:style w:type="paragraph" w:customStyle="1" w:styleId="source2">
    <w:name w:val="source 2"/>
    <w:basedOn w:val="ListParagraph"/>
    <w:qFormat/>
    <w:rsid w:val="002079FA"/>
    <w:pPr>
      <w:numPr>
        <w:ilvl w:val="1"/>
        <w:numId w:val="10"/>
      </w:numPr>
      <w:adjustRightInd/>
      <w:spacing w:after="100" w:line="288" w:lineRule="auto"/>
      <w:contextualSpacing w:val="0"/>
    </w:pPr>
    <w:rPr>
      <w:rFonts w:ascii="Arial" w:eastAsia="Calibri"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DC"/>
    <w:pPr>
      <w:overflowPunct w:val="0"/>
      <w:autoSpaceDE w:val="0"/>
      <w:autoSpaceDN w:val="0"/>
      <w:adjustRightInd w:val="0"/>
      <w:spacing w:after="0" w:line="360" w:lineRule="auto"/>
      <w:textAlignment w:val="baseline"/>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B1FAC"/>
    <w:pPr>
      <w:numPr>
        <w:numId w:val="1"/>
      </w:numPr>
      <w:outlineLvl w:val="0"/>
    </w:pPr>
    <w:rPr>
      <w:b/>
      <w:szCs w:val="26"/>
    </w:rPr>
  </w:style>
  <w:style w:type="paragraph" w:styleId="Heading2">
    <w:name w:val="heading 2"/>
    <w:basedOn w:val="Normal"/>
    <w:next w:val="Normal"/>
    <w:link w:val="Heading2Char"/>
    <w:qFormat/>
    <w:rsid w:val="00EB1FAC"/>
    <w:pPr>
      <w:numPr>
        <w:ilvl w:val="1"/>
        <w:numId w:val="1"/>
      </w:numPr>
      <w:outlineLvl w:val="1"/>
    </w:pPr>
    <w:rPr>
      <w:b/>
      <w:szCs w:val="26"/>
    </w:rPr>
  </w:style>
  <w:style w:type="paragraph" w:styleId="Heading3">
    <w:name w:val="heading 3"/>
    <w:basedOn w:val="Normal"/>
    <w:next w:val="Normal"/>
    <w:link w:val="Heading3Char"/>
    <w:qFormat/>
    <w:rsid w:val="00EB1FAC"/>
    <w:pPr>
      <w:keepNext/>
      <w:numPr>
        <w:ilvl w:val="2"/>
        <w:numId w:val="1"/>
      </w:numPr>
      <w:outlineLvl w:val="2"/>
    </w:pPr>
    <w:rPr>
      <w:rFonts w:cs="Arial"/>
      <w:b/>
      <w:bCs/>
      <w:szCs w:val="26"/>
    </w:rPr>
  </w:style>
  <w:style w:type="paragraph" w:styleId="Heading4">
    <w:name w:val="heading 4"/>
    <w:basedOn w:val="Normal"/>
    <w:next w:val="Normal"/>
    <w:link w:val="Heading4Char"/>
    <w:qFormat/>
    <w:rsid w:val="00EB1FAC"/>
    <w:pPr>
      <w:keepNext/>
      <w:numPr>
        <w:ilvl w:val="3"/>
        <w:numId w:val="1"/>
      </w:numPr>
      <w:outlineLvl w:val="3"/>
    </w:pPr>
    <w:rPr>
      <w:b/>
      <w:bCs/>
      <w:szCs w:val="28"/>
    </w:rPr>
  </w:style>
  <w:style w:type="paragraph" w:styleId="Heading5">
    <w:name w:val="heading 5"/>
    <w:basedOn w:val="Normal"/>
    <w:next w:val="Normal"/>
    <w:link w:val="Heading5Char"/>
    <w:uiPriority w:val="99"/>
    <w:qFormat/>
    <w:rsid w:val="006B5753"/>
    <w:pPr>
      <w:keepNext/>
      <w:spacing w:line="480" w:lineRule="auto"/>
      <w:ind w:right="-180"/>
      <w:jc w:val="center"/>
      <w:outlineLvl w:val="4"/>
    </w:pPr>
    <w:rPr>
      <w:rFonts w:ascii="Arial" w:hAnsi="Arial"/>
    </w:rPr>
  </w:style>
  <w:style w:type="paragraph" w:styleId="Heading6">
    <w:name w:val="heading 6"/>
    <w:basedOn w:val="Normal"/>
    <w:next w:val="Normal"/>
    <w:link w:val="Heading6Char"/>
    <w:uiPriority w:val="99"/>
    <w:qFormat/>
    <w:rsid w:val="006B5753"/>
    <w:pPr>
      <w:keepNext/>
      <w:spacing w:line="480" w:lineRule="auto"/>
      <w:ind w:right="-180"/>
      <w:jc w:val="center"/>
      <w:outlineLvl w:val="5"/>
    </w:pPr>
    <w:rPr>
      <w:rFonts w:ascii="Arial" w:hAnsi="Arial"/>
      <w:i/>
    </w:rPr>
  </w:style>
  <w:style w:type="paragraph" w:styleId="Heading7">
    <w:name w:val="heading 7"/>
    <w:basedOn w:val="Normal"/>
    <w:next w:val="Normal"/>
    <w:link w:val="Heading7Char"/>
    <w:uiPriority w:val="99"/>
    <w:qFormat/>
    <w:rsid w:val="006B5753"/>
    <w:pPr>
      <w:keepNext/>
      <w:ind w:right="-187"/>
      <w:jc w:val="center"/>
      <w:outlineLvl w:val="6"/>
    </w:pPr>
    <w:rPr>
      <w:b/>
    </w:rPr>
  </w:style>
  <w:style w:type="paragraph" w:styleId="Heading8">
    <w:name w:val="heading 8"/>
    <w:basedOn w:val="Normal"/>
    <w:next w:val="Normal"/>
    <w:link w:val="Heading8Char"/>
    <w:uiPriority w:val="99"/>
    <w:qFormat/>
    <w:rsid w:val="006B5753"/>
    <w:pPr>
      <w:keepNext/>
      <w:spacing w:line="480" w:lineRule="auto"/>
      <w:ind w:right="-187"/>
      <w:jc w:val="center"/>
      <w:outlineLvl w:val="7"/>
    </w:pPr>
    <w:rPr>
      <w:rFonts w:ascii="Arial" w:hAnsi="Arial"/>
    </w:rPr>
  </w:style>
  <w:style w:type="paragraph" w:styleId="Heading9">
    <w:name w:val="heading 9"/>
    <w:basedOn w:val="Normal"/>
    <w:next w:val="Normal"/>
    <w:link w:val="Heading9Char"/>
    <w:uiPriority w:val="99"/>
    <w:qFormat/>
    <w:rsid w:val="006B5753"/>
    <w:pPr>
      <w:keepNext/>
      <w:spacing w:line="480" w:lineRule="auto"/>
      <w:ind w:right="-187"/>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FAC"/>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EB1FAC"/>
    <w:rPr>
      <w:rFonts w:ascii="Times New Roman" w:eastAsia="Times New Roman" w:hAnsi="Times New Roman" w:cs="Times New Roman"/>
      <w:b/>
      <w:sz w:val="26"/>
      <w:szCs w:val="26"/>
    </w:rPr>
  </w:style>
  <w:style w:type="character" w:customStyle="1" w:styleId="Heading3Char">
    <w:name w:val="Heading 3 Char"/>
    <w:basedOn w:val="DefaultParagraphFont"/>
    <w:link w:val="Heading3"/>
    <w:rsid w:val="00EB1FAC"/>
    <w:rPr>
      <w:rFonts w:ascii="Times New Roman" w:eastAsia="Times New Roman" w:hAnsi="Times New Roman" w:cs="Arial"/>
      <w:b/>
      <w:bCs/>
      <w:sz w:val="26"/>
      <w:szCs w:val="26"/>
    </w:rPr>
  </w:style>
  <w:style w:type="character" w:customStyle="1" w:styleId="Heading4Char">
    <w:name w:val="Heading 4 Char"/>
    <w:basedOn w:val="DefaultParagraphFont"/>
    <w:link w:val="Heading4"/>
    <w:rsid w:val="00EB1FAC"/>
    <w:rPr>
      <w:rFonts w:ascii="Times New Roman" w:eastAsia="Times New Roman" w:hAnsi="Times New Roman" w:cs="Times New Roman"/>
      <w:b/>
      <w:bCs/>
      <w:sz w:val="26"/>
      <w:szCs w:val="28"/>
    </w:rPr>
  </w:style>
  <w:style w:type="character" w:customStyle="1" w:styleId="Heading5Char">
    <w:name w:val="Heading 5 Char"/>
    <w:basedOn w:val="DefaultParagraphFont"/>
    <w:link w:val="Heading5"/>
    <w:uiPriority w:val="99"/>
    <w:rsid w:val="006B5753"/>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6B5753"/>
    <w:rPr>
      <w:rFonts w:ascii="Arial" w:eastAsia="Times New Roman" w:hAnsi="Arial" w:cs="Times New Roman"/>
      <w:i/>
      <w:sz w:val="24"/>
      <w:szCs w:val="20"/>
    </w:rPr>
  </w:style>
  <w:style w:type="character" w:customStyle="1" w:styleId="Heading7Char">
    <w:name w:val="Heading 7 Char"/>
    <w:basedOn w:val="DefaultParagraphFont"/>
    <w:link w:val="Heading7"/>
    <w:uiPriority w:val="99"/>
    <w:rsid w:val="006B575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9"/>
    <w:rsid w:val="006B5753"/>
    <w:rPr>
      <w:rFonts w:ascii="Arial" w:eastAsia="Times New Roman" w:hAnsi="Arial" w:cs="Times New Roman"/>
      <w:sz w:val="24"/>
      <w:szCs w:val="20"/>
    </w:rPr>
  </w:style>
  <w:style w:type="character" w:customStyle="1" w:styleId="Heading9Char">
    <w:name w:val="Heading 9 Char"/>
    <w:basedOn w:val="DefaultParagraphFont"/>
    <w:link w:val="Heading9"/>
    <w:uiPriority w:val="99"/>
    <w:rsid w:val="006B5753"/>
    <w:rPr>
      <w:rFonts w:ascii="Arial" w:eastAsia="Times New Roman" w:hAnsi="Arial" w:cs="Times New Roman"/>
      <w:i/>
      <w:sz w:val="24"/>
      <w:szCs w:val="20"/>
    </w:rPr>
  </w:style>
  <w:style w:type="paragraph" w:styleId="BalloonText">
    <w:name w:val="Balloon Text"/>
    <w:basedOn w:val="Normal"/>
    <w:link w:val="BalloonTextChar"/>
    <w:uiPriority w:val="99"/>
    <w:semiHidden/>
    <w:rsid w:val="006B5753"/>
    <w:rPr>
      <w:rFonts w:ascii="Tahoma" w:hAnsi="Tahoma" w:cs="Tahoma"/>
      <w:sz w:val="16"/>
      <w:szCs w:val="16"/>
    </w:rPr>
  </w:style>
  <w:style w:type="character" w:customStyle="1" w:styleId="BalloonTextChar">
    <w:name w:val="Balloon Text Char"/>
    <w:basedOn w:val="DefaultParagraphFont"/>
    <w:link w:val="BalloonText"/>
    <w:uiPriority w:val="99"/>
    <w:semiHidden/>
    <w:rsid w:val="006B5753"/>
    <w:rPr>
      <w:rFonts w:ascii="Tahoma" w:eastAsia="Times New Roman" w:hAnsi="Tahoma" w:cs="Tahoma"/>
      <w:sz w:val="16"/>
      <w:szCs w:val="16"/>
    </w:rPr>
  </w:style>
  <w:style w:type="paragraph" w:styleId="FootnoteText">
    <w:name w:val="footnote text"/>
    <w:basedOn w:val="Normal"/>
    <w:link w:val="FootnoteTextChar"/>
    <w:uiPriority w:val="99"/>
    <w:rsid w:val="006B5753"/>
    <w:rPr>
      <w:sz w:val="20"/>
    </w:rPr>
  </w:style>
  <w:style w:type="character" w:customStyle="1" w:styleId="FootnoteTextChar">
    <w:name w:val="Footnote Text Char"/>
    <w:basedOn w:val="DefaultParagraphFont"/>
    <w:link w:val="FootnoteText"/>
    <w:uiPriority w:val="99"/>
    <w:rsid w:val="007D24E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B5753"/>
    <w:rPr>
      <w:rFonts w:cs="Times New Roman"/>
      <w:vertAlign w:val="superscript"/>
    </w:rPr>
  </w:style>
  <w:style w:type="paragraph" w:customStyle="1" w:styleId="p3">
    <w:name w:val="p3"/>
    <w:basedOn w:val="Normal"/>
    <w:uiPriority w:val="99"/>
    <w:rsid w:val="006B5753"/>
    <w:pPr>
      <w:widowControl w:val="0"/>
      <w:tabs>
        <w:tab w:val="left" w:pos="204"/>
      </w:tabs>
      <w:overflowPunct/>
      <w:textAlignment w:val="auto"/>
    </w:pPr>
    <w:rPr>
      <w:szCs w:val="24"/>
    </w:rPr>
  </w:style>
  <w:style w:type="paragraph" w:customStyle="1" w:styleId="p14">
    <w:name w:val="p14"/>
    <w:basedOn w:val="Normal"/>
    <w:uiPriority w:val="99"/>
    <w:rsid w:val="006B5753"/>
    <w:pPr>
      <w:widowControl w:val="0"/>
      <w:tabs>
        <w:tab w:val="left" w:pos="204"/>
      </w:tabs>
      <w:overflowPunct/>
      <w:textAlignment w:val="auto"/>
    </w:pPr>
    <w:rPr>
      <w:szCs w:val="24"/>
    </w:rPr>
  </w:style>
  <w:style w:type="paragraph" w:customStyle="1" w:styleId="p17">
    <w:name w:val="p17"/>
    <w:basedOn w:val="Normal"/>
    <w:uiPriority w:val="99"/>
    <w:rsid w:val="006B5753"/>
    <w:pPr>
      <w:widowControl w:val="0"/>
      <w:tabs>
        <w:tab w:val="left" w:pos="5057"/>
      </w:tabs>
      <w:overflowPunct/>
      <w:ind w:left="3617"/>
      <w:textAlignment w:val="auto"/>
    </w:pPr>
    <w:rPr>
      <w:szCs w:val="24"/>
    </w:rPr>
  </w:style>
  <w:style w:type="paragraph" w:customStyle="1" w:styleId="p18">
    <w:name w:val="p18"/>
    <w:basedOn w:val="Normal"/>
    <w:uiPriority w:val="99"/>
    <w:rsid w:val="006B5753"/>
    <w:pPr>
      <w:widowControl w:val="0"/>
      <w:tabs>
        <w:tab w:val="left" w:pos="5062"/>
      </w:tabs>
      <w:overflowPunct/>
      <w:ind w:left="3622"/>
      <w:textAlignment w:val="auto"/>
    </w:pPr>
    <w:rPr>
      <w:szCs w:val="24"/>
    </w:rPr>
  </w:style>
  <w:style w:type="paragraph" w:customStyle="1" w:styleId="StyleCentered">
    <w:name w:val="Style Centered"/>
    <w:basedOn w:val="Normal"/>
    <w:uiPriority w:val="99"/>
    <w:rsid w:val="006B5753"/>
    <w:pPr>
      <w:jc w:val="center"/>
    </w:pPr>
  </w:style>
  <w:style w:type="character" w:styleId="Hyperlink">
    <w:name w:val="Hyperlink"/>
    <w:basedOn w:val="DefaultParagraphFont"/>
    <w:uiPriority w:val="99"/>
    <w:rsid w:val="006B5753"/>
    <w:rPr>
      <w:rFonts w:cs="Times New Roman"/>
      <w:color w:val="0000FF"/>
      <w:u w:val="single"/>
    </w:rPr>
  </w:style>
  <w:style w:type="character" w:styleId="CommentReference">
    <w:name w:val="annotation reference"/>
    <w:basedOn w:val="DefaultParagraphFont"/>
    <w:uiPriority w:val="99"/>
    <w:rsid w:val="006B5753"/>
    <w:rPr>
      <w:rFonts w:cs="Times New Roman"/>
      <w:sz w:val="16"/>
      <w:szCs w:val="16"/>
    </w:rPr>
  </w:style>
  <w:style w:type="paragraph" w:styleId="CommentText">
    <w:name w:val="annotation text"/>
    <w:basedOn w:val="Normal"/>
    <w:link w:val="CommentTextChar"/>
    <w:uiPriority w:val="99"/>
    <w:rsid w:val="006B5753"/>
    <w:rPr>
      <w:sz w:val="20"/>
    </w:rPr>
  </w:style>
  <w:style w:type="character" w:customStyle="1" w:styleId="CommentTextChar">
    <w:name w:val="Comment Text Char"/>
    <w:basedOn w:val="DefaultParagraphFont"/>
    <w:link w:val="CommentText"/>
    <w:uiPriority w:val="99"/>
    <w:rsid w:val="006B5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B5753"/>
    <w:rPr>
      <w:b/>
      <w:bCs/>
    </w:rPr>
  </w:style>
  <w:style w:type="character" w:customStyle="1" w:styleId="CommentSubjectChar">
    <w:name w:val="Comment Subject Char"/>
    <w:basedOn w:val="CommentTextChar"/>
    <w:link w:val="CommentSubject"/>
    <w:uiPriority w:val="99"/>
    <w:rsid w:val="006B5753"/>
    <w:rPr>
      <w:rFonts w:ascii="Times New Roman" w:eastAsia="Times New Roman" w:hAnsi="Times New Roman" w:cs="Times New Roman"/>
      <w:b/>
      <w:bCs/>
      <w:sz w:val="20"/>
      <w:szCs w:val="20"/>
    </w:rPr>
  </w:style>
  <w:style w:type="paragraph" w:styleId="ListParagraph">
    <w:name w:val="List Paragraph"/>
    <w:basedOn w:val="Normal"/>
    <w:uiPriority w:val="34"/>
    <w:qFormat/>
    <w:rsid w:val="006B5753"/>
    <w:pPr>
      <w:ind w:left="720"/>
      <w:contextualSpacing/>
    </w:pPr>
  </w:style>
  <w:style w:type="paragraph" w:styleId="Header">
    <w:name w:val="header"/>
    <w:basedOn w:val="Normal"/>
    <w:link w:val="HeaderChar"/>
    <w:uiPriority w:val="99"/>
    <w:unhideWhenUsed/>
    <w:rsid w:val="006B5753"/>
    <w:pPr>
      <w:tabs>
        <w:tab w:val="center" w:pos="4680"/>
        <w:tab w:val="right" w:pos="9360"/>
      </w:tabs>
    </w:pPr>
  </w:style>
  <w:style w:type="character" w:customStyle="1" w:styleId="HeaderChar">
    <w:name w:val="Header Char"/>
    <w:basedOn w:val="DefaultParagraphFont"/>
    <w:link w:val="Header"/>
    <w:uiPriority w:val="99"/>
    <w:rsid w:val="006B57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B5753"/>
    <w:pPr>
      <w:tabs>
        <w:tab w:val="center" w:pos="4680"/>
        <w:tab w:val="right" w:pos="9360"/>
      </w:tabs>
    </w:pPr>
  </w:style>
  <w:style w:type="character" w:customStyle="1" w:styleId="FooterChar">
    <w:name w:val="Footer Char"/>
    <w:basedOn w:val="DefaultParagraphFont"/>
    <w:link w:val="Footer"/>
    <w:uiPriority w:val="99"/>
    <w:rsid w:val="006B5753"/>
    <w:rPr>
      <w:rFonts w:ascii="Times New Roman" w:eastAsia="Times New Roman" w:hAnsi="Times New Roman" w:cs="Times New Roman"/>
      <w:sz w:val="24"/>
      <w:szCs w:val="20"/>
    </w:rPr>
  </w:style>
  <w:style w:type="character" w:styleId="PageNumber">
    <w:name w:val="page number"/>
    <w:basedOn w:val="DefaultParagraphFont"/>
    <w:uiPriority w:val="99"/>
    <w:rsid w:val="006B5753"/>
    <w:rPr>
      <w:rFonts w:cs="Times New Roman"/>
    </w:rPr>
  </w:style>
  <w:style w:type="paragraph" w:customStyle="1" w:styleId="c1">
    <w:name w:val="c1"/>
    <w:basedOn w:val="Normal"/>
    <w:uiPriority w:val="99"/>
    <w:rsid w:val="006B5753"/>
    <w:pPr>
      <w:widowControl w:val="0"/>
      <w:overflowPunct/>
      <w:jc w:val="center"/>
      <w:textAlignment w:val="auto"/>
    </w:pPr>
    <w:rPr>
      <w:szCs w:val="24"/>
    </w:rPr>
  </w:style>
  <w:style w:type="paragraph" w:customStyle="1" w:styleId="p6">
    <w:name w:val="p6"/>
    <w:basedOn w:val="Normal"/>
    <w:uiPriority w:val="99"/>
    <w:rsid w:val="006B5753"/>
    <w:pPr>
      <w:widowControl w:val="0"/>
      <w:overflowPunct/>
      <w:ind w:firstLine="742"/>
      <w:textAlignment w:val="auto"/>
    </w:pPr>
    <w:rPr>
      <w:szCs w:val="24"/>
    </w:rPr>
  </w:style>
  <w:style w:type="paragraph" w:customStyle="1" w:styleId="p8">
    <w:name w:val="p8"/>
    <w:basedOn w:val="Normal"/>
    <w:uiPriority w:val="99"/>
    <w:rsid w:val="006B5753"/>
    <w:pPr>
      <w:widowControl w:val="0"/>
      <w:tabs>
        <w:tab w:val="left" w:pos="204"/>
      </w:tabs>
      <w:overflowPunct/>
      <w:textAlignment w:val="auto"/>
    </w:pPr>
    <w:rPr>
      <w:szCs w:val="24"/>
    </w:rPr>
  </w:style>
  <w:style w:type="paragraph" w:customStyle="1" w:styleId="c9">
    <w:name w:val="c9"/>
    <w:basedOn w:val="Normal"/>
    <w:uiPriority w:val="99"/>
    <w:rsid w:val="006B5753"/>
    <w:pPr>
      <w:widowControl w:val="0"/>
      <w:overflowPunct/>
      <w:jc w:val="center"/>
      <w:textAlignment w:val="auto"/>
    </w:pPr>
    <w:rPr>
      <w:szCs w:val="24"/>
    </w:rPr>
  </w:style>
  <w:style w:type="paragraph" w:customStyle="1" w:styleId="c10">
    <w:name w:val="c10"/>
    <w:basedOn w:val="Normal"/>
    <w:uiPriority w:val="99"/>
    <w:rsid w:val="006B5753"/>
    <w:pPr>
      <w:widowControl w:val="0"/>
      <w:overflowPunct/>
      <w:jc w:val="center"/>
      <w:textAlignment w:val="auto"/>
    </w:pPr>
    <w:rPr>
      <w:szCs w:val="24"/>
    </w:rPr>
  </w:style>
  <w:style w:type="paragraph" w:customStyle="1" w:styleId="p13">
    <w:name w:val="p13"/>
    <w:basedOn w:val="Normal"/>
    <w:uiPriority w:val="99"/>
    <w:rsid w:val="006B5753"/>
    <w:pPr>
      <w:widowControl w:val="0"/>
      <w:tabs>
        <w:tab w:val="left" w:pos="742"/>
        <w:tab w:val="left" w:pos="1451"/>
      </w:tabs>
      <w:overflowPunct/>
      <w:ind w:left="742" w:firstLine="709"/>
      <w:textAlignment w:val="auto"/>
    </w:pPr>
    <w:rPr>
      <w:szCs w:val="24"/>
    </w:rPr>
  </w:style>
  <w:style w:type="paragraph" w:customStyle="1" w:styleId="p15">
    <w:name w:val="p15"/>
    <w:basedOn w:val="Normal"/>
    <w:uiPriority w:val="99"/>
    <w:rsid w:val="006B5753"/>
    <w:pPr>
      <w:widowControl w:val="0"/>
      <w:tabs>
        <w:tab w:val="left" w:pos="204"/>
      </w:tabs>
      <w:overflowPunct/>
      <w:textAlignment w:val="auto"/>
    </w:pPr>
    <w:rPr>
      <w:szCs w:val="24"/>
    </w:rPr>
  </w:style>
  <w:style w:type="paragraph" w:styleId="TOC1">
    <w:name w:val="toc 1"/>
    <w:basedOn w:val="Normal"/>
    <w:next w:val="Normal"/>
    <w:uiPriority w:val="39"/>
    <w:rsid w:val="006B5753"/>
    <w:rPr>
      <w:b/>
    </w:rPr>
  </w:style>
  <w:style w:type="paragraph" w:styleId="TOC2">
    <w:name w:val="toc 2"/>
    <w:basedOn w:val="Normal"/>
    <w:next w:val="Normal"/>
    <w:uiPriority w:val="39"/>
    <w:rsid w:val="006B5753"/>
    <w:pPr>
      <w:ind w:left="240"/>
    </w:pPr>
    <w:rPr>
      <w:sz w:val="22"/>
    </w:rPr>
  </w:style>
  <w:style w:type="paragraph" w:styleId="TOC3">
    <w:name w:val="toc 3"/>
    <w:basedOn w:val="Normal"/>
    <w:next w:val="Normal"/>
    <w:uiPriority w:val="39"/>
    <w:rsid w:val="006B5753"/>
    <w:pPr>
      <w:ind w:left="480"/>
    </w:pPr>
    <w:rPr>
      <w:i/>
      <w:sz w:val="22"/>
    </w:rPr>
  </w:style>
  <w:style w:type="paragraph" w:styleId="TOC4">
    <w:name w:val="toc 4"/>
    <w:basedOn w:val="Normal"/>
    <w:next w:val="Normal"/>
    <w:uiPriority w:val="39"/>
    <w:rsid w:val="006B5753"/>
    <w:pPr>
      <w:ind w:left="720"/>
    </w:pPr>
  </w:style>
  <w:style w:type="paragraph" w:styleId="BodyText2">
    <w:name w:val="Body Text 2"/>
    <w:basedOn w:val="Normal"/>
    <w:link w:val="BodyText2Char"/>
    <w:uiPriority w:val="99"/>
    <w:rsid w:val="006B5753"/>
  </w:style>
  <w:style w:type="character" w:customStyle="1" w:styleId="BodyText2Char">
    <w:name w:val="Body Text 2 Char"/>
    <w:basedOn w:val="DefaultParagraphFont"/>
    <w:link w:val="BodyText2"/>
    <w:uiPriority w:val="99"/>
    <w:rsid w:val="006B5753"/>
    <w:rPr>
      <w:rFonts w:ascii="Times New Roman" w:eastAsia="Times New Roman" w:hAnsi="Times New Roman" w:cs="Times New Roman"/>
      <w:sz w:val="24"/>
      <w:szCs w:val="20"/>
    </w:rPr>
  </w:style>
  <w:style w:type="paragraph" w:styleId="BodyText3">
    <w:name w:val="Body Text 3"/>
    <w:basedOn w:val="Normal"/>
    <w:link w:val="BodyText3Char"/>
    <w:uiPriority w:val="99"/>
    <w:rsid w:val="006B5753"/>
    <w:pPr>
      <w:spacing w:after="120"/>
    </w:pPr>
  </w:style>
  <w:style w:type="character" w:customStyle="1" w:styleId="BodyText3Char">
    <w:name w:val="Body Text 3 Char"/>
    <w:basedOn w:val="DefaultParagraphFont"/>
    <w:link w:val="BodyText3"/>
    <w:uiPriority w:val="99"/>
    <w:rsid w:val="006B5753"/>
    <w:rPr>
      <w:rFonts w:ascii="Times New Roman" w:eastAsia="Times New Roman" w:hAnsi="Times New Roman" w:cs="Times New Roman"/>
      <w:sz w:val="24"/>
      <w:szCs w:val="20"/>
    </w:rPr>
  </w:style>
  <w:style w:type="paragraph" w:styleId="BodyText">
    <w:name w:val="Body Text"/>
    <w:basedOn w:val="Normal"/>
    <w:link w:val="BodyTextChar"/>
    <w:uiPriority w:val="99"/>
    <w:rsid w:val="006B5753"/>
    <w:pPr>
      <w:spacing w:line="480" w:lineRule="auto"/>
    </w:pPr>
    <w:rPr>
      <w:rFonts w:ascii="Arial" w:hAnsi="Arial"/>
    </w:rPr>
  </w:style>
  <w:style w:type="character" w:customStyle="1" w:styleId="BodyTextChar">
    <w:name w:val="Body Text Char"/>
    <w:basedOn w:val="DefaultParagraphFont"/>
    <w:link w:val="BodyText"/>
    <w:uiPriority w:val="99"/>
    <w:rsid w:val="006B5753"/>
    <w:rPr>
      <w:rFonts w:ascii="Arial" w:eastAsia="Times New Roman" w:hAnsi="Arial" w:cs="Times New Roman"/>
      <w:sz w:val="24"/>
      <w:szCs w:val="20"/>
    </w:rPr>
  </w:style>
  <w:style w:type="character" w:styleId="FollowedHyperlink">
    <w:name w:val="FollowedHyperlink"/>
    <w:basedOn w:val="DefaultParagraphFont"/>
    <w:uiPriority w:val="99"/>
    <w:rsid w:val="006B5753"/>
    <w:rPr>
      <w:rFonts w:cs="Times New Roman"/>
      <w:color w:val="800080"/>
      <w:u w:val="single"/>
    </w:rPr>
  </w:style>
  <w:style w:type="character" w:styleId="Strong">
    <w:name w:val="Strong"/>
    <w:basedOn w:val="DefaultParagraphFont"/>
    <w:uiPriority w:val="99"/>
    <w:qFormat/>
    <w:rsid w:val="006B5753"/>
    <w:rPr>
      <w:rFonts w:cs="Times New Roman"/>
      <w:b/>
      <w:bCs/>
    </w:rPr>
  </w:style>
  <w:style w:type="paragraph" w:styleId="BodyTextIndent">
    <w:name w:val="Body Text Indent"/>
    <w:basedOn w:val="Normal"/>
    <w:link w:val="BodyTextIndentChar"/>
    <w:uiPriority w:val="99"/>
    <w:rsid w:val="006B5753"/>
    <w:pPr>
      <w:overflowPunct/>
      <w:autoSpaceDE/>
      <w:autoSpaceDN/>
      <w:adjustRightInd/>
      <w:ind w:left="1440" w:firstLine="60"/>
      <w:textAlignment w:val="auto"/>
    </w:pPr>
    <w:rPr>
      <w:szCs w:val="24"/>
    </w:rPr>
  </w:style>
  <w:style w:type="character" w:customStyle="1" w:styleId="BodyTextIndentChar">
    <w:name w:val="Body Text Indent Char"/>
    <w:basedOn w:val="DefaultParagraphFont"/>
    <w:link w:val="BodyTextIndent"/>
    <w:uiPriority w:val="99"/>
    <w:rsid w:val="006B5753"/>
    <w:rPr>
      <w:rFonts w:ascii="Times New Roman" w:eastAsia="Times New Roman" w:hAnsi="Times New Roman" w:cs="Times New Roman"/>
      <w:sz w:val="24"/>
      <w:szCs w:val="24"/>
    </w:rPr>
  </w:style>
  <w:style w:type="paragraph" w:styleId="Title">
    <w:name w:val="Title"/>
    <w:basedOn w:val="Normal"/>
    <w:link w:val="TitleChar"/>
    <w:uiPriority w:val="99"/>
    <w:qFormat/>
    <w:rsid w:val="006B5753"/>
    <w:pPr>
      <w:overflowPunct/>
      <w:autoSpaceDE/>
      <w:autoSpaceDN/>
      <w:adjustRightInd/>
      <w:jc w:val="center"/>
      <w:textAlignment w:val="auto"/>
    </w:pPr>
    <w:rPr>
      <w:b/>
    </w:rPr>
  </w:style>
  <w:style w:type="character" w:customStyle="1" w:styleId="TitleChar">
    <w:name w:val="Title Char"/>
    <w:basedOn w:val="DefaultParagraphFont"/>
    <w:link w:val="Title"/>
    <w:uiPriority w:val="99"/>
    <w:rsid w:val="006B575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6B5753"/>
    <w:pPr>
      <w:ind w:left="720"/>
    </w:pPr>
    <w:rPr>
      <w:color w:val="FF0000"/>
    </w:rPr>
  </w:style>
  <w:style w:type="character" w:customStyle="1" w:styleId="BodyTextIndent2Char">
    <w:name w:val="Body Text Indent 2 Char"/>
    <w:basedOn w:val="DefaultParagraphFont"/>
    <w:link w:val="BodyTextIndent2"/>
    <w:uiPriority w:val="99"/>
    <w:rsid w:val="006B5753"/>
    <w:rPr>
      <w:rFonts w:ascii="Times New Roman" w:eastAsia="Times New Roman" w:hAnsi="Times New Roman" w:cs="Times New Roman"/>
      <w:color w:val="FF0000"/>
      <w:sz w:val="24"/>
      <w:szCs w:val="20"/>
    </w:rPr>
  </w:style>
  <w:style w:type="paragraph" w:customStyle="1" w:styleId="font0">
    <w:name w:val="font0"/>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5">
    <w:name w:val="font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20"/>
    </w:rPr>
  </w:style>
  <w:style w:type="paragraph" w:customStyle="1" w:styleId="font6">
    <w:name w:val="font6"/>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7">
    <w:name w:val="font7"/>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i/>
      <w:iCs/>
      <w:sz w:val="20"/>
    </w:rPr>
  </w:style>
  <w:style w:type="paragraph" w:customStyle="1" w:styleId="font8">
    <w:name w:val="font8"/>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16"/>
      <w:szCs w:val="16"/>
    </w:rPr>
  </w:style>
  <w:style w:type="paragraph" w:customStyle="1" w:styleId="xl24">
    <w:name w:val="xl24"/>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5">
    <w:name w:val="xl2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6">
    <w:name w:val="xl26"/>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7">
    <w:name w:val="xl27"/>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28">
    <w:name w:val="xl28"/>
    <w:basedOn w:val="Normal"/>
    <w:uiPriority w:val="99"/>
    <w:rsid w:val="006B5753"/>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9">
    <w:name w:val="xl29"/>
    <w:basedOn w:val="Normal"/>
    <w:uiPriority w:val="99"/>
    <w:rsid w:val="006B5753"/>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0">
    <w:name w:val="xl30"/>
    <w:basedOn w:val="Normal"/>
    <w:uiPriority w:val="99"/>
    <w:rsid w:val="006B5753"/>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3">
    <w:name w:val="xl33"/>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34">
    <w:name w:val="xl34"/>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35">
    <w:name w:val="xl35"/>
    <w:basedOn w:val="Normal"/>
    <w:uiPriority w:val="99"/>
    <w:rsid w:val="006B5753"/>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6B5753"/>
    <w:pPr>
      <w:pBdr>
        <w:top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8">
    <w:name w:val="xl38"/>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6B5753"/>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0">
    <w:name w:val="xl40"/>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2">
    <w:name w:val="xl42"/>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43">
    <w:name w:val="xl43"/>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44">
    <w:name w:val="xl44"/>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6B5753"/>
    <w:pPr>
      <w:overflowPunct/>
      <w:autoSpaceDE/>
      <w:autoSpaceDN/>
      <w:adjustRightInd/>
      <w:spacing w:before="100" w:beforeAutospacing="1" w:after="100" w:afterAutospacing="1"/>
      <w:jc w:val="right"/>
      <w:textAlignment w:val="auto"/>
    </w:pPr>
    <w:rPr>
      <w:rFonts w:ascii="Arial" w:eastAsia="Arial Unicode MS" w:hAnsi="Arial" w:cs="Arial"/>
      <w:b/>
      <w:bCs/>
      <w:szCs w:val="24"/>
    </w:rPr>
  </w:style>
  <w:style w:type="paragraph" w:customStyle="1" w:styleId="xl46">
    <w:name w:val="xl4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7">
    <w:name w:val="xl47"/>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8">
    <w:name w:val="xl48"/>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9">
    <w:name w:val="xl49"/>
    <w:basedOn w:val="Normal"/>
    <w:uiPriority w:val="99"/>
    <w:rsid w:val="006B5753"/>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0">
    <w:name w:val="xl50"/>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1">
    <w:name w:val="xl51"/>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6B5753"/>
    <w:pPr>
      <w:ind w:left="720"/>
    </w:pPr>
  </w:style>
  <w:style w:type="character" w:customStyle="1" w:styleId="BodyTextIndent3Char">
    <w:name w:val="Body Text Indent 3 Char"/>
    <w:basedOn w:val="DefaultParagraphFont"/>
    <w:link w:val="BodyTextIndent3"/>
    <w:uiPriority w:val="99"/>
    <w:rsid w:val="006B5753"/>
    <w:rPr>
      <w:rFonts w:ascii="Times New Roman" w:eastAsia="Times New Roman" w:hAnsi="Times New Roman" w:cs="Times New Roman"/>
      <w:sz w:val="24"/>
      <w:szCs w:val="20"/>
    </w:rPr>
  </w:style>
  <w:style w:type="character" w:styleId="LineNumber">
    <w:name w:val="line number"/>
    <w:basedOn w:val="DefaultParagraphFont"/>
    <w:uiPriority w:val="99"/>
    <w:rsid w:val="006B5753"/>
    <w:rPr>
      <w:rFonts w:cs="Times New Roman"/>
    </w:rPr>
  </w:style>
  <w:style w:type="character" w:customStyle="1" w:styleId="EmailStyle1101">
    <w:name w:val="EmailStyle1101"/>
    <w:basedOn w:val="DefaultParagraphFont"/>
    <w:uiPriority w:val="99"/>
    <w:rsid w:val="006B5753"/>
    <w:rPr>
      <w:rFonts w:ascii="Arial" w:hAnsi="Arial" w:cs="Arial"/>
      <w:color w:val="000000"/>
      <w:sz w:val="20"/>
    </w:rPr>
  </w:style>
  <w:style w:type="paragraph" w:styleId="ListBullet">
    <w:name w:val="List Bullet"/>
    <w:basedOn w:val="Normal"/>
    <w:uiPriority w:val="99"/>
    <w:rsid w:val="006B5753"/>
    <w:pPr>
      <w:tabs>
        <w:tab w:val="num" w:pos="360"/>
      </w:tabs>
      <w:ind w:left="360" w:hanging="360"/>
    </w:pPr>
  </w:style>
  <w:style w:type="paragraph" w:styleId="MacroText">
    <w:name w:val="macro"/>
    <w:link w:val="MacroTextChar"/>
    <w:uiPriority w:val="99"/>
    <w:semiHidden/>
    <w:rsid w:val="006B575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6B5753"/>
    <w:rPr>
      <w:rFonts w:ascii="Arial" w:eastAsia="Times New Roman" w:hAnsi="Arial" w:cs="Times New Roman"/>
      <w:sz w:val="20"/>
      <w:szCs w:val="20"/>
    </w:rPr>
  </w:style>
  <w:style w:type="paragraph" w:styleId="Caption">
    <w:name w:val="caption"/>
    <w:basedOn w:val="Normal"/>
    <w:next w:val="Normal"/>
    <w:uiPriority w:val="99"/>
    <w:qFormat/>
    <w:rsid w:val="006B5753"/>
    <w:pPr>
      <w:spacing w:before="120" w:after="120"/>
    </w:pPr>
    <w:rPr>
      <w:b/>
      <w:bCs/>
      <w:sz w:val="20"/>
    </w:rPr>
  </w:style>
  <w:style w:type="paragraph" w:styleId="TOC5">
    <w:name w:val="toc 5"/>
    <w:basedOn w:val="Normal"/>
    <w:next w:val="Normal"/>
    <w:uiPriority w:val="39"/>
    <w:rsid w:val="006B5753"/>
    <w:pPr>
      <w:ind w:left="960"/>
    </w:pPr>
  </w:style>
  <w:style w:type="paragraph" w:styleId="TOC6">
    <w:name w:val="toc 6"/>
    <w:basedOn w:val="Normal"/>
    <w:next w:val="Normal"/>
    <w:uiPriority w:val="39"/>
    <w:rsid w:val="006B5753"/>
    <w:pPr>
      <w:ind w:left="1200"/>
    </w:pPr>
  </w:style>
  <w:style w:type="paragraph" w:styleId="TOC7">
    <w:name w:val="toc 7"/>
    <w:basedOn w:val="Normal"/>
    <w:next w:val="Normal"/>
    <w:uiPriority w:val="39"/>
    <w:rsid w:val="006B5753"/>
    <w:pPr>
      <w:ind w:left="1440"/>
    </w:pPr>
  </w:style>
  <w:style w:type="paragraph" w:styleId="TOC8">
    <w:name w:val="toc 8"/>
    <w:basedOn w:val="Normal"/>
    <w:next w:val="Normal"/>
    <w:uiPriority w:val="39"/>
    <w:rsid w:val="006B5753"/>
    <w:pPr>
      <w:ind w:left="1680"/>
    </w:pPr>
  </w:style>
  <w:style w:type="paragraph" w:styleId="TOC9">
    <w:name w:val="toc 9"/>
    <w:basedOn w:val="Normal"/>
    <w:next w:val="Normal"/>
    <w:uiPriority w:val="39"/>
    <w:rsid w:val="006B5753"/>
    <w:pPr>
      <w:ind w:left="1920"/>
    </w:pPr>
  </w:style>
  <w:style w:type="character" w:customStyle="1" w:styleId="EmailStyle1201">
    <w:name w:val="EmailStyle1201"/>
    <w:basedOn w:val="DefaultParagraphFont"/>
    <w:uiPriority w:val="99"/>
    <w:rsid w:val="006B5753"/>
    <w:rPr>
      <w:rFonts w:ascii="Arial" w:hAnsi="Arial" w:cs="Arial"/>
      <w:color w:val="000000"/>
      <w:sz w:val="20"/>
    </w:rPr>
  </w:style>
  <w:style w:type="paragraph" w:customStyle="1" w:styleId="TableCell">
    <w:name w:val="TableCell"/>
    <w:link w:val="TableCellChar"/>
    <w:uiPriority w:val="99"/>
    <w:rsid w:val="006B5753"/>
    <w:pPr>
      <w:spacing w:before="60" w:after="60" w:line="240" w:lineRule="auto"/>
    </w:pPr>
    <w:rPr>
      <w:rFonts w:ascii="Arial" w:eastAsia="Times New Roman" w:hAnsi="Arial" w:cs="Times New Roman"/>
      <w:noProof/>
      <w:sz w:val="18"/>
      <w:szCs w:val="20"/>
    </w:rPr>
  </w:style>
  <w:style w:type="character" w:customStyle="1" w:styleId="TableCellChar">
    <w:name w:val="TableCell Char"/>
    <w:basedOn w:val="DefaultParagraphFont"/>
    <w:link w:val="TableCell"/>
    <w:uiPriority w:val="99"/>
    <w:locked/>
    <w:rsid w:val="006B5753"/>
    <w:rPr>
      <w:rFonts w:ascii="Arial" w:eastAsia="Times New Roman" w:hAnsi="Arial" w:cs="Times New Roman"/>
      <w:noProof/>
      <w:sz w:val="18"/>
      <w:szCs w:val="20"/>
    </w:rPr>
  </w:style>
  <w:style w:type="paragraph" w:styleId="NoSpacing">
    <w:name w:val="No Spacing"/>
    <w:uiPriority w:val="1"/>
    <w:qFormat/>
    <w:rsid w:val="00046826"/>
    <w:pPr>
      <w:spacing w:after="0" w:line="240" w:lineRule="auto"/>
    </w:pPr>
  </w:style>
  <w:style w:type="paragraph" w:styleId="Revision">
    <w:name w:val="Revision"/>
    <w:hidden/>
    <w:uiPriority w:val="99"/>
    <w:semiHidden/>
    <w:rsid w:val="00C1701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CC52AD"/>
    <w:rPr>
      <w:sz w:val="20"/>
    </w:rPr>
  </w:style>
  <w:style w:type="character" w:customStyle="1" w:styleId="EndnoteTextChar">
    <w:name w:val="Endnote Text Char"/>
    <w:basedOn w:val="DefaultParagraphFont"/>
    <w:link w:val="EndnoteText"/>
    <w:uiPriority w:val="99"/>
    <w:semiHidden/>
    <w:rsid w:val="00CC52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52AD"/>
    <w:rPr>
      <w:vertAlign w:val="superscript"/>
    </w:rPr>
  </w:style>
  <w:style w:type="paragraph" w:customStyle="1" w:styleId="source1">
    <w:name w:val="source 1"/>
    <w:basedOn w:val="ListParagraph"/>
    <w:qFormat/>
    <w:rsid w:val="002079FA"/>
    <w:pPr>
      <w:numPr>
        <w:numId w:val="10"/>
      </w:numPr>
      <w:adjustRightInd/>
      <w:spacing w:after="100" w:line="288" w:lineRule="auto"/>
      <w:contextualSpacing w:val="0"/>
    </w:pPr>
    <w:rPr>
      <w:rFonts w:ascii="Arial" w:hAnsi="Arial" w:cs="Arial"/>
      <w:sz w:val="20"/>
    </w:rPr>
  </w:style>
  <w:style w:type="paragraph" w:customStyle="1" w:styleId="source2">
    <w:name w:val="source 2"/>
    <w:basedOn w:val="ListParagraph"/>
    <w:qFormat/>
    <w:rsid w:val="002079FA"/>
    <w:pPr>
      <w:numPr>
        <w:ilvl w:val="1"/>
        <w:numId w:val="10"/>
      </w:numPr>
      <w:adjustRightInd/>
      <w:spacing w:after="100" w:line="288" w:lineRule="auto"/>
      <w:contextualSpacing w:val="0"/>
    </w:pPr>
    <w:rPr>
      <w:rFonts w:ascii="Arial" w:eastAsia="Calibr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57040">
      <w:bodyDiv w:val="1"/>
      <w:marLeft w:val="0"/>
      <w:marRight w:val="0"/>
      <w:marTop w:val="0"/>
      <w:marBottom w:val="0"/>
      <w:divBdr>
        <w:top w:val="none" w:sz="0" w:space="0" w:color="auto"/>
        <w:left w:val="none" w:sz="0" w:space="0" w:color="auto"/>
        <w:bottom w:val="none" w:sz="0" w:space="0" w:color="auto"/>
        <w:right w:val="none" w:sz="0" w:space="0" w:color="auto"/>
      </w:divBdr>
    </w:div>
    <w:div w:id="1041438299">
      <w:bodyDiv w:val="1"/>
      <w:marLeft w:val="0"/>
      <w:marRight w:val="0"/>
      <w:marTop w:val="0"/>
      <w:marBottom w:val="0"/>
      <w:divBdr>
        <w:top w:val="none" w:sz="0" w:space="0" w:color="auto"/>
        <w:left w:val="none" w:sz="0" w:space="0" w:color="auto"/>
        <w:bottom w:val="none" w:sz="0" w:space="0" w:color="auto"/>
        <w:right w:val="none" w:sz="0" w:space="0" w:color="auto"/>
      </w:divBdr>
    </w:div>
    <w:div w:id="1171063060">
      <w:bodyDiv w:val="1"/>
      <w:marLeft w:val="0"/>
      <w:marRight w:val="0"/>
      <w:marTop w:val="0"/>
      <w:marBottom w:val="0"/>
      <w:divBdr>
        <w:top w:val="none" w:sz="0" w:space="0" w:color="auto"/>
        <w:left w:val="none" w:sz="0" w:space="0" w:color="auto"/>
        <w:bottom w:val="none" w:sz="0" w:space="0" w:color="auto"/>
        <w:right w:val="none" w:sz="0" w:space="0" w:color="auto"/>
      </w:divBdr>
    </w:div>
    <w:div w:id="1223755248">
      <w:bodyDiv w:val="1"/>
      <w:marLeft w:val="0"/>
      <w:marRight w:val="0"/>
      <w:marTop w:val="0"/>
      <w:marBottom w:val="0"/>
      <w:divBdr>
        <w:top w:val="none" w:sz="0" w:space="0" w:color="auto"/>
        <w:left w:val="none" w:sz="0" w:space="0" w:color="auto"/>
        <w:bottom w:val="none" w:sz="0" w:space="0" w:color="auto"/>
        <w:right w:val="none" w:sz="0" w:space="0" w:color="auto"/>
      </w:divBdr>
    </w:div>
    <w:div w:id="1380671557">
      <w:bodyDiv w:val="1"/>
      <w:marLeft w:val="0"/>
      <w:marRight w:val="0"/>
      <w:marTop w:val="0"/>
      <w:marBottom w:val="0"/>
      <w:divBdr>
        <w:top w:val="none" w:sz="0" w:space="0" w:color="auto"/>
        <w:left w:val="none" w:sz="0" w:space="0" w:color="auto"/>
        <w:bottom w:val="none" w:sz="0" w:space="0" w:color="auto"/>
        <w:right w:val="none" w:sz="0" w:space="0" w:color="auto"/>
      </w:divBdr>
    </w:div>
    <w:div w:id="1448619528">
      <w:bodyDiv w:val="1"/>
      <w:marLeft w:val="0"/>
      <w:marRight w:val="0"/>
      <w:marTop w:val="0"/>
      <w:marBottom w:val="0"/>
      <w:divBdr>
        <w:top w:val="none" w:sz="0" w:space="0" w:color="auto"/>
        <w:left w:val="none" w:sz="0" w:space="0" w:color="auto"/>
        <w:bottom w:val="none" w:sz="0" w:space="0" w:color="auto"/>
        <w:right w:val="none" w:sz="0" w:space="0" w:color="auto"/>
      </w:divBdr>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8025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ma-eeac.org/docs/MA%20TRM_2011%20PLAN%20VERSION.PDF" TargetMode="External"/><Relationship Id="rId3" Type="http://schemas.openxmlformats.org/officeDocument/2006/relationships/hyperlink" Target="http://neep.org/uploads/EMV%20Forum/EMV%20Products/Mid%20Atlantic%20TRM_V1d_FINAL.pdf" TargetMode="External"/><Relationship Id="rId7" Type="http://schemas.openxmlformats.org/officeDocument/2006/relationships/hyperlink" Target="http://calmac.org/publications/FinalResidentialRetroEvaluationReport_11.pdf" TargetMode="External"/><Relationship Id="rId2" Type="http://schemas.openxmlformats.org/officeDocument/2006/relationships/hyperlink" Target="http://www1.eere.energy.gov/femp/regulations/eisa.html" TargetMode="External"/><Relationship Id="rId1" Type="http://schemas.openxmlformats.org/officeDocument/2006/relationships/hyperlink" Target="http://www.pabulletin.com/secure/data/vol41/41-41/1749.html" TargetMode="External"/><Relationship Id="rId6" Type="http://schemas.openxmlformats.org/officeDocument/2006/relationships/hyperlink" Target="http://www.deeresources.com/" TargetMode="External"/><Relationship Id="rId5" Type="http://schemas.openxmlformats.org/officeDocument/2006/relationships/hyperlink" Target="http://www.cee1.org/resid/seha/rwsh/reswash_specs.pdf" TargetMode="External"/><Relationship Id="rId4" Type="http://schemas.openxmlformats.org/officeDocument/2006/relationships/hyperlink" Target="https://sp.gdsassociates.com/sites/39701/Documents/Evaluation%20Compliance%20and%20Guidelines%20Documents/Guidance%20Memos/" TargetMode="External"/><Relationship Id="rId9" Type="http://schemas.openxmlformats.org/officeDocument/2006/relationships/hyperlink" Target="http://www.efficiencyvermo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87CE1-55C0-45D7-AD34-9A6D370C6195}">
  <ds:schemaRefs>
    <ds:schemaRef ds:uri="http://schemas.openxmlformats.org/officeDocument/2006/bibliography"/>
  </ds:schemaRefs>
</ds:datastoreItem>
</file>

<file path=customXml/itemProps2.xml><?xml version="1.0" encoding="utf-8"?>
<ds:datastoreItem xmlns:ds="http://schemas.openxmlformats.org/officeDocument/2006/customXml" ds:itemID="{FB373128-0031-4CBB-B43D-7D926E86FB74}">
  <ds:schemaRefs>
    <ds:schemaRef ds:uri="http://schemas.openxmlformats.org/officeDocument/2006/bibliography"/>
  </ds:schemaRefs>
</ds:datastoreItem>
</file>

<file path=customXml/itemProps3.xml><?xml version="1.0" encoding="utf-8"?>
<ds:datastoreItem xmlns:ds="http://schemas.openxmlformats.org/officeDocument/2006/customXml" ds:itemID="{E9C6E986-3013-4976-B0BB-86240210E354}">
  <ds:schemaRefs>
    <ds:schemaRef ds:uri="http://schemas.openxmlformats.org/officeDocument/2006/bibliography"/>
  </ds:schemaRefs>
</ds:datastoreItem>
</file>

<file path=customXml/itemProps4.xml><?xml version="1.0" encoding="utf-8"?>
<ds:datastoreItem xmlns:ds="http://schemas.openxmlformats.org/officeDocument/2006/customXml" ds:itemID="{006FC983-B2D3-473B-ABFE-987E8A899BF8}">
  <ds:schemaRefs>
    <ds:schemaRef ds:uri="http://schemas.openxmlformats.org/officeDocument/2006/bibliography"/>
  </ds:schemaRefs>
</ds:datastoreItem>
</file>

<file path=customXml/itemProps5.xml><?xml version="1.0" encoding="utf-8"?>
<ds:datastoreItem xmlns:ds="http://schemas.openxmlformats.org/officeDocument/2006/customXml" ds:itemID="{F42FFF7F-E747-4B8C-A5E1-4DF9C774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78</Pages>
  <Words>16702</Words>
  <Characters>95205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dmaher</dc:creator>
  <cp:lastModifiedBy>Miller, Sara</cp:lastModifiedBy>
  <cp:revision>15</cp:revision>
  <cp:lastPrinted>2011-12-15T20:02:00Z</cp:lastPrinted>
  <dcterms:created xsi:type="dcterms:W3CDTF">2011-12-06T16:27:00Z</dcterms:created>
  <dcterms:modified xsi:type="dcterms:W3CDTF">2011-12-15T20:02:00Z</dcterms:modified>
</cp:coreProperties>
</file>