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37741" w:rsidRPr="006439E9" w:rsidTr="009C3DA9">
        <w:trPr>
          <w:trHeight w:val="990"/>
        </w:trPr>
        <w:tc>
          <w:tcPr>
            <w:tcW w:w="1363" w:type="dxa"/>
          </w:tcPr>
          <w:p w:rsidR="00E37741" w:rsidRPr="006439E9" w:rsidRDefault="00005927" w:rsidP="009C3DA9">
            <w:pPr>
              <w:rPr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>
                  <wp:extent cx="699135" cy="699135"/>
                  <wp:effectExtent l="19050" t="0" r="571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vAlign w:val="center"/>
          </w:tcPr>
          <w:p w:rsidR="00E37741" w:rsidRPr="006439E9" w:rsidRDefault="00E37741" w:rsidP="009C3DA9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:rsidR="00E37741" w:rsidRPr="00E21111" w:rsidRDefault="00E37741" w:rsidP="009C3DA9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r w:rsidRPr="00E21111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:rsidR="00E37741" w:rsidRPr="00E21111" w:rsidRDefault="00E37741" w:rsidP="009C3DA9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r w:rsidRPr="00E21111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:rsidR="00E37741" w:rsidRPr="006439E9" w:rsidRDefault="00E37741" w:rsidP="009C3DA9">
            <w:pPr>
              <w:jc w:val="center"/>
              <w:rPr>
                <w:sz w:val="24"/>
                <w:szCs w:val="24"/>
              </w:rPr>
            </w:pPr>
            <w:r w:rsidRPr="00E21111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P.O. </w:t>
            </w:r>
            <w:smartTag w:uri="urn:schemas-microsoft-com:office:smarttags" w:element="stockticker">
              <w:r w:rsidRPr="00E21111">
                <w:rPr>
                  <w:rFonts w:ascii="Arial" w:hAnsi="Arial" w:cs="Arial"/>
                  <w:color w:val="000080"/>
                  <w:spacing w:val="-3"/>
                  <w:sz w:val="24"/>
                  <w:szCs w:val="24"/>
                </w:rPr>
                <w:t>BOX</w:t>
              </w:r>
            </w:smartTag>
            <w:r w:rsidRPr="00E21111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 3265, HARRISBURG, PA 17105-3265</w:t>
            </w:r>
          </w:p>
        </w:tc>
        <w:tc>
          <w:tcPr>
            <w:tcW w:w="1452" w:type="dxa"/>
          </w:tcPr>
          <w:p w:rsidR="00E37741" w:rsidRPr="006439E9" w:rsidRDefault="00E37741" w:rsidP="009C3DA9">
            <w:pPr>
              <w:rPr>
                <w:sz w:val="24"/>
                <w:szCs w:val="24"/>
              </w:rPr>
            </w:pPr>
          </w:p>
          <w:p w:rsidR="00E37741" w:rsidRPr="00781AAE" w:rsidRDefault="00E37741" w:rsidP="009C3DA9">
            <w:pPr>
              <w:rPr>
                <w:sz w:val="16"/>
                <w:szCs w:val="16"/>
              </w:rPr>
            </w:pPr>
          </w:p>
          <w:p w:rsidR="00E37741" w:rsidRPr="00781AAE" w:rsidRDefault="00E37741" w:rsidP="009C3DA9">
            <w:pPr>
              <w:rPr>
                <w:sz w:val="16"/>
                <w:szCs w:val="16"/>
              </w:rPr>
            </w:pPr>
          </w:p>
          <w:p w:rsidR="00E37741" w:rsidRPr="00E21111" w:rsidRDefault="00E37741" w:rsidP="009C3DA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21111">
              <w:rPr>
                <w:rFonts w:ascii="Arial" w:hAnsi="Arial" w:cs="Arial"/>
                <w:spacing w:val="-1"/>
                <w:sz w:val="12"/>
                <w:szCs w:val="12"/>
              </w:rPr>
              <w:t xml:space="preserve">IN REPLY PLEASE REFER TO OUR </w:t>
            </w:r>
            <w:smartTag w:uri="urn:schemas-microsoft-com:office:smarttags" w:element="stockticker">
              <w:r w:rsidRPr="00E21111">
                <w:rPr>
                  <w:rFonts w:ascii="Arial" w:hAnsi="Arial" w:cs="Arial"/>
                  <w:spacing w:val="-1"/>
                  <w:sz w:val="12"/>
                  <w:szCs w:val="12"/>
                </w:rPr>
                <w:t>FILE</w:t>
              </w:r>
            </w:smartTag>
          </w:p>
        </w:tc>
      </w:tr>
    </w:tbl>
    <w:p w:rsidR="00E37741" w:rsidRPr="006439E9" w:rsidRDefault="00E37741" w:rsidP="00E37741">
      <w:pPr>
        <w:rPr>
          <w:sz w:val="24"/>
          <w:szCs w:val="24"/>
        </w:rPr>
        <w:sectPr w:rsidR="00E37741" w:rsidRPr="006439E9">
          <w:pgSz w:w="12240" w:h="15840"/>
          <w:pgMar w:top="864" w:right="1440" w:bottom="1440" w:left="1440" w:header="720" w:footer="720" w:gutter="0"/>
          <w:cols w:space="720"/>
        </w:sectPr>
      </w:pPr>
    </w:p>
    <w:p w:rsidR="008C09D7" w:rsidRPr="006439E9" w:rsidRDefault="008C09D7" w:rsidP="008C09D7">
      <w:pPr>
        <w:jc w:val="center"/>
        <w:rPr>
          <w:sz w:val="24"/>
          <w:szCs w:val="24"/>
        </w:rPr>
      </w:pPr>
    </w:p>
    <w:p w:rsidR="00524C92" w:rsidRPr="0097019B" w:rsidRDefault="006860AB" w:rsidP="008C09D7">
      <w:pPr>
        <w:jc w:val="center"/>
        <w:rPr>
          <w:sz w:val="24"/>
          <w:szCs w:val="24"/>
        </w:rPr>
      </w:pPr>
      <w:r w:rsidRPr="0097019B">
        <w:rPr>
          <w:sz w:val="24"/>
          <w:szCs w:val="24"/>
        </w:rPr>
        <w:t xml:space="preserve">July </w:t>
      </w:r>
      <w:r w:rsidR="00FE70E3">
        <w:rPr>
          <w:sz w:val="24"/>
          <w:szCs w:val="24"/>
        </w:rPr>
        <w:t>7</w:t>
      </w:r>
      <w:r w:rsidR="00524C92" w:rsidRPr="0097019B">
        <w:rPr>
          <w:sz w:val="24"/>
          <w:szCs w:val="24"/>
        </w:rPr>
        <w:t>, 2011</w:t>
      </w:r>
    </w:p>
    <w:p w:rsidR="00524C92" w:rsidRPr="0097019B" w:rsidRDefault="00524C92" w:rsidP="008C09D7">
      <w:pPr>
        <w:jc w:val="center"/>
        <w:rPr>
          <w:sz w:val="24"/>
          <w:szCs w:val="24"/>
        </w:rPr>
      </w:pPr>
    </w:p>
    <w:p w:rsidR="002D7F7D" w:rsidRPr="0097019B" w:rsidRDefault="002D7F7D" w:rsidP="008C09D7">
      <w:pPr>
        <w:jc w:val="center"/>
        <w:rPr>
          <w:sz w:val="24"/>
          <w:szCs w:val="24"/>
        </w:rPr>
      </w:pPr>
    </w:p>
    <w:p w:rsidR="00524C92" w:rsidRPr="0097019B" w:rsidRDefault="00524C92" w:rsidP="00524C92">
      <w:pPr>
        <w:rPr>
          <w:sz w:val="24"/>
          <w:szCs w:val="24"/>
        </w:rPr>
      </w:pPr>
      <w:r w:rsidRPr="0097019B">
        <w:rPr>
          <w:sz w:val="24"/>
          <w:szCs w:val="24"/>
        </w:rPr>
        <w:t>To:</w:t>
      </w:r>
      <w:r w:rsidRPr="0097019B">
        <w:rPr>
          <w:sz w:val="24"/>
          <w:szCs w:val="24"/>
        </w:rPr>
        <w:tab/>
        <w:t xml:space="preserve">All Electric Distribution Companies and </w:t>
      </w:r>
      <w:r w:rsidR="00F30CA8">
        <w:rPr>
          <w:sz w:val="24"/>
          <w:szCs w:val="24"/>
        </w:rPr>
        <w:t>E</w:t>
      </w:r>
      <w:r w:rsidRPr="0097019B">
        <w:rPr>
          <w:sz w:val="24"/>
          <w:szCs w:val="24"/>
        </w:rPr>
        <w:t>lectric Generation Suppliers</w:t>
      </w:r>
    </w:p>
    <w:p w:rsidR="00524C92" w:rsidRPr="0097019B" w:rsidRDefault="00524C92" w:rsidP="00524C92">
      <w:pPr>
        <w:rPr>
          <w:sz w:val="24"/>
          <w:szCs w:val="24"/>
        </w:rPr>
      </w:pPr>
    </w:p>
    <w:p w:rsidR="00524C92" w:rsidRDefault="00524C92" w:rsidP="00524C92">
      <w:pPr>
        <w:rPr>
          <w:sz w:val="24"/>
          <w:szCs w:val="24"/>
        </w:rPr>
      </w:pPr>
      <w:r w:rsidRPr="0097019B">
        <w:rPr>
          <w:sz w:val="24"/>
          <w:szCs w:val="24"/>
        </w:rPr>
        <w:t xml:space="preserve">Re: </w:t>
      </w:r>
      <w:r w:rsidR="00A13A39">
        <w:rPr>
          <w:sz w:val="24"/>
          <w:szCs w:val="24"/>
        </w:rPr>
        <w:tab/>
      </w:r>
      <w:r w:rsidRPr="0097019B">
        <w:rPr>
          <w:sz w:val="24"/>
          <w:szCs w:val="24"/>
        </w:rPr>
        <w:t xml:space="preserve">Tax Information Required For </w:t>
      </w:r>
      <w:r w:rsidR="00D85539" w:rsidRPr="0097019B">
        <w:rPr>
          <w:sz w:val="24"/>
          <w:szCs w:val="24"/>
        </w:rPr>
        <w:t>P</w:t>
      </w:r>
      <w:r w:rsidRPr="0097019B">
        <w:rPr>
          <w:sz w:val="24"/>
          <w:szCs w:val="24"/>
        </w:rPr>
        <w:t>resentment on Residential Electric Bills</w:t>
      </w:r>
    </w:p>
    <w:p w:rsidR="00A13A39" w:rsidRDefault="00A13A39" w:rsidP="00524C92">
      <w:pPr>
        <w:rPr>
          <w:sz w:val="24"/>
          <w:szCs w:val="24"/>
        </w:rPr>
      </w:pPr>
    </w:p>
    <w:p w:rsidR="00A13A39" w:rsidRPr="0097019B" w:rsidRDefault="00A13A39" w:rsidP="00524C92">
      <w:pPr>
        <w:rPr>
          <w:sz w:val="24"/>
          <w:szCs w:val="24"/>
        </w:rPr>
      </w:pPr>
      <w:r>
        <w:rPr>
          <w:sz w:val="24"/>
          <w:szCs w:val="24"/>
        </w:rPr>
        <w:t>Docket No.</w:t>
      </w:r>
      <w:r>
        <w:rPr>
          <w:sz w:val="24"/>
          <w:szCs w:val="24"/>
        </w:rPr>
        <w:tab/>
        <w:t>M-2009-2082042</w:t>
      </w:r>
    </w:p>
    <w:p w:rsidR="00524C92" w:rsidRPr="0097019B" w:rsidRDefault="00524C92" w:rsidP="00524C92">
      <w:pPr>
        <w:rPr>
          <w:sz w:val="24"/>
          <w:szCs w:val="24"/>
        </w:rPr>
      </w:pPr>
    </w:p>
    <w:p w:rsidR="00A15727" w:rsidRPr="0097019B" w:rsidRDefault="00A15727" w:rsidP="00524C92">
      <w:pPr>
        <w:rPr>
          <w:sz w:val="24"/>
          <w:szCs w:val="24"/>
        </w:rPr>
      </w:pPr>
    </w:p>
    <w:p w:rsidR="00D85539" w:rsidRPr="0097019B" w:rsidRDefault="00D85539" w:rsidP="00F92CB1">
      <w:pPr>
        <w:rPr>
          <w:sz w:val="24"/>
          <w:szCs w:val="24"/>
        </w:rPr>
      </w:pPr>
      <w:r w:rsidRPr="0097019B">
        <w:rPr>
          <w:sz w:val="24"/>
          <w:szCs w:val="24"/>
        </w:rPr>
        <w:tab/>
      </w:r>
      <w:r w:rsidR="00CF7142" w:rsidRPr="0097019B">
        <w:rPr>
          <w:sz w:val="24"/>
          <w:szCs w:val="24"/>
        </w:rPr>
        <w:t xml:space="preserve">At the request of the </w:t>
      </w:r>
      <w:r w:rsidRPr="0097019B">
        <w:rPr>
          <w:sz w:val="24"/>
          <w:szCs w:val="24"/>
        </w:rPr>
        <w:t>Office of Competitive Market Oversight (OCMO)</w:t>
      </w:r>
      <w:r w:rsidR="00CF7142" w:rsidRPr="0097019B">
        <w:rPr>
          <w:sz w:val="24"/>
          <w:szCs w:val="24"/>
        </w:rPr>
        <w:t>, the Pennsylvania Public Utility Commission</w:t>
      </w:r>
      <w:r w:rsidR="00FD7364" w:rsidRPr="0097019B">
        <w:rPr>
          <w:sz w:val="24"/>
          <w:szCs w:val="24"/>
        </w:rPr>
        <w:t xml:space="preserve"> (PUC)</w:t>
      </w:r>
      <w:r w:rsidR="00CF7142" w:rsidRPr="0097019B">
        <w:rPr>
          <w:sz w:val="24"/>
          <w:szCs w:val="24"/>
        </w:rPr>
        <w:t xml:space="preserve"> </w:t>
      </w:r>
      <w:r w:rsidR="002A1D57" w:rsidRPr="0097019B">
        <w:rPr>
          <w:sz w:val="24"/>
          <w:szCs w:val="24"/>
        </w:rPr>
        <w:t xml:space="preserve">is issuing this guidance on the placement of </w:t>
      </w:r>
      <w:r w:rsidR="00CF7142" w:rsidRPr="0097019B">
        <w:rPr>
          <w:sz w:val="24"/>
          <w:szCs w:val="24"/>
        </w:rPr>
        <w:t xml:space="preserve">tax information on residential customer bills.  </w:t>
      </w:r>
      <w:r w:rsidR="00FD7364" w:rsidRPr="0097019B">
        <w:rPr>
          <w:sz w:val="24"/>
          <w:szCs w:val="24"/>
        </w:rPr>
        <w:t xml:space="preserve">OCMO </w:t>
      </w:r>
      <w:r w:rsidR="00781AAE" w:rsidRPr="0097019B">
        <w:rPr>
          <w:sz w:val="24"/>
          <w:szCs w:val="24"/>
        </w:rPr>
        <w:t>requested this guidance</w:t>
      </w:r>
      <w:r w:rsidR="00FD7364" w:rsidRPr="0097019B">
        <w:rPr>
          <w:sz w:val="24"/>
          <w:szCs w:val="24"/>
        </w:rPr>
        <w:t xml:space="preserve"> to address questions and concerns </w:t>
      </w:r>
      <w:r w:rsidR="00781AAE" w:rsidRPr="0097019B">
        <w:rPr>
          <w:sz w:val="24"/>
          <w:szCs w:val="24"/>
        </w:rPr>
        <w:t xml:space="preserve">that were </w:t>
      </w:r>
      <w:r w:rsidR="00FD7364" w:rsidRPr="0097019B">
        <w:rPr>
          <w:sz w:val="24"/>
          <w:szCs w:val="24"/>
        </w:rPr>
        <w:t xml:space="preserve">raised </w:t>
      </w:r>
      <w:r w:rsidR="000F1C39" w:rsidRPr="0097019B">
        <w:rPr>
          <w:sz w:val="24"/>
          <w:szCs w:val="24"/>
        </w:rPr>
        <w:t>by b</w:t>
      </w:r>
      <w:r w:rsidR="00FD7364" w:rsidRPr="0097019B">
        <w:rPr>
          <w:sz w:val="24"/>
          <w:szCs w:val="24"/>
        </w:rPr>
        <w:t xml:space="preserve">oth electric distribution companies (EDCs) and electric generation suppliers (EGSs) in </w:t>
      </w:r>
      <w:r w:rsidR="000F1C39" w:rsidRPr="0097019B">
        <w:rPr>
          <w:sz w:val="24"/>
          <w:szCs w:val="24"/>
        </w:rPr>
        <w:t>the working group,</w:t>
      </w:r>
      <w:r w:rsidR="00FD7364" w:rsidRPr="0097019B">
        <w:rPr>
          <w:sz w:val="24"/>
          <w:szCs w:val="24"/>
        </w:rPr>
        <w:t xml:space="preserve"> Committee Handling Activities for Retail Growth in Electricity (CHARGE)</w:t>
      </w:r>
      <w:r w:rsidR="004D7F0D" w:rsidRPr="0097019B">
        <w:rPr>
          <w:sz w:val="24"/>
          <w:szCs w:val="24"/>
        </w:rPr>
        <w:t>.</w:t>
      </w:r>
      <w:r w:rsidRPr="0097019B">
        <w:rPr>
          <w:sz w:val="24"/>
          <w:szCs w:val="24"/>
        </w:rPr>
        <w:t xml:space="preserve">  </w:t>
      </w:r>
      <w:r w:rsidR="00F92CB1" w:rsidRPr="0097019B">
        <w:rPr>
          <w:sz w:val="24"/>
          <w:szCs w:val="24"/>
        </w:rPr>
        <w:t xml:space="preserve">The Electronic Data Exchange Working Group (EDEWG) also sought guidance on these issues </w:t>
      </w:r>
      <w:r w:rsidR="002A1D57" w:rsidRPr="0097019B">
        <w:rPr>
          <w:sz w:val="24"/>
          <w:szCs w:val="24"/>
        </w:rPr>
        <w:t>for use in developing</w:t>
      </w:r>
      <w:r w:rsidR="009D7449" w:rsidRPr="0097019B">
        <w:rPr>
          <w:sz w:val="24"/>
          <w:szCs w:val="24"/>
        </w:rPr>
        <w:t xml:space="preserve"> formats for </w:t>
      </w:r>
      <w:r w:rsidR="00781AAE" w:rsidRPr="0097019B">
        <w:rPr>
          <w:sz w:val="24"/>
          <w:szCs w:val="24"/>
        </w:rPr>
        <w:t xml:space="preserve">customer bills – both </w:t>
      </w:r>
      <w:r w:rsidR="00F92CB1" w:rsidRPr="0097019B">
        <w:rPr>
          <w:sz w:val="24"/>
          <w:szCs w:val="24"/>
        </w:rPr>
        <w:t xml:space="preserve">supplier-only bills </w:t>
      </w:r>
      <w:r w:rsidR="00781AAE" w:rsidRPr="0097019B">
        <w:rPr>
          <w:sz w:val="24"/>
          <w:szCs w:val="24"/>
        </w:rPr>
        <w:t>and</w:t>
      </w:r>
      <w:r w:rsidR="00F92CB1" w:rsidRPr="0097019B">
        <w:rPr>
          <w:sz w:val="24"/>
          <w:szCs w:val="24"/>
        </w:rPr>
        <w:t xml:space="preserve"> supplier consolidated bills (SCB)</w:t>
      </w:r>
      <w:r w:rsidR="0030722C" w:rsidRPr="0097019B">
        <w:rPr>
          <w:rStyle w:val="FootnoteReference"/>
          <w:sz w:val="24"/>
          <w:szCs w:val="24"/>
        </w:rPr>
        <w:footnoteReference w:id="1"/>
      </w:r>
      <w:r w:rsidR="00F92CB1" w:rsidRPr="0097019B">
        <w:rPr>
          <w:sz w:val="24"/>
          <w:szCs w:val="24"/>
        </w:rPr>
        <w:t xml:space="preserve">. </w:t>
      </w:r>
    </w:p>
    <w:p w:rsidR="00CF11BF" w:rsidRPr="0097019B" w:rsidRDefault="00CF11BF" w:rsidP="00F92CB1">
      <w:pPr>
        <w:rPr>
          <w:sz w:val="24"/>
          <w:szCs w:val="24"/>
        </w:rPr>
      </w:pPr>
    </w:p>
    <w:p w:rsidR="00D733B8" w:rsidRPr="0097019B" w:rsidRDefault="00D733B8" w:rsidP="00F92CB1">
      <w:pPr>
        <w:rPr>
          <w:b/>
          <w:sz w:val="24"/>
          <w:szCs w:val="24"/>
        </w:rPr>
      </w:pPr>
      <w:r w:rsidRPr="0097019B">
        <w:rPr>
          <w:b/>
          <w:sz w:val="24"/>
          <w:szCs w:val="24"/>
        </w:rPr>
        <w:t>General Guidance</w:t>
      </w:r>
    </w:p>
    <w:p w:rsidR="00D733B8" w:rsidRPr="0097019B" w:rsidRDefault="00D733B8" w:rsidP="00F92CB1">
      <w:pPr>
        <w:rPr>
          <w:b/>
          <w:sz w:val="24"/>
          <w:szCs w:val="24"/>
        </w:rPr>
      </w:pPr>
    </w:p>
    <w:p w:rsidR="00E5665C" w:rsidRPr="0097019B" w:rsidRDefault="00E5665C" w:rsidP="00F92CB1">
      <w:pPr>
        <w:rPr>
          <w:sz w:val="24"/>
          <w:szCs w:val="24"/>
        </w:rPr>
      </w:pPr>
      <w:r w:rsidRPr="0097019B">
        <w:rPr>
          <w:sz w:val="24"/>
          <w:szCs w:val="24"/>
        </w:rPr>
        <w:tab/>
      </w:r>
      <w:proofErr w:type="gramStart"/>
      <w:r w:rsidRPr="0097019B">
        <w:rPr>
          <w:sz w:val="24"/>
          <w:szCs w:val="24"/>
        </w:rPr>
        <w:t xml:space="preserve">Section 2807(c) of the Public </w:t>
      </w:r>
      <w:r w:rsidR="00AF6FB4">
        <w:rPr>
          <w:sz w:val="24"/>
          <w:szCs w:val="24"/>
        </w:rPr>
        <w:t xml:space="preserve">Utility </w:t>
      </w:r>
      <w:r w:rsidRPr="0097019B">
        <w:rPr>
          <w:sz w:val="24"/>
          <w:szCs w:val="24"/>
        </w:rPr>
        <w:t>Code states that</w:t>
      </w:r>
      <w:r w:rsidR="00FC70FA" w:rsidRPr="0097019B">
        <w:rPr>
          <w:sz w:val="24"/>
          <w:szCs w:val="24"/>
        </w:rPr>
        <w:t>,</w:t>
      </w:r>
      <w:r w:rsidRPr="0097019B">
        <w:rPr>
          <w:sz w:val="24"/>
          <w:szCs w:val="24"/>
        </w:rPr>
        <w:t xml:space="preserve"> subject to the right of the customer to choose to receive </w:t>
      </w:r>
      <w:r w:rsidR="00A90445" w:rsidRPr="0097019B">
        <w:rPr>
          <w:sz w:val="24"/>
          <w:szCs w:val="24"/>
        </w:rPr>
        <w:t xml:space="preserve">a </w:t>
      </w:r>
      <w:r w:rsidRPr="0097019B">
        <w:rPr>
          <w:sz w:val="24"/>
          <w:szCs w:val="24"/>
        </w:rPr>
        <w:t xml:space="preserve">separate bill from its EGS, the EDC may be responsible for billing customers </w:t>
      </w:r>
      <w:r w:rsidR="00B8268F" w:rsidRPr="0097019B">
        <w:rPr>
          <w:sz w:val="24"/>
          <w:szCs w:val="24"/>
        </w:rPr>
        <w:t>for all electric services, regardless of the identity of the provider of those services.</w:t>
      </w:r>
      <w:proofErr w:type="gramEnd"/>
      <w:r w:rsidR="00B8268F" w:rsidRPr="0097019B">
        <w:rPr>
          <w:sz w:val="24"/>
          <w:szCs w:val="24"/>
        </w:rPr>
        <w:t xml:space="preserve"> </w:t>
      </w:r>
      <w:proofErr w:type="gramStart"/>
      <w:r w:rsidR="00B8268F" w:rsidRPr="0097019B">
        <w:rPr>
          <w:sz w:val="24"/>
          <w:szCs w:val="24"/>
        </w:rPr>
        <w:t xml:space="preserve">66 </w:t>
      </w:r>
      <w:proofErr w:type="spellStart"/>
      <w:r w:rsidR="00B8268F" w:rsidRPr="0097019B">
        <w:rPr>
          <w:sz w:val="24"/>
          <w:szCs w:val="24"/>
        </w:rPr>
        <w:t>Pa.C.S</w:t>
      </w:r>
      <w:proofErr w:type="spellEnd"/>
      <w:r w:rsidR="00B8268F" w:rsidRPr="0097019B">
        <w:rPr>
          <w:sz w:val="24"/>
          <w:szCs w:val="24"/>
        </w:rPr>
        <w:t>.</w:t>
      </w:r>
      <w:proofErr w:type="gramEnd"/>
      <w:r w:rsidR="00FC70FA" w:rsidRPr="0097019B">
        <w:rPr>
          <w:sz w:val="24"/>
          <w:szCs w:val="24"/>
        </w:rPr>
        <w:t xml:space="preserve"> </w:t>
      </w:r>
      <w:r w:rsidR="00B8268F" w:rsidRPr="0097019B">
        <w:rPr>
          <w:sz w:val="24"/>
          <w:szCs w:val="24"/>
        </w:rPr>
        <w:t>§ 2807(c).</w:t>
      </w:r>
      <w:r w:rsidR="00CA1419" w:rsidRPr="0097019B">
        <w:rPr>
          <w:sz w:val="24"/>
          <w:szCs w:val="24"/>
        </w:rPr>
        <w:t xml:space="preserve">  If generation service is provided by an EGS, the EGS shall furnish to the EDC billing data sufficient to enable the EDC to bill customers.</w:t>
      </w:r>
      <w:r w:rsidR="00D733B8" w:rsidRPr="0097019B">
        <w:rPr>
          <w:sz w:val="24"/>
          <w:szCs w:val="24"/>
        </w:rPr>
        <w:t xml:space="preserve">  </w:t>
      </w:r>
      <w:proofErr w:type="gramStart"/>
      <w:r w:rsidR="00D733B8" w:rsidRPr="0097019B">
        <w:rPr>
          <w:sz w:val="24"/>
          <w:szCs w:val="24"/>
        </w:rPr>
        <w:t xml:space="preserve">66 </w:t>
      </w:r>
      <w:proofErr w:type="spellStart"/>
      <w:r w:rsidR="00D733B8" w:rsidRPr="0097019B">
        <w:rPr>
          <w:sz w:val="24"/>
          <w:szCs w:val="24"/>
        </w:rPr>
        <w:t>Pa.C.S</w:t>
      </w:r>
      <w:proofErr w:type="spellEnd"/>
      <w:r w:rsidR="00D733B8" w:rsidRPr="0097019B">
        <w:rPr>
          <w:sz w:val="24"/>
          <w:szCs w:val="24"/>
        </w:rPr>
        <w:t>.</w:t>
      </w:r>
      <w:proofErr w:type="gramEnd"/>
      <w:r w:rsidR="00FC70FA" w:rsidRPr="0097019B">
        <w:rPr>
          <w:sz w:val="24"/>
          <w:szCs w:val="24"/>
        </w:rPr>
        <w:t xml:space="preserve"> </w:t>
      </w:r>
      <w:r w:rsidR="00D733B8" w:rsidRPr="0097019B">
        <w:rPr>
          <w:sz w:val="24"/>
          <w:szCs w:val="24"/>
        </w:rPr>
        <w:t>§ 2807(c</w:t>
      </w:r>
      <w:proofErr w:type="gramStart"/>
      <w:r w:rsidR="00D733B8" w:rsidRPr="0097019B">
        <w:rPr>
          <w:sz w:val="24"/>
          <w:szCs w:val="24"/>
        </w:rPr>
        <w:t>)(</w:t>
      </w:r>
      <w:proofErr w:type="gramEnd"/>
      <w:r w:rsidR="00D733B8" w:rsidRPr="0097019B">
        <w:rPr>
          <w:sz w:val="24"/>
          <w:szCs w:val="24"/>
        </w:rPr>
        <w:t>2).</w:t>
      </w:r>
    </w:p>
    <w:p w:rsidR="00CA1419" w:rsidRPr="0097019B" w:rsidRDefault="00CA1419" w:rsidP="00434980">
      <w:pPr>
        <w:rPr>
          <w:sz w:val="24"/>
          <w:szCs w:val="24"/>
        </w:rPr>
      </w:pPr>
    </w:p>
    <w:p w:rsidR="00983F19" w:rsidRPr="0097019B" w:rsidRDefault="00DB6A60" w:rsidP="00434980">
      <w:pPr>
        <w:rPr>
          <w:color w:val="000000"/>
          <w:sz w:val="24"/>
          <w:szCs w:val="24"/>
        </w:rPr>
      </w:pPr>
      <w:r w:rsidRPr="0097019B">
        <w:rPr>
          <w:sz w:val="24"/>
          <w:szCs w:val="24"/>
        </w:rPr>
        <w:tab/>
      </w:r>
      <w:r w:rsidR="00983F19" w:rsidRPr="0097019B">
        <w:rPr>
          <w:sz w:val="24"/>
          <w:szCs w:val="24"/>
        </w:rPr>
        <w:t>Section 1509 of the Public Utility C</w:t>
      </w:r>
      <w:r w:rsidR="00CB3766" w:rsidRPr="0097019B">
        <w:rPr>
          <w:sz w:val="24"/>
          <w:szCs w:val="24"/>
        </w:rPr>
        <w:t>ode provides that the following tax information</w:t>
      </w:r>
      <w:r w:rsidR="00983F19" w:rsidRPr="0097019B">
        <w:rPr>
          <w:sz w:val="24"/>
          <w:szCs w:val="24"/>
        </w:rPr>
        <w:t xml:space="preserve"> be itemized on the bill:</w:t>
      </w:r>
      <w:r w:rsidR="00983F19" w:rsidRPr="0097019B">
        <w:rPr>
          <w:color w:val="000000"/>
          <w:sz w:val="24"/>
          <w:szCs w:val="24"/>
        </w:rPr>
        <w:t xml:space="preserve"> </w:t>
      </w:r>
    </w:p>
    <w:p w:rsidR="00173BBC" w:rsidRPr="0097019B" w:rsidRDefault="00173BBC" w:rsidP="00434980">
      <w:pPr>
        <w:rPr>
          <w:color w:val="000000"/>
          <w:sz w:val="24"/>
          <w:szCs w:val="24"/>
        </w:rPr>
      </w:pPr>
    </w:p>
    <w:p w:rsidR="00CB3766" w:rsidRDefault="00983F19" w:rsidP="00983F19">
      <w:pPr>
        <w:ind w:left="720"/>
        <w:rPr>
          <w:color w:val="000000"/>
          <w:sz w:val="24"/>
          <w:szCs w:val="24"/>
        </w:rPr>
      </w:pPr>
      <w:r w:rsidRPr="0097019B">
        <w:rPr>
          <w:color w:val="000000"/>
          <w:sz w:val="24"/>
          <w:szCs w:val="24"/>
        </w:rPr>
        <w:t>Federal excise taxes, applicable State sales and gross receipts taxes</w:t>
      </w:r>
      <w:r w:rsidR="008D12C4" w:rsidRPr="0097019B">
        <w:rPr>
          <w:color w:val="000000"/>
          <w:sz w:val="24"/>
          <w:szCs w:val="24"/>
        </w:rPr>
        <w:t xml:space="preserve"> [GRT]</w:t>
      </w:r>
      <w:r w:rsidRPr="0097019B">
        <w:rPr>
          <w:color w:val="000000"/>
          <w:sz w:val="24"/>
          <w:szCs w:val="24"/>
        </w:rPr>
        <w:t xml:space="preserve">, to the extent practicable, fuel adjustment charge, if any, State tax </w:t>
      </w:r>
      <w:bookmarkStart w:id="0" w:name="SDU_2"/>
      <w:bookmarkEnd w:id="0"/>
      <w:r w:rsidRPr="0097019B">
        <w:rPr>
          <w:color w:val="000000"/>
          <w:sz w:val="24"/>
          <w:szCs w:val="24"/>
        </w:rPr>
        <w:t>adjustment charge or such other similar components of the total bill as the commission may order.</w:t>
      </w:r>
    </w:p>
    <w:p w:rsidR="005B671F" w:rsidRPr="0097019B" w:rsidRDefault="005B671F" w:rsidP="00983F19">
      <w:pPr>
        <w:ind w:left="720"/>
        <w:rPr>
          <w:color w:val="000000"/>
          <w:sz w:val="24"/>
          <w:szCs w:val="24"/>
        </w:rPr>
      </w:pPr>
    </w:p>
    <w:p w:rsidR="00983F19" w:rsidRPr="0097019B" w:rsidRDefault="00983F19" w:rsidP="00983F19">
      <w:pPr>
        <w:rPr>
          <w:color w:val="000000"/>
          <w:sz w:val="24"/>
          <w:szCs w:val="24"/>
        </w:rPr>
      </w:pPr>
      <w:proofErr w:type="gramStart"/>
      <w:r w:rsidRPr="0097019B">
        <w:rPr>
          <w:color w:val="000000"/>
          <w:sz w:val="24"/>
          <w:szCs w:val="24"/>
        </w:rPr>
        <w:t xml:space="preserve">66 </w:t>
      </w:r>
      <w:proofErr w:type="spellStart"/>
      <w:r w:rsidRPr="0097019B">
        <w:rPr>
          <w:color w:val="000000"/>
          <w:sz w:val="24"/>
          <w:szCs w:val="24"/>
        </w:rPr>
        <w:t>Pa.C.S</w:t>
      </w:r>
      <w:proofErr w:type="spellEnd"/>
      <w:r w:rsidRPr="0097019B">
        <w:rPr>
          <w:color w:val="000000"/>
          <w:sz w:val="24"/>
          <w:szCs w:val="24"/>
        </w:rPr>
        <w:t>.</w:t>
      </w:r>
      <w:proofErr w:type="gramEnd"/>
      <w:r w:rsidRPr="0097019B">
        <w:rPr>
          <w:color w:val="000000"/>
          <w:sz w:val="24"/>
          <w:szCs w:val="24"/>
        </w:rPr>
        <w:t xml:space="preserve"> § 1509</w:t>
      </w:r>
      <w:r w:rsidR="008D12C4" w:rsidRPr="0097019B">
        <w:rPr>
          <w:color w:val="000000"/>
          <w:sz w:val="24"/>
          <w:szCs w:val="24"/>
        </w:rPr>
        <w:t xml:space="preserve"> (parenthetical added)</w:t>
      </w:r>
      <w:r w:rsidRPr="0097019B">
        <w:rPr>
          <w:color w:val="000000"/>
          <w:sz w:val="24"/>
          <w:szCs w:val="24"/>
        </w:rPr>
        <w:t>.</w:t>
      </w:r>
    </w:p>
    <w:p w:rsidR="00983F19" w:rsidRPr="0097019B" w:rsidRDefault="00983F19" w:rsidP="00983F19">
      <w:pPr>
        <w:rPr>
          <w:sz w:val="24"/>
          <w:szCs w:val="24"/>
        </w:rPr>
      </w:pPr>
    </w:p>
    <w:p w:rsidR="00B34E07" w:rsidRPr="0097019B" w:rsidRDefault="00CB3766" w:rsidP="00434980">
      <w:pPr>
        <w:rPr>
          <w:sz w:val="24"/>
          <w:szCs w:val="24"/>
        </w:rPr>
        <w:sectPr w:rsidR="00B34E07" w:rsidRPr="0097019B" w:rsidSect="00E50447">
          <w:type w:val="continuous"/>
          <w:pgSz w:w="12240" w:h="15840"/>
          <w:pgMar w:top="864" w:right="1440" w:bottom="1440" w:left="1440" w:header="720" w:footer="720" w:gutter="0"/>
          <w:cols w:space="720"/>
        </w:sectPr>
      </w:pPr>
      <w:r w:rsidRPr="0097019B">
        <w:rPr>
          <w:sz w:val="24"/>
          <w:szCs w:val="24"/>
        </w:rPr>
        <w:tab/>
      </w:r>
      <w:r w:rsidR="00B77A9A" w:rsidRPr="0097019B">
        <w:rPr>
          <w:sz w:val="24"/>
          <w:szCs w:val="24"/>
        </w:rPr>
        <w:t xml:space="preserve">EDCs are required to </w:t>
      </w:r>
      <w:r w:rsidR="00434980" w:rsidRPr="0097019B">
        <w:rPr>
          <w:sz w:val="24"/>
          <w:szCs w:val="24"/>
        </w:rPr>
        <w:t xml:space="preserve">present tax information on customer bills in accordance with the PUC regulations at </w:t>
      </w:r>
      <w:r w:rsidR="00781AAE" w:rsidRPr="0097019B">
        <w:rPr>
          <w:sz w:val="24"/>
          <w:szCs w:val="24"/>
        </w:rPr>
        <w:t>52 Pa. Code Chapter 56</w:t>
      </w:r>
      <w:r w:rsidR="00DB6A60" w:rsidRPr="0097019B">
        <w:rPr>
          <w:sz w:val="24"/>
          <w:szCs w:val="24"/>
        </w:rPr>
        <w:t>.</w:t>
      </w:r>
      <w:r w:rsidR="00434980" w:rsidRPr="0097019B">
        <w:rPr>
          <w:sz w:val="24"/>
          <w:szCs w:val="24"/>
        </w:rPr>
        <w:t xml:space="preserve">  Likewise, EGSs are statutorily required to comply with Chapter 56 billing requirements for residential customers.  </w:t>
      </w:r>
      <w:r w:rsidR="00434980" w:rsidRPr="0097019B">
        <w:rPr>
          <w:i/>
          <w:sz w:val="24"/>
          <w:szCs w:val="24"/>
        </w:rPr>
        <w:t xml:space="preserve">See </w:t>
      </w:r>
      <w:proofErr w:type="gramStart"/>
      <w:r w:rsidR="00434980" w:rsidRPr="0097019B">
        <w:rPr>
          <w:sz w:val="24"/>
          <w:szCs w:val="24"/>
        </w:rPr>
        <w:t xml:space="preserve">66 </w:t>
      </w:r>
      <w:proofErr w:type="spellStart"/>
      <w:r w:rsidR="00434980" w:rsidRPr="0097019B">
        <w:rPr>
          <w:sz w:val="24"/>
          <w:szCs w:val="24"/>
        </w:rPr>
        <w:t>Pa.C.S</w:t>
      </w:r>
      <w:proofErr w:type="spellEnd"/>
      <w:proofErr w:type="gramEnd"/>
      <w:r w:rsidR="00434980" w:rsidRPr="0097019B">
        <w:rPr>
          <w:sz w:val="24"/>
          <w:szCs w:val="24"/>
        </w:rPr>
        <w:t>. § 2809 (b) and (d</w:t>
      </w:r>
      <w:proofErr w:type="gramStart"/>
      <w:r w:rsidR="00434980" w:rsidRPr="0097019B">
        <w:rPr>
          <w:sz w:val="24"/>
          <w:szCs w:val="24"/>
        </w:rPr>
        <w:t>)(</w:t>
      </w:r>
      <w:proofErr w:type="gramEnd"/>
      <w:r w:rsidR="00434980" w:rsidRPr="0097019B">
        <w:rPr>
          <w:sz w:val="24"/>
          <w:szCs w:val="24"/>
        </w:rPr>
        <w:t>relating to requirements for electric generation suppliers).</w:t>
      </w:r>
      <w:r w:rsidR="00672B47" w:rsidRPr="0097019B">
        <w:rPr>
          <w:sz w:val="24"/>
          <w:szCs w:val="24"/>
        </w:rPr>
        <w:t xml:space="preserve">  When an EGS prepares a SCB </w:t>
      </w:r>
    </w:p>
    <w:p w:rsidR="00434980" w:rsidRPr="0097019B" w:rsidRDefault="00672B47" w:rsidP="00434980">
      <w:pPr>
        <w:rPr>
          <w:sz w:val="24"/>
          <w:szCs w:val="24"/>
        </w:rPr>
      </w:pPr>
      <w:proofErr w:type="gramStart"/>
      <w:r w:rsidRPr="0097019B">
        <w:rPr>
          <w:sz w:val="24"/>
          <w:szCs w:val="24"/>
        </w:rPr>
        <w:lastRenderedPageBreak/>
        <w:t>that</w:t>
      </w:r>
      <w:proofErr w:type="gramEnd"/>
      <w:r w:rsidRPr="0097019B">
        <w:rPr>
          <w:sz w:val="24"/>
          <w:szCs w:val="24"/>
        </w:rPr>
        <w:t xml:space="preserve"> contains both EGS and EDC charges, the </w:t>
      </w:r>
      <w:r w:rsidR="003613BE" w:rsidRPr="0097019B">
        <w:rPr>
          <w:sz w:val="24"/>
          <w:szCs w:val="24"/>
        </w:rPr>
        <w:t>SCB</w:t>
      </w:r>
      <w:r w:rsidRPr="0097019B">
        <w:rPr>
          <w:sz w:val="24"/>
          <w:szCs w:val="24"/>
        </w:rPr>
        <w:t xml:space="preserve"> shall include taxes that EDC</w:t>
      </w:r>
      <w:r w:rsidR="00F718FC" w:rsidRPr="0097019B">
        <w:rPr>
          <w:sz w:val="24"/>
          <w:szCs w:val="24"/>
        </w:rPr>
        <w:t>s are required to list o</w:t>
      </w:r>
      <w:r w:rsidR="003613BE" w:rsidRPr="0097019B">
        <w:rPr>
          <w:sz w:val="24"/>
          <w:szCs w:val="24"/>
        </w:rPr>
        <w:t>n</w:t>
      </w:r>
      <w:r w:rsidR="00F718FC" w:rsidRPr="0097019B">
        <w:rPr>
          <w:sz w:val="24"/>
          <w:szCs w:val="24"/>
        </w:rPr>
        <w:t xml:space="preserve"> customer </w:t>
      </w:r>
      <w:r w:rsidRPr="0097019B">
        <w:rPr>
          <w:sz w:val="24"/>
          <w:szCs w:val="24"/>
        </w:rPr>
        <w:t>bills.</w:t>
      </w:r>
      <w:r w:rsidR="003613BE" w:rsidRPr="0097019B">
        <w:rPr>
          <w:sz w:val="24"/>
          <w:szCs w:val="24"/>
        </w:rPr>
        <w:t xml:space="preserve">  The EDC shall provide the billing data for these taxes sufficient to enable the EGS to bill customers.</w:t>
      </w:r>
    </w:p>
    <w:p w:rsidR="00A3311B" w:rsidRPr="0097019B" w:rsidRDefault="00A3311B" w:rsidP="00F92CB1">
      <w:pPr>
        <w:rPr>
          <w:sz w:val="24"/>
          <w:szCs w:val="24"/>
        </w:rPr>
      </w:pPr>
    </w:p>
    <w:p w:rsidR="00DB6A60" w:rsidRPr="0097019B" w:rsidRDefault="00DB6A60" w:rsidP="00F92CB1">
      <w:pPr>
        <w:rPr>
          <w:b/>
          <w:sz w:val="24"/>
          <w:szCs w:val="24"/>
        </w:rPr>
      </w:pPr>
    </w:p>
    <w:p w:rsidR="00B77A9A" w:rsidRPr="0097019B" w:rsidRDefault="00B77A9A" w:rsidP="00B77A9A">
      <w:pPr>
        <w:rPr>
          <w:b/>
          <w:sz w:val="24"/>
          <w:szCs w:val="24"/>
        </w:rPr>
      </w:pPr>
      <w:r w:rsidRPr="0097019B">
        <w:rPr>
          <w:b/>
          <w:sz w:val="24"/>
          <w:szCs w:val="24"/>
        </w:rPr>
        <w:t xml:space="preserve">Bill Presentment of Class </w:t>
      </w:r>
      <w:proofErr w:type="gramStart"/>
      <w:r w:rsidRPr="0097019B">
        <w:rPr>
          <w:b/>
          <w:sz w:val="24"/>
          <w:szCs w:val="24"/>
        </w:rPr>
        <w:t>A</w:t>
      </w:r>
      <w:proofErr w:type="gramEnd"/>
      <w:r w:rsidRPr="0097019B">
        <w:rPr>
          <w:b/>
          <w:sz w:val="24"/>
          <w:szCs w:val="24"/>
        </w:rPr>
        <w:t xml:space="preserve"> Utility Total State Tax Information</w:t>
      </w:r>
    </w:p>
    <w:p w:rsidR="00B77A9A" w:rsidRPr="0097019B" w:rsidRDefault="00B77A9A" w:rsidP="006E1A97">
      <w:pPr>
        <w:rPr>
          <w:b/>
          <w:sz w:val="24"/>
          <w:szCs w:val="24"/>
        </w:rPr>
      </w:pPr>
    </w:p>
    <w:p w:rsidR="00B77A9A" w:rsidRPr="0097019B" w:rsidRDefault="00B77A9A" w:rsidP="006E1A97">
      <w:pPr>
        <w:rPr>
          <w:sz w:val="24"/>
          <w:szCs w:val="24"/>
        </w:rPr>
      </w:pPr>
      <w:r w:rsidRPr="0097019B">
        <w:rPr>
          <w:sz w:val="24"/>
          <w:szCs w:val="24"/>
        </w:rPr>
        <w:tab/>
        <w:t>The Commission’s regulations at</w:t>
      </w:r>
      <w:r w:rsidR="005B671F">
        <w:rPr>
          <w:sz w:val="24"/>
          <w:szCs w:val="24"/>
        </w:rPr>
        <w:t xml:space="preserve"> 52 Pa. Code § 56.15(4) require</w:t>
      </w:r>
      <w:r w:rsidRPr="0097019B">
        <w:rPr>
          <w:sz w:val="24"/>
          <w:szCs w:val="24"/>
        </w:rPr>
        <w:t xml:space="preserve"> a </w:t>
      </w:r>
      <w:r w:rsidR="00AF6FB4">
        <w:rPr>
          <w:sz w:val="24"/>
          <w:szCs w:val="24"/>
        </w:rPr>
        <w:t>C</w:t>
      </w:r>
      <w:r w:rsidRPr="0097019B">
        <w:rPr>
          <w:sz w:val="24"/>
          <w:szCs w:val="24"/>
        </w:rPr>
        <w:t xml:space="preserve">lass A electric utility, one with annual operating revenues greater than $2.5 million, to include on a customer’s bill “a statement of the dollar amount of total State taxes included in the current billing period charge.”  </w:t>
      </w:r>
      <w:r w:rsidR="006E1A97" w:rsidRPr="0097019B">
        <w:rPr>
          <w:sz w:val="24"/>
          <w:szCs w:val="24"/>
        </w:rPr>
        <w:t xml:space="preserve">The regulation does not require that this statement </w:t>
      </w:r>
      <w:r w:rsidRPr="0097019B">
        <w:rPr>
          <w:sz w:val="24"/>
          <w:szCs w:val="24"/>
        </w:rPr>
        <w:t>be a line item on the bill.</w:t>
      </w:r>
    </w:p>
    <w:p w:rsidR="00B77A9A" w:rsidRPr="0097019B" w:rsidRDefault="00B77A9A" w:rsidP="006E1A97">
      <w:pPr>
        <w:rPr>
          <w:sz w:val="24"/>
          <w:szCs w:val="24"/>
        </w:rPr>
      </w:pPr>
    </w:p>
    <w:p w:rsidR="00832A04" w:rsidRPr="0097019B" w:rsidRDefault="00B77A9A" w:rsidP="006E1A97">
      <w:pPr>
        <w:rPr>
          <w:sz w:val="24"/>
          <w:szCs w:val="24"/>
        </w:rPr>
      </w:pPr>
      <w:r w:rsidRPr="0097019B">
        <w:rPr>
          <w:sz w:val="24"/>
          <w:szCs w:val="24"/>
        </w:rPr>
        <w:tab/>
        <w:t xml:space="preserve">Because this requirement is directed only to Class A utilities, it is not applicable to EGSs.  </w:t>
      </w:r>
      <w:r w:rsidR="000946B4" w:rsidRPr="0097019B">
        <w:rPr>
          <w:sz w:val="24"/>
          <w:szCs w:val="24"/>
        </w:rPr>
        <w:t>In other words, an EGS does not need to present “total state tax”</w:t>
      </w:r>
      <w:r w:rsidR="001373D7" w:rsidRPr="0097019B">
        <w:rPr>
          <w:sz w:val="24"/>
          <w:szCs w:val="24"/>
        </w:rPr>
        <w:t xml:space="preserve"> on its bill when a customer receives separate bills from the EGS and EDC.  Additionally, an EGS is not required to provide total tax information to an EDC where both EGS an</w:t>
      </w:r>
      <w:r w:rsidR="00832A04" w:rsidRPr="0097019B">
        <w:rPr>
          <w:sz w:val="24"/>
          <w:szCs w:val="24"/>
        </w:rPr>
        <w:t>d EDC charges appear on an EDC-</w:t>
      </w:r>
      <w:r w:rsidR="001373D7" w:rsidRPr="0097019B">
        <w:rPr>
          <w:sz w:val="24"/>
          <w:szCs w:val="24"/>
        </w:rPr>
        <w:t xml:space="preserve">consolidated bill. </w:t>
      </w:r>
      <w:r w:rsidR="000946B4" w:rsidRPr="0097019B">
        <w:rPr>
          <w:sz w:val="24"/>
          <w:szCs w:val="24"/>
        </w:rPr>
        <w:t xml:space="preserve"> </w:t>
      </w:r>
    </w:p>
    <w:p w:rsidR="00832A04" w:rsidRPr="0097019B" w:rsidRDefault="00832A04" w:rsidP="006E1A97">
      <w:pPr>
        <w:rPr>
          <w:sz w:val="24"/>
          <w:szCs w:val="24"/>
        </w:rPr>
      </w:pPr>
    </w:p>
    <w:p w:rsidR="00AE73CC" w:rsidRPr="0097019B" w:rsidRDefault="00832A04" w:rsidP="006E1A97">
      <w:pPr>
        <w:rPr>
          <w:sz w:val="24"/>
          <w:szCs w:val="24"/>
        </w:rPr>
      </w:pPr>
      <w:r w:rsidRPr="0097019B">
        <w:rPr>
          <w:sz w:val="24"/>
          <w:szCs w:val="24"/>
        </w:rPr>
        <w:tab/>
      </w:r>
      <w:r w:rsidR="00B77A9A" w:rsidRPr="0097019B">
        <w:rPr>
          <w:sz w:val="24"/>
          <w:szCs w:val="24"/>
        </w:rPr>
        <w:t xml:space="preserve">However, if an EGS renders a SCB that contains both EDC and EGS charges, the EGS must include a statement of total dollar amount of state taxes attributable to the EDC’s charges for the customer’s current billing period.  </w:t>
      </w:r>
      <w:r w:rsidR="005D0A01" w:rsidRPr="0097019B">
        <w:rPr>
          <w:sz w:val="24"/>
          <w:szCs w:val="24"/>
        </w:rPr>
        <w:t xml:space="preserve">In this case, the EDC shall provide </w:t>
      </w:r>
      <w:r w:rsidR="00CE1FD1" w:rsidRPr="0097019B">
        <w:rPr>
          <w:sz w:val="24"/>
          <w:szCs w:val="24"/>
        </w:rPr>
        <w:t xml:space="preserve">this information along with its other charges </w:t>
      </w:r>
      <w:r w:rsidR="005D0A01" w:rsidRPr="0097019B">
        <w:rPr>
          <w:sz w:val="24"/>
          <w:szCs w:val="24"/>
        </w:rPr>
        <w:t>to the EGS</w:t>
      </w:r>
      <w:r w:rsidR="00CE1FD1" w:rsidRPr="0097019B">
        <w:rPr>
          <w:sz w:val="24"/>
          <w:szCs w:val="24"/>
        </w:rPr>
        <w:t xml:space="preserve"> for presentment on the SCB</w:t>
      </w:r>
      <w:r w:rsidR="005D0A01" w:rsidRPr="0097019B">
        <w:rPr>
          <w:sz w:val="24"/>
          <w:szCs w:val="24"/>
        </w:rPr>
        <w:t>.</w:t>
      </w:r>
      <w:r w:rsidRPr="0097019B">
        <w:rPr>
          <w:sz w:val="24"/>
          <w:szCs w:val="24"/>
        </w:rPr>
        <w:t xml:space="preserve"> </w:t>
      </w:r>
      <w:r w:rsidR="005D0A01" w:rsidRPr="0097019B">
        <w:rPr>
          <w:sz w:val="24"/>
          <w:szCs w:val="24"/>
        </w:rPr>
        <w:t xml:space="preserve"> </w:t>
      </w:r>
    </w:p>
    <w:p w:rsidR="00AE73CC" w:rsidRPr="0097019B" w:rsidRDefault="00AE73CC" w:rsidP="006E1A97">
      <w:pPr>
        <w:rPr>
          <w:sz w:val="24"/>
          <w:szCs w:val="24"/>
        </w:rPr>
      </w:pPr>
    </w:p>
    <w:p w:rsidR="00B77A9A" w:rsidRPr="0097019B" w:rsidRDefault="00AE73CC" w:rsidP="006E1A97">
      <w:pPr>
        <w:rPr>
          <w:b/>
          <w:sz w:val="24"/>
          <w:szCs w:val="24"/>
        </w:rPr>
      </w:pPr>
      <w:r w:rsidRPr="0097019B">
        <w:rPr>
          <w:sz w:val="24"/>
          <w:szCs w:val="24"/>
        </w:rPr>
        <w:tab/>
      </w:r>
      <w:r w:rsidR="00B77A9A" w:rsidRPr="0097019B">
        <w:rPr>
          <w:sz w:val="24"/>
          <w:szCs w:val="24"/>
        </w:rPr>
        <w:t xml:space="preserve">Since </w:t>
      </w:r>
      <w:r w:rsidRPr="0097019B">
        <w:rPr>
          <w:sz w:val="24"/>
          <w:szCs w:val="24"/>
        </w:rPr>
        <w:t xml:space="preserve">an </w:t>
      </w:r>
      <w:r w:rsidR="00B77A9A" w:rsidRPr="0097019B">
        <w:rPr>
          <w:sz w:val="24"/>
          <w:szCs w:val="24"/>
        </w:rPr>
        <w:t>EGS</w:t>
      </w:r>
      <w:r w:rsidRPr="0097019B">
        <w:rPr>
          <w:sz w:val="24"/>
          <w:szCs w:val="24"/>
        </w:rPr>
        <w:t xml:space="preserve"> is required to include</w:t>
      </w:r>
      <w:r w:rsidR="00B77A9A" w:rsidRPr="0097019B">
        <w:rPr>
          <w:sz w:val="24"/>
          <w:szCs w:val="24"/>
        </w:rPr>
        <w:t xml:space="preserve"> </w:t>
      </w:r>
      <w:r w:rsidR="008A16CE" w:rsidRPr="0097019B">
        <w:rPr>
          <w:sz w:val="24"/>
          <w:szCs w:val="24"/>
        </w:rPr>
        <w:t>on its SCB a statement of the</w:t>
      </w:r>
      <w:r w:rsidRPr="0097019B">
        <w:rPr>
          <w:sz w:val="24"/>
          <w:szCs w:val="24"/>
        </w:rPr>
        <w:t xml:space="preserve"> </w:t>
      </w:r>
      <w:r w:rsidR="00B77A9A" w:rsidRPr="0097019B">
        <w:rPr>
          <w:sz w:val="24"/>
          <w:szCs w:val="24"/>
        </w:rPr>
        <w:t xml:space="preserve">total </w:t>
      </w:r>
      <w:r w:rsidRPr="0097019B">
        <w:rPr>
          <w:sz w:val="24"/>
          <w:szCs w:val="24"/>
        </w:rPr>
        <w:t xml:space="preserve">dollar amount of </w:t>
      </w:r>
      <w:r w:rsidR="00B77A9A" w:rsidRPr="0097019B">
        <w:rPr>
          <w:sz w:val="24"/>
          <w:szCs w:val="24"/>
        </w:rPr>
        <w:t>State taxes</w:t>
      </w:r>
      <w:r w:rsidR="008A16CE" w:rsidRPr="0097019B">
        <w:rPr>
          <w:sz w:val="24"/>
          <w:szCs w:val="24"/>
        </w:rPr>
        <w:t xml:space="preserve"> fo</w:t>
      </w:r>
      <w:r w:rsidR="00B77A9A" w:rsidRPr="0097019B">
        <w:rPr>
          <w:sz w:val="24"/>
          <w:szCs w:val="24"/>
        </w:rPr>
        <w:t xml:space="preserve">r </w:t>
      </w:r>
      <w:r w:rsidRPr="0097019B">
        <w:rPr>
          <w:sz w:val="24"/>
          <w:szCs w:val="24"/>
        </w:rPr>
        <w:t>an EDC</w:t>
      </w:r>
      <w:r w:rsidR="00B77A9A" w:rsidRPr="0097019B">
        <w:rPr>
          <w:sz w:val="24"/>
          <w:szCs w:val="24"/>
        </w:rPr>
        <w:t xml:space="preserve"> that </w:t>
      </w:r>
      <w:r w:rsidRPr="0097019B">
        <w:rPr>
          <w:sz w:val="24"/>
          <w:szCs w:val="24"/>
        </w:rPr>
        <w:t xml:space="preserve">is a </w:t>
      </w:r>
      <w:r w:rsidR="00B77A9A" w:rsidRPr="0097019B">
        <w:rPr>
          <w:sz w:val="24"/>
          <w:szCs w:val="24"/>
        </w:rPr>
        <w:t>Class A utilit</w:t>
      </w:r>
      <w:r w:rsidRPr="0097019B">
        <w:rPr>
          <w:sz w:val="24"/>
          <w:szCs w:val="24"/>
        </w:rPr>
        <w:t>y</w:t>
      </w:r>
      <w:r w:rsidR="00B77A9A" w:rsidRPr="0097019B">
        <w:rPr>
          <w:sz w:val="24"/>
          <w:szCs w:val="24"/>
        </w:rPr>
        <w:t xml:space="preserve">, EDEWG is advised </w:t>
      </w:r>
      <w:r w:rsidR="00F30CA8">
        <w:rPr>
          <w:sz w:val="24"/>
          <w:szCs w:val="24"/>
        </w:rPr>
        <w:t>that</w:t>
      </w:r>
      <w:r w:rsidR="00B77A9A" w:rsidRPr="0097019B">
        <w:rPr>
          <w:sz w:val="24"/>
          <w:szCs w:val="24"/>
        </w:rPr>
        <w:t xml:space="preserve"> a field for this information </w:t>
      </w:r>
      <w:r w:rsidR="00F30CA8">
        <w:rPr>
          <w:sz w:val="24"/>
          <w:szCs w:val="24"/>
        </w:rPr>
        <w:t xml:space="preserve">should be included </w:t>
      </w:r>
      <w:r w:rsidR="00B77A9A" w:rsidRPr="0097019B">
        <w:rPr>
          <w:sz w:val="24"/>
          <w:szCs w:val="24"/>
        </w:rPr>
        <w:t>in SCB bill formats</w:t>
      </w:r>
      <w:r w:rsidR="00F30CA8">
        <w:rPr>
          <w:sz w:val="24"/>
          <w:szCs w:val="24"/>
        </w:rPr>
        <w:t xml:space="preserve"> that the group may be asked to develop</w:t>
      </w:r>
      <w:r w:rsidR="00B77A9A" w:rsidRPr="0097019B">
        <w:rPr>
          <w:sz w:val="24"/>
          <w:szCs w:val="24"/>
        </w:rPr>
        <w:t xml:space="preserve">.  Again, the statement of total </w:t>
      </w:r>
      <w:r w:rsidR="008A16CE" w:rsidRPr="0097019B">
        <w:rPr>
          <w:sz w:val="24"/>
          <w:szCs w:val="24"/>
        </w:rPr>
        <w:t xml:space="preserve">dollar amount of </w:t>
      </w:r>
      <w:r w:rsidR="00B77A9A" w:rsidRPr="0097019B">
        <w:rPr>
          <w:sz w:val="24"/>
          <w:szCs w:val="24"/>
        </w:rPr>
        <w:t>state tax</w:t>
      </w:r>
      <w:r w:rsidR="008A16CE" w:rsidRPr="0097019B">
        <w:rPr>
          <w:sz w:val="24"/>
          <w:szCs w:val="24"/>
        </w:rPr>
        <w:t>es does not need to</w:t>
      </w:r>
      <w:r w:rsidR="00B77A9A" w:rsidRPr="0097019B">
        <w:rPr>
          <w:sz w:val="24"/>
          <w:szCs w:val="24"/>
        </w:rPr>
        <w:t xml:space="preserve"> be presented as a line item on the bill.</w:t>
      </w:r>
    </w:p>
    <w:p w:rsidR="00B77A9A" w:rsidRPr="0097019B" w:rsidRDefault="00B77A9A" w:rsidP="00F92E6C">
      <w:pPr>
        <w:rPr>
          <w:b/>
          <w:sz w:val="24"/>
          <w:szCs w:val="24"/>
        </w:rPr>
      </w:pPr>
    </w:p>
    <w:p w:rsidR="00A8543A" w:rsidRPr="0097019B" w:rsidRDefault="00A8543A" w:rsidP="00F92CB1">
      <w:pPr>
        <w:rPr>
          <w:b/>
          <w:sz w:val="24"/>
          <w:szCs w:val="24"/>
        </w:rPr>
      </w:pPr>
    </w:p>
    <w:p w:rsidR="00F92E6C" w:rsidRPr="0097019B" w:rsidRDefault="00F92E6C" w:rsidP="00F92CB1">
      <w:pPr>
        <w:rPr>
          <w:b/>
          <w:sz w:val="24"/>
          <w:szCs w:val="24"/>
        </w:rPr>
      </w:pPr>
      <w:r w:rsidRPr="0097019B">
        <w:rPr>
          <w:b/>
          <w:sz w:val="24"/>
          <w:szCs w:val="24"/>
        </w:rPr>
        <w:t>Guidance on Bill Presentment of State Sales Tax</w:t>
      </w:r>
    </w:p>
    <w:p w:rsidR="000946B4" w:rsidRPr="0097019B" w:rsidRDefault="000946B4" w:rsidP="00F92CB1">
      <w:pPr>
        <w:rPr>
          <w:b/>
          <w:sz w:val="24"/>
          <w:szCs w:val="24"/>
        </w:rPr>
      </w:pPr>
    </w:p>
    <w:p w:rsidR="002715CF" w:rsidRPr="0097019B" w:rsidRDefault="00C31260" w:rsidP="00326C38">
      <w:pPr>
        <w:rPr>
          <w:sz w:val="24"/>
          <w:szCs w:val="24"/>
        </w:rPr>
      </w:pPr>
      <w:r w:rsidRPr="0097019B">
        <w:rPr>
          <w:sz w:val="24"/>
          <w:szCs w:val="24"/>
        </w:rPr>
        <w:tab/>
        <w:t xml:space="preserve">As already stated, Section 1509 of the Public Utility Code requires that </w:t>
      </w:r>
      <w:r w:rsidR="00DF26DE" w:rsidRPr="0097019B">
        <w:rPr>
          <w:sz w:val="24"/>
          <w:szCs w:val="24"/>
        </w:rPr>
        <w:t>a State tax adjustment surcharge</w:t>
      </w:r>
      <w:r w:rsidR="00326C38" w:rsidRPr="0097019B">
        <w:rPr>
          <w:sz w:val="24"/>
          <w:szCs w:val="24"/>
        </w:rPr>
        <w:t xml:space="preserve"> (STAS)</w:t>
      </w:r>
      <w:r w:rsidR="00B828AC" w:rsidRPr="0097019B">
        <w:rPr>
          <w:sz w:val="24"/>
          <w:szCs w:val="24"/>
        </w:rPr>
        <w:t>,</w:t>
      </w:r>
      <w:r w:rsidR="00DF26DE" w:rsidRPr="0097019B">
        <w:rPr>
          <w:sz w:val="24"/>
          <w:szCs w:val="24"/>
        </w:rPr>
        <w:t xml:space="preserve"> if other than zero</w:t>
      </w:r>
      <w:r w:rsidR="00B828AC" w:rsidRPr="0097019B">
        <w:rPr>
          <w:sz w:val="24"/>
          <w:szCs w:val="24"/>
        </w:rPr>
        <w:t>,</w:t>
      </w:r>
      <w:r w:rsidR="00DF26DE" w:rsidRPr="0097019B">
        <w:rPr>
          <w:sz w:val="24"/>
          <w:szCs w:val="24"/>
        </w:rPr>
        <w:t xml:space="preserve"> and state sales tax</w:t>
      </w:r>
      <w:r w:rsidRPr="0097019B">
        <w:rPr>
          <w:sz w:val="24"/>
          <w:szCs w:val="24"/>
        </w:rPr>
        <w:t xml:space="preserve"> be listed on a customer’s bill.  </w:t>
      </w:r>
      <w:r w:rsidR="00326C38" w:rsidRPr="0097019B">
        <w:rPr>
          <w:sz w:val="24"/>
          <w:szCs w:val="24"/>
        </w:rPr>
        <w:t>This information shall be included on a customer’s bill when applicable, regardless of whether the bill is a separate supplier bill, a SCB or an EDC consolidated bill.</w:t>
      </w:r>
    </w:p>
    <w:p w:rsidR="00527E0F" w:rsidRPr="0097019B" w:rsidRDefault="00527E0F" w:rsidP="00B828AC">
      <w:pPr>
        <w:rPr>
          <w:sz w:val="24"/>
          <w:szCs w:val="24"/>
        </w:rPr>
      </w:pPr>
    </w:p>
    <w:p w:rsidR="00B828AC" w:rsidRPr="0097019B" w:rsidRDefault="00B828AC" w:rsidP="00B828AC">
      <w:pPr>
        <w:rPr>
          <w:sz w:val="24"/>
          <w:szCs w:val="24"/>
        </w:rPr>
      </w:pPr>
      <w:r w:rsidRPr="0097019B">
        <w:rPr>
          <w:sz w:val="24"/>
          <w:szCs w:val="24"/>
        </w:rPr>
        <w:tab/>
      </w:r>
      <w:r w:rsidR="00527E0F" w:rsidRPr="0097019B">
        <w:rPr>
          <w:sz w:val="24"/>
          <w:szCs w:val="24"/>
        </w:rPr>
        <w:t xml:space="preserve">As a general rule, the residential use of electricity is exempted from state sales tax by Section 7204 of the Tax Reform Code of 1971.  </w:t>
      </w:r>
      <w:r w:rsidR="00527E0F" w:rsidRPr="0097019B">
        <w:rPr>
          <w:i/>
          <w:sz w:val="24"/>
          <w:szCs w:val="24"/>
        </w:rPr>
        <w:t>See</w:t>
      </w:r>
      <w:r w:rsidR="00527E0F" w:rsidRPr="0097019B">
        <w:rPr>
          <w:sz w:val="24"/>
          <w:szCs w:val="24"/>
        </w:rPr>
        <w:t xml:space="preserve"> 72 P.S. § 7204. </w:t>
      </w:r>
      <w:r w:rsidR="00AD103F" w:rsidRPr="0097019B">
        <w:rPr>
          <w:sz w:val="24"/>
          <w:szCs w:val="24"/>
        </w:rPr>
        <w:t xml:space="preserve"> </w:t>
      </w:r>
      <w:r w:rsidRPr="0097019B">
        <w:rPr>
          <w:sz w:val="24"/>
          <w:szCs w:val="24"/>
        </w:rPr>
        <w:t xml:space="preserve">In a Secretarial Letter </w:t>
      </w:r>
      <w:r w:rsidR="00AD103F" w:rsidRPr="0097019B">
        <w:rPr>
          <w:sz w:val="24"/>
          <w:szCs w:val="24"/>
        </w:rPr>
        <w:t xml:space="preserve">to all EDCs and EGSs </w:t>
      </w:r>
      <w:r w:rsidRPr="0097019B">
        <w:rPr>
          <w:sz w:val="24"/>
          <w:szCs w:val="24"/>
        </w:rPr>
        <w:t xml:space="preserve">issued </w:t>
      </w:r>
      <w:r w:rsidR="00AD103F" w:rsidRPr="0097019B">
        <w:rPr>
          <w:sz w:val="24"/>
          <w:szCs w:val="24"/>
        </w:rPr>
        <w:t xml:space="preserve">on </w:t>
      </w:r>
      <w:r w:rsidR="007E0240" w:rsidRPr="0097019B">
        <w:rPr>
          <w:sz w:val="24"/>
          <w:szCs w:val="24"/>
        </w:rPr>
        <w:t>May 27, 2011</w:t>
      </w:r>
      <w:r w:rsidRPr="0097019B">
        <w:rPr>
          <w:sz w:val="24"/>
          <w:szCs w:val="24"/>
        </w:rPr>
        <w:t>, at Docket No.</w:t>
      </w:r>
      <w:r w:rsidR="00AD103F" w:rsidRPr="0097019B">
        <w:rPr>
          <w:sz w:val="24"/>
          <w:szCs w:val="24"/>
        </w:rPr>
        <w:t xml:space="preserve"> M</w:t>
      </w:r>
      <w:r w:rsidRPr="0097019B">
        <w:rPr>
          <w:sz w:val="24"/>
          <w:szCs w:val="24"/>
        </w:rPr>
        <w:t xml:space="preserve">-2009-2082042, </w:t>
      </w:r>
      <w:r w:rsidR="00AD103F" w:rsidRPr="0097019B">
        <w:rPr>
          <w:sz w:val="24"/>
          <w:szCs w:val="24"/>
        </w:rPr>
        <w:t xml:space="preserve">the PUC explained the </w:t>
      </w:r>
      <w:r w:rsidRPr="0097019B">
        <w:rPr>
          <w:sz w:val="24"/>
          <w:szCs w:val="24"/>
        </w:rPr>
        <w:t xml:space="preserve">circumstances </w:t>
      </w:r>
      <w:r w:rsidR="00AD103F" w:rsidRPr="0097019B">
        <w:rPr>
          <w:sz w:val="24"/>
          <w:szCs w:val="24"/>
        </w:rPr>
        <w:t xml:space="preserve">where the </w:t>
      </w:r>
      <w:r w:rsidR="00527E0F" w:rsidRPr="0097019B">
        <w:rPr>
          <w:sz w:val="24"/>
          <w:szCs w:val="24"/>
        </w:rPr>
        <w:t xml:space="preserve">residential use of </w:t>
      </w:r>
      <w:r w:rsidRPr="0097019B">
        <w:rPr>
          <w:sz w:val="24"/>
          <w:szCs w:val="24"/>
        </w:rPr>
        <w:t xml:space="preserve">electricity </w:t>
      </w:r>
      <w:r w:rsidR="00527E0F" w:rsidRPr="0097019B">
        <w:rPr>
          <w:sz w:val="24"/>
          <w:szCs w:val="24"/>
        </w:rPr>
        <w:t>is taxable.</w:t>
      </w:r>
    </w:p>
    <w:p w:rsidR="007E0240" w:rsidRPr="0097019B" w:rsidRDefault="007E0240" w:rsidP="007E0240">
      <w:pPr>
        <w:rPr>
          <w:sz w:val="24"/>
          <w:szCs w:val="24"/>
        </w:rPr>
      </w:pPr>
    </w:p>
    <w:p w:rsidR="00AD103F" w:rsidRPr="0097019B" w:rsidRDefault="00AD103F" w:rsidP="00AD103F">
      <w:pPr>
        <w:ind w:left="720" w:right="720"/>
        <w:rPr>
          <w:sz w:val="24"/>
          <w:szCs w:val="24"/>
        </w:rPr>
      </w:pPr>
      <w:r w:rsidRPr="0097019B">
        <w:rPr>
          <w:sz w:val="24"/>
          <w:szCs w:val="24"/>
        </w:rPr>
        <w:t>[E]</w:t>
      </w:r>
      <w:proofErr w:type="spellStart"/>
      <w:r w:rsidR="0013029C" w:rsidRPr="0097019B">
        <w:rPr>
          <w:sz w:val="24"/>
          <w:szCs w:val="24"/>
        </w:rPr>
        <w:t>lectricity</w:t>
      </w:r>
      <w:proofErr w:type="spellEnd"/>
      <w:r w:rsidR="0013029C" w:rsidRPr="0097019B">
        <w:rPr>
          <w:sz w:val="24"/>
          <w:szCs w:val="24"/>
        </w:rPr>
        <w:t xml:space="preserve"> purchased for use in an office or business within a home is subject to sales tax.  </w:t>
      </w:r>
      <w:r w:rsidR="0013029C" w:rsidRPr="0097019B">
        <w:rPr>
          <w:i/>
          <w:sz w:val="24"/>
          <w:szCs w:val="24"/>
        </w:rPr>
        <w:t>See</w:t>
      </w:r>
      <w:r w:rsidR="0013029C" w:rsidRPr="0097019B">
        <w:rPr>
          <w:sz w:val="24"/>
          <w:szCs w:val="24"/>
        </w:rPr>
        <w:t xml:space="preserve"> the Pennsylvania Department of Revenue’s regulation at </w:t>
      </w:r>
      <w:r w:rsidR="0013029C" w:rsidRPr="0097019B">
        <w:rPr>
          <w:bCs/>
          <w:sz w:val="24"/>
          <w:szCs w:val="24"/>
        </w:rPr>
        <w:t>61 Pa Code § 32.25 (relating to steam, gas, elect</w:t>
      </w:r>
      <w:r w:rsidR="00963091" w:rsidRPr="0097019B">
        <w:rPr>
          <w:bCs/>
          <w:sz w:val="24"/>
          <w:szCs w:val="24"/>
        </w:rPr>
        <w:t xml:space="preserve">ricity, fuel oil and kerosene). </w:t>
      </w:r>
      <w:r w:rsidR="0013029C" w:rsidRPr="0097019B">
        <w:rPr>
          <w:bCs/>
          <w:sz w:val="24"/>
          <w:szCs w:val="24"/>
        </w:rPr>
        <w:t>(</w:t>
      </w:r>
      <w:hyperlink r:id="rId8" w:history="1">
        <w:r w:rsidR="0013029C" w:rsidRPr="0097019B">
          <w:rPr>
            <w:rStyle w:val="Hyperlink"/>
            <w:bCs/>
            <w:sz w:val="24"/>
            <w:szCs w:val="24"/>
          </w:rPr>
          <w:t>http://www.pacode.com/secure/data/061/chapter32/s32.25.html</w:t>
        </w:r>
      </w:hyperlink>
      <w:r w:rsidR="0013029C" w:rsidRPr="0097019B">
        <w:rPr>
          <w:bCs/>
          <w:sz w:val="24"/>
          <w:szCs w:val="24"/>
        </w:rPr>
        <w:t xml:space="preserve">).  </w:t>
      </w:r>
      <w:r w:rsidR="0013029C" w:rsidRPr="0097019B">
        <w:rPr>
          <w:i/>
          <w:color w:val="000000"/>
          <w:sz w:val="24"/>
          <w:szCs w:val="24"/>
        </w:rPr>
        <w:t>See</w:t>
      </w:r>
      <w:r w:rsidR="0013029C" w:rsidRPr="0097019B">
        <w:rPr>
          <w:color w:val="000000"/>
          <w:sz w:val="24"/>
          <w:szCs w:val="24"/>
        </w:rPr>
        <w:t xml:space="preserve"> also the </w:t>
      </w:r>
      <w:hyperlink r:id="rId9" w:history="1">
        <w:r w:rsidR="0013029C" w:rsidRPr="0097019B">
          <w:rPr>
            <w:rStyle w:val="Hyperlink"/>
            <w:color w:val="033668"/>
            <w:sz w:val="24"/>
            <w:szCs w:val="24"/>
          </w:rPr>
          <w:t>Retailers' Information Guide (REV-717)</w:t>
        </w:r>
      </w:hyperlink>
      <w:r w:rsidR="0013029C" w:rsidRPr="0097019B">
        <w:rPr>
          <w:color w:val="000000"/>
          <w:sz w:val="24"/>
          <w:szCs w:val="24"/>
        </w:rPr>
        <w:t xml:space="preserve"> for a list of taxable items. </w:t>
      </w:r>
      <w:r w:rsidR="0013029C" w:rsidRPr="0097019B">
        <w:rPr>
          <w:bCs/>
          <w:sz w:val="24"/>
          <w:szCs w:val="24"/>
        </w:rPr>
        <w:t xml:space="preserve"> </w:t>
      </w:r>
      <w:r w:rsidR="0013029C" w:rsidRPr="0097019B">
        <w:rPr>
          <w:sz w:val="24"/>
          <w:szCs w:val="24"/>
        </w:rPr>
        <w:t xml:space="preserve">Note that if the residential customer provides a “Sales and Use Tax Exemption Certificate” (Form REV-1220) to the supplier that indicates the annualized percentage of the total kilowatts used solely for residential purposes, the supplier may charge tax only on the electricity used for commercial purposes.  </w:t>
      </w:r>
    </w:p>
    <w:p w:rsidR="00963091" w:rsidRPr="0097019B" w:rsidRDefault="00963091" w:rsidP="0013029C">
      <w:pPr>
        <w:ind w:firstLine="720"/>
        <w:rPr>
          <w:sz w:val="24"/>
          <w:szCs w:val="24"/>
        </w:rPr>
      </w:pPr>
    </w:p>
    <w:p w:rsidR="0013029C" w:rsidRPr="0097019B" w:rsidRDefault="0013029C" w:rsidP="0013029C">
      <w:pPr>
        <w:ind w:firstLine="720"/>
        <w:rPr>
          <w:sz w:val="24"/>
          <w:szCs w:val="24"/>
        </w:rPr>
      </w:pPr>
      <w:r w:rsidRPr="0097019B">
        <w:rPr>
          <w:sz w:val="24"/>
          <w:szCs w:val="24"/>
        </w:rPr>
        <w:t xml:space="preserve">For further information, </w:t>
      </w:r>
      <w:r w:rsidR="00825737" w:rsidRPr="0097019B">
        <w:rPr>
          <w:sz w:val="24"/>
          <w:szCs w:val="24"/>
        </w:rPr>
        <w:t xml:space="preserve">the Secretarial Letter </w:t>
      </w:r>
      <w:r w:rsidR="00963091" w:rsidRPr="0097019B">
        <w:rPr>
          <w:sz w:val="24"/>
          <w:szCs w:val="24"/>
        </w:rPr>
        <w:t xml:space="preserve">stated that </w:t>
      </w:r>
      <w:r w:rsidRPr="0097019B">
        <w:rPr>
          <w:sz w:val="24"/>
          <w:szCs w:val="24"/>
        </w:rPr>
        <w:t xml:space="preserve">the Department of Revenue </w:t>
      </w:r>
      <w:r w:rsidR="00963091" w:rsidRPr="0097019B">
        <w:rPr>
          <w:sz w:val="24"/>
          <w:szCs w:val="24"/>
        </w:rPr>
        <w:t xml:space="preserve">should be contacted </w:t>
      </w:r>
      <w:r w:rsidRPr="0097019B">
        <w:rPr>
          <w:sz w:val="24"/>
          <w:szCs w:val="24"/>
        </w:rPr>
        <w:t xml:space="preserve">through its on-line customer service center: </w:t>
      </w:r>
      <w:hyperlink r:id="rId10" w:history="1">
        <w:r w:rsidRPr="0097019B">
          <w:rPr>
            <w:rStyle w:val="Hyperlink"/>
            <w:sz w:val="24"/>
            <w:szCs w:val="24"/>
          </w:rPr>
          <w:t>https://revenue-pa.custhelp.com</w:t>
        </w:r>
      </w:hyperlink>
      <w:r w:rsidRPr="0097019B">
        <w:rPr>
          <w:sz w:val="24"/>
          <w:szCs w:val="24"/>
        </w:rPr>
        <w:t>.</w:t>
      </w:r>
      <w:r w:rsidR="00B20EAB" w:rsidRPr="0097019B">
        <w:rPr>
          <w:sz w:val="24"/>
          <w:szCs w:val="24"/>
        </w:rPr>
        <w:t xml:space="preserve">  The Secretarial Letter may be </w:t>
      </w:r>
      <w:r w:rsidR="00A87267" w:rsidRPr="0097019B">
        <w:rPr>
          <w:sz w:val="24"/>
          <w:szCs w:val="24"/>
        </w:rPr>
        <w:t>accessed</w:t>
      </w:r>
      <w:r w:rsidR="00B20EAB" w:rsidRPr="0097019B">
        <w:rPr>
          <w:sz w:val="24"/>
          <w:szCs w:val="24"/>
        </w:rPr>
        <w:t xml:space="preserve"> at this link:</w:t>
      </w:r>
      <w:r w:rsidR="00A87267" w:rsidRPr="0097019B">
        <w:rPr>
          <w:sz w:val="24"/>
          <w:szCs w:val="24"/>
        </w:rPr>
        <w:t xml:space="preserve"> </w:t>
      </w:r>
      <w:hyperlink r:id="rId11" w:history="1">
        <w:r w:rsidR="00A87267" w:rsidRPr="0097019B">
          <w:rPr>
            <w:rStyle w:val="Hyperlink"/>
            <w:sz w:val="24"/>
            <w:szCs w:val="24"/>
          </w:rPr>
          <w:t>http://www.puc.state.pa.us/pcdocs/1133537.docx</w:t>
        </w:r>
      </w:hyperlink>
      <w:r w:rsidR="00A87267" w:rsidRPr="0097019B">
        <w:rPr>
          <w:sz w:val="24"/>
          <w:szCs w:val="24"/>
        </w:rPr>
        <w:t xml:space="preserve"> </w:t>
      </w:r>
    </w:p>
    <w:p w:rsidR="0013029C" w:rsidRPr="0097019B" w:rsidRDefault="00A87267" w:rsidP="0013029C">
      <w:pPr>
        <w:spacing w:after="200" w:line="276" w:lineRule="auto"/>
        <w:rPr>
          <w:sz w:val="24"/>
          <w:szCs w:val="24"/>
        </w:rPr>
      </w:pPr>
      <w:r w:rsidRPr="0097019B">
        <w:rPr>
          <w:sz w:val="24"/>
          <w:szCs w:val="24"/>
        </w:rPr>
        <w:t xml:space="preserve"> </w:t>
      </w:r>
    </w:p>
    <w:p w:rsidR="004D210C" w:rsidRPr="0097019B" w:rsidRDefault="004D210C" w:rsidP="004D210C">
      <w:pPr>
        <w:rPr>
          <w:b/>
          <w:sz w:val="24"/>
          <w:szCs w:val="24"/>
        </w:rPr>
      </w:pPr>
      <w:r w:rsidRPr="0097019B">
        <w:rPr>
          <w:b/>
          <w:sz w:val="24"/>
          <w:szCs w:val="24"/>
        </w:rPr>
        <w:t>Bill Presentment of Gross Receipts Tax</w:t>
      </w:r>
    </w:p>
    <w:p w:rsidR="004D210C" w:rsidRPr="0097019B" w:rsidRDefault="004D210C" w:rsidP="004D210C">
      <w:pPr>
        <w:rPr>
          <w:b/>
          <w:sz w:val="24"/>
          <w:szCs w:val="24"/>
        </w:rPr>
      </w:pPr>
    </w:p>
    <w:p w:rsidR="004D210C" w:rsidRPr="0097019B" w:rsidRDefault="004D210C" w:rsidP="004D210C">
      <w:pPr>
        <w:rPr>
          <w:sz w:val="24"/>
          <w:szCs w:val="24"/>
        </w:rPr>
      </w:pPr>
      <w:r w:rsidRPr="0097019B">
        <w:rPr>
          <w:sz w:val="24"/>
          <w:szCs w:val="24"/>
        </w:rPr>
        <w:tab/>
        <w:t xml:space="preserve">The PUC’s regulations at 52 Pa. Code § 56.15(4) require that customer bills “indicate that a State gross receipts tax is being charged and a reasonable estimate of the charge.”  This regulation is applicable to both EDCs and EGSs.  </w:t>
      </w:r>
      <w:r w:rsidR="006A3457" w:rsidRPr="0097019B">
        <w:rPr>
          <w:sz w:val="24"/>
          <w:szCs w:val="24"/>
        </w:rPr>
        <w:t>However, GRT does not need to be a line item on the bill</w:t>
      </w:r>
      <w:r w:rsidR="001164DD" w:rsidRPr="0097019B">
        <w:rPr>
          <w:sz w:val="24"/>
          <w:szCs w:val="24"/>
        </w:rPr>
        <w:t>.</w:t>
      </w:r>
      <w:r w:rsidR="006A3457" w:rsidRPr="0097019B">
        <w:rPr>
          <w:sz w:val="24"/>
          <w:szCs w:val="24"/>
        </w:rPr>
        <w:t xml:space="preserve">  Thus, in practice,</w:t>
      </w:r>
      <w:r w:rsidRPr="0097019B">
        <w:rPr>
          <w:sz w:val="24"/>
          <w:szCs w:val="24"/>
        </w:rPr>
        <w:t xml:space="preserve"> </w:t>
      </w:r>
      <w:r w:rsidR="0099124F" w:rsidRPr="0097019B">
        <w:rPr>
          <w:sz w:val="24"/>
          <w:szCs w:val="24"/>
        </w:rPr>
        <w:t>an EGS must include</w:t>
      </w:r>
      <w:r w:rsidR="006A3457" w:rsidRPr="0097019B">
        <w:rPr>
          <w:sz w:val="24"/>
          <w:szCs w:val="24"/>
        </w:rPr>
        <w:t xml:space="preserve"> its</w:t>
      </w:r>
      <w:r w:rsidR="0099124F" w:rsidRPr="0097019B">
        <w:rPr>
          <w:sz w:val="24"/>
          <w:szCs w:val="24"/>
        </w:rPr>
        <w:t xml:space="preserve"> </w:t>
      </w:r>
      <w:r w:rsidRPr="0097019B">
        <w:rPr>
          <w:sz w:val="24"/>
          <w:szCs w:val="24"/>
        </w:rPr>
        <w:t xml:space="preserve">GRT </w:t>
      </w:r>
      <w:r w:rsidR="0078728B" w:rsidRPr="0097019B">
        <w:rPr>
          <w:sz w:val="24"/>
          <w:szCs w:val="24"/>
        </w:rPr>
        <w:t xml:space="preserve">on a separate supplier bill </w:t>
      </w:r>
      <w:r w:rsidR="006A3457" w:rsidRPr="0097019B">
        <w:rPr>
          <w:sz w:val="24"/>
          <w:szCs w:val="24"/>
        </w:rPr>
        <w:t>when</w:t>
      </w:r>
      <w:r w:rsidR="0078728B" w:rsidRPr="0097019B">
        <w:rPr>
          <w:sz w:val="24"/>
          <w:szCs w:val="24"/>
        </w:rPr>
        <w:t xml:space="preserve"> the customer has elected to receive dual billing</w:t>
      </w:r>
      <w:r w:rsidR="006A3457" w:rsidRPr="0097019B">
        <w:rPr>
          <w:sz w:val="24"/>
          <w:szCs w:val="24"/>
        </w:rPr>
        <w:t>.  When the EDC renders a consolidated bill, an EGS must provide its GRT information to the EDC for inclusion on its consolidated bill to the customer.</w:t>
      </w:r>
      <w:r w:rsidR="0078728B" w:rsidRPr="0097019B">
        <w:rPr>
          <w:sz w:val="24"/>
          <w:szCs w:val="24"/>
        </w:rPr>
        <w:t xml:space="preserve">  </w:t>
      </w:r>
      <w:r w:rsidR="00D81334" w:rsidRPr="0097019B">
        <w:rPr>
          <w:sz w:val="24"/>
          <w:szCs w:val="24"/>
        </w:rPr>
        <w:t xml:space="preserve">When an EGS issues a SCB, the EGS must include the EDC’s GRT information on the SCB.  </w:t>
      </w:r>
    </w:p>
    <w:p w:rsidR="004D210C" w:rsidRPr="0097019B" w:rsidRDefault="004D210C" w:rsidP="004D210C">
      <w:pPr>
        <w:rPr>
          <w:sz w:val="24"/>
          <w:szCs w:val="24"/>
        </w:rPr>
      </w:pPr>
    </w:p>
    <w:p w:rsidR="00A8543A" w:rsidRPr="0097019B" w:rsidRDefault="004D210C" w:rsidP="004D210C">
      <w:pPr>
        <w:rPr>
          <w:sz w:val="24"/>
          <w:szCs w:val="24"/>
        </w:rPr>
      </w:pPr>
      <w:r w:rsidRPr="0097019B">
        <w:rPr>
          <w:sz w:val="24"/>
          <w:szCs w:val="24"/>
        </w:rPr>
        <w:tab/>
      </w:r>
      <w:r w:rsidR="009563DA" w:rsidRPr="0097019B">
        <w:rPr>
          <w:sz w:val="24"/>
          <w:szCs w:val="24"/>
        </w:rPr>
        <w:t xml:space="preserve">The PUC has been alerted to a </w:t>
      </w:r>
      <w:r w:rsidRPr="0097019B">
        <w:rPr>
          <w:sz w:val="24"/>
          <w:szCs w:val="24"/>
        </w:rPr>
        <w:t xml:space="preserve">problem </w:t>
      </w:r>
      <w:r w:rsidR="009563DA" w:rsidRPr="0097019B">
        <w:rPr>
          <w:sz w:val="24"/>
          <w:szCs w:val="24"/>
        </w:rPr>
        <w:t>regarding the inability of several EDCs to include an EGS’s estimated GRT on a customer’s bill.</w:t>
      </w:r>
      <w:r w:rsidRPr="0097019B">
        <w:rPr>
          <w:sz w:val="24"/>
          <w:szCs w:val="24"/>
        </w:rPr>
        <w:t xml:space="preserve"> </w:t>
      </w:r>
      <w:r w:rsidR="00A8543A" w:rsidRPr="0097019B">
        <w:rPr>
          <w:sz w:val="24"/>
          <w:szCs w:val="24"/>
        </w:rPr>
        <w:t xml:space="preserve"> </w:t>
      </w:r>
      <w:r w:rsidRPr="0097019B">
        <w:rPr>
          <w:sz w:val="24"/>
          <w:szCs w:val="24"/>
        </w:rPr>
        <w:t xml:space="preserve">Because of constraints on </w:t>
      </w:r>
      <w:r w:rsidR="009563DA" w:rsidRPr="0097019B">
        <w:rPr>
          <w:sz w:val="24"/>
          <w:szCs w:val="24"/>
        </w:rPr>
        <w:t>some</w:t>
      </w:r>
      <w:r w:rsidRPr="0097019B">
        <w:rPr>
          <w:sz w:val="24"/>
          <w:szCs w:val="24"/>
        </w:rPr>
        <w:t xml:space="preserve"> EDC</w:t>
      </w:r>
      <w:r w:rsidR="009563DA" w:rsidRPr="0097019B">
        <w:rPr>
          <w:sz w:val="24"/>
          <w:szCs w:val="24"/>
        </w:rPr>
        <w:t>s’</w:t>
      </w:r>
      <w:r w:rsidRPr="0097019B">
        <w:rPr>
          <w:sz w:val="24"/>
          <w:szCs w:val="24"/>
        </w:rPr>
        <w:t xml:space="preserve"> billing system</w:t>
      </w:r>
      <w:r w:rsidR="009563DA" w:rsidRPr="0097019B">
        <w:rPr>
          <w:sz w:val="24"/>
          <w:szCs w:val="24"/>
        </w:rPr>
        <w:t>s</w:t>
      </w:r>
      <w:r w:rsidRPr="0097019B">
        <w:rPr>
          <w:sz w:val="24"/>
          <w:szCs w:val="24"/>
        </w:rPr>
        <w:t>, only the EDC’s GRT appears on customer bills.  Since we are aware</w:t>
      </w:r>
      <w:r w:rsidR="00D007E1">
        <w:rPr>
          <w:sz w:val="24"/>
          <w:szCs w:val="24"/>
        </w:rPr>
        <w:t xml:space="preserve"> of</w:t>
      </w:r>
      <w:r w:rsidRPr="0097019B">
        <w:rPr>
          <w:sz w:val="24"/>
          <w:szCs w:val="24"/>
        </w:rPr>
        <w:t xml:space="preserve"> this problem, we </w:t>
      </w:r>
      <w:r w:rsidR="00933243" w:rsidRPr="0097019B">
        <w:rPr>
          <w:sz w:val="24"/>
          <w:szCs w:val="24"/>
        </w:rPr>
        <w:t>believe that it is reasonable to grant a temporary</w:t>
      </w:r>
      <w:r w:rsidRPr="0097019B">
        <w:rPr>
          <w:sz w:val="24"/>
          <w:szCs w:val="24"/>
        </w:rPr>
        <w:t xml:space="preserve"> waive</w:t>
      </w:r>
      <w:r w:rsidR="00933243" w:rsidRPr="0097019B">
        <w:rPr>
          <w:sz w:val="24"/>
          <w:szCs w:val="24"/>
        </w:rPr>
        <w:t>r</w:t>
      </w:r>
      <w:r w:rsidRPr="0097019B">
        <w:rPr>
          <w:sz w:val="24"/>
          <w:szCs w:val="24"/>
        </w:rPr>
        <w:t xml:space="preserve"> </w:t>
      </w:r>
      <w:r w:rsidR="00933243" w:rsidRPr="0097019B">
        <w:rPr>
          <w:sz w:val="24"/>
          <w:szCs w:val="24"/>
        </w:rPr>
        <w:t xml:space="preserve">of the </w:t>
      </w:r>
      <w:r w:rsidRPr="0097019B">
        <w:rPr>
          <w:sz w:val="24"/>
          <w:szCs w:val="24"/>
        </w:rPr>
        <w:t xml:space="preserve">GRT bill presentment requirement in Section 56.15(4) for affected EGSs.  </w:t>
      </w:r>
      <w:r w:rsidR="00910D6E" w:rsidRPr="0097019B">
        <w:rPr>
          <w:sz w:val="24"/>
          <w:szCs w:val="24"/>
        </w:rPr>
        <w:t xml:space="preserve">We will direct that each EDC </w:t>
      </w:r>
      <w:r w:rsidR="00FD7261" w:rsidRPr="0097019B">
        <w:rPr>
          <w:sz w:val="24"/>
          <w:szCs w:val="24"/>
        </w:rPr>
        <w:t>provide OCMO with a</w:t>
      </w:r>
      <w:r w:rsidR="00910D6E" w:rsidRPr="0097019B">
        <w:rPr>
          <w:sz w:val="24"/>
          <w:szCs w:val="24"/>
        </w:rPr>
        <w:t xml:space="preserve"> list of EGSs </w:t>
      </w:r>
      <w:r w:rsidR="00D16AAE" w:rsidRPr="0097019B">
        <w:rPr>
          <w:sz w:val="24"/>
          <w:szCs w:val="24"/>
        </w:rPr>
        <w:t xml:space="preserve">for which the EDC cannot display </w:t>
      </w:r>
      <w:r w:rsidR="00910D6E" w:rsidRPr="0097019B">
        <w:rPr>
          <w:sz w:val="24"/>
          <w:szCs w:val="24"/>
        </w:rPr>
        <w:t>the EGS</w:t>
      </w:r>
      <w:r w:rsidR="00D16AAE" w:rsidRPr="0097019B">
        <w:rPr>
          <w:sz w:val="24"/>
          <w:szCs w:val="24"/>
        </w:rPr>
        <w:t>’</w:t>
      </w:r>
      <w:r w:rsidR="00910D6E" w:rsidRPr="0097019B">
        <w:rPr>
          <w:sz w:val="24"/>
          <w:szCs w:val="24"/>
        </w:rPr>
        <w:t xml:space="preserve">s </w:t>
      </w:r>
      <w:r w:rsidR="00D16AAE" w:rsidRPr="0097019B">
        <w:rPr>
          <w:sz w:val="24"/>
          <w:szCs w:val="24"/>
        </w:rPr>
        <w:t>GRT on its bill</w:t>
      </w:r>
      <w:r w:rsidR="00FD7261" w:rsidRPr="0097019B">
        <w:rPr>
          <w:sz w:val="24"/>
          <w:szCs w:val="24"/>
        </w:rPr>
        <w:t xml:space="preserve">.  </w:t>
      </w:r>
      <w:r w:rsidR="00974ED0" w:rsidRPr="0097019B">
        <w:rPr>
          <w:sz w:val="24"/>
          <w:szCs w:val="24"/>
        </w:rPr>
        <w:t xml:space="preserve">EDCs shall provide this list to </w:t>
      </w:r>
      <w:r w:rsidR="00FD7261" w:rsidRPr="0097019B">
        <w:rPr>
          <w:sz w:val="24"/>
          <w:szCs w:val="24"/>
        </w:rPr>
        <w:t>OCMO</w:t>
      </w:r>
      <w:r w:rsidR="00D16AAE" w:rsidRPr="0097019B">
        <w:rPr>
          <w:sz w:val="24"/>
          <w:szCs w:val="24"/>
        </w:rPr>
        <w:t xml:space="preserve"> no later than 10 days after the date of this letter.  </w:t>
      </w:r>
      <w:r w:rsidR="00D764F0" w:rsidRPr="0097019B">
        <w:rPr>
          <w:sz w:val="24"/>
          <w:szCs w:val="24"/>
        </w:rPr>
        <w:t>OCMO will distribute t</w:t>
      </w:r>
      <w:r w:rsidR="00D93550" w:rsidRPr="0097019B">
        <w:rPr>
          <w:sz w:val="24"/>
          <w:szCs w:val="24"/>
        </w:rPr>
        <w:t xml:space="preserve">his information </w:t>
      </w:r>
      <w:r w:rsidR="00D16AAE" w:rsidRPr="0097019B">
        <w:rPr>
          <w:sz w:val="24"/>
          <w:szCs w:val="24"/>
        </w:rPr>
        <w:t xml:space="preserve">to </w:t>
      </w:r>
      <w:r w:rsidR="00D764F0" w:rsidRPr="0097019B">
        <w:rPr>
          <w:sz w:val="24"/>
          <w:szCs w:val="24"/>
        </w:rPr>
        <w:t xml:space="preserve">other </w:t>
      </w:r>
      <w:r w:rsidR="00A8543A" w:rsidRPr="0097019B">
        <w:rPr>
          <w:sz w:val="24"/>
          <w:szCs w:val="24"/>
        </w:rPr>
        <w:t xml:space="preserve">PUC staff </w:t>
      </w:r>
      <w:r w:rsidR="00D764F0" w:rsidRPr="0097019B">
        <w:rPr>
          <w:sz w:val="24"/>
          <w:szCs w:val="24"/>
        </w:rPr>
        <w:t>for</w:t>
      </w:r>
      <w:r w:rsidR="00D16AAE" w:rsidRPr="0097019B">
        <w:rPr>
          <w:sz w:val="24"/>
          <w:szCs w:val="24"/>
        </w:rPr>
        <w:t xml:space="preserve"> </w:t>
      </w:r>
      <w:r w:rsidR="00D764F0" w:rsidRPr="0097019B">
        <w:rPr>
          <w:sz w:val="24"/>
          <w:szCs w:val="24"/>
        </w:rPr>
        <w:t xml:space="preserve">use in responding </w:t>
      </w:r>
      <w:r w:rsidR="00A8543A" w:rsidRPr="0097019B">
        <w:rPr>
          <w:sz w:val="24"/>
          <w:szCs w:val="24"/>
        </w:rPr>
        <w:t xml:space="preserve">customer inquiries and complaints relating to </w:t>
      </w:r>
      <w:r w:rsidR="00D93550" w:rsidRPr="0097019B">
        <w:rPr>
          <w:sz w:val="24"/>
          <w:szCs w:val="24"/>
        </w:rPr>
        <w:t>this issue.</w:t>
      </w:r>
    </w:p>
    <w:p w:rsidR="00A8543A" w:rsidRPr="0097019B" w:rsidRDefault="00A8543A" w:rsidP="004D210C">
      <w:pPr>
        <w:rPr>
          <w:sz w:val="24"/>
          <w:szCs w:val="24"/>
        </w:rPr>
      </w:pPr>
    </w:p>
    <w:p w:rsidR="004D210C" w:rsidRDefault="00A8543A" w:rsidP="004D210C">
      <w:pPr>
        <w:rPr>
          <w:sz w:val="24"/>
          <w:szCs w:val="24"/>
        </w:rPr>
      </w:pPr>
      <w:r w:rsidRPr="0097019B">
        <w:rPr>
          <w:sz w:val="24"/>
          <w:szCs w:val="24"/>
        </w:rPr>
        <w:tab/>
      </w:r>
      <w:r w:rsidR="004D210C" w:rsidRPr="0097019B">
        <w:rPr>
          <w:sz w:val="24"/>
          <w:szCs w:val="24"/>
        </w:rPr>
        <w:t xml:space="preserve">Additionally, we direct OCMO to raise this </w:t>
      </w:r>
      <w:r w:rsidR="00D764F0" w:rsidRPr="0097019B">
        <w:rPr>
          <w:sz w:val="24"/>
          <w:szCs w:val="24"/>
        </w:rPr>
        <w:t>issue</w:t>
      </w:r>
      <w:r w:rsidR="004D210C" w:rsidRPr="0097019B">
        <w:rPr>
          <w:sz w:val="24"/>
          <w:szCs w:val="24"/>
        </w:rPr>
        <w:t xml:space="preserve"> with CHARGE/EDEWG for the purpose of </w:t>
      </w:r>
      <w:r w:rsidR="00D764F0" w:rsidRPr="0097019B">
        <w:rPr>
          <w:sz w:val="24"/>
          <w:szCs w:val="24"/>
        </w:rPr>
        <w:t>discussing possible interim solutions</w:t>
      </w:r>
      <w:r w:rsidR="00974ED0" w:rsidRPr="0097019B">
        <w:rPr>
          <w:sz w:val="24"/>
          <w:szCs w:val="24"/>
        </w:rPr>
        <w:t xml:space="preserve"> that will permit an affected EGS’s GRT to be displayed on EDC consolidated bill</w:t>
      </w:r>
      <w:r w:rsidR="00FD7261" w:rsidRPr="0097019B">
        <w:rPr>
          <w:sz w:val="24"/>
          <w:szCs w:val="24"/>
        </w:rPr>
        <w:t>,</w:t>
      </w:r>
      <w:r w:rsidR="00D764F0" w:rsidRPr="0097019B">
        <w:rPr>
          <w:sz w:val="24"/>
          <w:szCs w:val="24"/>
        </w:rPr>
        <w:t xml:space="preserve"> and </w:t>
      </w:r>
      <w:r w:rsidR="00FD7261" w:rsidRPr="0097019B">
        <w:rPr>
          <w:sz w:val="24"/>
          <w:szCs w:val="24"/>
        </w:rPr>
        <w:t xml:space="preserve">for establishing </w:t>
      </w:r>
      <w:r w:rsidR="004D210C" w:rsidRPr="0097019B">
        <w:rPr>
          <w:sz w:val="24"/>
          <w:szCs w:val="24"/>
        </w:rPr>
        <w:t xml:space="preserve">a timeline </w:t>
      </w:r>
      <w:r w:rsidR="00324DEC" w:rsidRPr="0097019B">
        <w:rPr>
          <w:sz w:val="24"/>
          <w:szCs w:val="24"/>
        </w:rPr>
        <w:t xml:space="preserve">when this problem can be remedied </w:t>
      </w:r>
      <w:r w:rsidR="00FD7261" w:rsidRPr="0097019B">
        <w:rPr>
          <w:sz w:val="24"/>
          <w:szCs w:val="24"/>
        </w:rPr>
        <w:t xml:space="preserve">for </w:t>
      </w:r>
      <w:r w:rsidR="00324DEC" w:rsidRPr="0097019B">
        <w:rPr>
          <w:sz w:val="24"/>
          <w:szCs w:val="24"/>
        </w:rPr>
        <w:t xml:space="preserve">affected EGSs. </w:t>
      </w:r>
      <w:r w:rsidR="00005927">
        <w:rPr>
          <w:sz w:val="24"/>
          <w:szCs w:val="24"/>
        </w:rPr>
        <w:t>OCMO should report back to the Commission on the status of remedying this issue by September 30, 2011.</w:t>
      </w:r>
    </w:p>
    <w:p w:rsidR="008D322F" w:rsidRPr="0097019B" w:rsidRDefault="008D322F" w:rsidP="004D210C">
      <w:pPr>
        <w:rPr>
          <w:sz w:val="24"/>
          <w:szCs w:val="24"/>
        </w:rPr>
      </w:pPr>
    </w:p>
    <w:p w:rsidR="008D322F" w:rsidRDefault="008D322F" w:rsidP="008D322F">
      <w:pPr>
        <w:spacing w:after="200" w:line="276" w:lineRule="auto"/>
        <w:rPr>
          <w:b/>
          <w:sz w:val="24"/>
          <w:szCs w:val="24"/>
        </w:rPr>
      </w:pPr>
    </w:p>
    <w:p w:rsidR="008D322F" w:rsidRPr="0097019B" w:rsidRDefault="00526DCA" w:rsidP="008D322F">
      <w:pPr>
        <w:spacing w:after="200" w:line="276" w:lineRule="auto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8D322F" w:rsidRPr="0097019B">
        <w:rPr>
          <w:b/>
          <w:sz w:val="24"/>
          <w:szCs w:val="24"/>
        </w:rPr>
        <w:lastRenderedPageBreak/>
        <w:t>Summary</w:t>
      </w:r>
    </w:p>
    <w:p w:rsidR="008D322F" w:rsidRPr="0097019B" w:rsidRDefault="008D322F" w:rsidP="008D322F">
      <w:pPr>
        <w:spacing w:after="200" w:line="276" w:lineRule="auto"/>
        <w:rPr>
          <w:sz w:val="24"/>
          <w:szCs w:val="24"/>
        </w:rPr>
      </w:pPr>
      <w:r w:rsidRPr="0097019B">
        <w:rPr>
          <w:sz w:val="24"/>
          <w:szCs w:val="24"/>
        </w:rPr>
        <w:t>In summary, the following guidance has been provided:</w:t>
      </w:r>
    </w:p>
    <w:p w:rsidR="008D322F" w:rsidRDefault="002911C3" w:rsidP="00413022">
      <w:pPr>
        <w:numPr>
          <w:ilvl w:val="1"/>
          <w:numId w:val="3"/>
        </w:numPr>
        <w:spacing w:line="276" w:lineRule="auto"/>
        <w:ind w:left="1080"/>
        <w:rPr>
          <w:sz w:val="24"/>
          <w:szCs w:val="24"/>
        </w:rPr>
      </w:pPr>
      <w:r w:rsidRPr="0097019B">
        <w:rPr>
          <w:sz w:val="24"/>
          <w:szCs w:val="24"/>
        </w:rPr>
        <w:t xml:space="preserve"> </w:t>
      </w:r>
      <w:r w:rsidR="008D322F" w:rsidRPr="0097019B">
        <w:rPr>
          <w:sz w:val="24"/>
          <w:szCs w:val="24"/>
        </w:rPr>
        <w:t>EGSs are not required to place “a statement of the dollar amount of total State taxes” for the current billing period charge on a separate supplier bill or to provide this information to EDCs for inclusion on an EDC consolidated bill.  The requirement is</w:t>
      </w:r>
      <w:r w:rsidR="008D322F">
        <w:rPr>
          <w:sz w:val="24"/>
          <w:szCs w:val="24"/>
        </w:rPr>
        <w:t xml:space="preserve"> </w:t>
      </w:r>
      <w:r w:rsidR="008D322F" w:rsidRPr="0097019B">
        <w:rPr>
          <w:sz w:val="24"/>
          <w:szCs w:val="24"/>
        </w:rPr>
        <w:t>applicable only to EDCs.  However, an EGS must include this information for the EDC when the EGS is issuing a SCB.</w:t>
      </w:r>
    </w:p>
    <w:p w:rsidR="000946B4" w:rsidRPr="0097019B" w:rsidRDefault="000946B4" w:rsidP="00413022">
      <w:pPr>
        <w:numPr>
          <w:ilvl w:val="1"/>
          <w:numId w:val="3"/>
        </w:numPr>
        <w:spacing w:line="276" w:lineRule="auto"/>
        <w:ind w:left="1080"/>
        <w:rPr>
          <w:sz w:val="24"/>
          <w:szCs w:val="24"/>
        </w:rPr>
      </w:pPr>
      <w:r w:rsidRPr="0097019B">
        <w:rPr>
          <w:sz w:val="24"/>
          <w:szCs w:val="24"/>
        </w:rPr>
        <w:t xml:space="preserve">EGS-PA State Sales Tax </w:t>
      </w:r>
      <w:r w:rsidR="00EB16F5" w:rsidRPr="0097019B">
        <w:rPr>
          <w:sz w:val="24"/>
          <w:szCs w:val="24"/>
        </w:rPr>
        <w:t>must</w:t>
      </w:r>
      <w:r w:rsidRPr="0097019B">
        <w:rPr>
          <w:sz w:val="24"/>
          <w:szCs w:val="24"/>
        </w:rPr>
        <w:t xml:space="preserve"> be included on </w:t>
      </w:r>
      <w:r w:rsidR="00EB16F5" w:rsidRPr="0097019B">
        <w:rPr>
          <w:sz w:val="24"/>
          <w:szCs w:val="24"/>
        </w:rPr>
        <w:t xml:space="preserve">a customer’s </w:t>
      </w:r>
      <w:r w:rsidRPr="0097019B">
        <w:rPr>
          <w:sz w:val="24"/>
          <w:szCs w:val="24"/>
        </w:rPr>
        <w:t>bill</w:t>
      </w:r>
      <w:r w:rsidR="002911C3" w:rsidRPr="0097019B">
        <w:rPr>
          <w:sz w:val="24"/>
          <w:szCs w:val="24"/>
        </w:rPr>
        <w:t xml:space="preserve"> only when </w:t>
      </w:r>
      <w:r w:rsidRPr="0097019B">
        <w:rPr>
          <w:sz w:val="24"/>
          <w:szCs w:val="24"/>
        </w:rPr>
        <w:t>applicable</w:t>
      </w:r>
      <w:r w:rsidR="002911C3" w:rsidRPr="0097019B">
        <w:rPr>
          <w:sz w:val="24"/>
          <w:szCs w:val="24"/>
        </w:rPr>
        <w:t xml:space="preserve">.  In general, electricity purchased solely for residential use is exempt from </w:t>
      </w:r>
      <w:r w:rsidR="00EB16F5" w:rsidRPr="0097019B">
        <w:rPr>
          <w:sz w:val="24"/>
          <w:szCs w:val="24"/>
        </w:rPr>
        <w:t xml:space="preserve">PA state </w:t>
      </w:r>
      <w:r w:rsidR="002911C3" w:rsidRPr="0097019B">
        <w:rPr>
          <w:sz w:val="24"/>
          <w:szCs w:val="24"/>
        </w:rPr>
        <w:t>sales tax.</w:t>
      </w:r>
      <w:r w:rsidR="00EB16F5" w:rsidRPr="0097019B">
        <w:rPr>
          <w:sz w:val="24"/>
          <w:szCs w:val="24"/>
        </w:rPr>
        <w:t xml:space="preserve">  However, electricity purchased for use in an office or business within a home is subject to sales tax.</w:t>
      </w:r>
    </w:p>
    <w:p w:rsidR="00990963" w:rsidRPr="0097019B" w:rsidRDefault="00413022" w:rsidP="00413022">
      <w:pPr>
        <w:numPr>
          <w:ilvl w:val="1"/>
          <w:numId w:val="3"/>
        </w:numPr>
        <w:spacing w:line="276" w:lineRule="auto"/>
        <w:ind w:left="1080"/>
        <w:rPr>
          <w:sz w:val="24"/>
          <w:szCs w:val="24"/>
        </w:rPr>
      </w:pPr>
      <w:r w:rsidRPr="0097019B">
        <w:rPr>
          <w:sz w:val="24"/>
          <w:szCs w:val="24"/>
        </w:rPr>
        <w:t xml:space="preserve">An </w:t>
      </w:r>
      <w:r w:rsidR="004D210C" w:rsidRPr="0097019B">
        <w:rPr>
          <w:sz w:val="24"/>
          <w:szCs w:val="24"/>
        </w:rPr>
        <w:t>EGS</w:t>
      </w:r>
      <w:r w:rsidRPr="0097019B">
        <w:rPr>
          <w:sz w:val="24"/>
          <w:szCs w:val="24"/>
        </w:rPr>
        <w:t xml:space="preserve"> </w:t>
      </w:r>
      <w:r w:rsidR="0099124F" w:rsidRPr="0097019B">
        <w:rPr>
          <w:sz w:val="24"/>
          <w:szCs w:val="24"/>
        </w:rPr>
        <w:t xml:space="preserve">must include </w:t>
      </w:r>
      <w:r w:rsidR="004D210C" w:rsidRPr="0097019B">
        <w:rPr>
          <w:sz w:val="24"/>
          <w:szCs w:val="24"/>
        </w:rPr>
        <w:t xml:space="preserve">GRT </w:t>
      </w:r>
      <w:r w:rsidR="0099124F" w:rsidRPr="0097019B">
        <w:rPr>
          <w:sz w:val="24"/>
          <w:szCs w:val="24"/>
        </w:rPr>
        <w:t xml:space="preserve">on </w:t>
      </w:r>
      <w:r w:rsidR="00D049F6" w:rsidRPr="0097019B">
        <w:rPr>
          <w:sz w:val="24"/>
          <w:szCs w:val="24"/>
        </w:rPr>
        <w:t>a customer’s bill, regardless of whether the bill is a separate one rendered at the customer’s request, a SCB</w:t>
      </w:r>
      <w:r w:rsidR="001214E6" w:rsidRPr="0097019B">
        <w:rPr>
          <w:sz w:val="24"/>
          <w:szCs w:val="24"/>
        </w:rPr>
        <w:t>, or an EDC consolidated bill.</w:t>
      </w:r>
      <w:r w:rsidR="001164DD" w:rsidRPr="0097019B">
        <w:rPr>
          <w:sz w:val="24"/>
          <w:szCs w:val="24"/>
        </w:rPr>
        <w:t xml:space="preserve"> However, GRT does not need to be a line item on the bill, and the amount may be estimated.</w:t>
      </w:r>
    </w:p>
    <w:p w:rsidR="004D210C" w:rsidRPr="0097019B" w:rsidRDefault="001214E6" w:rsidP="00413022">
      <w:pPr>
        <w:numPr>
          <w:ilvl w:val="1"/>
          <w:numId w:val="3"/>
        </w:numPr>
        <w:spacing w:line="276" w:lineRule="auto"/>
        <w:ind w:left="1080"/>
        <w:rPr>
          <w:sz w:val="24"/>
          <w:szCs w:val="24"/>
        </w:rPr>
      </w:pPr>
      <w:r w:rsidRPr="0097019B">
        <w:rPr>
          <w:sz w:val="24"/>
          <w:szCs w:val="24"/>
        </w:rPr>
        <w:t xml:space="preserve">Because the billing systems of some EDCs </w:t>
      </w:r>
      <w:r w:rsidR="004D210C" w:rsidRPr="0097019B">
        <w:rPr>
          <w:sz w:val="24"/>
          <w:szCs w:val="24"/>
        </w:rPr>
        <w:t>cannot accommodate th</w:t>
      </w:r>
      <w:r w:rsidRPr="0097019B">
        <w:rPr>
          <w:sz w:val="24"/>
          <w:szCs w:val="24"/>
        </w:rPr>
        <w:t>e inclusion of EGS GRT information, the</w:t>
      </w:r>
      <w:r w:rsidR="004D210C" w:rsidRPr="0097019B">
        <w:rPr>
          <w:sz w:val="24"/>
          <w:szCs w:val="24"/>
        </w:rPr>
        <w:t xml:space="preserve"> PUC </w:t>
      </w:r>
      <w:r w:rsidRPr="0097019B">
        <w:rPr>
          <w:sz w:val="24"/>
          <w:szCs w:val="24"/>
        </w:rPr>
        <w:t xml:space="preserve">has granted a temporarily waiver of Section </w:t>
      </w:r>
      <w:r w:rsidR="00A33C79" w:rsidRPr="0097019B">
        <w:rPr>
          <w:sz w:val="24"/>
          <w:szCs w:val="24"/>
        </w:rPr>
        <w:t>56.15(4) for affected EGSs</w:t>
      </w:r>
      <w:r w:rsidR="005C20E0" w:rsidRPr="0097019B">
        <w:rPr>
          <w:sz w:val="24"/>
          <w:szCs w:val="24"/>
        </w:rPr>
        <w:t>.  The EDCs shall provide a list of the affected EGSs to OCMO within 10 days after the issue date of this letter.</w:t>
      </w:r>
      <w:r w:rsidR="00A33C79" w:rsidRPr="0097019B">
        <w:rPr>
          <w:sz w:val="24"/>
          <w:szCs w:val="24"/>
        </w:rPr>
        <w:t xml:space="preserve"> </w:t>
      </w:r>
      <w:r w:rsidR="004D210C" w:rsidRPr="0097019B">
        <w:rPr>
          <w:sz w:val="24"/>
          <w:szCs w:val="24"/>
        </w:rPr>
        <w:t xml:space="preserve"> OCMO/CHARGE </w:t>
      </w:r>
      <w:r w:rsidR="00A33C79" w:rsidRPr="0097019B">
        <w:rPr>
          <w:sz w:val="24"/>
          <w:szCs w:val="24"/>
        </w:rPr>
        <w:t xml:space="preserve">is directed to </w:t>
      </w:r>
      <w:r w:rsidR="004D210C" w:rsidRPr="0097019B">
        <w:rPr>
          <w:sz w:val="24"/>
          <w:szCs w:val="24"/>
        </w:rPr>
        <w:t xml:space="preserve">explore </w:t>
      </w:r>
      <w:r w:rsidR="00990963" w:rsidRPr="0097019B">
        <w:rPr>
          <w:sz w:val="24"/>
          <w:szCs w:val="24"/>
        </w:rPr>
        <w:t>interim and permanent solutions to remedy this situation.</w:t>
      </w:r>
    </w:p>
    <w:p w:rsidR="00176DFA" w:rsidRPr="0097019B" w:rsidRDefault="00176DFA" w:rsidP="004D210C">
      <w:pPr>
        <w:spacing w:after="200" w:line="276" w:lineRule="auto"/>
        <w:ind w:left="1800"/>
        <w:rPr>
          <w:b/>
          <w:sz w:val="24"/>
          <w:szCs w:val="24"/>
          <w:u w:val="single"/>
        </w:rPr>
      </w:pPr>
    </w:p>
    <w:p w:rsidR="009455E9" w:rsidRPr="0097019B" w:rsidRDefault="00DD324D" w:rsidP="00F92CB1">
      <w:pPr>
        <w:rPr>
          <w:rFonts w:eastAsia="Calibri"/>
          <w:color w:val="000000"/>
          <w:sz w:val="24"/>
          <w:szCs w:val="24"/>
        </w:rPr>
      </w:pPr>
      <w:r w:rsidRPr="0097019B">
        <w:rPr>
          <w:sz w:val="24"/>
          <w:szCs w:val="24"/>
        </w:rPr>
        <w:tab/>
        <w:t>I</w:t>
      </w:r>
      <w:r w:rsidR="009455E9" w:rsidRPr="0097019B">
        <w:rPr>
          <w:sz w:val="24"/>
          <w:szCs w:val="24"/>
        </w:rPr>
        <w:t xml:space="preserve">f you have any questions about the information presented in this Secretarial Letter, please contact the OCMO at </w:t>
      </w:r>
      <w:proofErr w:type="spellStart"/>
      <w:r w:rsidR="009455E9" w:rsidRPr="0097019B">
        <w:rPr>
          <w:rFonts w:eastAsia="Calibri"/>
          <w:color w:val="0000FF"/>
          <w:sz w:val="24"/>
          <w:szCs w:val="24"/>
        </w:rPr>
        <w:t>ra</w:t>
      </w:r>
      <w:r w:rsidR="009455E9" w:rsidRPr="0097019B">
        <w:rPr>
          <w:rFonts w:ascii="Calibri" w:eastAsia="Calibri" w:hAnsi="Calibri"/>
          <w:color w:val="0000FF"/>
          <w:sz w:val="24"/>
          <w:szCs w:val="24"/>
        </w:rPr>
        <w:t>‐</w:t>
      </w:r>
      <w:r w:rsidR="009455E9" w:rsidRPr="0097019B">
        <w:rPr>
          <w:rFonts w:eastAsia="Calibri"/>
          <w:color w:val="0000FF"/>
          <w:sz w:val="24"/>
          <w:szCs w:val="24"/>
        </w:rPr>
        <w:t>ocmo@state.pa.us</w:t>
      </w:r>
      <w:proofErr w:type="spellEnd"/>
      <w:r w:rsidR="009455E9" w:rsidRPr="0097019B">
        <w:rPr>
          <w:rFonts w:eastAsia="Calibri"/>
          <w:color w:val="0000FF"/>
          <w:sz w:val="24"/>
          <w:szCs w:val="24"/>
        </w:rPr>
        <w:t xml:space="preserve">. </w:t>
      </w:r>
    </w:p>
    <w:p w:rsidR="00946719" w:rsidRPr="0097019B" w:rsidRDefault="00FE70E3" w:rsidP="00F92CB1">
      <w:pPr>
        <w:rPr>
          <w:rFonts w:eastAsia="Calibri"/>
          <w:color w:val="000000"/>
          <w:sz w:val="24"/>
          <w:szCs w:val="24"/>
        </w:rPr>
      </w:pPr>
      <w:r>
        <w:rPr>
          <w:rFonts w:eastAsia="Calibri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3235325</wp:posOffset>
            </wp:positionH>
            <wp:positionV relativeFrom="paragraph">
              <wp:posOffset>85725</wp:posOffset>
            </wp:positionV>
            <wp:extent cx="2197735" cy="838835"/>
            <wp:effectExtent l="19050" t="0" r="0" b="0"/>
            <wp:wrapNone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719" w:rsidRPr="0097019B" w:rsidRDefault="00946719" w:rsidP="00F92CB1">
      <w:pPr>
        <w:rPr>
          <w:rFonts w:eastAsia="Calibri"/>
          <w:color w:val="000000"/>
          <w:sz w:val="24"/>
          <w:szCs w:val="24"/>
        </w:rPr>
      </w:pP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  <w:t xml:space="preserve">Very truly yours, </w:t>
      </w:r>
    </w:p>
    <w:p w:rsidR="00946719" w:rsidRPr="0097019B" w:rsidRDefault="00946719" w:rsidP="00F92CB1">
      <w:pPr>
        <w:rPr>
          <w:rFonts w:eastAsia="Calibri"/>
          <w:color w:val="000000"/>
          <w:sz w:val="24"/>
          <w:szCs w:val="24"/>
        </w:rPr>
      </w:pPr>
    </w:p>
    <w:p w:rsidR="00946719" w:rsidRPr="0097019B" w:rsidRDefault="00946719" w:rsidP="00F92CB1">
      <w:pPr>
        <w:rPr>
          <w:rFonts w:eastAsia="Calibri"/>
          <w:color w:val="000000"/>
          <w:sz w:val="24"/>
          <w:szCs w:val="24"/>
        </w:rPr>
      </w:pPr>
    </w:p>
    <w:p w:rsidR="00946719" w:rsidRPr="0097019B" w:rsidRDefault="00946719" w:rsidP="00F92CB1">
      <w:pPr>
        <w:rPr>
          <w:rFonts w:eastAsia="Calibri"/>
          <w:color w:val="000000"/>
          <w:sz w:val="24"/>
          <w:szCs w:val="24"/>
        </w:rPr>
      </w:pPr>
    </w:p>
    <w:p w:rsidR="00946719" w:rsidRPr="0097019B" w:rsidRDefault="00946719" w:rsidP="00F92CB1">
      <w:pPr>
        <w:rPr>
          <w:rFonts w:eastAsia="Calibri"/>
          <w:color w:val="000000"/>
          <w:sz w:val="24"/>
          <w:szCs w:val="24"/>
        </w:rPr>
      </w:pP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  <w:t>Rosemary Chiavetta</w:t>
      </w:r>
    </w:p>
    <w:p w:rsidR="00946719" w:rsidRPr="0097019B" w:rsidRDefault="00946719" w:rsidP="00F92CB1">
      <w:pPr>
        <w:rPr>
          <w:rFonts w:eastAsia="Calibri"/>
          <w:color w:val="000000"/>
          <w:sz w:val="24"/>
          <w:szCs w:val="24"/>
        </w:rPr>
      </w:pP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</w:r>
      <w:r w:rsidRPr="0097019B">
        <w:rPr>
          <w:rFonts w:eastAsia="Calibri"/>
          <w:color w:val="000000"/>
          <w:sz w:val="24"/>
          <w:szCs w:val="24"/>
        </w:rPr>
        <w:tab/>
        <w:t>Secretary</w:t>
      </w:r>
    </w:p>
    <w:p w:rsidR="00D93550" w:rsidRPr="0097019B" w:rsidRDefault="00D93550" w:rsidP="00F92CB1">
      <w:pPr>
        <w:rPr>
          <w:rFonts w:eastAsia="Calibri"/>
          <w:color w:val="000000"/>
          <w:sz w:val="24"/>
          <w:szCs w:val="24"/>
        </w:rPr>
      </w:pPr>
    </w:p>
    <w:p w:rsidR="00D93550" w:rsidRPr="0097019B" w:rsidRDefault="00D93550" w:rsidP="00F92CB1">
      <w:pPr>
        <w:rPr>
          <w:rFonts w:eastAsia="Calibri"/>
          <w:color w:val="000000"/>
          <w:sz w:val="24"/>
          <w:szCs w:val="24"/>
        </w:rPr>
      </w:pPr>
    </w:p>
    <w:p w:rsidR="004B0CDB" w:rsidRPr="0097019B" w:rsidRDefault="00D93550" w:rsidP="00F92CB1">
      <w:pPr>
        <w:rPr>
          <w:rFonts w:eastAsia="Calibri"/>
          <w:color w:val="000000"/>
          <w:sz w:val="24"/>
          <w:szCs w:val="24"/>
        </w:rPr>
      </w:pPr>
      <w:r w:rsidRPr="0097019B">
        <w:rPr>
          <w:rFonts w:eastAsia="Calibri"/>
          <w:color w:val="000000"/>
          <w:sz w:val="24"/>
          <w:szCs w:val="24"/>
        </w:rPr>
        <w:t>cc:</w:t>
      </w:r>
      <w:r w:rsidRPr="0097019B">
        <w:rPr>
          <w:rFonts w:eastAsia="Calibri"/>
          <w:color w:val="000000"/>
          <w:sz w:val="24"/>
          <w:szCs w:val="24"/>
        </w:rPr>
        <w:tab/>
      </w:r>
      <w:r w:rsidR="004B0CDB" w:rsidRPr="0097019B">
        <w:rPr>
          <w:rFonts w:eastAsia="Calibri"/>
          <w:color w:val="000000"/>
          <w:sz w:val="24"/>
          <w:szCs w:val="24"/>
        </w:rPr>
        <w:t xml:space="preserve">Karen </w:t>
      </w:r>
      <w:proofErr w:type="spellStart"/>
      <w:r w:rsidR="004B0CDB" w:rsidRPr="0097019B">
        <w:rPr>
          <w:rFonts w:eastAsia="Calibri"/>
          <w:color w:val="000000"/>
          <w:sz w:val="24"/>
          <w:szCs w:val="24"/>
        </w:rPr>
        <w:t>Oill</w:t>
      </w:r>
      <w:proofErr w:type="spellEnd"/>
      <w:r w:rsidR="004B0CDB" w:rsidRPr="0097019B">
        <w:rPr>
          <w:rFonts w:eastAsia="Calibri"/>
          <w:color w:val="000000"/>
          <w:sz w:val="24"/>
          <w:szCs w:val="24"/>
        </w:rPr>
        <w:t xml:space="preserve"> Moury, Director of Operations</w:t>
      </w:r>
    </w:p>
    <w:p w:rsidR="00627956" w:rsidRPr="0097019B" w:rsidRDefault="004B0CDB" w:rsidP="00F92CB1">
      <w:pPr>
        <w:rPr>
          <w:rFonts w:eastAsia="Calibri"/>
          <w:color w:val="000000"/>
          <w:sz w:val="24"/>
          <w:szCs w:val="24"/>
        </w:rPr>
      </w:pPr>
      <w:r w:rsidRPr="0097019B">
        <w:rPr>
          <w:rFonts w:eastAsia="Calibri"/>
          <w:color w:val="000000"/>
          <w:sz w:val="24"/>
          <w:szCs w:val="24"/>
        </w:rPr>
        <w:tab/>
      </w:r>
      <w:r w:rsidR="006860AB" w:rsidRPr="0097019B">
        <w:rPr>
          <w:rFonts w:eastAsia="Calibri"/>
          <w:color w:val="000000"/>
          <w:sz w:val="24"/>
          <w:szCs w:val="24"/>
        </w:rPr>
        <w:t>Bohdan R. Pankiw, Chief Counsel</w:t>
      </w:r>
    </w:p>
    <w:p w:rsidR="00D93550" w:rsidRPr="0097019B" w:rsidRDefault="00D93550" w:rsidP="00F92CB1">
      <w:pPr>
        <w:rPr>
          <w:rFonts w:eastAsia="Calibri"/>
          <w:color w:val="000000"/>
          <w:sz w:val="24"/>
          <w:szCs w:val="24"/>
        </w:rPr>
      </w:pPr>
      <w:r w:rsidRPr="0097019B">
        <w:rPr>
          <w:rFonts w:eastAsia="Calibri"/>
          <w:color w:val="000000"/>
          <w:sz w:val="24"/>
          <w:szCs w:val="24"/>
        </w:rPr>
        <w:tab/>
      </w:r>
      <w:r w:rsidR="00F02FC7" w:rsidRPr="0097019B">
        <w:rPr>
          <w:rFonts w:eastAsia="Calibri"/>
          <w:color w:val="000000"/>
          <w:sz w:val="24"/>
          <w:szCs w:val="24"/>
        </w:rPr>
        <w:t>Irwin</w:t>
      </w:r>
      <w:r w:rsidR="00E95F90" w:rsidRPr="0097019B">
        <w:rPr>
          <w:rFonts w:eastAsia="Calibri"/>
          <w:color w:val="000000"/>
          <w:sz w:val="24"/>
          <w:szCs w:val="24"/>
        </w:rPr>
        <w:t xml:space="preserve"> A.</w:t>
      </w:r>
      <w:r w:rsidR="00627956" w:rsidRPr="0097019B">
        <w:rPr>
          <w:rFonts w:eastAsia="Calibri"/>
          <w:color w:val="000000"/>
          <w:sz w:val="24"/>
          <w:szCs w:val="24"/>
        </w:rPr>
        <w:t xml:space="preserve"> Popowsky, Office of Consumer Advocate</w:t>
      </w:r>
    </w:p>
    <w:p w:rsidR="00D93550" w:rsidRPr="0097019B" w:rsidRDefault="00627956" w:rsidP="00F92CB1">
      <w:pPr>
        <w:rPr>
          <w:rFonts w:eastAsia="Calibri"/>
          <w:color w:val="000000"/>
          <w:sz w:val="24"/>
          <w:szCs w:val="24"/>
        </w:rPr>
      </w:pPr>
      <w:r w:rsidRPr="0097019B">
        <w:rPr>
          <w:rFonts w:eastAsia="Calibri"/>
          <w:color w:val="000000"/>
          <w:sz w:val="24"/>
          <w:szCs w:val="24"/>
        </w:rPr>
        <w:tab/>
        <w:t xml:space="preserve">William </w:t>
      </w:r>
      <w:r w:rsidR="00F276A4" w:rsidRPr="0097019B">
        <w:rPr>
          <w:rFonts w:eastAsia="Calibri"/>
          <w:color w:val="000000"/>
          <w:sz w:val="24"/>
          <w:szCs w:val="24"/>
        </w:rPr>
        <w:t xml:space="preserve">R. </w:t>
      </w:r>
      <w:r w:rsidRPr="0097019B">
        <w:rPr>
          <w:rFonts w:eastAsia="Calibri"/>
          <w:color w:val="000000"/>
          <w:sz w:val="24"/>
          <w:szCs w:val="24"/>
        </w:rPr>
        <w:t>Lloyd, Office of Small Business Advocate</w:t>
      </w:r>
    </w:p>
    <w:p w:rsidR="00627956" w:rsidRPr="0097019B" w:rsidRDefault="00627956" w:rsidP="00F92CB1">
      <w:pPr>
        <w:rPr>
          <w:rFonts w:eastAsia="Calibri"/>
          <w:color w:val="000000"/>
          <w:sz w:val="24"/>
          <w:szCs w:val="24"/>
        </w:rPr>
      </w:pPr>
      <w:r w:rsidRPr="0097019B">
        <w:rPr>
          <w:rFonts w:eastAsia="Calibri"/>
          <w:color w:val="000000"/>
          <w:sz w:val="24"/>
          <w:szCs w:val="24"/>
        </w:rPr>
        <w:tab/>
        <w:t xml:space="preserve">Johnnie Simms, </w:t>
      </w:r>
      <w:r w:rsidR="00F276A4" w:rsidRPr="0097019B">
        <w:rPr>
          <w:rFonts w:eastAsia="Calibri"/>
          <w:color w:val="000000"/>
          <w:sz w:val="24"/>
          <w:szCs w:val="24"/>
        </w:rPr>
        <w:t>Director</w:t>
      </w:r>
      <w:r w:rsidRPr="0097019B">
        <w:rPr>
          <w:rFonts w:eastAsia="Calibri"/>
          <w:color w:val="000000"/>
          <w:sz w:val="24"/>
          <w:szCs w:val="24"/>
        </w:rPr>
        <w:t>, Office of Trial Staff</w:t>
      </w:r>
    </w:p>
    <w:p w:rsidR="00627956" w:rsidRPr="0097019B" w:rsidRDefault="00627956" w:rsidP="00F92CB1">
      <w:pPr>
        <w:rPr>
          <w:sz w:val="24"/>
          <w:szCs w:val="24"/>
        </w:rPr>
      </w:pPr>
      <w:r w:rsidRPr="0097019B">
        <w:rPr>
          <w:rFonts w:eastAsia="Calibri"/>
          <w:color w:val="000000"/>
          <w:sz w:val="24"/>
          <w:szCs w:val="24"/>
        </w:rPr>
        <w:tab/>
      </w:r>
      <w:r w:rsidR="00F276A4" w:rsidRPr="0097019B">
        <w:rPr>
          <w:rFonts w:eastAsia="Calibri"/>
          <w:color w:val="000000"/>
          <w:sz w:val="24"/>
          <w:szCs w:val="24"/>
        </w:rPr>
        <w:t xml:space="preserve">Alexis M. Bechtel, Director, </w:t>
      </w:r>
      <w:r w:rsidRPr="0097019B">
        <w:rPr>
          <w:rFonts w:eastAsia="Calibri"/>
          <w:color w:val="000000"/>
          <w:sz w:val="24"/>
          <w:szCs w:val="24"/>
        </w:rPr>
        <w:t>Bureau of Consumer Services</w:t>
      </w:r>
    </w:p>
    <w:sectPr w:rsidR="00627956" w:rsidRPr="0097019B" w:rsidSect="004F0DAF">
      <w:headerReference w:type="default" r:id="rId13"/>
      <w:pgSz w:w="12240" w:h="15840"/>
      <w:pgMar w:top="864" w:right="1440" w:bottom="1440" w:left="1440" w:header="720" w:footer="72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893" w:rsidRDefault="00994893" w:rsidP="00A3311B">
      <w:r>
        <w:separator/>
      </w:r>
    </w:p>
  </w:endnote>
  <w:endnote w:type="continuationSeparator" w:id="0">
    <w:p w:rsidR="00994893" w:rsidRDefault="00994893" w:rsidP="00A33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893" w:rsidRDefault="00994893" w:rsidP="00A3311B">
      <w:r>
        <w:separator/>
      </w:r>
    </w:p>
  </w:footnote>
  <w:footnote w:type="continuationSeparator" w:id="0">
    <w:p w:rsidR="00994893" w:rsidRDefault="00994893" w:rsidP="00A3311B">
      <w:r>
        <w:continuationSeparator/>
      </w:r>
    </w:p>
  </w:footnote>
  <w:footnote w:id="1">
    <w:p w:rsidR="0030722C" w:rsidRDefault="003072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F8E">
        <w:rPr>
          <w:rFonts w:ascii="Times New Roman" w:hAnsi="Times New Roman"/>
        </w:rPr>
        <w:t xml:space="preserve">While CHARGE </w:t>
      </w:r>
      <w:r>
        <w:rPr>
          <w:rFonts w:ascii="Times New Roman" w:hAnsi="Times New Roman"/>
        </w:rPr>
        <w:t>and EDEWG are</w:t>
      </w:r>
      <w:r w:rsidRPr="00676F8E">
        <w:rPr>
          <w:rFonts w:ascii="Times New Roman" w:hAnsi="Times New Roman"/>
        </w:rPr>
        <w:t xml:space="preserve"> no longer </w:t>
      </w:r>
      <w:r>
        <w:rPr>
          <w:rFonts w:ascii="Times New Roman" w:hAnsi="Times New Roman"/>
        </w:rPr>
        <w:t xml:space="preserve">working </w:t>
      </w:r>
      <w:r w:rsidRPr="00676F8E">
        <w:rPr>
          <w:rFonts w:ascii="Times New Roman" w:hAnsi="Times New Roman"/>
        </w:rPr>
        <w:t xml:space="preserve">on supplier-consolidated billing, the issue </w:t>
      </w:r>
      <w:r>
        <w:rPr>
          <w:rFonts w:ascii="Times New Roman" w:hAnsi="Times New Roman"/>
        </w:rPr>
        <w:t xml:space="preserve">of the presentment of </w:t>
      </w:r>
      <w:r w:rsidRPr="00676F8E">
        <w:rPr>
          <w:rFonts w:ascii="Times New Roman" w:hAnsi="Times New Roman"/>
        </w:rPr>
        <w:t xml:space="preserve">tax information on a </w:t>
      </w:r>
      <w:r w:rsidR="00EB303B">
        <w:rPr>
          <w:rFonts w:ascii="Times New Roman" w:hAnsi="Times New Roman"/>
        </w:rPr>
        <w:t>SCB</w:t>
      </w:r>
      <w:r w:rsidRPr="00676F8E">
        <w:rPr>
          <w:rFonts w:ascii="Times New Roman" w:hAnsi="Times New Roman"/>
        </w:rPr>
        <w:t xml:space="preserve"> continues to be of interest</w:t>
      </w:r>
      <w:r>
        <w:rPr>
          <w:rFonts w:ascii="Times New Roman" w:hAnsi="Times New Roman"/>
        </w:rPr>
        <w:t xml:space="preserve"> since two EGSs have </w:t>
      </w:r>
      <w:r w:rsidRPr="00676F8E">
        <w:rPr>
          <w:rFonts w:ascii="Times New Roman" w:hAnsi="Times New Roman"/>
        </w:rPr>
        <w:t xml:space="preserve">been </w:t>
      </w:r>
      <w:r>
        <w:rPr>
          <w:rFonts w:ascii="Times New Roman" w:hAnsi="Times New Roman"/>
        </w:rPr>
        <w:t xml:space="preserve">providing their customers with </w:t>
      </w:r>
      <w:r w:rsidRPr="00676F8E">
        <w:rPr>
          <w:rFonts w:ascii="Times New Roman" w:hAnsi="Times New Roman"/>
        </w:rPr>
        <w:t xml:space="preserve">supplier-consolidated billing </w:t>
      </w:r>
      <w:r>
        <w:rPr>
          <w:rFonts w:ascii="Times New Roman" w:hAnsi="Times New Roman"/>
        </w:rPr>
        <w:t xml:space="preserve">using </w:t>
      </w:r>
      <w:r w:rsidRPr="00676F8E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temporary </w:t>
      </w:r>
      <w:r w:rsidRPr="00676F8E">
        <w:rPr>
          <w:rFonts w:ascii="Times New Roman" w:hAnsi="Times New Roman"/>
        </w:rPr>
        <w:t>work-around created by PPL Electric Utilities.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1E" w:rsidRPr="008D322F" w:rsidRDefault="00B8371E">
    <w:pPr>
      <w:pStyle w:val="Header"/>
      <w:jc w:val="right"/>
      <w:rPr>
        <w:sz w:val="24"/>
        <w:szCs w:val="24"/>
      </w:rPr>
    </w:pPr>
    <w:r w:rsidRPr="008D322F">
      <w:rPr>
        <w:sz w:val="24"/>
        <w:szCs w:val="24"/>
      </w:rPr>
      <w:t xml:space="preserve">Page </w:t>
    </w:r>
    <w:r w:rsidR="00221225" w:rsidRPr="008D322F">
      <w:rPr>
        <w:sz w:val="24"/>
        <w:szCs w:val="24"/>
      </w:rPr>
      <w:fldChar w:fldCharType="begin"/>
    </w:r>
    <w:r w:rsidRPr="008D322F">
      <w:rPr>
        <w:sz w:val="24"/>
        <w:szCs w:val="24"/>
      </w:rPr>
      <w:instrText xml:space="preserve"> PAGE   \* MERGEFORMAT </w:instrText>
    </w:r>
    <w:r w:rsidR="00221225" w:rsidRPr="008D322F">
      <w:rPr>
        <w:sz w:val="24"/>
        <w:szCs w:val="24"/>
      </w:rPr>
      <w:fldChar w:fldCharType="separate"/>
    </w:r>
    <w:r w:rsidR="00FE70E3">
      <w:rPr>
        <w:noProof/>
        <w:sz w:val="24"/>
        <w:szCs w:val="24"/>
      </w:rPr>
      <w:t>4</w:t>
    </w:r>
    <w:r w:rsidR="00221225" w:rsidRPr="008D322F">
      <w:rPr>
        <w:sz w:val="24"/>
        <w:szCs w:val="24"/>
      </w:rPr>
      <w:fldChar w:fldCharType="end"/>
    </w:r>
  </w:p>
  <w:p w:rsidR="004F0DAF" w:rsidRDefault="004F0DAF">
    <w:pPr>
      <w:pStyle w:val="Header"/>
    </w:pPr>
  </w:p>
  <w:p w:rsidR="00B8371E" w:rsidRDefault="00B8371E">
    <w:pPr>
      <w:pStyle w:val="Header"/>
    </w:pPr>
  </w:p>
  <w:p w:rsidR="00B8371E" w:rsidRDefault="00B837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2E7"/>
    <w:multiLevelType w:val="hybridMultilevel"/>
    <w:tmpl w:val="C354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D7DCE"/>
    <w:multiLevelType w:val="hybridMultilevel"/>
    <w:tmpl w:val="57EEB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1544E"/>
    <w:multiLevelType w:val="hybridMultilevel"/>
    <w:tmpl w:val="32DC7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37741"/>
    <w:rsid w:val="000014E3"/>
    <w:rsid w:val="0000202A"/>
    <w:rsid w:val="00002866"/>
    <w:rsid w:val="000029C1"/>
    <w:rsid w:val="0000486D"/>
    <w:rsid w:val="00005927"/>
    <w:rsid w:val="000066BF"/>
    <w:rsid w:val="0001064A"/>
    <w:rsid w:val="0001089E"/>
    <w:rsid w:val="00011A94"/>
    <w:rsid w:val="00016919"/>
    <w:rsid w:val="0002088B"/>
    <w:rsid w:val="000259E7"/>
    <w:rsid w:val="00025E52"/>
    <w:rsid w:val="000260D4"/>
    <w:rsid w:val="00031359"/>
    <w:rsid w:val="00031BA4"/>
    <w:rsid w:val="00031C99"/>
    <w:rsid w:val="00035993"/>
    <w:rsid w:val="00036279"/>
    <w:rsid w:val="00036DC3"/>
    <w:rsid w:val="00040E8A"/>
    <w:rsid w:val="0004137A"/>
    <w:rsid w:val="00042780"/>
    <w:rsid w:val="00043068"/>
    <w:rsid w:val="00043F67"/>
    <w:rsid w:val="00045A52"/>
    <w:rsid w:val="00046329"/>
    <w:rsid w:val="000509EB"/>
    <w:rsid w:val="00050F11"/>
    <w:rsid w:val="00057817"/>
    <w:rsid w:val="00057AC3"/>
    <w:rsid w:val="00060418"/>
    <w:rsid w:val="00060C66"/>
    <w:rsid w:val="0006475B"/>
    <w:rsid w:val="00073E61"/>
    <w:rsid w:val="000776FA"/>
    <w:rsid w:val="0008188E"/>
    <w:rsid w:val="00081EBC"/>
    <w:rsid w:val="000830C0"/>
    <w:rsid w:val="00090EA9"/>
    <w:rsid w:val="000946B4"/>
    <w:rsid w:val="000A244F"/>
    <w:rsid w:val="000A324B"/>
    <w:rsid w:val="000A5D1E"/>
    <w:rsid w:val="000B0545"/>
    <w:rsid w:val="000B14A6"/>
    <w:rsid w:val="000B2255"/>
    <w:rsid w:val="000B2E10"/>
    <w:rsid w:val="000B34C3"/>
    <w:rsid w:val="000B6D85"/>
    <w:rsid w:val="000B73EE"/>
    <w:rsid w:val="000C02B1"/>
    <w:rsid w:val="000C08A7"/>
    <w:rsid w:val="000C1F7C"/>
    <w:rsid w:val="000C3659"/>
    <w:rsid w:val="000C3F5F"/>
    <w:rsid w:val="000D21A4"/>
    <w:rsid w:val="000D2442"/>
    <w:rsid w:val="000D4F68"/>
    <w:rsid w:val="000D4F82"/>
    <w:rsid w:val="000D6C95"/>
    <w:rsid w:val="000D7275"/>
    <w:rsid w:val="000E1FEA"/>
    <w:rsid w:val="000E2A3C"/>
    <w:rsid w:val="000E3B1D"/>
    <w:rsid w:val="000E450C"/>
    <w:rsid w:val="000E764F"/>
    <w:rsid w:val="000E77E6"/>
    <w:rsid w:val="000F182D"/>
    <w:rsid w:val="000F1C39"/>
    <w:rsid w:val="000F34AD"/>
    <w:rsid w:val="000F6B71"/>
    <w:rsid w:val="000F71B5"/>
    <w:rsid w:val="001037D2"/>
    <w:rsid w:val="00104E59"/>
    <w:rsid w:val="00106F6D"/>
    <w:rsid w:val="001070B9"/>
    <w:rsid w:val="00110241"/>
    <w:rsid w:val="00110268"/>
    <w:rsid w:val="0011515B"/>
    <w:rsid w:val="00116329"/>
    <w:rsid w:val="001164DD"/>
    <w:rsid w:val="00117DB5"/>
    <w:rsid w:val="001214E6"/>
    <w:rsid w:val="00123942"/>
    <w:rsid w:val="00124AD5"/>
    <w:rsid w:val="001259C6"/>
    <w:rsid w:val="0013029C"/>
    <w:rsid w:val="00130A4F"/>
    <w:rsid w:val="001332AC"/>
    <w:rsid w:val="001360C9"/>
    <w:rsid w:val="00136454"/>
    <w:rsid w:val="001373D7"/>
    <w:rsid w:val="00137EA0"/>
    <w:rsid w:val="00145CE8"/>
    <w:rsid w:val="00145EC3"/>
    <w:rsid w:val="00150B15"/>
    <w:rsid w:val="001543B0"/>
    <w:rsid w:val="00155935"/>
    <w:rsid w:val="00155F42"/>
    <w:rsid w:val="0016080B"/>
    <w:rsid w:val="001649B8"/>
    <w:rsid w:val="00165BD5"/>
    <w:rsid w:val="0016745B"/>
    <w:rsid w:val="00171DC0"/>
    <w:rsid w:val="0017276C"/>
    <w:rsid w:val="00173BBC"/>
    <w:rsid w:val="00176A6D"/>
    <w:rsid w:val="00176DFA"/>
    <w:rsid w:val="00177251"/>
    <w:rsid w:val="00181033"/>
    <w:rsid w:val="00181D19"/>
    <w:rsid w:val="00183509"/>
    <w:rsid w:val="00192090"/>
    <w:rsid w:val="001922F5"/>
    <w:rsid w:val="0019466D"/>
    <w:rsid w:val="00195105"/>
    <w:rsid w:val="001A0495"/>
    <w:rsid w:val="001A1A16"/>
    <w:rsid w:val="001A3276"/>
    <w:rsid w:val="001A57AE"/>
    <w:rsid w:val="001A5DE6"/>
    <w:rsid w:val="001A64F5"/>
    <w:rsid w:val="001A7280"/>
    <w:rsid w:val="001B2083"/>
    <w:rsid w:val="001B2CCB"/>
    <w:rsid w:val="001B3C38"/>
    <w:rsid w:val="001B690C"/>
    <w:rsid w:val="001B72FE"/>
    <w:rsid w:val="001C2B2B"/>
    <w:rsid w:val="001C37AF"/>
    <w:rsid w:val="001C411F"/>
    <w:rsid w:val="001C459D"/>
    <w:rsid w:val="001C66F8"/>
    <w:rsid w:val="001C723B"/>
    <w:rsid w:val="001E1E41"/>
    <w:rsid w:val="001E35BF"/>
    <w:rsid w:val="001E3B7D"/>
    <w:rsid w:val="001E3F6E"/>
    <w:rsid w:val="001E49A9"/>
    <w:rsid w:val="001F1FFA"/>
    <w:rsid w:val="001F5F17"/>
    <w:rsid w:val="001F6DCF"/>
    <w:rsid w:val="001F7F57"/>
    <w:rsid w:val="00201A6A"/>
    <w:rsid w:val="002024BB"/>
    <w:rsid w:val="00203F1F"/>
    <w:rsid w:val="002061B1"/>
    <w:rsid w:val="002107B7"/>
    <w:rsid w:val="00210E1C"/>
    <w:rsid w:val="00211CD3"/>
    <w:rsid w:val="00217063"/>
    <w:rsid w:val="00220DA1"/>
    <w:rsid w:val="00220E79"/>
    <w:rsid w:val="00221225"/>
    <w:rsid w:val="00221D84"/>
    <w:rsid w:val="002240D5"/>
    <w:rsid w:val="002267CF"/>
    <w:rsid w:val="00232DF4"/>
    <w:rsid w:val="00247A16"/>
    <w:rsid w:val="00250B92"/>
    <w:rsid w:val="002567C2"/>
    <w:rsid w:val="00256C4E"/>
    <w:rsid w:val="002610B1"/>
    <w:rsid w:val="002621D1"/>
    <w:rsid w:val="00264E74"/>
    <w:rsid w:val="002652AC"/>
    <w:rsid w:val="0026689D"/>
    <w:rsid w:val="0026784C"/>
    <w:rsid w:val="00270201"/>
    <w:rsid w:val="002715CF"/>
    <w:rsid w:val="00276EA6"/>
    <w:rsid w:val="00277394"/>
    <w:rsid w:val="00277D68"/>
    <w:rsid w:val="0028211D"/>
    <w:rsid w:val="0028276F"/>
    <w:rsid w:val="0028319E"/>
    <w:rsid w:val="002853B4"/>
    <w:rsid w:val="002863A6"/>
    <w:rsid w:val="002901D4"/>
    <w:rsid w:val="002911C3"/>
    <w:rsid w:val="0029470C"/>
    <w:rsid w:val="00294723"/>
    <w:rsid w:val="002A078E"/>
    <w:rsid w:val="002A1D57"/>
    <w:rsid w:val="002B3071"/>
    <w:rsid w:val="002B520E"/>
    <w:rsid w:val="002B6817"/>
    <w:rsid w:val="002C032F"/>
    <w:rsid w:val="002C063B"/>
    <w:rsid w:val="002C5527"/>
    <w:rsid w:val="002D435B"/>
    <w:rsid w:val="002D4CDB"/>
    <w:rsid w:val="002D63E9"/>
    <w:rsid w:val="002D7F7D"/>
    <w:rsid w:val="002E34AF"/>
    <w:rsid w:val="002E4F99"/>
    <w:rsid w:val="002E7002"/>
    <w:rsid w:val="002F144F"/>
    <w:rsid w:val="002F2BA9"/>
    <w:rsid w:val="002F7CFD"/>
    <w:rsid w:val="00301E19"/>
    <w:rsid w:val="00302076"/>
    <w:rsid w:val="0030363F"/>
    <w:rsid w:val="0030462A"/>
    <w:rsid w:val="0030722C"/>
    <w:rsid w:val="003076C4"/>
    <w:rsid w:val="003102A0"/>
    <w:rsid w:val="003167DD"/>
    <w:rsid w:val="00316A21"/>
    <w:rsid w:val="00324DEC"/>
    <w:rsid w:val="00326C38"/>
    <w:rsid w:val="003321BE"/>
    <w:rsid w:val="00333A3C"/>
    <w:rsid w:val="00333A78"/>
    <w:rsid w:val="00333AD4"/>
    <w:rsid w:val="00337437"/>
    <w:rsid w:val="00337E57"/>
    <w:rsid w:val="00340347"/>
    <w:rsid w:val="00340EBA"/>
    <w:rsid w:val="0034171A"/>
    <w:rsid w:val="003454EA"/>
    <w:rsid w:val="00352B94"/>
    <w:rsid w:val="00353E33"/>
    <w:rsid w:val="00354343"/>
    <w:rsid w:val="00357A08"/>
    <w:rsid w:val="003613BE"/>
    <w:rsid w:val="003632BF"/>
    <w:rsid w:val="00366799"/>
    <w:rsid w:val="00372C9D"/>
    <w:rsid w:val="0037332A"/>
    <w:rsid w:val="00373BD6"/>
    <w:rsid w:val="00377383"/>
    <w:rsid w:val="00377B22"/>
    <w:rsid w:val="003828BB"/>
    <w:rsid w:val="00384B82"/>
    <w:rsid w:val="00386CC5"/>
    <w:rsid w:val="00390346"/>
    <w:rsid w:val="0039327E"/>
    <w:rsid w:val="003939B5"/>
    <w:rsid w:val="00393F38"/>
    <w:rsid w:val="00394D98"/>
    <w:rsid w:val="0039518D"/>
    <w:rsid w:val="00395B5E"/>
    <w:rsid w:val="0039668B"/>
    <w:rsid w:val="003A4833"/>
    <w:rsid w:val="003A5CB8"/>
    <w:rsid w:val="003A6BE9"/>
    <w:rsid w:val="003B178C"/>
    <w:rsid w:val="003B3EA9"/>
    <w:rsid w:val="003B6E43"/>
    <w:rsid w:val="003C4E1C"/>
    <w:rsid w:val="003C549C"/>
    <w:rsid w:val="003D21F9"/>
    <w:rsid w:val="003E37DF"/>
    <w:rsid w:val="003E5ABF"/>
    <w:rsid w:val="003E5D6A"/>
    <w:rsid w:val="003E7731"/>
    <w:rsid w:val="003F005C"/>
    <w:rsid w:val="003F3A21"/>
    <w:rsid w:val="003F448B"/>
    <w:rsid w:val="003F78E4"/>
    <w:rsid w:val="00404AA2"/>
    <w:rsid w:val="00405207"/>
    <w:rsid w:val="00405BB8"/>
    <w:rsid w:val="004070BD"/>
    <w:rsid w:val="004114D2"/>
    <w:rsid w:val="00413022"/>
    <w:rsid w:val="004133A8"/>
    <w:rsid w:val="004148D4"/>
    <w:rsid w:val="004151D1"/>
    <w:rsid w:val="0041561C"/>
    <w:rsid w:val="0041713F"/>
    <w:rsid w:val="00417933"/>
    <w:rsid w:val="00425BA4"/>
    <w:rsid w:val="004274D4"/>
    <w:rsid w:val="0042797B"/>
    <w:rsid w:val="00430503"/>
    <w:rsid w:val="004313C5"/>
    <w:rsid w:val="00433825"/>
    <w:rsid w:val="00434980"/>
    <w:rsid w:val="00434BAE"/>
    <w:rsid w:val="00435052"/>
    <w:rsid w:val="004368DB"/>
    <w:rsid w:val="0044192A"/>
    <w:rsid w:val="00441DCE"/>
    <w:rsid w:val="004432B0"/>
    <w:rsid w:val="00443920"/>
    <w:rsid w:val="00444F2B"/>
    <w:rsid w:val="00445C4C"/>
    <w:rsid w:val="004519D9"/>
    <w:rsid w:val="00451DE4"/>
    <w:rsid w:val="0045510E"/>
    <w:rsid w:val="004631B3"/>
    <w:rsid w:val="00465BFB"/>
    <w:rsid w:val="00466BE7"/>
    <w:rsid w:val="00466CD6"/>
    <w:rsid w:val="00466E2F"/>
    <w:rsid w:val="00472E7D"/>
    <w:rsid w:val="00473BDF"/>
    <w:rsid w:val="00476FAF"/>
    <w:rsid w:val="00481ECF"/>
    <w:rsid w:val="00482668"/>
    <w:rsid w:val="0048436E"/>
    <w:rsid w:val="004848F5"/>
    <w:rsid w:val="00491128"/>
    <w:rsid w:val="00491FC2"/>
    <w:rsid w:val="00493A70"/>
    <w:rsid w:val="00497963"/>
    <w:rsid w:val="004A00DB"/>
    <w:rsid w:val="004A03C5"/>
    <w:rsid w:val="004A13D1"/>
    <w:rsid w:val="004A18D8"/>
    <w:rsid w:val="004A1E4D"/>
    <w:rsid w:val="004A306E"/>
    <w:rsid w:val="004A4BBA"/>
    <w:rsid w:val="004A7858"/>
    <w:rsid w:val="004B0CDB"/>
    <w:rsid w:val="004B4E4F"/>
    <w:rsid w:val="004B5DA4"/>
    <w:rsid w:val="004B6206"/>
    <w:rsid w:val="004C0071"/>
    <w:rsid w:val="004C0C1C"/>
    <w:rsid w:val="004C12A3"/>
    <w:rsid w:val="004C21E7"/>
    <w:rsid w:val="004C42FF"/>
    <w:rsid w:val="004D0A8F"/>
    <w:rsid w:val="004D210C"/>
    <w:rsid w:val="004D26B0"/>
    <w:rsid w:val="004D28F0"/>
    <w:rsid w:val="004D2B80"/>
    <w:rsid w:val="004D63C5"/>
    <w:rsid w:val="004D7F0D"/>
    <w:rsid w:val="004E09BC"/>
    <w:rsid w:val="004E3220"/>
    <w:rsid w:val="004E729B"/>
    <w:rsid w:val="004F006B"/>
    <w:rsid w:val="004F0DAF"/>
    <w:rsid w:val="004F61DF"/>
    <w:rsid w:val="004F6D43"/>
    <w:rsid w:val="00501202"/>
    <w:rsid w:val="0050306B"/>
    <w:rsid w:val="00506E63"/>
    <w:rsid w:val="00510CEC"/>
    <w:rsid w:val="00510D56"/>
    <w:rsid w:val="00510E13"/>
    <w:rsid w:val="0051131E"/>
    <w:rsid w:val="00512411"/>
    <w:rsid w:val="00521C76"/>
    <w:rsid w:val="005248D7"/>
    <w:rsid w:val="00524C92"/>
    <w:rsid w:val="00525892"/>
    <w:rsid w:val="00526DCA"/>
    <w:rsid w:val="00527961"/>
    <w:rsid w:val="00527E0F"/>
    <w:rsid w:val="00533171"/>
    <w:rsid w:val="005340D4"/>
    <w:rsid w:val="00535AB4"/>
    <w:rsid w:val="00536BEC"/>
    <w:rsid w:val="00536EEF"/>
    <w:rsid w:val="00542B42"/>
    <w:rsid w:val="00544B9D"/>
    <w:rsid w:val="00544DFE"/>
    <w:rsid w:val="00545EED"/>
    <w:rsid w:val="0054769E"/>
    <w:rsid w:val="00547894"/>
    <w:rsid w:val="005478A9"/>
    <w:rsid w:val="00556E80"/>
    <w:rsid w:val="0056074A"/>
    <w:rsid w:val="00564C70"/>
    <w:rsid w:val="00565B60"/>
    <w:rsid w:val="00565D61"/>
    <w:rsid w:val="00565E7B"/>
    <w:rsid w:val="0056601D"/>
    <w:rsid w:val="005665DC"/>
    <w:rsid w:val="00566A46"/>
    <w:rsid w:val="00587FAF"/>
    <w:rsid w:val="0059166A"/>
    <w:rsid w:val="005946A1"/>
    <w:rsid w:val="00594D16"/>
    <w:rsid w:val="00596B2D"/>
    <w:rsid w:val="005975C3"/>
    <w:rsid w:val="00597789"/>
    <w:rsid w:val="005A1C18"/>
    <w:rsid w:val="005A4B09"/>
    <w:rsid w:val="005A5AA3"/>
    <w:rsid w:val="005B0B8C"/>
    <w:rsid w:val="005B3076"/>
    <w:rsid w:val="005B4A39"/>
    <w:rsid w:val="005B6113"/>
    <w:rsid w:val="005B671F"/>
    <w:rsid w:val="005B73E2"/>
    <w:rsid w:val="005B74DC"/>
    <w:rsid w:val="005C20E0"/>
    <w:rsid w:val="005C40D6"/>
    <w:rsid w:val="005C58F3"/>
    <w:rsid w:val="005C66E0"/>
    <w:rsid w:val="005D023B"/>
    <w:rsid w:val="005D056F"/>
    <w:rsid w:val="005D0A01"/>
    <w:rsid w:val="005D1CD0"/>
    <w:rsid w:val="005D4DC7"/>
    <w:rsid w:val="005D70B6"/>
    <w:rsid w:val="005E11B6"/>
    <w:rsid w:val="005E5F08"/>
    <w:rsid w:val="005E7DC1"/>
    <w:rsid w:val="005F2959"/>
    <w:rsid w:val="005F29EB"/>
    <w:rsid w:val="005F3B15"/>
    <w:rsid w:val="005F4DAC"/>
    <w:rsid w:val="006061AB"/>
    <w:rsid w:val="00607820"/>
    <w:rsid w:val="0061022D"/>
    <w:rsid w:val="0061104E"/>
    <w:rsid w:val="0061306D"/>
    <w:rsid w:val="0062314C"/>
    <w:rsid w:val="006240E2"/>
    <w:rsid w:val="00625D9D"/>
    <w:rsid w:val="00627956"/>
    <w:rsid w:val="0063215F"/>
    <w:rsid w:val="00633B62"/>
    <w:rsid w:val="0064032B"/>
    <w:rsid w:val="00640342"/>
    <w:rsid w:val="006439E9"/>
    <w:rsid w:val="00647735"/>
    <w:rsid w:val="00647D06"/>
    <w:rsid w:val="00647E2F"/>
    <w:rsid w:val="006566E5"/>
    <w:rsid w:val="00657067"/>
    <w:rsid w:val="00666261"/>
    <w:rsid w:val="00666354"/>
    <w:rsid w:val="00671439"/>
    <w:rsid w:val="00672B47"/>
    <w:rsid w:val="0067401D"/>
    <w:rsid w:val="00675C6D"/>
    <w:rsid w:val="00677B18"/>
    <w:rsid w:val="0068078C"/>
    <w:rsid w:val="006813B6"/>
    <w:rsid w:val="00682B57"/>
    <w:rsid w:val="0068416D"/>
    <w:rsid w:val="006853B6"/>
    <w:rsid w:val="006860AB"/>
    <w:rsid w:val="00686442"/>
    <w:rsid w:val="00692075"/>
    <w:rsid w:val="00696A64"/>
    <w:rsid w:val="0069749B"/>
    <w:rsid w:val="006A3457"/>
    <w:rsid w:val="006A3829"/>
    <w:rsid w:val="006A50B4"/>
    <w:rsid w:val="006A5789"/>
    <w:rsid w:val="006A687B"/>
    <w:rsid w:val="006A7ED4"/>
    <w:rsid w:val="006B21AA"/>
    <w:rsid w:val="006B508A"/>
    <w:rsid w:val="006B5C03"/>
    <w:rsid w:val="006B726F"/>
    <w:rsid w:val="006C3216"/>
    <w:rsid w:val="006C3E4E"/>
    <w:rsid w:val="006D161D"/>
    <w:rsid w:val="006D201C"/>
    <w:rsid w:val="006D23FB"/>
    <w:rsid w:val="006D37C9"/>
    <w:rsid w:val="006D63A5"/>
    <w:rsid w:val="006E1A97"/>
    <w:rsid w:val="006E2A09"/>
    <w:rsid w:val="006E2B74"/>
    <w:rsid w:val="006F1814"/>
    <w:rsid w:val="006F2201"/>
    <w:rsid w:val="006F4A59"/>
    <w:rsid w:val="0070132A"/>
    <w:rsid w:val="00701687"/>
    <w:rsid w:val="00704474"/>
    <w:rsid w:val="0070471A"/>
    <w:rsid w:val="007051AE"/>
    <w:rsid w:val="0070541D"/>
    <w:rsid w:val="00705D22"/>
    <w:rsid w:val="00707EDC"/>
    <w:rsid w:val="007145FD"/>
    <w:rsid w:val="007178B8"/>
    <w:rsid w:val="007210FF"/>
    <w:rsid w:val="007216DB"/>
    <w:rsid w:val="00722EFC"/>
    <w:rsid w:val="0072301E"/>
    <w:rsid w:val="007232E4"/>
    <w:rsid w:val="00724F16"/>
    <w:rsid w:val="00730CD4"/>
    <w:rsid w:val="00730D49"/>
    <w:rsid w:val="00731C1D"/>
    <w:rsid w:val="0073322F"/>
    <w:rsid w:val="00734F20"/>
    <w:rsid w:val="00737546"/>
    <w:rsid w:val="0074091C"/>
    <w:rsid w:val="00741EAE"/>
    <w:rsid w:val="00743DE1"/>
    <w:rsid w:val="007459A5"/>
    <w:rsid w:val="00745BD1"/>
    <w:rsid w:val="00746412"/>
    <w:rsid w:val="00746EF4"/>
    <w:rsid w:val="007474E9"/>
    <w:rsid w:val="00747695"/>
    <w:rsid w:val="00750470"/>
    <w:rsid w:val="00750524"/>
    <w:rsid w:val="00753210"/>
    <w:rsid w:val="00753BAF"/>
    <w:rsid w:val="00755CCA"/>
    <w:rsid w:val="00763246"/>
    <w:rsid w:val="007673D8"/>
    <w:rsid w:val="007674F9"/>
    <w:rsid w:val="00771092"/>
    <w:rsid w:val="00771C8C"/>
    <w:rsid w:val="0077381F"/>
    <w:rsid w:val="00781271"/>
    <w:rsid w:val="00781AAE"/>
    <w:rsid w:val="00782AF2"/>
    <w:rsid w:val="007837B5"/>
    <w:rsid w:val="0078403E"/>
    <w:rsid w:val="00784F2D"/>
    <w:rsid w:val="0078728B"/>
    <w:rsid w:val="00787416"/>
    <w:rsid w:val="00792389"/>
    <w:rsid w:val="00795038"/>
    <w:rsid w:val="00795C1F"/>
    <w:rsid w:val="007A0E2E"/>
    <w:rsid w:val="007A5558"/>
    <w:rsid w:val="007A6500"/>
    <w:rsid w:val="007A7AC4"/>
    <w:rsid w:val="007B7AE9"/>
    <w:rsid w:val="007C47BA"/>
    <w:rsid w:val="007C613E"/>
    <w:rsid w:val="007C7BF8"/>
    <w:rsid w:val="007D1F0F"/>
    <w:rsid w:val="007D220E"/>
    <w:rsid w:val="007D2CF3"/>
    <w:rsid w:val="007D44D3"/>
    <w:rsid w:val="007D5801"/>
    <w:rsid w:val="007D5E96"/>
    <w:rsid w:val="007D6675"/>
    <w:rsid w:val="007D6E52"/>
    <w:rsid w:val="007D758F"/>
    <w:rsid w:val="007E0240"/>
    <w:rsid w:val="007E1506"/>
    <w:rsid w:val="007E34CD"/>
    <w:rsid w:val="007E6241"/>
    <w:rsid w:val="007E7C5D"/>
    <w:rsid w:val="007F0B04"/>
    <w:rsid w:val="007F0BFF"/>
    <w:rsid w:val="007F5865"/>
    <w:rsid w:val="00800AED"/>
    <w:rsid w:val="00801C53"/>
    <w:rsid w:val="00807242"/>
    <w:rsid w:val="00810C21"/>
    <w:rsid w:val="00811272"/>
    <w:rsid w:val="00813A1F"/>
    <w:rsid w:val="00816C43"/>
    <w:rsid w:val="008173DC"/>
    <w:rsid w:val="00821DC9"/>
    <w:rsid w:val="00822710"/>
    <w:rsid w:val="00824934"/>
    <w:rsid w:val="00825737"/>
    <w:rsid w:val="00825E9F"/>
    <w:rsid w:val="0082635A"/>
    <w:rsid w:val="008265BF"/>
    <w:rsid w:val="00830CDC"/>
    <w:rsid w:val="00831D4F"/>
    <w:rsid w:val="00832A04"/>
    <w:rsid w:val="0083343F"/>
    <w:rsid w:val="00835959"/>
    <w:rsid w:val="00836474"/>
    <w:rsid w:val="008371B4"/>
    <w:rsid w:val="00842F2F"/>
    <w:rsid w:val="0085040E"/>
    <w:rsid w:val="0085092E"/>
    <w:rsid w:val="00850D34"/>
    <w:rsid w:val="0085122E"/>
    <w:rsid w:val="00851720"/>
    <w:rsid w:val="0085361C"/>
    <w:rsid w:val="008558FF"/>
    <w:rsid w:val="00857F2E"/>
    <w:rsid w:val="00857FF1"/>
    <w:rsid w:val="00861464"/>
    <w:rsid w:val="008635AA"/>
    <w:rsid w:val="00864107"/>
    <w:rsid w:val="008656BD"/>
    <w:rsid w:val="008659B6"/>
    <w:rsid w:val="00865D3B"/>
    <w:rsid w:val="008660D7"/>
    <w:rsid w:val="00867EA1"/>
    <w:rsid w:val="008707A7"/>
    <w:rsid w:val="008712DC"/>
    <w:rsid w:val="00871E45"/>
    <w:rsid w:val="0087589E"/>
    <w:rsid w:val="008758BC"/>
    <w:rsid w:val="00876A36"/>
    <w:rsid w:val="008779D2"/>
    <w:rsid w:val="00885159"/>
    <w:rsid w:val="008864A6"/>
    <w:rsid w:val="00886E88"/>
    <w:rsid w:val="008927AD"/>
    <w:rsid w:val="008A02C8"/>
    <w:rsid w:val="008A16CE"/>
    <w:rsid w:val="008A4DDB"/>
    <w:rsid w:val="008A5124"/>
    <w:rsid w:val="008A7929"/>
    <w:rsid w:val="008B2AB5"/>
    <w:rsid w:val="008B30C1"/>
    <w:rsid w:val="008B4872"/>
    <w:rsid w:val="008C09D7"/>
    <w:rsid w:val="008C196B"/>
    <w:rsid w:val="008C42A3"/>
    <w:rsid w:val="008C688F"/>
    <w:rsid w:val="008C71D4"/>
    <w:rsid w:val="008D12C4"/>
    <w:rsid w:val="008D322F"/>
    <w:rsid w:val="008D326E"/>
    <w:rsid w:val="008D4909"/>
    <w:rsid w:val="008D6600"/>
    <w:rsid w:val="008E1635"/>
    <w:rsid w:val="008E4992"/>
    <w:rsid w:val="008E5BC1"/>
    <w:rsid w:val="008E7AE1"/>
    <w:rsid w:val="008F351E"/>
    <w:rsid w:val="00900082"/>
    <w:rsid w:val="00906942"/>
    <w:rsid w:val="009079FF"/>
    <w:rsid w:val="00910BF7"/>
    <w:rsid w:val="00910D6E"/>
    <w:rsid w:val="00910FEF"/>
    <w:rsid w:val="0091596C"/>
    <w:rsid w:val="0091628D"/>
    <w:rsid w:val="00922236"/>
    <w:rsid w:val="00926960"/>
    <w:rsid w:val="0093093A"/>
    <w:rsid w:val="00931B53"/>
    <w:rsid w:val="00933243"/>
    <w:rsid w:val="009332B2"/>
    <w:rsid w:val="009350D5"/>
    <w:rsid w:val="00936D39"/>
    <w:rsid w:val="00936D6D"/>
    <w:rsid w:val="00940399"/>
    <w:rsid w:val="00943A75"/>
    <w:rsid w:val="009455E9"/>
    <w:rsid w:val="00946719"/>
    <w:rsid w:val="009511B2"/>
    <w:rsid w:val="009563DA"/>
    <w:rsid w:val="00960646"/>
    <w:rsid w:val="00963091"/>
    <w:rsid w:val="00963227"/>
    <w:rsid w:val="00964DC5"/>
    <w:rsid w:val="0097019B"/>
    <w:rsid w:val="0097095E"/>
    <w:rsid w:val="00970B7C"/>
    <w:rsid w:val="00970B85"/>
    <w:rsid w:val="00971877"/>
    <w:rsid w:val="00971911"/>
    <w:rsid w:val="00971AC9"/>
    <w:rsid w:val="0097368D"/>
    <w:rsid w:val="00973BBA"/>
    <w:rsid w:val="00973DDB"/>
    <w:rsid w:val="0097419A"/>
    <w:rsid w:val="0097422A"/>
    <w:rsid w:val="00974ECD"/>
    <w:rsid w:val="00974ED0"/>
    <w:rsid w:val="009765D8"/>
    <w:rsid w:val="0097688B"/>
    <w:rsid w:val="00977095"/>
    <w:rsid w:val="00980223"/>
    <w:rsid w:val="00981E8B"/>
    <w:rsid w:val="0098384A"/>
    <w:rsid w:val="00983F19"/>
    <w:rsid w:val="00990963"/>
    <w:rsid w:val="0099124F"/>
    <w:rsid w:val="00991498"/>
    <w:rsid w:val="0099203E"/>
    <w:rsid w:val="00994893"/>
    <w:rsid w:val="0099654D"/>
    <w:rsid w:val="009A71BC"/>
    <w:rsid w:val="009A7718"/>
    <w:rsid w:val="009A7A9C"/>
    <w:rsid w:val="009B1AA3"/>
    <w:rsid w:val="009B27E1"/>
    <w:rsid w:val="009C0C20"/>
    <w:rsid w:val="009C19A8"/>
    <w:rsid w:val="009C2030"/>
    <w:rsid w:val="009C2DBD"/>
    <w:rsid w:val="009C3DA9"/>
    <w:rsid w:val="009C4DDF"/>
    <w:rsid w:val="009C7944"/>
    <w:rsid w:val="009C7963"/>
    <w:rsid w:val="009D11E7"/>
    <w:rsid w:val="009D7449"/>
    <w:rsid w:val="009E5352"/>
    <w:rsid w:val="009E5E3B"/>
    <w:rsid w:val="009E666C"/>
    <w:rsid w:val="009E7685"/>
    <w:rsid w:val="009F0C14"/>
    <w:rsid w:val="009F3630"/>
    <w:rsid w:val="009F3A95"/>
    <w:rsid w:val="009F5519"/>
    <w:rsid w:val="00A001A0"/>
    <w:rsid w:val="00A00AF8"/>
    <w:rsid w:val="00A0155F"/>
    <w:rsid w:val="00A13289"/>
    <w:rsid w:val="00A13A39"/>
    <w:rsid w:val="00A14113"/>
    <w:rsid w:val="00A1415D"/>
    <w:rsid w:val="00A155F6"/>
    <w:rsid w:val="00A15727"/>
    <w:rsid w:val="00A20348"/>
    <w:rsid w:val="00A203DC"/>
    <w:rsid w:val="00A207A9"/>
    <w:rsid w:val="00A208DB"/>
    <w:rsid w:val="00A224A9"/>
    <w:rsid w:val="00A236BE"/>
    <w:rsid w:val="00A3311B"/>
    <w:rsid w:val="00A33C79"/>
    <w:rsid w:val="00A35D76"/>
    <w:rsid w:val="00A403E4"/>
    <w:rsid w:val="00A414E1"/>
    <w:rsid w:val="00A42EF3"/>
    <w:rsid w:val="00A4488A"/>
    <w:rsid w:val="00A4548F"/>
    <w:rsid w:val="00A478B6"/>
    <w:rsid w:val="00A47CA4"/>
    <w:rsid w:val="00A50755"/>
    <w:rsid w:val="00A53F8D"/>
    <w:rsid w:val="00A55863"/>
    <w:rsid w:val="00A56163"/>
    <w:rsid w:val="00A64FFE"/>
    <w:rsid w:val="00A65BD7"/>
    <w:rsid w:val="00A70E14"/>
    <w:rsid w:val="00A71549"/>
    <w:rsid w:val="00A718AF"/>
    <w:rsid w:val="00A73EBF"/>
    <w:rsid w:val="00A82308"/>
    <w:rsid w:val="00A825F3"/>
    <w:rsid w:val="00A8543A"/>
    <w:rsid w:val="00A87267"/>
    <w:rsid w:val="00A90445"/>
    <w:rsid w:val="00A91C03"/>
    <w:rsid w:val="00A9318C"/>
    <w:rsid w:val="00A93404"/>
    <w:rsid w:val="00A959D5"/>
    <w:rsid w:val="00A96BB4"/>
    <w:rsid w:val="00AA0B7C"/>
    <w:rsid w:val="00AA527C"/>
    <w:rsid w:val="00AA5FE2"/>
    <w:rsid w:val="00AA7ED1"/>
    <w:rsid w:val="00AA7EE8"/>
    <w:rsid w:val="00AB154E"/>
    <w:rsid w:val="00AB3B62"/>
    <w:rsid w:val="00AB5081"/>
    <w:rsid w:val="00AC4A30"/>
    <w:rsid w:val="00AC5196"/>
    <w:rsid w:val="00AD103F"/>
    <w:rsid w:val="00AD1E71"/>
    <w:rsid w:val="00AD23D7"/>
    <w:rsid w:val="00AD3775"/>
    <w:rsid w:val="00AD395C"/>
    <w:rsid w:val="00AD68FF"/>
    <w:rsid w:val="00AD77E2"/>
    <w:rsid w:val="00AE0942"/>
    <w:rsid w:val="00AE37AF"/>
    <w:rsid w:val="00AE4076"/>
    <w:rsid w:val="00AE5CA6"/>
    <w:rsid w:val="00AE6506"/>
    <w:rsid w:val="00AE6A4C"/>
    <w:rsid w:val="00AE73CC"/>
    <w:rsid w:val="00AE7AF4"/>
    <w:rsid w:val="00AF6FB4"/>
    <w:rsid w:val="00B006CC"/>
    <w:rsid w:val="00B02FC6"/>
    <w:rsid w:val="00B11202"/>
    <w:rsid w:val="00B12324"/>
    <w:rsid w:val="00B12695"/>
    <w:rsid w:val="00B13FD6"/>
    <w:rsid w:val="00B178FC"/>
    <w:rsid w:val="00B17A93"/>
    <w:rsid w:val="00B20B55"/>
    <w:rsid w:val="00B20EAB"/>
    <w:rsid w:val="00B21183"/>
    <w:rsid w:val="00B23F8B"/>
    <w:rsid w:val="00B24907"/>
    <w:rsid w:val="00B318C3"/>
    <w:rsid w:val="00B320A4"/>
    <w:rsid w:val="00B336CB"/>
    <w:rsid w:val="00B33F92"/>
    <w:rsid w:val="00B34E07"/>
    <w:rsid w:val="00B404D8"/>
    <w:rsid w:val="00B422FB"/>
    <w:rsid w:val="00B43704"/>
    <w:rsid w:val="00B44577"/>
    <w:rsid w:val="00B44A7D"/>
    <w:rsid w:val="00B46001"/>
    <w:rsid w:val="00B50087"/>
    <w:rsid w:val="00B518E0"/>
    <w:rsid w:val="00B52AEE"/>
    <w:rsid w:val="00B54397"/>
    <w:rsid w:val="00B54DF2"/>
    <w:rsid w:val="00B57C86"/>
    <w:rsid w:val="00B60836"/>
    <w:rsid w:val="00B61A7D"/>
    <w:rsid w:val="00B74BC5"/>
    <w:rsid w:val="00B77A9A"/>
    <w:rsid w:val="00B808A6"/>
    <w:rsid w:val="00B822DF"/>
    <w:rsid w:val="00B8268F"/>
    <w:rsid w:val="00B828AC"/>
    <w:rsid w:val="00B8371E"/>
    <w:rsid w:val="00B8423A"/>
    <w:rsid w:val="00B86B55"/>
    <w:rsid w:val="00B90861"/>
    <w:rsid w:val="00B95DC4"/>
    <w:rsid w:val="00B975A4"/>
    <w:rsid w:val="00BA0207"/>
    <w:rsid w:val="00BA1C7B"/>
    <w:rsid w:val="00BA31E4"/>
    <w:rsid w:val="00BA3F74"/>
    <w:rsid w:val="00BA4B43"/>
    <w:rsid w:val="00BA68F5"/>
    <w:rsid w:val="00BA6A0A"/>
    <w:rsid w:val="00BB1D9E"/>
    <w:rsid w:val="00BB5778"/>
    <w:rsid w:val="00BC1F5B"/>
    <w:rsid w:val="00BC2D35"/>
    <w:rsid w:val="00BC2EFF"/>
    <w:rsid w:val="00BC3EB4"/>
    <w:rsid w:val="00BC5FDF"/>
    <w:rsid w:val="00BD274E"/>
    <w:rsid w:val="00BD336C"/>
    <w:rsid w:val="00BD41FF"/>
    <w:rsid w:val="00BD6D2C"/>
    <w:rsid w:val="00BE1C45"/>
    <w:rsid w:val="00BE313C"/>
    <w:rsid w:val="00BE57A5"/>
    <w:rsid w:val="00BE5D6E"/>
    <w:rsid w:val="00BE62F5"/>
    <w:rsid w:val="00BE73A0"/>
    <w:rsid w:val="00BF002C"/>
    <w:rsid w:val="00BF112C"/>
    <w:rsid w:val="00BF1603"/>
    <w:rsid w:val="00C010FA"/>
    <w:rsid w:val="00C01C36"/>
    <w:rsid w:val="00C05A77"/>
    <w:rsid w:val="00C06701"/>
    <w:rsid w:val="00C11C5C"/>
    <w:rsid w:val="00C11E86"/>
    <w:rsid w:val="00C12640"/>
    <w:rsid w:val="00C1305E"/>
    <w:rsid w:val="00C1501B"/>
    <w:rsid w:val="00C20922"/>
    <w:rsid w:val="00C251D7"/>
    <w:rsid w:val="00C27BE2"/>
    <w:rsid w:val="00C305E7"/>
    <w:rsid w:val="00C31260"/>
    <w:rsid w:val="00C3270E"/>
    <w:rsid w:val="00C328B8"/>
    <w:rsid w:val="00C32D57"/>
    <w:rsid w:val="00C3340A"/>
    <w:rsid w:val="00C3496F"/>
    <w:rsid w:val="00C35F4A"/>
    <w:rsid w:val="00C37179"/>
    <w:rsid w:val="00C37A1C"/>
    <w:rsid w:val="00C4202B"/>
    <w:rsid w:val="00C428B6"/>
    <w:rsid w:val="00C45A08"/>
    <w:rsid w:val="00C4725C"/>
    <w:rsid w:val="00C50BA4"/>
    <w:rsid w:val="00C518B7"/>
    <w:rsid w:val="00C51F08"/>
    <w:rsid w:val="00C56B30"/>
    <w:rsid w:val="00C671A3"/>
    <w:rsid w:val="00C71CE7"/>
    <w:rsid w:val="00C7398D"/>
    <w:rsid w:val="00C73EBC"/>
    <w:rsid w:val="00C75A49"/>
    <w:rsid w:val="00C75B73"/>
    <w:rsid w:val="00C76602"/>
    <w:rsid w:val="00C774AA"/>
    <w:rsid w:val="00C778E9"/>
    <w:rsid w:val="00C80A57"/>
    <w:rsid w:val="00C82B72"/>
    <w:rsid w:val="00C84039"/>
    <w:rsid w:val="00C87A4C"/>
    <w:rsid w:val="00C87FA9"/>
    <w:rsid w:val="00C903D0"/>
    <w:rsid w:val="00C91812"/>
    <w:rsid w:val="00C94C39"/>
    <w:rsid w:val="00C955A5"/>
    <w:rsid w:val="00CA1419"/>
    <w:rsid w:val="00CA18B4"/>
    <w:rsid w:val="00CA5CBB"/>
    <w:rsid w:val="00CB3766"/>
    <w:rsid w:val="00CB4F8F"/>
    <w:rsid w:val="00CC0AD0"/>
    <w:rsid w:val="00CC2FA6"/>
    <w:rsid w:val="00CD2011"/>
    <w:rsid w:val="00CD233A"/>
    <w:rsid w:val="00CD59B5"/>
    <w:rsid w:val="00CD7563"/>
    <w:rsid w:val="00CE03FA"/>
    <w:rsid w:val="00CE1FD1"/>
    <w:rsid w:val="00CE3721"/>
    <w:rsid w:val="00CE43DE"/>
    <w:rsid w:val="00CE48A9"/>
    <w:rsid w:val="00CE5CD2"/>
    <w:rsid w:val="00CF11BF"/>
    <w:rsid w:val="00CF1746"/>
    <w:rsid w:val="00CF17C1"/>
    <w:rsid w:val="00CF49FE"/>
    <w:rsid w:val="00CF7142"/>
    <w:rsid w:val="00CF71FC"/>
    <w:rsid w:val="00D007E1"/>
    <w:rsid w:val="00D0290A"/>
    <w:rsid w:val="00D033C8"/>
    <w:rsid w:val="00D039C5"/>
    <w:rsid w:val="00D049F6"/>
    <w:rsid w:val="00D07DBA"/>
    <w:rsid w:val="00D1278F"/>
    <w:rsid w:val="00D12AFB"/>
    <w:rsid w:val="00D162D4"/>
    <w:rsid w:val="00D16AAE"/>
    <w:rsid w:val="00D20FC6"/>
    <w:rsid w:val="00D22009"/>
    <w:rsid w:val="00D24482"/>
    <w:rsid w:val="00D306E4"/>
    <w:rsid w:val="00D30B1C"/>
    <w:rsid w:val="00D31139"/>
    <w:rsid w:val="00D41029"/>
    <w:rsid w:val="00D414E5"/>
    <w:rsid w:val="00D41B59"/>
    <w:rsid w:val="00D43554"/>
    <w:rsid w:val="00D440C5"/>
    <w:rsid w:val="00D45404"/>
    <w:rsid w:val="00D45F47"/>
    <w:rsid w:val="00D470B6"/>
    <w:rsid w:val="00D47613"/>
    <w:rsid w:val="00D523C5"/>
    <w:rsid w:val="00D53253"/>
    <w:rsid w:val="00D532FE"/>
    <w:rsid w:val="00D54753"/>
    <w:rsid w:val="00D54A1E"/>
    <w:rsid w:val="00D55044"/>
    <w:rsid w:val="00D56BC5"/>
    <w:rsid w:val="00D57A87"/>
    <w:rsid w:val="00D64AB8"/>
    <w:rsid w:val="00D65285"/>
    <w:rsid w:val="00D66AB6"/>
    <w:rsid w:val="00D67D6D"/>
    <w:rsid w:val="00D72E9B"/>
    <w:rsid w:val="00D733B8"/>
    <w:rsid w:val="00D74BD3"/>
    <w:rsid w:val="00D764F0"/>
    <w:rsid w:val="00D80C57"/>
    <w:rsid w:val="00D81334"/>
    <w:rsid w:val="00D816D4"/>
    <w:rsid w:val="00D824FA"/>
    <w:rsid w:val="00D83E33"/>
    <w:rsid w:val="00D84B2A"/>
    <w:rsid w:val="00D85539"/>
    <w:rsid w:val="00D8594F"/>
    <w:rsid w:val="00D8708A"/>
    <w:rsid w:val="00D873AF"/>
    <w:rsid w:val="00D90F93"/>
    <w:rsid w:val="00D93550"/>
    <w:rsid w:val="00D940A3"/>
    <w:rsid w:val="00D96158"/>
    <w:rsid w:val="00DA1C2F"/>
    <w:rsid w:val="00DA2FC9"/>
    <w:rsid w:val="00DA50BA"/>
    <w:rsid w:val="00DB00C1"/>
    <w:rsid w:val="00DB026D"/>
    <w:rsid w:val="00DB463B"/>
    <w:rsid w:val="00DB58FC"/>
    <w:rsid w:val="00DB5B64"/>
    <w:rsid w:val="00DB6A26"/>
    <w:rsid w:val="00DB6A60"/>
    <w:rsid w:val="00DB7584"/>
    <w:rsid w:val="00DC782F"/>
    <w:rsid w:val="00DC7ECB"/>
    <w:rsid w:val="00DC7F48"/>
    <w:rsid w:val="00DD1407"/>
    <w:rsid w:val="00DD324D"/>
    <w:rsid w:val="00DD4B0B"/>
    <w:rsid w:val="00DD5C9B"/>
    <w:rsid w:val="00DD7126"/>
    <w:rsid w:val="00DE2A2E"/>
    <w:rsid w:val="00DE4ACF"/>
    <w:rsid w:val="00DE7114"/>
    <w:rsid w:val="00DE778F"/>
    <w:rsid w:val="00DF1EEB"/>
    <w:rsid w:val="00DF26DE"/>
    <w:rsid w:val="00DF27E6"/>
    <w:rsid w:val="00DF36B1"/>
    <w:rsid w:val="00DF5D98"/>
    <w:rsid w:val="00DF676D"/>
    <w:rsid w:val="00E007C5"/>
    <w:rsid w:val="00E01E86"/>
    <w:rsid w:val="00E0454B"/>
    <w:rsid w:val="00E06CB5"/>
    <w:rsid w:val="00E07FBD"/>
    <w:rsid w:val="00E12155"/>
    <w:rsid w:val="00E121F5"/>
    <w:rsid w:val="00E15B7E"/>
    <w:rsid w:val="00E17FD4"/>
    <w:rsid w:val="00E21111"/>
    <w:rsid w:val="00E22A13"/>
    <w:rsid w:val="00E2348B"/>
    <w:rsid w:val="00E247BA"/>
    <w:rsid w:val="00E24BA7"/>
    <w:rsid w:val="00E322E4"/>
    <w:rsid w:val="00E33019"/>
    <w:rsid w:val="00E3678D"/>
    <w:rsid w:val="00E37741"/>
    <w:rsid w:val="00E40D1D"/>
    <w:rsid w:val="00E417E8"/>
    <w:rsid w:val="00E41C45"/>
    <w:rsid w:val="00E44650"/>
    <w:rsid w:val="00E50447"/>
    <w:rsid w:val="00E514D2"/>
    <w:rsid w:val="00E52B40"/>
    <w:rsid w:val="00E54492"/>
    <w:rsid w:val="00E5665C"/>
    <w:rsid w:val="00E57241"/>
    <w:rsid w:val="00E6161C"/>
    <w:rsid w:val="00E6167E"/>
    <w:rsid w:val="00E720AD"/>
    <w:rsid w:val="00E74BA4"/>
    <w:rsid w:val="00E754A8"/>
    <w:rsid w:val="00E75A99"/>
    <w:rsid w:val="00E75AEB"/>
    <w:rsid w:val="00E761AE"/>
    <w:rsid w:val="00E76AA3"/>
    <w:rsid w:val="00E84C75"/>
    <w:rsid w:val="00E85182"/>
    <w:rsid w:val="00E868EA"/>
    <w:rsid w:val="00E86CB2"/>
    <w:rsid w:val="00E87854"/>
    <w:rsid w:val="00E87F84"/>
    <w:rsid w:val="00E90095"/>
    <w:rsid w:val="00E90670"/>
    <w:rsid w:val="00E90E51"/>
    <w:rsid w:val="00E91EC5"/>
    <w:rsid w:val="00E92280"/>
    <w:rsid w:val="00E924E7"/>
    <w:rsid w:val="00E925ED"/>
    <w:rsid w:val="00E958AB"/>
    <w:rsid w:val="00E95F90"/>
    <w:rsid w:val="00E9710D"/>
    <w:rsid w:val="00E9752E"/>
    <w:rsid w:val="00EA0ABD"/>
    <w:rsid w:val="00EA37A5"/>
    <w:rsid w:val="00EA3C93"/>
    <w:rsid w:val="00EA446F"/>
    <w:rsid w:val="00EB16F5"/>
    <w:rsid w:val="00EB303B"/>
    <w:rsid w:val="00EC095E"/>
    <w:rsid w:val="00EC1E0E"/>
    <w:rsid w:val="00EC32A5"/>
    <w:rsid w:val="00EC3316"/>
    <w:rsid w:val="00EC3B4B"/>
    <w:rsid w:val="00EC51B9"/>
    <w:rsid w:val="00EC5BD9"/>
    <w:rsid w:val="00EC610D"/>
    <w:rsid w:val="00EC7ED8"/>
    <w:rsid w:val="00ED385C"/>
    <w:rsid w:val="00ED42FE"/>
    <w:rsid w:val="00EE3D99"/>
    <w:rsid w:val="00EE4D40"/>
    <w:rsid w:val="00EE6B48"/>
    <w:rsid w:val="00EE6CDC"/>
    <w:rsid w:val="00EF0AA2"/>
    <w:rsid w:val="00EF2581"/>
    <w:rsid w:val="00EF2B9E"/>
    <w:rsid w:val="00EF3F16"/>
    <w:rsid w:val="00EF404D"/>
    <w:rsid w:val="00EF4FB5"/>
    <w:rsid w:val="00EF5A94"/>
    <w:rsid w:val="00EF656A"/>
    <w:rsid w:val="00F01324"/>
    <w:rsid w:val="00F0149F"/>
    <w:rsid w:val="00F02FC7"/>
    <w:rsid w:val="00F05495"/>
    <w:rsid w:val="00F16263"/>
    <w:rsid w:val="00F16399"/>
    <w:rsid w:val="00F17B5C"/>
    <w:rsid w:val="00F2245F"/>
    <w:rsid w:val="00F24985"/>
    <w:rsid w:val="00F24EA4"/>
    <w:rsid w:val="00F276A4"/>
    <w:rsid w:val="00F305C0"/>
    <w:rsid w:val="00F30CA8"/>
    <w:rsid w:val="00F31480"/>
    <w:rsid w:val="00F328C8"/>
    <w:rsid w:val="00F335B8"/>
    <w:rsid w:val="00F33E56"/>
    <w:rsid w:val="00F3427E"/>
    <w:rsid w:val="00F34E0D"/>
    <w:rsid w:val="00F36399"/>
    <w:rsid w:val="00F40F8C"/>
    <w:rsid w:val="00F45D5C"/>
    <w:rsid w:val="00F47C29"/>
    <w:rsid w:val="00F51618"/>
    <w:rsid w:val="00F52A9B"/>
    <w:rsid w:val="00F5311D"/>
    <w:rsid w:val="00F53D10"/>
    <w:rsid w:val="00F54249"/>
    <w:rsid w:val="00F54B07"/>
    <w:rsid w:val="00F557BC"/>
    <w:rsid w:val="00F604AD"/>
    <w:rsid w:val="00F643CF"/>
    <w:rsid w:val="00F657AF"/>
    <w:rsid w:val="00F66B18"/>
    <w:rsid w:val="00F677E1"/>
    <w:rsid w:val="00F70593"/>
    <w:rsid w:val="00F718FC"/>
    <w:rsid w:val="00F72EB7"/>
    <w:rsid w:val="00F73A1B"/>
    <w:rsid w:val="00F8012C"/>
    <w:rsid w:val="00F811C6"/>
    <w:rsid w:val="00F83D4D"/>
    <w:rsid w:val="00F856A1"/>
    <w:rsid w:val="00F85A68"/>
    <w:rsid w:val="00F92817"/>
    <w:rsid w:val="00F92A21"/>
    <w:rsid w:val="00F92CB1"/>
    <w:rsid w:val="00F92E6C"/>
    <w:rsid w:val="00F948E9"/>
    <w:rsid w:val="00F94C69"/>
    <w:rsid w:val="00F965E7"/>
    <w:rsid w:val="00FA747E"/>
    <w:rsid w:val="00FB42B0"/>
    <w:rsid w:val="00FC2680"/>
    <w:rsid w:val="00FC5207"/>
    <w:rsid w:val="00FC70FA"/>
    <w:rsid w:val="00FC798E"/>
    <w:rsid w:val="00FC7A8B"/>
    <w:rsid w:val="00FD1898"/>
    <w:rsid w:val="00FD1C51"/>
    <w:rsid w:val="00FD499A"/>
    <w:rsid w:val="00FD59BC"/>
    <w:rsid w:val="00FD63E5"/>
    <w:rsid w:val="00FD6921"/>
    <w:rsid w:val="00FD6B83"/>
    <w:rsid w:val="00FD7046"/>
    <w:rsid w:val="00FD7261"/>
    <w:rsid w:val="00FD7364"/>
    <w:rsid w:val="00FE0D53"/>
    <w:rsid w:val="00FE23B6"/>
    <w:rsid w:val="00FE594E"/>
    <w:rsid w:val="00FE70E3"/>
    <w:rsid w:val="00FF2270"/>
    <w:rsid w:val="00FF76AA"/>
    <w:rsid w:val="00FF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741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4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C09D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3311B"/>
    <w:rPr>
      <w:rFonts w:ascii="Courier New" w:hAnsi="Courier New"/>
    </w:rPr>
  </w:style>
  <w:style w:type="character" w:customStyle="1" w:styleId="FootnoteTextChar">
    <w:name w:val="Footnote Text Char"/>
    <w:basedOn w:val="DefaultParagraphFont"/>
    <w:link w:val="FootnoteText"/>
    <w:semiHidden/>
    <w:rsid w:val="00A3311B"/>
    <w:rPr>
      <w:rFonts w:ascii="Courier New" w:eastAsia="Times New Roman" w:hAnsi="Courier New"/>
    </w:rPr>
  </w:style>
  <w:style w:type="character" w:styleId="FootnoteReference">
    <w:name w:val="footnote reference"/>
    <w:basedOn w:val="DefaultParagraphFont"/>
    <w:semiHidden/>
    <w:rsid w:val="00A3311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16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61C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61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161C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ode.com/secure/data/061/chapter32/s32.25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c.state.pa.us/pcdocs/1133537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enue-pa.custhel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venue.state.pa.us/portal/server.pt/document/755531/rev-717_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9782</CharactersWithSpaces>
  <SharedDoc>false</SharedDoc>
  <HLinks>
    <vt:vector size="24" baseType="variant">
      <vt:variant>
        <vt:i4>3276902</vt:i4>
      </vt:variant>
      <vt:variant>
        <vt:i4>9</vt:i4>
      </vt:variant>
      <vt:variant>
        <vt:i4>0</vt:i4>
      </vt:variant>
      <vt:variant>
        <vt:i4>5</vt:i4>
      </vt:variant>
      <vt:variant>
        <vt:lpwstr>http://www.puc.state.pa.us/pcdocs/1133537.docx</vt:lpwstr>
      </vt:variant>
      <vt:variant>
        <vt:lpwstr/>
      </vt:variant>
      <vt:variant>
        <vt:i4>5373963</vt:i4>
      </vt:variant>
      <vt:variant>
        <vt:i4>6</vt:i4>
      </vt:variant>
      <vt:variant>
        <vt:i4>0</vt:i4>
      </vt:variant>
      <vt:variant>
        <vt:i4>5</vt:i4>
      </vt:variant>
      <vt:variant>
        <vt:lpwstr>https://revenue-pa.custhelp.com/</vt:lpwstr>
      </vt:variant>
      <vt:variant>
        <vt:lpwstr/>
      </vt:variant>
      <vt:variant>
        <vt:i4>5963833</vt:i4>
      </vt:variant>
      <vt:variant>
        <vt:i4>3</vt:i4>
      </vt:variant>
      <vt:variant>
        <vt:i4>0</vt:i4>
      </vt:variant>
      <vt:variant>
        <vt:i4>5</vt:i4>
      </vt:variant>
      <vt:variant>
        <vt:lpwstr>http://www.revenue.state.pa.us/portal/server.pt/document/755531/rev-717_pdf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http://www.pacode.com/secure/data/061/chapter32/s32.25.html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pburket</dc:creator>
  <cp:keywords/>
  <dc:description/>
  <cp:lastModifiedBy>joyce marie farner</cp:lastModifiedBy>
  <cp:revision>3</cp:revision>
  <cp:lastPrinted>2011-07-07T11:51:00Z</cp:lastPrinted>
  <dcterms:created xsi:type="dcterms:W3CDTF">2011-07-06T13:56:00Z</dcterms:created>
  <dcterms:modified xsi:type="dcterms:W3CDTF">2011-07-07T11:51:00Z</dcterms:modified>
</cp:coreProperties>
</file>