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463EE5">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4F32B3" w:rsidRDefault="004F32B3">
            <w:pPr>
              <w:jc w:val="right"/>
              <w:rPr>
                <w:sz w:val="16"/>
                <w:szCs w:val="16"/>
              </w:rPr>
            </w:pPr>
          </w:p>
          <w:p w:rsidR="003569E8" w:rsidRPr="00170283" w:rsidRDefault="003569E8" w:rsidP="00695E35">
            <w:pPr>
              <w:jc w:val="right"/>
              <w:rPr>
                <w:rFonts w:ascii="Arial" w:hAnsi="Arial"/>
                <w:sz w:val="16"/>
                <w:szCs w:val="16"/>
              </w:rPr>
            </w:pPr>
          </w:p>
        </w:tc>
      </w:tr>
    </w:tbl>
    <w:p w:rsidR="00C74A51" w:rsidRDefault="00C74A51">
      <w:pPr>
        <w:rPr>
          <w:sz w:val="24"/>
        </w:rPr>
        <w:sectPr w:rsidR="00C74A51" w:rsidSect="00BF6F03">
          <w:footerReference w:type="even" r:id="rId8"/>
          <w:footerReference w:type="default" r:id="rId9"/>
          <w:pgSz w:w="12240" w:h="15840"/>
          <w:pgMar w:top="504" w:right="1440" w:bottom="1440" w:left="1440" w:header="720" w:footer="720" w:gutter="0"/>
          <w:cols w:space="720"/>
          <w:titlePg/>
        </w:sectPr>
      </w:pPr>
    </w:p>
    <w:p w:rsidR="00695E35" w:rsidRPr="00E872DE" w:rsidRDefault="003C56E2" w:rsidP="00E872DE">
      <w:pPr>
        <w:rPr>
          <w:b/>
          <w:sz w:val="22"/>
          <w:szCs w:val="22"/>
        </w:rPr>
      </w:pPr>
      <w:r w:rsidRPr="003C56E2">
        <w:rPr>
          <w:b/>
          <w:sz w:val="26"/>
          <w:szCs w:val="26"/>
        </w:rPr>
        <w:lastRenderedPageBreak/>
        <w:tab/>
      </w:r>
      <w:r>
        <w:rPr>
          <w:b/>
          <w:sz w:val="26"/>
          <w:szCs w:val="26"/>
        </w:rPr>
        <w:tab/>
      </w:r>
      <w:r>
        <w:rPr>
          <w:b/>
          <w:sz w:val="26"/>
          <w:szCs w:val="26"/>
        </w:rPr>
        <w:tab/>
      </w:r>
      <w:r>
        <w:rPr>
          <w:b/>
          <w:sz w:val="26"/>
          <w:szCs w:val="26"/>
        </w:rPr>
        <w:tab/>
      </w:r>
      <w:r>
        <w:rPr>
          <w:b/>
          <w:sz w:val="26"/>
          <w:szCs w:val="26"/>
        </w:rPr>
        <w:tab/>
      </w:r>
      <w:r w:rsidR="00B1042A">
        <w:rPr>
          <w:b/>
          <w:sz w:val="22"/>
          <w:szCs w:val="22"/>
        </w:rPr>
        <w:t xml:space="preserve">May </w:t>
      </w:r>
      <w:r w:rsidR="00886B15">
        <w:rPr>
          <w:b/>
          <w:sz w:val="22"/>
          <w:szCs w:val="22"/>
        </w:rPr>
        <w:t>27</w:t>
      </w:r>
      <w:r w:rsidR="00B1042A">
        <w:rPr>
          <w:b/>
          <w:sz w:val="22"/>
          <w:szCs w:val="22"/>
        </w:rPr>
        <w:t>,</w:t>
      </w:r>
      <w:r w:rsidR="00695E35" w:rsidRPr="00E872DE">
        <w:rPr>
          <w:b/>
          <w:sz w:val="22"/>
          <w:szCs w:val="22"/>
        </w:rPr>
        <w:t xml:space="preserve"> 20</w:t>
      </w:r>
      <w:r w:rsidR="00CE2F96" w:rsidRPr="00E872DE">
        <w:rPr>
          <w:b/>
          <w:sz w:val="22"/>
          <w:szCs w:val="22"/>
        </w:rPr>
        <w:t>1</w:t>
      </w:r>
      <w:r w:rsidR="00B1042A">
        <w:rPr>
          <w:b/>
          <w:sz w:val="22"/>
          <w:szCs w:val="22"/>
        </w:rPr>
        <w:t>1</w:t>
      </w:r>
    </w:p>
    <w:p w:rsidR="00695E35" w:rsidRPr="00E872DE" w:rsidRDefault="00695E35" w:rsidP="00695E35">
      <w:pPr>
        <w:jc w:val="center"/>
        <w:rPr>
          <w:b/>
          <w:sz w:val="22"/>
          <w:szCs w:val="22"/>
        </w:rPr>
      </w:pPr>
    </w:p>
    <w:p w:rsidR="005F26A1" w:rsidRPr="00E872DE" w:rsidRDefault="005F26A1" w:rsidP="00695E35">
      <w:pPr>
        <w:jc w:val="center"/>
        <w:rPr>
          <w:b/>
          <w:sz w:val="22"/>
          <w:szCs w:val="22"/>
        </w:rPr>
      </w:pPr>
    </w:p>
    <w:p w:rsidR="00CE2F96" w:rsidRPr="00E872DE" w:rsidRDefault="00CE2F96" w:rsidP="00695E35">
      <w:pPr>
        <w:jc w:val="center"/>
        <w:rPr>
          <w:b/>
          <w:sz w:val="22"/>
          <w:szCs w:val="22"/>
        </w:rPr>
      </w:pPr>
    </w:p>
    <w:p w:rsidR="00695E35" w:rsidRPr="00E872DE" w:rsidRDefault="00695E35" w:rsidP="00221BD0">
      <w:pPr>
        <w:jc w:val="right"/>
        <w:rPr>
          <w:sz w:val="22"/>
          <w:szCs w:val="22"/>
        </w:rPr>
      </w:pPr>
    </w:p>
    <w:p w:rsidR="009F637F" w:rsidRPr="006E18F6" w:rsidRDefault="009F637F" w:rsidP="009F637F">
      <w:pPr>
        <w:rPr>
          <w:sz w:val="26"/>
          <w:szCs w:val="26"/>
        </w:rPr>
      </w:pPr>
      <w:r w:rsidRPr="006E18F6">
        <w:rPr>
          <w:sz w:val="26"/>
          <w:szCs w:val="26"/>
        </w:rPr>
        <w:t>To:</w:t>
      </w:r>
      <w:r w:rsidRPr="006E18F6">
        <w:rPr>
          <w:sz w:val="26"/>
          <w:szCs w:val="26"/>
        </w:rPr>
        <w:tab/>
      </w:r>
      <w:r w:rsidR="006E2533">
        <w:rPr>
          <w:sz w:val="26"/>
          <w:szCs w:val="26"/>
        </w:rPr>
        <w:tab/>
      </w:r>
      <w:r w:rsidRPr="006E18F6">
        <w:rPr>
          <w:sz w:val="26"/>
          <w:szCs w:val="26"/>
        </w:rPr>
        <w:t>All Jurisdictional Electric Distribution Companies</w:t>
      </w:r>
    </w:p>
    <w:p w:rsidR="009F637F" w:rsidRPr="006E18F6" w:rsidRDefault="009F637F" w:rsidP="009F637F">
      <w:pPr>
        <w:rPr>
          <w:sz w:val="26"/>
          <w:szCs w:val="26"/>
        </w:rPr>
      </w:pPr>
      <w:r w:rsidRPr="006E18F6">
        <w:rPr>
          <w:sz w:val="26"/>
          <w:szCs w:val="26"/>
        </w:rPr>
        <w:tab/>
      </w:r>
      <w:r w:rsidR="006E2533">
        <w:rPr>
          <w:sz w:val="26"/>
          <w:szCs w:val="26"/>
        </w:rPr>
        <w:tab/>
      </w:r>
      <w:r w:rsidRPr="006E18F6">
        <w:rPr>
          <w:sz w:val="26"/>
          <w:szCs w:val="26"/>
        </w:rPr>
        <w:t>All Licensed Electric Generation Suppliers</w:t>
      </w:r>
    </w:p>
    <w:p w:rsidR="009F637F" w:rsidRPr="006E18F6" w:rsidRDefault="009F637F" w:rsidP="009F637F">
      <w:pPr>
        <w:rPr>
          <w:sz w:val="26"/>
          <w:szCs w:val="26"/>
        </w:rPr>
      </w:pPr>
    </w:p>
    <w:p w:rsidR="00695E35" w:rsidRDefault="00695E35" w:rsidP="00EB5668">
      <w:pPr>
        <w:rPr>
          <w:sz w:val="26"/>
          <w:szCs w:val="26"/>
        </w:rPr>
      </w:pPr>
      <w:r w:rsidRPr="006E18F6">
        <w:rPr>
          <w:sz w:val="26"/>
          <w:szCs w:val="26"/>
        </w:rPr>
        <w:t xml:space="preserve">Re: </w:t>
      </w:r>
      <w:r w:rsidR="005F26A1" w:rsidRPr="006E18F6">
        <w:rPr>
          <w:sz w:val="26"/>
          <w:szCs w:val="26"/>
        </w:rPr>
        <w:t xml:space="preserve"> </w:t>
      </w:r>
      <w:r w:rsidR="006E2533">
        <w:rPr>
          <w:sz w:val="26"/>
          <w:szCs w:val="26"/>
        </w:rPr>
        <w:tab/>
      </w:r>
      <w:r w:rsidR="006E2533">
        <w:rPr>
          <w:sz w:val="26"/>
          <w:szCs w:val="26"/>
        </w:rPr>
        <w:tab/>
      </w:r>
      <w:r w:rsidR="00D51F3F">
        <w:rPr>
          <w:sz w:val="26"/>
          <w:szCs w:val="26"/>
        </w:rPr>
        <w:t>Unit Pricing Information and Sales Tax on Customer Bills</w:t>
      </w:r>
    </w:p>
    <w:p w:rsidR="006B5192" w:rsidRDefault="006B5192" w:rsidP="00EB5668">
      <w:pPr>
        <w:rPr>
          <w:sz w:val="26"/>
          <w:szCs w:val="26"/>
        </w:rPr>
      </w:pPr>
    </w:p>
    <w:p w:rsidR="006B5192" w:rsidRPr="006E18F6" w:rsidRDefault="006B5192" w:rsidP="00EB5668">
      <w:pPr>
        <w:rPr>
          <w:sz w:val="26"/>
          <w:szCs w:val="26"/>
        </w:rPr>
      </w:pPr>
      <w:r>
        <w:rPr>
          <w:sz w:val="26"/>
          <w:szCs w:val="26"/>
        </w:rPr>
        <w:t>Docket No.:</w:t>
      </w:r>
      <w:r>
        <w:rPr>
          <w:sz w:val="26"/>
          <w:szCs w:val="26"/>
        </w:rPr>
        <w:tab/>
      </w:r>
      <w:r w:rsidR="005E3ADA">
        <w:rPr>
          <w:sz w:val="26"/>
          <w:szCs w:val="26"/>
        </w:rPr>
        <w:t>M-2009-2082042</w:t>
      </w:r>
    </w:p>
    <w:p w:rsidR="00695E35" w:rsidRPr="006E18F6" w:rsidRDefault="00695E35" w:rsidP="00695E35">
      <w:pPr>
        <w:ind w:left="1152" w:right="3600" w:hanging="432"/>
        <w:rPr>
          <w:sz w:val="26"/>
          <w:szCs w:val="26"/>
        </w:rPr>
      </w:pPr>
    </w:p>
    <w:p w:rsidR="007B4ECA" w:rsidRPr="006E18F6" w:rsidRDefault="007B4ECA" w:rsidP="00CE2F96">
      <w:pPr>
        <w:ind w:firstLine="1440"/>
        <w:rPr>
          <w:b/>
          <w:sz w:val="26"/>
          <w:szCs w:val="26"/>
        </w:rPr>
      </w:pPr>
    </w:p>
    <w:p w:rsidR="00B1042A" w:rsidRPr="00B1042A" w:rsidRDefault="00E42588" w:rsidP="00B1042A">
      <w:pPr>
        <w:rPr>
          <w:sz w:val="26"/>
          <w:szCs w:val="26"/>
        </w:rPr>
      </w:pPr>
      <w:r>
        <w:rPr>
          <w:sz w:val="26"/>
          <w:szCs w:val="26"/>
        </w:rPr>
        <w:tab/>
      </w:r>
      <w:r w:rsidR="005E3ADA">
        <w:rPr>
          <w:sz w:val="26"/>
          <w:szCs w:val="26"/>
        </w:rPr>
        <w:t>As a result of recent consumer inquiries and media coverage, the Commission</w:t>
      </w:r>
      <w:r w:rsidR="003B1C2F">
        <w:rPr>
          <w:sz w:val="26"/>
          <w:szCs w:val="26"/>
        </w:rPr>
        <w:t>’s Office of Competitive Market Oversight</w:t>
      </w:r>
      <w:r w:rsidR="005E3ADA">
        <w:rPr>
          <w:sz w:val="26"/>
          <w:szCs w:val="26"/>
        </w:rPr>
        <w:t xml:space="preserve"> </w:t>
      </w:r>
      <w:r w:rsidR="004354A5">
        <w:rPr>
          <w:sz w:val="26"/>
          <w:szCs w:val="26"/>
        </w:rPr>
        <w:t xml:space="preserve">(OCMO) </w:t>
      </w:r>
      <w:r w:rsidR="005E3ADA">
        <w:rPr>
          <w:sz w:val="26"/>
          <w:szCs w:val="26"/>
        </w:rPr>
        <w:t xml:space="preserve">has </w:t>
      </w:r>
      <w:r w:rsidR="003B1C2F">
        <w:rPr>
          <w:sz w:val="26"/>
          <w:szCs w:val="26"/>
        </w:rPr>
        <w:t xml:space="preserve">reached out to electric generation suppliers (EGSs) and electric distribution companies </w:t>
      </w:r>
      <w:r w:rsidR="004354A5">
        <w:rPr>
          <w:sz w:val="26"/>
          <w:szCs w:val="26"/>
        </w:rPr>
        <w:t xml:space="preserve">(EDCs) </w:t>
      </w:r>
      <w:r w:rsidR="003B1C2F">
        <w:rPr>
          <w:sz w:val="26"/>
          <w:szCs w:val="26"/>
        </w:rPr>
        <w:t xml:space="preserve">to gather additional information about </w:t>
      </w:r>
      <w:r w:rsidR="004354A5">
        <w:rPr>
          <w:sz w:val="26"/>
          <w:szCs w:val="26"/>
        </w:rPr>
        <w:t xml:space="preserve">the failure of some </w:t>
      </w:r>
      <w:r w:rsidR="003B1C2F">
        <w:rPr>
          <w:sz w:val="26"/>
          <w:szCs w:val="26"/>
        </w:rPr>
        <w:t xml:space="preserve">EGSs </w:t>
      </w:r>
      <w:r w:rsidR="004354A5">
        <w:rPr>
          <w:sz w:val="26"/>
          <w:szCs w:val="26"/>
        </w:rPr>
        <w:t>t</w:t>
      </w:r>
      <w:r w:rsidR="003B1C2F">
        <w:rPr>
          <w:sz w:val="26"/>
          <w:szCs w:val="26"/>
        </w:rPr>
        <w:t xml:space="preserve">o include the unit price (kWh) on customer bills and </w:t>
      </w:r>
      <w:r w:rsidR="004354A5">
        <w:rPr>
          <w:sz w:val="26"/>
          <w:szCs w:val="26"/>
        </w:rPr>
        <w:t xml:space="preserve">the inappropriate inclusion of sales taxes on residential customers’ bills by some EGSs.  </w:t>
      </w:r>
      <w:r w:rsidR="003B1C2F">
        <w:rPr>
          <w:sz w:val="26"/>
          <w:szCs w:val="26"/>
        </w:rPr>
        <w:t xml:space="preserve"> The purpose of this letter is to remind</w:t>
      </w:r>
      <w:r w:rsidR="004354A5">
        <w:rPr>
          <w:sz w:val="26"/>
          <w:szCs w:val="26"/>
        </w:rPr>
        <w:t xml:space="preserve"> EGSs of their responsibilities under the Commission’s regulations.</w:t>
      </w:r>
    </w:p>
    <w:p w:rsidR="00B1042A" w:rsidRPr="00B1042A" w:rsidRDefault="00B1042A" w:rsidP="00B1042A">
      <w:pPr>
        <w:rPr>
          <w:sz w:val="26"/>
          <w:szCs w:val="26"/>
        </w:rPr>
      </w:pPr>
    </w:p>
    <w:p w:rsidR="00D51F3F" w:rsidRDefault="00B1042A" w:rsidP="00B1042A">
      <w:pPr>
        <w:rPr>
          <w:sz w:val="26"/>
          <w:szCs w:val="26"/>
        </w:rPr>
      </w:pPr>
      <w:r w:rsidRPr="00B1042A">
        <w:rPr>
          <w:b/>
          <w:bCs/>
          <w:sz w:val="26"/>
          <w:szCs w:val="26"/>
        </w:rPr>
        <w:t>FAILURE TO PLACE THE UNIT PRICE (kWh) ON CUSTOMER BILLS:</w:t>
      </w:r>
      <w:r w:rsidRPr="00B1042A">
        <w:rPr>
          <w:sz w:val="26"/>
          <w:szCs w:val="26"/>
        </w:rPr>
        <w:t xml:space="preserve">   </w:t>
      </w:r>
    </w:p>
    <w:p w:rsidR="00D51F3F" w:rsidRDefault="00D51F3F" w:rsidP="00B1042A">
      <w:pPr>
        <w:rPr>
          <w:sz w:val="26"/>
          <w:szCs w:val="26"/>
        </w:rPr>
      </w:pPr>
    </w:p>
    <w:p w:rsidR="00B1042A" w:rsidRPr="00B1042A" w:rsidRDefault="005E3ADA" w:rsidP="005E3ADA">
      <w:pPr>
        <w:ind w:firstLine="720"/>
        <w:rPr>
          <w:sz w:val="26"/>
          <w:szCs w:val="26"/>
        </w:rPr>
      </w:pPr>
      <w:r>
        <w:rPr>
          <w:sz w:val="26"/>
          <w:szCs w:val="26"/>
        </w:rPr>
        <w:t xml:space="preserve">The </w:t>
      </w:r>
      <w:r w:rsidR="003B1C2F">
        <w:rPr>
          <w:sz w:val="26"/>
          <w:szCs w:val="26"/>
        </w:rPr>
        <w:t xml:space="preserve">first issue concerns the failure of some EGSs to include </w:t>
      </w:r>
      <w:r w:rsidR="004354A5">
        <w:rPr>
          <w:sz w:val="26"/>
          <w:szCs w:val="26"/>
        </w:rPr>
        <w:t xml:space="preserve">the unit price (kWh) on bills for residential and small commercial customers.  The </w:t>
      </w:r>
      <w:r>
        <w:rPr>
          <w:sz w:val="26"/>
          <w:szCs w:val="26"/>
        </w:rPr>
        <w:t xml:space="preserve">Commission’s regulations </w:t>
      </w:r>
      <w:r w:rsidR="00013C88">
        <w:rPr>
          <w:sz w:val="26"/>
          <w:szCs w:val="26"/>
        </w:rPr>
        <w:t xml:space="preserve">addressing the format for residential and small commercial bills </w:t>
      </w:r>
      <w:r w:rsidR="004354A5">
        <w:rPr>
          <w:sz w:val="26"/>
          <w:szCs w:val="26"/>
        </w:rPr>
        <w:t>are</w:t>
      </w:r>
      <w:r w:rsidR="00013C88">
        <w:rPr>
          <w:sz w:val="26"/>
          <w:szCs w:val="26"/>
        </w:rPr>
        <w:t xml:space="preserve"> set forth at </w:t>
      </w:r>
      <w:r w:rsidR="00B1042A" w:rsidRPr="00B1042A">
        <w:rPr>
          <w:sz w:val="26"/>
          <w:szCs w:val="26"/>
        </w:rPr>
        <w:t>52 Pa. Code § 54.4</w:t>
      </w:r>
      <w:r w:rsidR="00013C88">
        <w:rPr>
          <w:sz w:val="26"/>
          <w:szCs w:val="26"/>
        </w:rPr>
        <w:t>.</w:t>
      </w:r>
      <w:r w:rsidR="00B1042A" w:rsidRPr="00B1042A">
        <w:rPr>
          <w:sz w:val="26"/>
          <w:szCs w:val="26"/>
        </w:rPr>
        <w:t>  </w:t>
      </w:r>
      <w:r w:rsidR="00127EB2" w:rsidRPr="00B1042A">
        <w:rPr>
          <w:sz w:val="26"/>
          <w:szCs w:val="26"/>
        </w:rPr>
        <w:t>(</w:t>
      </w:r>
      <w:hyperlink r:id="rId10" w:history="1">
        <w:r w:rsidR="00127EB2" w:rsidRPr="00B1042A">
          <w:rPr>
            <w:rStyle w:val="Hyperlink"/>
            <w:sz w:val="26"/>
            <w:szCs w:val="26"/>
          </w:rPr>
          <w:t>http://www.pacode.com/secure/data/052/chapter54/s54.4.html</w:t>
        </w:r>
      </w:hyperlink>
      <w:r w:rsidR="00127EB2">
        <w:t xml:space="preserve">).  </w:t>
      </w:r>
      <w:r w:rsidR="00B1042A" w:rsidRPr="00B1042A">
        <w:rPr>
          <w:sz w:val="26"/>
          <w:szCs w:val="26"/>
        </w:rPr>
        <w:t xml:space="preserve"> </w:t>
      </w:r>
      <w:r w:rsidR="004354A5">
        <w:rPr>
          <w:sz w:val="26"/>
          <w:szCs w:val="26"/>
        </w:rPr>
        <w:t>The</w:t>
      </w:r>
      <w:r w:rsidR="00013C88">
        <w:rPr>
          <w:sz w:val="26"/>
          <w:szCs w:val="26"/>
        </w:rPr>
        <w:t xml:space="preserve"> regulations contain a</w:t>
      </w:r>
      <w:r w:rsidR="00B1042A" w:rsidRPr="00B1042A">
        <w:rPr>
          <w:sz w:val="26"/>
          <w:szCs w:val="26"/>
        </w:rPr>
        <w:t xml:space="preserve"> specific requirement </w:t>
      </w:r>
      <w:r w:rsidR="00E463F5">
        <w:rPr>
          <w:sz w:val="26"/>
          <w:szCs w:val="26"/>
        </w:rPr>
        <w:t xml:space="preserve">for unit pricing </w:t>
      </w:r>
      <w:r w:rsidR="00B1042A" w:rsidRPr="00B1042A">
        <w:rPr>
          <w:sz w:val="26"/>
          <w:szCs w:val="26"/>
        </w:rPr>
        <w:t>at paragraph (b)(3)(</w:t>
      </w:r>
      <w:proofErr w:type="spellStart"/>
      <w:r w:rsidR="00B1042A" w:rsidRPr="00B1042A">
        <w:rPr>
          <w:sz w:val="26"/>
          <w:szCs w:val="26"/>
        </w:rPr>
        <w:t>i</w:t>
      </w:r>
      <w:proofErr w:type="spellEnd"/>
      <w:r w:rsidR="00B1042A" w:rsidRPr="00B1042A">
        <w:rPr>
          <w:sz w:val="26"/>
          <w:szCs w:val="26"/>
        </w:rPr>
        <w:t>)(A)</w:t>
      </w:r>
      <w:r w:rsidR="004354A5">
        <w:rPr>
          <w:sz w:val="26"/>
          <w:szCs w:val="26"/>
        </w:rPr>
        <w:t>, as follows</w:t>
      </w:r>
      <w:r w:rsidR="00B1042A" w:rsidRPr="00B1042A">
        <w:rPr>
          <w:sz w:val="26"/>
          <w:szCs w:val="26"/>
        </w:rPr>
        <w:t xml:space="preserve">:  </w:t>
      </w:r>
    </w:p>
    <w:p w:rsidR="00B1042A" w:rsidRPr="00B1042A" w:rsidRDefault="00B1042A" w:rsidP="00B1042A">
      <w:pPr>
        <w:rPr>
          <w:sz w:val="26"/>
          <w:szCs w:val="26"/>
        </w:rPr>
      </w:pPr>
    </w:p>
    <w:p w:rsidR="00B1042A" w:rsidRPr="00B1042A" w:rsidRDefault="00B1042A" w:rsidP="00B1042A">
      <w:pPr>
        <w:ind w:left="720"/>
        <w:rPr>
          <w:i/>
          <w:sz w:val="26"/>
          <w:szCs w:val="26"/>
        </w:rPr>
      </w:pPr>
      <w:r w:rsidRPr="00B1042A">
        <w:rPr>
          <w:sz w:val="26"/>
          <w:szCs w:val="26"/>
        </w:rPr>
        <w:t> </w:t>
      </w:r>
      <w:r w:rsidRPr="00B1042A">
        <w:rPr>
          <w:i/>
          <w:sz w:val="26"/>
          <w:szCs w:val="26"/>
        </w:rPr>
        <w:t xml:space="preserve">(A)   Generation charges shall be presented in a standard pricing unit for electricity in actual dollars or cents per kWh, actual average dollars or cents per kWh, kW or other Commission-approved standard pricing unit. </w:t>
      </w:r>
    </w:p>
    <w:p w:rsidR="00B1042A" w:rsidRPr="00B1042A" w:rsidRDefault="00B1042A" w:rsidP="00B1042A">
      <w:pPr>
        <w:rPr>
          <w:sz w:val="26"/>
          <w:szCs w:val="26"/>
        </w:rPr>
      </w:pPr>
      <w:r w:rsidRPr="00B1042A">
        <w:rPr>
          <w:sz w:val="26"/>
          <w:szCs w:val="26"/>
        </w:rPr>
        <w:tab/>
      </w:r>
    </w:p>
    <w:p w:rsidR="00B1042A" w:rsidRPr="00B1042A" w:rsidRDefault="00D51F3F" w:rsidP="00B1042A">
      <w:pPr>
        <w:rPr>
          <w:sz w:val="26"/>
          <w:szCs w:val="26"/>
        </w:rPr>
      </w:pPr>
      <w:r>
        <w:rPr>
          <w:sz w:val="26"/>
          <w:szCs w:val="26"/>
        </w:rPr>
        <w:tab/>
      </w:r>
      <w:r w:rsidR="004354A5">
        <w:rPr>
          <w:sz w:val="26"/>
          <w:szCs w:val="26"/>
        </w:rPr>
        <w:t xml:space="preserve">Based on information that OCMO has gathered, </w:t>
      </w:r>
      <w:r w:rsidR="00E463F5">
        <w:rPr>
          <w:sz w:val="26"/>
          <w:szCs w:val="26"/>
        </w:rPr>
        <w:t xml:space="preserve">the Commission is aware that some EGSs may not be in full compliance with this requirement.  We view this as a serious </w:t>
      </w:r>
      <w:r w:rsidR="00623BCF">
        <w:rPr>
          <w:sz w:val="26"/>
          <w:szCs w:val="26"/>
        </w:rPr>
        <w:t xml:space="preserve">deficiency </w:t>
      </w:r>
      <w:r w:rsidR="00B1042A" w:rsidRPr="00B1042A">
        <w:rPr>
          <w:sz w:val="26"/>
          <w:szCs w:val="26"/>
        </w:rPr>
        <w:t>that deprives custome</w:t>
      </w:r>
      <w:r w:rsidR="00B1042A" w:rsidRPr="00C75C49">
        <w:rPr>
          <w:sz w:val="26"/>
          <w:szCs w:val="26"/>
        </w:rPr>
        <w:t xml:space="preserve">rs </w:t>
      </w:r>
      <w:r w:rsidR="00B1042A" w:rsidRPr="00B1042A">
        <w:rPr>
          <w:sz w:val="26"/>
          <w:szCs w:val="26"/>
        </w:rPr>
        <w:t xml:space="preserve">of </w:t>
      </w:r>
      <w:r w:rsidR="00B1042A" w:rsidRPr="00C75C49">
        <w:rPr>
          <w:sz w:val="26"/>
          <w:szCs w:val="26"/>
        </w:rPr>
        <w:t>information necessary for them to fully</w:t>
      </w:r>
      <w:r w:rsidR="00B1042A" w:rsidRPr="00B1042A">
        <w:rPr>
          <w:sz w:val="26"/>
          <w:szCs w:val="26"/>
        </w:rPr>
        <w:t xml:space="preserve"> understand the rate they are being charged</w:t>
      </w:r>
      <w:r w:rsidR="00B1042A" w:rsidRPr="00C75C49">
        <w:rPr>
          <w:sz w:val="26"/>
          <w:szCs w:val="26"/>
        </w:rPr>
        <w:t>. This lack of information also makes it difficult for customers to determine if the</w:t>
      </w:r>
      <w:r w:rsidR="00B1042A" w:rsidRPr="00B1042A">
        <w:rPr>
          <w:sz w:val="26"/>
          <w:szCs w:val="26"/>
        </w:rPr>
        <w:t xml:space="preserve">y are being </w:t>
      </w:r>
      <w:r w:rsidR="00B1042A" w:rsidRPr="00C75C49">
        <w:rPr>
          <w:sz w:val="26"/>
          <w:szCs w:val="26"/>
        </w:rPr>
        <w:t>charged according to the agreed-upon terms</w:t>
      </w:r>
      <w:r w:rsidR="00B1042A" w:rsidRPr="00B1042A">
        <w:rPr>
          <w:sz w:val="26"/>
          <w:szCs w:val="26"/>
        </w:rPr>
        <w:t xml:space="preserve"> </w:t>
      </w:r>
      <w:r w:rsidR="00B1042A" w:rsidRPr="00C75C49">
        <w:rPr>
          <w:sz w:val="26"/>
          <w:szCs w:val="26"/>
        </w:rPr>
        <w:t>in the disclosure statement that was provided to customers when they enrolled with the supplier</w:t>
      </w:r>
      <w:r w:rsidR="00B1042A" w:rsidRPr="00B1042A">
        <w:rPr>
          <w:sz w:val="26"/>
          <w:szCs w:val="26"/>
        </w:rPr>
        <w:t>.  This is especially a concern with customers on variable-rate products.</w:t>
      </w:r>
    </w:p>
    <w:p w:rsidR="00B1042A" w:rsidRPr="00B1042A" w:rsidRDefault="00B1042A" w:rsidP="00B1042A">
      <w:pPr>
        <w:rPr>
          <w:sz w:val="26"/>
          <w:szCs w:val="26"/>
        </w:rPr>
      </w:pPr>
    </w:p>
    <w:p w:rsidR="00E463F5" w:rsidRDefault="00C75C49" w:rsidP="00B1042A">
      <w:pPr>
        <w:rPr>
          <w:sz w:val="26"/>
          <w:szCs w:val="26"/>
        </w:rPr>
      </w:pPr>
      <w:r>
        <w:rPr>
          <w:sz w:val="26"/>
          <w:szCs w:val="26"/>
        </w:rPr>
        <w:tab/>
      </w:r>
    </w:p>
    <w:p w:rsidR="00B1042A" w:rsidRPr="00145900" w:rsidRDefault="00E463F5" w:rsidP="00E463F5">
      <w:pPr>
        <w:ind w:firstLine="720"/>
        <w:rPr>
          <w:sz w:val="26"/>
          <w:szCs w:val="26"/>
        </w:rPr>
      </w:pPr>
      <w:r>
        <w:rPr>
          <w:sz w:val="26"/>
          <w:szCs w:val="26"/>
        </w:rPr>
        <w:br w:type="page"/>
      </w:r>
      <w:r>
        <w:rPr>
          <w:sz w:val="26"/>
          <w:szCs w:val="26"/>
        </w:rPr>
        <w:lastRenderedPageBreak/>
        <w:t>The Commission</w:t>
      </w:r>
      <w:r w:rsidR="00B1042A" w:rsidRPr="00B1042A">
        <w:rPr>
          <w:sz w:val="26"/>
          <w:szCs w:val="26"/>
        </w:rPr>
        <w:t xml:space="preserve"> urges all suppliers to look into this </w:t>
      </w:r>
      <w:r w:rsidR="00B1042A" w:rsidRPr="00C75C49">
        <w:rPr>
          <w:sz w:val="26"/>
          <w:szCs w:val="26"/>
        </w:rPr>
        <w:t>issue</w:t>
      </w:r>
      <w:r w:rsidR="00B1042A" w:rsidRPr="00B1042A">
        <w:rPr>
          <w:sz w:val="26"/>
          <w:szCs w:val="26"/>
        </w:rPr>
        <w:t xml:space="preserve"> and verify that they are providing “per kWh” pricing information on customer</w:t>
      </w:r>
      <w:r w:rsidR="004F7B18">
        <w:rPr>
          <w:sz w:val="26"/>
          <w:szCs w:val="26"/>
        </w:rPr>
        <w:t>s’</w:t>
      </w:r>
      <w:r w:rsidR="00B1042A" w:rsidRPr="00B1042A">
        <w:rPr>
          <w:sz w:val="26"/>
          <w:szCs w:val="26"/>
        </w:rPr>
        <w:t xml:space="preserve"> bills. </w:t>
      </w:r>
      <w:r>
        <w:rPr>
          <w:sz w:val="26"/>
          <w:szCs w:val="26"/>
        </w:rPr>
        <w:t xml:space="preserve"> </w:t>
      </w:r>
      <w:r w:rsidR="00B1042A" w:rsidRPr="00C75C49">
        <w:rPr>
          <w:sz w:val="26"/>
          <w:szCs w:val="26"/>
        </w:rPr>
        <w:t>If there are any deficiencies in this respect, we expect EGSs to take corrective action as soon as possible.</w:t>
      </w:r>
      <w:r w:rsidR="00B1042A" w:rsidRPr="00B1042A">
        <w:rPr>
          <w:sz w:val="26"/>
          <w:szCs w:val="26"/>
        </w:rPr>
        <w:t xml:space="preserve">  For EGSs that rely on the utility to bill for them, the EGS should make sure </w:t>
      </w:r>
      <w:r w:rsidR="00B1042A" w:rsidRPr="00C75C49">
        <w:rPr>
          <w:sz w:val="26"/>
          <w:szCs w:val="26"/>
        </w:rPr>
        <w:t>that it is</w:t>
      </w:r>
      <w:r w:rsidR="00B1042A" w:rsidRPr="00B1042A">
        <w:rPr>
          <w:sz w:val="26"/>
          <w:szCs w:val="26"/>
        </w:rPr>
        <w:t xml:space="preserve"> providing the utility with sufficient information on kWh pricing via EDI so that the utility can include this information on customers</w:t>
      </w:r>
      <w:r w:rsidR="004F7B18">
        <w:rPr>
          <w:sz w:val="26"/>
          <w:szCs w:val="26"/>
        </w:rPr>
        <w:t>’</w:t>
      </w:r>
      <w:r w:rsidR="00B1042A" w:rsidRPr="00B1042A">
        <w:rPr>
          <w:sz w:val="26"/>
          <w:szCs w:val="26"/>
        </w:rPr>
        <w:t xml:space="preserve"> bills.  If, for some reason, </w:t>
      </w:r>
      <w:r>
        <w:rPr>
          <w:sz w:val="26"/>
          <w:szCs w:val="26"/>
        </w:rPr>
        <w:t>an EGS is</w:t>
      </w:r>
      <w:r w:rsidR="00B1042A" w:rsidRPr="00B1042A">
        <w:rPr>
          <w:sz w:val="26"/>
          <w:szCs w:val="26"/>
        </w:rPr>
        <w:t xml:space="preserve"> not able to immediately implement corrective action </w:t>
      </w:r>
      <w:r w:rsidR="00B1042A" w:rsidRPr="00C75C49">
        <w:rPr>
          <w:sz w:val="26"/>
          <w:szCs w:val="26"/>
        </w:rPr>
        <w:t>to place this information on customer bills</w:t>
      </w:r>
      <w:r w:rsidR="00B1042A" w:rsidRPr="00B1042A">
        <w:rPr>
          <w:sz w:val="26"/>
          <w:szCs w:val="26"/>
        </w:rPr>
        <w:t xml:space="preserve">, we urge you to communicate, through alternative methods, the price per kWh to your customers.  </w:t>
      </w:r>
      <w:r w:rsidR="00B1042A" w:rsidRPr="00145900">
        <w:rPr>
          <w:sz w:val="26"/>
          <w:szCs w:val="26"/>
        </w:rPr>
        <w:t>This is especially critical if the price you are charging is a variable price.</w:t>
      </w:r>
    </w:p>
    <w:p w:rsidR="00B1042A" w:rsidRPr="00B1042A" w:rsidRDefault="00B1042A" w:rsidP="00B1042A">
      <w:pPr>
        <w:rPr>
          <w:sz w:val="26"/>
          <w:szCs w:val="26"/>
        </w:rPr>
      </w:pPr>
    </w:p>
    <w:p w:rsidR="00B1042A" w:rsidRPr="00B1042A" w:rsidRDefault="00145900" w:rsidP="00B1042A">
      <w:pPr>
        <w:rPr>
          <w:sz w:val="26"/>
          <w:szCs w:val="26"/>
        </w:rPr>
      </w:pPr>
      <w:r>
        <w:rPr>
          <w:sz w:val="26"/>
          <w:szCs w:val="26"/>
        </w:rPr>
        <w:tab/>
      </w:r>
    </w:p>
    <w:p w:rsidR="00145900" w:rsidRDefault="00B1042A" w:rsidP="00B1042A">
      <w:pPr>
        <w:rPr>
          <w:sz w:val="26"/>
          <w:szCs w:val="26"/>
        </w:rPr>
      </w:pPr>
      <w:r w:rsidRPr="00B1042A">
        <w:rPr>
          <w:b/>
          <w:bCs/>
          <w:sz w:val="26"/>
          <w:szCs w:val="26"/>
        </w:rPr>
        <w:t>INCORRECTLY CHARGING RESIDENTIAL CUSTOMERS PENNSYLVANIA STATE SALES TAX:</w:t>
      </w:r>
      <w:r w:rsidRPr="00B1042A">
        <w:rPr>
          <w:sz w:val="26"/>
          <w:szCs w:val="26"/>
        </w:rPr>
        <w:t>   </w:t>
      </w:r>
    </w:p>
    <w:p w:rsidR="00145900" w:rsidRDefault="00145900" w:rsidP="00B1042A">
      <w:pPr>
        <w:rPr>
          <w:sz w:val="26"/>
          <w:szCs w:val="26"/>
        </w:rPr>
      </w:pPr>
    </w:p>
    <w:p w:rsidR="00D11CD4" w:rsidRDefault="00145900" w:rsidP="00B1042A">
      <w:pPr>
        <w:rPr>
          <w:sz w:val="26"/>
          <w:szCs w:val="26"/>
        </w:rPr>
      </w:pPr>
      <w:r>
        <w:rPr>
          <w:sz w:val="26"/>
          <w:szCs w:val="26"/>
        </w:rPr>
        <w:tab/>
      </w:r>
      <w:r w:rsidR="00D11CD4">
        <w:rPr>
          <w:sz w:val="26"/>
          <w:szCs w:val="26"/>
        </w:rPr>
        <w:t xml:space="preserve">The second issue concerns the inappropriate inclusion of state sales tax on residential customers’ bills.  </w:t>
      </w:r>
      <w:r w:rsidR="00B1042A" w:rsidRPr="00B1042A">
        <w:rPr>
          <w:sz w:val="26"/>
          <w:szCs w:val="26"/>
        </w:rPr>
        <w:t xml:space="preserve">Based </w:t>
      </w:r>
      <w:r w:rsidR="00D11CD4">
        <w:rPr>
          <w:sz w:val="26"/>
          <w:szCs w:val="26"/>
        </w:rPr>
        <w:t xml:space="preserve">on </w:t>
      </w:r>
      <w:r w:rsidR="001C1967">
        <w:rPr>
          <w:sz w:val="26"/>
          <w:szCs w:val="26"/>
        </w:rPr>
        <w:t>information gathered by OCMO</w:t>
      </w:r>
      <w:r w:rsidR="00B1042A" w:rsidRPr="00B1042A">
        <w:rPr>
          <w:sz w:val="26"/>
          <w:szCs w:val="26"/>
        </w:rPr>
        <w:t xml:space="preserve">, </w:t>
      </w:r>
      <w:r w:rsidR="00D11CD4">
        <w:rPr>
          <w:sz w:val="26"/>
          <w:szCs w:val="26"/>
        </w:rPr>
        <w:t>the Commission does not believe</w:t>
      </w:r>
      <w:r w:rsidR="00B1042A" w:rsidRPr="00B1042A">
        <w:rPr>
          <w:sz w:val="26"/>
          <w:szCs w:val="26"/>
        </w:rPr>
        <w:t xml:space="preserve"> that </w:t>
      </w:r>
      <w:r w:rsidR="00D11CD4">
        <w:rPr>
          <w:sz w:val="26"/>
          <w:szCs w:val="26"/>
        </w:rPr>
        <w:t>this is</w:t>
      </w:r>
      <w:r w:rsidR="00B1042A" w:rsidRPr="00B1042A">
        <w:rPr>
          <w:sz w:val="26"/>
          <w:szCs w:val="26"/>
        </w:rPr>
        <w:t xml:space="preserve"> a widespread problem.  </w:t>
      </w:r>
      <w:r w:rsidR="001C1967">
        <w:rPr>
          <w:sz w:val="26"/>
          <w:szCs w:val="26"/>
        </w:rPr>
        <w:t xml:space="preserve">In some instances, EDCs have noticed the improper inclusion of state sales taxes and EGSs have been able to remove the charges prior to the bills being issued.  </w:t>
      </w:r>
      <w:r w:rsidR="00B1042A" w:rsidRPr="00B1042A">
        <w:rPr>
          <w:sz w:val="26"/>
          <w:szCs w:val="26"/>
        </w:rPr>
        <w:t>Regardless, we are asking all EGSs to be aware of this issue</w:t>
      </w:r>
      <w:r w:rsidR="001C1967">
        <w:rPr>
          <w:sz w:val="26"/>
          <w:szCs w:val="26"/>
        </w:rPr>
        <w:t xml:space="preserve"> to</w:t>
      </w:r>
      <w:r w:rsidR="00B1042A" w:rsidRPr="00B1042A">
        <w:rPr>
          <w:sz w:val="26"/>
          <w:szCs w:val="26"/>
        </w:rPr>
        <w:t xml:space="preserve"> make sure that they understand</w:t>
      </w:r>
      <w:r w:rsidR="001C1967">
        <w:rPr>
          <w:sz w:val="26"/>
          <w:szCs w:val="26"/>
        </w:rPr>
        <w:t xml:space="preserve"> and correctly apply</w:t>
      </w:r>
      <w:r w:rsidR="00B1042A" w:rsidRPr="00B1042A">
        <w:rPr>
          <w:sz w:val="26"/>
          <w:szCs w:val="26"/>
        </w:rPr>
        <w:t xml:space="preserve"> the Pennsylvania Department of Revenue rules regarding the application of sales tax</w:t>
      </w:r>
      <w:r w:rsidR="001C1967">
        <w:rPr>
          <w:sz w:val="26"/>
          <w:szCs w:val="26"/>
        </w:rPr>
        <w:t>.</w:t>
      </w:r>
      <w:r w:rsidR="00F55F6F">
        <w:rPr>
          <w:sz w:val="26"/>
          <w:szCs w:val="26"/>
        </w:rPr>
        <w:t xml:space="preserve">  Additionally, any EGSs who have improperly charged this tax should immediately correct the problem and issue refunds to customers.  </w:t>
      </w:r>
    </w:p>
    <w:p w:rsidR="001C1967" w:rsidRDefault="001C1967" w:rsidP="00B1042A">
      <w:pPr>
        <w:rPr>
          <w:sz w:val="26"/>
          <w:szCs w:val="26"/>
        </w:rPr>
      </w:pPr>
    </w:p>
    <w:p w:rsidR="00D11CD4" w:rsidRDefault="00D11CD4" w:rsidP="001C1967">
      <w:pPr>
        <w:ind w:firstLine="720"/>
        <w:rPr>
          <w:sz w:val="26"/>
          <w:szCs w:val="26"/>
        </w:rPr>
      </w:pPr>
      <w:r w:rsidRPr="001C1967">
        <w:rPr>
          <w:sz w:val="26"/>
          <w:szCs w:val="26"/>
        </w:rPr>
        <w:t xml:space="preserve">Section 7204 of the Tax Reform Code of 1971 exempts the residential use of electricity from Pennsylvania sales tax. </w:t>
      </w:r>
      <w:r w:rsidRPr="001C1967">
        <w:rPr>
          <w:i/>
          <w:sz w:val="26"/>
          <w:szCs w:val="26"/>
        </w:rPr>
        <w:t xml:space="preserve"> See</w:t>
      </w:r>
      <w:r w:rsidRPr="001C1967">
        <w:rPr>
          <w:sz w:val="26"/>
          <w:szCs w:val="26"/>
        </w:rPr>
        <w:t xml:space="preserve"> 72 P.S. § 7204.  However,</w:t>
      </w:r>
      <w:r w:rsidRPr="001C1967">
        <w:rPr>
          <w:color w:val="FF0000"/>
          <w:sz w:val="26"/>
          <w:szCs w:val="26"/>
        </w:rPr>
        <w:t xml:space="preserve"> </w:t>
      </w:r>
      <w:r w:rsidRPr="001C1967">
        <w:rPr>
          <w:sz w:val="26"/>
          <w:szCs w:val="26"/>
        </w:rPr>
        <w:t xml:space="preserve">electricity purchased for use in an office or business within a home is subject to sales tax.  </w:t>
      </w:r>
      <w:r w:rsidRPr="001C1967">
        <w:rPr>
          <w:i/>
          <w:sz w:val="26"/>
          <w:szCs w:val="26"/>
        </w:rPr>
        <w:t>See</w:t>
      </w:r>
      <w:r w:rsidRPr="001C1967">
        <w:rPr>
          <w:sz w:val="26"/>
          <w:szCs w:val="26"/>
        </w:rPr>
        <w:t xml:space="preserve"> the Pennsylvania Department of Revenue’s regulation at </w:t>
      </w:r>
      <w:r w:rsidRPr="001C1967">
        <w:rPr>
          <w:bCs/>
          <w:sz w:val="26"/>
          <w:szCs w:val="26"/>
        </w:rPr>
        <w:t xml:space="preserve">61 Pa Code § 32.25 (relating to steam, gas, electricity, fuel oil and kerosene). </w:t>
      </w:r>
      <w:r w:rsidR="00FA3BFF">
        <w:rPr>
          <w:bCs/>
          <w:sz w:val="26"/>
          <w:szCs w:val="26"/>
        </w:rPr>
        <w:t xml:space="preserve"> (</w:t>
      </w:r>
      <w:hyperlink r:id="rId11" w:history="1">
        <w:r w:rsidR="00FA3BFF" w:rsidRPr="00533D8B">
          <w:rPr>
            <w:rStyle w:val="Hyperlink"/>
            <w:bCs/>
            <w:sz w:val="26"/>
            <w:szCs w:val="26"/>
          </w:rPr>
          <w:t>http://www.pacode.com/secure/data/061/chapter32/s32.25.html</w:t>
        </w:r>
      </w:hyperlink>
      <w:r w:rsidR="00FA3BFF">
        <w:rPr>
          <w:bCs/>
          <w:sz w:val="26"/>
          <w:szCs w:val="26"/>
        </w:rPr>
        <w:t xml:space="preserve">). </w:t>
      </w:r>
      <w:r w:rsidRPr="001C1967">
        <w:rPr>
          <w:bCs/>
          <w:sz w:val="26"/>
          <w:szCs w:val="26"/>
        </w:rPr>
        <w:t xml:space="preserve"> </w:t>
      </w:r>
      <w:r w:rsidRPr="001C1967">
        <w:rPr>
          <w:i/>
          <w:color w:val="000000"/>
          <w:sz w:val="26"/>
          <w:szCs w:val="26"/>
        </w:rPr>
        <w:t>See</w:t>
      </w:r>
      <w:r w:rsidRPr="001C1967">
        <w:rPr>
          <w:color w:val="000000"/>
          <w:sz w:val="26"/>
          <w:szCs w:val="26"/>
        </w:rPr>
        <w:t xml:space="preserve"> also the </w:t>
      </w:r>
      <w:hyperlink r:id="rId12" w:history="1">
        <w:r w:rsidRPr="001C1967">
          <w:rPr>
            <w:rStyle w:val="Hyperlink"/>
            <w:color w:val="033668"/>
            <w:sz w:val="26"/>
            <w:szCs w:val="26"/>
          </w:rPr>
          <w:t>Retailers' Information Guide (REV-717)</w:t>
        </w:r>
      </w:hyperlink>
      <w:r w:rsidRPr="001C1967">
        <w:rPr>
          <w:color w:val="000000"/>
          <w:sz w:val="26"/>
          <w:szCs w:val="26"/>
        </w:rPr>
        <w:t xml:space="preserve"> for a list of taxable items. </w:t>
      </w:r>
      <w:r w:rsidRPr="001C1967">
        <w:rPr>
          <w:bCs/>
          <w:sz w:val="26"/>
          <w:szCs w:val="26"/>
        </w:rPr>
        <w:t xml:space="preserve"> </w:t>
      </w:r>
      <w:r w:rsidRPr="001C1967">
        <w:rPr>
          <w:sz w:val="26"/>
          <w:szCs w:val="26"/>
        </w:rPr>
        <w:t xml:space="preserve">Note that </w:t>
      </w:r>
      <w:r w:rsidR="00E32C71" w:rsidRPr="001C1967">
        <w:rPr>
          <w:sz w:val="26"/>
          <w:szCs w:val="26"/>
        </w:rPr>
        <w:t>if the residential customer provides a “Sales and Use Tax Exemption Certificate” (Form REV-1220) to the supplier that indicates the annualized percentage of the total kilowatts used solely for residential purposes</w:t>
      </w:r>
      <w:r w:rsidR="00E32C71">
        <w:rPr>
          <w:sz w:val="26"/>
          <w:szCs w:val="26"/>
        </w:rPr>
        <w:t xml:space="preserve">, </w:t>
      </w:r>
      <w:r w:rsidRPr="001C1967">
        <w:rPr>
          <w:sz w:val="26"/>
          <w:szCs w:val="26"/>
        </w:rPr>
        <w:t>the supplier may charge tax only on the electricity used for commercial purposes</w:t>
      </w:r>
      <w:r w:rsidR="00E32C71">
        <w:rPr>
          <w:sz w:val="26"/>
          <w:szCs w:val="26"/>
        </w:rPr>
        <w:t>.</w:t>
      </w:r>
      <w:r w:rsidRPr="001C1967">
        <w:rPr>
          <w:sz w:val="26"/>
          <w:szCs w:val="26"/>
        </w:rPr>
        <w:t xml:space="preserve">  For further information, please contact the Department of Revenue through its on-line customer service center: </w:t>
      </w:r>
      <w:hyperlink r:id="rId13" w:history="1">
        <w:r w:rsidRPr="001C1967">
          <w:rPr>
            <w:rStyle w:val="Hyperlink"/>
            <w:sz w:val="26"/>
            <w:szCs w:val="26"/>
          </w:rPr>
          <w:t>https://revenue-pa.custhelp.com</w:t>
        </w:r>
      </w:hyperlink>
      <w:r w:rsidRPr="001C1967">
        <w:rPr>
          <w:sz w:val="26"/>
          <w:szCs w:val="26"/>
        </w:rPr>
        <w:t>.</w:t>
      </w:r>
    </w:p>
    <w:p w:rsidR="004F7B18" w:rsidRPr="001C1967" w:rsidRDefault="004F7B18" w:rsidP="001C1967">
      <w:pPr>
        <w:ind w:firstLine="720"/>
        <w:rPr>
          <w:b/>
          <w:bCs/>
          <w:sz w:val="26"/>
          <w:szCs w:val="26"/>
        </w:rPr>
      </w:pPr>
    </w:p>
    <w:p w:rsidR="00F55F6F" w:rsidRDefault="00F55F6F" w:rsidP="00046DED">
      <w:pPr>
        <w:rPr>
          <w:b/>
          <w:sz w:val="26"/>
          <w:szCs w:val="26"/>
        </w:rPr>
      </w:pPr>
      <w:r w:rsidRPr="00F55F6F">
        <w:rPr>
          <w:b/>
          <w:sz w:val="26"/>
          <w:szCs w:val="26"/>
        </w:rPr>
        <w:t>CONCLUSION</w:t>
      </w:r>
      <w:r w:rsidR="00D400BB" w:rsidRPr="00F55F6F">
        <w:rPr>
          <w:b/>
          <w:sz w:val="26"/>
          <w:szCs w:val="26"/>
        </w:rPr>
        <w:tab/>
      </w:r>
    </w:p>
    <w:p w:rsidR="00F55F6F" w:rsidRDefault="00F55F6F" w:rsidP="00046DED">
      <w:pPr>
        <w:rPr>
          <w:b/>
          <w:sz w:val="26"/>
          <w:szCs w:val="26"/>
        </w:rPr>
      </w:pPr>
    </w:p>
    <w:p w:rsidR="00F55F6F" w:rsidRPr="00B1042A" w:rsidRDefault="00F55F6F" w:rsidP="00F55F6F">
      <w:pPr>
        <w:ind w:firstLine="720"/>
        <w:rPr>
          <w:sz w:val="26"/>
          <w:szCs w:val="26"/>
        </w:rPr>
      </w:pPr>
      <w:r>
        <w:rPr>
          <w:sz w:val="26"/>
          <w:szCs w:val="26"/>
        </w:rPr>
        <w:t xml:space="preserve">Through </w:t>
      </w:r>
      <w:r w:rsidRPr="00B1042A">
        <w:rPr>
          <w:sz w:val="26"/>
          <w:szCs w:val="26"/>
        </w:rPr>
        <w:t>OCMO</w:t>
      </w:r>
      <w:r>
        <w:rPr>
          <w:sz w:val="26"/>
          <w:szCs w:val="26"/>
        </w:rPr>
        <w:t xml:space="preserve">, the Commission will be proactively monitoring these issues and staff will take further action as necessary on an individual basis to ensure compliance.  To assist with this monitoring, the Commission </w:t>
      </w:r>
      <w:r w:rsidRPr="00B1042A">
        <w:rPr>
          <w:sz w:val="26"/>
          <w:szCs w:val="26"/>
        </w:rPr>
        <w:t xml:space="preserve">requests that </w:t>
      </w:r>
      <w:r>
        <w:rPr>
          <w:sz w:val="26"/>
          <w:szCs w:val="26"/>
        </w:rPr>
        <w:t xml:space="preserve">EGSs inform OCMO by e-mail addressed to </w:t>
      </w:r>
      <w:hyperlink r:id="rId14" w:history="1">
        <w:r w:rsidRPr="00B44D18">
          <w:rPr>
            <w:rStyle w:val="Hyperlink"/>
            <w:sz w:val="26"/>
            <w:szCs w:val="26"/>
          </w:rPr>
          <w:t>ra-OCMO@state.pa.us</w:t>
        </w:r>
      </w:hyperlink>
      <w:r>
        <w:rPr>
          <w:sz w:val="26"/>
          <w:szCs w:val="26"/>
        </w:rPr>
        <w:t xml:space="preserve"> by June 10, 2011 of the status of both matters.  </w:t>
      </w:r>
      <w:r>
        <w:rPr>
          <w:sz w:val="26"/>
          <w:szCs w:val="26"/>
        </w:rPr>
        <w:lastRenderedPageBreak/>
        <w:t xml:space="preserve">These communications should indicate whether the companies are including unit pricing on bills and refraining from incorrectly charging state sales taxes to residential customers, identify any problems and planned corrective measures that are necessary, along with projected timeframes, and whether the EGSs have had any consumer </w:t>
      </w:r>
      <w:r w:rsidR="001E706D">
        <w:rPr>
          <w:sz w:val="26"/>
          <w:szCs w:val="26"/>
        </w:rPr>
        <w:t>complaints</w:t>
      </w:r>
      <w:r>
        <w:rPr>
          <w:sz w:val="26"/>
          <w:szCs w:val="26"/>
        </w:rPr>
        <w:t xml:space="preserve"> or media inquiries about these issues.  </w:t>
      </w:r>
    </w:p>
    <w:p w:rsidR="00F55F6F" w:rsidRDefault="00F55F6F" w:rsidP="00046DED">
      <w:pPr>
        <w:rPr>
          <w:sz w:val="26"/>
          <w:szCs w:val="26"/>
        </w:rPr>
      </w:pPr>
    </w:p>
    <w:p w:rsidR="00D400BB" w:rsidRDefault="00D400BB" w:rsidP="00F55F6F">
      <w:pPr>
        <w:ind w:firstLine="720"/>
        <w:rPr>
          <w:sz w:val="26"/>
          <w:szCs w:val="26"/>
        </w:rPr>
      </w:pPr>
      <w:r>
        <w:rPr>
          <w:sz w:val="26"/>
          <w:szCs w:val="26"/>
        </w:rPr>
        <w:t xml:space="preserve">Any questions about this Secretarial Letter should be directed to the Office of Competitive Market Oversight by email at </w:t>
      </w:r>
      <w:hyperlink r:id="rId15" w:history="1">
        <w:r w:rsidRPr="00AD4FAB">
          <w:rPr>
            <w:rStyle w:val="Hyperlink"/>
            <w:sz w:val="26"/>
            <w:szCs w:val="26"/>
          </w:rPr>
          <w:t>ra-OCMO@state.pa.us</w:t>
        </w:r>
      </w:hyperlink>
      <w:r>
        <w:rPr>
          <w:sz w:val="26"/>
          <w:szCs w:val="26"/>
        </w:rPr>
        <w:t xml:space="preserve"> or by calling the Director of Operations at 717-783-5331.</w:t>
      </w:r>
    </w:p>
    <w:p w:rsidR="006E18F6" w:rsidRPr="00E872DE" w:rsidRDefault="006E18F6" w:rsidP="006E18F6">
      <w:pPr>
        <w:ind w:left="1440" w:right="1440"/>
        <w:rPr>
          <w:sz w:val="22"/>
          <w:szCs w:val="22"/>
        </w:rPr>
      </w:pPr>
    </w:p>
    <w:p w:rsidR="00A54DBC" w:rsidRPr="00E872DE" w:rsidRDefault="00A54DBC" w:rsidP="00CE2F96">
      <w:pPr>
        <w:ind w:firstLine="1440"/>
        <w:rPr>
          <w:sz w:val="22"/>
          <w:szCs w:val="22"/>
        </w:rPr>
      </w:pPr>
    </w:p>
    <w:p w:rsidR="00C85628" w:rsidRPr="00E872DE" w:rsidRDefault="00C85628" w:rsidP="00CE2F96">
      <w:pPr>
        <w:ind w:firstLine="1440"/>
        <w:rPr>
          <w:sz w:val="22"/>
          <w:szCs w:val="22"/>
        </w:rPr>
      </w:pPr>
    </w:p>
    <w:p w:rsidR="00EB5668" w:rsidRPr="002134D6" w:rsidRDefault="00A54DBC" w:rsidP="00C85628">
      <w:pPr>
        <w:ind w:left="5040"/>
        <w:rPr>
          <w:sz w:val="26"/>
          <w:szCs w:val="22"/>
        </w:rPr>
      </w:pPr>
      <w:r w:rsidRPr="002134D6">
        <w:rPr>
          <w:sz w:val="26"/>
          <w:szCs w:val="22"/>
        </w:rPr>
        <w:t>Sincerely,</w:t>
      </w:r>
    </w:p>
    <w:p w:rsidR="00EB5668" w:rsidRDefault="00886B15" w:rsidP="00C85628">
      <w:pPr>
        <w:ind w:left="5040"/>
        <w:rPr>
          <w:sz w:val="26"/>
          <w:szCs w:val="22"/>
        </w:rPr>
      </w:pPr>
      <w:r>
        <w:rPr>
          <w:noProof/>
          <w:sz w:val="26"/>
          <w:szCs w:val="22"/>
        </w:rPr>
        <w:drawing>
          <wp:anchor distT="0" distB="0" distL="114300" distR="114300" simplePos="0" relativeHeight="251659264" behindDoc="1" locked="0" layoutInCell="1" allowOverlap="1">
            <wp:simplePos x="0" y="0"/>
            <wp:positionH relativeFrom="column">
              <wp:posOffset>2752725</wp:posOffset>
            </wp:positionH>
            <wp:positionV relativeFrom="paragraph">
              <wp:posOffset>29210</wp:posOffset>
            </wp:positionV>
            <wp:extent cx="2200275" cy="838200"/>
            <wp:effectExtent l="19050" t="0" r="9525" b="0"/>
            <wp:wrapNone/>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4F7B18" w:rsidRDefault="004F7B18" w:rsidP="00C85628">
      <w:pPr>
        <w:ind w:left="5040"/>
        <w:rPr>
          <w:sz w:val="26"/>
          <w:szCs w:val="22"/>
        </w:rPr>
      </w:pPr>
    </w:p>
    <w:p w:rsidR="004F7B18" w:rsidRPr="002134D6" w:rsidRDefault="004F7B18" w:rsidP="00C85628">
      <w:pPr>
        <w:ind w:left="5040"/>
        <w:rPr>
          <w:sz w:val="26"/>
          <w:szCs w:val="22"/>
        </w:rPr>
      </w:pPr>
    </w:p>
    <w:p w:rsidR="00A54DBC" w:rsidRPr="002134D6" w:rsidRDefault="00A54DBC" w:rsidP="00C85628">
      <w:pPr>
        <w:ind w:left="5040"/>
        <w:rPr>
          <w:sz w:val="26"/>
          <w:szCs w:val="22"/>
        </w:rPr>
      </w:pPr>
    </w:p>
    <w:p w:rsidR="00A54DBC" w:rsidRPr="002134D6" w:rsidRDefault="00A54DBC" w:rsidP="00C85628">
      <w:pPr>
        <w:ind w:left="5040"/>
        <w:rPr>
          <w:sz w:val="26"/>
          <w:szCs w:val="22"/>
        </w:rPr>
      </w:pPr>
      <w:r w:rsidRPr="002134D6">
        <w:rPr>
          <w:sz w:val="26"/>
          <w:szCs w:val="22"/>
        </w:rPr>
        <w:t>Rosemary Chiavetta</w:t>
      </w:r>
    </w:p>
    <w:p w:rsidR="00A54DBC" w:rsidRDefault="00A54DBC" w:rsidP="00C85628">
      <w:pPr>
        <w:ind w:left="5040"/>
        <w:rPr>
          <w:sz w:val="26"/>
          <w:szCs w:val="22"/>
        </w:rPr>
      </w:pPr>
      <w:r w:rsidRPr="002134D6">
        <w:rPr>
          <w:sz w:val="26"/>
          <w:szCs w:val="22"/>
        </w:rPr>
        <w:t>Secretary</w:t>
      </w:r>
    </w:p>
    <w:p w:rsidR="00457A20" w:rsidRDefault="00457A20" w:rsidP="00C85628">
      <w:pPr>
        <w:ind w:left="5040"/>
        <w:rPr>
          <w:sz w:val="26"/>
          <w:szCs w:val="22"/>
        </w:rPr>
      </w:pPr>
    </w:p>
    <w:p w:rsidR="00457A20" w:rsidRDefault="00457A20" w:rsidP="00457A20">
      <w:pPr>
        <w:rPr>
          <w:sz w:val="26"/>
          <w:szCs w:val="22"/>
        </w:rPr>
      </w:pPr>
    </w:p>
    <w:p w:rsidR="00457A20" w:rsidRDefault="004F7B18" w:rsidP="00457A20">
      <w:pPr>
        <w:rPr>
          <w:sz w:val="26"/>
          <w:szCs w:val="22"/>
        </w:rPr>
      </w:pPr>
      <w:r>
        <w:rPr>
          <w:sz w:val="26"/>
          <w:szCs w:val="22"/>
        </w:rPr>
        <w:t>c</w:t>
      </w:r>
      <w:r w:rsidR="00457A20">
        <w:rPr>
          <w:sz w:val="26"/>
          <w:szCs w:val="22"/>
        </w:rPr>
        <w:t xml:space="preserve">c:  </w:t>
      </w:r>
      <w:r w:rsidR="00457A20">
        <w:rPr>
          <w:sz w:val="26"/>
          <w:szCs w:val="22"/>
        </w:rPr>
        <w:tab/>
        <w:t>Office of Competitive Market Oversight</w:t>
      </w:r>
    </w:p>
    <w:p w:rsidR="00457A20" w:rsidRDefault="00457A20" w:rsidP="00457A20">
      <w:pPr>
        <w:rPr>
          <w:sz w:val="26"/>
          <w:szCs w:val="22"/>
        </w:rPr>
      </w:pPr>
      <w:r>
        <w:rPr>
          <w:sz w:val="26"/>
          <w:szCs w:val="22"/>
        </w:rPr>
        <w:tab/>
        <w:t>Office of Consumer Advocate</w:t>
      </w:r>
    </w:p>
    <w:p w:rsidR="00457A20" w:rsidRPr="002134D6" w:rsidRDefault="00457A20" w:rsidP="00457A20">
      <w:pPr>
        <w:rPr>
          <w:sz w:val="26"/>
          <w:szCs w:val="22"/>
        </w:rPr>
      </w:pPr>
      <w:r>
        <w:rPr>
          <w:sz w:val="26"/>
          <w:szCs w:val="22"/>
        </w:rPr>
        <w:tab/>
        <w:t>Office of Small Business Advocate</w:t>
      </w:r>
    </w:p>
    <w:p w:rsidR="00DE1634" w:rsidRPr="002134D6" w:rsidRDefault="00DE1634" w:rsidP="00DE1634">
      <w:pPr>
        <w:rPr>
          <w:sz w:val="26"/>
          <w:szCs w:val="22"/>
        </w:rPr>
      </w:pPr>
    </w:p>
    <w:sectPr w:rsidR="00DE1634" w:rsidRPr="002134D6" w:rsidSect="004F5AAA">
      <w:footerReference w:type="even"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69" w:rsidRDefault="005D3569">
      <w:r>
        <w:separator/>
      </w:r>
    </w:p>
  </w:endnote>
  <w:endnote w:type="continuationSeparator" w:id="0">
    <w:p w:rsidR="005D3569" w:rsidRDefault="005D35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B94894"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B94894"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B94894">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separate"/>
    </w:r>
    <w:r w:rsidR="006B5192">
      <w:rPr>
        <w:rStyle w:val="PageNumber"/>
        <w:noProof/>
      </w:rPr>
      <w:t>2</w:t>
    </w:r>
    <w:r>
      <w:rPr>
        <w:rStyle w:val="PageNumber"/>
      </w:rPr>
      <w:fldChar w:fldCharType="end"/>
    </w:r>
  </w:p>
  <w:p w:rsidR="006B5192" w:rsidRDefault="006B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B94894">
    <w:pPr>
      <w:pStyle w:val="Footer"/>
      <w:jc w:val="center"/>
    </w:pPr>
    <w:fldSimple w:instr=" PAGE   \* MERGEFORMAT ">
      <w:r w:rsidR="00886B15">
        <w:rPr>
          <w:noProof/>
        </w:rPr>
        <w:t>3</w:t>
      </w:r>
    </w:fldSimple>
  </w:p>
  <w:p w:rsidR="006B5192" w:rsidRDefault="006B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69" w:rsidRDefault="005D3569">
      <w:r>
        <w:separator/>
      </w:r>
    </w:p>
  </w:footnote>
  <w:footnote w:type="continuationSeparator" w:id="0">
    <w:p w:rsidR="005D3569" w:rsidRDefault="005D3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13C88"/>
    <w:rsid w:val="000227B9"/>
    <w:rsid w:val="00027267"/>
    <w:rsid w:val="00034796"/>
    <w:rsid w:val="000373FD"/>
    <w:rsid w:val="00046DED"/>
    <w:rsid w:val="00047304"/>
    <w:rsid w:val="00067B3B"/>
    <w:rsid w:val="00076B03"/>
    <w:rsid w:val="00081BA3"/>
    <w:rsid w:val="000E4C77"/>
    <w:rsid w:val="001209F1"/>
    <w:rsid w:val="0012404A"/>
    <w:rsid w:val="00124DD5"/>
    <w:rsid w:val="00127EB2"/>
    <w:rsid w:val="00145900"/>
    <w:rsid w:val="00170283"/>
    <w:rsid w:val="001C1967"/>
    <w:rsid w:val="001D5DBB"/>
    <w:rsid w:val="001E1BF3"/>
    <w:rsid w:val="001E706D"/>
    <w:rsid w:val="001F2EDC"/>
    <w:rsid w:val="00202276"/>
    <w:rsid w:val="002134D6"/>
    <w:rsid w:val="00221BD0"/>
    <w:rsid w:val="002229C3"/>
    <w:rsid w:val="002257A9"/>
    <w:rsid w:val="0025446A"/>
    <w:rsid w:val="00280E91"/>
    <w:rsid w:val="00292374"/>
    <w:rsid w:val="0029471C"/>
    <w:rsid w:val="00295A33"/>
    <w:rsid w:val="00295E15"/>
    <w:rsid w:val="002A52A0"/>
    <w:rsid w:val="002C24A6"/>
    <w:rsid w:val="002E0B8A"/>
    <w:rsid w:val="002F0138"/>
    <w:rsid w:val="0031429F"/>
    <w:rsid w:val="00345522"/>
    <w:rsid w:val="003516A6"/>
    <w:rsid w:val="00353111"/>
    <w:rsid w:val="003544FF"/>
    <w:rsid w:val="003569E8"/>
    <w:rsid w:val="0036151A"/>
    <w:rsid w:val="00366BB5"/>
    <w:rsid w:val="003B1C2F"/>
    <w:rsid w:val="003B26C3"/>
    <w:rsid w:val="003C102A"/>
    <w:rsid w:val="003C1323"/>
    <w:rsid w:val="003C4E18"/>
    <w:rsid w:val="003C56E2"/>
    <w:rsid w:val="003E4B39"/>
    <w:rsid w:val="003F614F"/>
    <w:rsid w:val="0041614A"/>
    <w:rsid w:val="004344B0"/>
    <w:rsid w:val="004354A5"/>
    <w:rsid w:val="00457A20"/>
    <w:rsid w:val="00462A7A"/>
    <w:rsid w:val="00463EE5"/>
    <w:rsid w:val="0047674B"/>
    <w:rsid w:val="004933E8"/>
    <w:rsid w:val="004A1767"/>
    <w:rsid w:val="004D2698"/>
    <w:rsid w:val="004F32B3"/>
    <w:rsid w:val="004F5AAA"/>
    <w:rsid w:val="004F7B18"/>
    <w:rsid w:val="00507C2D"/>
    <w:rsid w:val="00513DCA"/>
    <w:rsid w:val="0051639C"/>
    <w:rsid w:val="00526ADA"/>
    <w:rsid w:val="00556387"/>
    <w:rsid w:val="00584C01"/>
    <w:rsid w:val="005A0955"/>
    <w:rsid w:val="005A4BEF"/>
    <w:rsid w:val="005B3262"/>
    <w:rsid w:val="005C0D7A"/>
    <w:rsid w:val="005D3569"/>
    <w:rsid w:val="005E25C5"/>
    <w:rsid w:val="005E3ADA"/>
    <w:rsid w:val="005F26A1"/>
    <w:rsid w:val="005F3D24"/>
    <w:rsid w:val="00623BCF"/>
    <w:rsid w:val="006755C0"/>
    <w:rsid w:val="006933E2"/>
    <w:rsid w:val="00695E35"/>
    <w:rsid w:val="006B4BF5"/>
    <w:rsid w:val="006B5192"/>
    <w:rsid w:val="006C5C47"/>
    <w:rsid w:val="006D6779"/>
    <w:rsid w:val="006E18F6"/>
    <w:rsid w:val="006E1A84"/>
    <w:rsid w:val="006E2533"/>
    <w:rsid w:val="00700501"/>
    <w:rsid w:val="00701ED5"/>
    <w:rsid w:val="007134CE"/>
    <w:rsid w:val="00730B41"/>
    <w:rsid w:val="007617B1"/>
    <w:rsid w:val="0077210F"/>
    <w:rsid w:val="00772716"/>
    <w:rsid w:val="007A16AE"/>
    <w:rsid w:val="007B4ECA"/>
    <w:rsid w:val="007E64B5"/>
    <w:rsid w:val="007F0775"/>
    <w:rsid w:val="007F59F7"/>
    <w:rsid w:val="00841791"/>
    <w:rsid w:val="00857BCE"/>
    <w:rsid w:val="00886B15"/>
    <w:rsid w:val="00892A68"/>
    <w:rsid w:val="00895C5F"/>
    <w:rsid w:val="008F595E"/>
    <w:rsid w:val="008F78AA"/>
    <w:rsid w:val="00907278"/>
    <w:rsid w:val="00930003"/>
    <w:rsid w:val="00933733"/>
    <w:rsid w:val="00981235"/>
    <w:rsid w:val="00984274"/>
    <w:rsid w:val="0099767B"/>
    <w:rsid w:val="00997E63"/>
    <w:rsid w:val="009A1144"/>
    <w:rsid w:val="009A266F"/>
    <w:rsid w:val="009A3296"/>
    <w:rsid w:val="009A6EE2"/>
    <w:rsid w:val="009B23D8"/>
    <w:rsid w:val="009B2E39"/>
    <w:rsid w:val="009E04CD"/>
    <w:rsid w:val="009E40EC"/>
    <w:rsid w:val="009E65F6"/>
    <w:rsid w:val="009E7E5D"/>
    <w:rsid w:val="009F5F66"/>
    <w:rsid w:val="009F637F"/>
    <w:rsid w:val="00A54DBC"/>
    <w:rsid w:val="00A66D1F"/>
    <w:rsid w:val="00A84699"/>
    <w:rsid w:val="00A85260"/>
    <w:rsid w:val="00A955FA"/>
    <w:rsid w:val="00A976A0"/>
    <w:rsid w:val="00AB36A9"/>
    <w:rsid w:val="00AE534F"/>
    <w:rsid w:val="00B00393"/>
    <w:rsid w:val="00B1042A"/>
    <w:rsid w:val="00B54FCF"/>
    <w:rsid w:val="00B94894"/>
    <w:rsid w:val="00B97014"/>
    <w:rsid w:val="00BA0A84"/>
    <w:rsid w:val="00BB50DF"/>
    <w:rsid w:val="00BC3A3C"/>
    <w:rsid w:val="00BC5968"/>
    <w:rsid w:val="00BC7ABE"/>
    <w:rsid w:val="00BD3A5C"/>
    <w:rsid w:val="00BD752E"/>
    <w:rsid w:val="00BE4A72"/>
    <w:rsid w:val="00BE5119"/>
    <w:rsid w:val="00BF6F03"/>
    <w:rsid w:val="00C33C87"/>
    <w:rsid w:val="00C74A51"/>
    <w:rsid w:val="00C75C49"/>
    <w:rsid w:val="00C77F29"/>
    <w:rsid w:val="00C85628"/>
    <w:rsid w:val="00C90506"/>
    <w:rsid w:val="00C96CF9"/>
    <w:rsid w:val="00CB3BF2"/>
    <w:rsid w:val="00CB5738"/>
    <w:rsid w:val="00CD6469"/>
    <w:rsid w:val="00CE2264"/>
    <w:rsid w:val="00CE2A65"/>
    <w:rsid w:val="00CE2F96"/>
    <w:rsid w:val="00CF047C"/>
    <w:rsid w:val="00D109C3"/>
    <w:rsid w:val="00D11CD4"/>
    <w:rsid w:val="00D1602A"/>
    <w:rsid w:val="00D400BB"/>
    <w:rsid w:val="00D42783"/>
    <w:rsid w:val="00D47F47"/>
    <w:rsid w:val="00D51F3F"/>
    <w:rsid w:val="00D7055D"/>
    <w:rsid w:val="00DB7094"/>
    <w:rsid w:val="00DC35C5"/>
    <w:rsid w:val="00DD0924"/>
    <w:rsid w:val="00DD1A19"/>
    <w:rsid w:val="00DD3C81"/>
    <w:rsid w:val="00DD42EC"/>
    <w:rsid w:val="00DD7880"/>
    <w:rsid w:val="00DE1634"/>
    <w:rsid w:val="00DE3C6A"/>
    <w:rsid w:val="00DF3914"/>
    <w:rsid w:val="00E22A7B"/>
    <w:rsid w:val="00E23B6D"/>
    <w:rsid w:val="00E32C71"/>
    <w:rsid w:val="00E349DA"/>
    <w:rsid w:val="00E42588"/>
    <w:rsid w:val="00E45FEB"/>
    <w:rsid w:val="00E463F5"/>
    <w:rsid w:val="00E872DE"/>
    <w:rsid w:val="00E96068"/>
    <w:rsid w:val="00EA585B"/>
    <w:rsid w:val="00EB5668"/>
    <w:rsid w:val="00EC71DD"/>
    <w:rsid w:val="00F06A54"/>
    <w:rsid w:val="00F11A81"/>
    <w:rsid w:val="00F40985"/>
    <w:rsid w:val="00F55F6F"/>
    <w:rsid w:val="00F61C22"/>
    <w:rsid w:val="00F7094C"/>
    <w:rsid w:val="00F84C96"/>
    <w:rsid w:val="00F90527"/>
    <w:rsid w:val="00FA0E37"/>
    <w:rsid w:val="00FA3BFF"/>
    <w:rsid w:val="00FB0DCB"/>
    <w:rsid w:val="00FB4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DCB"/>
  </w:style>
  <w:style w:type="paragraph" w:styleId="Heading1">
    <w:name w:val="heading 1"/>
    <w:basedOn w:val="Normal"/>
    <w:next w:val="Normal"/>
    <w:qFormat/>
    <w:rsid w:val="00FB0DCB"/>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0DCB"/>
    <w:pPr>
      <w:ind w:left="360"/>
    </w:pPr>
    <w:rPr>
      <w:sz w:val="24"/>
    </w:rPr>
  </w:style>
  <w:style w:type="paragraph" w:styleId="Header">
    <w:name w:val="header"/>
    <w:basedOn w:val="Normal"/>
    <w:rsid w:val="00FB0DCB"/>
    <w:pPr>
      <w:tabs>
        <w:tab w:val="center" w:pos="4320"/>
        <w:tab w:val="right" w:pos="8640"/>
      </w:tabs>
    </w:pPr>
  </w:style>
  <w:style w:type="paragraph" w:styleId="Footer">
    <w:name w:val="footer"/>
    <w:basedOn w:val="Normal"/>
    <w:link w:val="FooterChar"/>
    <w:uiPriority w:val="99"/>
    <w:rsid w:val="00FB0DCB"/>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PlainText">
    <w:name w:val="Plain Text"/>
    <w:basedOn w:val="Normal"/>
    <w:link w:val="PlainTextChar"/>
    <w:uiPriority w:val="99"/>
    <w:unhideWhenUsed/>
    <w:rsid w:val="00B1042A"/>
    <w:rPr>
      <w:rFonts w:ascii="Consolas" w:eastAsia="Calibri" w:hAnsi="Consolas"/>
      <w:sz w:val="21"/>
      <w:szCs w:val="21"/>
    </w:rPr>
  </w:style>
  <w:style w:type="character" w:customStyle="1" w:styleId="PlainTextChar">
    <w:name w:val="Plain Text Char"/>
    <w:basedOn w:val="DefaultParagraphFont"/>
    <w:link w:val="PlainText"/>
    <w:uiPriority w:val="99"/>
    <w:rsid w:val="00B1042A"/>
    <w:rPr>
      <w:rFonts w:ascii="Consolas" w:eastAsia="Calibri" w:hAnsi="Consolas"/>
      <w:sz w:val="21"/>
      <w:szCs w:val="21"/>
    </w:rPr>
  </w:style>
  <w:style w:type="character" w:styleId="FollowedHyperlink">
    <w:name w:val="FollowedHyperlink"/>
    <w:basedOn w:val="DefaultParagraphFont"/>
    <w:rsid w:val="00CD64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005045">
      <w:bodyDiv w:val="1"/>
      <w:marLeft w:val="0"/>
      <w:marRight w:val="0"/>
      <w:marTop w:val="0"/>
      <w:marBottom w:val="0"/>
      <w:divBdr>
        <w:top w:val="none" w:sz="0" w:space="0" w:color="auto"/>
        <w:left w:val="none" w:sz="0" w:space="0" w:color="auto"/>
        <w:bottom w:val="none" w:sz="0" w:space="0" w:color="auto"/>
        <w:right w:val="none" w:sz="0" w:space="0" w:color="auto"/>
      </w:divBdr>
    </w:div>
    <w:div w:id="1099521375">
      <w:bodyDiv w:val="1"/>
      <w:marLeft w:val="0"/>
      <w:marRight w:val="0"/>
      <w:marTop w:val="0"/>
      <w:marBottom w:val="0"/>
      <w:divBdr>
        <w:top w:val="none" w:sz="0" w:space="0" w:color="auto"/>
        <w:left w:val="none" w:sz="0" w:space="0" w:color="auto"/>
        <w:bottom w:val="none" w:sz="0" w:space="0" w:color="auto"/>
        <w:right w:val="none" w:sz="0" w:space="0" w:color="auto"/>
      </w:divBdr>
    </w:div>
    <w:div w:id="11697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venue-pa.custhelp.com"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venue.state.pa.us/portal/server.pt/document/755531/rev-717_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secure/data/061/chapter32/s32.25.html" TargetMode="External"/><Relationship Id="rId5" Type="http://schemas.openxmlformats.org/officeDocument/2006/relationships/footnotes" Target="footnotes.xml"/><Relationship Id="rId15" Type="http://schemas.openxmlformats.org/officeDocument/2006/relationships/hyperlink" Target="mailto:ra-OCMO@state.pa.us" TargetMode="External"/><Relationship Id="rId10" Type="http://schemas.openxmlformats.org/officeDocument/2006/relationships/hyperlink" Target="http://www.pacode.com/secure/data/052/chapter54/s54.4.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ra-OCMO@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2011-05-27T16:38:00Z</cp:lastPrinted>
  <dcterms:created xsi:type="dcterms:W3CDTF">2011-05-27T15:50:00Z</dcterms:created>
  <dcterms:modified xsi:type="dcterms:W3CDTF">2011-05-27T16:38:00Z</dcterms:modified>
</cp:coreProperties>
</file>