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C74A51">
        <w:trPr>
          <w:trHeight w:val="990"/>
        </w:trPr>
        <w:tc>
          <w:tcPr>
            <w:tcW w:w="1363" w:type="dxa"/>
          </w:tcPr>
          <w:p w:rsidR="00C74A51" w:rsidRDefault="00D6076C">
            <w:pPr>
              <w:rPr>
                <w:sz w:val="24"/>
              </w:rPr>
            </w:pPr>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rsidR="00C74A51" w:rsidRDefault="00C74A51">
            <w:pPr>
              <w:suppressAutoHyphens/>
              <w:spacing w:line="204" w:lineRule="auto"/>
              <w:jc w:val="center"/>
              <w:rPr>
                <w:rFonts w:ascii="Arial" w:hAnsi="Arial"/>
                <w:color w:val="000080"/>
                <w:spacing w:val="-3"/>
                <w:sz w:val="26"/>
              </w:rPr>
            </w:pPr>
          </w:p>
          <w:p w:rsidR="00C74A51" w:rsidRDefault="00C74A5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C74A51" w:rsidRDefault="00C74A5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C74A51" w:rsidRDefault="00C74A51">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pPr>
              <w:jc w:val="right"/>
              <w:rPr>
                <w:rFonts w:ascii="Arial" w:hAnsi="Arial"/>
                <w:sz w:val="12"/>
              </w:rPr>
            </w:pPr>
            <w:r>
              <w:rPr>
                <w:rFonts w:ascii="Arial" w:hAnsi="Arial"/>
                <w:b/>
                <w:spacing w:val="-1"/>
                <w:sz w:val="12"/>
              </w:rPr>
              <w:t>IN REPLY PLEASE REFER TO OUR FILE</w:t>
            </w:r>
          </w:p>
        </w:tc>
      </w:tr>
    </w:tbl>
    <w:p w:rsidR="00C74A51" w:rsidRDefault="00C74A51">
      <w:pPr>
        <w:rPr>
          <w:sz w:val="24"/>
        </w:rPr>
        <w:sectPr w:rsidR="00C74A51">
          <w:footerReference w:type="default" r:id="rId9"/>
          <w:pgSz w:w="12240" w:h="15840"/>
          <w:pgMar w:top="504" w:right="1440" w:bottom="1440" w:left="1440" w:header="720" w:footer="720" w:gutter="0"/>
          <w:cols w:space="720"/>
        </w:sectPr>
      </w:pPr>
    </w:p>
    <w:p w:rsidR="00660392" w:rsidRDefault="00DE65B5" w:rsidP="00D31FDE">
      <w:pPr>
        <w:jc w:val="center"/>
        <w:rPr>
          <w:sz w:val="24"/>
          <w:szCs w:val="24"/>
        </w:rPr>
      </w:pPr>
      <w:r>
        <w:rPr>
          <w:sz w:val="24"/>
          <w:szCs w:val="24"/>
        </w:rPr>
        <w:lastRenderedPageBreak/>
        <w:t>MARCH 25, 2011</w:t>
      </w:r>
    </w:p>
    <w:p w:rsidR="00DE65B5" w:rsidRPr="001E42C1" w:rsidRDefault="00DE65B5" w:rsidP="00D31FDE">
      <w:pPr>
        <w:jc w:val="center"/>
        <w:rPr>
          <w:sz w:val="24"/>
          <w:szCs w:val="24"/>
        </w:rPr>
      </w:pPr>
    </w:p>
    <w:p w:rsidR="00DE4640" w:rsidRPr="001E42C1" w:rsidRDefault="00DE4640" w:rsidP="00DE4640">
      <w:pPr>
        <w:tabs>
          <w:tab w:val="center" w:pos="0"/>
          <w:tab w:val="left" w:pos="720"/>
        </w:tabs>
        <w:jc w:val="center"/>
        <w:rPr>
          <w:sz w:val="24"/>
          <w:szCs w:val="24"/>
        </w:rPr>
      </w:pPr>
    </w:p>
    <w:p w:rsidR="00DE4640" w:rsidRDefault="00DE4640" w:rsidP="00A22CB9">
      <w:pPr>
        <w:tabs>
          <w:tab w:val="center" w:pos="0"/>
          <w:tab w:val="left" w:pos="720"/>
        </w:tabs>
        <w:rPr>
          <w:sz w:val="24"/>
          <w:szCs w:val="24"/>
        </w:rPr>
      </w:pPr>
      <w:r w:rsidRPr="001E42C1">
        <w:rPr>
          <w:sz w:val="24"/>
          <w:szCs w:val="24"/>
        </w:rPr>
        <w:t>To:</w:t>
      </w:r>
      <w:r w:rsidRPr="001E42C1">
        <w:rPr>
          <w:sz w:val="24"/>
          <w:szCs w:val="24"/>
        </w:rPr>
        <w:tab/>
      </w:r>
      <w:r w:rsidR="00CE0A86" w:rsidRPr="001E42C1">
        <w:rPr>
          <w:sz w:val="24"/>
          <w:szCs w:val="24"/>
        </w:rPr>
        <w:tab/>
      </w:r>
      <w:r w:rsidR="006A6D77" w:rsidRPr="001E42C1">
        <w:rPr>
          <w:sz w:val="24"/>
          <w:szCs w:val="24"/>
        </w:rPr>
        <w:t>Electric Generation Suppliers</w:t>
      </w:r>
      <w:r w:rsidR="00EE51E5">
        <w:rPr>
          <w:sz w:val="24"/>
          <w:szCs w:val="24"/>
        </w:rPr>
        <w:t xml:space="preserve"> and Electric Distribution Companies</w:t>
      </w:r>
    </w:p>
    <w:p w:rsidR="00EE51E5" w:rsidRDefault="00EE51E5" w:rsidP="00A22CB9">
      <w:pPr>
        <w:tabs>
          <w:tab w:val="center" w:pos="0"/>
          <w:tab w:val="left" w:pos="720"/>
        </w:tabs>
        <w:rPr>
          <w:sz w:val="24"/>
          <w:szCs w:val="24"/>
        </w:rPr>
      </w:pPr>
    </w:p>
    <w:p w:rsidR="00EE51E5" w:rsidRPr="001E42C1" w:rsidRDefault="00EE51E5" w:rsidP="00A22CB9">
      <w:pPr>
        <w:tabs>
          <w:tab w:val="center" w:pos="0"/>
          <w:tab w:val="left" w:pos="720"/>
        </w:tabs>
        <w:rPr>
          <w:sz w:val="24"/>
          <w:szCs w:val="24"/>
        </w:rPr>
      </w:pPr>
      <w:r>
        <w:rPr>
          <w:sz w:val="24"/>
          <w:szCs w:val="24"/>
        </w:rPr>
        <w:t>Re:</w:t>
      </w:r>
      <w:r>
        <w:rPr>
          <w:sz w:val="24"/>
          <w:szCs w:val="24"/>
        </w:rPr>
        <w:tab/>
      </w:r>
      <w:r>
        <w:rPr>
          <w:sz w:val="24"/>
          <w:szCs w:val="24"/>
        </w:rPr>
        <w:tab/>
      </w:r>
      <w:r w:rsidR="00087BCF">
        <w:rPr>
          <w:sz w:val="24"/>
          <w:szCs w:val="24"/>
        </w:rPr>
        <w:t>Requirements Applicable to Mixed Meter Scenarios</w:t>
      </w:r>
    </w:p>
    <w:p w:rsidR="00DE4640" w:rsidRPr="001E42C1" w:rsidRDefault="00DE4640" w:rsidP="00DE4640">
      <w:pPr>
        <w:tabs>
          <w:tab w:val="center" w:pos="0"/>
          <w:tab w:val="left" w:pos="720"/>
        </w:tabs>
        <w:rPr>
          <w:sz w:val="24"/>
          <w:szCs w:val="24"/>
        </w:rPr>
      </w:pPr>
    </w:p>
    <w:p w:rsidR="003C47AB" w:rsidRPr="001E42C1" w:rsidRDefault="003C47AB" w:rsidP="003C47AB">
      <w:pPr>
        <w:tabs>
          <w:tab w:val="center" w:pos="0"/>
          <w:tab w:val="left" w:pos="720"/>
        </w:tabs>
        <w:rPr>
          <w:sz w:val="24"/>
          <w:szCs w:val="24"/>
        </w:rPr>
      </w:pPr>
      <w:r w:rsidRPr="001E42C1">
        <w:rPr>
          <w:sz w:val="24"/>
          <w:szCs w:val="24"/>
        </w:rPr>
        <w:t>Docket No.:</w:t>
      </w:r>
      <w:r w:rsidRPr="001E42C1">
        <w:rPr>
          <w:sz w:val="24"/>
          <w:szCs w:val="24"/>
        </w:rPr>
        <w:tab/>
      </w:r>
      <w:r w:rsidR="00172160" w:rsidRPr="001E42C1">
        <w:rPr>
          <w:sz w:val="24"/>
          <w:szCs w:val="24"/>
        </w:rPr>
        <w:t>M-</w:t>
      </w:r>
      <w:r w:rsidR="00087BCF">
        <w:rPr>
          <w:sz w:val="24"/>
          <w:szCs w:val="24"/>
        </w:rPr>
        <w:t>2009-2082042</w:t>
      </w:r>
    </w:p>
    <w:p w:rsidR="003C47AB" w:rsidRPr="001E42C1" w:rsidRDefault="003C47AB" w:rsidP="003C47AB">
      <w:pPr>
        <w:tabs>
          <w:tab w:val="center" w:pos="0"/>
          <w:tab w:val="left" w:pos="720"/>
        </w:tabs>
        <w:rPr>
          <w:sz w:val="24"/>
          <w:szCs w:val="24"/>
        </w:rPr>
      </w:pPr>
    </w:p>
    <w:p w:rsidR="00EE51E5" w:rsidRDefault="003C47AB" w:rsidP="00EE51E5">
      <w:pPr>
        <w:tabs>
          <w:tab w:val="center" w:pos="0"/>
          <w:tab w:val="left" w:pos="720"/>
        </w:tabs>
        <w:rPr>
          <w:sz w:val="24"/>
          <w:szCs w:val="24"/>
        </w:rPr>
      </w:pPr>
      <w:r w:rsidRPr="001E42C1">
        <w:rPr>
          <w:sz w:val="24"/>
          <w:szCs w:val="24"/>
        </w:rPr>
        <w:tab/>
      </w:r>
    </w:p>
    <w:p w:rsidR="009B38C3" w:rsidRDefault="00FF6A41" w:rsidP="00EE51E5">
      <w:pPr>
        <w:ind w:firstLine="720"/>
        <w:rPr>
          <w:sz w:val="24"/>
          <w:szCs w:val="24"/>
        </w:rPr>
      </w:pPr>
      <w:r>
        <w:rPr>
          <w:sz w:val="24"/>
          <w:szCs w:val="24"/>
        </w:rPr>
        <w:t>The Commission is aware of</w:t>
      </w:r>
      <w:r w:rsidR="00D507F7">
        <w:rPr>
          <w:sz w:val="24"/>
          <w:szCs w:val="24"/>
        </w:rPr>
        <w:t xml:space="preserve"> questions that have arisen about whether </w:t>
      </w:r>
      <w:r w:rsidR="00E97844">
        <w:rPr>
          <w:sz w:val="24"/>
          <w:szCs w:val="24"/>
        </w:rPr>
        <w:t xml:space="preserve">an </w:t>
      </w:r>
      <w:r w:rsidR="00D507F7">
        <w:rPr>
          <w:sz w:val="24"/>
          <w:szCs w:val="24"/>
        </w:rPr>
        <w:t xml:space="preserve">electric generation supplier (EGS) </w:t>
      </w:r>
      <w:r w:rsidR="000A4B8D">
        <w:rPr>
          <w:sz w:val="24"/>
          <w:szCs w:val="24"/>
        </w:rPr>
        <w:t xml:space="preserve">must be licensed to </w:t>
      </w:r>
      <w:r w:rsidR="00087BCF">
        <w:rPr>
          <w:sz w:val="24"/>
          <w:szCs w:val="24"/>
        </w:rPr>
        <w:t xml:space="preserve">serve residential or small </w:t>
      </w:r>
      <w:r w:rsidR="00163861">
        <w:rPr>
          <w:sz w:val="24"/>
          <w:szCs w:val="24"/>
        </w:rPr>
        <w:t>commercial</w:t>
      </w:r>
      <w:r w:rsidR="007853E1">
        <w:rPr>
          <w:sz w:val="24"/>
          <w:szCs w:val="24"/>
        </w:rPr>
        <w:t xml:space="preserve"> </w:t>
      </w:r>
      <w:r w:rsidR="00087BCF">
        <w:rPr>
          <w:sz w:val="24"/>
          <w:szCs w:val="24"/>
        </w:rPr>
        <w:t>customers</w:t>
      </w:r>
      <w:r w:rsidR="007853E1">
        <w:rPr>
          <w:sz w:val="24"/>
          <w:szCs w:val="24"/>
        </w:rPr>
        <w:t xml:space="preserve"> </w:t>
      </w:r>
      <w:r w:rsidR="00E97844">
        <w:rPr>
          <w:sz w:val="24"/>
          <w:szCs w:val="24"/>
        </w:rPr>
        <w:t xml:space="preserve">in mixed meter situations.  </w:t>
      </w:r>
      <w:r w:rsidR="009B38C3">
        <w:rPr>
          <w:sz w:val="24"/>
          <w:szCs w:val="24"/>
        </w:rPr>
        <w:t>These questions have been raised and discussed during conference calls of the Committee Handling Activities for Retail Growth in Electricity, which are hosted by our Office of Competitive Market Oversight (OCMO).</w:t>
      </w:r>
    </w:p>
    <w:p w:rsidR="009B38C3" w:rsidRDefault="009B38C3" w:rsidP="00EE51E5">
      <w:pPr>
        <w:ind w:firstLine="720"/>
        <w:rPr>
          <w:sz w:val="24"/>
          <w:szCs w:val="24"/>
        </w:rPr>
      </w:pPr>
    </w:p>
    <w:p w:rsidR="009702A1" w:rsidRDefault="00E97844" w:rsidP="00EE51E5">
      <w:pPr>
        <w:ind w:firstLine="720"/>
        <w:rPr>
          <w:sz w:val="24"/>
          <w:szCs w:val="24"/>
        </w:rPr>
      </w:pPr>
      <w:r>
        <w:rPr>
          <w:sz w:val="24"/>
          <w:szCs w:val="24"/>
        </w:rPr>
        <w:t xml:space="preserve">The term “mixed meter,” as used in the context of these inquiries, refers to a situation where an EGS, which is licensed to serve </w:t>
      </w:r>
      <w:r w:rsidR="00163861">
        <w:rPr>
          <w:sz w:val="24"/>
          <w:szCs w:val="24"/>
        </w:rPr>
        <w:t>large commercial</w:t>
      </w:r>
      <w:r w:rsidR="00DE47CD">
        <w:rPr>
          <w:sz w:val="24"/>
          <w:szCs w:val="24"/>
        </w:rPr>
        <w:t xml:space="preserve">, </w:t>
      </w:r>
      <w:r>
        <w:rPr>
          <w:sz w:val="24"/>
          <w:szCs w:val="24"/>
        </w:rPr>
        <w:t xml:space="preserve">industrial </w:t>
      </w:r>
      <w:r w:rsidR="00DE47CD">
        <w:rPr>
          <w:sz w:val="24"/>
          <w:szCs w:val="24"/>
        </w:rPr>
        <w:t xml:space="preserve">or governmental </w:t>
      </w:r>
      <w:r>
        <w:rPr>
          <w:sz w:val="24"/>
          <w:szCs w:val="24"/>
        </w:rPr>
        <w:t>customers</w:t>
      </w:r>
      <w:r w:rsidR="00DE47CD">
        <w:rPr>
          <w:sz w:val="24"/>
          <w:szCs w:val="24"/>
        </w:rPr>
        <w:t>, also provides service through multiple meters to one or more residential or small commercial customers.</w:t>
      </w:r>
      <w:r w:rsidR="00CB22CE">
        <w:rPr>
          <w:sz w:val="24"/>
          <w:szCs w:val="24"/>
        </w:rPr>
        <w:t xml:space="preserve">  </w:t>
      </w:r>
      <w:r w:rsidR="00DE47CD">
        <w:rPr>
          <w:sz w:val="24"/>
          <w:szCs w:val="24"/>
        </w:rPr>
        <w:t>The</w:t>
      </w:r>
      <w:r w:rsidR="004B354B">
        <w:rPr>
          <w:sz w:val="24"/>
          <w:szCs w:val="24"/>
        </w:rPr>
        <w:t xml:space="preserve"> EGS </w:t>
      </w:r>
      <w:r w:rsidR="00FF75E7">
        <w:rPr>
          <w:sz w:val="24"/>
          <w:szCs w:val="24"/>
        </w:rPr>
        <w:t>has c</w:t>
      </w:r>
      <w:r w:rsidR="004B354B">
        <w:rPr>
          <w:sz w:val="24"/>
          <w:szCs w:val="24"/>
        </w:rPr>
        <w:t>ontracted with the large commercial</w:t>
      </w:r>
      <w:r w:rsidR="00DE47CD">
        <w:rPr>
          <w:sz w:val="24"/>
          <w:szCs w:val="24"/>
        </w:rPr>
        <w:t>,</w:t>
      </w:r>
      <w:r w:rsidR="004B354B">
        <w:rPr>
          <w:sz w:val="24"/>
          <w:szCs w:val="24"/>
        </w:rPr>
        <w:t xml:space="preserve"> industrial </w:t>
      </w:r>
      <w:r w:rsidR="00DE47CD">
        <w:rPr>
          <w:sz w:val="24"/>
          <w:szCs w:val="24"/>
        </w:rPr>
        <w:t xml:space="preserve">or governmental </w:t>
      </w:r>
      <w:r w:rsidR="004B354B">
        <w:rPr>
          <w:sz w:val="24"/>
          <w:szCs w:val="24"/>
        </w:rPr>
        <w:t xml:space="preserve">customer, </w:t>
      </w:r>
      <w:r w:rsidR="00DE47CD">
        <w:rPr>
          <w:sz w:val="24"/>
          <w:szCs w:val="24"/>
        </w:rPr>
        <w:t>and the service provided to</w:t>
      </w:r>
      <w:r w:rsidR="004B354B">
        <w:rPr>
          <w:sz w:val="24"/>
          <w:szCs w:val="24"/>
        </w:rPr>
        <w:t xml:space="preserve"> residential or small commercial customers </w:t>
      </w:r>
      <w:r w:rsidR="009E3DCB">
        <w:rPr>
          <w:sz w:val="24"/>
          <w:szCs w:val="24"/>
        </w:rPr>
        <w:t xml:space="preserve">through separate meters </w:t>
      </w:r>
      <w:r w:rsidR="00DE47CD">
        <w:rPr>
          <w:sz w:val="24"/>
          <w:szCs w:val="24"/>
        </w:rPr>
        <w:t xml:space="preserve">is part of or incidental to that contract or account.  </w:t>
      </w:r>
    </w:p>
    <w:p w:rsidR="00175F52" w:rsidRDefault="00175F52" w:rsidP="00EE51E5">
      <w:pPr>
        <w:ind w:firstLine="720"/>
        <w:rPr>
          <w:sz w:val="24"/>
          <w:szCs w:val="24"/>
        </w:rPr>
      </w:pPr>
    </w:p>
    <w:p w:rsidR="00175F52" w:rsidRDefault="00175F52" w:rsidP="00EE51E5">
      <w:pPr>
        <w:ind w:firstLine="720"/>
        <w:rPr>
          <w:sz w:val="24"/>
          <w:szCs w:val="24"/>
        </w:rPr>
      </w:pPr>
      <w:r>
        <w:rPr>
          <w:sz w:val="24"/>
          <w:szCs w:val="24"/>
        </w:rPr>
        <w:t>Several examples of mixed meter scenarios have been provided, including the following:</w:t>
      </w:r>
    </w:p>
    <w:p w:rsidR="00175F52" w:rsidRDefault="00175F52" w:rsidP="00EE51E5">
      <w:pPr>
        <w:ind w:firstLine="720"/>
        <w:rPr>
          <w:sz w:val="24"/>
          <w:szCs w:val="24"/>
        </w:rPr>
      </w:pPr>
    </w:p>
    <w:p w:rsidR="00175F52" w:rsidRDefault="00175F52" w:rsidP="00175F52">
      <w:pPr>
        <w:pStyle w:val="ListParagraph"/>
        <w:numPr>
          <w:ilvl w:val="0"/>
          <w:numId w:val="12"/>
        </w:numPr>
        <w:rPr>
          <w:sz w:val="24"/>
        </w:rPr>
      </w:pPr>
      <w:r>
        <w:rPr>
          <w:sz w:val="24"/>
        </w:rPr>
        <w:t>An EGS contracts with a university to provide electric supply through multiple meters</w:t>
      </w:r>
      <w:r w:rsidR="00FF75E7">
        <w:rPr>
          <w:sz w:val="24"/>
        </w:rPr>
        <w:t>,</w:t>
      </w:r>
      <w:r>
        <w:rPr>
          <w:sz w:val="24"/>
        </w:rPr>
        <w:t xml:space="preserve"> and the president’s home is served as part of that account through a residential meter;</w:t>
      </w:r>
    </w:p>
    <w:p w:rsidR="00175F52" w:rsidRPr="00175F52" w:rsidRDefault="00175F52" w:rsidP="00175F52">
      <w:pPr>
        <w:ind w:left="720"/>
        <w:rPr>
          <w:sz w:val="24"/>
        </w:rPr>
      </w:pPr>
    </w:p>
    <w:p w:rsidR="00175F52" w:rsidRDefault="00175F52" w:rsidP="00175F52">
      <w:pPr>
        <w:pStyle w:val="ListParagraph"/>
        <w:numPr>
          <w:ilvl w:val="0"/>
          <w:numId w:val="12"/>
        </w:numPr>
        <w:rPr>
          <w:sz w:val="24"/>
        </w:rPr>
      </w:pPr>
      <w:r>
        <w:rPr>
          <w:sz w:val="24"/>
        </w:rPr>
        <w:t>An EGS</w:t>
      </w:r>
      <w:r w:rsidR="008620E5">
        <w:rPr>
          <w:sz w:val="24"/>
        </w:rPr>
        <w:t xml:space="preserve"> contracts with a military base </w:t>
      </w:r>
      <w:r>
        <w:rPr>
          <w:sz w:val="24"/>
        </w:rPr>
        <w:t>and provides supply through multiple meters including commercial, such as hospitals and storage depots, and residential, such as dwellings for commanding officers;</w:t>
      </w:r>
    </w:p>
    <w:p w:rsidR="00175F52" w:rsidRPr="00175F52" w:rsidRDefault="00175F52" w:rsidP="00175F52">
      <w:pPr>
        <w:pStyle w:val="ListParagraph"/>
        <w:rPr>
          <w:sz w:val="24"/>
        </w:rPr>
      </w:pPr>
    </w:p>
    <w:p w:rsidR="00175F52" w:rsidRDefault="00175F52" w:rsidP="00175F52">
      <w:pPr>
        <w:pStyle w:val="ListParagraph"/>
        <w:numPr>
          <w:ilvl w:val="0"/>
          <w:numId w:val="12"/>
        </w:numPr>
        <w:rPr>
          <w:sz w:val="24"/>
        </w:rPr>
      </w:pPr>
      <w:r>
        <w:rPr>
          <w:sz w:val="24"/>
        </w:rPr>
        <w:t xml:space="preserve">An EGS contracts with a parish and the rectory is served as part of </w:t>
      </w:r>
      <w:r w:rsidR="00FF75E7">
        <w:rPr>
          <w:sz w:val="24"/>
        </w:rPr>
        <w:t>the</w:t>
      </w:r>
      <w:r>
        <w:rPr>
          <w:sz w:val="24"/>
        </w:rPr>
        <w:t xml:space="preserve"> account;</w:t>
      </w:r>
    </w:p>
    <w:p w:rsidR="00175F52" w:rsidRPr="00175F52" w:rsidRDefault="00175F52" w:rsidP="00175F52">
      <w:pPr>
        <w:pStyle w:val="ListParagraph"/>
        <w:rPr>
          <w:sz w:val="24"/>
        </w:rPr>
      </w:pPr>
    </w:p>
    <w:p w:rsidR="00175F52" w:rsidRDefault="00175F52" w:rsidP="00175F52">
      <w:pPr>
        <w:pStyle w:val="ListParagraph"/>
        <w:numPr>
          <w:ilvl w:val="0"/>
          <w:numId w:val="12"/>
        </w:numPr>
        <w:rPr>
          <w:sz w:val="24"/>
        </w:rPr>
      </w:pPr>
      <w:r>
        <w:rPr>
          <w:sz w:val="24"/>
        </w:rPr>
        <w:t xml:space="preserve">An EGS contracts with a </w:t>
      </w:r>
      <w:r w:rsidR="008620E5">
        <w:rPr>
          <w:sz w:val="24"/>
        </w:rPr>
        <w:t>bank that has several branches</w:t>
      </w:r>
      <w:r w:rsidR="00FF75E7">
        <w:rPr>
          <w:sz w:val="24"/>
        </w:rPr>
        <w:t xml:space="preserve"> and</w:t>
      </w:r>
      <w:r w:rsidR="008620E5">
        <w:rPr>
          <w:sz w:val="24"/>
        </w:rPr>
        <w:t xml:space="preserve"> receive</w:t>
      </w:r>
      <w:r w:rsidR="00FF75E7">
        <w:rPr>
          <w:sz w:val="24"/>
        </w:rPr>
        <w:t>s</w:t>
      </w:r>
      <w:r w:rsidR="008620E5">
        <w:rPr>
          <w:sz w:val="24"/>
        </w:rPr>
        <w:t xml:space="preserve"> service as a large commercial custome</w:t>
      </w:r>
      <w:r w:rsidR="00FF75E7">
        <w:rPr>
          <w:sz w:val="24"/>
        </w:rPr>
        <w:t>r,</w:t>
      </w:r>
      <w:r w:rsidR="008620E5">
        <w:rPr>
          <w:sz w:val="24"/>
        </w:rPr>
        <w:t xml:space="preserve"> while automated teller machines are metered as small commercial customers; and</w:t>
      </w:r>
    </w:p>
    <w:p w:rsidR="008620E5" w:rsidRPr="008620E5" w:rsidRDefault="008620E5" w:rsidP="008620E5">
      <w:pPr>
        <w:pStyle w:val="ListParagraph"/>
        <w:rPr>
          <w:sz w:val="24"/>
        </w:rPr>
      </w:pPr>
    </w:p>
    <w:p w:rsidR="008620E5" w:rsidRDefault="008620E5" w:rsidP="00175F52">
      <w:pPr>
        <w:pStyle w:val="ListParagraph"/>
        <w:numPr>
          <w:ilvl w:val="0"/>
          <w:numId w:val="12"/>
        </w:numPr>
        <w:rPr>
          <w:sz w:val="24"/>
        </w:rPr>
      </w:pPr>
      <w:r>
        <w:rPr>
          <w:sz w:val="24"/>
        </w:rPr>
        <w:t>An EGS contracts with an industrial complex that is a large commercial customer</w:t>
      </w:r>
      <w:r w:rsidR="00FF75E7">
        <w:rPr>
          <w:sz w:val="24"/>
        </w:rPr>
        <w:t>,</w:t>
      </w:r>
      <w:r>
        <w:rPr>
          <w:sz w:val="24"/>
        </w:rPr>
        <w:t xml:space="preserve"> </w:t>
      </w:r>
      <w:r w:rsidR="00FF75E7">
        <w:rPr>
          <w:sz w:val="24"/>
        </w:rPr>
        <w:t>with</w:t>
      </w:r>
      <w:r>
        <w:rPr>
          <w:sz w:val="24"/>
        </w:rPr>
        <w:t xml:space="preserve"> maintenance sheds and parking lot lights </w:t>
      </w:r>
      <w:r w:rsidR="00FF75E7">
        <w:rPr>
          <w:sz w:val="24"/>
        </w:rPr>
        <w:t>being</w:t>
      </w:r>
      <w:r>
        <w:rPr>
          <w:sz w:val="24"/>
        </w:rPr>
        <w:t xml:space="preserve"> served through small commercial meters.</w:t>
      </w:r>
    </w:p>
    <w:p w:rsidR="009E3DCB" w:rsidRDefault="009E3DCB" w:rsidP="00EE51E5">
      <w:pPr>
        <w:ind w:firstLine="720"/>
        <w:rPr>
          <w:sz w:val="24"/>
          <w:szCs w:val="24"/>
        </w:rPr>
      </w:pPr>
    </w:p>
    <w:p w:rsidR="009B38C3" w:rsidRDefault="00CB22CE" w:rsidP="00EE51E5">
      <w:pPr>
        <w:ind w:firstLine="720"/>
        <w:rPr>
          <w:sz w:val="24"/>
          <w:szCs w:val="24"/>
        </w:rPr>
      </w:pPr>
      <w:r>
        <w:rPr>
          <w:sz w:val="24"/>
          <w:szCs w:val="24"/>
        </w:rPr>
        <w:t xml:space="preserve">By this </w:t>
      </w:r>
      <w:r w:rsidR="00D358D7">
        <w:rPr>
          <w:sz w:val="24"/>
          <w:szCs w:val="24"/>
        </w:rPr>
        <w:t>Secretarial Letter</w:t>
      </w:r>
      <w:r>
        <w:rPr>
          <w:sz w:val="24"/>
          <w:szCs w:val="24"/>
        </w:rPr>
        <w:t>, we clarify that an EGS licensed to serve large commercial</w:t>
      </w:r>
      <w:r w:rsidR="00FF75E7">
        <w:rPr>
          <w:sz w:val="24"/>
          <w:szCs w:val="24"/>
        </w:rPr>
        <w:t>,</w:t>
      </w:r>
      <w:r>
        <w:rPr>
          <w:sz w:val="24"/>
          <w:szCs w:val="24"/>
        </w:rPr>
        <w:t xml:space="preserve"> industrial </w:t>
      </w:r>
      <w:r w:rsidR="00FF75E7">
        <w:rPr>
          <w:sz w:val="24"/>
          <w:szCs w:val="24"/>
        </w:rPr>
        <w:t xml:space="preserve">or governmental </w:t>
      </w:r>
      <w:r>
        <w:rPr>
          <w:sz w:val="24"/>
          <w:szCs w:val="24"/>
        </w:rPr>
        <w:t xml:space="preserve">customers must also apply for and obtain authority to serve residential </w:t>
      </w:r>
    </w:p>
    <w:p w:rsidR="009B38C3" w:rsidRDefault="009B38C3" w:rsidP="009B38C3">
      <w:pPr>
        <w:rPr>
          <w:sz w:val="24"/>
          <w:szCs w:val="24"/>
        </w:rPr>
      </w:pPr>
    </w:p>
    <w:p w:rsidR="009B38C3" w:rsidRDefault="009B38C3" w:rsidP="009B38C3">
      <w:pPr>
        <w:rPr>
          <w:sz w:val="24"/>
          <w:szCs w:val="24"/>
        </w:rPr>
      </w:pPr>
    </w:p>
    <w:p w:rsidR="009B38C3" w:rsidRDefault="009B38C3" w:rsidP="009B38C3">
      <w:pPr>
        <w:rPr>
          <w:sz w:val="24"/>
          <w:szCs w:val="24"/>
        </w:rPr>
      </w:pPr>
    </w:p>
    <w:p w:rsidR="007853E1" w:rsidRDefault="00CB22CE" w:rsidP="009B38C3">
      <w:pPr>
        <w:rPr>
          <w:sz w:val="24"/>
          <w:szCs w:val="24"/>
        </w:rPr>
      </w:pPr>
      <w:r>
        <w:rPr>
          <w:sz w:val="24"/>
          <w:szCs w:val="24"/>
        </w:rPr>
        <w:t xml:space="preserve">or small commercial customers in mixed meter scenarios.  </w:t>
      </w:r>
      <w:r w:rsidR="009702A1">
        <w:rPr>
          <w:sz w:val="24"/>
          <w:szCs w:val="24"/>
        </w:rPr>
        <w:t xml:space="preserve">This clarification is consistent with the Commission’s licensing regulations at 52 Pa. Code §54.33, which require applicants to identify the classes of customers they intend to serve.  </w:t>
      </w:r>
      <w:r w:rsidR="00D21B9C">
        <w:rPr>
          <w:sz w:val="24"/>
          <w:szCs w:val="24"/>
        </w:rPr>
        <w:t xml:space="preserve">Also, our licensing orders </w:t>
      </w:r>
      <w:r w:rsidR="00133DE0">
        <w:rPr>
          <w:sz w:val="24"/>
          <w:szCs w:val="24"/>
        </w:rPr>
        <w:t xml:space="preserve">and the licenses issued to EGSs </w:t>
      </w:r>
      <w:r w:rsidR="00D21B9C">
        <w:rPr>
          <w:sz w:val="24"/>
          <w:szCs w:val="24"/>
        </w:rPr>
        <w:t xml:space="preserve">specify the </w:t>
      </w:r>
      <w:r w:rsidR="00133DE0">
        <w:rPr>
          <w:sz w:val="24"/>
          <w:szCs w:val="24"/>
        </w:rPr>
        <w:t>classes of customers to whom service may be provided</w:t>
      </w:r>
      <w:r w:rsidR="007853E1">
        <w:rPr>
          <w:sz w:val="24"/>
          <w:szCs w:val="24"/>
        </w:rPr>
        <w:t xml:space="preserve">, including </w:t>
      </w:r>
    </w:p>
    <w:p w:rsidR="00AA2B89" w:rsidRDefault="007853E1" w:rsidP="007853E1">
      <w:pPr>
        <w:rPr>
          <w:sz w:val="24"/>
          <w:szCs w:val="24"/>
        </w:rPr>
      </w:pPr>
      <w:r>
        <w:rPr>
          <w:sz w:val="24"/>
          <w:szCs w:val="24"/>
        </w:rPr>
        <w:t>residential, small commercial (25 kW and under demand), large commercial (over 25 kW demand) and governmental</w:t>
      </w:r>
      <w:r w:rsidR="00D21B9C">
        <w:rPr>
          <w:sz w:val="24"/>
          <w:szCs w:val="24"/>
        </w:rPr>
        <w:t xml:space="preserve">.  </w:t>
      </w:r>
      <w:r w:rsidR="00FC3836" w:rsidRPr="00AE45B3">
        <w:rPr>
          <w:i/>
          <w:sz w:val="24"/>
          <w:szCs w:val="24"/>
        </w:rPr>
        <w:t>See, e.g</w:t>
      </w:r>
      <w:r w:rsidR="00FC3836">
        <w:rPr>
          <w:sz w:val="24"/>
          <w:szCs w:val="24"/>
        </w:rPr>
        <w:t>.</w:t>
      </w:r>
      <w:r w:rsidR="00133DE0">
        <w:rPr>
          <w:sz w:val="24"/>
          <w:szCs w:val="24"/>
        </w:rPr>
        <w:t xml:space="preserve"> </w:t>
      </w:r>
      <w:r w:rsidR="00FC3836">
        <w:rPr>
          <w:sz w:val="24"/>
          <w:szCs w:val="24"/>
        </w:rPr>
        <w:t xml:space="preserve"> </w:t>
      </w:r>
      <w:r w:rsidR="00133DE0" w:rsidRPr="00AE45B3">
        <w:rPr>
          <w:i/>
          <w:sz w:val="24"/>
          <w:szCs w:val="24"/>
        </w:rPr>
        <w:t>License Application of Planet Energy (Pennsylvania) Corp for Approval to Offer, Render, Furnish or Supply Electricity or Electric Generation Services as a Supplier of Retail Electric Power</w:t>
      </w:r>
      <w:r w:rsidR="00133DE0">
        <w:rPr>
          <w:sz w:val="24"/>
          <w:szCs w:val="24"/>
        </w:rPr>
        <w:t>, Docket No. A-2011-2223534 (Order adopted February 2</w:t>
      </w:r>
      <w:r w:rsidR="00AE45B3">
        <w:rPr>
          <w:sz w:val="24"/>
          <w:szCs w:val="24"/>
        </w:rPr>
        <w:t>4</w:t>
      </w:r>
      <w:r w:rsidR="00133DE0">
        <w:rPr>
          <w:sz w:val="24"/>
          <w:szCs w:val="24"/>
        </w:rPr>
        <w:t xml:space="preserve">, 2011; </w:t>
      </w:r>
      <w:r w:rsidR="00AE45B3" w:rsidRPr="00AE45B3">
        <w:rPr>
          <w:i/>
          <w:sz w:val="24"/>
          <w:szCs w:val="24"/>
        </w:rPr>
        <w:t>Amendment to Electric Generation Supplier License of Premier Power Solutions, LLC</w:t>
      </w:r>
      <w:r w:rsidR="00AE45B3">
        <w:rPr>
          <w:sz w:val="24"/>
          <w:szCs w:val="24"/>
        </w:rPr>
        <w:t xml:space="preserve">, Docket No. A-110170 (Order adopted February 24, 2011).  </w:t>
      </w:r>
    </w:p>
    <w:p w:rsidR="00AA2B89" w:rsidRDefault="00AA2B89" w:rsidP="007853E1">
      <w:pPr>
        <w:rPr>
          <w:sz w:val="24"/>
          <w:szCs w:val="24"/>
        </w:rPr>
      </w:pPr>
    </w:p>
    <w:p w:rsidR="00925209" w:rsidRDefault="00AE45B3" w:rsidP="00AA2B89">
      <w:pPr>
        <w:ind w:firstLine="720"/>
        <w:rPr>
          <w:sz w:val="24"/>
          <w:szCs w:val="24"/>
        </w:rPr>
      </w:pPr>
      <w:r>
        <w:rPr>
          <w:sz w:val="24"/>
          <w:szCs w:val="24"/>
        </w:rPr>
        <w:t xml:space="preserve">Therefore, regardless of </w:t>
      </w:r>
      <w:r w:rsidR="00FF75E7">
        <w:rPr>
          <w:sz w:val="24"/>
          <w:szCs w:val="24"/>
        </w:rPr>
        <w:t>who the</w:t>
      </w:r>
      <w:r>
        <w:rPr>
          <w:sz w:val="24"/>
          <w:szCs w:val="24"/>
        </w:rPr>
        <w:t xml:space="preserve"> contracting party </w:t>
      </w:r>
      <w:r w:rsidR="00FF75E7">
        <w:rPr>
          <w:sz w:val="24"/>
          <w:szCs w:val="24"/>
        </w:rPr>
        <w:t xml:space="preserve">is </w:t>
      </w:r>
      <w:r>
        <w:rPr>
          <w:sz w:val="24"/>
          <w:szCs w:val="24"/>
        </w:rPr>
        <w:t>or whether the service to residential or small commercial customers</w:t>
      </w:r>
      <w:r w:rsidR="00D358D7">
        <w:rPr>
          <w:sz w:val="24"/>
          <w:szCs w:val="24"/>
        </w:rPr>
        <w:t xml:space="preserve"> is incidental to service provided to a large commercial, industrial or governmental customer, EGSs are required to obtain </w:t>
      </w:r>
      <w:r w:rsidR="00925209">
        <w:rPr>
          <w:sz w:val="24"/>
          <w:szCs w:val="24"/>
        </w:rPr>
        <w:t xml:space="preserve">amendments to their </w:t>
      </w:r>
      <w:r w:rsidR="00D358D7">
        <w:rPr>
          <w:sz w:val="24"/>
          <w:szCs w:val="24"/>
        </w:rPr>
        <w:t xml:space="preserve">licensing authority to serve all classes of customers who will receive supply from them.  </w:t>
      </w:r>
      <w:r w:rsidR="00925209">
        <w:rPr>
          <w:sz w:val="24"/>
          <w:szCs w:val="24"/>
        </w:rPr>
        <w:t xml:space="preserve"> In filing such amendments to change only the type of customers who are served, it is not necessary to publish notice in newspapers of general circulation, as required for original applicatio</w:t>
      </w:r>
      <w:r w:rsidR="00AA2B89">
        <w:rPr>
          <w:sz w:val="24"/>
          <w:szCs w:val="24"/>
        </w:rPr>
        <w:t>ns or requests to amend the geo</w:t>
      </w:r>
      <w:r w:rsidR="00925209">
        <w:rPr>
          <w:sz w:val="24"/>
          <w:szCs w:val="24"/>
        </w:rPr>
        <w:t>graphic</w:t>
      </w:r>
      <w:r w:rsidR="00AA2B89">
        <w:rPr>
          <w:sz w:val="24"/>
          <w:szCs w:val="24"/>
        </w:rPr>
        <w:t xml:space="preserve"> area to be served, pursuant to 52 Pa. Code §54.35.  Further, EGSs filing such applications </w:t>
      </w:r>
      <w:r w:rsidR="003350F9">
        <w:rPr>
          <w:sz w:val="24"/>
          <w:szCs w:val="24"/>
        </w:rPr>
        <w:t xml:space="preserve">to amend their licenses to serve residential or small commercial customers </w:t>
      </w:r>
      <w:r w:rsidR="00AA2B89">
        <w:rPr>
          <w:sz w:val="24"/>
          <w:szCs w:val="24"/>
        </w:rPr>
        <w:t>need not submit disclosure statements required by 52 Pa.</w:t>
      </w:r>
      <w:r w:rsidR="003350F9">
        <w:rPr>
          <w:sz w:val="24"/>
          <w:szCs w:val="24"/>
        </w:rPr>
        <w:t xml:space="preserve"> </w:t>
      </w:r>
      <w:r w:rsidR="00AA2B89">
        <w:rPr>
          <w:sz w:val="24"/>
          <w:szCs w:val="24"/>
        </w:rPr>
        <w:t xml:space="preserve">Code §54.5 until such time </w:t>
      </w:r>
      <w:r w:rsidR="003350F9">
        <w:rPr>
          <w:sz w:val="24"/>
          <w:szCs w:val="24"/>
        </w:rPr>
        <w:t xml:space="preserve">as they would begin interacting directly with such customers.  </w:t>
      </w:r>
    </w:p>
    <w:p w:rsidR="00925209" w:rsidRDefault="00925209" w:rsidP="007853E1">
      <w:pPr>
        <w:rPr>
          <w:sz w:val="24"/>
          <w:szCs w:val="24"/>
        </w:rPr>
      </w:pPr>
      <w:r>
        <w:rPr>
          <w:sz w:val="24"/>
          <w:szCs w:val="24"/>
        </w:rPr>
        <w:tab/>
      </w:r>
    </w:p>
    <w:p w:rsidR="00FF1035" w:rsidRDefault="007F21BE" w:rsidP="0058573A">
      <w:pPr>
        <w:ind w:firstLine="720"/>
        <w:rPr>
          <w:sz w:val="24"/>
          <w:szCs w:val="24"/>
        </w:rPr>
      </w:pPr>
      <w:r>
        <w:rPr>
          <w:sz w:val="24"/>
          <w:szCs w:val="24"/>
        </w:rPr>
        <w:t>As to the</w:t>
      </w:r>
      <w:r w:rsidR="002F38A9">
        <w:rPr>
          <w:sz w:val="24"/>
          <w:szCs w:val="24"/>
        </w:rPr>
        <w:t xml:space="preserve"> provisions of Chapter </w:t>
      </w:r>
      <w:r w:rsidR="0012723F">
        <w:rPr>
          <w:sz w:val="24"/>
          <w:szCs w:val="24"/>
        </w:rPr>
        <w:t>56 of the Commission’s regulations</w:t>
      </w:r>
      <w:r w:rsidR="0058573A">
        <w:rPr>
          <w:sz w:val="24"/>
          <w:szCs w:val="24"/>
        </w:rPr>
        <w:t xml:space="preserve"> in Title 52 of the Pennsylvania Code </w:t>
      </w:r>
      <w:r w:rsidR="002F38A9">
        <w:rPr>
          <w:sz w:val="24"/>
          <w:szCs w:val="24"/>
        </w:rPr>
        <w:t xml:space="preserve">and the </w:t>
      </w:r>
      <w:r w:rsidR="003350F9">
        <w:rPr>
          <w:sz w:val="24"/>
          <w:szCs w:val="24"/>
        </w:rPr>
        <w:t xml:space="preserve">specific </w:t>
      </w:r>
      <w:r w:rsidR="002F38A9">
        <w:rPr>
          <w:sz w:val="24"/>
          <w:szCs w:val="24"/>
        </w:rPr>
        <w:t xml:space="preserve">customer </w:t>
      </w:r>
      <w:r w:rsidR="00925209">
        <w:rPr>
          <w:sz w:val="24"/>
          <w:szCs w:val="24"/>
        </w:rPr>
        <w:t>protections</w:t>
      </w:r>
      <w:r w:rsidR="002F38A9">
        <w:rPr>
          <w:sz w:val="24"/>
          <w:szCs w:val="24"/>
        </w:rPr>
        <w:t xml:space="preserve"> in 52 Pa. Code §§54.4-54.9, which</w:t>
      </w:r>
      <w:r w:rsidR="0012723F">
        <w:rPr>
          <w:sz w:val="24"/>
          <w:szCs w:val="24"/>
        </w:rPr>
        <w:t xml:space="preserve"> are normally applicable to EGSs serving residential and small commercial customers, as outlined in the above licensing orders, we note that EGSs serving such customers in mixed meter scenarios would gene</w:t>
      </w:r>
      <w:r>
        <w:rPr>
          <w:sz w:val="24"/>
          <w:szCs w:val="24"/>
        </w:rPr>
        <w:t xml:space="preserve">rally be exempt from compliance with these provisions.  </w:t>
      </w:r>
      <w:r w:rsidR="003E210C">
        <w:rPr>
          <w:sz w:val="24"/>
          <w:szCs w:val="24"/>
        </w:rPr>
        <w:t xml:space="preserve">Our understanding of those situations is that </w:t>
      </w:r>
      <w:r w:rsidR="00FF1035">
        <w:rPr>
          <w:sz w:val="24"/>
          <w:szCs w:val="24"/>
        </w:rPr>
        <w:t xml:space="preserve">all of the EGS’s interactions, including extending an offer, conducting negotiations, executing a contract and issuing bills, are exclusively with the large commercial, industrial or governmental customer, and that the provision of service to a residential or small commercial customer is </w:t>
      </w:r>
      <w:r w:rsidR="0042048E">
        <w:rPr>
          <w:sz w:val="24"/>
          <w:szCs w:val="24"/>
        </w:rPr>
        <w:t xml:space="preserve">merely </w:t>
      </w:r>
      <w:r w:rsidR="00FF1035">
        <w:rPr>
          <w:sz w:val="24"/>
          <w:szCs w:val="24"/>
        </w:rPr>
        <w:t xml:space="preserve">incidental to the sale of that supply.  </w:t>
      </w:r>
      <w:r w:rsidR="003E210C">
        <w:rPr>
          <w:sz w:val="24"/>
          <w:szCs w:val="24"/>
        </w:rPr>
        <w:t xml:space="preserve">Since </w:t>
      </w:r>
      <w:r w:rsidR="00FF1035">
        <w:rPr>
          <w:sz w:val="24"/>
          <w:szCs w:val="24"/>
        </w:rPr>
        <w:t>the</w:t>
      </w:r>
      <w:r>
        <w:rPr>
          <w:sz w:val="24"/>
          <w:szCs w:val="24"/>
        </w:rPr>
        <w:t xml:space="preserve"> EGS </w:t>
      </w:r>
      <w:r w:rsidR="00A64CFC">
        <w:rPr>
          <w:sz w:val="24"/>
          <w:szCs w:val="24"/>
        </w:rPr>
        <w:t xml:space="preserve">would have no interactions with a small commercial or residential </w:t>
      </w:r>
      <w:r w:rsidR="003E210C">
        <w:rPr>
          <w:sz w:val="24"/>
          <w:szCs w:val="24"/>
        </w:rPr>
        <w:t>customer</w:t>
      </w:r>
      <w:r w:rsidR="00393D21">
        <w:rPr>
          <w:sz w:val="24"/>
          <w:szCs w:val="24"/>
        </w:rPr>
        <w:t xml:space="preserve"> served as part of such a mixed meter account</w:t>
      </w:r>
      <w:r w:rsidR="003E210C">
        <w:rPr>
          <w:sz w:val="24"/>
          <w:szCs w:val="24"/>
        </w:rPr>
        <w:t xml:space="preserve">, </w:t>
      </w:r>
      <w:r w:rsidR="00FF1035">
        <w:rPr>
          <w:sz w:val="24"/>
          <w:szCs w:val="24"/>
        </w:rPr>
        <w:t xml:space="preserve">it would be impractical to require compliance with provisions </w:t>
      </w:r>
      <w:r w:rsidR="003E210C">
        <w:rPr>
          <w:sz w:val="24"/>
          <w:szCs w:val="24"/>
        </w:rPr>
        <w:t xml:space="preserve">intended to protect those consumers during contract negotiations and the billing process.  </w:t>
      </w:r>
    </w:p>
    <w:p w:rsidR="00CB22CE" w:rsidRDefault="00AA2B89" w:rsidP="00FF1035">
      <w:pPr>
        <w:ind w:firstLine="720"/>
        <w:rPr>
          <w:sz w:val="24"/>
          <w:szCs w:val="24"/>
        </w:rPr>
      </w:pPr>
      <w:r>
        <w:rPr>
          <w:sz w:val="24"/>
          <w:szCs w:val="24"/>
        </w:rPr>
        <w:br/>
      </w:r>
      <w:r>
        <w:rPr>
          <w:sz w:val="24"/>
          <w:szCs w:val="24"/>
        </w:rPr>
        <w:tab/>
      </w:r>
      <w:r w:rsidR="00FF1035">
        <w:rPr>
          <w:sz w:val="24"/>
          <w:szCs w:val="24"/>
        </w:rPr>
        <w:t xml:space="preserve">Also, we note that electric distribution companies (EDCs) serving residential customers as part of a large commercial customer account likewise do not comply with Chapter 56 provisions except when terminating service.  Since the EGS cannot terminate service but rather only has the option of returning the </w:t>
      </w:r>
      <w:r w:rsidR="0037625F">
        <w:rPr>
          <w:sz w:val="24"/>
          <w:szCs w:val="24"/>
        </w:rPr>
        <w:t>customer</w:t>
      </w:r>
      <w:r w:rsidR="00FF1035">
        <w:rPr>
          <w:sz w:val="24"/>
          <w:szCs w:val="24"/>
        </w:rPr>
        <w:t xml:space="preserve"> to the EDC for non-payment, no residential customer’s service </w:t>
      </w:r>
      <w:r w:rsidR="0037625F">
        <w:rPr>
          <w:sz w:val="24"/>
          <w:szCs w:val="24"/>
        </w:rPr>
        <w:t xml:space="preserve">can be terminated until after the EDC has complied with the notification requirements of Chapter 56.  </w:t>
      </w:r>
    </w:p>
    <w:p w:rsidR="00D358D7" w:rsidRDefault="00E97844" w:rsidP="00D358D7">
      <w:pPr>
        <w:ind w:firstLine="720"/>
        <w:rPr>
          <w:sz w:val="24"/>
          <w:szCs w:val="24"/>
        </w:rPr>
      </w:pPr>
      <w:r>
        <w:rPr>
          <w:sz w:val="24"/>
          <w:szCs w:val="24"/>
        </w:rPr>
        <w:t xml:space="preserve"> </w:t>
      </w:r>
    </w:p>
    <w:p w:rsidR="008D720C" w:rsidRDefault="008D720C" w:rsidP="00D358D7">
      <w:pPr>
        <w:ind w:firstLine="720"/>
        <w:rPr>
          <w:sz w:val="24"/>
          <w:szCs w:val="24"/>
        </w:rPr>
      </w:pPr>
      <w:r>
        <w:rPr>
          <w:sz w:val="24"/>
          <w:szCs w:val="24"/>
        </w:rPr>
        <w:t xml:space="preserve">We emphasize that the clarifications provided by this Secretarial Letter are not intended to apply to affinity group marketing situations where </w:t>
      </w:r>
      <w:r w:rsidR="00836DE3">
        <w:rPr>
          <w:sz w:val="24"/>
          <w:szCs w:val="24"/>
        </w:rPr>
        <w:t>an</w:t>
      </w:r>
      <w:r w:rsidR="007853E1">
        <w:rPr>
          <w:sz w:val="24"/>
          <w:szCs w:val="24"/>
        </w:rPr>
        <w:t xml:space="preserve"> EGS </w:t>
      </w:r>
      <w:r w:rsidR="00BA7B94">
        <w:rPr>
          <w:sz w:val="24"/>
          <w:szCs w:val="24"/>
        </w:rPr>
        <w:t xml:space="preserve">that is licensed to serve commercial, industrial or governmental customers offers to provide service to the customer’s employees or customers for use at their individual residences.  The relevant provisions of Chapters 54 and 56 would apply to these accounts.  </w:t>
      </w:r>
    </w:p>
    <w:p w:rsidR="0042048E" w:rsidRDefault="0042048E" w:rsidP="00D358D7">
      <w:pPr>
        <w:ind w:firstLine="720"/>
        <w:rPr>
          <w:sz w:val="24"/>
          <w:szCs w:val="24"/>
        </w:rPr>
      </w:pPr>
    </w:p>
    <w:p w:rsidR="00350D49" w:rsidRDefault="00350D49" w:rsidP="00D358D7">
      <w:pPr>
        <w:ind w:firstLine="720"/>
        <w:rPr>
          <w:sz w:val="24"/>
          <w:szCs w:val="24"/>
        </w:rPr>
      </w:pPr>
    </w:p>
    <w:p w:rsidR="00350D49" w:rsidRDefault="00350D49" w:rsidP="00D358D7">
      <w:pPr>
        <w:ind w:firstLine="720"/>
        <w:rPr>
          <w:sz w:val="24"/>
          <w:szCs w:val="24"/>
        </w:rPr>
      </w:pPr>
    </w:p>
    <w:p w:rsidR="00614E44" w:rsidRDefault="0042048E" w:rsidP="00D358D7">
      <w:pPr>
        <w:ind w:firstLine="720"/>
        <w:rPr>
          <w:sz w:val="24"/>
          <w:szCs w:val="24"/>
        </w:rPr>
      </w:pPr>
      <w:r>
        <w:rPr>
          <w:sz w:val="24"/>
          <w:szCs w:val="24"/>
        </w:rPr>
        <w:t xml:space="preserve">While it is not possible to provide clarification for every possible scenario the Commission’s guidance here is based on use of good judgment and common sense.  As such, it should be capable of being applied to most situations.  Questions about whether it is necessary to extend Chapter 54 or 56 protections to residential or small commercial customers who are served incidental to or as part of a large commercial, industrial or governmental contract should be </w:t>
      </w:r>
    </w:p>
    <w:p w:rsidR="009B38C3" w:rsidRDefault="0042048E" w:rsidP="009B38C3">
      <w:pPr>
        <w:rPr>
          <w:sz w:val="24"/>
          <w:szCs w:val="24"/>
        </w:rPr>
      </w:pPr>
      <w:r>
        <w:rPr>
          <w:sz w:val="24"/>
          <w:szCs w:val="24"/>
        </w:rPr>
        <w:t xml:space="preserve">raised with the Commission’s </w:t>
      </w:r>
      <w:r w:rsidR="009B38C3">
        <w:rPr>
          <w:sz w:val="24"/>
          <w:szCs w:val="24"/>
        </w:rPr>
        <w:t>OCMO</w:t>
      </w:r>
      <w:r>
        <w:rPr>
          <w:sz w:val="24"/>
          <w:szCs w:val="24"/>
        </w:rPr>
        <w:t xml:space="preserve">.  In responding, OCMO will consider the nature of the service and the extent, if any, of interactions with the residential or small commercial customers </w:t>
      </w:r>
    </w:p>
    <w:p w:rsidR="0042048E" w:rsidRDefault="0042048E" w:rsidP="009B38C3">
      <w:pPr>
        <w:rPr>
          <w:sz w:val="24"/>
          <w:szCs w:val="24"/>
        </w:rPr>
      </w:pPr>
      <w:r>
        <w:rPr>
          <w:sz w:val="24"/>
          <w:szCs w:val="24"/>
        </w:rPr>
        <w:t xml:space="preserve">and seek further guidance from the Law Bureau or the Commission as necessary.  </w:t>
      </w:r>
      <w:r w:rsidR="009B38C3">
        <w:rPr>
          <w:sz w:val="24"/>
          <w:szCs w:val="24"/>
        </w:rPr>
        <w:t xml:space="preserve">These inquiries should be sent to </w:t>
      </w:r>
      <w:hyperlink r:id="rId10" w:history="1">
        <w:r w:rsidR="009B38C3" w:rsidRPr="000D6162">
          <w:rPr>
            <w:rStyle w:val="Hyperlink"/>
            <w:sz w:val="24"/>
            <w:szCs w:val="24"/>
          </w:rPr>
          <w:t>ra-ocmo@state.pa.us</w:t>
        </w:r>
      </w:hyperlink>
      <w:r w:rsidR="009B38C3">
        <w:rPr>
          <w:sz w:val="24"/>
          <w:szCs w:val="24"/>
        </w:rPr>
        <w:t>.</w:t>
      </w:r>
    </w:p>
    <w:p w:rsidR="009B38C3" w:rsidRDefault="009B38C3" w:rsidP="00D358D7">
      <w:pPr>
        <w:ind w:firstLine="720"/>
        <w:rPr>
          <w:sz w:val="24"/>
          <w:szCs w:val="24"/>
        </w:rPr>
      </w:pPr>
    </w:p>
    <w:p w:rsidR="009B38C3" w:rsidRDefault="00DE65B5" w:rsidP="00D358D7">
      <w:pPr>
        <w:ind w:firstLine="720"/>
        <w:rPr>
          <w:sz w:val="24"/>
          <w:szCs w:val="24"/>
        </w:rPr>
      </w:pPr>
      <w:r>
        <w:rPr>
          <w:noProof/>
          <w:sz w:val="24"/>
          <w:szCs w:val="24"/>
        </w:rPr>
        <w:drawing>
          <wp:anchor distT="0" distB="0" distL="114300" distR="114300" simplePos="0" relativeHeight="251659264" behindDoc="1" locked="0" layoutInCell="1" allowOverlap="1">
            <wp:simplePos x="0" y="0"/>
            <wp:positionH relativeFrom="column">
              <wp:posOffset>2905125</wp:posOffset>
            </wp:positionH>
            <wp:positionV relativeFrom="paragraph">
              <wp:posOffset>116205</wp:posOffset>
            </wp:positionV>
            <wp:extent cx="2200275" cy="790575"/>
            <wp:effectExtent l="19050" t="0" r="9525" b="0"/>
            <wp:wrapNone/>
            <wp:docPr id="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2200275" cy="790575"/>
                    </a:xfrm>
                    <a:prstGeom prst="rect">
                      <a:avLst/>
                    </a:prstGeom>
                    <a:noFill/>
                    <a:ln w="9525">
                      <a:noFill/>
                      <a:miter lim="800000"/>
                      <a:headEnd/>
                      <a:tailEnd/>
                    </a:ln>
                  </pic:spPr>
                </pic:pic>
              </a:graphicData>
            </a:graphic>
          </wp:anchor>
        </w:drawing>
      </w:r>
      <w:r w:rsidR="009B38C3">
        <w:rPr>
          <w:sz w:val="24"/>
          <w:szCs w:val="24"/>
        </w:rPr>
        <w:tab/>
      </w:r>
      <w:r w:rsidR="009B38C3">
        <w:rPr>
          <w:sz w:val="24"/>
          <w:szCs w:val="24"/>
        </w:rPr>
        <w:tab/>
      </w:r>
      <w:r w:rsidR="009B38C3">
        <w:rPr>
          <w:sz w:val="24"/>
          <w:szCs w:val="24"/>
        </w:rPr>
        <w:tab/>
      </w:r>
      <w:r w:rsidR="009B38C3">
        <w:rPr>
          <w:sz w:val="24"/>
          <w:szCs w:val="24"/>
        </w:rPr>
        <w:tab/>
      </w:r>
      <w:r w:rsidR="009B38C3">
        <w:rPr>
          <w:sz w:val="24"/>
          <w:szCs w:val="24"/>
        </w:rPr>
        <w:tab/>
      </w:r>
      <w:r w:rsidR="009B38C3">
        <w:rPr>
          <w:sz w:val="24"/>
          <w:szCs w:val="24"/>
        </w:rPr>
        <w:tab/>
        <w:t>Very truly yours,</w:t>
      </w:r>
    </w:p>
    <w:p w:rsidR="009B38C3" w:rsidRDefault="009B38C3" w:rsidP="00D358D7">
      <w:pPr>
        <w:ind w:firstLine="720"/>
        <w:rPr>
          <w:sz w:val="24"/>
          <w:szCs w:val="24"/>
        </w:rPr>
      </w:pPr>
    </w:p>
    <w:p w:rsidR="009B38C3" w:rsidRDefault="009B38C3" w:rsidP="00D358D7">
      <w:pPr>
        <w:ind w:firstLine="720"/>
        <w:rPr>
          <w:sz w:val="24"/>
          <w:szCs w:val="24"/>
        </w:rPr>
      </w:pPr>
    </w:p>
    <w:p w:rsidR="009B38C3" w:rsidRDefault="009B38C3" w:rsidP="00D358D7">
      <w:pPr>
        <w:ind w:firstLine="720"/>
        <w:rPr>
          <w:sz w:val="24"/>
          <w:szCs w:val="24"/>
        </w:rPr>
      </w:pPr>
    </w:p>
    <w:p w:rsidR="009B38C3" w:rsidRDefault="009B38C3" w:rsidP="00D358D7">
      <w:pPr>
        <w:ind w:firstLine="720"/>
        <w:rPr>
          <w:sz w:val="24"/>
          <w:szCs w:val="24"/>
        </w:rPr>
      </w:pPr>
    </w:p>
    <w:p w:rsidR="009B38C3" w:rsidRDefault="009B38C3" w:rsidP="00D358D7">
      <w:pPr>
        <w:ind w:firstLine="720"/>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Rosemary A. Chiavetta</w:t>
      </w:r>
    </w:p>
    <w:p w:rsidR="009B38C3" w:rsidRDefault="009B38C3" w:rsidP="00D358D7">
      <w:pPr>
        <w:ind w:firstLine="720"/>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Secretary</w:t>
      </w:r>
    </w:p>
    <w:p w:rsidR="009B38C3" w:rsidRDefault="009B38C3" w:rsidP="00D358D7">
      <w:pPr>
        <w:ind w:firstLine="720"/>
        <w:rPr>
          <w:sz w:val="24"/>
          <w:szCs w:val="24"/>
        </w:rPr>
      </w:pPr>
    </w:p>
    <w:p w:rsidR="009B38C3" w:rsidRDefault="009B38C3" w:rsidP="009B38C3">
      <w:pPr>
        <w:rPr>
          <w:sz w:val="24"/>
          <w:szCs w:val="24"/>
        </w:rPr>
      </w:pPr>
      <w:r>
        <w:rPr>
          <w:sz w:val="24"/>
          <w:szCs w:val="24"/>
        </w:rPr>
        <w:t>cc:</w:t>
      </w:r>
      <w:r>
        <w:rPr>
          <w:sz w:val="24"/>
          <w:szCs w:val="24"/>
        </w:rPr>
        <w:tab/>
        <w:t>Office of Competitive Market Oversight</w:t>
      </w:r>
    </w:p>
    <w:p w:rsidR="0042048E" w:rsidRDefault="0042048E" w:rsidP="00D358D7">
      <w:pPr>
        <w:ind w:firstLine="720"/>
        <w:rPr>
          <w:sz w:val="24"/>
          <w:szCs w:val="24"/>
        </w:rPr>
      </w:pPr>
    </w:p>
    <w:p w:rsidR="0042048E" w:rsidRPr="00FF6A41" w:rsidRDefault="0042048E" w:rsidP="00D358D7">
      <w:pPr>
        <w:ind w:firstLine="720"/>
        <w:rPr>
          <w:rFonts w:cs="Arial"/>
          <w:sz w:val="24"/>
          <w:szCs w:val="24"/>
        </w:rPr>
      </w:pPr>
    </w:p>
    <w:p w:rsidR="0032492B" w:rsidRDefault="0032492B" w:rsidP="00EE51E5">
      <w:pPr>
        <w:rPr>
          <w:rFonts w:cs="Arial"/>
          <w:sz w:val="24"/>
          <w:szCs w:val="24"/>
        </w:rPr>
      </w:pPr>
    </w:p>
    <w:p w:rsidR="00EE51E5" w:rsidRPr="0050278F" w:rsidRDefault="00EE51E5" w:rsidP="00EE51E5">
      <w:pPr>
        <w:rPr>
          <w:rFonts w:ascii="Arial" w:hAnsi="Arial" w:cs="Arial"/>
          <w:b/>
          <w:szCs w:val="24"/>
        </w:rPr>
      </w:pPr>
    </w:p>
    <w:p w:rsidR="00EE51E5" w:rsidRDefault="00EE51E5" w:rsidP="00EE51E5">
      <w:pPr>
        <w:tabs>
          <w:tab w:val="center" w:pos="0"/>
          <w:tab w:val="left" w:pos="720"/>
        </w:tabs>
        <w:rPr>
          <w:sz w:val="24"/>
          <w:szCs w:val="24"/>
        </w:rPr>
      </w:pPr>
    </w:p>
    <w:p w:rsidR="00EE51E5" w:rsidRDefault="00EE51E5" w:rsidP="00EE51E5">
      <w:pPr>
        <w:tabs>
          <w:tab w:val="center" w:pos="0"/>
          <w:tab w:val="left" w:pos="720"/>
        </w:tabs>
        <w:rPr>
          <w:sz w:val="24"/>
          <w:szCs w:val="24"/>
        </w:rPr>
      </w:pPr>
    </w:p>
    <w:p w:rsidR="00EE51E5" w:rsidRDefault="00EE51E5" w:rsidP="00EE51E5">
      <w:pPr>
        <w:tabs>
          <w:tab w:val="center" w:pos="0"/>
          <w:tab w:val="left" w:pos="720"/>
        </w:tabs>
        <w:rPr>
          <w:sz w:val="24"/>
          <w:szCs w:val="24"/>
        </w:rPr>
      </w:pPr>
    </w:p>
    <w:p w:rsidR="00EE51E5" w:rsidRDefault="00EE51E5" w:rsidP="00EE51E5">
      <w:pPr>
        <w:tabs>
          <w:tab w:val="center" w:pos="0"/>
          <w:tab w:val="left" w:pos="720"/>
        </w:tabs>
        <w:rPr>
          <w:sz w:val="24"/>
          <w:szCs w:val="24"/>
        </w:rPr>
      </w:pPr>
    </w:p>
    <w:p w:rsidR="00EE51E5" w:rsidRDefault="00EE51E5" w:rsidP="00EE51E5">
      <w:pPr>
        <w:tabs>
          <w:tab w:val="center" w:pos="0"/>
          <w:tab w:val="left" w:pos="720"/>
        </w:tabs>
        <w:rPr>
          <w:sz w:val="24"/>
          <w:szCs w:val="24"/>
        </w:rPr>
      </w:pPr>
    </w:p>
    <w:p w:rsidR="00EE51E5" w:rsidRDefault="00EE51E5" w:rsidP="00EE51E5">
      <w:pPr>
        <w:tabs>
          <w:tab w:val="center" w:pos="0"/>
          <w:tab w:val="left" w:pos="720"/>
        </w:tabs>
        <w:rPr>
          <w:sz w:val="24"/>
          <w:szCs w:val="24"/>
        </w:rPr>
      </w:pPr>
    </w:p>
    <w:p w:rsidR="00EE51E5" w:rsidRDefault="00EE51E5" w:rsidP="00EE51E5">
      <w:pPr>
        <w:tabs>
          <w:tab w:val="center" w:pos="0"/>
          <w:tab w:val="left" w:pos="720"/>
        </w:tabs>
        <w:rPr>
          <w:sz w:val="24"/>
          <w:szCs w:val="24"/>
        </w:rPr>
      </w:pPr>
    </w:p>
    <w:p w:rsidR="00EE51E5" w:rsidRDefault="00EE51E5" w:rsidP="00EE51E5">
      <w:pPr>
        <w:tabs>
          <w:tab w:val="center" w:pos="0"/>
          <w:tab w:val="left" w:pos="720"/>
        </w:tabs>
        <w:rPr>
          <w:sz w:val="24"/>
          <w:szCs w:val="24"/>
        </w:rPr>
      </w:pPr>
    </w:p>
    <w:p w:rsidR="00EE51E5" w:rsidRDefault="00EE51E5" w:rsidP="00EE51E5">
      <w:pPr>
        <w:tabs>
          <w:tab w:val="center" w:pos="0"/>
          <w:tab w:val="left" w:pos="720"/>
        </w:tabs>
        <w:rPr>
          <w:sz w:val="24"/>
          <w:szCs w:val="24"/>
        </w:rPr>
      </w:pPr>
    </w:p>
    <w:p w:rsidR="00EE51E5" w:rsidRDefault="00EE51E5" w:rsidP="00EE51E5">
      <w:pPr>
        <w:tabs>
          <w:tab w:val="center" w:pos="0"/>
          <w:tab w:val="left" w:pos="720"/>
        </w:tabs>
        <w:rPr>
          <w:sz w:val="24"/>
          <w:szCs w:val="24"/>
        </w:rPr>
      </w:pPr>
    </w:p>
    <w:p w:rsidR="00EE51E5" w:rsidRDefault="00EE51E5" w:rsidP="00EE51E5">
      <w:pPr>
        <w:tabs>
          <w:tab w:val="center" w:pos="0"/>
          <w:tab w:val="left" w:pos="720"/>
        </w:tabs>
        <w:rPr>
          <w:sz w:val="24"/>
          <w:szCs w:val="24"/>
        </w:rPr>
      </w:pPr>
    </w:p>
    <w:p w:rsidR="00EE51E5" w:rsidRPr="001E42C1" w:rsidRDefault="00EE51E5" w:rsidP="00EE51E5">
      <w:pPr>
        <w:tabs>
          <w:tab w:val="center" w:pos="0"/>
          <w:tab w:val="left" w:pos="720"/>
        </w:tabs>
        <w:rPr>
          <w:sz w:val="24"/>
          <w:szCs w:val="24"/>
        </w:rPr>
      </w:pPr>
    </w:p>
    <w:p w:rsidR="00C013B5" w:rsidRPr="001E42C1" w:rsidRDefault="00C013B5" w:rsidP="003C47AB">
      <w:pPr>
        <w:tabs>
          <w:tab w:val="center" w:pos="0"/>
          <w:tab w:val="left" w:pos="720"/>
        </w:tabs>
        <w:rPr>
          <w:sz w:val="24"/>
          <w:szCs w:val="24"/>
        </w:rPr>
      </w:pPr>
    </w:p>
    <w:sectPr w:rsidR="00C013B5" w:rsidRPr="001E42C1" w:rsidSect="00F1477A">
      <w:type w:val="continuous"/>
      <w:pgSz w:w="12240" w:h="15840"/>
      <w:pgMar w:top="504"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2043" w:rsidRDefault="00B52043">
      <w:r>
        <w:separator/>
      </w:r>
    </w:p>
  </w:endnote>
  <w:endnote w:type="continuationSeparator" w:id="0">
    <w:p w:rsidR="00B52043" w:rsidRDefault="00B5204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8986642"/>
      <w:docPartObj>
        <w:docPartGallery w:val="Page Numbers (Bottom of Page)"/>
        <w:docPartUnique/>
      </w:docPartObj>
    </w:sdtPr>
    <w:sdtContent>
      <w:p w:rsidR="001B78A0" w:rsidRDefault="00135B0B">
        <w:pPr>
          <w:pStyle w:val="Footer"/>
          <w:jc w:val="center"/>
        </w:pPr>
        <w:fldSimple w:instr=" PAGE   \* MERGEFORMAT ">
          <w:r w:rsidR="00DE65B5">
            <w:rPr>
              <w:noProof/>
            </w:rPr>
            <w:t>3</w:t>
          </w:r>
        </w:fldSimple>
      </w:p>
    </w:sdtContent>
  </w:sdt>
  <w:p w:rsidR="001B78A0" w:rsidRDefault="001B78A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2043" w:rsidRDefault="00B52043">
      <w:r>
        <w:separator/>
      </w:r>
    </w:p>
  </w:footnote>
  <w:footnote w:type="continuationSeparator" w:id="0">
    <w:p w:rsidR="00B52043" w:rsidRDefault="00B5204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20B9188A"/>
    <w:multiLevelType w:val="hybridMultilevel"/>
    <w:tmpl w:val="35209C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A7F2CA2"/>
    <w:multiLevelType w:val="hybridMultilevel"/>
    <w:tmpl w:val="F26A8B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7A7D4E85"/>
    <w:multiLevelType w:val="hybridMultilevel"/>
    <w:tmpl w:val="EFE2697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7"/>
  </w:num>
  <w:num w:numId="3">
    <w:abstractNumId w:val="2"/>
  </w:num>
  <w:num w:numId="4">
    <w:abstractNumId w:val="5"/>
  </w:num>
  <w:num w:numId="5">
    <w:abstractNumId w:val="10"/>
  </w:num>
  <w:num w:numId="6">
    <w:abstractNumId w:val="3"/>
  </w:num>
  <w:num w:numId="7">
    <w:abstractNumId w:val="11"/>
  </w:num>
  <w:num w:numId="8">
    <w:abstractNumId w:val="9"/>
  </w:num>
  <w:num w:numId="9">
    <w:abstractNumId w:val="0"/>
  </w:num>
  <w:num w:numId="10">
    <w:abstractNumId w:val="8"/>
  </w:num>
  <w:num w:numId="11">
    <w:abstractNumId w:val="6"/>
  </w:num>
  <w:num w:numId="1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C74A51"/>
    <w:rsid w:val="00003211"/>
    <w:rsid w:val="000116C7"/>
    <w:rsid w:val="0001391F"/>
    <w:rsid w:val="000212B2"/>
    <w:rsid w:val="00087BCF"/>
    <w:rsid w:val="000A1398"/>
    <w:rsid w:val="000A4B8D"/>
    <w:rsid w:val="000A73E8"/>
    <w:rsid w:val="000C44F4"/>
    <w:rsid w:val="000F3CBA"/>
    <w:rsid w:val="001021E6"/>
    <w:rsid w:val="001209F1"/>
    <w:rsid w:val="0012697F"/>
    <w:rsid w:val="0012723F"/>
    <w:rsid w:val="00133DE0"/>
    <w:rsid w:val="00135B0B"/>
    <w:rsid w:val="00137C67"/>
    <w:rsid w:val="00147FD4"/>
    <w:rsid w:val="00155CFF"/>
    <w:rsid w:val="00163861"/>
    <w:rsid w:val="00172160"/>
    <w:rsid w:val="00175F52"/>
    <w:rsid w:val="001825ED"/>
    <w:rsid w:val="00193A2B"/>
    <w:rsid w:val="001B78A0"/>
    <w:rsid w:val="001E42C1"/>
    <w:rsid w:val="002120F7"/>
    <w:rsid w:val="002229C3"/>
    <w:rsid w:val="00245127"/>
    <w:rsid w:val="00246448"/>
    <w:rsid w:val="00265492"/>
    <w:rsid w:val="00265B04"/>
    <w:rsid w:val="0028086F"/>
    <w:rsid w:val="002841EF"/>
    <w:rsid w:val="0029471C"/>
    <w:rsid w:val="002C3F65"/>
    <w:rsid w:val="002F26D5"/>
    <w:rsid w:val="002F38A9"/>
    <w:rsid w:val="00302E78"/>
    <w:rsid w:val="00314CEC"/>
    <w:rsid w:val="00315F7E"/>
    <w:rsid w:val="00316461"/>
    <w:rsid w:val="0032492B"/>
    <w:rsid w:val="003350F9"/>
    <w:rsid w:val="003354D9"/>
    <w:rsid w:val="00350D49"/>
    <w:rsid w:val="003675C5"/>
    <w:rsid w:val="0037625F"/>
    <w:rsid w:val="00382A2A"/>
    <w:rsid w:val="00386091"/>
    <w:rsid w:val="00393D21"/>
    <w:rsid w:val="003C47AB"/>
    <w:rsid w:val="003E210C"/>
    <w:rsid w:val="00416500"/>
    <w:rsid w:val="0042048E"/>
    <w:rsid w:val="00461039"/>
    <w:rsid w:val="00497B2B"/>
    <w:rsid w:val="00497F56"/>
    <w:rsid w:val="004B0335"/>
    <w:rsid w:val="004B354B"/>
    <w:rsid w:val="004C66BF"/>
    <w:rsid w:val="004D03A7"/>
    <w:rsid w:val="004D450A"/>
    <w:rsid w:val="005265E6"/>
    <w:rsid w:val="005366BC"/>
    <w:rsid w:val="0058151C"/>
    <w:rsid w:val="0058573A"/>
    <w:rsid w:val="005A0E94"/>
    <w:rsid w:val="005A60B3"/>
    <w:rsid w:val="005E25C5"/>
    <w:rsid w:val="005F0C2A"/>
    <w:rsid w:val="005F12A4"/>
    <w:rsid w:val="00614E44"/>
    <w:rsid w:val="00625A68"/>
    <w:rsid w:val="00646A36"/>
    <w:rsid w:val="006559CD"/>
    <w:rsid w:val="00657663"/>
    <w:rsid w:val="00660392"/>
    <w:rsid w:val="00672D48"/>
    <w:rsid w:val="006737AD"/>
    <w:rsid w:val="006755C0"/>
    <w:rsid w:val="0068352A"/>
    <w:rsid w:val="00683FA3"/>
    <w:rsid w:val="00687B72"/>
    <w:rsid w:val="006A3AB8"/>
    <w:rsid w:val="006A6D77"/>
    <w:rsid w:val="006D012C"/>
    <w:rsid w:val="006D54FA"/>
    <w:rsid w:val="0070327C"/>
    <w:rsid w:val="007130D4"/>
    <w:rsid w:val="00716F38"/>
    <w:rsid w:val="0071766C"/>
    <w:rsid w:val="00735C24"/>
    <w:rsid w:val="007853E1"/>
    <w:rsid w:val="007A2F26"/>
    <w:rsid w:val="007A4569"/>
    <w:rsid w:val="007C013C"/>
    <w:rsid w:val="007C0FE6"/>
    <w:rsid w:val="007C3512"/>
    <w:rsid w:val="007F21BE"/>
    <w:rsid w:val="00807344"/>
    <w:rsid w:val="00812F99"/>
    <w:rsid w:val="00833B66"/>
    <w:rsid w:val="00835E08"/>
    <w:rsid w:val="00836DE3"/>
    <w:rsid w:val="00842188"/>
    <w:rsid w:val="008620E5"/>
    <w:rsid w:val="00862DD4"/>
    <w:rsid w:val="008A10BF"/>
    <w:rsid w:val="008D10E7"/>
    <w:rsid w:val="008D720C"/>
    <w:rsid w:val="00925209"/>
    <w:rsid w:val="009702A1"/>
    <w:rsid w:val="00984DB0"/>
    <w:rsid w:val="009A0638"/>
    <w:rsid w:val="009B38C3"/>
    <w:rsid w:val="009E3DCB"/>
    <w:rsid w:val="009F1B1E"/>
    <w:rsid w:val="009F5F66"/>
    <w:rsid w:val="00A12B62"/>
    <w:rsid w:val="00A22BCF"/>
    <w:rsid w:val="00A22CB9"/>
    <w:rsid w:val="00A50A21"/>
    <w:rsid w:val="00A64CFC"/>
    <w:rsid w:val="00A67E37"/>
    <w:rsid w:val="00A758FD"/>
    <w:rsid w:val="00A96B98"/>
    <w:rsid w:val="00AA2B89"/>
    <w:rsid w:val="00AB49AE"/>
    <w:rsid w:val="00AE45B3"/>
    <w:rsid w:val="00AF6ED2"/>
    <w:rsid w:val="00B2659E"/>
    <w:rsid w:val="00B52043"/>
    <w:rsid w:val="00B72683"/>
    <w:rsid w:val="00BA0743"/>
    <w:rsid w:val="00BA6FEC"/>
    <w:rsid w:val="00BA7B94"/>
    <w:rsid w:val="00BE5119"/>
    <w:rsid w:val="00C013B5"/>
    <w:rsid w:val="00C74A51"/>
    <w:rsid w:val="00C91B6D"/>
    <w:rsid w:val="00CA56CF"/>
    <w:rsid w:val="00CB1302"/>
    <w:rsid w:val="00CB22CE"/>
    <w:rsid w:val="00CB5738"/>
    <w:rsid w:val="00CD1379"/>
    <w:rsid w:val="00CE0A86"/>
    <w:rsid w:val="00CE5BA5"/>
    <w:rsid w:val="00CF54A6"/>
    <w:rsid w:val="00CF7035"/>
    <w:rsid w:val="00D15513"/>
    <w:rsid w:val="00D20DD0"/>
    <w:rsid w:val="00D21B9C"/>
    <w:rsid w:val="00D30DF5"/>
    <w:rsid w:val="00D31DE3"/>
    <w:rsid w:val="00D31FDE"/>
    <w:rsid w:val="00D33A2A"/>
    <w:rsid w:val="00D358D7"/>
    <w:rsid w:val="00D454F4"/>
    <w:rsid w:val="00D507F7"/>
    <w:rsid w:val="00D513C3"/>
    <w:rsid w:val="00D6076C"/>
    <w:rsid w:val="00D80694"/>
    <w:rsid w:val="00DD09D7"/>
    <w:rsid w:val="00DE4640"/>
    <w:rsid w:val="00DE47CD"/>
    <w:rsid w:val="00DE65B5"/>
    <w:rsid w:val="00DE7436"/>
    <w:rsid w:val="00E304B8"/>
    <w:rsid w:val="00E47489"/>
    <w:rsid w:val="00E97844"/>
    <w:rsid w:val="00EA0159"/>
    <w:rsid w:val="00EA5394"/>
    <w:rsid w:val="00ED6F13"/>
    <w:rsid w:val="00EE51E5"/>
    <w:rsid w:val="00F1477A"/>
    <w:rsid w:val="00F652C5"/>
    <w:rsid w:val="00F7094C"/>
    <w:rsid w:val="00F76D78"/>
    <w:rsid w:val="00F77612"/>
    <w:rsid w:val="00FB4621"/>
    <w:rsid w:val="00FC3836"/>
    <w:rsid w:val="00FF1035"/>
    <w:rsid w:val="00FF6A41"/>
    <w:rsid w:val="00FF75E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address"/>
  <w:smartTagType w:namespaceuri="urn:schemas-microsoft-com:office:smarttags" w:name="PlaceType"/>
  <w:smartTagType w:namespaceuri="urn:schemas-microsoft-com:office:smarttags" w:name="PlaceName"/>
  <w:smartTagType w:namespaceuri="urn:schemas-microsoft-com:office:smarttags" w:name="Street"/>
  <w:smartTagType w:namespaceuri="urn:schemas-microsoft-com:office:smarttags" w:name="City"/>
  <w:smartTagType w:namespaceuri="urn:schemas-microsoft-com:office:smarttags" w:name="PostalCod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1477A"/>
  </w:style>
  <w:style w:type="paragraph" w:styleId="Heading1">
    <w:name w:val="heading 1"/>
    <w:basedOn w:val="Normal"/>
    <w:next w:val="Normal"/>
    <w:qFormat/>
    <w:rsid w:val="00F1477A"/>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F1477A"/>
    <w:pPr>
      <w:ind w:left="360"/>
    </w:pPr>
    <w:rPr>
      <w:sz w:val="24"/>
    </w:rPr>
  </w:style>
  <w:style w:type="paragraph" w:styleId="Header">
    <w:name w:val="header"/>
    <w:basedOn w:val="Normal"/>
    <w:rsid w:val="00F1477A"/>
    <w:pPr>
      <w:tabs>
        <w:tab w:val="center" w:pos="4320"/>
        <w:tab w:val="right" w:pos="8640"/>
      </w:tabs>
    </w:pPr>
  </w:style>
  <w:style w:type="paragraph" w:styleId="Footer">
    <w:name w:val="footer"/>
    <w:basedOn w:val="Normal"/>
    <w:link w:val="FooterChar"/>
    <w:uiPriority w:val="99"/>
    <w:rsid w:val="00F1477A"/>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character" w:styleId="Hyperlink">
    <w:name w:val="Hyperlink"/>
    <w:basedOn w:val="DefaultParagraphFont"/>
    <w:rsid w:val="00315F7E"/>
    <w:rPr>
      <w:color w:val="0000FF"/>
      <w:u w:val="single"/>
    </w:rPr>
  </w:style>
  <w:style w:type="paragraph" w:styleId="ListParagraph">
    <w:name w:val="List Paragraph"/>
    <w:basedOn w:val="Normal"/>
    <w:uiPriority w:val="34"/>
    <w:qFormat/>
    <w:rsid w:val="00D15513"/>
    <w:pPr>
      <w:ind w:left="720"/>
      <w:contextualSpacing/>
    </w:pPr>
    <w:rPr>
      <w:sz w:val="26"/>
      <w:szCs w:val="24"/>
    </w:rPr>
  </w:style>
  <w:style w:type="paragraph" w:styleId="FootnoteText">
    <w:name w:val="footnote text"/>
    <w:basedOn w:val="Normal"/>
    <w:link w:val="FootnoteTextChar"/>
    <w:rsid w:val="00EE51E5"/>
    <w:rPr>
      <w:b/>
    </w:rPr>
  </w:style>
  <w:style w:type="character" w:customStyle="1" w:styleId="FootnoteTextChar">
    <w:name w:val="Footnote Text Char"/>
    <w:basedOn w:val="DefaultParagraphFont"/>
    <w:link w:val="FootnoteText"/>
    <w:rsid w:val="00EE51E5"/>
    <w:rPr>
      <w:b/>
    </w:rPr>
  </w:style>
  <w:style w:type="character" w:styleId="FootnoteReference">
    <w:name w:val="footnote reference"/>
    <w:basedOn w:val="DefaultParagraphFont"/>
    <w:rsid w:val="00EE51E5"/>
    <w:rPr>
      <w:vertAlign w:val="superscript"/>
    </w:rPr>
  </w:style>
  <w:style w:type="character" w:customStyle="1" w:styleId="FooterChar">
    <w:name w:val="Footer Char"/>
    <w:basedOn w:val="DefaultParagraphFont"/>
    <w:link w:val="Footer"/>
    <w:uiPriority w:val="99"/>
    <w:rsid w:val="001B78A0"/>
  </w:style>
</w:styles>
</file>

<file path=word/webSettings.xml><?xml version="1.0" encoding="utf-8"?>
<w:webSettings xmlns:r="http://schemas.openxmlformats.org/officeDocument/2006/relationships" xmlns:w="http://schemas.openxmlformats.org/wordprocessingml/2006/main">
  <w:divs>
    <w:div w:id="1788036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hyperlink" Target="mailto:ra-ocmo@state.pa.us"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742F33-BF66-4F71-A5A1-3D4CB4E001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1064</Words>
  <Characters>6069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lpstr>
    </vt:vector>
  </TitlesOfParts>
  <Company>PA PUC</Company>
  <LinksUpToDate>false</LinksUpToDate>
  <CharactersWithSpaces>7119</CharactersWithSpaces>
  <SharedDoc>false</SharedDoc>
  <HLinks>
    <vt:vector size="6" baseType="variant">
      <vt:variant>
        <vt:i4>786550</vt:i4>
      </vt:variant>
      <vt:variant>
        <vt:i4>0</vt:i4>
      </vt:variant>
      <vt:variant>
        <vt:i4>0</vt:i4>
      </vt:variant>
      <vt:variant>
        <vt:i4>5</vt:i4>
      </vt:variant>
      <vt:variant>
        <vt:lpwstr>mailto:ra-Act129@state.pa.us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NASON</dc:creator>
  <cp:keywords/>
  <dc:description/>
  <cp:lastModifiedBy>Administrator</cp:lastModifiedBy>
  <cp:revision>3</cp:revision>
  <cp:lastPrinted>2011-03-24T18:41:00Z</cp:lastPrinted>
  <dcterms:created xsi:type="dcterms:W3CDTF">2011-03-24T16:16:00Z</dcterms:created>
  <dcterms:modified xsi:type="dcterms:W3CDTF">2011-03-24T18:41:00Z</dcterms:modified>
</cp:coreProperties>
</file>