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E23926">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3569E8" w:rsidRPr="00E23926" w:rsidRDefault="00E23926" w:rsidP="00CA358F">
            <w:pPr>
              <w:jc w:val="right"/>
              <w:rPr>
                <w:rFonts w:ascii="Arial" w:hAnsi="Arial"/>
                <w:sz w:val="16"/>
                <w:szCs w:val="16"/>
              </w:rPr>
            </w:pPr>
            <w:r w:rsidRPr="00E23926">
              <w:rPr>
                <w:sz w:val="16"/>
                <w:szCs w:val="16"/>
              </w:rPr>
              <w:t>M</w:t>
            </w:r>
            <w:r w:rsidRPr="00E23926">
              <w:rPr>
                <w:sz w:val="16"/>
                <w:szCs w:val="16"/>
              </w:rPr>
              <w:noBreakHyphen/>
              <w:t>200</w:t>
            </w:r>
            <w:r w:rsidR="00CA358F">
              <w:rPr>
                <w:sz w:val="16"/>
                <w:szCs w:val="16"/>
              </w:rPr>
              <w:t>8</w:t>
            </w:r>
            <w:r w:rsidRPr="00E23926">
              <w:rPr>
                <w:sz w:val="16"/>
                <w:szCs w:val="16"/>
              </w:rPr>
              <w:noBreakHyphen/>
              <w:t>20</w:t>
            </w:r>
            <w:r w:rsidR="00CA358F">
              <w:rPr>
                <w:sz w:val="16"/>
                <w:szCs w:val="16"/>
              </w:rPr>
              <w:t>69887</w:t>
            </w:r>
          </w:p>
        </w:tc>
      </w:tr>
    </w:tbl>
    <w:p w:rsidR="00FA0E37" w:rsidRDefault="00531B95" w:rsidP="00FA0E37">
      <w:pPr>
        <w:jc w:val="center"/>
        <w:rPr>
          <w:b/>
          <w:sz w:val="26"/>
          <w:szCs w:val="26"/>
        </w:rPr>
      </w:pPr>
      <w:r>
        <w:rPr>
          <w:b/>
          <w:sz w:val="26"/>
          <w:szCs w:val="26"/>
        </w:rPr>
        <w:t>March 4, 2011</w:t>
      </w:r>
    </w:p>
    <w:p w:rsidR="006C73CB" w:rsidRDefault="006C73CB" w:rsidP="00FA0E37">
      <w:pPr>
        <w:jc w:val="center"/>
        <w:rPr>
          <w:b/>
          <w:sz w:val="26"/>
          <w:szCs w:val="26"/>
        </w:rPr>
      </w:pPr>
    </w:p>
    <w:p w:rsidR="001E1BF3" w:rsidRDefault="001E1BF3" w:rsidP="00FA0E37">
      <w:pPr>
        <w:jc w:val="center"/>
        <w:rPr>
          <w:b/>
          <w:sz w:val="26"/>
          <w:szCs w:val="26"/>
        </w:rPr>
      </w:pPr>
    </w:p>
    <w:p w:rsidR="00BE4A72" w:rsidRPr="006C73CB" w:rsidRDefault="00E23926" w:rsidP="00BE4A72">
      <w:pPr>
        <w:rPr>
          <w:sz w:val="24"/>
          <w:szCs w:val="24"/>
        </w:rPr>
      </w:pPr>
      <w:r w:rsidRPr="006C73CB">
        <w:rPr>
          <w:sz w:val="24"/>
          <w:szCs w:val="24"/>
        </w:rPr>
        <w:t>TO ALL INTERESTED PARTIES:</w:t>
      </w:r>
    </w:p>
    <w:p w:rsidR="00C90506" w:rsidRPr="006C73CB" w:rsidRDefault="00C90506" w:rsidP="00BE4A72">
      <w:pPr>
        <w:rPr>
          <w:sz w:val="24"/>
          <w:szCs w:val="24"/>
        </w:rPr>
      </w:pPr>
    </w:p>
    <w:p w:rsidR="009B23D8" w:rsidRPr="006C73CB" w:rsidRDefault="009B23D8" w:rsidP="00CD0FDC">
      <w:pPr>
        <w:ind w:left="1440" w:hanging="720"/>
        <w:rPr>
          <w:sz w:val="24"/>
          <w:szCs w:val="24"/>
        </w:rPr>
      </w:pPr>
      <w:r w:rsidRPr="006C73CB">
        <w:rPr>
          <w:sz w:val="24"/>
          <w:szCs w:val="24"/>
        </w:rPr>
        <w:t>Re:</w:t>
      </w:r>
      <w:r w:rsidR="00C77F29" w:rsidRPr="006C73CB">
        <w:rPr>
          <w:sz w:val="24"/>
          <w:szCs w:val="24"/>
        </w:rPr>
        <w:tab/>
      </w:r>
      <w:r w:rsidR="00CA358F" w:rsidRPr="006C73CB">
        <w:rPr>
          <w:sz w:val="24"/>
          <w:szCs w:val="24"/>
        </w:rPr>
        <w:t>Energy Efficiency and Conservation Program</w:t>
      </w:r>
      <w:r w:rsidR="00CD0FDC" w:rsidRPr="006C73CB">
        <w:rPr>
          <w:sz w:val="24"/>
          <w:szCs w:val="24"/>
        </w:rPr>
        <w:t>.</w:t>
      </w:r>
    </w:p>
    <w:p w:rsidR="00CD0FDC" w:rsidRPr="006C73CB" w:rsidRDefault="00CD0FDC" w:rsidP="00CD0FDC">
      <w:pPr>
        <w:ind w:left="1440" w:hanging="720"/>
        <w:rPr>
          <w:sz w:val="24"/>
          <w:szCs w:val="24"/>
        </w:rPr>
      </w:pPr>
      <w:r w:rsidRPr="006C73CB">
        <w:rPr>
          <w:sz w:val="24"/>
          <w:szCs w:val="24"/>
        </w:rPr>
        <w:tab/>
        <w:t>Docket No. M-200</w:t>
      </w:r>
      <w:r w:rsidR="00016C43" w:rsidRPr="006C73CB">
        <w:rPr>
          <w:sz w:val="24"/>
          <w:szCs w:val="24"/>
        </w:rPr>
        <w:t>8</w:t>
      </w:r>
      <w:r w:rsidRPr="006C73CB">
        <w:rPr>
          <w:sz w:val="24"/>
          <w:szCs w:val="24"/>
        </w:rPr>
        <w:t>-20</w:t>
      </w:r>
      <w:r w:rsidR="00016C43" w:rsidRPr="006C73CB">
        <w:rPr>
          <w:sz w:val="24"/>
          <w:szCs w:val="24"/>
        </w:rPr>
        <w:t>69887</w:t>
      </w:r>
    </w:p>
    <w:p w:rsidR="00C90506" w:rsidRPr="006C73CB" w:rsidRDefault="00C90506" w:rsidP="009E40EC">
      <w:pPr>
        <w:rPr>
          <w:sz w:val="24"/>
          <w:szCs w:val="24"/>
        </w:rPr>
      </w:pPr>
    </w:p>
    <w:p w:rsidR="00C90506" w:rsidRPr="006C73CB" w:rsidRDefault="00C90506" w:rsidP="009E40EC">
      <w:pPr>
        <w:rPr>
          <w:sz w:val="24"/>
          <w:szCs w:val="24"/>
        </w:rPr>
      </w:pPr>
    </w:p>
    <w:p w:rsidR="00433409" w:rsidRPr="006C73CB" w:rsidRDefault="0000221E" w:rsidP="009526CA">
      <w:pPr>
        <w:jc w:val="both"/>
        <w:rPr>
          <w:sz w:val="24"/>
          <w:szCs w:val="24"/>
        </w:rPr>
      </w:pPr>
      <w:r w:rsidRPr="006C73CB">
        <w:rPr>
          <w:sz w:val="24"/>
          <w:szCs w:val="24"/>
        </w:rPr>
        <w:tab/>
      </w:r>
      <w:r w:rsidR="00881B7D" w:rsidRPr="006C73CB">
        <w:rPr>
          <w:sz w:val="24"/>
          <w:szCs w:val="24"/>
        </w:rPr>
        <w:t xml:space="preserve">Act 129 requires that by November 30, 2013, the Pennsylvania Public </w:t>
      </w:r>
      <w:r w:rsidR="00715A3C" w:rsidRPr="006C73CB">
        <w:rPr>
          <w:sz w:val="24"/>
          <w:szCs w:val="24"/>
        </w:rPr>
        <w:t>U</w:t>
      </w:r>
      <w:r w:rsidR="00881B7D" w:rsidRPr="006C73CB">
        <w:rPr>
          <w:sz w:val="24"/>
          <w:szCs w:val="24"/>
        </w:rPr>
        <w:t>tility Commission (Commission) must compare the total costs for obtaining peak demand reductions with the total savings in energy and capacity costs to retail customers</w:t>
      </w:r>
      <w:r w:rsidR="00A5263D" w:rsidRPr="006C73CB">
        <w:rPr>
          <w:sz w:val="24"/>
          <w:szCs w:val="24"/>
        </w:rPr>
        <w:t>.</w:t>
      </w:r>
      <w:r w:rsidR="00881B7D" w:rsidRPr="006C73CB">
        <w:rPr>
          <w:sz w:val="24"/>
          <w:szCs w:val="24"/>
        </w:rPr>
        <w:t xml:space="preserve">  If the Commission determines that the benefits exceed the costs, the Commission is to set additional incremental requirements for reduction in peak demand for the 100 hours of greatest demand or an alternative reduction approved by the Commission.</w:t>
      </w:r>
      <w:r w:rsidR="00881B7D" w:rsidRPr="006C73CB">
        <w:rPr>
          <w:rStyle w:val="FootnoteReference"/>
          <w:sz w:val="24"/>
          <w:szCs w:val="24"/>
        </w:rPr>
        <w:footnoteReference w:id="1"/>
      </w:r>
      <w:r w:rsidR="001A2DCD" w:rsidRPr="006C73CB">
        <w:rPr>
          <w:sz w:val="24"/>
          <w:szCs w:val="24"/>
        </w:rPr>
        <w:t xml:space="preserve">  In order to fully assess the costs and benefits of </w:t>
      </w:r>
      <w:r w:rsidR="00D77B80" w:rsidRPr="006C73CB">
        <w:rPr>
          <w:sz w:val="24"/>
          <w:szCs w:val="24"/>
        </w:rPr>
        <w:t xml:space="preserve">current </w:t>
      </w:r>
      <w:r w:rsidR="001A2DCD" w:rsidRPr="006C73CB">
        <w:rPr>
          <w:sz w:val="24"/>
          <w:szCs w:val="24"/>
        </w:rPr>
        <w:t xml:space="preserve">peak demand reductions and to determine the optimum </w:t>
      </w:r>
      <w:r w:rsidR="00134A78" w:rsidRPr="006C73CB">
        <w:rPr>
          <w:sz w:val="24"/>
          <w:szCs w:val="24"/>
        </w:rPr>
        <w:t>method to obtain cost</w:t>
      </w:r>
      <w:r w:rsidR="00483A89" w:rsidRPr="006C73CB">
        <w:rPr>
          <w:sz w:val="24"/>
          <w:szCs w:val="24"/>
        </w:rPr>
        <w:t>-</w:t>
      </w:r>
      <w:r w:rsidR="00134A78" w:rsidRPr="006C73CB">
        <w:rPr>
          <w:sz w:val="24"/>
          <w:szCs w:val="24"/>
        </w:rPr>
        <w:t xml:space="preserve">effective </w:t>
      </w:r>
      <w:r w:rsidR="001A2DCD" w:rsidRPr="006C73CB">
        <w:rPr>
          <w:sz w:val="24"/>
          <w:szCs w:val="24"/>
        </w:rPr>
        <w:t>peak demand reduction</w:t>
      </w:r>
      <w:r w:rsidR="00134A78" w:rsidRPr="006C73CB">
        <w:rPr>
          <w:sz w:val="24"/>
          <w:szCs w:val="24"/>
        </w:rPr>
        <w:t xml:space="preserve">s </w:t>
      </w:r>
      <w:r w:rsidR="00D77B80" w:rsidRPr="006C73CB">
        <w:rPr>
          <w:sz w:val="24"/>
          <w:szCs w:val="24"/>
        </w:rPr>
        <w:t xml:space="preserve">in the future, the Commission needs to obtain relevant data from existing peak demand reduction </w:t>
      </w:r>
      <w:r w:rsidR="008427B0" w:rsidRPr="006C73CB">
        <w:rPr>
          <w:sz w:val="24"/>
          <w:szCs w:val="24"/>
        </w:rPr>
        <w:t>efforts</w:t>
      </w:r>
      <w:r w:rsidR="002C4503" w:rsidRPr="006C73CB">
        <w:rPr>
          <w:sz w:val="24"/>
          <w:szCs w:val="24"/>
        </w:rPr>
        <w:t xml:space="preserve">.  </w:t>
      </w:r>
    </w:p>
    <w:p w:rsidR="00433409" w:rsidRPr="006C73CB" w:rsidRDefault="00433409" w:rsidP="009526CA">
      <w:pPr>
        <w:jc w:val="both"/>
        <w:rPr>
          <w:sz w:val="24"/>
          <w:szCs w:val="24"/>
        </w:rPr>
      </w:pPr>
    </w:p>
    <w:p w:rsidR="00BE4A72" w:rsidRPr="006C73CB" w:rsidRDefault="002C4503" w:rsidP="009526CA">
      <w:pPr>
        <w:ind w:firstLine="720"/>
        <w:jc w:val="both"/>
        <w:rPr>
          <w:sz w:val="24"/>
          <w:szCs w:val="24"/>
        </w:rPr>
      </w:pPr>
      <w:r w:rsidRPr="006C73CB">
        <w:rPr>
          <w:sz w:val="24"/>
          <w:szCs w:val="24"/>
        </w:rPr>
        <w:t xml:space="preserve">With this Secretarial Letter, the Commission is directing </w:t>
      </w:r>
      <w:r w:rsidR="008427B0" w:rsidRPr="006C73CB">
        <w:rPr>
          <w:sz w:val="24"/>
          <w:szCs w:val="24"/>
        </w:rPr>
        <w:t>all electric distribution companies (EDCs) with an Act 129 energy efficiency and conservation obligation</w:t>
      </w:r>
      <w:r w:rsidRPr="006C73CB">
        <w:rPr>
          <w:sz w:val="24"/>
          <w:szCs w:val="24"/>
        </w:rPr>
        <w:t xml:space="preserve"> to obtain and provide such data to the Act 129 Statewide Evaluator (SWE).  The Commission notes that this </w:t>
      </w:r>
      <w:proofErr w:type="gramStart"/>
      <w:r w:rsidRPr="006C73CB">
        <w:rPr>
          <w:sz w:val="24"/>
          <w:szCs w:val="24"/>
        </w:rPr>
        <w:t>data</w:t>
      </w:r>
      <w:proofErr w:type="gramEnd"/>
      <w:r w:rsidRPr="006C73CB">
        <w:rPr>
          <w:sz w:val="24"/>
          <w:szCs w:val="24"/>
        </w:rPr>
        <w:t xml:space="preserve"> is to be used by the SWE, </w:t>
      </w:r>
      <w:r w:rsidR="0080690D" w:rsidRPr="006C73CB">
        <w:rPr>
          <w:sz w:val="24"/>
          <w:szCs w:val="24"/>
        </w:rPr>
        <w:t>solely</w:t>
      </w:r>
      <w:r w:rsidR="00472043" w:rsidRPr="006C73CB">
        <w:rPr>
          <w:sz w:val="24"/>
          <w:szCs w:val="24"/>
        </w:rPr>
        <w:t xml:space="preserve"> to determine whether there is a more optimum method to obtain cost</w:t>
      </w:r>
      <w:r w:rsidR="00433409" w:rsidRPr="006C73CB">
        <w:rPr>
          <w:sz w:val="24"/>
          <w:szCs w:val="24"/>
        </w:rPr>
        <w:t>-</w:t>
      </w:r>
      <w:r w:rsidR="00472043" w:rsidRPr="006C73CB">
        <w:rPr>
          <w:sz w:val="24"/>
          <w:szCs w:val="24"/>
        </w:rPr>
        <w:t>effective peak demand reductions subsequent to the current peak demand reduction mandate found in Act 129.</w:t>
      </w:r>
      <w:r w:rsidR="00472043" w:rsidRPr="006C73CB">
        <w:rPr>
          <w:rStyle w:val="FootnoteReference"/>
          <w:sz w:val="24"/>
          <w:szCs w:val="24"/>
        </w:rPr>
        <w:footnoteReference w:id="2"/>
      </w:r>
    </w:p>
    <w:p w:rsidR="00A5263D" w:rsidRPr="006C73CB" w:rsidRDefault="00A5263D" w:rsidP="009526CA">
      <w:pPr>
        <w:jc w:val="both"/>
        <w:rPr>
          <w:sz w:val="24"/>
          <w:szCs w:val="24"/>
        </w:rPr>
      </w:pPr>
    </w:p>
    <w:p w:rsidR="00A20C12" w:rsidRPr="006C73CB" w:rsidRDefault="00A5263D" w:rsidP="009526CA">
      <w:pPr>
        <w:jc w:val="both"/>
        <w:rPr>
          <w:sz w:val="24"/>
          <w:szCs w:val="24"/>
        </w:rPr>
      </w:pPr>
      <w:r w:rsidRPr="006C73CB">
        <w:rPr>
          <w:sz w:val="24"/>
          <w:szCs w:val="24"/>
        </w:rPr>
        <w:tab/>
      </w:r>
      <w:r w:rsidR="00A01138" w:rsidRPr="006C73CB">
        <w:rPr>
          <w:sz w:val="24"/>
          <w:szCs w:val="24"/>
        </w:rPr>
        <w:t>T</w:t>
      </w:r>
      <w:r w:rsidR="0080690D" w:rsidRPr="006C73CB">
        <w:rPr>
          <w:sz w:val="24"/>
          <w:szCs w:val="24"/>
        </w:rPr>
        <w:t xml:space="preserve">he Commission directs </w:t>
      </w:r>
      <w:r w:rsidR="008427B0" w:rsidRPr="006C73CB">
        <w:rPr>
          <w:sz w:val="24"/>
          <w:szCs w:val="24"/>
        </w:rPr>
        <w:t xml:space="preserve">the </w:t>
      </w:r>
      <w:r w:rsidR="0080690D" w:rsidRPr="006C73CB">
        <w:rPr>
          <w:sz w:val="24"/>
          <w:szCs w:val="24"/>
        </w:rPr>
        <w:t xml:space="preserve">EDCs to provide to the SWE all data and </w:t>
      </w:r>
      <w:r w:rsidR="00694301" w:rsidRPr="006C73CB">
        <w:rPr>
          <w:sz w:val="24"/>
          <w:szCs w:val="24"/>
        </w:rPr>
        <w:t>documentation necessary and reasonably available</w:t>
      </w:r>
      <w:r w:rsidR="006843D3" w:rsidRPr="006C73CB">
        <w:rPr>
          <w:rStyle w:val="FootnoteReference"/>
          <w:sz w:val="24"/>
          <w:szCs w:val="24"/>
        </w:rPr>
        <w:footnoteReference w:id="3"/>
      </w:r>
      <w:r w:rsidR="00694301" w:rsidRPr="006C73CB">
        <w:rPr>
          <w:sz w:val="24"/>
          <w:szCs w:val="24"/>
        </w:rPr>
        <w:t xml:space="preserve"> to verify and quantify any load reducing actions taken to facilitate the evaluation of the overall impact of demand response activities and the rigor of protocols and procedures established by PJM Interconnection LLC</w:t>
      </w:r>
      <w:r w:rsidR="00C46EDA" w:rsidRPr="006C73CB">
        <w:rPr>
          <w:sz w:val="24"/>
          <w:szCs w:val="24"/>
        </w:rPr>
        <w:t xml:space="preserve"> (PJM), Regional Transmission Organization</w:t>
      </w:r>
      <w:r w:rsidR="00694301" w:rsidRPr="006C73CB">
        <w:rPr>
          <w:sz w:val="24"/>
          <w:szCs w:val="24"/>
        </w:rPr>
        <w:t xml:space="preserve">.  This data and documentation is to include, without limitation, </w:t>
      </w:r>
      <w:r w:rsidR="00A01138" w:rsidRPr="006C73CB">
        <w:rPr>
          <w:sz w:val="24"/>
          <w:szCs w:val="24"/>
        </w:rPr>
        <w:t xml:space="preserve">individual customer data for all customers enrolled in the EDCs’ Act 129 demand response programs for the entire </w:t>
      </w:r>
      <w:r w:rsidR="0057487F" w:rsidRPr="006C73CB">
        <w:rPr>
          <w:sz w:val="24"/>
          <w:szCs w:val="24"/>
        </w:rPr>
        <w:t>time the customer is enrolled in the Act 129 demand response program</w:t>
      </w:r>
      <w:r w:rsidR="005B0327" w:rsidRPr="006C73CB">
        <w:rPr>
          <w:sz w:val="24"/>
          <w:szCs w:val="24"/>
        </w:rPr>
        <w:t>, to include, but not limited to,</w:t>
      </w:r>
      <w:r w:rsidR="00A01138" w:rsidRPr="006C73CB">
        <w:rPr>
          <w:sz w:val="24"/>
          <w:szCs w:val="24"/>
        </w:rPr>
        <w:t xml:space="preserve"> </w:t>
      </w:r>
      <w:r w:rsidR="00694301" w:rsidRPr="006C73CB">
        <w:rPr>
          <w:sz w:val="24"/>
          <w:szCs w:val="24"/>
        </w:rPr>
        <w:t>the following:</w:t>
      </w:r>
    </w:p>
    <w:p w:rsidR="00EA4C08" w:rsidRPr="006C73CB" w:rsidRDefault="00EA4C08" w:rsidP="009526CA">
      <w:pPr>
        <w:jc w:val="both"/>
        <w:rPr>
          <w:sz w:val="24"/>
          <w:szCs w:val="24"/>
        </w:rPr>
      </w:pPr>
    </w:p>
    <w:p w:rsidR="00C46EDA" w:rsidRPr="006C73CB" w:rsidRDefault="005B0327" w:rsidP="009526CA">
      <w:pPr>
        <w:pStyle w:val="ListParagraph"/>
        <w:numPr>
          <w:ilvl w:val="0"/>
          <w:numId w:val="12"/>
        </w:numPr>
        <w:jc w:val="both"/>
        <w:rPr>
          <w:sz w:val="24"/>
          <w:szCs w:val="24"/>
        </w:rPr>
      </w:pPr>
      <w:r w:rsidRPr="006C73CB">
        <w:rPr>
          <w:sz w:val="24"/>
          <w:szCs w:val="24"/>
        </w:rPr>
        <w:t xml:space="preserve">All capacity period hourly load data for each </w:t>
      </w:r>
      <w:r w:rsidR="00E62236" w:rsidRPr="006C73CB">
        <w:rPr>
          <w:sz w:val="24"/>
          <w:szCs w:val="24"/>
        </w:rPr>
        <w:t>enrolled</w:t>
      </w:r>
      <w:r w:rsidRPr="006C73CB">
        <w:rPr>
          <w:sz w:val="24"/>
          <w:szCs w:val="24"/>
        </w:rPr>
        <w:t xml:space="preserve"> end use customer</w:t>
      </w:r>
      <w:r w:rsidR="006843D3" w:rsidRPr="006C73CB">
        <w:rPr>
          <w:sz w:val="24"/>
          <w:szCs w:val="24"/>
        </w:rPr>
        <w:t>.</w:t>
      </w:r>
    </w:p>
    <w:p w:rsidR="002874B9" w:rsidRPr="006C73CB" w:rsidRDefault="002874B9" w:rsidP="009526CA">
      <w:pPr>
        <w:pStyle w:val="ListParagraph"/>
        <w:numPr>
          <w:ilvl w:val="0"/>
          <w:numId w:val="12"/>
        </w:numPr>
        <w:jc w:val="both"/>
        <w:rPr>
          <w:sz w:val="24"/>
          <w:szCs w:val="24"/>
        </w:rPr>
        <w:sectPr w:rsidR="002874B9" w:rsidRPr="006C73CB" w:rsidSect="006C73CB">
          <w:footerReference w:type="even" r:id="rId9"/>
          <w:footerReference w:type="default" r:id="rId10"/>
          <w:pgSz w:w="12240" w:h="15840"/>
          <w:pgMar w:top="504" w:right="1440" w:bottom="1152" w:left="1440" w:header="720" w:footer="720" w:gutter="0"/>
          <w:cols w:space="720"/>
          <w:titlePg/>
          <w:docGrid w:linePitch="272"/>
        </w:sectPr>
      </w:pPr>
    </w:p>
    <w:p w:rsidR="00FD48E7" w:rsidRPr="006C73CB" w:rsidRDefault="005B0327" w:rsidP="009526CA">
      <w:pPr>
        <w:pStyle w:val="ListParagraph"/>
        <w:numPr>
          <w:ilvl w:val="0"/>
          <w:numId w:val="12"/>
        </w:numPr>
        <w:jc w:val="both"/>
        <w:rPr>
          <w:sz w:val="24"/>
          <w:szCs w:val="24"/>
        </w:rPr>
      </w:pPr>
      <w:r w:rsidRPr="006C73CB">
        <w:rPr>
          <w:sz w:val="24"/>
          <w:szCs w:val="24"/>
        </w:rPr>
        <w:lastRenderedPageBreak/>
        <w:t xml:space="preserve">Identification of all load control events and notifications of each load control event for each enrolled customer, whether the customer participated in an </w:t>
      </w:r>
      <w:r w:rsidR="00427AD9" w:rsidRPr="006C73CB">
        <w:rPr>
          <w:sz w:val="24"/>
          <w:szCs w:val="24"/>
        </w:rPr>
        <w:t>individual demand response event or not.</w:t>
      </w:r>
    </w:p>
    <w:p w:rsidR="00427AD9" w:rsidRPr="006C73CB" w:rsidRDefault="00427AD9" w:rsidP="009526CA">
      <w:pPr>
        <w:pStyle w:val="ListParagraph"/>
        <w:numPr>
          <w:ilvl w:val="0"/>
          <w:numId w:val="12"/>
        </w:numPr>
        <w:jc w:val="both"/>
        <w:rPr>
          <w:sz w:val="24"/>
          <w:szCs w:val="24"/>
        </w:rPr>
      </w:pPr>
      <w:r w:rsidRPr="006C73CB">
        <w:rPr>
          <w:sz w:val="24"/>
          <w:szCs w:val="24"/>
        </w:rPr>
        <w:t xml:space="preserve">For </w:t>
      </w:r>
      <w:r w:rsidR="0057487F" w:rsidRPr="006C73CB">
        <w:rPr>
          <w:sz w:val="24"/>
          <w:szCs w:val="24"/>
        </w:rPr>
        <w:t xml:space="preserve">non-residential </w:t>
      </w:r>
      <w:r w:rsidRPr="006C73CB">
        <w:rPr>
          <w:sz w:val="24"/>
          <w:szCs w:val="24"/>
        </w:rPr>
        <w:t>customers enrolled in Act 129 demand response programs, both Act 129 and PJM demand response events will be disclosed for each participant and for each hour of the event.  A complete list of program participant summary data, including claimed demand response impacts by each participant</w:t>
      </w:r>
      <w:r w:rsidR="00EA4C08" w:rsidRPr="006C73CB">
        <w:rPr>
          <w:sz w:val="24"/>
          <w:szCs w:val="24"/>
        </w:rPr>
        <w:t>, will be provided f</w:t>
      </w:r>
      <w:r w:rsidR="00E62236" w:rsidRPr="006C73CB">
        <w:rPr>
          <w:sz w:val="24"/>
          <w:szCs w:val="24"/>
        </w:rPr>
        <w:t>r</w:t>
      </w:r>
      <w:r w:rsidR="00EA4C08" w:rsidRPr="006C73CB">
        <w:rPr>
          <w:sz w:val="24"/>
          <w:szCs w:val="24"/>
        </w:rPr>
        <w:t>om which a sample set of participants will be selected for the provision of a complete data set.</w:t>
      </w:r>
    </w:p>
    <w:p w:rsidR="00EA4C08" w:rsidRPr="006C73CB" w:rsidRDefault="00EA4C08" w:rsidP="009526CA">
      <w:pPr>
        <w:jc w:val="both"/>
        <w:rPr>
          <w:sz w:val="24"/>
          <w:szCs w:val="24"/>
        </w:rPr>
      </w:pPr>
    </w:p>
    <w:p w:rsidR="00EA4C08" w:rsidRPr="006C73CB" w:rsidRDefault="00EA4C08" w:rsidP="009526CA">
      <w:pPr>
        <w:ind w:firstLine="720"/>
        <w:jc w:val="both"/>
        <w:rPr>
          <w:sz w:val="24"/>
          <w:szCs w:val="24"/>
        </w:rPr>
      </w:pPr>
      <w:r w:rsidRPr="006C73CB">
        <w:rPr>
          <w:sz w:val="24"/>
          <w:szCs w:val="24"/>
        </w:rPr>
        <w:t xml:space="preserve">The SWE will perform an analysis to assist the </w:t>
      </w:r>
      <w:r w:rsidR="00E73061" w:rsidRPr="006C73CB">
        <w:rPr>
          <w:sz w:val="24"/>
          <w:szCs w:val="24"/>
        </w:rPr>
        <w:t xml:space="preserve">Commission with </w:t>
      </w:r>
      <w:r w:rsidR="00A0790F" w:rsidRPr="006C73CB">
        <w:rPr>
          <w:sz w:val="24"/>
          <w:szCs w:val="24"/>
        </w:rPr>
        <w:t xml:space="preserve">a recommendation concerning </w:t>
      </w:r>
      <w:r w:rsidR="00E73061" w:rsidRPr="006C73CB">
        <w:rPr>
          <w:sz w:val="24"/>
          <w:szCs w:val="24"/>
        </w:rPr>
        <w:t>the development of peak demand reduction targets</w:t>
      </w:r>
      <w:r w:rsidR="00566443" w:rsidRPr="006C73CB">
        <w:rPr>
          <w:sz w:val="24"/>
          <w:szCs w:val="24"/>
        </w:rPr>
        <w:t>,</w:t>
      </w:r>
      <w:r w:rsidR="00E73061" w:rsidRPr="006C73CB">
        <w:rPr>
          <w:sz w:val="24"/>
          <w:szCs w:val="24"/>
        </w:rPr>
        <w:t xml:space="preserve"> performance hours </w:t>
      </w:r>
      <w:r w:rsidR="00566443" w:rsidRPr="006C73CB">
        <w:rPr>
          <w:sz w:val="24"/>
          <w:szCs w:val="24"/>
        </w:rPr>
        <w:t xml:space="preserve">and </w:t>
      </w:r>
      <w:r w:rsidR="00E73061" w:rsidRPr="006C73CB">
        <w:rPr>
          <w:sz w:val="24"/>
          <w:szCs w:val="24"/>
        </w:rPr>
        <w:t xml:space="preserve">future demand response protocols for 2013 and beyond.  This analysis will be conducted separately from the determination of compliance with the summer </w:t>
      </w:r>
      <w:r w:rsidR="00483A89" w:rsidRPr="006C73CB">
        <w:rPr>
          <w:sz w:val="24"/>
          <w:szCs w:val="24"/>
        </w:rPr>
        <w:t xml:space="preserve">of </w:t>
      </w:r>
      <w:r w:rsidR="00E73061" w:rsidRPr="006C73CB">
        <w:rPr>
          <w:sz w:val="24"/>
          <w:szCs w:val="24"/>
        </w:rPr>
        <w:t>2012 peak demand reduction mandates.  It is the Commission’s intent that the analysis will only be used prospectively to help i</w:t>
      </w:r>
      <w:r w:rsidR="00590DCB" w:rsidRPr="006C73CB">
        <w:rPr>
          <w:sz w:val="24"/>
          <w:szCs w:val="24"/>
        </w:rPr>
        <w:t>n</w:t>
      </w:r>
      <w:r w:rsidR="00E73061" w:rsidRPr="006C73CB">
        <w:rPr>
          <w:sz w:val="24"/>
          <w:szCs w:val="24"/>
        </w:rPr>
        <w:t xml:space="preserve">form or determine </w:t>
      </w:r>
      <w:r w:rsidR="00A0790F" w:rsidRPr="006C73CB">
        <w:rPr>
          <w:sz w:val="24"/>
          <w:szCs w:val="24"/>
        </w:rPr>
        <w:t xml:space="preserve">whether additional reductions will be required and if so, the </w:t>
      </w:r>
      <w:r w:rsidR="00590DCB" w:rsidRPr="006C73CB">
        <w:rPr>
          <w:sz w:val="24"/>
          <w:szCs w:val="24"/>
        </w:rPr>
        <w:t>peak load reduction targets, as well as measurement and verification protocols for periods beginning after May 31, 2013.</w:t>
      </w:r>
    </w:p>
    <w:p w:rsidR="0050362A" w:rsidRPr="006C73CB" w:rsidRDefault="0050362A" w:rsidP="009526CA">
      <w:pPr>
        <w:ind w:firstLine="720"/>
        <w:jc w:val="both"/>
        <w:rPr>
          <w:sz w:val="24"/>
          <w:szCs w:val="24"/>
        </w:rPr>
      </w:pPr>
    </w:p>
    <w:p w:rsidR="0050362A" w:rsidRPr="006C73CB" w:rsidRDefault="0050362A" w:rsidP="009526CA">
      <w:pPr>
        <w:ind w:firstLine="720"/>
        <w:jc w:val="both"/>
        <w:rPr>
          <w:sz w:val="24"/>
          <w:szCs w:val="24"/>
        </w:rPr>
      </w:pPr>
      <w:r w:rsidRPr="006C73CB">
        <w:rPr>
          <w:sz w:val="24"/>
          <w:szCs w:val="24"/>
        </w:rPr>
        <w:t>Since the analysis detailed above is beyond the scope of work in the current SWE contract, the incremental cost to perform the analysis shall be funded by the EDCs subject to Act 129</w:t>
      </w:r>
      <w:r w:rsidR="004A5F4E" w:rsidRPr="006C73CB">
        <w:rPr>
          <w:sz w:val="24"/>
          <w:szCs w:val="24"/>
        </w:rPr>
        <w:t>.  This incremental cost</w:t>
      </w:r>
      <w:r w:rsidRPr="006C73CB">
        <w:rPr>
          <w:sz w:val="24"/>
          <w:szCs w:val="24"/>
        </w:rPr>
        <w:t xml:space="preserve"> shall be recoverable by the EDCs through the non-</w:t>
      </w:r>
      <w:proofErr w:type="spellStart"/>
      <w:r w:rsidRPr="006C73CB">
        <w:rPr>
          <w:sz w:val="24"/>
          <w:szCs w:val="24"/>
        </w:rPr>
        <w:t>bypassable</w:t>
      </w:r>
      <w:proofErr w:type="spellEnd"/>
      <w:r w:rsidRPr="006C73CB">
        <w:rPr>
          <w:sz w:val="24"/>
          <w:szCs w:val="24"/>
        </w:rPr>
        <w:t xml:space="preserve"> Act 129 surcharge, and </w:t>
      </w:r>
      <w:r w:rsidR="004A5F4E" w:rsidRPr="006C73CB">
        <w:rPr>
          <w:sz w:val="24"/>
          <w:szCs w:val="24"/>
        </w:rPr>
        <w:t>will</w:t>
      </w:r>
      <w:r w:rsidRPr="006C73CB">
        <w:rPr>
          <w:sz w:val="24"/>
          <w:szCs w:val="24"/>
        </w:rPr>
        <w:t xml:space="preserve"> not </w:t>
      </w:r>
      <w:r w:rsidR="004A5F4E" w:rsidRPr="006C73CB">
        <w:rPr>
          <w:sz w:val="24"/>
          <w:szCs w:val="24"/>
        </w:rPr>
        <w:t xml:space="preserve">count toward the two percent of revenue spending cap associated with Act 129 EE&amp;C plans.  </w:t>
      </w:r>
      <w:r w:rsidR="00126434" w:rsidRPr="006C73CB">
        <w:rPr>
          <w:sz w:val="24"/>
          <w:szCs w:val="24"/>
        </w:rPr>
        <w:t>T</w:t>
      </w:r>
      <w:r w:rsidR="004A5F4E" w:rsidRPr="006C73CB">
        <w:rPr>
          <w:sz w:val="24"/>
          <w:szCs w:val="24"/>
        </w:rPr>
        <w:t xml:space="preserve">his </w:t>
      </w:r>
      <w:r w:rsidR="00126434" w:rsidRPr="006C73CB">
        <w:rPr>
          <w:sz w:val="24"/>
          <w:szCs w:val="24"/>
        </w:rPr>
        <w:t>method is</w:t>
      </w:r>
      <w:r w:rsidR="004A5F4E" w:rsidRPr="006C73CB">
        <w:rPr>
          <w:sz w:val="24"/>
          <w:szCs w:val="24"/>
        </w:rPr>
        <w:t xml:space="preserve"> consistent with the Commission’s current practice in dealing with other SWE and Act 129 expenses.</w:t>
      </w:r>
    </w:p>
    <w:p w:rsidR="00590DCB" w:rsidRPr="006C73CB" w:rsidRDefault="00590DCB" w:rsidP="009526CA">
      <w:pPr>
        <w:ind w:firstLine="720"/>
        <w:jc w:val="both"/>
        <w:rPr>
          <w:sz w:val="24"/>
          <w:szCs w:val="24"/>
        </w:rPr>
      </w:pPr>
    </w:p>
    <w:p w:rsidR="00A20C12" w:rsidRPr="006C73CB" w:rsidRDefault="002B37D7" w:rsidP="009526CA">
      <w:pPr>
        <w:ind w:firstLine="360"/>
        <w:jc w:val="both"/>
        <w:rPr>
          <w:sz w:val="24"/>
          <w:szCs w:val="24"/>
        </w:rPr>
      </w:pPr>
      <w:r w:rsidRPr="006C73CB">
        <w:rPr>
          <w:sz w:val="24"/>
          <w:szCs w:val="24"/>
        </w:rPr>
        <w:tab/>
      </w:r>
      <w:r w:rsidR="00A20C12" w:rsidRPr="006C73CB">
        <w:rPr>
          <w:sz w:val="24"/>
          <w:szCs w:val="24"/>
        </w:rPr>
        <w:t xml:space="preserve">If you have any questions regarding this </w:t>
      </w:r>
      <w:r w:rsidR="0071761F" w:rsidRPr="006C73CB">
        <w:rPr>
          <w:sz w:val="24"/>
          <w:szCs w:val="24"/>
        </w:rPr>
        <w:t>Secretarial Letter</w:t>
      </w:r>
      <w:r w:rsidR="00A20C12" w:rsidRPr="006C73CB">
        <w:rPr>
          <w:sz w:val="24"/>
          <w:szCs w:val="24"/>
        </w:rPr>
        <w:t xml:space="preserve">, please contact </w:t>
      </w:r>
      <w:r w:rsidR="00E42E96" w:rsidRPr="006C73CB">
        <w:rPr>
          <w:sz w:val="24"/>
          <w:szCs w:val="24"/>
        </w:rPr>
        <w:t>Wayne Williams</w:t>
      </w:r>
      <w:r w:rsidR="00A20C12" w:rsidRPr="006C73CB">
        <w:rPr>
          <w:sz w:val="24"/>
          <w:szCs w:val="24"/>
        </w:rPr>
        <w:t xml:space="preserve"> at 717-</w:t>
      </w:r>
      <w:r w:rsidR="00E42E96" w:rsidRPr="006C73CB">
        <w:rPr>
          <w:sz w:val="24"/>
          <w:szCs w:val="24"/>
        </w:rPr>
        <w:t>787</w:t>
      </w:r>
      <w:r w:rsidR="00A20C12" w:rsidRPr="006C73CB">
        <w:rPr>
          <w:sz w:val="24"/>
          <w:szCs w:val="24"/>
        </w:rPr>
        <w:t>-</w:t>
      </w:r>
      <w:r w:rsidR="00E42E96" w:rsidRPr="006C73CB">
        <w:rPr>
          <w:sz w:val="24"/>
          <w:szCs w:val="24"/>
        </w:rPr>
        <w:t>2139</w:t>
      </w:r>
      <w:r w:rsidR="00A20C12" w:rsidRPr="006C73CB">
        <w:rPr>
          <w:sz w:val="24"/>
          <w:szCs w:val="24"/>
        </w:rPr>
        <w:t xml:space="preserve"> or </w:t>
      </w:r>
      <w:hyperlink r:id="rId11" w:history="1">
        <w:r w:rsidR="00C3654A" w:rsidRPr="006C73CB">
          <w:rPr>
            <w:rStyle w:val="Hyperlink"/>
            <w:sz w:val="24"/>
            <w:szCs w:val="24"/>
          </w:rPr>
          <w:t>waywilliam@state.pa.us</w:t>
        </w:r>
      </w:hyperlink>
      <w:r w:rsidR="00A20C12" w:rsidRPr="006C73CB">
        <w:rPr>
          <w:sz w:val="24"/>
          <w:szCs w:val="24"/>
        </w:rPr>
        <w:t xml:space="preserve">.   </w:t>
      </w:r>
    </w:p>
    <w:p w:rsidR="00C3654A" w:rsidRPr="006C73CB" w:rsidRDefault="00C3654A" w:rsidP="009526CA">
      <w:pPr>
        <w:rPr>
          <w:sz w:val="24"/>
          <w:szCs w:val="24"/>
        </w:rPr>
      </w:pPr>
    </w:p>
    <w:p w:rsidR="004D2698" w:rsidRPr="006C73CB" w:rsidRDefault="00C77F29" w:rsidP="00BE4A72">
      <w:pPr>
        <w:rPr>
          <w:sz w:val="24"/>
          <w:szCs w:val="24"/>
        </w:rPr>
      </w:pPr>
      <w:r w:rsidRPr="006C73CB">
        <w:rPr>
          <w:sz w:val="24"/>
          <w:szCs w:val="24"/>
        </w:rPr>
        <w:tab/>
      </w:r>
    </w:p>
    <w:p w:rsidR="00BE4A72" w:rsidRPr="006C73CB" w:rsidRDefault="00531B95" w:rsidP="00BE4A72">
      <w:pPr>
        <w:ind w:left="3600"/>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2286000</wp:posOffset>
            </wp:positionH>
            <wp:positionV relativeFrom="paragraph">
              <wp:posOffset>48260</wp:posOffset>
            </wp:positionV>
            <wp:extent cx="2200275" cy="838200"/>
            <wp:effectExtent l="19050" t="0" r="9525"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E4A72" w:rsidRPr="006C73CB">
        <w:rPr>
          <w:sz w:val="24"/>
          <w:szCs w:val="24"/>
        </w:rPr>
        <w:tab/>
        <w:t>Sincerely,</w:t>
      </w:r>
    </w:p>
    <w:p w:rsidR="00BE4A72" w:rsidRPr="006C73CB" w:rsidRDefault="00BE4A72" w:rsidP="00BE4A72">
      <w:pPr>
        <w:ind w:left="3600"/>
        <w:rPr>
          <w:sz w:val="24"/>
          <w:szCs w:val="24"/>
        </w:rPr>
      </w:pPr>
    </w:p>
    <w:p w:rsidR="00BE4A72" w:rsidRPr="006C73CB" w:rsidRDefault="00BE4A72" w:rsidP="00BE4A72">
      <w:pPr>
        <w:ind w:left="3600"/>
        <w:rPr>
          <w:sz w:val="24"/>
          <w:szCs w:val="24"/>
        </w:rPr>
      </w:pPr>
    </w:p>
    <w:p w:rsidR="00AC6A9E" w:rsidRPr="006C73CB" w:rsidRDefault="00AC6A9E" w:rsidP="00BE4A72">
      <w:pPr>
        <w:ind w:left="3600"/>
        <w:rPr>
          <w:sz w:val="24"/>
          <w:szCs w:val="24"/>
        </w:rPr>
      </w:pPr>
    </w:p>
    <w:p w:rsidR="002B37D7" w:rsidRPr="006C73CB" w:rsidRDefault="00C77F29" w:rsidP="002B37D7">
      <w:pPr>
        <w:jc w:val="both"/>
        <w:rPr>
          <w:color w:val="000000"/>
          <w:sz w:val="24"/>
          <w:szCs w:val="24"/>
        </w:rPr>
      </w:pPr>
      <w:r w:rsidRPr="006C73CB">
        <w:rPr>
          <w:sz w:val="24"/>
          <w:szCs w:val="24"/>
        </w:rPr>
        <w:tab/>
      </w:r>
      <w:r w:rsidR="002B37D7" w:rsidRPr="006C73CB">
        <w:rPr>
          <w:sz w:val="24"/>
          <w:szCs w:val="24"/>
        </w:rPr>
        <w:tab/>
      </w:r>
      <w:r w:rsidR="002B37D7" w:rsidRPr="006C73CB">
        <w:rPr>
          <w:sz w:val="24"/>
          <w:szCs w:val="24"/>
        </w:rPr>
        <w:tab/>
      </w:r>
      <w:r w:rsidR="002B37D7" w:rsidRPr="006C73CB">
        <w:rPr>
          <w:sz w:val="24"/>
          <w:szCs w:val="24"/>
        </w:rPr>
        <w:tab/>
      </w:r>
      <w:r w:rsidR="002B37D7" w:rsidRPr="006C73CB">
        <w:rPr>
          <w:sz w:val="24"/>
          <w:szCs w:val="24"/>
        </w:rPr>
        <w:tab/>
      </w:r>
      <w:r w:rsidR="002B37D7" w:rsidRPr="006C73CB">
        <w:rPr>
          <w:sz w:val="24"/>
          <w:szCs w:val="24"/>
        </w:rPr>
        <w:tab/>
      </w:r>
      <w:r w:rsidR="002B37D7" w:rsidRPr="006C73CB">
        <w:rPr>
          <w:color w:val="000000"/>
          <w:sz w:val="24"/>
          <w:szCs w:val="24"/>
        </w:rPr>
        <w:t>Rosemary Chiavetta</w:t>
      </w:r>
    </w:p>
    <w:p w:rsidR="002B37D7" w:rsidRPr="006C73CB" w:rsidRDefault="002B37D7" w:rsidP="002B37D7">
      <w:pPr>
        <w:jc w:val="both"/>
        <w:rPr>
          <w:color w:val="000000"/>
          <w:sz w:val="24"/>
          <w:szCs w:val="24"/>
        </w:rPr>
      </w:pPr>
      <w:r w:rsidRPr="006C73CB">
        <w:rPr>
          <w:color w:val="000000"/>
          <w:sz w:val="24"/>
          <w:szCs w:val="24"/>
        </w:rPr>
        <w:tab/>
      </w:r>
      <w:r w:rsidRPr="006C73CB">
        <w:rPr>
          <w:color w:val="000000"/>
          <w:sz w:val="24"/>
          <w:szCs w:val="24"/>
        </w:rPr>
        <w:tab/>
      </w:r>
      <w:r w:rsidRPr="006C73CB">
        <w:rPr>
          <w:color w:val="000000"/>
          <w:sz w:val="24"/>
          <w:szCs w:val="24"/>
        </w:rPr>
        <w:tab/>
      </w:r>
      <w:r w:rsidRPr="006C73CB">
        <w:rPr>
          <w:color w:val="000000"/>
          <w:sz w:val="24"/>
          <w:szCs w:val="24"/>
        </w:rPr>
        <w:tab/>
      </w:r>
      <w:r w:rsidRPr="006C73CB">
        <w:rPr>
          <w:color w:val="000000"/>
          <w:sz w:val="24"/>
          <w:szCs w:val="24"/>
        </w:rPr>
        <w:tab/>
      </w:r>
      <w:r w:rsidRPr="006C73CB">
        <w:rPr>
          <w:color w:val="000000"/>
          <w:sz w:val="24"/>
          <w:szCs w:val="24"/>
        </w:rPr>
        <w:tab/>
        <w:t>Secretary</w:t>
      </w:r>
    </w:p>
    <w:p w:rsidR="006C73CB" w:rsidRDefault="006C73CB" w:rsidP="002B37D7">
      <w:pPr>
        <w:jc w:val="both"/>
        <w:rPr>
          <w:sz w:val="24"/>
          <w:szCs w:val="24"/>
        </w:rPr>
      </w:pPr>
    </w:p>
    <w:p w:rsidR="002B37D7" w:rsidRPr="006C73CB" w:rsidRDefault="002B37D7" w:rsidP="002B37D7">
      <w:pPr>
        <w:jc w:val="both"/>
        <w:rPr>
          <w:sz w:val="24"/>
          <w:szCs w:val="24"/>
        </w:rPr>
      </w:pPr>
      <w:r w:rsidRPr="006C73CB">
        <w:rPr>
          <w:sz w:val="24"/>
          <w:szCs w:val="24"/>
        </w:rPr>
        <w:t>cc:</w:t>
      </w:r>
      <w:r w:rsidRPr="006C73CB">
        <w:rPr>
          <w:sz w:val="24"/>
          <w:szCs w:val="24"/>
        </w:rPr>
        <w:tab/>
        <w:t>Chairman’s Office</w:t>
      </w:r>
    </w:p>
    <w:p w:rsidR="002B37D7" w:rsidRPr="006C73CB" w:rsidRDefault="002B37D7" w:rsidP="002B37D7">
      <w:pPr>
        <w:jc w:val="both"/>
        <w:rPr>
          <w:sz w:val="24"/>
          <w:szCs w:val="24"/>
        </w:rPr>
      </w:pPr>
      <w:r w:rsidRPr="006C73CB">
        <w:rPr>
          <w:sz w:val="24"/>
          <w:szCs w:val="24"/>
        </w:rPr>
        <w:tab/>
        <w:t>Vice Chairman’s Office</w:t>
      </w:r>
    </w:p>
    <w:p w:rsidR="002B37D7" w:rsidRPr="006C73CB" w:rsidRDefault="002B37D7" w:rsidP="002B37D7">
      <w:pPr>
        <w:jc w:val="both"/>
        <w:rPr>
          <w:sz w:val="24"/>
          <w:szCs w:val="24"/>
        </w:rPr>
      </w:pPr>
      <w:r w:rsidRPr="006C73CB">
        <w:rPr>
          <w:sz w:val="24"/>
          <w:szCs w:val="24"/>
        </w:rPr>
        <w:tab/>
        <w:t>Commissioners’ Office</w:t>
      </w:r>
      <w:r w:rsidR="00715A3C" w:rsidRPr="006C73CB">
        <w:rPr>
          <w:sz w:val="24"/>
          <w:szCs w:val="24"/>
        </w:rPr>
        <w:t>s</w:t>
      </w:r>
    </w:p>
    <w:p w:rsidR="002B37D7" w:rsidRPr="006C73CB" w:rsidRDefault="002B37D7" w:rsidP="002B37D7">
      <w:pPr>
        <w:jc w:val="both"/>
        <w:rPr>
          <w:sz w:val="24"/>
          <w:szCs w:val="24"/>
        </w:rPr>
      </w:pPr>
      <w:r w:rsidRPr="006C73CB">
        <w:rPr>
          <w:sz w:val="24"/>
          <w:szCs w:val="24"/>
        </w:rPr>
        <w:tab/>
        <w:t xml:space="preserve">Karen </w:t>
      </w:r>
      <w:proofErr w:type="spellStart"/>
      <w:r w:rsidRPr="006C73CB">
        <w:rPr>
          <w:sz w:val="24"/>
          <w:szCs w:val="24"/>
        </w:rPr>
        <w:t>Oill</w:t>
      </w:r>
      <w:proofErr w:type="spellEnd"/>
      <w:r w:rsidRPr="006C73CB">
        <w:rPr>
          <w:sz w:val="24"/>
          <w:szCs w:val="24"/>
        </w:rPr>
        <w:t xml:space="preserve"> Moury, Director of Operations</w:t>
      </w:r>
    </w:p>
    <w:p w:rsidR="002B37D7" w:rsidRPr="006C73CB" w:rsidRDefault="002B37D7" w:rsidP="002B37D7">
      <w:pPr>
        <w:jc w:val="both"/>
        <w:rPr>
          <w:sz w:val="24"/>
          <w:szCs w:val="24"/>
        </w:rPr>
      </w:pPr>
      <w:r w:rsidRPr="006C73CB">
        <w:rPr>
          <w:sz w:val="24"/>
          <w:szCs w:val="24"/>
        </w:rPr>
        <w:tab/>
        <w:t>Bohdan R. Pankiw, Chief Counsel</w:t>
      </w:r>
      <w:r w:rsidR="006C73CB" w:rsidRPr="006C73CB">
        <w:rPr>
          <w:sz w:val="24"/>
          <w:szCs w:val="24"/>
        </w:rPr>
        <w:t>, Law Bureau</w:t>
      </w:r>
    </w:p>
    <w:p w:rsidR="002B37D7" w:rsidRPr="006C73CB" w:rsidRDefault="002B37D7" w:rsidP="002B37D7">
      <w:pPr>
        <w:jc w:val="both"/>
        <w:rPr>
          <w:sz w:val="24"/>
          <w:szCs w:val="24"/>
        </w:rPr>
      </w:pPr>
      <w:r w:rsidRPr="006C73CB">
        <w:rPr>
          <w:sz w:val="24"/>
          <w:szCs w:val="24"/>
        </w:rPr>
        <w:tab/>
        <w:t>Robert F. Young, Deputy Chief Counsel</w:t>
      </w:r>
      <w:r w:rsidR="006C73CB" w:rsidRPr="006C73CB">
        <w:rPr>
          <w:sz w:val="24"/>
          <w:szCs w:val="24"/>
        </w:rPr>
        <w:t>, Law Bureau</w:t>
      </w:r>
    </w:p>
    <w:p w:rsidR="00C77F29" w:rsidRDefault="002B37D7" w:rsidP="00433409">
      <w:pPr>
        <w:jc w:val="both"/>
        <w:rPr>
          <w:sz w:val="26"/>
          <w:szCs w:val="26"/>
        </w:rPr>
      </w:pPr>
      <w:r w:rsidRPr="006C73CB">
        <w:rPr>
          <w:sz w:val="24"/>
          <w:szCs w:val="24"/>
        </w:rPr>
        <w:tab/>
        <w:t xml:space="preserve">Wayne L. Williams, Director, </w:t>
      </w:r>
      <w:r w:rsidR="006C73CB" w:rsidRPr="006C73CB">
        <w:rPr>
          <w:sz w:val="24"/>
          <w:szCs w:val="24"/>
        </w:rPr>
        <w:t xml:space="preserve">Bureau of </w:t>
      </w:r>
      <w:r w:rsidRPr="006C73CB">
        <w:rPr>
          <w:sz w:val="24"/>
          <w:szCs w:val="24"/>
        </w:rPr>
        <w:t>Conservation, Economics and Energy Planning</w:t>
      </w:r>
    </w:p>
    <w:sectPr w:rsidR="00C77F29" w:rsidSect="002874B9">
      <w:pgSz w:w="12240" w:h="15840"/>
      <w:pgMar w:top="1440" w:right="1440" w:bottom="1440" w:left="144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D1A" w:rsidRDefault="004A3D1A">
      <w:r>
        <w:separator/>
      </w:r>
    </w:p>
  </w:endnote>
  <w:endnote w:type="continuationSeparator" w:id="0">
    <w:p w:rsidR="004A3D1A" w:rsidRDefault="004A3D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F4E" w:rsidRDefault="0051650B">
    <w:pPr>
      <w:pStyle w:val="Footer"/>
      <w:framePr w:wrap="around" w:vAnchor="text" w:hAnchor="margin" w:xAlign="center" w:y="1"/>
      <w:rPr>
        <w:rStyle w:val="PageNumber"/>
      </w:rPr>
    </w:pPr>
    <w:r>
      <w:rPr>
        <w:rStyle w:val="PageNumber"/>
      </w:rPr>
      <w:fldChar w:fldCharType="begin"/>
    </w:r>
    <w:r w:rsidR="004A5F4E">
      <w:rPr>
        <w:rStyle w:val="PageNumber"/>
      </w:rPr>
      <w:instrText xml:space="preserve">PAGE  </w:instrText>
    </w:r>
    <w:r>
      <w:rPr>
        <w:rStyle w:val="PageNumber"/>
      </w:rPr>
      <w:fldChar w:fldCharType="separate"/>
    </w:r>
    <w:r w:rsidR="004A5F4E">
      <w:rPr>
        <w:rStyle w:val="PageNumber"/>
        <w:noProof/>
      </w:rPr>
      <w:t>2</w:t>
    </w:r>
    <w:r>
      <w:rPr>
        <w:rStyle w:val="PageNumber"/>
      </w:rPr>
      <w:fldChar w:fldCharType="end"/>
    </w:r>
  </w:p>
  <w:p w:rsidR="004A5F4E" w:rsidRDefault="004A5F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12345"/>
      <w:docPartObj>
        <w:docPartGallery w:val="Page Numbers (Bottom of Page)"/>
        <w:docPartUnique/>
      </w:docPartObj>
    </w:sdtPr>
    <w:sdtContent>
      <w:p w:rsidR="004A5F4E" w:rsidRDefault="0051650B">
        <w:pPr>
          <w:pStyle w:val="Footer"/>
          <w:jc w:val="center"/>
        </w:pPr>
        <w:r w:rsidRPr="00AD0A9B">
          <w:rPr>
            <w:sz w:val="26"/>
            <w:szCs w:val="26"/>
          </w:rPr>
          <w:fldChar w:fldCharType="begin"/>
        </w:r>
        <w:r w:rsidR="004A5F4E" w:rsidRPr="00AD0A9B">
          <w:rPr>
            <w:sz w:val="26"/>
            <w:szCs w:val="26"/>
          </w:rPr>
          <w:instrText xml:space="preserve"> PAGE   \* MERGEFORMAT </w:instrText>
        </w:r>
        <w:r w:rsidRPr="00AD0A9B">
          <w:rPr>
            <w:sz w:val="26"/>
            <w:szCs w:val="26"/>
          </w:rPr>
          <w:fldChar w:fldCharType="separate"/>
        </w:r>
        <w:r w:rsidR="006C73CB">
          <w:rPr>
            <w:noProof/>
            <w:sz w:val="26"/>
            <w:szCs w:val="26"/>
          </w:rPr>
          <w:t>3</w:t>
        </w:r>
        <w:r w:rsidRPr="00AD0A9B">
          <w:rPr>
            <w:sz w:val="26"/>
            <w:szCs w:val="26"/>
          </w:rPr>
          <w:fldChar w:fldCharType="end"/>
        </w:r>
      </w:p>
    </w:sdtContent>
  </w:sdt>
  <w:p w:rsidR="004A5F4E" w:rsidRDefault="004A5F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D1A" w:rsidRDefault="004A3D1A">
      <w:r>
        <w:separator/>
      </w:r>
    </w:p>
  </w:footnote>
  <w:footnote w:type="continuationSeparator" w:id="0">
    <w:p w:rsidR="004A3D1A" w:rsidRDefault="004A3D1A">
      <w:r>
        <w:continuationSeparator/>
      </w:r>
    </w:p>
  </w:footnote>
  <w:footnote w:id="1">
    <w:p w:rsidR="004A5F4E" w:rsidRDefault="004A5F4E">
      <w:pPr>
        <w:pStyle w:val="FootnoteText"/>
      </w:pPr>
      <w:r>
        <w:rPr>
          <w:rStyle w:val="FootnoteReference"/>
        </w:rPr>
        <w:footnoteRef/>
      </w:r>
      <w:r>
        <w:t xml:space="preserve"> </w:t>
      </w:r>
      <w:r w:rsidRPr="0080690D">
        <w:rPr>
          <w:i/>
        </w:rPr>
        <w:t>See</w:t>
      </w:r>
      <w:r>
        <w:t xml:space="preserve"> 66 Pa. C.S. § 2806.1(d</w:t>
      </w:r>
      <w:proofErr w:type="gramStart"/>
      <w:r>
        <w:t>)(</w:t>
      </w:r>
      <w:proofErr w:type="gramEnd"/>
      <w:r>
        <w:t>2).</w:t>
      </w:r>
    </w:p>
  </w:footnote>
  <w:footnote w:id="2">
    <w:p w:rsidR="004A5F4E" w:rsidRDefault="004A5F4E">
      <w:pPr>
        <w:pStyle w:val="FootnoteText"/>
      </w:pPr>
      <w:r>
        <w:rPr>
          <w:rStyle w:val="FootnoteReference"/>
        </w:rPr>
        <w:footnoteRef/>
      </w:r>
      <w:r>
        <w:t xml:space="preserve"> The current peak demand reduction mandate is contained in the Public Utility Code at 66 Pa. C.S. § 2806.1(d</w:t>
      </w:r>
      <w:proofErr w:type="gramStart"/>
      <w:r>
        <w:t>)(</w:t>
      </w:r>
      <w:proofErr w:type="gramEnd"/>
      <w:r>
        <w:t>1).</w:t>
      </w:r>
    </w:p>
  </w:footnote>
  <w:footnote w:id="3">
    <w:p w:rsidR="004A5F4E" w:rsidRDefault="004A5F4E">
      <w:pPr>
        <w:pStyle w:val="FootnoteText"/>
      </w:pPr>
      <w:r>
        <w:rPr>
          <w:rStyle w:val="FootnoteReference"/>
        </w:rPr>
        <w:footnoteRef/>
      </w:r>
      <w:r>
        <w:t xml:space="preserve"> Reasonably available includes conditioning participation in the EDC’s demand response programs upon the participant providing the requested data and documents.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C84494"/>
    <w:multiLevelType w:val="hybridMultilevel"/>
    <w:tmpl w:val="DA34B596"/>
    <w:lvl w:ilvl="0" w:tplc="E88284D8">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6296FBA"/>
    <w:multiLevelType w:val="hybridMultilevel"/>
    <w:tmpl w:val="D66ECE68"/>
    <w:lvl w:ilvl="0" w:tplc="F134E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06A7536"/>
    <w:multiLevelType w:val="hybridMultilevel"/>
    <w:tmpl w:val="A0E03122"/>
    <w:lvl w:ilvl="0" w:tplc="62FCDC20">
      <w:start w:val="1"/>
      <w:numFmt w:val="decimal"/>
      <w:lvlText w:val="%1."/>
      <w:lvlJc w:val="left"/>
      <w:pPr>
        <w:tabs>
          <w:tab w:val="num" w:pos="1080"/>
        </w:tabs>
        <w:ind w:left="1080" w:hanging="720"/>
      </w:pPr>
      <w:rPr>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3"/>
  </w:num>
  <w:num w:numId="4">
    <w:abstractNumId w:val="5"/>
  </w:num>
  <w:num w:numId="5">
    <w:abstractNumId w:val="10"/>
  </w:num>
  <w:num w:numId="6">
    <w:abstractNumId w:val="4"/>
  </w:num>
  <w:num w:numId="7">
    <w:abstractNumId w:val="11"/>
  </w:num>
  <w:num w:numId="8">
    <w:abstractNumId w:val="9"/>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74A51"/>
    <w:rsid w:val="0000221E"/>
    <w:rsid w:val="00016C43"/>
    <w:rsid w:val="00026B9B"/>
    <w:rsid w:val="000315CB"/>
    <w:rsid w:val="00031795"/>
    <w:rsid w:val="001023B1"/>
    <w:rsid w:val="001048C8"/>
    <w:rsid w:val="00111D7A"/>
    <w:rsid w:val="001209F1"/>
    <w:rsid w:val="00121CB7"/>
    <w:rsid w:val="00126434"/>
    <w:rsid w:val="00134A78"/>
    <w:rsid w:val="00142748"/>
    <w:rsid w:val="0019426D"/>
    <w:rsid w:val="00195546"/>
    <w:rsid w:val="001A2DCD"/>
    <w:rsid w:val="001E1BF3"/>
    <w:rsid w:val="002229C3"/>
    <w:rsid w:val="002326FD"/>
    <w:rsid w:val="002874B9"/>
    <w:rsid w:val="0029471C"/>
    <w:rsid w:val="002B37D7"/>
    <w:rsid w:val="002C4503"/>
    <w:rsid w:val="002D5474"/>
    <w:rsid w:val="002F0138"/>
    <w:rsid w:val="003569E8"/>
    <w:rsid w:val="00361704"/>
    <w:rsid w:val="003878A0"/>
    <w:rsid w:val="00403F28"/>
    <w:rsid w:val="004263DD"/>
    <w:rsid w:val="00427AD9"/>
    <w:rsid w:val="00433409"/>
    <w:rsid w:val="00442D19"/>
    <w:rsid w:val="00472043"/>
    <w:rsid w:val="00483A89"/>
    <w:rsid w:val="004A3D1A"/>
    <w:rsid w:val="004A5F4E"/>
    <w:rsid w:val="004B61C1"/>
    <w:rsid w:val="004D2698"/>
    <w:rsid w:val="004E6068"/>
    <w:rsid w:val="0050362A"/>
    <w:rsid w:val="0051639C"/>
    <w:rsid w:val="0051650B"/>
    <w:rsid w:val="00531B95"/>
    <w:rsid w:val="00557565"/>
    <w:rsid w:val="00566443"/>
    <w:rsid w:val="00567746"/>
    <w:rsid w:val="0057487F"/>
    <w:rsid w:val="00590DCB"/>
    <w:rsid w:val="005A2A39"/>
    <w:rsid w:val="005B0327"/>
    <w:rsid w:val="005E25C5"/>
    <w:rsid w:val="0061180C"/>
    <w:rsid w:val="006755C0"/>
    <w:rsid w:val="006843D3"/>
    <w:rsid w:val="00685F2E"/>
    <w:rsid w:val="00694301"/>
    <w:rsid w:val="006C73CB"/>
    <w:rsid w:val="006D50F7"/>
    <w:rsid w:val="00715A3C"/>
    <w:rsid w:val="0071761F"/>
    <w:rsid w:val="00733109"/>
    <w:rsid w:val="007617B1"/>
    <w:rsid w:val="00774136"/>
    <w:rsid w:val="0080690D"/>
    <w:rsid w:val="008427B0"/>
    <w:rsid w:val="00846A98"/>
    <w:rsid w:val="00870E43"/>
    <w:rsid w:val="00880ED5"/>
    <w:rsid w:val="00881B7D"/>
    <w:rsid w:val="00942E5E"/>
    <w:rsid w:val="009526CA"/>
    <w:rsid w:val="00952DD5"/>
    <w:rsid w:val="0096632A"/>
    <w:rsid w:val="009B23D8"/>
    <w:rsid w:val="009D10AC"/>
    <w:rsid w:val="009D1A9E"/>
    <w:rsid w:val="009D1C20"/>
    <w:rsid w:val="009D1FF2"/>
    <w:rsid w:val="009E40EC"/>
    <w:rsid w:val="009F5F66"/>
    <w:rsid w:val="00A01138"/>
    <w:rsid w:val="00A0790F"/>
    <w:rsid w:val="00A20C12"/>
    <w:rsid w:val="00A254D2"/>
    <w:rsid w:val="00A5263D"/>
    <w:rsid w:val="00A64F5A"/>
    <w:rsid w:val="00A74877"/>
    <w:rsid w:val="00A87DA3"/>
    <w:rsid w:val="00AB497F"/>
    <w:rsid w:val="00AB53D2"/>
    <w:rsid w:val="00AC6A9E"/>
    <w:rsid w:val="00AD0A9B"/>
    <w:rsid w:val="00AD150C"/>
    <w:rsid w:val="00AE3480"/>
    <w:rsid w:val="00BE4A72"/>
    <w:rsid w:val="00BE5119"/>
    <w:rsid w:val="00C148C2"/>
    <w:rsid w:val="00C341C6"/>
    <w:rsid w:val="00C3654A"/>
    <w:rsid w:val="00C45DCB"/>
    <w:rsid w:val="00C46EDA"/>
    <w:rsid w:val="00C74A51"/>
    <w:rsid w:val="00C77F29"/>
    <w:rsid w:val="00C90506"/>
    <w:rsid w:val="00C942C6"/>
    <w:rsid w:val="00C95504"/>
    <w:rsid w:val="00CA2448"/>
    <w:rsid w:val="00CA358F"/>
    <w:rsid w:val="00CB5738"/>
    <w:rsid w:val="00CD0FDC"/>
    <w:rsid w:val="00CE47B3"/>
    <w:rsid w:val="00CF047C"/>
    <w:rsid w:val="00CF55DF"/>
    <w:rsid w:val="00D55A7A"/>
    <w:rsid w:val="00D62E64"/>
    <w:rsid w:val="00D77B80"/>
    <w:rsid w:val="00DC7B54"/>
    <w:rsid w:val="00E23926"/>
    <w:rsid w:val="00E349DA"/>
    <w:rsid w:val="00E42E96"/>
    <w:rsid w:val="00E62236"/>
    <w:rsid w:val="00E73061"/>
    <w:rsid w:val="00E83E92"/>
    <w:rsid w:val="00E932E3"/>
    <w:rsid w:val="00EA4C08"/>
    <w:rsid w:val="00EC75EB"/>
    <w:rsid w:val="00EC7D0E"/>
    <w:rsid w:val="00EE51BC"/>
    <w:rsid w:val="00F51C5E"/>
    <w:rsid w:val="00F5640A"/>
    <w:rsid w:val="00F66053"/>
    <w:rsid w:val="00F7094C"/>
    <w:rsid w:val="00F75EE4"/>
    <w:rsid w:val="00FA0E37"/>
    <w:rsid w:val="00FD48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026B9B"/>
  </w:style>
  <w:style w:type="character" w:customStyle="1" w:styleId="FootnoteTextChar">
    <w:name w:val="Footnote Text Char"/>
    <w:basedOn w:val="DefaultParagraphFont"/>
    <w:link w:val="FootnoteText"/>
    <w:rsid w:val="00026B9B"/>
  </w:style>
  <w:style w:type="character" w:styleId="FootnoteReference">
    <w:name w:val="footnote reference"/>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ywilliam@state.pa.u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995B5-7C03-42FB-9567-BF91AA1E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joyce marie farner</cp:lastModifiedBy>
  <cp:revision>4</cp:revision>
  <cp:lastPrinted>2011-03-04T16:48:00Z</cp:lastPrinted>
  <dcterms:created xsi:type="dcterms:W3CDTF">2011-03-03T16:22:00Z</dcterms:created>
  <dcterms:modified xsi:type="dcterms:W3CDTF">2011-03-04T16:48:00Z</dcterms:modified>
</cp:coreProperties>
</file>